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6D2A00">
      <w:pPr>
        <w:ind w:firstLine="0" w:firstLineChars="0"/>
        <w:rPr>
          <w:rFonts w:hint="eastAsia" w:ascii="黑体" w:hAnsi="黑体" w:eastAsia="黑体" w:cs="黑体"/>
          <w:sz w:val="32"/>
          <w:szCs w:val="32"/>
          <w:lang w:val="en-US" w:eastAsia="zh-CN"/>
        </w:rPr>
      </w:pPr>
      <w:bookmarkStart w:id="283" w:name="_GoBack"/>
      <w:r>
        <w:rPr>
          <w:rFonts w:hint="eastAsia" w:ascii="黑体" w:hAnsi="黑体" w:eastAsia="黑体" w:cs="黑体"/>
          <w:sz w:val="32"/>
          <w:szCs w:val="32"/>
        </w:rPr>
        <w:t>附件</w:t>
      </w:r>
      <w:r>
        <w:rPr>
          <w:rFonts w:hint="eastAsia" w:ascii="黑体" w:hAnsi="黑体" w:eastAsia="黑体" w:cs="黑体"/>
          <w:sz w:val="32"/>
          <w:szCs w:val="32"/>
          <w:lang w:val="en-US" w:eastAsia="zh-CN"/>
        </w:rPr>
        <w:t>2</w:t>
      </w:r>
    </w:p>
    <w:bookmarkEnd w:id="283"/>
    <w:p w14:paraId="7134ACF8">
      <w:pPr>
        <w:spacing w:line="240" w:lineRule="auto"/>
        <w:ind w:firstLine="0" w:firstLineChars="0"/>
        <w:jc w:val="center"/>
        <w:rPr>
          <w:rFonts w:eastAsia="方正小标宋简体" w:cs="Times New Roman"/>
          <w:sz w:val="44"/>
          <w:szCs w:val="44"/>
        </w:rPr>
      </w:pPr>
    </w:p>
    <w:p w14:paraId="035DE63A">
      <w:pPr>
        <w:spacing w:line="240" w:lineRule="auto"/>
        <w:ind w:firstLine="0" w:firstLineChars="0"/>
        <w:jc w:val="center"/>
        <w:rPr>
          <w:rFonts w:cs="Times New Roman"/>
          <w:b/>
          <w:bCs/>
          <w:w w:val="98"/>
          <w:sz w:val="40"/>
          <w:szCs w:val="40"/>
        </w:rPr>
      </w:pPr>
      <w:bookmarkStart w:id="0" w:name="OLE_LINK5"/>
      <w:bookmarkStart w:id="1" w:name="OLE_LINK4"/>
      <w:bookmarkStart w:id="2" w:name="OLE_LINK3"/>
      <w:r>
        <w:rPr>
          <w:rFonts w:eastAsia="方正小标宋简体" w:cs="Times New Roman"/>
          <w:w w:val="98"/>
          <w:sz w:val="40"/>
          <w:szCs w:val="40"/>
        </w:rPr>
        <w:t>《</w:t>
      </w:r>
      <w:r>
        <w:rPr>
          <w:rFonts w:cs="Times New Roman"/>
          <w:b/>
          <w:bCs/>
          <w:w w:val="98"/>
          <w:sz w:val="40"/>
          <w:szCs w:val="40"/>
        </w:rPr>
        <w:t>海水水产品加工废水</w:t>
      </w:r>
      <w:r>
        <w:rPr>
          <w:rFonts w:hint="eastAsia" w:cs="Times New Roman"/>
          <w:b/>
          <w:bCs/>
          <w:w w:val="98"/>
          <w:sz w:val="40"/>
          <w:szCs w:val="40"/>
          <w:lang w:eastAsia="zh-CN"/>
        </w:rPr>
        <w:t>排放</w:t>
      </w:r>
      <w:r>
        <w:rPr>
          <w:rFonts w:cs="Times New Roman"/>
          <w:b/>
          <w:bCs/>
          <w:w w:val="98"/>
          <w:sz w:val="40"/>
          <w:szCs w:val="40"/>
        </w:rPr>
        <w:t>标准（征求意见稿）》</w:t>
      </w:r>
    </w:p>
    <w:bookmarkEnd w:id="0"/>
    <w:bookmarkEnd w:id="1"/>
    <w:bookmarkEnd w:id="2"/>
    <w:p w14:paraId="6C6F860D">
      <w:pPr>
        <w:spacing w:line="240" w:lineRule="auto"/>
        <w:ind w:firstLine="0" w:firstLineChars="0"/>
        <w:jc w:val="center"/>
        <w:rPr>
          <w:rFonts w:eastAsia="方正小标宋简体" w:cs="Times New Roman"/>
          <w:sz w:val="48"/>
          <w:szCs w:val="48"/>
        </w:rPr>
      </w:pPr>
      <w:bookmarkStart w:id="3" w:name="OLE_LINK12"/>
      <w:bookmarkStart w:id="4" w:name="OLE_LINK13"/>
      <w:r>
        <w:rPr>
          <w:rFonts w:eastAsia="方正小标宋简体" w:cs="Times New Roman"/>
          <w:sz w:val="48"/>
          <w:szCs w:val="48"/>
        </w:rPr>
        <w:t>编 制 说 明</w:t>
      </w:r>
    </w:p>
    <w:bookmarkEnd w:id="3"/>
    <w:bookmarkEnd w:id="4"/>
    <w:p w14:paraId="7697D20D">
      <w:pPr>
        <w:ind w:firstLine="880"/>
        <w:jc w:val="center"/>
        <w:rPr>
          <w:rFonts w:eastAsia="黑体" w:cs="Times New Roman"/>
          <w:sz w:val="44"/>
          <w:szCs w:val="44"/>
        </w:rPr>
      </w:pPr>
    </w:p>
    <w:p w14:paraId="3610C8C5">
      <w:pPr>
        <w:ind w:firstLine="880"/>
        <w:jc w:val="center"/>
        <w:rPr>
          <w:rFonts w:eastAsia="黑体" w:cs="Times New Roman"/>
          <w:sz w:val="44"/>
          <w:szCs w:val="44"/>
        </w:rPr>
      </w:pPr>
    </w:p>
    <w:p w14:paraId="5BDA1D90">
      <w:pPr>
        <w:ind w:firstLine="880"/>
        <w:jc w:val="center"/>
        <w:rPr>
          <w:rFonts w:eastAsia="黑体" w:cs="Times New Roman"/>
          <w:sz w:val="44"/>
          <w:szCs w:val="44"/>
        </w:rPr>
      </w:pPr>
    </w:p>
    <w:p w14:paraId="2A311F95">
      <w:pPr>
        <w:ind w:firstLine="880"/>
        <w:jc w:val="center"/>
        <w:rPr>
          <w:rFonts w:eastAsia="黑体" w:cs="Times New Roman"/>
          <w:sz w:val="44"/>
          <w:szCs w:val="44"/>
        </w:rPr>
      </w:pPr>
    </w:p>
    <w:p w14:paraId="6518A688">
      <w:pPr>
        <w:ind w:firstLine="880"/>
        <w:jc w:val="center"/>
        <w:rPr>
          <w:rFonts w:eastAsia="黑体" w:cs="Times New Roman"/>
          <w:sz w:val="44"/>
          <w:szCs w:val="44"/>
        </w:rPr>
      </w:pPr>
    </w:p>
    <w:p w14:paraId="689BCE37">
      <w:pPr>
        <w:ind w:firstLine="880"/>
        <w:jc w:val="center"/>
        <w:rPr>
          <w:rFonts w:eastAsia="黑体" w:cs="Times New Roman"/>
          <w:sz w:val="44"/>
          <w:szCs w:val="44"/>
        </w:rPr>
      </w:pPr>
    </w:p>
    <w:p w14:paraId="7A0E1EB8">
      <w:pPr>
        <w:ind w:firstLine="480"/>
        <w:rPr>
          <w:rFonts w:cs="Times New Roman"/>
        </w:rPr>
      </w:pPr>
    </w:p>
    <w:p w14:paraId="079934B2">
      <w:pPr>
        <w:ind w:firstLine="480"/>
        <w:rPr>
          <w:rFonts w:cs="Times New Roman"/>
        </w:rPr>
      </w:pPr>
    </w:p>
    <w:p w14:paraId="5860BC39">
      <w:pPr>
        <w:adjustRightInd w:val="0"/>
        <w:snapToGrid w:val="0"/>
        <w:ind w:firstLine="602"/>
        <w:jc w:val="center"/>
        <w:rPr>
          <w:rFonts w:eastAsia="仿宋_GB2312" w:cs="Times New Roman"/>
          <w:b/>
          <w:sz w:val="30"/>
          <w:szCs w:val="30"/>
        </w:rPr>
      </w:pPr>
    </w:p>
    <w:p w14:paraId="47183210">
      <w:pPr>
        <w:adjustRightInd w:val="0"/>
        <w:snapToGrid w:val="0"/>
        <w:ind w:firstLine="0" w:firstLineChars="0"/>
        <w:jc w:val="center"/>
        <w:rPr>
          <w:rFonts w:eastAsia="仿宋_GB2312" w:cs="Times New Roman"/>
          <w:b/>
          <w:sz w:val="32"/>
          <w:szCs w:val="32"/>
        </w:rPr>
      </w:pPr>
      <w:bookmarkStart w:id="5" w:name="OLE_LINK6"/>
      <w:bookmarkStart w:id="6" w:name="OLE_LINK7"/>
      <w:r>
        <w:rPr>
          <w:rFonts w:eastAsia="仿宋_GB2312" w:cs="Times New Roman"/>
          <w:b/>
          <w:sz w:val="32"/>
          <w:szCs w:val="32"/>
        </w:rPr>
        <w:t>标准</w:t>
      </w:r>
      <w:bookmarkEnd w:id="5"/>
      <w:bookmarkEnd w:id="6"/>
      <w:r>
        <w:rPr>
          <w:rFonts w:eastAsia="仿宋_GB2312" w:cs="Times New Roman"/>
          <w:b/>
          <w:sz w:val="32"/>
          <w:szCs w:val="32"/>
        </w:rPr>
        <w:t>编制组</w:t>
      </w:r>
    </w:p>
    <w:p w14:paraId="19D56BB3">
      <w:pPr>
        <w:adjustRightInd w:val="0"/>
        <w:snapToGrid w:val="0"/>
        <w:ind w:firstLine="0" w:firstLineChars="0"/>
        <w:jc w:val="center"/>
        <w:rPr>
          <w:rFonts w:eastAsia="仿宋_GB2312" w:cs="Times New Roman"/>
          <w:b/>
          <w:sz w:val="32"/>
          <w:szCs w:val="32"/>
        </w:rPr>
      </w:pPr>
      <w:r>
        <w:rPr>
          <w:rFonts w:eastAsia="仿宋_GB2312" w:cs="Times New Roman"/>
          <w:b/>
          <w:sz w:val="32"/>
          <w:szCs w:val="32"/>
        </w:rPr>
        <w:t>2025年4月</w:t>
      </w:r>
    </w:p>
    <w:p w14:paraId="2EB2E218">
      <w:pPr>
        <w:adjustRightInd w:val="0"/>
        <w:snapToGrid w:val="0"/>
        <w:ind w:firstLine="0" w:firstLineChars="0"/>
        <w:jc w:val="center"/>
        <w:rPr>
          <w:rFonts w:eastAsia="仿宋_GB2312" w:cs="Times New Roman"/>
          <w:b/>
          <w:sz w:val="32"/>
          <w:szCs w:val="32"/>
        </w:rPr>
      </w:pPr>
    </w:p>
    <w:p w14:paraId="6424F83A">
      <w:pPr>
        <w:adjustRightInd w:val="0"/>
        <w:snapToGrid w:val="0"/>
        <w:ind w:firstLine="0" w:firstLineChars="0"/>
        <w:jc w:val="center"/>
        <w:rPr>
          <w:rFonts w:eastAsia="仿宋_GB2312" w:cs="Times New Roman"/>
          <w:b/>
          <w:sz w:val="32"/>
          <w:szCs w:val="32"/>
        </w:rPr>
      </w:pPr>
    </w:p>
    <w:p w14:paraId="10AC21D1">
      <w:pPr>
        <w:adjustRightInd w:val="0"/>
        <w:snapToGrid w:val="0"/>
        <w:ind w:firstLine="0" w:firstLineChars="0"/>
        <w:jc w:val="center"/>
        <w:rPr>
          <w:rFonts w:eastAsia="仿宋_GB2312" w:cs="Times New Roman"/>
          <w:b/>
          <w:sz w:val="32"/>
          <w:szCs w:val="32"/>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0"/>
          <w:cols w:space="425" w:num="1"/>
          <w:titlePg/>
          <w:docGrid w:type="lines" w:linePitch="326" w:charSpace="0"/>
        </w:sectPr>
      </w:pPr>
    </w:p>
    <w:p w14:paraId="439CD654">
      <w:pPr>
        <w:adjustRightInd w:val="0"/>
        <w:snapToGrid w:val="0"/>
        <w:ind w:firstLine="0" w:firstLineChars="0"/>
        <w:jc w:val="center"/>
        <w:rPr>
          <w:rFonts w:eastAsia="仿宋_GB2312" w:cs="Times New Roman"/>
          <w:b/>
          <w:sz w:val="32"/>
          <w:szCs w:val="32"/>
        </w:rPr>
      </w:pPr>
      <w:r>
        <w:rPr>
          <w:rFonts w:eastAsia="仿宋_GB2312" w:cs="Times New Roman"/>
          <w:b/>
          <w:sz w:val="32"/>
          <w:szCs w:val="32"/>
        </w:rPr>
        <w:t>目  录</w:t>
      </w:r>
    </w:p>
    <w:p w14:paraId="15126314">
      <w:pPr>
        <w:pStyle w:val="24"/>
        <w:tabs>
          <w:tab w:val="left" w:pos="960"/>
          <w:tab w:val="right" w:leader="dot" w:pos="8296"/>
        </w:tabs>
        <w:ind w:firstLine="640"/>
        <w:rPr>
          <w:rFonts w:ascii="Times New Roman" w:hAnsi="Times New Roman" w:cs="Times New Roman" w:eastAsiaTheme="minorEastAsia"/>
          <w:b w:val="0"/>
          <w:bCs w:val="0"/>
          <w:sz w:val="21"/>
          <w:szCs w:val="22"/>
        </w:rPr>
      </w:pPr>
      <w:r>
        <w:rPr>
          <w:rFonts w:ascii="Times New Roman" w:hAnsi="Times New Roman" w:eastAsia="仿宋_GB2312" w:cs="Times New Roman"/>
          <w:b w:val="0"/>
          <w:sz w:val="32"/>
          <w:szCs w:val="32"/>
        </w:rPr>
        <w:fldChar w:fldCharType="begin"/>
      </w:r>
      <w:r>
        <w:rPr>
          <w:rFonts w:ascii="Times New Roman" w:hAnsi="Times New Roman" w:eastAsia="仿宋_GB2312" w:cs="Times New Roman"/>
          <w:b w:val="0"/>
          <w:sz w:val="32"/>
          <w:szCs w:val="32"/>
        </w:rPr>
        <w:instrText xml:space="preserve"> TOC \o "1-3" \h \z \u </w:instrText>
      </w:r>
      <w:r>
        <w:rPr>
          <w:rFonts w:ascii="Times New Roman" w:hAnsi="Times New Roman" w:eastAsia="仿宋_GB2312" w:cs="Times New Roman"/>
          <w:b w:val="0"/>
          <w:sz w:val="32"/>
          <w:szCs w:val="32"/>
        </w:rPr>
        <w:fldChar w:fldCharType="separate"/>
      </w:r>
      <w:r>
        <w:fldChar w:fldCharType="begin"/>
      </w:r>
      <w:r>
        <w:instrText xml:space="preserve"> HYPERLINK \l "_Toc198292111" </w:instrText>
      </w:r>
      <w:r>
        <w:fldChar w:fldCharType="separate"/>
      </w:r>
      <w:r>
        <w:rPr>
          <w:rStyle w:val="39"/>
          <w:rFonts w:ascii="Times New Roman" w:hAnsi="Times New Roman" w:cs="Times New Roman"/>
        </w:rPr>
        <w:t>1</w:t>
      </w:r>
      <w:r>
        <w:rPr>
          <w:rFonts w:ascii="Times New Roman" w:hAnsi="Times New Roman" w:cs="Times New Roman" w:eastAsiaTheme="minorEastAsia"/>
          <w:b w:val="0"/>
          <w:bCs w:val="0"/>
          <w:sz w:val="21"/>
          <w:szCs w:val="22"/>
        </w:rPr>
        <w:tab/>
      </w:r>
      <w:r>
        <w:rPr>
          <w:rStyle w:val="39"/>
          <w:rFonts w:ascii="Times New Roman" w:hAnsi="Times New Roman" w:cs="Times New Roman"/>
        </w:rPr>
        <w:t>工作简介</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_Toc198292111 \h </w:instrText>
      </w:r>
      <w:r>
        <w:rPr>
          <w:rFonts w:ascii="Times New Roman" w:hAnsi="Times New Roman" w:cs="Times New Roman"/>
        </w:rPr>
        <w:fldChar w:fldCharType="separate"/>
      </w:r>
      <w:r>
        <w:rPr>
          <w:rFonts w:ascii="Times New Roman" w:hAnsi="Times New Roman" w:cs="Times New Roman"/>
        </w:rPr>
        <w:t>4</w:t>
      </w:r>
      <w:r>
        <w:rPr>
          <w:rFonts w:ascii="Times New Roman" w:hAnsi="Times New Roman" w:cs="Times New Roman"/>
        </w:rPr>
        <w:fldChar w:fldCharType="end"/>
      </w:r>
      <w:r>
        <w:rPr>
          <w:rFonts w:ascii="Times New Roman" w:hAnsi="Times New Roman" w:cs="Times New Roman"/>
        </w:rPr>
        <w:fldChar w:fldCharType="end"/>
      </w:r>
    </w:p>
    <w:p w14:paraId="0479212C">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"_Toc198292112" </w:instrText>
      </w:r>
      <w:r>
        <w:fldChar w:fldCharType="separate"/>
      </w:r>
      <w:r>
        <w:rPr>
          <w:rStyle w:val="39"/>
          <w:rFonts w:ascii="Times New Roman" w:hAnsi="Times New Roman" w:cs="Times New Roman"/>
          <w:i w:val="0"/>
          <w:iCs w:val="0"/>
        </w:rPr>
        <w:t>1.1</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任务来源</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_Toc198292112 \h </w:instrText>
      </w:r>
      <w:r>
        <w:rPr>
          <w:rFonts w:ascii="Times New Roman" w:hAnsi="Times New Roman" w:cs="Times New Roman"/>
          <w:i w:val="0"/>
          <w:iCs w:val="0"/>
        </w:rPr>
        <w:fldChar w:fldCharType="separate"/>
      </w:r>
      <w:r>
        <w:rPr>
          <w:rFonts w:ascii="Times New Roman" w:hAnsi="Times New Roman" w:cs="Times New Roman"/>
          <w:i w:val="0"/>
          <w:iCs w:val="0"/>
        </w:rPr>
        <w:t>4</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7E779D5E">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"_Toc198292113" </w:instrText>
      </w:r>
      <w:r>
        <w:fldChar w:fldCharType="separate"/>
      </w:r>
      <w:r>
        <w:rPr>
          <w:rStyle w:val="39"/>
          <w:rFonts w:ascii="Times New Roman" w:hAnsi="Times New Roman" w:cs="Times New Roman"/>
          <w:i w:val="0"/>
          <w:iCs w:val="0"/>
        </w:rPr>
        <w:t>1.2</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制定标准的必要性和意义</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_Toc198292113 \h </w:instrText>
      </w:r>
      <w:r>
        <w:rPr>
          <w:rFonts w:ascii="Times New Roman" w:hAnsi="Times New Roman" w:cs="Times New Roman"/>
          <w:i w:val="0"/>
          <w:iCs w:val="0"/>
        </w:rPr>
        <w:fldChar w:fldCharType="separate"/>
      </w:r>
      <w:r>
        <w:rPr>
          <w:rFonts w:ascii="Times New Roman" w:hAnsi="Times New Roman" w:cs="Times New Roman"/>
          <w:i w:val="0"/>
          <w:iCs w:val="0"/>
        </w:rPr>
        <w:t>4</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78E9D3F6">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"_Toc198292118" </w:instrText>
      </w:r>
      <w:r>
        <w:fldChar w:fldCharType="separate"/>
      </w:r>
      <w:r>
        <w:rPr>
          <w:rStyle w:val="39"/>
          <w:rFonts w:ascii="Times New Roman" w:hAnsi="Times New Roman" w:cs="Times New Roman"/>
          <w:i w:val="0"/>
          <w:iCs w:val="0"/>
        </w:rPr>
        <w:t>1.3</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起草单位</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_Toc198292118 \h </w:instrText>
      </w:r>
      <w:r>
        <w:rPr>
          <w:rFonts w:ascii="Times New Roman" w:hAnsi="Times New Roman" w:cs="Times New Roman"/>
          <w:i w:val="0"/>
          <w:iCs w:val="0"/>
        </w:rPr>
        <w:fldChar w:fldCharType="separate"/>
      </w:r>
      <w:r>
        <w:rPr>
          <w:rFonts w:ascii="Times New Roman" w:hAnsi="Times New Roman" w:cs="Times New Roman"/>
          <w:i w:val="0"/>
          <w:iCs w:val="0"/>
        </w:rPr>
        <w:t>7</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5D9BCD4A">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"_Toc198292119" </w:instrText>
      </w:r>
      <w:r>
        <w:fldChar w:fldCharType="separate"/>
      </w:r>
      <w:r>
        <w:rPr>
          <w:rStyle w:val="39"/>
          <w:rFonts w:ascii="Times New Roman" w:hAnsi="Times New Roman" w:cs="Times New Roman"/>
          <w:i w:val="0"/>
          <w:iCs w:val="0"/>
        </w:rPr>
        <w:t>1.4</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主要工作过程</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_Toc198292119 \h </w:instrText>
      </w:r>
      <w:r>
        <w:rPr>
          <w:rFonts w:ascii="Times New Roman" w:hAnsi="Times New Roman" w:cs="Times New Roman"/>
          <w:i w:val="0"/>
          <w:iCs w:val="0"/>
        </w:rPr>
        <w:fldChar w:fldCharType="separate"/>
      </w:r>
      <w:r>
        <w:rPr>
          <w:rFonts w:ascii="Times New Roman" w:hAnsi="Times New Roman" w:cs="Times New Roman"/>
          <w:i w:val="0"/>
          <w:iCs w:val="0"/>
        </w:rPr>
        <w:t>7</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50572296">
      <w:pPr>
        <w:pStyle w:val="24"/>
        <w:tabs>
          <w:tab w:val="left" w:pos="960"/>
          <w:tab w:val="right" w:leader="dot" w:pos="8296"/>
        </w:tabs>
        <w:ind w:firstLine="402"/>
        <w:rPr>
          <w:rFonts w:ascii="Times New Roman" w:hAnsi="Times New Roman" w:cs="Times New Roman" w:eastAsiaTheme="minorEastAsia"/>
          <w:b w:val="0"/>
          <w:bCs w:val="0"/>
          <w:sz w:val="21"/>
          <w:szCs w:val="22"/>
        </w:rPr>
      </w:pPr>
      <w:r>
        <w:fldChar w:fldCharType="begin"/>
      </w:r>
      <w:r>
        <w:instrText xml:space="preserve"> HYPERLINK \l "_Toc198292120" </w:instrText>
      </w:r>
      <w:r>
        <w:fldChar w:fldCharType="separate"/>
      </w:r>
      <w:r>
        <w:rPr>
          <w:rStyle w:val="39"/>
          <w:rFonts w:ascii="Times New Roman" w:hAnsi="Times New Roman" w:cs="Times New Roman"/>
        </w:rPr>
        <w:t>2</w:t>
      </w:r>
      <w:r>
        <w:rPr>
          <w:rFonts w:ascii="Times New Roman" w:hAnsi="Times New Roman" w:cs="Times New Roman" w:eastAsiaTheme="minorEastAsia"/>
          <w:b w:val="0"/>
          <w:bCs w:val="0"/>
          <w:sz w:val="21"/>
          <w:szCs w:val="22"/>
        </w:rPr>
        <w:tab/>
      </w:r>
      <w:r>
        <w:rPr>
          <w:rStyle w:val="39"/>
          <w:rFonts w:ascii="Times New Roman" w:hAnsi="Times New Roman" w:cs="Times New Roman"/>
        </w:rPr>
        <w:t>标准编制原则和确定地方标准主要内容的</w:t>
      </w:r>
      <w:r>
        <w:rPr>
          <w:rStyle w:val="39"/>
          <w:rFonts w:hint="eastAsia" w:ascii="Times New Roman" w:hAnsi="Times New Roman" w:cs="Times New Roman"/>
        </w:rPr>
        <w:t>依据</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_Toc198292120 \h </w:instrText>
      </w:r>
      <w:r>
        <w:rPr>
          <w:rFonts w:ascii="Times New Roman" w:hAnsi="Times New Roman" w:cs="Times New Roman"/>
        </w:rPr>
        <w:fldChar w:fldCharType="separate"/>
      </w:r>
      <w:r>
        <w:rPr>
          <w:rFonts w:ascii="Times New Roman" w:hAnsi="Times New Roman" w:cs="Times New Roman"/>
        </w:rPr>
        <w:t>9</w:t>
      </w:r>
      <w:r>
        <w:rPr>
          <w:rFonts w:ascii="Times New Roman" w:hAnsi="Times New Roman" w:cs="Times New Roman"/>
        </w:rPr>
        <w:fldChar w:fldCharType="end"/>
      </w:r>
      <w:r>
        <w:rPr>
          <w:rFonts w:ascii="Times New Roman" w:hAnsi="Times New Roman" w:cs="Times New Roman"/>
        </w:rPr>
        <w:fldChar w:fldCharType="end"/>
      </w:r>
    </w:p>
    <w:p w14:paraId="17B04FFC">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"_Toc198292121" </w:instrText>
      </w:r>
      <w:r>
        <w:fldChar w:fldCharType="separate"/>
      </w:r>
      <w:r>
        <w:rPr>
          <w:rStyle w:val="39"/>
          <w:rFonts w:ascii="Times New Roman" w:hAnsi="Times New Roman" w:cs="Times New Roman"/>
          <w:i w:val="0"/>
          <w:iCs w:val="0"/>
        </w:rPr>
        <w:t>2.1</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标准编制原则</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_Toc198292121 \h </w:instrText>
      </w:r>
      <w:r>
        <w:rPr>
          <w:rFonts w:ascii="Times New Roman" w:hAnsi="Times New Roman" w:cs="Times New Roman"/>
          <w:i w:val="0"/>
          <w:iCs w:val="0"/>
        </w:rPr>
        <w:fldChar w:fldCharType="separate"/>
      </w:r>
      <w:r>
        <w:rPr>
          <w:rFonts w:ascii="Times New Roman" w:hAnsi="Times New Roman" w:cs="Times New Roman"/>
          <w:i w:val="0"/>
          <w:iCs w:val="0"/>
        </w:rPr>
        <w:t>9</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11C4BC8C">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"_Toc198292122" </w:instrText>
      </w:r>
      <w:r>
        <w:fldChar w:fldCharType="separate"/>
      </w:r>
      <w:r>
        <w:rPr>
          <w:rStyle w:val="39"/>
          <w:rFonts w:ascii="Times New Roman" w:hAnsi="Times New Roman" w:cs="Times New Roman"/>
          <w:i w:val="0"/>
          <w:iCs w:val="0"/>
        </w:rPr>
        <w:t>2.2</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确定地方标准主要内容的</w:t>
      </w:r>
      <w:r>
        <w:rPr>
          <w:rStyle w:val="39"/>
          <w:rFonts w:hint="eastAsia" w:ascii="Times New Roman" w:hAnsi="Times New Roman" w:cs="Times New Roman"/>
          <w:i w:val="0"/>
          <w:iCs w:val="0"/>
        </w:rPr>
        <w:t>依据</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_Toc198292122 \h </w:instrText>
      </w:r>
      <w:r>
        <w:rPr>
          <w:rFonts w:ascii="Times New Roman" w:hAnsi="Times New Roman" w:cs="Times New Roman"/>
          <w:i w:val="0"/>
          <w:iCs w:val="0"/>
        </w:rPr>
        <w:fldChar w:fldCharType="separate"/>
      </w:r>
      <w:r>
        <w:rPr>
          <w:rFonts w:ascii="Times New Roman" w:hAnsi="Times New Roman" w:cs="Times New Roman"/>
          <w:i w:val="0"/>
          <w:iCs w:val="0"/>
        </w:rPr>
        <w:t>10</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143A21C4">
      <w:pPr>
        <w:pStyle w:val="24"/>
        <w:tabs>
          <w:tab w:val="left" w:pos="960"/>
          <w:tab w:val="right" w:leader="dot" w:pos="8296"/>
        </w:tabs>
        <w:ind w:firstLine="402"/>
        <w:rPr>
          <w:rFonts w:ascii="Times New Roman" w:hAnsi="Times New Roman" w:cs="Times New Roman" w:eastAsiaTheme="minorEastAsia"/>
          <w:b w:val="0"/>
          <w:bCs w:val="0"/>
          <w:sz w:val="21"/>
          <w:szCs w:val="22"/>
        </w:rPr>
      </w:pPr>
      <w:r>
        <w:fldChar w:fldCharType="begin"/>
      </w:r>
      <w:r>
        <w:instrText xml:space="preserve"> HYPERLINK \l "_Toc198292126" </w:instrText>
      </w:r>
      <w:r>
        <w:fldChar w:fldCharType="separate"/>
      </w:r>
      <w:r>
        <w:rPr>
          <w:rStyle w:val="39"/>
          <w:rFonts w:ascii="Times New Roman" w:hAnsi="Times New Roman" w:cs="Times New Roman"/>
        </w:rPr>
        <w:t>3</w:t>
      </w:r>
      <w:r>
        <w:rPr>
          <w:rFonts w:ascii="Times New Roman" w:hAnsi="Times New Roman" w:cs="Times New Roman" w:eastAsiaTheme="minorEastAsia"/>
          <w:b w:val="0"/>
          <w:bCs w:val="0"/>
          <w:sz w:val="21"/>
          <w:szCs w:val="22"/>
        </w:rPr>
        <w:tab/>
      </w:r>
      <w:r>
        <w:rPr>
          <w:rStyle w:val="39"/>
          <w:rFonts w:ascii="Times New Roman" w:hAnsi="Times New Roman" w:cs="Times New Roman"/>
        </w:rPr>
        <w:t>标准主要内容及环境经济效益分析</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_Toc198292126 \h </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r>
        <w:rPr>
          <w:rFonts w:ascii="Times New Roman" w:hAnsi="Times New Roman" w:cs="Times New Roman"/>
        </w:rPr>
        <w:fldChar w:fldCharType="end"/>
      </w:r>
    </w:p>
    <w:p w14:paraId="11C7E9A8">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"_Toc198292127" </w:instrText>
      </w:r>
      <w:r>
        <w:fldChar w:fldCharType="separate"/>
      </w:r>
      <w:r>
        <w:rPr>
          <w:rStyle w:val="39"/>
          <w:rFonts w:ascii="Times New Roman" w:hAnsi="Times New Roman" w:cs="Times New Roman"/>
          <w:i w:val="0"/>
          <w:iCs w:val="0"/>
        </w:rPr>
        <w:t>3.1</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海菜加工业在我国的发展概况</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_Toc198292127 \h </w:instrText>
      </w:r>
      <w:r>
        <w:rPr>
          <w:rFonts w:ascii="Times New Roman" w:hAnsi="Times New Roman" w:cs="Times New Roman"/>
          <w:i w:val="0"/>
          <w:iCs w:val="0"/>
        </w:rPr>
        <w:fldChar w:fldCharType="separate"/>
      </w:r>
      <w:r>
        <w:rPr>
          <w:rFonts w:ascii="Times New Roman" w:hAnsi="Times New Roman" w:cs="Times New Roman"/>
          <w:i w:val="0"/>
          <w:iCs w:val="0"/>
        </w:rPr>
        <w:t>13</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5E2C4C5C">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"_Toc198292128" </w:instrText>
      </w:r>
      <w:r>
        <w:fldChar w:fldCharType="separate"/>
      </w:r>
      <w:r>
        <w:rPr>
          <w:rStyle w:val="39"/>
          <w:rFonts w:ascii="Times New Roman" w:hAnsi="Times New Roman" w:cs="Times New Roman"/>
          <w:i w:val="0"/>
          <w:iCs w:val="0"/>
        </w:rPr>
        <w:t>3.2</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海菜加工业在我省的发展概况</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_Toc198292128 \h </w:instrText>
      </w:r>
      <w:r>
        <w:rPr>
          <w:rFonts w:ascii="Times New Roman" w:hAnsi="Times New Roman" w:cs="Times New Roman"/>
          <w:i w:val="0"/>
          <w:iCs w:val="0"/>
        </w:rPr>
        <w:fldChar w:fldCharType="separate"/>
      </w:r>
      <w:r>
        <w:rPr>
          <w:rFonts w:ascii="Times New Roman" w:hAnsi="Times New Roman" w:cs="Times New Roman"/>
          <w:i w:val="0"/>
          <w:iCs w:val="0"/>
        </w:rPr>
        <w:t>13</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0A486E58">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"_Toc198292134" </w:instrText>
      </w:r>
      <w:r>
        <w:fldChar w:fldCharType="separate"/>
      </w:r>
      <w:r>
        <w:rPr>
          <w:rStyle w:val="39"/>
          <w:rFonts w:ascii="Times New Roman" w:hAnsi="Times New Roman" w:cs="Times New Roman"/>
          <w:i w:val="0"/>
          <w:iCs w:val="0"/>
        </w:rPr>
        <w:t>3.3</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行业产排污情况及污染处理现状分析</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_Toc198292134 \h </w:instrText>
      </w:r>
      <w:r>
        <w:rPr>
          <w:rFonts w:ascii="Times New Roman" w:hAnsi="Times New Roman" w:cs="Times New Roman"/>
          <w:i w:val="0"/>
          <w:iCs w:val="0"/>
        </w:rPr>
        <w:fldChar w:fldCharType="separate"/>
      </w:r>
      <w:r>
        <w:rPr>
          <w:rFonts w:ascii="Times New Roman" w:hAnsi="Times New Roman" w:cs="Times New Roman"/>
          <w:i w:val="0"/>
          <w:iCs w:val="0"/>
        </w:rPr>
        <w:t>16</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4F909761">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"_Toc198292139" </w:instrText>
      </w:r>
      <w:r>
        <w:fldChar w:fldCharType="separate"/>
      </w:r>
      <w:r>
        <w:rPr>
          <w:rStyle w:val="39"/>
          <w:rFonts w:ascii="Times New Roman" w:hAnsi="Times New Roman" w:cs="Times New Roman"/>
          <w:i w:val="0"/>
          <w:iCs w:val="0"/>
        </w:rPr>
        <w:t>3.4</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行业污染处理现状</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_Toc198292139 \h </w:instrText>
      </w:r>
      <w:r>
        <w:rPr>
          <w:rFonts w:ascii="Times New Roman" w:hAnsi="Times New Roman" w:cs="Times New Roman"/>
          <w:i w:val="0"/>
          <w:iCs w:val="0"/>
        </w:rPr>
        <w:fldChar w:fldCharType="separate"/>
      </w:r>
      <w:r>
        <w:rPr>
          <w:rFonts w:ascii="Times New Roman" w:hAnsi="Times New Roman" w:cs="Times New Roman"/>
          <w:i w:val="0"/>
          <w:iCs w:val="0"/>
        </w:rPr>
        <w:t>19</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1250C9BC">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"_Toc198292143" </w:instrText>
      </w:r>
      <w:r>
        <w:fldChar w:fldCharType="separate"/>
      </w:r>
      <w:r>
        <w:rPr>
          <w:rStyle w:val="39"/>
          <w:rFonts w:ascii="Times New Roman" w:hAnsi="Times New Roman" w:cs="Times New Roman"/>
          <w:i w:val="0"/>
          <w:iCs w:val="0"/>
        </w:rPr>
        <w:t>3.5</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标准主要内容</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_Toc198292143 \h </w:instrText>
      </w:r>
      <w:r>
        <w:rPr>
          <w:rFonts w:ascii="Times New Roman" w:hAnsi="Times New Roman" w:cs="Times New Roman"/>
          <w:i w:val="0"/>
          <w:iCs w:val="0"/>
        </w:rPr>
        <w:fldChar w:fldCharType="separate"/>
      </w:r>
      <w:r>
        <w:rPr>
          <w:rFonts w:ascii="Times New Roman" w:hAnsi="Times New Roman" w:cs="Times New Roman"/>
          <w:i w:val="0"/>
          <w:iCs w:val="0"/>
        </w:rPr>
        <w:t>20</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29690948">
      <w:pPr>
        <w:pStyle w:val="16"/>
        <w:tabs>
          <w:tab w:val="left" w:pos="1680"/>
          <w:tab w:val="right" w:leader="dot" w:pos="8296"/>
        </w:tabs>
        <w:ind w:firstLine="400"/>
        <w:rPr>
          <w:rFonts w:ascii="Times New Roman" w:hAnsi="Times New Roman" w:cs="Times New Roman" w:eastAsiaTheme="minorEastAsia"/>
          <w:sz w:val="21"/>
          <w:szCs w:val="22"/>
        </w:rPr>
      </w:pPr>
      <w:r>
        <w:fldChar w:fldCharType="begin"/>
      </w:r>
      <w:r>
        <w:instrText xml:space="preserve"> HYPERLINK \l "_Toc198292144" </w:instrText>
      </w:r>
      <w:r>
        <w:fldChar w:fldCharType="separate"/>
      </w:r>
      <w:r>
        <w:rPr>
          <w:rStyle w:val="39"/>
          <w:rFonts w:ascii="Times New Roman" w:hAnsi="Times New Roman" w:cs="Times New Roman"/>
        </w:rPr>
        <w:t>3.5.1</w:t>
      </w:r>
      <w:r>
        <w:rPr>
          <w:rFonts w:ascii="Times New Roman" w:hAnsi="Times New Roman" w:cs="Times New Roman" w:eastAsiaTheme="minorEastAsia"/>
          <w:sz w:val="21"/>
          <w:szCs w:val="22"/>
        </w:rPr>
        <w:tab/>
      </w:r>
      <w:r>
        <w:rPr>
          <w:rStyle w:val="39"/>
          <w:rFonts w:ascii="Times New Roman" w:hAnsi="Times New Roman" w:cs="Times New Roman"/>
        </w:rPr>
        <w:t>适用范围</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_Toc198292144 \h </w:instrText>
      </w:r>
      <w:r>
        <w:rPr>
          <w:rFonts w:ascii="Times New Roman" w:hAnsi="Times New Roman" w:cs="Times New Roman"/>
        </w:rPr>
        <w:fldChar w:fldCharType="separate"/>
      </w:r>
      <w:r>
        <w:rPr>
          <w:rFonts w:ascii="Times New Roman" w:hAnsi="Times New Roman" w:cs="Times New Roman"/>
        </w:rPr>
        <w:t>20</w:t>
      </w:r>
      <w:r>
        <w:rPr>
          <w:rFonts w:ascii="Times New Roman" w:hAnsi="Times New Roman" w:cs="Times New Roman"/>
        </w:rPr>
        <w:fldChar w:fldCharType="end"/>
      </w:r>
      <w:r>
        <w:rPr>
          <w:rFonts w:ascii="Times New Roman" w:hAnsi="Times New Roman" w:cs="Times New Roman"/>
        </w:rPr>
        <w:fldChar w:fldCharType="end"/>
      </w:r>
    </w:p>
    <w:p w14:paraId="0232CC79">
      <w:pPr>
        <w:pStyle w:val="16"/>
        <w:tabs>
          <w:tab w:val="left" w:pos="1680"/>
          <w:tab w:val="right" w:leader="dot" w:pos="8296"/>
        </w:tabs>
        <w:ind w:firstLine="400"/>
        <w:rPr>
          <w:rFonts w:ascii="Times New Roman" w:hAnsi="Times New Roman" w:cs="Times New Roman" w:eastAsiaTheme="minorEastAsia"/>
          <w:sz w:val="21"/>
          <w:szCs w:val="22"/>
        </w:rPr>
      </w:pPr>
      <w:r>
        <w:fldChar w:fldCharType="begin"/>
      </w:r>
      <w:r>
        <w:instrText xml:space="preserve"> HYPERLINK \l "_Toc198292145" </w:instrText>
      </w:r>
      <w:r>
        <w:fldChar w:fldCharType="separate"/>
      </w:r>
      <w:r>
        <w:rPr>
          <w:rStyle w:val="39"/>
          <w:rFonts w:ascii="Times New Roman" w:hAnsi="Times New Roman" w:cs="Times New Roman"/>
        </w:rPr>
        <w:t>3.5.2</w:t>
      </w:r>
      <w:r>
        <w:rPr>
          <w:rFonts w:ascii="Times New Roman" w:hAnsi="Times New Roman" w:cs="Times New Roman" w:eastAsiaTheme="minorEastAsia"/>
          <w:sz w:val="21"/>
          <w:szCs w:val="22"/>
        </w:rPr>
        <w:tab/>
      </w:r>
      <w:r>
        <w:rPr>
          <w:rStyle w:val="39"/>
          <w:rFonts w:ascii="Times New Roman" w:hAnsi="Times New Roman" w:cs="Times New Roman"/>
        </w:rPr>
        <w:t>标准框架体系</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_Toc198292145 \h </w:instrText>
      </w:r>
      <w:r>
        <w:rPr>
          <w:rFonts w:ascii="Times New Roman" w:hAnsi="Times New Roman" w:cs="Times New Roman"/>
        </w:rPr>
        <w:fldChar w:fldCharType="separate"/>
      </w:r>
      <w:r>
        <w:rPr>
          <w:rFonts w:ascii="Times New Roman" w:hAnsi="Times New Roman" w:cs="Times New Roman"/>
        </w:rPr>
        <w:t>20</w:t>
      </w:r>
      <w:r>
        <w:rPr>
          <w:rFonts w:ascii="Times New Roman" w:hAnsi="Times New Roman" w:cs="Times New Roman"/>
        </w:rPr>
        <w:fldChar w:fldCharType="end"/>
      </w:r>
      <w:r>
        <w:rPr>
          <w:rFonts w:ascii="Times New Roman" w:hAnsi="Times New Roman" w:cs="Times New Roman"/>
        </w:rPr>
        <w:fldChar w:fldCharType="end"/>
      </w:r>
    </w:p>
    <w:p w14:paraId="6712EF60">
      <w:pPr>
        <w:pStyle w:val="16"/>
        <w:tabs>
          <w:tab w:val="left" w:pos="1680"/>
          <w:tab w:val="right" w:leader="dot" w:pos="8296"/>
        </w:tabs>
        <w:ind w:firstLine="400"/>
        <w:rPr>
          <w:rFonts w:ascii="Times New Roman" w:hAnsi="Times New Roman" w:cs="Times New Roman" w:eastAsiaTheme="minorEastAsia"/>
          <w:sz w:val="21"/>
          <w:szCs w:val="22"/>
        </w:rPr>
      </w:pPr>
      <w:r>
        <w:fldChar w:fldCharType="begin"/>
      </w:r>
      <w:r>
        <w:instrText xml:space="preserve"> HYPERLINK \l "_Toc198292146" </w:instrText>
      </w:r>
      <w:r>
        <w:fldChar w:fldCharType="separate"/>
      </w:r>
      <w:r>
        <w:rPr>
          <w:rStyle w:val="39"/>
          <w:rFonts w:ascii="Times New Roman" w:hAnsi="Times New Roman" w:cs="Times New Roman"/>
        </w:rPr>
        <w:t>3.5.3</w:t>
      </w:r>
      <w:r>
        <w:rPr>
          <w:rFonts w:ascii="Times New Roman" w:hAnsi="Times New Roman" w:cs="Times New Roman" w:eastAsiaTheme="minorEastAsia"/>
          <w:sz w:val="21"/>
          <w:szCs w:val="22"/>
        </w:rPr>
        <w:tab/>
      </w:r>
      <w:r>
        <w:rPr>
          <w:rStyle w:val="39"/>
          <w:rFonts w:ascii="Times New Roman" w:hAnsi="Times New Roman" w:cs="Times New Roman"/>
        </w:rPr>
        <w:t>术语和定义</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_Toc198292146 \h </w:instrText>
      </w:r>
      <w:r>
        <w:rPr>
          <w:rFonts w:ascii="Times New Roman" w:hAnsi="Times New Roman" w:cs="Times New Roman"/>
        </w:rPr>
        <w:fldChar w:fldCharType="separate"/>
      </w:r>
      <w:r>
        <w:rPr>
          <w:rFonts w:ascii="Times New Roman" w:hAnsi="Times New Roman" w:cs="Times New Roman"/>
        </w:rPr>
        <w:t>21</w:t>
      </w:r>
      <w:r>
        <w:rPr>
          <w:rFonts w:ascii="Times New Roman" w:hAnsi="Times New Roman" w:cs="Times New Roman"/>
        </w:rPr>
        <w:fldChar w:fldCharType="end"/>
      </w:r>
      <w:r>
        <w:rPr>
          <w:rFonts w:ascii="Times New Roman" w:hAnsi="Times New Roman" w:cs="Times New Roman"/>
        </w:rPr>
        <w:fldChar w:fldCharType="end"/>
      </w:r>
    </w:p>
    <w:p w14:paraId="09178E78">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"_Toc198292147" </w:instrText>
      </w:r>
      <w:r>
        <w:fldChar w:fldCharType="separate"/>
      </w:r>
      <w:r>
        <w:rPr>
          <w:rStyle w:val="39"/>
          <w:rFonts w:ascii="Times New Roman" w:hAnsi="Times New Roman" w:cs="Times New Roman"/>
          <w:i w:val="0"/>
          <w:iCs w:val="0"/>
        </w:rPr>
        <w:t>3.6</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排放控制要求</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_Toc198292147 \h </w:instrText>
      </w:r>
      <w:r>
        <w:rPr>
          <w:rFonts w:ascii="Times New Roman" w:hAnsi="Times New Roman" w:cs="Times New Roman"/>
          <w:i w:val="0"/>
          <w:iCs w:val="0"/>
        </w:rPr>
        <w:fldChar w:fldCharType="separate"/>
      </w:r>
      <w:r>
        <w:rPr>
          <w:rFonts w:ascii="Times New Roman" w:hAnsi="Times New Roman" w:cs="Times New Roman"/>
          <w:i w:val="0"/>
          <w:iCs w:val="0"/>
        </w:rPr>
        <w:t>22</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3455E69E">
      <w:pPr>
        <w:pStyle w:val="16"/>
        <w:tabs>
          <w:tab w:val="left" w:pos="1680"/>
          <w:tab w:val="right" w:leader="dot" w:pos="8296"/>
        </w:tabs>
        <w:ind w:firstLine="400"/>
        <w:rPr>
          <w:rFonts w:ascii="Times New Roman" w:hAnsi="Times New Roman" w:cs="Times New Roman" w:eastAsiaTheme="minorEastAsia"/>
          <w:sz w:val="21"/>
          <w:szCs w:val="22"/>
        </w:rPr>
      </w:pPr>
      <w:r>
        <w:fldChar w:fldCharType="begin"/>
      </w:r>
      <w:r>
        <w:instrText xml:space="preserve"> HYPERLINK \l "_Toc198292148" </w:instrText>
      </w:r>
      <w:r>
        <w:fldChar w:fldCharType="separate"/>
      </w:r>
      <w:r>
        <w:rPr>
          <w:rStyle w:val="39"/>
          <w:rFonts w:ascii="Times New Roman" w:hAnsi="Times New Roman" w:cs="Times New Roman"/>
        </w:rPr>
        <w:t>3.6.1</w:t>
      </w:r>
      <w:r>
        <w:rPr>
          <w:rFonts w:ascii="Times New Roman" w:hAnsi="Times New Roman" w:cs="Times New Roman" w:eastAsiaTheme="minorEastAsia"/>
          <w:sz w:val="21"/>
          <w:szCs w:val="22"/>
        </w:rPr>
        <w:tab/>
      </w:r>
      <w:r>
        <w:rPr>
          <w:rStyle w:val="39"/>
          <w:rFonts w:ascii="Times New Roman" w:hAnsi="Times New Roman" w:cs="Times New Roman"/>
        </w:rPr>
        <w:t>控制指标的选择</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_Toc198292148 \h </w:instrText>
      </w:r>
      <w:r>
        <w:rPr>
          <w:rFonts w:ascii="Times New Roman" w:hAnsi="Times New Roman" w:cs="Times New Roman"/>
        </w:rPr>
        <w:fldChar w:fldCharType="separate"/>
      </w:r>
      <w:r>
        <w:rPr>
          <w:rFonts w:ascii="Times New Roman" w:hAnsi="Times New Roman" w:cs="Times New Roman"/>
        </w:rPr>
        <w:t>22</w:t>
      </w:r>
      <w:r>
        <w:rPr>
          <w:rFonts w:ascii="Times New Roman" w:hAnsi="Times New Roman" w:cs="Times New Roman"/>
        </w:rPr>
        <w:fldChar w:fldCharType="end"/>
      </w:r>
      <w:r>
        <w:rPr>
          <w:rFonts w:ascii="Times New Roman" w:hAnsi="Times New Roman" w:cs="Times New Roman"/>
        </w:rPr>
        <w:fldChar w:fldCharType="end"/>
      </w:r>
    </w:p>
    <w:p w14:paraId="7C31A200">
      <w:pPr>
        <w:pStyle w:val="16"/>
        <w:tabs>
          <w:tab w:val="left" w:pos="1680"/>
          <w:tab w:val="right" w:leader="dot" w:pos="8296"/>
        </w:tabs>
        <w:ind w:firstLine="400"/>
        <w:rPr>
          <w:rFonts w:ascii="Times New Roman" w:hAnsi="Times New Roman" w:cs="Times New Roman" w:eastAsiaTheme="minorEastAsia"/>
          <w:sz w:val="21"/>
          <w:szCs w:val="22"/>
        </w:rPr>
      </w:pPr>
      <w:r>
        <w:fldChar w:fldCharType="begin"/>
      </w:r>
      <w:r>
        <w:instrText xml:space="preserve"> HYPERLINK \l "_Toc198292149" </w:instrText>
      </w:r>
      <w:r>
        <w:fldChar w:fldCharType="separate"/>
      </w:r>
      <w:r>
        <w:rPr>
          <w:rStyle w:val="39"/>
          <w:rFonts w:ascii="Times New Roman" w:hAnsi="Times New Roman" w:cs="Times New Roman"/>
        </w:rPr>
        <w:t>3.6.2</w:t>
      </w:r>
      <w:r>
        <w:rPr>
          <w:rFonts w:ascii="Times New Roman" w:hAnsi="Times New Roman" w:cs="Times New Roman" w:eastAsiaTheme="minorEastAsia"/>
          <w:sz w:val="21"/>
          <w:szCs w:val="22"/>
        </w:rPr>
        <w:tab/>
      </w:r>
      <w:r>
        <w:rPr>
          <w:rStyle w:val="39"/>
          <w:rFonts w:ascii="Times New Roman" w:hAnsi="Times New Roman" w:cs="Times New Roman"/>
        </w:rPr>
        <w:t>控制指标排放限值的确定</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_Toc198292149 \h </w:instrText>
      </w:r>
      <w:r>
        <w:rPr>
          <w:rFonts w:ascii="Times New Roman" w:hAnsi="Times New Roman" w:cs="Times New Roman"/>
        </w:rPr>
        <w:fldChar w:fldCharType="separate"/>
      </w:r>
      <w:r>
        <w:rPr>
          <w:rFonts w:ascii="Times New Roman" w:hAnsi="Times New Roman" w:cs="Times New Roman"/>
        </w:rPr>
        <w:t>23</w:t>
      </w:r>
      <w:r>
        <w:rPr>
          <w:rFonts w:ascii="Times New Roman" w:hAnsi="Times New Roman" w:cs="Times New Roman"/>
        </w:rPr>
        <w:fldChar w:fldCharType="end"/>
      </w:r>
      <w:r>
        <w:rPr>
          <w:rFonts w:ascii="Times New Roman" w:hAnsi="Times New Roman" w:cs="Times New Roman"/>
        </w:rPr>
        <w:fldChar w:fldCharType="end"/>
      </w:r>
    </w:p>
    <w:p w14:paraId="4E298103">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"_Toc198292150" </w:instrText>
      </w:r>
      <w:r>
        <w:fldChar w:fldCharType="separate"/>
      </w:r>
      <w:r>
        <w:rPr>
          <w:rStyle w:val="39"/>
          <w:rFonts w:ascii="Times New Roman" w:hAnsi="Times New Roman" w:cs="Times New Roman"/>
          <w:i w:val="0"/>
          <w:iCs w:val="0"/>
        </w:rPr>
        <w:t>3.7</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监测要求</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_Toc198292150 \h </w:instrText>
      </w:r>
      <w:r>
        <w:rPr>
          <w:rFonts w:ascii="Times New Roman" w:hAnsi="Times New Roman" w:cs="Times New Roman"/>
          <w:i w:val="0"/>
          <w:iCs w:val="0"/>
        </w:rPr>
        <w:fldChar w:fldCharType="separate"/>
      </w:r>
      <w:r>
        <w:rPr>
          <w:rFonts w:ascii="Times New Roman" w:hAnsi="Times New Roman" w:cs="Times New Roman"/>
          <w:i w:val="0"/>
          <w:iCs w:val="0"/>
        </w:rPr>
        <w:t>34</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0521324C">
      <w:pPr>
        <w:pStyle w:val="16"/>
        <w:tabs>
          <w:tab w:val="left" w:pos="1680"/>
          <w:tab w:val="right" w:leader="dot" w:pos="8296"/>
        </w:tabs>
        <w:ind w:firstLine="400"/>
        <w:rPr>
          <w:rFonts w:ascii="Times New Roman" w:hAnsi="Times New Roman" w:cs="Times New Roman" w:eastAsiaTheme="minorEastAsia"/>
          <w:sz w:val="21"/>
          <w:szCs w:val="22"/>
        </w:rPr>
      </w:pPr>
      <w:r>
        <w:fldChar w:fldCharType="begin"/>
      </w:r>
      <w:r>
        <w:instrText xml:space="preserve"> HYPERLINK \l "_Toc198292151" </w:instrText>
      </w:r>
      <w:r>
        <w:fldChar w:fldCharType="separate"/>
      </w:r>
      <w:r>
        <w:rPr>
          <w:rStyle w:val="39"/>
          <w:rFonts w:ascii="Times New Roman" w:hAnsi="Times New Roman" w:cs="Times New Roman"/>
        </w:rPr>
        <w:t>3.7.1</w:t>
      </w:r>
      <w:r>
        <w:rPr>
          <w:rFonts w:ascii="Times New Roman" w:hAnsi="Times New Roman" w:cs="Times New Roman" w:eastAsiaTheme="minorEastAsia"/>
          <w:sz w:val="21"/>
          <w:szCs w:val="22"/>
        </w:rPr>
        <w:tab/>
      </w:r>
      <w:r>
        <w:rPr>
          <w:rStyle w:val="39"/>
          <w:rFonts w:ascii="Times New Roman" w:hAnsi="Times New Roman" w:cs="Times New Roman"/>
        </w:rPr>
        <w:t>采样与监测要求</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_Toc198292151 \h </w:instrText>
      </w:r>
      <w:r>
        <w:rPr>
          <w:rFonts w:ascii="Times New Roman" w:hAnsi="Times New Roman" w:cs="Times New Roman"/>
        </w:rPr>
        <w:fldChar w:fldCharType="separate"/>
      </w:r>
      <w:r>
        <w:rPr>
          <w:rFonts w:ascii="Times New Roman" w:hAnsi="Times New Roman" w:cs="Times New Roman"/>
        </w:rPr>
        <w:t>34</w:t>
      </w:r>
      <w:r>
        <w:rPr>
          <w:rFonts w:ascii="Times New Roman" w:hAnsi="Times New Roman" w:cs="Times New Roman"/>
        </w:rPr>
        <w:fldChar w:fldCharType="end"/>
      </w:r>
      <w:r>
        <w:rPr>
          <w:rFonts w:ascii="Times New Roman" w:hAnsi="Times New Roman" w:cs="Times New Roman"/>
        </w:rPr>
        <w:fldChar w:fldCharType="end"/>
      </w:r>
    </w:p>
    <w:p w14:paraId="361225FB">
      <w:pPr>
        <w:pStyle w:val="16"/>
        <w:tabs>
          <w:tab w:val="left" w:pos="1680"/>
          <w:tab w:val="right" w:leader="dot" w:pos="8296"/>
        </w:tabs>
        <w:ind w:firstLine="400"/>
        <w:rPr>
          <w:rFonts w:ascii="Times New Roman" w:hAnsi="Times New Roman" w:cs="Times New Roman" w:eastAsiaTheme="minorEastAsia"/>
          <w:sz w:val="21"/>
          <w:szCs w:val="22"/>
        </w:rPr>
      </w:pPr>
      <w:r>
        <w:fldChar w:fldCharType="begin"/>
      </w:r>
      <w:r>
        <w:instrText xml:space="preserve"> HYPERLINK \l "_Toc198292152" </w:instrText>
      </w:r>
      <w:r>
        <w:fldChar w:fldCharType="separate"/>
      </w:r>
      <w:r>
        <w:rPr>
          <w:rStyle w:val="39"/>
          <w:rFonts w:ascii="Times New Roman" w:hAnsi="Times New Roman" w:cs="Times New Roman"/>
        </w:rPr>
        <w:t>3.7.2</w:t>
      </w:r>
      <w:r>
        <w:rPr>
          <w:rFonts w:ascii="Times New Roman" w:hAnsi="Times New Roman" w:cs="Times New Roman" w:eastAsiaTheme="minorEastAsia"/>
          <w:sz w:val="21"/>
          <w:szCs w:val="22"/>
        </w:rPr>
        <w:tab/>
      </w:r>
      <w:r>
        <w:rPr>
          <w:rStyle w:val="39"/>
          <w:rFonts w:ascii="Times New Roman" w:hAnsi="Times New Roman" w:cs="Times New Roman"/>
        </w:rPr>
        <w:t>控制指标分析方法</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_Toc198292152 \h </w:instrText>
      </w:r>
      <w:r>
        <w:rPr>
          <w:rFonts w:ascii="Times New Roman" w:hAnsi="Times New Roman" w:cs="Times New Roman"/>
        </w:rPr>
        <w:fldChar w:fldCharType="separate"/>
      </w:r>
      <w:r>
        <w:rPr>
          <w:rFonts w:ascii="Times New Roman" w:hAnsi="Times New Roman" w:cs="Times New Roman"/>
        </w:rPr>
        <w:t>34</w:t>
      </w:r>
      <w:r>
        <w:rPr>
          <w:rFonts w:ascii="Times New Roman" w:hAnsi="Times New Roman" w:cs="Times New Roman"/>
        </w:rPr>
        <w:fldChar w:fldCharType="end"/>
      </w:r>
      <w:r>
        <w:rPr>
          <w:rFonts w:ascii="Times New Roman" w:hAnsi="Times New Roman" w:cs="Times New Roman"/>
        </w:rPr>
        <w:fldChar w:fldCharType="end"/>
      </w:r>
    </w:p>
    <w:p w14:paraId="57B20746">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"_Toc198292153" </w:instrText>
      </w:r>
      <w:r>
        <w:fldChar w:fldCharType="separate"/>
      </w:r>
      <w:r>
        <w:rPr>
          <w:rStyle w:val="39"/>
          <w:rFonts w:ascii="Times New Roman" w:hAnsi="Times New Roman" w:cs="Times New Roman"/>
          <w:i w:val="0"/>
          <w:iCs w:val="0"/>
        </w:rPr>
        <w:t>3.8</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结果判定</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_Toc198292153 \h </w:instrText>
      </w:r>
      <w:r>
        <w:rPr>
          <w:rFonts w:ascii="Times New Roman" w:hAnsi="Times New Roman" w:cs="Times New Roman"/>
          <w:i w:val="0"/>
          <w:iCs w:val="0"/>
        </w:rPr>
        <w:fldChar w:fldCharType="separate"/>
      </w:r>
      <w:r>
        <w:rPr>
          <w:rFonts w:ascii="Times New Roman" w:hAnsi="Times New Roman" w:cs="Times New Roman"/>
          <w:i w:val="0"/>
          <w:iCs w:val="0"/>
        </w:rPr>
        <w:t>35</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444C5588">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"_Toc198292154" </w:instrText>
      </w:r>
      <w:r>
        <w:fldChar w:fldCharType="separate"/>
      </w:r>
      <w:r>
        <w:rPr>
          <w:rStyle w:val="39"/>
          <w:rFonts w:ascii="Times New Roman" w:hAnsi="Times New Roman" w:cs="Times New Roman"/>
          <w:i w:val="0"/>
          <w:iCs w:val="0"/>
        </w:rPr>
        <w:t>3.9</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实施与监督</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_Toc198292154 \h </w:instrText>
      </w:r>
      <w:r>
        <w:rPr>
          <w:rFonts w:ascii="Times New Roman" w:hAnsi="Times New Roman" w:cs="Times New Roman"/>
          <w:i w:val="0"/>
          <w:iCs w:val="0"/>
        </w:rPr>
        <w:fldChar w:fldCharType="separate"/>
      </w:r>
      <w:r>
        <w:rPr>
          <w:rFonts w:ascii="Times New Roman" w:hAnsi="Times New Roman" w:cs="Times New Roman"/>
          <w:i w:val="0"/>
          <w:iCs w:val="0"/>
        </w:rPr>
        <w:t>35</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0AD28545">
      <w:pPr>
        <w:pStyle w:val="28"/>
        <w:tabs>
          <w:tab w:val="left" w:pos="144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"_Toc198292155" </w:instrText>
      </w:r>
      <w:r>
        <w:fldChar w:fldCharType="separate"/>
      </w:r>
      <w:r>
        <w:rPr>
          <w:rStyle w:val="39"/>
          <w:rFonts w:ascii="Times New Roman" w:hAnsi="Times New Roman" w:cs="Times New Roman"/>
          <w:i w:val="0"/>
          <w:iCs w:val="0"/>
          <w:lang w:val="ca-ES"/>
        </w:rPr>
        <w:t>3.10</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环境经济效益及技术经济可行性分析</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_Toc198292155 \h </w:instrText>
      </w:r>
      <w:r>
        <w:rPr>
          <w:rFonts w:ascii="Times New Roman" w:hAnsi="Times New Roman" w:cs="Times New Roman"/>
          <w:i w:val="0"/>
          <w:iCs w:val="0"/>
        </w:rPr>
        <w:fldChar w:fldCharType="separate"/>
      </w:r>
      <w:r>
        <w:rPr>
          <w:rFonts w:ascii="Times New Roman" w:hAnsi="Times New Roman" w:cs="Times New Roman"/>
          <w:i w:val="0"/>
          <w:iCs w:val="0"/>
        </w:rPr>
        <w:t>35</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6171C787">
      <w:pPr>
        <w:pStyle w:val="16"/>
        <w:tabs>
          <w:tab w:val="left" w:pos="1680"/>
          <w:tab w:val="right" w:leader="dot" w:pos="8296"/>
        </w:tabs>
        <w:ind w:firstLine="400"/>
        <w:rPr>
          <w:rFonts w:ascii="Times New Roman" w:hAnsi="Times New Roman" w:cs="Times New Roman" w:eastAsiaTheme="minorEastAsia"/>
          <w:sz w:val="21"/>
          <w:szCs w:val="22"/>
        </w:rPr>
      </w:pPr>
      <w:r>
        <w:fldChar w:fldCharType="begin"/>
      </w:r>
      <w:r>
        <w:instrText xml:space="preserve"> HYPERLINK \l "_Toc198292156" </w:instrText>
      </w:r>
      <w:r>
        <w:fldChar w:fldCharType="separate"/>
      </w:r>
      <w:r>
        <w:rPr>
          <w:rStyle w:val="39"/>
          <w:rFonts w:ascii="Times New Roman" w:hAnsi="Times New Roman" w:cs="Times New Roman"/>
        </w:rPr>
        <w:t>3.10.1</w:t>
      </w:r>
      <w:r>
        <w:rPr>
          <w:rFonts w:ascii="Times New Roman" w:hAnsi="Times New Roman" w:cs="Times New Roman" w:eastAsiaTheme="minorEastAsia"/>
          <w:sz w:val="21"/>
          <w:szCs w:val="22"/>
        </w:rPr>
        <w:tab/>
      </w:r>
      <w:r>
        <w:rPr>
          <w:rStyle w:val="39"/>
          <w:rFonts w:ascii="Times New Roman" w:hAnsi="Times New Roman" w:cs="Times New Roman"/>
        </w:rPr>
        <w:t>环境效益分析</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_Toc198292156 \h </w:instrText>
      </w:r>
      <w:r>
        <w:rPr>
          <w:rFonts w:ascii="Times New Roman" w:hAnsi="Times New Roman" w:cs="Times New Roman"/>
        </w:rPr>
        <w:fldChar w:fldCharType="separate"/>
      </w:r>
      <w:r>
        <w:rPr>
          <w:rFonts w:ascii="Times New Roman" w:hAnsi="Times New Roman" w:cs="Times New Roman"/>
        </w:rPr>
        <w:t>35</w:t>
      </w:r>
      <w:r>
        <w:rPr>
          <w:rFonts w:ascii="Times New Roman" w:hAnsi="Times New Roman" w:cs="Times New Roman"/>
        </w:rPr>
        <w:fldChar w:fldCharType="end"/>
      </w:r>
      <w:r>
        <w:rPr>
          <w:rFonts w:ascii="Times New Roman" w:hAnsi="Times New Roman" w:cs="Times New Roman"/>
        </w:rPr>
        <w:fldChar w:fldCharType="end"/>
      </w:r>
    </w:p>
    <w:p w14:paraId="72A4117B">
      <w:pPr>
        <w:pStyle w:val="16"/>
        <w:tabs>
          <w:tab w:val="left" w:pos="1680"/>
          <w:tab w:val="right" w:leader="dot" w:pos="8296"/>
        </w:tabs>
        <w:ind w:firstLine="400"/>
        <w:rPr>
          <w:rFonts w:ascii="Times New Roman" w:hAnsi="Times New Roman" w:cs="Times New Roman" w:eastAsiaTheme="minorEastAsia"/>
          <w:sz w:val="21"/>
          <w:szCs w:val="22"/>
        </w:rPr>
      </w:pPr>
      <w:r>
        <w:fldChar w:fldCharType="begin"/>
      </w:r>
      <w:r>
        <w:instrText xml:space="preserve"> HYPERLINK \l "_Toc198292157" </w:instrText>
      </w:r>
      <w:r>
        <w:fldChar w:fldCharType="separate"/>
      </w:r>
      <w:r>
        <w:rPr>
          <w:rStyle w:val="39"/>
          <w:rFonts w:ascii="Times New Roman" w:hAnsi="Times New Roman" w:cs="Times New Roman"/>
        </w:rPr>
        <w:t>3.10.2</w:t>
      </w:r>
      <w:r>
        <w:rPr>
          <w:rFonts w:ascii="Times New Roman" w:hAnsi="Times New Roman" w:cs="Times New Roman" w:eastAsiaTheme="minorEastAsia"/>
          <w:sz w:val="21"/>
          <w:szCs w:val="22"/>
        </w:rPr>
        <w:tab/>
      </w:r>
      <w:r>
        <w:rPr>
          <w:rStyle w:val="39"/>
          <w:rFonts w:ascii="Times New Roman" w:hAnsi="Times New Roman" w:cs="Times New Roman"/>
        </w:rPr>
        <w:t>技术可行性分析</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_Toc198292157 \h </w:instrText>
      </w:r>
      <w:r>
        <w:rPr>
          <w:rFonts w:ascii="Times New Roman" w:hAnsi="Times New Roman" w:cs="Times New Roman"/>
        </w:rPr>
        <w:fldChar w:fldCharType="separate"/>
      </w:r>
      <w:r>
        <w:rPr>
          <w:rFonts w:ascii="Times New Roman" w:hAnsi="Times New Roman" w:cs="Times New Roman"/>
        </w:rPr>
        <w:t>36</w:t>
      </w:r>
      <w:r>
        <w:rPr>
          <w:rFonts w:ascii="Times New Roman" w:hAnsi="Times New Roman" w:cs="Times New Roman"/>
        </w:rPr>
        <w:fldChar w:fldCharType="end"/>
      </w:r>
      <w:r>
        <w:rPr>
          <w:rFonts w:ascii="Times New Roman" w:hAnsi="Times New Roman" w:cs="Times New Roman"/>
        </w:rPr>
        <w:fldChar w:fldCharType="end"/>
      </w:r>
    </w:p>
    <w:p w14:paraId="0A1F1473">
      <w:pPr>
        <w:pStyle w:val="16"/>
        <w:tabs>
          <w:tab w:val="left" w:pos="1680"/>
          <w:tab w:val="right" w:leader="dot" w:pos="8296"/>
        </w:tabs>
        <w:ind w:firstLine="400"/>
        <w:rPr>
          <w:rFonts w:ascii="Times New Roman" w:hAnsi="Times New Roman" w:cs="Times New Roman" w:eastAsiaTheme="minorEastAsia"/>
          <w:sz w:val="21"/>
          <w:szCs w:val="22"/>
        </w:rPr>
      </w:pPr>
      <w:r>
        <w:fldChar w:fldCharType="begin"/>
      </w:r>
      <w:r>
        <w:instrText xml:space="preserve"> HYPERLINK \l "_Toc198292158" </w:instrText>
      </w:r>
      <w:r>
        <w:fldChar w:fldCharType="separate"/>
      </w:r>
      <w:r>
        <w:rPr>
          <w:rStyle w:val="39"/>
          <w:rFonts w:ascii="Times New Roman" w:hAnsi="Times New Roman" w:cs="Times New Roman"/>
        </w:rPr>
        <w:t>3.10.3</w:t>
      </w:r>
      <w:r>
        <w:rPr>
          <w:rFonts w:ascii="Times New Roman" w:hAnsi="Times New Roman" w:cs="Times New Roman" w:eastAsiaTheme="minorEastAsia"/>
          <w:sz w:val="21"/>
          <w:szCs w:val="22"/>
        </w:rPr>
        <w:tab/>
      </w:r>
      <w:r>
        <w:rPr>
          <w:rStyle w:val="39"/>
          <w:rFonts w:ascii="Times New Roman" w:hAnsi="Times New Roman" w:cs="Times New Roman"/>
        </w:rPr>
        <w:t>经济可行性分析</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_Toc198292158 \h </w:instrText>
      </w:r>
      <w:r>
        <w:rPr>
          <w:rFonts w:ascii="Times New Roman" w:hAnsi="Times New Roman" w:cs="Times New Roman"/>
        </w:rPr>
        <w:fldChar w:fldCharType="separate"/>
      </w:r>
      <w:r>
        <w:rPr>
          <w:rFonts w:ascii="Times New Roman" w:hAnsi="Times New Roman" w:cs="Times New Roman"/>
        </w:rPr>
        <w:t>42</w:t>
      </w:r>
      <w:r>
        <w:rPr>
          <w:rFonts w:ascii="Times New Roman" w:hAnsi="Times New Roman" w:cs="Times New Roman"/>
        </w:rPr>
        <w:fldChar w:fldCharType="end"/>
      </w:r>
      <w:r>
        <w:rPr>
          <w:rFonts w:ascii="Times New Roman" w:hAnsi="Times New Roman" w:cs="Times New Roman"/>
        </w:rPr>
        <w:fldChar w:fldCharType="end"/>
      </w:r>
    </w:p>
    <w:p w14:paraId="2E333DEE">
      <w:pPr>
        <w:pStyle w:val="24"/>
        <w:tabs>
          <w:tab w:val="left" w:pos="960"/>
          <w:tab w:val="right" w:leader="dot" w:pos="8296"/>
        </w:tabs>
        <w:ind w:firstLine="402"/>
        <w:rPr>
          <w:rFonts w:ascii="Times New Roman" w:hAnsi="Times New Roman" w:cs="Times New Roman" w:eastAsiaTheme="minorEastAsia"/>
          <w:b w:val="0"/>
          <w:bCs w:val="0"/>
          <w:sz w:val="21"/>
          <w:szCs w:val="22"/>
        </w:rPr>
      </w:pPr>
      <w:r>
        <w:fldChar w:fldCharType="begin"/>
      </w:r>
      <w:r>
        <w:instrText xml:space="preserve"> HYPERLINK \l "_Toc198292159" </w:instrText>
      </w:r>
      <w:r>
        <w:fldChar w:fldCharType="separate"/>
      </w:r>
      <w:r>
        <w:rPr>
          <w:rStyle w:val="39"/>
          <w:rFonts w:ascii="Times New Roman" w:hAnsi="Times New Roman" w:cs="Times New Roman"/>
        </w:rPr>
        <w:t>4</w:t>
      </w:r>
      <w:r>
        <w:rPr>
          <w:rFonts w:ascii="Times New Roman" w:hAnsi="Times New Roman" w:cs="Times New Roman" w:eastAsiaTheme="minorEastAsia"/>
          <w:b w:val="0"/>
          <w:bCs w:val="0"/>
          <w:sz w:val="21"/>
          <w:szCs w:val="22"/>
        </w:rPr>
        <w:tab/>
      </w:r>
      <w:r>
        <w:rPr>
          <w:rStyle w:val="39"/>
          <w:rFonts w:ascii="Times New Roman" w:hAnsi="Times New Roman" w:cs="Times New Roman"/>
        </w:rPr>
        <w:t>与现行相关法律、行政法规和其他标准的关系</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_Toc198292159 \h </w:instrText>
      </w:r>
      <w:r>
        <w:rPr>
          <w:rFonts w:ascii="Times New Roman" w:hAnsi="Times New Roman" w:cs="Times New Roman"/>
        </w:rPr>
        <w:fldChar w:fldCharType="separate"/>
      </w:r>
      <w:r>
        <w:rPr>
          <w:rFonts w:ascii="Times New Roman" w:hAnsi="Times New Roman" w:cs="Times New Roman"/>
        </w:rPr>
        <w:t>43</w:t>
      </w:r>
      <w:r>
        <w:rPr>
          <w:rFonts w:ascii="Times New Roman" w:hAnsi="Times New Roman" w:cs="Times New Roman"/>
        </w:rPr>
        <w:fldChar w:fldCharType="end"/>
      </w:r>
      <w:r>
        <w:rPr>
          <w:rFonts w:ascii="Times New Roman" w:hAnsi="Times New Roman" w:cs="Times New Roman"/>
        </w:rPr>
        <w:fldChar w:fldCharType="end"/>
      </w:r>
    </w:p>
    <w:p w14:paraId="43A150BA">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"_Toc198292160" </w:instrText>
      </w:r>
      <w:r>
        <w:fldChar w:fldCharType="separate"/>
      </w:r>
      <w:r>
        <w:rPr>
          <w:rStyle w:val="39"/>
          <w:rFonts w:ascii="Times New Roman" w:hAnsi="Times New Roman" w:cs="Times New Roman"/>
          <w:i w:val="0"/>
          <w:iCs w:val="0"/>
        </w:rPr>
        <w:t>4.1</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与现行相关法律、行政法规的关系</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_Toc198292160 \h </w:instrText>
      </w:r>
      <w:r>
        <w:rPr>
          <w:rFonts w:ascii="Times New Roman" w:hAnsi="Times New Roman" w:cs="Times New Roman"/>
          <w:i w:val="0"/>
          <w:iCs w:val="0"/>
        </w:rPr>
        <w:fldChar w:fldCharType="separate"/>
      </w:r>
      <w:r>
        <w:rPr>
          <w:rFonts w:ascii="Times New Roman" w:hAnsi="Times New Roman" w:cs="Times New Roman"/>
          <w:i w:val="0"/>
          <w:iCs w:val="0"/>
        </w:rPr>
        <w:t>43</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66F2778A">
      <w:pPr>
        <w:pStyle w:val="28"/>
        <w:tabs>
          <w:tab w:val="left" w:pos="1200"/>
          <w:tab w:val="right" w:leader="dot" w:pos="8296"/>
        </w:tabs>
        <w:ind w:firstLine="400"/>
        <w:rPr>
          <w:rFonts w:ascii="Times New Roman" w:hAnsi="Times New Roman" w:cs="Times New Roman" w:eastAsiaTheme="minorEastAsia"/>
          <w:i w:val="0"/>
          <w:iCs w:val="0"/>
          <w:sz w:val="21"/>
          <w:szCs w:val="22"/>
        </w:rPr>
      </w:pPr>
      <w:r>
        <w:fldChar w:fldCharType="begin"/>
      </w:r>
      <w:r>
        <w:instrText xml:space="preserve"> HYPERLINK \l "_Toc198292161" </w:instrText>
      </w:r>
      <w:r>
        <w:fldChar w:fldCharType="separate"/>
      </w:r>
      <w:r>
        <w:rPr>
          <w:rStyle w:val="39"/>
          <w:rFonts w:ascii="Times New Roman" w:hAnsi="Times New Roman" w:cs="Times New Roman"/>
          <w:i w:val="0"/>
          <w:iCs w:val="0"/>
        </w:rPr>
        <w:t>4.2</w:t>
      </w:r>
      <w:r>
        <w:rPr>
          <w:rFonts w:ascii="Times New Roman" w:hAnsi="Times New Roman" w:cs="Times New Roman" w:eastAsiaTheme="minorEastAsia"/>
          <w:i w:val="0"/>
          <w:iCs w:val="0"/>
          <w:sz w:val="21"/>
          <w:szCs w:val="22"/>
        </w:rPr>
        <w:tab/>
      </w:r>
      <w:r>
        <w:rPr>
          <w:rStyle w:val="39"/>
          <w:rFonts w:ascii="Times New Roman" w:hAnsi="Times New Roman" w:cs="Times New Roman"/>
          <w:i w:val="0"/>
          <w:iCs w:val="0"/>
        </w:rPr>
        <w:t>与其他标准的比较</w:t>
      </w:r>
      <w:r>
        <w:rPr>
          <w:rFonts w:ascii="Times New Roman" w:hAnsi="Times New Roman" w:cs="Times New Roman"/>
          <w:i w:val="0"/>
          <w:iCs w:val="0"/>
        </w:rPr>
        <w:tab/>
      </w:r>
      <w:r>
        <w:rPr>
          <w:rFonts w:ascii="Times New Roman" w:hAnsi="Times New Roman" w:cs="Times New Roman"/>
          <w:i w:val="0"/>
          <w:iCs w:val="0"/>
        </w:rPr>
        <w:fldChar w:fldCharType="begin"/>
      </w:r>
      <w:r>
        <w:rPr>
          <w:rFonts w:ascii="Times New Roman" w:hAnsi="Times New Roman" w:cs="Times New Roman"/>
          <w:i w:val="0"/>
          <w:iCs w:val="0"/>
        </w:rPr>
        <w:instrText xml:space="preserve"> PAGEREF _Toc198292161 \h </w:instrText>
      </w:r>
      <w:r>
        <w:rPr>
          <w:rFonts w:ascii="Times New Roman" w:hAnsi="Times New Roman" w:cs="Times New Roman"/>
          <w:i w:val="0"/>
          <w:iCs w:val="0"/>
        </w:rPr>
        <w:fldChar w:fldCharType="separate"/>
      </w:r>
      <w:r>
        <w:rPr>
          <w:rFonts w:ascii="Times New Roman" w:hAnsi="Times New Roman" w:cs="Times New Roman"/>
          <w:i w:val="0"/>
          <w:iCs w:val="0"/>
        </w:rPr>
        <w:t>43</w:t>
      </w:r>
      <w:r>
        <w:rPr>
          <w:rFonts w:ascii="Times New Roman" w:hAnsi="Times New Roman" w:cs="Times New Roman"/>
          <w:i w:val="0"/>
          <w:iCs w:val="0"/>
        </w:rPr>
        <w:fldChar w:fldCharType="end"/>
      </w:r>
      <w:r>
        <w:rPr>
          <w:rFonts w:ascii="Times New Roman" w:hAnsi="Times New Roman" w:cs="Times New Roman"/>
          <w:i w:val="0"/>
          <w:iCs w:val="0"/>
        </w:rPr>
        <w:fldChar w:fldCharType="end"/>
      </w:r>
    </w:p>
    <w:p w14:paraId="1DD9E901">
      <w:pPr>
        <w:pStyle w:val="24"/>
        <w:tabs>
          <w:tab w:val="left" w:pos="960"/>
          <w:tab w:val="right" w:leader="dot" w:pos="8296"/>
        </w:tabs>
        <w:ind w:firstLine="402"/>
        <w:rPr>
          <w:rFonts w:ascii="Times New Roman" w:hAnsi="Times New Roman" w:cs="Times New Roman" w:eastAsiaTheme="minorEastAsia"/>
          <w:b w:val="0"/>
          <w:bCs w:val="0"/>
          <w:sz w:val="21"/>
          <w:szCs w:val="22"/>
        </w:rPr>
      </w:pPr>
      <w:r>
        <w:fldChar w:fldCharType="begin"/>
      </w:r>
      <w:r>
        <w:instrText xml:space="preserve"> HYPERLINK \l "_Toc198292162" </w:instrText>
      </w:r>
      <w:r>
        <w:fldChar w:fldCharType="separate"/>
      </w:r>
      <w:r>
        <w:rPr>
          <w:rStyle w:val="39"/>
          <w:rFonts w:ascii="Times New Roman" w:hAnsi="Times New Roman" w:cs="Times New Roman"/>
        </w:rPr>
        <w:t>5</w:t>
      </w:r>
      <w:r>
        <w:rPr>
          <w:rFonts w:ascii="Times New Roman" w:hAnsi="Times New Roman" w:cs="Times New Roman" w:eastAsiaTheme="minorEastAsia"/>
          <w:b w:val="0"/>
          <w:bCs w:val="0"/>
          <w:sz w:val="21"/>
          <w:szCs w:val="22"/>
        </w:rPr>
        <w:tab/>
      </w:r>
      <w:r>
        <w:rPr>
          <w:rStyle w:val="39"/>
          <w:rFonts w:ascii="Times New Roman" w:hAnsi="Times New Roman" w:cs="Times New Roman"/>
        </w:rPr>
        <w:t>推动标准实施的措施建议</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_Toc198292162 \h </w:instrText>
      </w:r>
      <w:r>
        <w:rPr>
          <w:rFonts w:ascii="Times New Roman" w:hAnsi="Times New Roman" w:cs="Times New Roman"/>
        </w:rPr>
        <w:fldChar w:fldCharType="separate"/>
      </w:r>
      <w:r>
        <w:rPr>
          <w:rFonts w:ascii="Times New Roman" w:hAnsi="Times New Roman" w:cs="Times New Roman"/>
        </w:rPr>
        <w:t>45</w:t>
      </w:r>
      <w:r>
        <w:rPr>
          <w:rFonts w:ascii="Times New Roman" w:hAnsi="Times New Roman" w:cs="Times New Roman"/>
        </w:rPr>
        <w:fldChar w:fldCharType="end"/>
      </w:r>
      <w:r>
        <w:rPr>
          <w:rFonts w:ascii="Times New Roman" w:hAnsi="Times New Roman" w:cs="Times New Roman"/>
        </w:rPr>
        <w:fldChar w:fldCharType="end"/>
      </w:r>
    </w:p>
    <w:p w14:paraId="7DC160CF">
      <w:pPr>
        <w:pStyle w:val="24"/>
        <w:tabs>
          <w:tab w:val="left" w:pos="960"/>
          <w:tab w:val="right" w:leader="dot" w:pos="8296"/>
        </w:tabs>
        <w:ind w:firstLine="402"/>
        <w:rPr>
          <w:rFonts w:ascii="Times New Roman" w:hAnsi="Times New Roman" w:cs="Times New Roman" w:eastAsiaTheme="minorEastAsia"/>
          <w:b w:val="0"/>
          <w:bCs w:val="0"/>
          <w:sz w:val="21"/>
          <w:szCs w:val="22"/>
        </w:rPr>
      </w:pPr>
      <w:r>
        <w:fldChar w:fldCharType="begin"/>
      </w:r>
      <w:r>
        <w:instrText xml:space="preserve"> HYPERLINK \l "_Toc198292163" </w:instrText>
      </w:r>
      <w:r>
        <w:fldChar w:fldCharType="separate"/>
      </w:r>
      <w:r>
        <w:rPr>
          <w:rStyle w:val="39"/>
          <w:rFonts w:ascii="Times New Roman" w:hAnsi="Times New Roman" w:cs="Times New Roman"/>
        </w:rPr>
        <w:t>6</w:t>
      </w:r>
      <w:r>
        <w:rPr>
          <w:rFonts w:ascii="Times New Roman" w:hAnsi="Times New Roman" w:cs="Times New Roman" w:eastAsiaTheme="minorEastAsia"/>
          <w:b w:val="0"/>
          <w:bCs w:val="0"/>
          <w:sz w:val="21"/>
          <w:szCs w:val="22"/>
        </w:rPr>
        <w:tab/>
      </w:r>
      <w:r>
        <w:rPr>
          <w:rStyle w:val="39"/>
          <w:rFonts w:ascii="Times New Roman" w:hAnsi="Times New Roman" w:cs="Times New Roman"/>
        </w:rPr>
        <w:t>法律法规依据</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_Toc198292163 \h </w:instrText>
      </w:r>
      <w:r>
        <w:rPr>
          <w:rFonts w:ascii="Times New Roman" w:hAnsi="Times New Roman" w:cs="Times New Roman"/>
        </w:rPr>
        <w:fldChar w:fldCharType="separate"/>
      </w:r>
      <w:r>
        <w:rPr>
          <w:rFonts w:ascii="Times New Roman" w:hAnsi="Times New Roman" w:cs="Times New Roman"/>
        </w:rPr>
        <w:t>46</w:t>
      </w:r>
      <w:r>
        <w:rPr>
          <w:rFonts w:ascii="Times New Roman" w:hAnsi="Times New Roman" w:cs="Times New Roman"/>
        </w:rPr>
        <w:fldChar w:fldCharType="end"/>
      </w:r>
      <w:r>
        <w:rPr>
          <w:rFonts w:ascii="Times New Roman" w:hAnsi="Times New Roman" w:cs="Times New Roman"/>
        </w:rPr>
        <w:fldChar w:fldCharType="end"/>
      </w:r>
    </w:p>
    <w:p w14:paraId="76897A11">
      <w:pPr>
        <w:ind w:firstLine="480"/>
        <w:rPr>
          <w:rFonts w:cs="Times New Roman"/>
        </w:rPr>
      </w:pPr>
      <w:r>
        <w:rPr>
          <w:rFonts w:cs="Times New Roman"/>
        </w:rPr>
        <w:fldChar w:fldCharType="end"/>
      </w:r>
    </w:p>
    <w:p w14:paraId="64CFCC13">
      <w:pPr>
        <w:adjustRightInd w:val="0"/>
        <w:snapToGrid w:val="0"/>
        <w:ind w:firstLine="643"/>
        <w:jc w:val="center"/>
        <w:rPr>
          <w:rFonts w:eastAsia="仿宋_GB2312" w:cs="Times New Roman"/>
          <w:b/>
          <w:sz w:val="32"/>
          <w:szCs w:val="32"/>
        </w:rPr>
        <w:sectPr>
          <w:pgSz w:w="11906" w:h="16838"/>
          <w:pgMar w:top="1440" w:right="1800" w:bottom="1440" w:left="1800" w:header="851" w:footer="992" w:gutter="0"/>
          <w:pgNumType w:fmt="numberInDash" w:start="1"/>
          <w:cols w:space="425" w:num="1"/>
          <w:docGrid w:type="lines" w:linePitch="312" w:charSpace="0"/>
        </w:sectPr>
      </w:pPr>
    </w:p>
    <w:p w14:paraId="0F58671C">
      <w:pPr>
        <w:pStyle w:val="2"/>
        <w:rPr>
          <w:rFonts w:cs="Times New Roman"/>
        </w:rPr>
      </w:pPr>
      <w:bookmarkStart w:id="7" w:name="_Toc198292111"/>
      <w:bookmarkStart w:id="8" w:name="_Toc196224386"/>
      <w:bookmarkStart w:id="9" w:name="_Toc196224137"/>
      <w:bookmarkStart w:id="10" w:name="_Toc89857022"/>
      <w:bookmarkStart w:id="11" w:name="_Hlk85118067"/>
      <w:r>
        <w:rPr>
          <w:rFonts w:cs="Times New Roman"/>
        </w:rPr>
        <w:t>工作简介</w:t>
      </w:r>
      <w:bookmarkEnd w:id="7"/>
      <w:bookmarkEnd w:id="8"/>
      <w:bookmarkEnd w:id="9"/>
    </w:p>
    <w:p w14:paraId="12EBB1EC">
      <w:pPr>
        <w:pStyle w:val="3"/>
        <w:numPr>
          <w:ilvl w:val="1"/>
          <w:numId w:val="2"/>
        </w:numPr>
        <w:rPr>
          <w:rFonts w:ascii="Times New Roman" w:hAnsi="Times New Roman" w:cs="Times New Roman"/>
        </w:rPr>
      </w:pPr>
      <w:bookmarkStart w:id="12" w:name="_Toc196224387"/>
      <w:bookmarkStart w:id="13" w:name="_Toc89857013"/>
      <w:bookmarkStart w:id="14" w:name="_Toc198292112"/>
      <w:bookmarkStart w:id="15" w:name="_Toc196224138"/>
      <w:r>
        <w:rPr>
          <w:rFonts w:ascii="Times New Roman" w:hAnsi="Times New Roman" w:cs="Times New Roman"/>
        </w:rPr>
        <w:t>任务来源</w:t>
      </w:r>
      <w:bookmarkEnd w:id="12"/>
      <w:bookmarkEnd w:id="13"/>
      <w:bookmarkEnd w:id="14"/>
      <w:bookmarkEnd w:id="15"/>
    </w:p>
    <w:p w14:paraId="6971EFD8">
      <w:pPr>
        <w:pStyle w:val="80"/>
        <w:ind w:firstLine="480"/>
      </w:pPr>
      <w:r>
        <w:t>水产品加工业是农副食品加工业的重要组成部分，《国家环境保护标准“十三五”发展规划》中提到，国家应狠抓工业污染防治，围绕十大重点行业，制修订农副食品加工等行业的水污染物排放标准。</w:t>
      </w:r>
      <w:r>
        <w:rPr>
          <w:szCs w:val="24"/>
        </w:rPr>
        <w:t>辽宁省水产资源丰富，</w:t>
      </w:r>
      <w:r>
        <w:t>2022年</w:t>
      </w:r>
      <w:r>
        <w:rPr>
          <w:szCs w:val="24"/>
        </w:rPr>
        <w:t>裙带菜养殖量</w:t>
      </w:r>
      <w:r>
        <w:t>15.3</w:t>
      </w:r>
      <w:r>
        <w:rPr>
          <w:szCs w:val="24"/>
        </w:rPr>
        <w:t>万吨，占全国养殖总量的</w:t>
      </w:r>
      <w:r>
        <w:t>74.4</w:t>
      </w:r>
      <w:r>
        <w:rPr>
          <w:szCs w:val="24"/>
        </w:rPr>
        <w:t>%；海带养殖量</w:t>
      </w:r>
      <w:r>
        <w:t>31.3</w:t>
      </w:r>
      <w:r>
        <w:rPr>
          <w:szCs w:val="24"/>
        </w:rPr>
        <w:t>万吨，占全国养殖总量的</w:t>
      </w:r>
      <w:r>
        <w:t>21.9</w:t>
      </w:r>
      <w:r>
        <w:rPr>
          <w:szCs w:val="24"/>
        </w:rPr>
        <w:t>%。此外，辽宁省水产品加工基础良好，冷链储运能力完善，是全国重要的水产品加工基地之一。</w:t>
      </w:r>
      <w:r>
        <w:t>近些年来，随着辽宁省海菜深海养殖量逐年平稳增加，海菜行业加工量也随之增加。海菜加工行业污水具有区别于普通工业废水的特殊性，现行的综合污水排放标准对于海菜加工业废水的不适合性越发凸显。</w:t>
      </w:r>
    </w:p>
    <w:p w14:paraId="7C1ADC7E">
      <w:pPr>
        <w:pStyle w:val="80"/>
        <w:ind w:firstLine="480"/>
      </w:pPr>
      <w:r>
        <w:t>为加强辽宁水污染治理，进一步提高近岸海域海水环境质量，促进海菜加工行业蓬勃发展，需要进行辽宁省《海水水产品加工废水排放标准—海菜行业》的制定。</w:t>
      </w:r>
    </w:p>
    <w:p w14:paraId="30D32C6F">
      <w:pPr>
        <w:pStyle w:val="3"/>
        <w:numPr>
          <w:ilvl w:val="1"/>
          <w:numId w:val="2"/>
        </w:numPr>
        <w:rPr>
          <w:rFonts w:ascii="Times New Roman" w:hAnsi="Times New Roman" w:cs="Times New Roman"/>
        </w:rPr>
      </w:pPr>
      <w:bookmarkStart w:id="16" w:name="_Toc196224139"/>
      <w:bookmarkStart w:id="17" w:name="_Toc196224388"/>
      <w:bookmarkStart w:id="18" w:name="_Toc198292113"/>
      <w:r>
        <w:rPr>
          <w:rFonts w:ascii="Times New Roman" w:hAnsi="Times New Roman" w:cs="Times New Roman"/>
        </w:rPr>
        <w:t>制定标准的必要性和意义</w:t>
      </w:r>
      <w:bookmarkEnd w:id="16"/>
      <w:bookmarkEnd w:id="17"/>
      <w:bookmarkEnd w:id="18"/>
    </w:p>
    <w:p w14:paraId="15EFE11C">
      <w:pPr>
        <w:pStyle w:val="4"/>
        <w:numPr>
          <w:ilvl w:val="2"/>
          <w:numId w:val="2"/>
        </w:numPr>
        <w:ind w:left="0" w:firstLine="0"/>
        <w:rPr>
          <w:rFonts w:ascii="Times New Roman" w:cs="Times New Roman"/>
        </w:rPr>
      </w:pPr>
      <w:bookmarkStart w:id="19" w:name="_Toc3716"/>
      <w:bookmarkStart w:id="20" w:name="_Toc23478"/>
      <w:bookmarkStart w:id="21" w:name="_Toc198292114"/>
      <w:bookmarkStart w:id="22" w:name="_Toc196224140"/>
      <w:bookmarkStart w:id="23" w:name="_Toc198291892"/>
      <w:bookmarkStart w:id="24" w:name="_Toc1745814914"/>
      <w:bookmarkStart w:id="25" w:name="_Toc196224389"/>
      <w:bookmarkStart w:id="26" w:name="_Toc89857014"/>
      <w:r>
        <w:rPr>
          <w:rFonts w:ascii="Times New Roman" w:cs="Times New Roman"/>
        </w:rPr>
        <w:t>国家</w:t>
      </w:r>
      <w:bookmarkEnd w:id="19"/>
      <w:bookmarkEnd w:id="20"/>
      <w:r>
        <w:rPr>
          <w:rFonts w:ascii="Times New Roman" w:cs="Times New Roman"/>
        </w:rPr>
        <w:t>政策的一致性要求</w:t>
      </w:r>
      <w:bookmarkEnd w:id="21"/>
      <w:bookmarkEnd w:id="22"/>
      <w:bookmarkEnd w:id="23"/>
      <w:bookmarkEnd w:id="24"/>
      <w:bookmarkEnd w:id="25"/>
    </w:p>
    <w:p w14:paraId="1F601688">
      <w:pPr>
        <w:ind w:firstLine="480"/>
        <w:rPr>
          <w:rFonts w:cs="Times New Roman"/>
        </w:rPr>
      </w:pPr>
      <w:r>
        <w:rPr>
          <w:rFonts w:cs="Times New Roman"/>
        </w:rPr>
        <w:t>《国家环境保护标准“十三五”发展规划》指出要以环境质量标准和污染物排放标准为重点，全面加快推进各类环保标准制修订工作，加大在研标准项目推进力度，发布一批、整合一批、转化一批、终止一批。同时，严把项目立项关，控制标准计划规模适宜，体系精干有效。以改善环境质量为核心，配套排污许可制的建立与完善，围绕《水污染防治规划》的实施，推动关键标准制修订，加强相关标准衔接配套，发挥协同作用，支撑环境管理。</w:t>
      </w:r>
    </w:p>
    <w:p w14:paraId="36058879">
      <w:pPr>
        <w:pStyle w:val="8"/>
        <w:ind w:left="0" w:leftChars="0" w:firstLine="480"/>
        <w:rPr>
          <w:rFonts w:cs="Times New Roman"/>
        </w:rPr>
      </w:pPr>
      <w:r>
        <w:rPr>
          <w:rFonts w:cs="Times New Roman"/>
        </w:rPr>
        <w:t>《国家环境保护标准“十四五”规划》中强调要推动绿色发展，促进人与自然和谐共生。深入实施可持续发展战略，完善生态文明领域统筹协调机制，构建生态文明体系，促进经济社会发展全面绿色转型，建设人与自然和谐共生的现代化。强化绿色发展的法律和政策保障，发展绿色金融，支持绿色技术创新，推进清洁生产，发展环保产业，推进重点行业和重要领域绿色化改造。完善环境保护、节能减排约束性指标管理。</w:t>
      </w:r>
    </w:p>
    <w:p w14:paraId="2DE79201">
      <w:pPr>
        <w:pStyle w:val="4"/>
        <w:numPr>
          <w:ilvl w:val="2"/>
          <w:numId w:val="2"/>
        </w:numPr>
        <w:ind w:left="0" w:firstLine="0"/>
        <w:rPr>
          <w:rFonts w:ascii="Times New Roman" w:cs="Times New Roman"/>
        </w:rPr>
      </w:pPr>
      <w:bookmarkStart w:id="27" w:name="_Toc32559"/>
      <w:bookmarkStart w:id="28" w:name="_Toc24554"/>
      <w:bookmarkStart w:id="29" w:name="_Toc198292115"/>
      <w:bookmarkStart w:id="30" w:name="_Toc1935971894"/>
      <w:bookmarkStart w:id="31" w:name="_Toc196224141"/>
      <w:bookmarkStart w:id="32" w:name="_Toc196224390"/>
      <w:bookmarkStart w:id="33" w:name="_Toc198291893"/>
      <w:r>
        <w:rPr>
          <w:rFonts w:ascii="Times New Roman" w:cs="Times New Roman"/>
        </w:rPr>
        <w:t>国家相关产业政策</w:t>
      </w:r>
      <w:bookmarkEnd w:id="27"/>
      <w:bookmarkEnd w:id="28"/>
      <w:r>
        <w:rPr>
          <w:rFonts w:ascii="Times New Roman" w:cs="Times New Roman"/>
        </w:rPr>
        <w:t>及环保要求</w:t>
      </w:r>
      <w:bookmarkEnd w:id="29"/>
      <w:bookmarkEnd w:id="30"/>
      <w:bookmarkEnd w:id="31"/>
      <w:bookmarkEnd w:id="32"/>
      <w:bookmarkEnd w:id="33"/>
    </w:p>
    <w:p w14:paraId="18321F26">
      <w:pPr>
        <w:pStyle w:val="80"/>
        <w:ind w:firstLine="480"/>
      </w:pPr>
      <w:r>
        <w:t>2013年，国务院以国发〔2013〕87号发布《国务院办公厅关于促进海洋持续健康发展的若干意见》。意见要求各级政府进一步改进渔业服务，大力发展海洋渔业产业化经营，科学发展海水养殖。并大力发展海水产品加工和流通，积极发展海水产品精深加工，全面提升水产品加工工艺，充分利用国内外“两种资源、两个市场”，保持水产品国际贸易稳定协调发展。</w:t>
      </w:r>
    </w:p>
    <w:p w14:paraId="6F07C42F">
      <w:pPr>
        <w:pStyle w:val="80"/>
        <w:ind w:firstLine="480"/>
      </w:pPr>
      <w:r>
        <w:t>2015年为加强水污染防治，推进水环境质量改善，我国发布实施《水污染防治规划》（简称《水十条》）。在其第一条“全面控制污染物排放”的“狠抓工业污染防治”中，将农副食品加工业作为十大重点行业进行专项整治，即“专项整治十大重点行业。制定造纸、焦化、氮肥、有色金属、印染、农副食品加工、原料药制造、制革、农药、电镀等行业专项治理方案，实施清洁化改造。”</w:t>
      </w:r>
    </w:p>
    <w:p w14:paraId="0AA45259">
      <w:pPr>
        <w:pStyle w:val="80"/>
        <w:ind w:firstLine="480"/>
      </w:pPr>
      <w:r>
        <w:t>2017年中国农业部首次将“着力推进‘渔业走出去’”写入《全国渔业渔政工作要点》，标志着加强渔业国际合作成为中国渔业发展的重要方针。“十三五”期间，集约高效、绿色循环是食品工业发展的重要基本原则之一，推进清洁生产和节能减排，促进食品制造绿色化，提高能源利用效率，实现食品工业与生态环境和谐发展。</w:t>
      </w:r>
    </w:p>
    <w:p w14:paraId="2F7BCAA6">
      <w:pPr>
        <w:pStyle w:val="80"/>
        <w:ind w:firstLine="480"/>
      </w:pPr>
      <w:r>
        <w:t>2017年，国家发展改革委、工业和信息化部印发的《关于促进食品工业健康发展的指导意见》（发改产业〔2017〕19号）中指出食品工业在实施制造强国战略和推进健康中国建设中具有重要地位。</w:t>
      </w:r>
    </w:p>
    <w:p w14:paraId="140F1E6A">
      <w:pPr>
        <w:pStyle w:val="80"/>
        <w:ind w:firstLine="480"/>
      </w:pPr>
      <w:r>
        <w:t>2018年《中共中央国务院关于全面加强生态环境保护坚决打好污染防治攻坚战的意见》在意见的“五、推动形成绿色发展方式和生活方式”中提出：在能源、冶金、建材、有色、化工、电镀、造纸、印染、农副食品加工等行业，全面推进清洁生产改造或清洁化改造。</w:t>
      </w:r>
    </w:p>
    <w:p w14:paraId="161A19D2">
      <w:pPr>
        <w:pStyle w:val="80"/>
        <w:ind w:firstLine="480"/>
      </w:pPr>
      <w:r>
        <w:t>2018年，为进一步加强固定污染源氮磷污染防治工作，生态环境部发布实施《关于加强固定污染源氮磷污染防治的通知》（环水体〔2018〕16 号）。其中第二条“全面推进固定污染源氮磷达标排放”中要求提高农副食品加工、食品制造等行业水循环利用率，强化末端脱氮除磷处理。</w:t>
      </w:r>
    </w:p>
    <w:p w14:paraId="50782262">
      <w:pPr>
        <w:pStyle w:val="4"/>
        <w:numPr>
          <w:ilvl w:val="2"/>
          <w:numId w:val="2"/>
        </w:numPr>
        <w:ind w:left="0" w:firstLine="0"/>
        <w:rPr>
          <w:rFonts w:ascii="Times New Roman" w:cs="Times New Roman"/>
        </w:rPr>
      </w:pPr>
      <w:bookmarkStart w:id="34" w:name="_Toc198292116"/>
      <w:bookmarkStart w:id="35" w:name="_Toc196224391"/>
      <w:bookmarkStart w:id="36" w:name="_Toc196224142"/>
      <w:bookmarkStart w:id="37" w:name="_Toc198291894"/>
      <w:bookmarkStart w:id="38" w:name="_Toc18168"/>
      <w:bookmarkStart w:id="39" w:name="_Toc22149"/>
      <w:bookmarkStart w:id="40" w:name="_Toc1890115917"/>
      <w:r>
        <w:rPr>
          <w:rFonts w:ascii="Times New Roman" w:cs="Times New Roman"/>
        </w:rPr>
        <w:t>标准制定的目的与意义</w:t>
      </w:r>
      <w:bookmarkEnd w:id="34"/>
      <w:bookmarkEnd w:id="35"/>
      <w:bookmarkEnd w:id="36"/>
      <w:bookmarkEnd w:id="37"/>
      <w:bookmarkEnd w:id="38"/>
      <w:bookmarkEnd w:id="39"/>
      <w:bookmarkEnd w:id="40"/>
    </w:p>
    <w:p w14:paraId="6FDDF244">
      <w:pPr>
        <w:pStyle w:val="80"/>
        <w:ind w:firstLine="480"/>
      </w:pPr>
      <w:r>
        <w:t>辽宁省作为水产品养殖加工大省，近些年来水产品加工业发展具有良好的增长态势，同时辽宁省沿海城市居多，水产品加工企业多集中于沿海城市及其周边，而水产加工用水多采用海水，产生的废水也以处理后就近排放入海为主。对于辽宁省的海菜加工行业来说，其行业污水具有区别于普通工业废水和生活污水的特殊性，因此海菜类产品加工废水排放标准的科学性及合理性，直接关系到行业的发展和近岸海域环境保护的实效。但现行的综合污水排放标准对于海菜加工业废水有一定局限性，为此制定《辽宁省海水水产品加工废水排放标准-海菜行业》能够更好地反映海菜加工业废水的特点，对海菜行业废水的排放实施更精准化的管理，促进水产品加工业的持续健康发展。</w:t>
      </w:r>
    </w:p>
    <w:p w14:paraId="360D8BF6">
      <w:pPr>
        <w:pStyle w:val="4"/>
        <w:numPr>
          <w:ilvl w:val="2"/>
          <w:numId w:val="2"/>
        </w:numPr>
        <w:ind w:left="0" w:firstLine="0"/>
        <w:rPr>
          <w:rFonts w:ascii="Times New Roman" w:cs="Times New Roman"/>
        </w:rPr>
      </w:pPr>
      <w:bookmarkStart w:id="41" w:name="_Toc13821"/>
      <w:bookmarkStart w:id="42" w:name="_Toc4467"/>
      <w:bookmarkStart w:id="43" w:name="_Toc198291895"/>
      <w:bookmarkStart w:id="44" w:name="_Toc602484016"/>
      <w:bookmarkStart w:id="45" w:name="_Toc196224392"/>
      <w:bookmarkStart w:id="46" w:name="_Toc198292117"/>
      <w:bookmarkStart w:id="47" w:name="_Toc196224143"/>
      <w:r>
        <w:rPr>
          <w:rFonts w:ascii="Times New Roman" w:cs="Times New Roman"/>
        </w:rPr>
        <w:t>现行环保标准</w:t>
      </w:r>
      <w:bookmarkEnd w:id="41"/>
      <w:bookmarkEnd w:id="42"/>
      <w:r>
        <w:rPr>
          <w:rFonts w:ascii="Times New Roman" w:cs="Times New Roman"/>
        </w:rPr>
        <w:t>不适合海菜行业</w:t>
      </w:r>
      <w:bookmarkEnd w:id="43"/>
      <w:bookmarkEnd w:id="44"/>
      <w:bookmarkEnd w:id="45"/>
      <w:bookmarkEnd w:id="46"/>
      <w:bookmarkEnd w:id="47"/>
    </w:p>
    <w:p w14:paraId="1BB73471">
      <w:pPr>
        <w:pStyle w:val="80"/>
        <w:ind w:firstLine="480"/>
      </w:pPr>
      <w:r>
        <w:t>环境保护标准是我国环境保护管理体系中十分重要的组成部分，在强化环境管理、控制污染排放、改善环境质量等方面发挥了重要的作用。但随着辽宁省经济的持续发展和市场经济体制的不断完善，就辽宁省海菜加工业来说，目前国家和辽宁省尚未实施相应的行业型污染物排放标准，其水污染物排放执行《辽宁省污水综合排放标准》（DB21/1627-2008）。执行该综合标准主要存在以下问题：</w:t>
      </w:r>
    </w:p>
    <w:p w14:paraId="7DA2B996">
      <w:pPr>
        <w:pStyle w:val="80"/>
        <w:ind w:firstLine="480"/>
      </w:pPr>
      <w:r>
        <w:t>（1）海菜行业加工废水对海水环境的影响相对较小，现行标准控制过严</w:t>
      </w:r>
    </w:p>
    <w:p w14:paraId="164D35C3">
      <w:pPr>
        <w:pStyle w:val="80"/>
        <w:ind w:firstLine="480"/>
        <w:rPr>
          <w:rFonts w:eastAsiaTheme="minorEastAsia"/>
        </w:rPr>
      </w:pPr>
      <w:r>
        <w:t>海菜加工行业用水是直接取用的海水，海水中由N、P等元素组成的某些盐类是海洋植物生长必需的无机盐。海菜加工废水中含有丰富的N、P等元素，其排放到海水中能给海洋浮游植物提供必要的营养供给，而污水综合排放标准对N和P的排放控制过严，不适合于海菜产品加工废水。</w:t>
      </w:r>
    </w:p>
    <w:p w14:paraId="584D114C">
      <w:pPr>
        <w:pStyle w:val="80"/>
        <w:ind w:firstLine="480"/>
      </w:pPr>
      <w:r>
        <w:t>（2）综合排放标准的排放限值不符合海菜产品加工业污染物特点</w:t>
      </w:r>
    </w:p>
    <w:p w14:paraId="1504A9C6">
      <w:pPr>
        <w:pStyle w:val="80"/>
        <w:ind w:firstLine="480"/>
      </w:pPr>
      <w:r>
        <w:t>海菜类产品加工过程中所取用水均为海水，且整个加工流程中并未添加其他试剂或药品等，加工过程中产生的废水不像工业废水那样含有腐蚀性、毒害性强的特点，对海水不会产生很大的环境负荷；同样，海菜行业加工废水也不像生活污水那样，容易造成疾病的传播、病虫害等。其废水排放和处理工艺明显不同于以淡水为主的其他行业，综合排放标准更适合于淡水加工企业，一定程度上限制了海菜加工行业的发展。</w:t>
      </w:r>
    </w:p>
    <w:p w14:paraId="49A27CFC">
      <w:pPr>
        <w:pStyle w:val="80"/>
        <w:ind w:firstLine="480"/>
      </w:pPr>
      <w:r>
        <w:t>（3）综合排放标准不适合海菜行业</w:t>
      </w:r>
    </w:p>
    <w:p w14:paraId="189C17F6">
      <w:pPr>
        <w:pStyle w:val="80"/>
        <w:ind w:firstLine="480"/>
      </w:pPr>
      <w:r>
        <w:t>海菜行业加工全过程均采用海水进行加工，目前没有最佳的可适用技术来处理此类废水，若执行现行的污水排放标准，会导致监管力度过大，给企业造成严重的经济负荷。</w:t>
      </w:r>
    </w:p>
    <w:p w14:paraId="5F231BCB">
      <w:pPr>
        <w:pStyle w:val="80"/>
        <w:ind w:firstLine="480"/>
      </w:pPr>
      <w:r>
        <w:t>因此，现行的污水排放标准对于海菜行业的加工废水是不适用的。为促进海菜加工业的技术升级，增强企业的核心竞争力，制订《辽宁省海水水产品加工废水排放标准-海菜行业》，便于有效控制企业和个体户的污染物排放行为，达到经济和环境双赢的目的。</w:t>
      </w:r>
    </w:p>
    <w:p w14:paraId="34010B8A">
      <w:pPr>
        <w:pStyle w:val="3"/>
        <w:numPr>
          <w:ilvl w:val="1"/>
          <w:numId w:val="2"/>
        </w:numPr>
        <w:rPr>
          <w:rFonts w:ascii="Times New Roman" w:hAnsi="Times New Roman" w:cs="Times New Roman"/>
        </w:rPr>
      </w:pPr>
      <w:bookmarkStart w:id="48" w:name="_Toc198292118"/>
      <w:bookmarkStart w:id="49" w:name="_Toc196224144"/>
      <w:bookmarkStart w:id="50" w:name="_Toc196224393"/>
      <w:r>
        <w:rPr>
          <w:rFonts w:ascii="Times New Roman" w:hAnsi="Times New Roman" w:cs="Times New Roman"/>
        </w:rPr>
        <w:t>起草单位</w:t>
      </w:r>
      <w:bookmarkEnd w:id="48"/>
      <w:bookmarkEnd w:id="49"/>
      <w:bookmarkEnd w:id="50"/>
    </w:p>
    <w:p w14:paraId="4474748D">
      <w:pPr>
        <w:pStyle w:val="80"/>
        <w:ind w:firstLine="480"/>
      </w:pPr>
      <w:r>
        <w:t>辽宁省地方标准《海水水产品加工废水排放标准—海菜行业》制定项目的承担单位：大连理工大学、大连市生态环境事务服务中</w:t>
      </w:r>
      <w:bookmarkStart w:id="51" w:name="OLE_LINK2"/>
      <w:bookmarkStart w:id="52" w:name="OLE_LINK1"/>
      <w:r>
        <w:t>心</w:t>
      </w:r>
      <w:bookmarkEnd w:id="51"/>
      <w:bookmarkEnd w:id="52"/>
      <w:r>
        <w:t>。</w:t>
      </w:r>
    </w:p>
    <w:p w14:paraId="2FEE6495">
      <w:pPr>
        <w:pStyle w:val="3"/>
        <w:numPr>
          <w:ilvl w:val="1"/>
          <w:numId w:val="2"/>
        </w:numPr>
        <w:rPr>
          <w:rFonts w:ascii="Times New Roman" w:hAnsi="Times New Roman" w:cs="Times New Roman"/>
        </w:rPr>
      </w:pPr>
      <w:bookmarkStart w:id="53" w:name="_Toc196224395"/>
      <w:bookmarkStart w:id="54" w:name="_Toc198292119"/>
      <w:bookmarkStart w:id="55" w:name="_Toc196224146"/>
      <w:r>
        <w:rPr>
          <w:rFonts w:ascii="Times New Roman" w:hAnsi="Times New Roman" w:cs="Times New Roman"/>
        </w:rPr>
        <w:t>主要工作过程</w:t>
      </w:r>
      <w:bookmarkEnd w:id="26"/>
      <w:bookmarkEnd w:id="53"/>
      <w:bookmarkEnd w:id="54"/>
      <w:bookmarkEnd w:id="55"/>
    </w:p>
    <w:p w14:paraId="59E407BC">
      <w:pPr>
        <w:pStyle w:val="80"/>
        <w:ind w:firstLine="480"/>
      </w:pPr>
      <w:bookmarkStart w:id="56" w:name="_Toc89857015"/>
      <w:r>
        <w:t>（1）资料收集和企业调研</w:t>
      </w:r>
    </w:p>
    <w:p w14:paraId="1F650BBB">
      <w:pPr>
        <w:pStyle w:val="80"/>
        <w:ind w:firstLine="480"/>
      </w:pPr>
      <w:r>
        <w:t>一方面，收集海菜加工企业环评报告书、清洁生产审核等基础资料，了解海菜加工企业生产工艺流程、污水排放特征、现有生产废水处理工艺及效果等；另一方面，查阅辽宁省相关年鉴、历年环境状况公报资料，收集国内外相关标准和规范，以及有关海菜加工业污染控制的学术文献等，了解海菜加工废水的处理现状和受纳海域水质现状。</w:t>
      </w:r>
    </w:p>
    <w:p w14:paraId="1D97768C">
      <w:pPr>
        <w:pStyle w:val="80"/>
        <w:ind w:firstLine="480"/>
      </w:pPr>
      <w:r>
        <w:t>选择有代表性的加工企业，调研企业生产工艺流程、排污现状，以掌握主要生产废水的水量、水质及处理现状，为海菜加工废水排放标准的编制提供基础数据。</w:t>
      </w:r>
    </w:p>
    <w:p w14:paraId="55F4D85C">
      <w:pPr>
        <w:pStyle w:val="80"/>
        <w:ind w:firstLine="480"/>
      </w:pPr>
      <w:r>
        <w:t>（2）专家咨询</w:t>
      </w:r>
    </w:p>
    <w:p w14:paraId="3D452817">
      <w:pPr>
        <w:pStyle w:val="80"/>
        <w:ind w:firstLine="480"/>
      </w:pPr>
      <w:r>
        <w:t>向有关海菜加工行业及环境工程领域的专家进行咨询，掌握该领域废水治理的技术发展现状。</w:t>
      </w:r>
    </w:p>
    <w:p w14:paraId="5B281AE0">
      <w:pPr>
        <w:pStyle w:val="80"/>
        <w:ind w:firstLine="480"/>
      </w:pPr>
      <w:r>
        <w:t>（3）初稿编制</w:t>
      </w:r>
    </w:p>
    <w:p w14:paraId="6F73A145">
      <w:pPr>
        <w:pStyle w:val="80"/>
        <w:ind w:firstLine="480"/>
      </w:pPr>
      <w:r>
        <w:t>以调研资料、历史资料、监测数据为基础，对我省海菜加工企业废水排放进行了进一步调研，选择代表性企业进行实地调查和采样监测，并咨询部分专家和企业意见，分析确定本标准的水污染物控制项目、指标限值等内容，分析论证标准实施后的环境效益及技术经济可行性。依据《标准化工作导则基本信息第1 部分：标准的结构和编写》（</w:t>
      </w:r>
      <w:r>
        <w:rPr>
          <w:rFonts w:eastAsia="黑体"/>
          <w:bCs/>
          <w:szCs w:val="32"/>
        </w:rPr>
        <w:t>GB/T 1.1-2020</w:t>
      </w:r>
      <w:r>
        <w:t>）、《国家水污染物排放标准制定技术导则》（</w:t>
      </w:r>
      <w:r>
        <w:rPr>
          <w:rFonts w:eastAsia="黑体"/>
          <w:bCs/>
          <w:szCs w:val="32"/>
        </w:rPr>
        <w:t>HJ 945 2-2018</w:t>
      </w:r>
      <w:r>
        <w:t>），编写形成了标准文本及编制说明初稿。</w:t>
      </w:r>
    </w:p>
    <w:p w14:paraId="49E84B59">
      <w:pPr>
        <w:pStyle w:val="80"/>
        <w:ind w:firstLine="480"/>
      </w:pPr>
      <w:r>
        <w:t>（4）征求意见</w:t>
      </w:r>
    </w:p>
    <w:p w14:paraId="0FE12C0C">
      <w:pPr>
        <w:pStyle w:val="80"/>
        <w:ind w:firstLine="480"/>
      </w:pPr>
      <w:r>
        <w:t>文本编制过程中，省生态环境厅分管领导多次召集课题组及海洋生态环境处、生态环境监测中心等相关部门负责人讨论标准制定原则、排放要求、分区管控目标和要求等内容，丰富并完善了本标准文本内容；通过网站、会议等方式公开征求意见，同时向有关行业单位、科研院所、大专院校及有代表性的标准利益方发函征求意见。梳理反馈意见，给出是否采纳的情况说明，对《标准》初稿进行修改完善。</w:t>
      </w:r>
    </w:p>
    <w:bookmarkEnd w:id="56"/>
    <w:p w14:paraId="78FCA894">
      <w:pPr>
        <w:pStyle w:val="2"/>
        <w:numPr>
          <w:ilvl w:val="0"/>
          <w:numId w:val="2"/>
        </w:numPr>
        <w:ind w:left="0" w:firstLine="0"/>
        <w:rPr>
          <w:rFonts w:cs="Times New Roman"/>
        </w:rPr>
      </w:pPr>
      <w:bookmarkStart w:id="57" w:name="_Toc198292120"/>
      <w:bookmarkStart w:id="58" w:name="_Toc196224147"/>
      <w:bookmarkStart w:id="59" w:name="_Toc196224396"/>
      <w:r>
        <w:rPr>
          <w:rFonts w:cs="Times New Roman"/>
        </w:rPr>
        <w:t>标准编制原则和确定地方标准主要内容的</w:t>
      </w:r>
      <w:bookmarkEnd w:id="57"/>
      <w:bookmarkEnd w:id="58"/>
      <w:bookmarkEnd w:id="59"/>
      <w:r>
        <w:rPr>
          <w:rFonts w:cs="Times New Roman"/>
        </w:rPr>
        <w:t>依据</w:t>
      </w:r>
    </w:p>
    <w:p w14:paraId="328712BB">
      <w:pPr>
        <w:pStyle w:val="3"/>
        <w:numPr>
          <w:ilvl w:val="1"/>
          <w:numId w:val="2"/>
        </w:numPr>
        <w:rPr>
          <w:rFonts w:ascii="Times New Roman" w:hAnsi="Times New Roman" w:cs="Times New Roman"/>
        </w:rPr>
      </w:pPr>
      <w:bookmarkStart w:id="60" w:name="_Toc196224148"/>
      <w:bookmarkStart w:id="61" w:name="_Toc196224397"/>
      <w:bookmarkStart w:id="62" w:name="_Toc198292121"/>
      <w:r>
        <w:rPr>
          <w:rFonts w:ascii="Times New Roman" w:hAnsi="Times New Roman" w:cs="Times New Roman"/>
        </w:rPr>
        <w:t>标准编制原则</w:t>
      </w:r>
      <w:bookmarkEnd w:id="60"/>
      <w:bookmarkEnd w:id="61"/>
      <w:bookmarkEnd w:id="62"/>
    </w:p>
    <w:p w14:paraId="3BBA272D">
      <w:pPr>
        <w:pStyle w:val="80"/>
        <w:ind w:firstLine="480"/>
      </w:pPr>
      <w:bookmarkStart w:id="63" w:name="_Toc89857016"/>
      <w:r>
        <w:t>（1）科学性：标准编制要有充分的科学依据，依靠系统科学的分析方法，以相关污水排放标准为依据，调研辽宁省内海菜行业的污水排放现状以及水污染物排放限值的现状，并且考虑海菜行业废水特点，协调好综合排放标准、行业排放标准、环境质量标准之间的关系，提高标准的科学性、系统性和整体性，制定适合海菜行业的废水排放标准。</w:t>
      </w:r>
    </w:p>
    <w:p w14:paraId="3F566C10">
      <w:pPr>
        <w:pStyle w:val="80"/>
        <w:ind w:firstLine="480"/>
      </w:pPr>
      <w:r>
        <w:t>（2）适用性及可操作性：标准编制需促进海菜加工企业技术进步，促进企业提高经济效益和环境效益，淘汰不符合行业发展以及环境保护的小作坊式个体加工厂，规范海菜加工废水排放行为，实现污染减排目标。标准适用范围和控制要求明确，控制因子可度量和可监测，便于实施，易于理解和操作。</w:t>
      </w:r>
    </w:p>
    <w:p w14:paraId="143EB3AD">
      <w:pPr>
        <w:pStyle w:val="80"/>
        <w:ind w:firstLine="480"/>
      </w:pPr>
      <w:r>
        <w:t>（3）协调性：根据《国务院关于落实科学发展观加强环境保护的决定》要求，地方排放标准的制定应当建立在深刻理解经济、社会发展内在要求的基础上，充分认识和了解环境现状，根据环境禀赋、环境容量、生态状况、人口数量以及国家发展规划和产业政策，明确不同区域的功能定位和发展方向，将行业水污染物综合排放标准和环境保护目标有机结合起来，制定与经济、社会发展战略目标相衔接的标准体系。</w:t>
      </w:r>
    </w:p>
    <w:p w14:paraId="29F18314">
      <w:pPr>
        <w:pStyle w:val="80"/>
        <w:ind w:firstLine="480"/>
      </w:pPr>
      <w:r>
        <w:t>（4）客观公正性：标准制订应客观真实反映排放源生产工艺、污染防治技术水平及污染物排放状况等，在充分吸纳国家有关部门、地方生态环境部门、行业企业、相关协会、公众等有关方面意见，并参考发达国家同类标准控制水平的基础上提出排放控制要求，做到客观、公正。</w:t>
      </w:r>
    </w:p>
    <w:p w14:paraId="5199DB06">
      <w:pPr>
        <w:pStyle w:val="80"/>
        <w:ind w:firstLine="480"/>
      </w:pPr>
      <w:r>
        <w:t>（5）技术经济可行性：以当前和未来技术水平和经济条件为基础，充分考虑海菜加工行业不同类型废水的污染控制水平和成本。</w:t>
      </w:r>
    </w:p>
    <w:p w14:paraId="4C883306">
      <w:pPr>
        <w:pStyle w:val="3"/>
        <w:numPr>
          <w:ilvl w:val="1"/>
          <w:numId w:val="2"/>
        </w:numPr>
        <w:rPr>
          <w:rFonts w:ascii="Times New Roman" w:hAnsi="Times New Roman" w:cs="Times New Roman"/>
        </w:rPr>
      </w:pPr>
      <w:bookmarkStart w:id="64" w:name="_Toc196224398"/>
      <w:bookmarkStart w:id="65" w:name="_Toc196224149"/>
      <w:bookmarkStart w:id="66" w:name="_Toc198292122"/>
      <w:r>
        <w:rPr>
          <w:rFonts w:ascii="Times New Roman" w:hAnsi="Times New Roman" w:cs="Times New Roman"/>
        </w:rPr>
        <w:t>确定地方标准主要内容的</w:t>
      </w:r>
      <w:bookmarkEnd w:id="64"/>
      <w:bookmarkEnd w:id="65"/>
      <w:bookmarkEnd w:id="66"/>
      <w:r>
        <w:rPr>
          <w:rFonts w:ascii="Times New Roman" w:hAnsi="Times New Roman" w:cs="Times New Roman"/>
        </w:rPr>
        <w:t>依据</w:t>
      </w:r>
    </w:p>
    <w:bookmarkEnd w:id="63"/>
    <w:p w14:paraId="5C1AA60B">
      <w:pPr>
        <w:pStyle w:val="4"/>
        <w:numPr>
          <w:ilvl w:val="2"/>
          <w:numId w:val="2"/>
        </w:numPr>
        <w:ind w:left="0" w:firstLine="0"/>
        <w:rPr>
          <w:rFonts w:ascii="Times New Roman" w:cs="Times New Roman"/>
        </w:rPr>
      </w:pPr>
      <w:bookmarkStart w:id="67" w:name="_Toc198291901"/>
      <w:bookmarkStart w:id="68" w:name="_Toc196224150"/>
      <w:bookmarkStart w:id="69" w:name="_Toc198292123"/>
      <w:bookmarkStart w:id="70" w:name="_Toc196224399"/>
      <w:r>
        <w:rPr>
          <w:rFonts w:ascii="Times New Roman" w:cs="Times New Roman"/>
        </w:rPr>
        <w:t>标准编制的总体思路</w:t>
      </w:r>
      <w:bookmarkEnd w:id="67"/>
      <w:bookmarkEnd w:id="68"/>
      <w:bookmarkEnd w:id="69"/>
      <w:bookmarkEnd w:id="70"/>
    </w:p>
    <w:p w14:paraId="4AA50E18">
      <w:pPr>
        <w:pStyle w:val="80"/>
        <w:ind w:firstLine="480"/>
      </w:pPr>
      <w:bookmarkStart w:id="71" w:name="_Toc89857017"/>
      <w:r>
        <w:t>按照《国家生态环境标准制修订工作规则》《标准化工作导则基本信息 第 1 部分：标准的结构和编写》（GB/T1.1-2020）、《国家水污染物排放标准制定技术导则》（HJ 945 2-2018）等标准及文件要求，通过文献资料收集、现场调研等多种方式，全面掌握辽宁省海菜加工企业的产品种类、规模、分布、产排污现状、废水治理工艺等相关情况，全面调研国家及辽宁省已发布的污水排放标准以及相关政策规划中的污水控制要求，结合辽宁省海菜加工行业污水排放、治理现状和环境管理需求，在符合国家、省相关法律和法规的基础上，完成辽宁省《海水水产品加工废水排放标准—海菜行业》的编制。</w:t>
      </w:r>
    </w:p>
    <w:p w14:paraId="367B0E42">
      <w:pPr>
        <w:pStyle w:val="4"/>
        <w:numPr>
          <w:ilvl w:val="2"/>
          <w:numId w:val="2"/>
        </w:numPr>
        <w:ind w:left="0" w:firstLine="0"/>
        <w:rPr>
          <w:rFonts w:ascii="Times New Roman" w:cs="Times New Roman"/>
        </w:rPr>
      </w:pPr>
      <w:bookmarkStart w:id="72" w:name="_Toc198292124"/>
      <w:bookmarkStart w:id="73" w:name="_Toc196224151"/>
      <w:bookmarkStart w:id="74" w:name="_Toc198291902"/>
      <w:bookmarkStart w:id="75" w:name="_Toc196224400"/>
      <w:r>
        <w:rPr>
          <w:rFonts w:ascii="Times New Roman" w:cs="Times New Roman"/>
        </w:rPr>
        <w:t>标准编制的依据</w:t>
      </w:r>
      <w:bookmarkEnd w:id="72"/>
      <w:bookmarkEnd w:id="73"/>
      <w:bookmarkEnd w:id="74"/>
      <w:bookmarkEnd w:id="75"/>
    </w:p>
    <w:bookmarkEnd w:id="71"/>
    <w:p w14:paraId="4104F029">
      <w:pPr>
        <w:pStyle w:val="80"/>
        <w:ind w:firstLine="480"/>
      </w:pPr>
      <w:bookmarkStart w:id="76" w:name="_Toc89857018"/>
      <w:r>
        <w:t>《中华人民共和国环境保护法》；</w:t>
      </w:r>
    </w:p>
    <w:p w14:paraId="56236D1F">
      <w:pPr>
        <w:pStyle w:val="80"/>
        <w:ind w:firstLine="480"/>
      </w:pPr>
      <w:r>
        <w:t>《中华人民共和国水污染防治法》；</w:t>
      </w:r>
    </w:p>
    <w:p w14:paraId="799CAEAC">
      <w:pPr>
        <w:pStyle w:val="80"/>
        <w:ind w:firstLine="480"/>
      </w:pPr>
      <w:r>
        <w:t>《中华人民共和国海洋环境保护法》；</w:t>
      </w:r>
    </w:p>
    <w:p w14:paraId="5CBD3A1B">
      <w:pPr>
        <w:pStyle w:val="80"/>
        <w:ind w:firstLine="480"/>
      </w:pPr>
      <w:r>
        <w:t>《辽宁省水污染防治条例》；</w:t>
      </w:r>
    </w:p>
    <w:p w14:paraId="50DBFD37">
      <w:pPr>
        <w:pStyle w:val="80"/>
        <w:ind w:firstLine="480"/>
      </w:pPr>
      <w:r>
        <w:t>《污染源自动监控管理办法》（国家环境保护总局令 第 28 号）；</w:t>
      </w:r>
    </w:p>
    <w:p w14:paraId="0C69748A">
      <w:pPr>
        <w:pStyle w:val="80"/>
        <w:ind w:firstLine="480"/>
      </w:pPr>
      <w:r>
        <w:t>《环境监测管理办法》（国家环境保护总局令 第 39 号）；</w:t>
      </w:r>
    </w:p>
    <w:p w14:paraId="64FA6EB5">
      <w:pPr>
        <w:pStyle w:val="80"/>
        <w:ind w:firstLine="480"/>
      </w:pPr>
      <w:bookmarkStart w:id="77" w:name="OLE_LINK50"/>
      <w:bookmarkStart w:id="78" w:name="OLE_LINK49"/>
      <w:bookmarkStart w:id="79" w:name="OLE_LINK51"/>
      <w:bookmarkStart w:id="80" w:name="OLE_LINK52"/>
      <w:r>
        <w:t>《</w:t>
      </w:r>
      <w:bookmarkEnd w:id="77"/>
      <w:bookmarkEnd w:id="78"/>
      <w:r>
        <w:t>地表水环境质量标准》</w:t>
      </w:r>
      <w:bookmarkStart w:id="81" w:name="OLE_LINK53"/>
      <w:bookmarkStart w:id="82" w:name="OLE_LINK54"/>
      <w:r>
        <w:t>（GB 3838－2002）</w:t>
      </w:r>
      <w:bookmarkEnd w:id="79"/>
      <w:bookmarkEnd w:id="80"/>
      <w:bookmarkEnd w:id="81"/>
      <w:bookmarkEnd w:id="82"/>
      <w:r>
        <w:t>；</w:t>
      </w:r>
    </w:p>
    <w:p w14:paraId="4EEA4737">
      <w:pPr>
        <w:pStyle w:val="80"/>
        <w:ind w:firstLine="480"/>
      </w:pPr>
      <w:bookmarkStart w:id="83" w:name="OLE_LINK56"/>
      <w:bookmarkStart w:id="84" w:name="OLE_LINK55"/>
      <w:r>
        <w:t>《辽宁省污水综合排放标准》（DB21/1627-2008）</w:t>
      </w:r>
      <w:bookmarkEnd w:id="83"/>
      <w:bookmarkEnd w:id="84"/>
      <w:r>
        <w:t>；</w:t>
      </w:r>
    </w:p>
    <w:p w14:paraId="050BAE7F">
      <w:pPr>
        <w:pStyle w:val="80"/>
        <w:ind w:firstLine="480"/>
      </w:pPr>
      <w:bookmarkStart w:id="85" w:name="OLE_LINK58"/>
      <w:bookmarkStart w:id="86" w:name="OLE_LINK57"/>
      <w:r>
        <w:t>《海水水质标准》（GB 3097－1997）</w:t>
      </w:r>
      <w:bookmarkEnd w:id="85"/>
      <w:bookmarkEnd w:id="86"/>
      <w:r>
        <w:t>；</w:t>
      </w:r>
    </w:p>
    <w:p w14:paraId="153EF12D">
      <w:pPr>
        <w:pStyle w:val="80"/>
        <w:ind w:firstLine="480"/>
      </w:pPr>
      <w:bookmarkStart w:id="87" w:name="OLE_LINK59"/>
      <w:bookmarkStart w:id="88" w:name="OLE_LINK60"/>
      <w:r>
        <w:t>《污水综合排放标准》（GB 8978-1996）</w:t>
      </w:r>
      <w:bookmarkEnd w:id="87"/>
      <w:bookmarkEnd w:id="88"/>
      <w:r>
        <w:t>；</w:t>
      </w:r>
    </w:p>
    <w:p w14:paraId="451EDC51">
      <w:pPr>
        <w:pStyle w:val="80"/>
        <w:ind w:firstLine="480"/>
      </w:pPr>
      <w:r>
        <w:t>《辽宁省“十四五”海洋生态环境保护规划》（辽环发〔2022〕8 号）；</w:t>
      </w:r>
    </w:p>
    <w:p w14:paraId="7FFFC231">
      <w:pPr>
        <w:pStyle w:val="80"/>
        <w:ind w:firstLine="480"/>
      </w:pPr>
      <w:r>
        <w:t>《深化渤海（辽宁段）综合治理攻坚战实施方案》（辽环发〔2022〕13 号）；</w:t>
      </w:r>
    </w:p>
    <w:p w14:paraId="0B62F313">
      <w:pPr>
        <w:pStyle w:val="80"/>
        <w:ind w:firstLine="480"/>
      </w:pPr>
      <w:r>
        <w:t>《国家生态环境标准制修订工作规则》；</w:t>
      </w:r>
    </w:p>
    <w:p w14:paraId="6939570D">
      <w:pPr>
        <w:pStyle w:val="80"/>
        <w:ind w:firstLine="480"/>
      </w:pPr>
      <w:r>
        <w:t>《关于促进食品工业健康发展的指导意见》（发改产业〔2017〕19号）。</w:t>
      </w:r>
    </w:p>
    <w:p w14:paraId="23CBC6F7">
      <w:pPr>
        <w:pStyle w:val="4"/>
        <w:numPr>
          <w:ilvl w:val="2"/>
          <w:numId w:val="2"/>
        </w:numPr>
        <w:ind w:left="0" w:firstLine="0"/>
        <w:rPr>
          <w:rFonts w:ascii="Times New Roman" w:cs="Times New Roman"/>
        </w:rPr>
      </w:pPr>
      <w:bookmarkStart w:id="89" w:name="_Toc198292125"/>
      <w:bookmarkStart w:id="90" w:name="_Toc196224401"/>
      <w:bookmarkStart w:id="91" w:name="_Toc196224152"/>
      <w:bookmarkStart w:id="92" w:name="_Toc198291903"/>
      <w:r>
        <w:rPr>
          <w:rFonts w:ascii="Times New Roman" w:cs="Times New Roman"/>
        </w:rPr>
        <w:t>标准编制的技术路线</w:t>
      </w:r>
      <w:bookmarkEnd w:id="76"/>
      <w:bookmarkEnd w:id="89"/>
      <w:bookmarkEnd w:id="90"/>
      <w:bookmarkEnd w:id="91"/>
      <w:bookmarkEnd w:id="92"/>
    </w:p>
    <w:p w14:paraId="1725FE7C">
      <w:pPr>
        <w:pStyle w:val="80"/>
        <w:ind w:firstLine="480"/>
      </w:pPr>
      <w:r>
        <w:t>本标准编制的主要技术工作内容包括海菜加工企业现场调研、受纳海域水质状况调查、标准分类分区分级排放控制要求、标准监测与实施监督要求、标准实施的环境效益与技术经济分析、标准文本和编制说明编写等，标准制订的技术路线图如下。</w:t>
      </w:r>
    </w:p>
    <w:p w14:paraId="19836E62">
      <w:pPr>
        <w:pStyle w:val="80"/>
        <w:ind w:firstLine="480"/>
      </w:pPr>
    </w:p>
    <w:p w14:paraId="5EA0716D">
      <w:pPr>
        <w:pStyle w:val="81"/>
        <w:rPr>
          <w:rFonts w:cs="Times New Roman"/>
        </w:rPr>
      </w:pPr>
      <w:bookmarkStart w:id="93" w:name="_Toc89857019"/>
      <w:r>
        <w:rPr>
          <w:rFonts w:cs="Times New Roman"/>
        </w:rPr>
        <w:drawing>
          <wp:inline distT="0" distB="0" distL="0" distR="0">
            <wp:extent cx="5196205" cy="68446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13716" cy="6867642"/>
                    </a:xfrm>
                    <a:prstGeom prst="rect">
                      <a:avLst/>
                    </a:prstGeom>
                    <a:noFill/>
                  </pic:spPr>
                </pic:pic>
              </a:graphicData>
            </a:graphic>
          </wp:inline>
        </w:drawing>
      </w:r>
    </w:p>
    <w:p w14:paraId="78D165F6">
      <w:pPr>
        <w:pStyle w:val="61"/>
        <w:rPr>
          <w:rFonts w:cs="Times New Roman"/>
        </w:rPr>
      </w:pPr>
      <w:r>
        <w:rPr>
          <w:rFonts w:cs="Times New Roman"/>
        </w:rPr>
        <w:t xml:space="preserve">图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2</w:t>
      </w:r>
      <w:r>
        <w:rPr>
          <w:rFonts w:cs="Times New Roman"/>
        </w:rPr>
        <w:fldChar w:fldCharType="end"/>
      </w:r>
      <w:r>
        <w:rPr>
          <w:rFonts w:cs="Times New Roman"/>
        </w:rPr>
        <w:noBreakHyphen/>
      </w:r>
      <w:r>
        <w:rPr>
          <w:rFonts w:cs="Times New Roman"/>
        </w:rPr>
        <w:fldChar w:fldCharType="begin"/>
      </w:r>
      <w:r>
        <w:rPr>
          <w:rFonts w:cs="Times New Roman"/>
        </w:rPr>
        <w:instrText xml:space="preserve"> SEQ 图 \* ARABIC \s 1 </w:instrText>
      </w:r>
      <w:r>
        <w:rPr>
          <w:rFonts w:cs="Times New Roman"/>
        </w:rPr>
        <w:fldChar w:fldCharType="separate"/>
      </w:r>
      <w:r>
        <w:rPr>
          <w:rFonts w:cs="Times New Roman"/>
        </w:rPr>
        <w:t>1</w:t>
      </w:r>
      <w:r>
        <w:rPr>
          <w:rFonts w:cs="Times New Roman"/>
        </w:rPr>
        <w:fldChar w:fldCharType="end"/>
      </w:r>
      <w:r>
        <w:rPr>
          <w:rFonts w:cs="Times New Roman"/>
        </w:rPr>
        <w:t xml:space="preserve">     技术路线示意图</w:t>
      </w:r>
    </w:p>
    <w:bookmarkEnd w:id="93"/>
    <w:p w14:paraId="6F96434C">
      <w:pPr>
        <w:pStyle w:val="2"/>
        <w:numPr>
          <w:ilvl w:val="0"/>
          <w:numId w:val="2"/>
        </w:numPr>
        <w:ind w:left="0" w:firstLine="0"/>
        <w:rPr>
          <w:rFonts w:cs="Times New Roman"/>
        </w:rPr>
      </w:pPr>
      <w:bookmarkStart w:id="94" w:name="_Toc198292126"/>
      <w:bookmarkStart w:id="95" w:name="_Toc196224402"/>
      <w:bookmarkStart w:id="96" w:name="_Toc196224153"/>
      <w:r>
        <w:rPr>
          <w:rFonts w:cs="Times New Roman"/>
        </w:rPr>
        <w:t>标准主要内容及环境经济效益分析</w:t>
      </w:r>
      <w:bookmarkEnd w:id="94"/>
      <w:bookmarkEnd w:id="95"/>
      <w:bookmarkEnd w:id="96"/>
    </w:p>
    <w:p w14:paraId="6FD149FC">
      <w:pPr>
        <w:pStyle w:val="3"/>
        <w:numPr>
          <w:ilvl w:val="1"/>
          <w:numId w:val="2"/>
        </w:numPr>
        <w:rPr>
          <w:rFonts w:ascii="Times New Roman" w:hAnsi="Times New Roman" w:cs="Times New Roman"/>
        </w:rPr>
      </w:pPr>
      <w:bookmarkStart w:id="97" w:name="_Toc198292127"/>
      <w:bookmarkStart w:id="98" w:name="_Toc890420965"/>
      <w:bookmarkStart w:id="99" w:name="_Toc196224154"/>
      <w:bookmarkStart w:id="100" w:name="_Toc196224403"/>
      <w:r>
        <w:rPr>
          <w:rFonts w:ascii="Times New Roman" w:hAnsi="Times New Roman" w:cs="Times New Roman"/>
        </w:rPr>
        <w:t>海菜加工业在我国的发展概况</w:t>
      </w:r>
      <w:bookmarkEnd w:id="97"/>
      <w:bookmarkEnd w:id="98"/>
      <w:bookmarkEnd w:id="99"/>
      <w:bookmarkEnd w:id="100"/>
    </w:p>
    <w:p w14:paraId="53712B00">
      <w:pPr>
        <w:pStyle w:val="80"/>
        <w:ind w:firstLine="480"/>
      </w:pPr>
      <w:r>
        <w:t>根据调研统计，中国是世界上最大的海菜养殖加工基地，中国占世界裙带菜养殖加工的85%，其中大连占全国85%左右，山东占15%左右；对于海带的加工养殖而言，大连占全国40%-50%，山东占40%-50%，福建占10%左右；紫菜的养殖加工主要分布在我国南方地区，其中江苏占全国70%，福建占30%；</w:t>
      </w:r>
      <w:bookmarkStart w:id="101" w:name="OLE_LINK17"/>
      <w:bookmarkStart w:id="102" w:name="OLE_LINK16"/>
      <w:r>
        <w:t>洋夕菜</w:t>
      </w:r>
      <w:bookmarkEnd w:id="101"/>
      <w:bookmarkEnd w:id="102"/>
      <w:r>
        <w:t>的养殖加工主要在浙江温州。</w:t>
      </w:r>
    </w:p>
    <w:p w14:paraId="062592BD">
      <w:pPr>
        <w:pStyle w:val="3"/>
        <w:numPr>
          <w:ilvl w:val="1"/>
          <w:numId w:val="2"/>
        </w:numPr>
        <w:rPr>
          <w:rFonts w:ascii="Times New Roman" w:hAnsi="Times New Roman" w:cs="Times New Roman"/>
        </w:rPr>
      </w:pPr>
      <w:bookmarkStart w:id="103" w:name="_Toc196224155"/>
      <w:bookmarkStart w:id="104" w:name="_Toc198292128"/>
      <w:bookmarkStart w:id="105" w:name="_Toc13606"/>
      <w:bookmarkStart w:id="106" w:name="_Toc196224404"/>
      <w:bookmarkStart w:id="107" w:name="_Toc901648540"/>
      <w:bookmarkStart w:id="108" w:name="_Toc4087"/>
      <w:r>
        <w:rPr>
          <w:rFonts w:ascii="Times New Roman" w:hAnsi="Times New Roman" w:cs="Times New Roman"/>
        </w:rPr>
        <w:t>海菜加工业在我省的发展概况</w:t>
      </w:r>
      <w:bookmarkEnd w:id="103"/>
      <w:bookmarkEnd w:id="104"/>
      <w:bookmarkEnd w:id="105"/>
      <w:bookmarkEnd w:id="106"/>
      <w:bookmarkEnd w:id="107"/>
      <w:bookmarkEnd w:id="108"/>
    </w:p>
    <w:p w14:paraId="56590A78">
      <w:pPr>
        <w:pStyle w:val="80"/>
        <w:ind w:firstLine="480"/>
      </w:pPr>
      <w:r>
        <w:t>辽宁省是我国重要的水产品生产基地，水产品加工业主要包括保鲜、食品加工和非食品加工三个方面。辽宁省作为全国重要的水产品加工大省同时也是全国最大的海带和裙带菜养殖加工大省，近些年来，海菜行业逐渐成为辽宁省的一大经济支柱，在消费观念升级的背景下，国内以及国际消费者对深加工水产品的需求不断上升，促使辽宁省的海菜深海养殖量逐年平稳增加，同时也让海菜行业加工量随之增加。近几年辽宁省海菜行业养殖量见</w:t>
      </w:r>
      <w:r>
        <w:fldChar w:fldCharType="begin"/>
      </w:r>
      <w:r>
        <w:instrText xml:space="preserve"> REF _Ref196211382 \h  \* MERGEFORMAT </w:instrText>
      </w:r>
      <w:r>
        <w:fldChar w:fldCharType="separate"/>
      </w:r>
      <w:r>
        <w:t>表 3</w:t>
      </w:r>
      <w:r>
        <w:noBreakHyphen/>
      </w:r>
      <w:r>
        <w:t>1</w:t>
      </w:r>
      <w:r>
        <w:fldChar w:fldCharType="end"/>
      </w:r>
      <w:r>
        <w:t>。</w:t>
      </w:r>
    </w:p>
    <w:p w14:paraId="049E00E9">
      <w:pPr>
        <w:pStyle w:val="61"/>
        <w:rPr>
          <w:rFonts w:cs="Times New Roman"/>
        </w:rPr>
      </w:pPr>
      <w:bookmarkStart w:id="109" w:name="_Ref196211382"/>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1</w:t>
      </w:r>
      <w:r>
        <w:rPr>
          <w:rFonts w:cs="Times New Roman"/>
        </w:rPr>
        <w:fldChar w:fldCharType="end"/>
      </w:r>
      <w:bookmarkEnd w:id="109"/>
      <w:r>
        <w:rPr>
          <w:rFonts w:cs="Times New Roman"/>
        </w:rPr>
        <w:t xml:space="preserve">     2019—2023年辽宁省海菜养殖量</w:t>
      </w:r>
    </w:p>
    <w:tbl>
      <w:tblPr>
        <w:tblStyle w:val="68"/>
        <w:tblW w:w="830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3"/>
        <w:gridCol w:w="1421"/>
        <w:gridCol w:w="1267"/>
        <w:gridCol w:w="1267"/>
        <w:gridCol w:w="1267"/>
        <w:gridCol w:w="1267"/>
      </w:tblGrid>
      <w:tr w14:paraId="122E3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2" w:hRule="atLeast"/>
        </w:trPr>
        <w:tc>
          <w:tcPr>
            <w:tcW w:w="1813" w:type="dxa"/>
            <w:vAlign w:val="center"/>
          </w:tcPr>
          <w:p w14:paraId="3185B3E1">
            <w:pPr>
              <w:pStyle w:val="81"/>
              <w:rPr>
                <w:rFonts w:cs="Times New Roman"/>
                <w:kern w:val="0"/>
                <w:sz w:val="20"/>
              </w:rPr>
            </w:pPr>
            <w:r>
              <w:rPr>
                <w:rFonts w:cs="Times New Roman"/>
                <w:kern w:val="0"/>
                <w:sz w:val="20"/>
              </w:rPr>
              <w:t>种类\年份</w:t>
            </w:r>
          </w:p>
        </w:tc>
        <w:tc>
          <w:tcPr>
            <w:tcW w:w="1421" w:type="dxa"/>
            <w:vAlign w:val="center"/>
          </w:tcPr>
          <w:p w14:paraId="55878752">
            <w:pPr>
              <w:pStyle w:val="81"/>
              <w:rPr>
                <w:rFonts w:cs="Times New Roman"/>
                <w:kern w:val="0"/>
                <w:sz w:val="20"/>
              </w:rPr>
            </w:pPr>
            <w:r>
              <w:rPr>
                <w:rFonts w:cs="Times New Roman"/>
                <w:kern w:val="0"/>
                <w:sz w:val="20"/>
              </w:rPr>
              <w:t>2019年</w:t>
            </w:r>
          </w:p>
        </w:tc>
        <w:tc>
          <w:tcPr>
            <w:tcW w:w="1267" w:type="dxa"/>
            <w:vAlign w:val="center"/>
          </w:tcPr>
          <w:p w14:paraId="4FB36743">
            <w:pPr>
              <w:pStyle w:val="81"/>
              <w:rPr>
                <w:rFonts w:cs="Times New Roman"/>
                <w:kern w:val="0"/>
                <w:sz w:val="20"/>
              </w:rPr>
            </w:pPr>
            <w:r>
              <w:rPr>
                <w:rFonts w:cs="Times New Roman"/>
                <w:kern w:val="0"/>
                <w:sz w:val="20"/>
              </w:rPr>
              <w:t>2020年</w:t>
            </w:r>
          </w:p>
        </w:tc>
        <w:tc>
          <w:tcPr>
            <w:tcW w:w="1267" w:type="dxa"/>
            <w:vAlign w:val="center"/>
          </w:tcPr>
          <w:p w14:paraId="330EB8CE">
            <w:pPr>
              <w:pStyle w:val="81"/>
              <w:rPr>
                <w:rFonts w:cs="Times New Roman"/>
                <w:kern w:val="0"/>
                <w:sz w:val="20"/>
              </w:rPr>
            </w:pPr>
            <w:r>
              <w:rPr>
                <w:rFonts w:cs="Times New Roman"/>
                <w:kern w:val="0"/>
                <w:sz w:val="20"/>
              </w:rPr>
              <w:t>2021年</w:t>
            </w:r>
          </w:p>
        </w:tc>
        <w:tc>
          <w:tcPr>
            <w:tcW w:w="1267" w:type="dxa"/>
            <w:vAlign w:val="center"/>
          </w:tcPr>
          <w:p w14:paraId="64ADB10C">
            <w:pPr>
              <w:pStyle w:val="81"/>
              <w:rPr>
                <w:rFonts w:cs="Times New Roman"/>
                <w:kern w:val="0"/>
                <w:sz w:val="20"/>
              </w:rPr>
            </w:pPr>
            <w:r>
              <w:rPr>
                <w:rFonts w:cs="Times New Roman"/>
                <w:kern w:val="0"/>
                <w:sz w:val="20"/>
              </w:rPr>
              <w:t>2022年</w:t>
            </w:r>
          </w:p>
        </w:tc>
        <w:tc>
          <w:tcPr>
            <w:tcW w:w="1267" w:type="dxa"/>
            <w:vAlign w:val="center"/>
          </w:tcPr>
          <w:p w14:paraId="77826186">
            <w:pPr>
              <w:pStyle w:val="81"/>
              <w:rPr>
                <w:rFonts w:cs="Times New Roman"/>
                <w:kern w:val="0"/>
                <w:sz w:val="20"/>
              </w:rPr>
            </w:pPr>
            <w:r>
              <w:rPr>
                <w:rFonts w:cs="Times New Roman"/>
                <w:kern w:val="0"/>
                <w:sz w:val="20"/>
              </w:rPr>
              <w:t>2023年</w:t>
            </w:r>
          </w:p>
        </w:tc>
      </w:tr>
      <w:tr w14:paraId="7A0AF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813" w:type="dxa"/>
            <w:vAlign w:val="center"/>
          </w:tcPr>
          <w:p w14:paraId="3F6D45D1">
            <w:pPr>
              <w:pStyle w:val="81"/>
              <w:rPr>
                <w:rFonts w:cs="Times New Roman"/>
                <w:kern w:val="0"/>
                <w:sz w:val="20"/>
              </w:rPr>
            </w:pPr>
            <w:r>
              <w:rPr>
                <w:rFonts w:cs="Times New Roman"/>
                <w:kern w:val="0"/>
                <w:sz w:val="20"/>
              </w:rPr>
              <w:t>海带/吨</w:t>
            </w:r>
          </w:p>
        </w:tc>
        <w:tc>
          <w:tcPr>
            <w:tcW w:w="1421" w:type="dxa"/>
            <w:vAlign w:val="center"/>
          </w:tcPr>
          <w:p w14:paraId="6DDB27B2">
            <w:pPr>
              <w:pStyle w:val="81"/>
              <w:rPr>
                <w:rFonts w:cs="Times New Roman"/>
                <w:kern w:val="0"/>
                <w:sz w:val="20"/>
              </w:rPr>
            </w:pPr>
            <w:r>
              <w:rPr>
                <w:rFonts w:cs="Times New Roman"/>
                <w:kern w:val="0"/>
                <w:sz w:val="20"/>
              </w:rPr>
              <w:t>314530</w:t>
            </w:r>
          </w:p>
        </w:tc>
        <w:tc>
          <w:tcPr>
            <w:tcW w:w="1267" w:type="dxa"/>
            <w:vAlign w:val="center"/>
          </w:tcPr>
          <w:p w14:paraId="6E61C9FC">
            <w:pPr>
              <w:pStyle w:val="81"/>
              <w:rPr>
                <w:rFonts w:cs="Times New Roman"/>
                <w:kern w:val="0"/>
                <w:sz w:val="20"/>
              </w:rPr>
            </w:pPr>
            <w:r>
              <w:rPr>
                <w:rFonts w:cs="Times New Roman"/>
                <w:kern w:val="0"/>
                <w:sz w:val="20"/>
              </w:rPr>
              <w:t>289753</w:t>
            </w:r>
          </w:p>
        </w:tc>
        <w:tc>
          <w:tcPr>
            <w:tcW w:w="1267" w:type="dxa"/>
            <w:vAlign w:val="center"/>
          </w:tcPr>
          <w:p w14:paraId="6C01FD45">
            <w:pPr>
              <w:pStyle w:val="81"/>
              <w:rPr>
                <w:rFonts w:cs="Times New Roman"/>
                <w:kern w:val="0"/>
                <w:sz w:val="20"/>
              </w:rPr>
            </w:pPr>
            <w:r>
              <w:rPr>
                <w:rFonts w:cs="Times New Roman"/>
                <w:kern w:val="0"/>
                <w:sz w:val="20"/>
              </w:rPr>
              <w:t>329398</w:t>
            </w:r>
          </w:p>
        </w:tc>
        <w:tc>
          <w:tcPr>
            <w:tcW w:w="1267" w:type="dxa"/>
            <w:vAlign w:val="center"/>
          </w:tcPr>
          <w:p w14:paraId="7B8C407B">
            <w:pPr>
              <w:pStyle w:val="81"/>
              <w:rPr>
                <w:rFonts w:cs="Times New Roman"/>
                <w:kern w:val="0"/>
                <w:sz w:val="20"/>
              </w:rPr>
            </w:pPr>
            <w:r>
              <w:rPr>
                <w:rFonts w:cs="Times New Roman"/>
                <w:kern w:val="0"/>
                <w:sz w:val="20"/>
              </w:rPr>
              <w:t>312843</w:t>
            </w:r>
          </w:p>
        </w:tc>
        <w:tc>
          <w:tcPr>
            <w:tcW w:w="1267" w:type="dxa"/>
            <w:vAlign w:val="center"/>
          </w:tcPr>
          <w:p w14:paraId="30AE647D">
            <w:pPr>
              <w:pStyle w:val="81"/>
              <w:rPr>
                <w:rFonts w:cs="Times New Roman"/>
                <w:kern w:val="0"/>
                <w:sz w:val="20"/>
              </w:rPr>
            </w:pPr>
            <w:r>
              <w:rPr>
                <w:rFonts w:cs="Times New Roman"/>
                <w:kern w:val="0"/>
                <w:sz w:val="20"/>
              </w:rPr>
              <w:t>352278</w:t>
            </w:r>
          </w:p>
        </w:tc>
      </w:tr>
      <w:tr w14:paraId="32573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813" w:type="dxa"/>
            <w:vAlign w:val="center"/>
          </w:tcPr>
          <w:p w14:paraId="13B9F985">
            <w:pPr>
              <w:pStyle w:val="81"/>
              <w:rPr>
                <w:rFonts w:cs="Times New Roman"/>
                <w:kern w:val="0"/>
                <w:sz w:val="20"/>
              </w:rPr>
            </w:pPr>
            <w:r>
              <w:rPr>
                <w:rFonts w:cs="Times New Roman"/>
                <w:kern w:val="0"/>
                <w:sz w:val="20"/>
              </w:rPr>
              <w:t>裙带菜/吨</w:t>
            </w:r>
          </w:p>
        </w:tc>
        <w:tc>
          <w:tcPr>
            <w:tcW w:w="1421" w:type="dxa"/>
            <w:vAlign w:val="center"/>
          </w:tcPr>
          <w:p w14:paraId="3E6A2890">
            <w:pPr>
              <w:pStyle w:val="81"/>
              <w:rPr>
                <w:rFonts w:cs="Times New Roman"/>
                <w:kern w:val="0"/>
                <w:sz w:val="20"/>
              </w:rPr>
            </w:pPr>
            <w:r>
              <w:rPr>
                <w:rFonts w:cs="Times New Roman"/>
                <w:kern w:val="0"/>
                <w:sz w:val="20"/>
              </w:rPr>
              <w:t>152953</w:t>
            </w:r>
          </w:p>
        </w:tc>
        <w:tc>
          <w:tcPr>
            <w:tcW w:w="1267" w:type="dxa"/>
            <w:vAlign w:val="center"/>
          </w:tcPr>
          <w:p w14:paraId="6499EAC3">
            <w:pPr>
              <w:pStyle w:val="81"/>
              <w:rPr>
                <w:rFonts w:cs="Times New Roman"/>
                <w:kern w:val="0"/>
                <w:sz w:val="20"/>
              </w:rPr>
            </w:pPr>
            <w:r>
              <w:rPr>
                <w:rFonts w:cs="Times New Roman"/>
                <w:kern w:val="0"/>
                <w:sz w:val="20"/>
              </w:rPr>
              <w:t>178794</w:t>
            </w:r>
          </w:p>
        </w:tc>
        <w:tc>
          <w:tcPr>
            <w:tcW w:w="1267" w:type="dxa"/>
            <w:vAlign w:val="center"/>
          </w:tcPr>
          <w:p w14:paraId="6B5F922E">
            <w:pPr>
              <w:pStyle w:val="81"/>
              <w:rPr>
                <w:rFonts w:cs="Times New Roman"/>
                <w:kern w:val="0"/>
                <w:sz w:val="20"/>
              </w:rPr>
            </w:pPr>
            <w:r>
              <w:rPr>
                <w:rFonts w:cs="Times New Roman"/>
                <w:kern w:val="0"/>
                <w:sz w:val="20"/>
              </w:rPr>
              <w:t>160281</w:t>
            </w:r>
          </w:p>
        </w:tc>
        <w:tc>
          <w:tcPr>
            <w:tcW w:w="1267" w:type="dxa"/>
            <w:vAlign w:val="center"/>
          </w:tcPr>
          <w:p w14:paraId="60381044">
            <w:pPr>
              <w:pStyle w:val="81"/>
              <w:rPr>
                <w:rFonts w:cs="Times New Roman"/>
                <w:kern w:val="0"/>
                <w:sz w:val="20"/>
              </w:rPr>
            </w:pPr>
            <w:r>
              <w:rPr>
                <w:rFonts w:cs="Times New Roman"/>
                <w:kern w:val="0"/>
                <w:sz w:val="20"/>
              </w:rPr>
              <w:t>153259</w:t>
            </w:r>
          </w:p>
        </w:tc>
        <w:tc>
          <w:tcPr>
            <w:tcW w:w="1267" w:type="dxa"/>
            <w:vAlign w:val="center"/>
          </w:tcPr>
          <w:p w14:paraId="105B9287">
            <w:pPr>
              <w:pStyle w:val="81"/>
              <w:rPr>
                <w:rFonts w:cs="Times New Roman"/>
                <w:kern w:val="0"/>
                <w:sz w:val="20"/>
              </w:rPr>
            </w:pPr>
            <w:r>
              <w:rPr>
                <w:rFonts w:cs="Times New Roman"/>
                <w:kern w:val="0"/>
                <w:sz w:val="20"/>
              </w:rPr>
              <w:t>152727</w:t>
            </w:r>
          </w:p>
        </w:tc>
      </w:tr>
      <w:tr w14:paraId="36F8A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813" w:type="dxa"/>
            <w:vAlign w:val="center"/>
          </w:tcPr>
          <w:p w14:paraId="5693D67D">
            <w:pPr>
              <w:pStyle w:val="81"/>
              <w:rPr>
                <w:rFonts w:cs="Times New Roman"/>
                <w:kern w:val="0"/>
                <w:sz w:val="20"/>
              </w:rPr>
            </w:pPr>
            <w:r>
              <w:rPr>
                <w:rFonts w:cs="Times New Roman"/>
                <w:kern w:val="0"/>
                <w:sz w:val="20"/>
              </w:rPr>
              <w:t>总计/吨</w:t>
            </w:r>
          </w:p>
        </w:tc>
        <w:tc>
          <w:tcPr>
            <w:tcW w:w="1421" w:type="dxa"/>
            <w:vAlign w:val="center"/>
          </w:tcPr>
          <w:p w14:paraId="23956F48">
            <w:pPr>
              <w:pStyle w:val="81"/>
              <w:rPr>
                <w:rFonts w:cs="Times New Roman"/>
                <w:kern w:val="0"/>
                <w:sz w:val="20"/>
              </w:rPr>
            </w:pPr>
            <w:r>
              <w:rPr>
                <w:rFonts w:cs="Times New Roman"/>
                <w:kern w:val="0"/>
                <w:sz w:val="20"/>
              </w:rPr>
              <w:t>467483</w:t>
            </w:r>
          </w:p>
        </w:tc>
        <w:tc>
          <w:tcPr>
            <w:tcW w:w="1267" w:type="dxa"/>
            <w:vAlign w:val="center"/>
          </w:tcPr>
          <w:p w14:paraId="2A0B764A">
            <w:pPr>
              <w:pStyle w:val="81"/>
              <w:rPr>
                <w:rFonts w:cs="Times New Roman"/>
                <w:kern w:val="0"/>
                <w:sz w:val="20"/>
              </w:rPr>
            </w:pPr>
            <w:r>
              <w:rPr>
                <w:rFonts w:cs="Times New Roman"/>
                <w:kern w:val="0"/>
                <w:sz w:val="20"/>
              </w:rPr>
              <w:t>468547</w:t>
            </w:r>
          </w:p>
        </w:tc>
        <w:tc>
          <w:tcPr>
            <w:tcW w:w="1267" w:type="dxa"/>
            <w:vAlign w:val="center"/>
          </w:tcPr>
          <w:p w14:paraId="6A3EAE19">
            <w:pPr>
              <w:pStyle w:val="81"/>
              <w:rPr>
                <w:rFonts w:cs="Times New Roman"/>
                <w:kern w:val="0"/>
                <w:sz w:val="20"/>
              </w:rPr>
            </w:pPr>
            <w:r>
              <w:rPr>
                <w:rFonts w:cs="Times New Roman"/>
                <w:kern w:val="0"/>
                <w:sz w:val="20"/>
              </w:rPr>
              <w:t>489679</w:t>
            </w:r>
          </w:p>
        </w:tc>
        <w:tc>
          <w:tcPr>
            <w:tcW w:w="1267" w:type="dxa"/>
            <w:vAlign w:val="center"/>
          </w:tcPr>
          <w:p w14:paraId="0E5B1757">
            <w:pPr>
              <w:pStyle w:val="81"/>
              <w:rPr>
                <w:rFonts w:cs="Times New Roman"/>
                <w:kern w:val="0"/>
                <w:sz w:val="20"/>
              </w:rPr>
            </w:pPr>
            <w:r>
              <w:rPr>
                <w:rFonts w:cs="Times New Roman"/>
                <w:kern w:val="0"/>
                <w:sz w:val="20"/>
              </w:rPr>
              <w:t>466102</w:t>
            </w:r>
          </w:p>
        </w:tc>
        <w:tc>
          <w:tcPr>
            <w:tcW w:w="1267" w:type="dxa"/>
            <w:vAlign w:val="center"/>
          </w:tcPr>
          <w:p w14:paraId="422F9B47">
            <w:pPr>
              <w:pStyle w:val="81"/>
              <w:rPr>
                <w:rFonts w:cs="Times New Roman"/>
                <w:kern w:val="0"/>
                <w:sz w:val="20"/>
              </w:rPr>
            </w:pPr>
            <w:r>
              <w:rPr>
                <w:rFonts w:cs="Times New Roman"/>
                <w:kern w:val="0"/>
                <w:sz w:val="20"/>
              </w:rPr>
              <w:t>505005</w:t>
            </w:r>
          </w:p>
        </w:tc>
      </w:tr>
    </w:tbl>
    <w:p w14:paraId="5C0943FC">
      <w:pPr>
        <w:pStyle w:val="79"/>
        <w:ind w:firstLine="420"/>
        <w:rPr>
          <w:rFonts w:cs="Times New Roman"/>
        </w:rPr>
      </w:pPr>
      <w:r>
        <w:rPr>
          <w:rFonts w:cs="Times New Roman"/>
        </w:rPr>
        <w:t>注：数据来源于《</w:t>
      </w:r>
      <w:bookmarkStart w:id="110" w:name="OLE_LINK61"/>
      <w:bookmarkStart w:id="111" w:name="OLE_LINK62"/>
      <w:r>
        <w:rPr>
          <w:rFonts w:cs="Times New Roman"/>
        </w:rPr>
        <w:t>渔</w:t>
      </w:r>
      <w:bookmarkEnd w:id="110"/>
      <w:bookmarkEnd w:id="111"/>
      <w:r>
        <w:rPr>
          <w:rFonts w:cs="Times New Roman"/>
        </w:rPr>
        <w:t>业统计年鉴》。</w:t>
      </w:r>
    </w:p>
    <w:p w14:paraId="20A808FE">
      <w:pPr>
        <w:pStyle w:val="4"/>
        <w:numPr>
          <w:ilvl w:val="2"/>
          <w:numId w:val="2"/>
        </w:numPr>
        <w:ind w:left="0" w:firstLine="0"/>
        <w:rPr>
          <w:rFonts w:ascii="Times New Roman" w:cs="Times New Roman"/>
        </w:rPr>
      </w:pPr>
      <w:bookmarkStart w:id="112" w:name="_Toc198292129"/>
      <w:bookmarkStart w:id="113" w:name="_Toc196224156"/>
      <w:bookmarkStart w:id="114" w:name="_Toc196224405"/>
      <w:bookmarkStart w:id="115" w:name="_Toc198291907"/>
      <w:r>
        <w:rPr>
          <w:rFonts w:ascii="Times New Roman" w:cs="Times New Roman"/>
        </w:rPr>
        <w:t>海菜行业养殖加工分布</w:t>
      </w:r>
      <w:bookmarkEnd w:id="112"/>
      <w:bookmarkEnd w:id="113"/>
      <w:bookmarkEnd w:id="114"/>
      <w:bookmarkEnd w:id="115"/>
    </w:p>
    <w:p w14:paraId="3FD2B2F4">
      <w:pPr>
        <w:pStyle w:val="80"/>
        <w:ind w:firstLine="480"/>
      </w:pPr>
      <w:r>
        <w:t>辽宁省是中国重要的水产品加工大省，其海菜加工业主要包括海带和裙带菜的加工。放眼全国整个海菜产品加工业，大连市海带产业占全国40%-50%，裙带菜行业占全国85%左右，其中80%分布在金普新区（大李家和金石滩），其余分布在旅顺。下图为大连市海菜行业企业分布图。</w:t>
      </w:r>
    </w:p>
    <w:p w14:paraId="7E2DF6EF">
      <w:pPr>
        <w:pStyle w:val="81"/>
        <w:rPr>
          <w:rFonts w:cs="Times New Roman"/>
        </w:rPr>
      </w:pPr>
      <w:r>
        <w:rPr>
          <w:rFonts w:cs="Times New Roman"/>
        </w:rPr>
        <w:drawing>
          <wp:inline distT="0" distB="0" distL="114300" distR="114300">
            <wp:extent cx="5273675" cy="3728720"/>
            <wp:effectExtent l="0" t="0" r="3175" b="5080"/>
            <wp:docPr id="69" name="图片 69" descr="4ee637b719698e2a054b1e8fc96e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4ee637b719698e2a054b1e8fc96e4ea"/>
                    <pic:cNvPicPr>
                      <a:picLocks noChangeAspect="1"/>
                    </pic:cNvPicPr>
                  </pic:nvPicPr>
                  <pic:blipFill>
                    <a:blip r:embed="rId13"/>
                    <a:stretch>
                      <a:fillRect/>
                    </a:stretch>
                  </pic:blipFill>
                  <pic:spPr>
                    <a:xfrm>
                      <a:off x="0" y="0"/>
                      <a:ext cx="5273675" cy="3728720"/>
                    </a:xfrm>
                    <a:prstGeom prst="rect">
                      <a:avLst/>
                    </a:prstGeom>
                  </pic:spPr>
                </pic:pic>
              </a:graphicData>
            </a:graphic>
          </wp:inline>
        </w:drawing>
      </w:r>
    </w:p>
    <w:p w14:paraId="1D704B8A">
      <w:pPr>
        <w:pStyle w:val="61"/>
        <w:rPr>
          <w:rFonts w:cs="Times New Roman"/>
        </w:rPr>
      </w:pPr>
      <w:r>
        <w:rPr>
          <w:rFonts w:cs="Times New Roman"/>
        </w:rPr>
        <w:t xml:space="preserve">图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图 \* ARABIC \s 1 </w:instrText>
      </w:r>
      <w:r>
        <w:rPr>
          <w:rFonts w:cs="Times New Roman"/>
        </w:rPr>
        <w:fldChar w:fldCharType="separate"/>
      </w:r>
      <w:r>
        <w:rPr>
          <w:rFonts w:cs="Times New Roman"/>
        </w:rPr>
        <w:t>1</w:t>
      </w:r>
      <w:r>
        <w:rPr>
          <w:rFonts w:cs="Times New Roman"/>
        </w:rPr>
        <w:fldChar w:fldCharType="end"/>
      </w:r>
      <w:r>
        <w:rPr>
          <w:rFonts w:cs="Times New Roman"/>
        </w:rPr>
        <w:t xml:space="preserve">    大连市海菜行业企业分布图</w:t>
      </w:r>
    </w:p>
    <w:p w14:paraId="43DB647C">
      <w:pPr>
        <w:pStyle w:val="80"/>
        <w:ind w:firstLine="480"/>
      </w:pPr>
      <w:r>
        <w:t>大连市目前海菜加工企业共计89家，主要分布在旅顺口区、金普新区、高新园区。</w:t>
      </w:r>
    </w:p>
    <w:p w14:paraId="6589794E">
      <w:pPr>
        <w:pStyle w:val="80"/>
        <w:ind w:firstLine="480"/>
      </w:pPr>
      <w:r>
        <w:t>旅顺口区是大连市海菜加工企业最密集的区域，现有海菜加工企业28家，总规模达158030吨/年，主要分布在双岛湾口沿岸、黄海沿岸南部海域，主要涉及双岛湾、铁山街道。旅顺口区建设海菜污水处理站15座，污水处理站总规模达2185吨/天。</w:t>
      </w:r>
    </w:p>
    <w:p w14:paraId="1A44D2A4">
      <w:pPr>
        <w:pStyle w:val="80"/>
        <w:ind w:firstLine="480"/>
      </w:pPr>
      <w:r>
        <w:t>金普新区是大连市海菜养殖量最大的区域，海菜加工企业众多，现有海菜加工企业45家，总规模达183200吨/年，主要分布在金石滩、大李家街道。金普新区建设海菜污水处理站3座，污水处理站总规模达260吨/天。</w:t>
      </w:r>
    </w:p>
    <w:p w14:paraId="78FA8106">
      <w:pPr>
        <w:pStyle w:val="80"/>
        <w:ind w:firstLine="480"/>
      </w:pPr>
      <w:r>
        <w:t>高新园区涉及海菜加工企业15家，总规模达29700吨/年，主要分布在龙王塘街道。高新园区建设海菜污水处理站6座，污水处理站总规模达356吨/天。</w:t>
      </w:r>
    </w:p>
    <w:p w14:paraId="6E6E17C8">
      <w:pPr>
        <w:pStyle w:val="80"/>
        <w:ind w:firstLine="480"/>
      </w:pPr>
      <w:r>
        <w:t>另外，瓦房店市现有海菜加工企业1家，规模为300吨/年，位于太阳街道。污水处理站1座，规模为5吨/天。</w:t>
      </w:r>
    </w:p>
    <w:p w14:paraId="2D6297F1">
      <w:pPr>
        <w:pStyle w:val="4"/>
        <w:numPr>
          <w:ilvl w:val="2"/>
          <w:numId w:val="2"/>
        </w:numPr>
        <w:ind w:left="0" w:firstLine="0"/>
        <w:rPr>
          <w:rFonts w:ascii="Times New Roman" w:cs="Times New Roman"/>
        </w:rPr>
      </w:pPr>
      <w:bookmarkStart w:id="116" w:name="_Toc196224157"/>
      <w:bookmarkStart w:id="117" w:name="_Toc198291908"/>
      <w:bookmarkStart w:id="118" w:name="_Toc198292130"/>
      <w:bookmarkStart w:id="119" w:name="_Toc196224406"/>
      <w:r>
        <w:rPr>
          <w:rFonts w:ascii="Times New Roman" w:cs="Times New Roman"/>
        </w:rPr>
        <w:t>辽宁省海菜行业社会经济概况</w:t>
      </w:r>
      <w:bookmarkEnd w:id="116"/>
      <w:bookmarkEnd w:id="117"/>
      <w:bookmarkEnd w:id="118"/>
      <w:bookmarkEnd w:id="119"/>
    </w:p>
    <w:p w14:paraId="70B81EA5">
      <w:pPr>
        <w:pStyle w:val="80"/>
        <w:ind w:firstLine="480"/>
      </w:pPr>
      <w:r>
        <w:t>辽宁省海菜加工行业主要分布在大连市，其产值大约为20亿元/年，属于辽宁省传统产业。根据行业人士介绍，辽宁省海菜行业解决直接和间接就业人员13万左右，拓宽民众就业渠道，让大多数家庭成员提高经济收入，缓解一定就业压力，因此，辽宁省可通过发展海菜行业助力城市经济发展。</w:t>
      </w:r>
    </w:p>
    <w:p w14:paraId="5EE02DFD">
      <w:pPr>
        <w:pStyle w:val="4"/>
        <w:numPr>
          <w:ilvl w:val="2"/>
          <w:numId w:val="2"/>
        </w:numPr>
        <w:ind w:left="0" w:firstLine="0"/>
        <w:rPr>
          <w:rFonts w:ascii="Times New Roman" w:cs="Times New Roman"/>
        </w:rPr>
      </w:pPr>
      <w:bookmarkStart w:id="120" w:name="_Toc9751"/>
      <w:bookmarkStart w:id="121" w:name="_Toc20466"/>
      <w:bookmarkStart w:id="122" w:name="_Toc198291909"/>
      <w:bookmarkStart w:id="123" w:name="_Toc196224407"/>
      <w:bookmarkStart w:id="124" w:name="_Toc198292131"/>
      <w:bookmarkStart w:id="125" w:name="_Toc196224158"/>
      <w:r>
        <w:rPr>
          <w:rFonts w:ascii="Times New Roman" w:cs="Times New Roman"/>
        </w:rPr>
        <w:t>辽宁省水产品出口</w:t>
      </w:r>
      <w:bookmarkEnd w:id="120"/>
      <w:bookmarkEnd w:id="121"/>
      <w:r>
        <w:rPr>
          <w:rFonts w:ascii="Times New Roman" w:cs="Times New Roman"/>
        </w:rPr>
        <w:t>概况</w:t>
      </w:r>
      <w:bookmarkEnd w:id="122"/>
      <w:bookmarkEnd w:id="123"/>
      <w:bookmarkEnd w:id="124"/>
      <w:bookmarkEnd w:id="125"/>
    </w:p>
    <w:p w14:paraId="3A585E26">
      <w:pPr>
        <w:pStyle w:val="80"/>
        <w:ind w:firstLine="480"/>
      </w:pPr>
      <w:r>
        <w:t>由近几年的数据可以看出，辽宁省水产品出口保持着较为稳定的态势，但据沈阳海关公布的数据显示，自疫情暴发后，水产品的出口量和金额都有所下降，</w:t>
      </w:r>
      <w:r>
        <w:rPr>
          <w:rFonts w:eastAsiaTheme="minorEastAsia"/>
          <w:szCs w:val="24"/>
        </w:rPr>
        <w:t>2022年，辽宁水产品总产量489.2万吨，位居全国第七位，其中海水养殖量339.3</w:t>
      </w:r>
      <w:r>
        <w:t>万吨，位居全国第四位。海蜇、裙带菜、鲆鱼、蛤、中国对虾的养殖量位居全国第一，裙带菜养殖量15.3万吨，占全国养殖总量的74.4%。</w:t>
      </w:r>
    </w:p>
    <w:p w14:paraId="489D03EC">
      <w:pPr>
        <w:pStyle w:val="80"/>
        <w:ind w:firstLine="480"/>
      </w:pPr>
      <w:r>
        <w:t>从2022年开始，辽宁水产品贸易有所回升，进出口总额40.0亿美元，占全国水产品总进出口额的8.6%，位居全国第五位，同比增长10.4%。其中出口额23.3亿美元，位居全国第四位，同比增长7.0%，贸易顺差6.6亿美元。2022年，辽宁水产品前五大出口目的地是美国、日本、韩国、德国、加拿大，出口额分别为6.0亿美元、5.6亿美元、2.1亿美元、1.5亿美元、1.4亿美元，出口额合计16.6亿美元，占辽宁水产品出口总额的71.4%。其中，比目鱼、蛤、裙带菜、海蜇、海胆等单类水产品出口额位居全国第一。</w:t>
      </w:r>
    </w:p>
    <w:p w14:paraId="2A29B3A8">
      <w:pPr>
        <w:pStyle w:val="81"/>
        <w:rPr>
          <w:rFonts w:cs="Times New Roman"/>
        </w:rPr>
      </w:pPr>
      <w:r>
        <w:rPr>
          <w:rFonts w:cs="Times New Roman"/>
        </w:rPr>
        <w:drawing>
          <wp:inline distT="0" distB="0" distL="114300" distR="114300">
            <wp:extent cx="4141470" cy="2004060"/>
            <wp:effectExtent l="19050" t="0" r="11430" b="0"/>
            <wp:docPr id="5"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D64B467">
      <w:pPr>
        <w:pStyle w:val="61"/>
        <w:rPr>
          <w:rFonts w:cs="Times New Roman"/>
        </w:rPr>
      </w:pPr>
      <w:r>
        <w:rPr>
          <w:rFonts w:cs="Times New Roman"/>
        </w:rPr>
        <w:t xml:space="preserve">图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图 \* ARABIC \s 1 </w:instrText>
      </w:r>
      <w:r>
        <w:rPr>
          <w:rFonts w:cs="Times New Roman"/>
        </w:rPr>
        <w:fldChar w:fldCharType="separate"/>
      </w:r>
      <w:r>
        <w:rPr>
          <w:rFonts w:cs="Times New Roman"/>
        </w:rPr>
        <w:t>2</w:t>
      </w:r>
      <w:r>
        <w:rPr>
          <w:rFonts w:cs="Times New Roman"/>
        </w:rPr>
        <w:fldChar w:fldCharType="end"/>
      </w:r>
      <w:r>
        <w:rPr>
          <w:rFonts w:cs="Times New Roman"/>
        </w:rPr>
        <w:t xml:space="preserve">   2019—2023年辽宁省水产品出口量</w:t>
      </w:r>
    </w:p>
    <w:p w14:paraId="762B6B20">
      <w:pPr>
        <w:pStyle w:val="4"/>
        <w:numPr>
          <w:ilvl w:val="2"/>
          <w:numId w:val="2"/>
        </w:numPr>
        <w:ind w:left="0" w:firstLine="0"/>
        <w:rPr>
          <w:rFonts w:ascii="Times New Roman" w:cs="Times New Roman"/>
        </w:rPr>
      </w:pPr>
      <w:bookmarkStart w:id="126" w:name="_Toc198291910"/>
      <w:bookmarkStart w:id="127" w:name="_Toc198292132"/>
      <w:bookmarkStart w:id="128" w:name="_Toc196224408"/>
      <w:bookmarkStart w:id="129" w:name="_Toc196224159"/>
      <w:r>
        <w:rPr>
          <w:rFonts w:ascii="Times New Roman" w:cs="Times New Roman"/>
        </w:rPr>
        <w:t>海菜产品营养价值</w:t>
      </w:r>
      <w:bookmarkEnd w:id="126"/>
      <w:bookmarkEnd w:id="127"/>
      <w:bookmarkEnd w:id="128"/>
      <w:bookmarkEnd w:id="129"/>
    </w:p>
    <w:p w14:paraId="54CCCD6E">
      <w:pPr>
        <w:pStyle w:val="80"/>
        <w:ind w:firstLine="480"/>
        <w:rPr>
          <w:rFonts w:eastAsiaTheme="minorEastAsia"/>
        </w:rPr>
      </w:pPr>
      <w:r>
        <w:t>海菜产品营养成分丰富、储存方便、食用方法多样，经常食用可以预防和治疗甲状腺肿，促进智力发育，以及降血压、降血脂、降血糖、抗血栓、抗凝血、抗氧化、抗肿瘤等。此外海菜还可以用作工业原料，用来生产褐藻胶、冷露醇、碘、氯化钾等多样产品。</w:t>
      </w:r>
    </w:p>
    <w:p w14:paraId="714BC41D">
      <w:pPr>
        <w:pStyle w:val="4"/>
        <w:numPr>
          <w:ilvl w:val="2"/>
          <w:numId w:val="2"/>
        </w:numPr>
        <w:ind w:left="0" w:firstLine="0"/>
        <w:rPr>
          <w:rFonts w:ascii="Times New Roman" w:cs="Times New Roman"/>
        </w:rPr>
      </w:pPr>
      <w:bookmarkStart w:id="130" w:name="_Toc198291911"/>
      <w:bookmarkStart w:id="131" w:name="_Toc196224409"/>
      <w:bookmarkStart w:id="132" w:name="_Toc8753"/>
      <w:bookmarkStart w:id="133" w:name="_Toc196224160"/>
      <w:bookmarkStart w:id="134" w:name="_Toc198292133"/>
      <w:bookmarkStart w:id="135" w:name="_Toc10802"/>
      <w:r>
        <w:rPr>
          <w:rFonts w:ascii="Times New Roman" w:cs="Times New Roman"/>
        </w:rPr>
        <w:t>行业发展趋势预测</w:t>
      </w:r>
      <w:bookmarkEnd w:id="130"/>
      <w:bookmarkEnd w:id="131"/>
      <w:bookmarkEnd w:id="132"/>
      <w:bookmarkEnd w:id="133"/>
      <w:bookmarkEnd w:id="134"/>
      <w:bookmarkEnd w:id="135"/>
    </w:p>
    <w:p w14:paraId="649FDC26">
      <w:pPr>
        <w:pStyle w:val="80"/>
        <w:ind w:firstLine="480"/>
      </w:pPr>
      <w:r>
        <w:t>辽宁省具有得天独厚的自然地理条件以及丰富的海产品资源，近些年来逐渐成为海带和裙带菜行业的养殖加工大省，并成为世界上最大的裙带菜养殖加工基地。根据2023年渔业统计年鉴的数据统计，2022年辽宁省海菜养殖面积达13529公顷，其中海带养殖面积7764公顷，裙带菜养殖面积5765公顷。此外，海菜营养物质含量丰富，不仅可供食用，还是医药、纺织、化工产业的重要原料，以及海菜还具有重要的生态价值。因此，辽宁省的海菜加工行业具有良好的发展态势。</w:t>
      </w:r>
    </w:p>
    <w:bookmarkEnd w:id="10"/>
    <w:p w14:paraId="2C504068">
      <w:pPr>
        <w:pStyle w:val="3"/>
        <w:numPr>
          <w:ilvl w:val="1"/>
          <w:numId w:val="2"/>
        </w:numPr>
        <w:rPr>
          <w:rFonts w:ascii="Times New Roman" w:hAnsi="Times New Roman" w:cs="Times New Roman"/>
        </w:rPr>
      </w:pPr>
      <w:bookmarkStart w:id="136" w:name="_Toc1609461661"/>
      <w:bookmarkStart w:id="137" w:name="_Toc196224410"/>
      <w:bookmarkStart w:id="138" w:name="_Toc196224161"/>
      <w:bookmarkStart w:id="139" w:name="_Toc198292134"/>
      <w:r>
        <w:rPr>
          <w:rFonts w:ascii="Times New Roman" w:hAnsi="Times New Roman" w:cs="Times New Roman"/>
        </w:rPr>
        <w:t>行业产排污情况及污染处理现状分析</w:t>
      </w:r>
      <w:bookmarkEnd w:id="136"/>
      <w:bookmarkEnd w:id="137"/>
      <w:bookmarkEnd w:id="138"/>
      <w:bookmarkEnd w:id="139"/>
    </w:p>
    <w:bookmarkEnd w:id="11"/>
    <w:p w14:paraId="74C719AC">
      <w:pPr>
        <w:pStyle w:val="4"/>
        <w:numPr>
          <w:ilvl w:val="2"/>
          <w:numId w:val="2"/>
        </w:numPr>
        <w:ind w:left="0" w:firstLine="0"/>
        <w:rPr>
          <w:rFonts w:ascii="Times New Roman" w:cs="Times New Roman"/>
        </w:rPr>
      </w:pPr>
      <w:bookmarkStart w:id="140" w:name="_Toc1160379767"/>
      <w:bookmarkStart w:id="141" w:name="_Toc196224162"/>
      <w:bookmarkStart w:id="142" w:name="_Toc21282"/>
      <w:bookmarkStart w:id="143" w:name="_Toc1540"/>
      <w:bookmarkStart w:id="144" w:name="_Toc196224411"/>
      <w:bookmarkStart w:id="145" w:name="_Toc198291913"/>
      <w:bookmarkStart w:id="146" w:name="_Toc198292135"/>
      <w:r>
        <w:rPr>
          <w:rFonts w:ascii="Times New Roman" w:cs="Times New Roman"/>
        </w:rPr>
        <w:t>行业生产工艺及产污环节分析</w:t>
      </w:r>
      <w:bookmarkEnd w:id="140"/>
      <w:bookmarkEnd w:id="141"/>
      <w:bookmarkEnd w:id="142"/>
      <w:bookmarkEnd w:id="143"/>
      <w:bookmarkEnd w:id="144"/>
      <w:bookmarkEnd w:id="145"/>
      <w:bookmarkEnd w:id="146"/>
    </w:p>
    <w:p w14:paraId="1A4A1968">
      <w:pPr>
        <w:pStyle w:val="80"/>
        <w:ind w:firstLine="480"/>
      </w:pPr>
      <w:r>
        <w:t>海菜行业的产品主要分两种，即海带和裙带菜。目前，海菜的加工方式主要分为以下两大类：（1）直接初加工：将养殖的海菜运到岸边加工厂经过漂烫、冷却、盐渍等流程直接进行加工。（2）二次加工：将以上制品根据需要进行精细加工，制成海带丝等预制品。</w:t>
      </w:r>
    </w:p>
    <w:p w14:paraId="1496B638">
      <w:pPr>
        <w:pStyle w:val="4"/>
        <w:numPr>
          <w:ilvl w:val="2"/>
          <w:numId w:val="2"/>
        </w:numPr>
        <w:ind w:left="0" w:firstLine="0"/>
        <w:rPr>
          <w:rFonts w:ascii="Times New Roman" w:cs="Times New Roman"/>
        </w:rPr>
      </w:pPr>
      <w:bookmarkStart w:id="147" w:name="_Toc196224412"/>
      <w:bookmarkStart w:id="148" w:name="_Toc198292136"/>
      <w:bookmarkStart w:id="149" w:name="_Toc198291914"/>
      <w:bookmarkStart w:id="150" w:name="_Toc27058"/>
      <w:bookmarkStart w:id="151" w:name="_Toc7783"/>
      <w:bookmarkStart w:id="152" w:name="_Toc196224163"/>
      <w:r>
        <w:rPr>
          <w:rFonts w:ascii="Times New Roman" w:cs="Times New Roman"/>
        </w:rPr>
        <w:t>生产工艺流程及产污环节分析</w:t>
      </w:r>
      <w:bookmarkEnd w:id="147"/>
      <w:bookmarkEnd w:id="148"/>
      <w:bookmarkEnd w:id="149"/>
      <w:bookmarkEnd w:id="150"/>
      <w:bookmarkEnd w:id="151"/>
      <w:bookmarkEnd w:id="152"/>
    </w:p>
    <w:p w14:paraId="69A94088">
      <w:pPr>
        <w:pStyle w:val="80"/>
        <w:ind w:firstLine="480"/>
      </w:pPr>
      <w:r>
        <w:t>对于海菜行业的生产加工流程及产污环节大致如下：</w:t>
      </w:r>
    </w:p>
    <w:p w14:paraId="29817A23">
      <w:pPr>
        <w:pStyle w:val="81"/>
        <w:rPr>
          <w:rFonts w:cs="Times New Roman"/>
        </w:rPr>
      </w:pPr>
      <w:r>
        <w:rPr>
          <w:rFonts w:cs="Times New Roman"/>
        </w:rPr>
        <w:drawing>
          <wp:inline distT="0" distB="0" distL="114300" distR="114300">
            <wp:extent cx="3425190" cy="1059815"/>
            <wp:effectExtent l="1905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tretch>
                      <a:fillRect/>
                    </a:stretch>
                  </pic:blipFill>
                  <pic:spPr>
                    <a:xfrm>
                      <a:off x="0" y="0"/>
                      <a:ext cx="3427709" cy="1060946"/>
                    </a:xfrm>
                    <a:prstGeom prst="rect">
                      <a:avLst/>
                    </a:prstGeom>
                    <a:noFill/>
                    <a:ln>
                      <a:noFill/>
                    </a:ln>
                  </pic:spPr>
                </pic:pic>
              </a:graphicData>
            </a:graphic>
          </wp:inline>
        </w:drawing>
      </w:r>
    </w:p>
    <w:p w14:paraId="74EB418B">
      <w:pPr>
        <w:pStyle w:val="80"/>
        <w:ind w:firstLine="480"/>
      </w:pPr>
      <w:r>
        <w:t>（1）漂烫（蒸煮）工艺：将海水养殖的海菜（即海带和裙带菜）放入蒸煮锅内进行蒸煮。漂烫过程会产生有机物污染和热量污染，释放悬浮物、COD、总氮、总磷、盐等污染物。</w:t>
      </w:r>
    </w:p>
    <w:p w14:paraId="2F3514E3">
      <w:pPr>
        <w:pStyle w:val="80"/>
        <w:ind w:firstLine="480"/>
      </w:pPr>
      <w:r>
        <w:t>（2）冷却工艺：将蒸煮后的海菜用大量冷却水进行冷却。冷却过程主要产生COD、悬浮物等污染物。</w:t>
      </w:r>
    </w:p>
    <w:p w14:paraId="54EA68A1">
      <w:pPr>
        <w:pStyle w:val="80"/>
        <w:ind w:firstLine="480"/>
      </w:pPr>
      <w:r>
        <w:t>（3）盐渍工艺：将冷却后的海菜用盐进行腌渍，会产生少量的浓盐水和有机物。</w:t>
      </w:r>
    </w:p>
    <w:p w14:paraId="491CCBE4">
      <w:pPr>
        <w:pStyle w:val="4"/>
        <w:numPr>
          <w:ilvl w:val="2"/>
          <w:numId w:val="2"/>
        </w:numPr>
        <w:ind w:left="0" w:firstLine="0"/>
        <w:rPr>
          <w:rFonts w:ascii="Times New Roman" w:cs="Times New Roman"/>
        </w:rPr>
      </w:pPr>
      <w:bookmarkStart w:id="153" w:name="_Toc5920"/>
      <w:bookmarkStart w:id="154" w:name="_Toc8822"/>
      <w:bookmarkStart w:id="155" w:name="_Toc198292137"/>
      <w:bookmarkStart w:id="156" w:name="_Toc196224164"/>
      <w:bookmarkStart w:id="157" w:name="_Toc198291915"/>
      <w:bookmarkStart w:id="158" w:name="_Toc196224413"/>
      <w:r>
        <w:rPr>
          <w:rFonts w:ascii="Times New Roman" w:cs="Times New Roman"/>
        </w:rPr>
        <w:t>污染物产生分析</w:t>
      </w:r>
      <w:bookmarkEnd w:id="153"/>
      <w:bookmarkEnd w:id="154"/>
      <w:bookmarkEnd w:id="155"/>
      <w:bookmarkEnd w:id="156"/>
      <w:bookmarkEnd w:id="157"/>
      <w:bookmarkEnd w:id="158"/>
    </w:p>
    <w:p w14:paraId="5C32A4EB">
      <w:pPr>
        <w:pStyle w:val="8"/>
        <w:ind w:left="0" w:leftChars="0" w:firstLine="480"/>
        <w:rPr>
          <w:rFonts w:cs="Times New Roman"/>
        </w:rPr>
      </w:pPr>
      <w:r>
        <w:rPr>
          <w:rFonts w:cs="Times New Roman"/>
        </w:rPr>
        <w:t>（1）主要来源</w:t>
      </w:r>
    </w:p>
    <w:p w14:paraId="302C59BC">
      <w:pPr>
        <w:ind w:firstLine="480"/>
        <w:rPr>
          <w:rFonts w:cs="Times New Roman"/>
        </w:rPr>
      </w:pPr>
      <w:r>
        <w:rPr>
          <w:rFonts w:cs="Times New Roman"/>
        </w:rPr>
        <w:t>辽宁省的海菜类产品加工产业有海带、裙带菜加工。海菜加工时的废水主要来自漂烫（蒸煮）工艺和盐渍工艺产生的漂烫盐渍废水，和漂烫工艺后冲洗海菜的冷却水。</w:t>
      </w:r>
    </w:p>
    <w:p w14:paraId="4FF71EEF">
      <w:pPr>
        <w:ind w:firstLine="480"/>
        <w:rPr>
          <w:rFonts w:cs="Times New Roman"/>
        </w:rPr>
      </w:pPr>
      <w:r>
        <w:rPr>
          <w:rFonts w:cs="Times New Roman"/>
        </w:rPr>
        <w:t>漂烫盐渍废水含盐度高，COD、总氮、总磷浓度大，但水量小，适宜集中处理；冷却水占总排水量的99%以上，主要污染物是SS、COD，此外废水的pH值比海水低，通常具有一定温度，排放后对附近水体生物生长造成一定影响。这类直接使用海水的加工过程，因目前尚未列入国家行业标准管控范围，使得部分企业和渔户向海水中肆意排放加工废水，影响周围住户，且废水水温、pH、COD等均不达标，若放任不予管制，容易造成海洋水体富营养化，引发赤潮等海藻类泛滥现象，影响周边海域生态系统平衡发展。</w:t>
      </w:r>
    </w:p>
    <w:p w14:paraId="2D6B21D4">
      <w:pPr>
        <w:pStyle w:val="8"/>
        <w:ind w:left="0" w:leftChars="0" w:firstLine="480"/>
        <w:rPr>
          <w:rFonts w:cs="Times New Roman"/>
        </w:rPr>
      </w:pPr>
      <w:r>
        <w:rPr>
          <w:rFonts w:cs="Times New Roman"/>
        </w:rPr>
        <w:t>（2）主要特征</w:t>
      </w:r>
    </w:p>
    <w:p w14:paraId="6C483F26">
      <w:pPr>
        <w:pStyle w:val="8"/>
        <w:numPr>
          <w:ilvl w:val="0"/>
          <w:numId w:val="3"/>
        </w:numPr>
        <w:ind w:leftChars="0" w:firstLine="480"/>
        <w:rPr>
          <w:rFonts w:cs="Times New Roman"/>
        </w:rPr>
      </w:pPr>
      <w:r>
        <w:rPr>
          <w:rFonts w:cs="Times New Roman"/>
        </w:rPr>
        <w:t>漂烫过程中反复蒸煮，有机物和无机物浓缩，海菜本身含磷，漂烫工艺蒸煮加热过程会使磷析出， SS、COD、总磷、总氮指标均远高于省污水综排标准</w:t>
      </w:r>
      <w:r>
        <w:rPr>
          <w:rFonts w:cs="Times New Roman"/>
          <w:szCs w:val="24"/>
        </w:rPr>
        <w:t>，盐度高，富集大量悬浮物与多糖类物质。</w:t>
      </w:r>
    </w:p>
    <w:p w14:paraId="745CC14E">
      <w:pPr>
        <w:pStyle w:val="8"/>
        <w:numPr>
          <w:ilvl w:val="0"/>
          <w:numId w:val="3"/>
        </w:numPr>
        <w:ind w:leftChars="0" w:firstLine="480"/>
        <w:rPr>
          <w:rFonts w:cs="Times New Roman"/>
        </w:rPr>
      </w:pPr>
      <w:r>
        <w:rPr>
          <w:rFonts w:cs="Times New Roman"/>
        </w:rPr>
        <w:t>裙带菜加工时间在每年3-4月，此时间段废水排放对海水无影响；海带加工时间在每年5-6月，5月废水排放对海洋没影响，6月份一方面海带加工量大，另一方面气温升高，总氮、总磷含量大，废水未经收集处理后直接排放，会在近岸引起一部分赤潮，并偶发泡沫。</w:t>
      </w:r>
    </w:p>
    <w:p w14:paraId="07774157">
      <w:pPr>
        <w:pStyle w:val="4"/>
        <w:numPr>
          <w:ilvl w:val="2"/>
          <w:numId w:val="2"/>
        </w:numPr>
        <w:ind w:left="0" w:firstLine="0"/>
        <w:rPr>
          <w:rFonts w:ascii="Times New Roman" w:cs="Times New Roman"/>
        </w:rPr>
      </w:pPr>
      <w:bookmarkStart w:id="159" w:name="_Toc198292138"/>
      <w:bookmarkStart w:id="160" w:name="_Toc196224414"/>
      <w:bookmarkStart w:id="161" w:name="_Toc196224165"/>
      <w:bookmarkStart w:id="162" w:name="_Toc198291916"/>
      <w:bookmarkStart w:id="163" w:name="_Toc915038796"/>
      <w:r>
        <w:rPr>
          <w:rFonts w:ascii="Times New Roman" w:cs="Times New Roman"/>
        </w:rPr>
        <w:t>行业排污现状</w:t>
      </w:r>
      <w:bookmarkEnd w:id="159"/>
      <w:bookmarkEnd w:id="160"/>
      <w:bookmarkEnd w:id="161"/>
      <w:bookmarkEnd w:id="162"/>
      <w:bookmarkEnd w:id="163"/>
    </w:p>
    <w:p w14:paraId="3FBA3FF3">
      <w:pPr>
        <w:pStyle w:val="80"/>
        <w:ind w:firstLine="480"/>
      </w:pPr>
      <w:r>
        <w:t>目前，海菜产品加工废水主要来源于生产加工过程中产生的漂烫盐渍废水、设备冲洗水及车间地面冲洗水等，其中的主要污染物有SS、COD、总氮、总磷等。在生产加工过程中，各企业的加工能力和工艺不尽相同，对于漂烫环节，中型企业一天用水15吨左右，小型企业用水少；对于冷却环节，企业所用水：海菜=20:1，产生大量的冷却水；对于盐渍环节，盐：海菜：=1:3，产生少量浓盐水，盐度达27%左右，最终，一部分企业的生产废水如盐渍环节产生的浓盐水和冷却环节产生的大量冷却水一起直排入海，另一部分企业将产生的废水经沉降、过滤等处理后排入城市管网系统。</w:t>
      </w:r>
    </w:p>
    <w:p w14:paraId="58E0D58C">
      <w:pPr>
        <w:pStyle w:val="80"/>
        <w:ind w:firstLine="480"/>
      </w:pPr>
      <w:r>
        <w:t>海菜加工企业生产废水一部分通过排污管和排污口直接排放入海，另一部分废水经沉降、过滤等处理后排入城市管网系统。大连市海菜行业废水主要排放至黄海和渤海流域，排污口大多设置在黄海流域沿岸。辽宁省海菜加工企业排污口分布见</w:t>
      </w:r>
      <w:r>
        <w:fldChar w:fldCharType="begin"/>
      </w:r>
      <w:r>
        <w:instrText xml:space="preserve"> REF _Ref196211796 \h  \* MERGEFORMAT </w:instrText>
      </w:r>
      <w:r>
        <w:fldChar w:fldCharType="separate"/>
      </w:r>
      <w:r>
        <w:t>图 3</w:t>
      </w:r>
      <w:r>
        <w:noBreakHyphen/>
      </w:r>
      <w:r>
        <w:t>3</w:t>
      </w:r>
      <w:r>
        <w:fldChar w:fldCharType="end"/>
      </w:r>
      <w:r>
        <w:t>。</w:t>
      </w:r>
    </w:p>
    <w:p w14:paraId="2E00174C">
      <w:pPr>
        <w:pStyle w:val="61"/>
        <w:rPr>
          <w:rFonts w:cs="Times New Roman"/>
        </w:rPr>
      </w:pPr>
      <w:r>
        <w:rPr>
          <w:rFonts w:cs="Times New Roman"/>
        </w:rPr>
        <w:drawing>
          <wp:inline distT="0" distB="0" distL="114300" distR="114300">
            <wp:extent cx="4607560" cy="3435985"/>
            <wp:effectExtent l="0" t="0" r="2540" b="12065"/>
            <wp:docPr id="68" name="图片 68" descr="5965057a22edba3db3b7f6b803a5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5965057a22edba3db3b7f6b803a5951"/>
                    <pic:cNvPicPr>
                      <a:picLocks noChangeAspect="1"/>
                    </pic:cNvPicPr>
                  </pic:nvPicPr>
                  <pic:blipFill>
                    <a:blip r:embed="rId16"/>
                    <a:stretch>
                      <a:fillRect/>
                    </a:stretch>
                  </pic:blipFill>
                  <pic:spPr>
                    <a:xfrm>
                      <a:off x="0" y="0"/>
                      <a:ext cx="4613291" cy="3440382"/>
                    </a:xfrm>
                    <a:prstGeom prst="rect">
                      <a:avLst/>
                    </a:prstGeom>
                  </pic:spPr>
                </pic:pic>
              </a:graphicData>
            </a:graphic>
          </wp:inline>
        </w:drawing>
      </w:r>
    </w:p>
    <w:p w14:paraId="39C864B9">
      <w:pPr>
        <w:pStyle w:val="61"/>
        <w:rPr>
          <w:rFonts w:cs="Times New Roman"/>
        </w:rPr>
      </w:pPr>
      <w:bookmarkStart w:id="164" w:name="_Ref196211796"/>
      <w:r>
        <w:rPr>
          <w:rFonts w:cs="Times New Roman"/>
        </w:rPr>
        <w:t xml:space="preserve">图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图 \* ARABIC \s 1 </w:instrText>
      </w:r>
      <w:r>
        <w:rPr>
          <w:rFonts w:cs="Times New Roman"/>
        </w:rPr>
        <w:fldChar w:fldCharType="separate"/>
      </w:r>
      <w:r>
        <w:rPr>
          <w:rFonts w:cs="Times New Roman"/>
        </w:rPr>
        <w:t>3</w:t>
      </w:r>
      <w:r>
        <w:rPr>
          <w:rFonts w:cs="Times New Roman"/>
        </w:rPr>
        <w:fldChar w:fldCharType="end"/>
      </w:r>
      <w:bookmarkEnd w:id="164"/>
      <w:r>
        <w:rPr>
          <w:rFonts w:cs="Times New Roman"/>
        </w:rPr>
        <w:t xml:space="preserve">    大连市海菜加工企业排污口分布图</w:t>
      </w:r>
    </w:p>
    <w:p w14:paraId="756C7B15">
      <w:pPr>
        <w:pStyle w:val="3"/>
        <w:numPr>
          <w:ilvl w:val="1"/>
          <w:numId w:val="2"/>
        </w:numPr>
        <w:rPr>
          <w:rFonts w:ascii="Times New Roman" w:hAnsi="Times New Roman" w:cs="Times New Roman"/>
        </w:rPr>
      </w:pPr>
      <w:bookmarkStart w:id="165" w:name="_Toc196224166"/>
      <w:bookmarkStart w:id="166" w:name="_Toc196224415"/>
      <w:bookmarkStart w:id="167" w:name="_Toc2128732219"/>
      <w:bookmarkStart w:id="168" w:name="_Toc198292139"/>
      <w:r>
        <w:rPr>
          <w:rFonts w:ascii="Times New Roman" w:hAnsi="Times New Roman" w:cs="Times New Roman"/>
        </w:rPr>
        <w:t>行业污染处理现状</w:t>
      </w:r>
      <w:bookmarkEnd w:id="165"/>
      <w:bookmarkEnd w:id="166"/>
      <w:bookmarkEnd w:id="167"/>
      <w:bookmarkEnd w:id="168"/>
    </w:p>
    <w:p w14:paraId="2A75423B">
      <w:pPr>
        <w:pStyle w:val="4"/>
        <w:numPr>
          <w:ilvl w:val="2"/>
          <w:numId w:val="2"/>
        </w:numPr>
        <w:ind w:left="0" w:firstLine="0"/>
        <w:rPr>
          <w:rFonts w:ascii="Times New Roman" w:cs="Times New Roman"/>
        </w:rPr>
      </w:pPr>
      <w:bookmarkStart w:id="169" w:name="_Toc198291918"/>
      <w:bookmarkStart w:id="170" w:name="_Toc196224167"/>
      <w:bookmarkStart w:id="171" w:name="_Toc196224416"/>
      <w:bookmarkStart w:id="172" w:name="_Toc198292140"/>
      <w:r>
        <w:rPr>
          <w:rFonts w:ascii="Times New Roman" w:cs="Times New Roman"/>
        </w:rPr>
        <w:t>污染物处理现状</w:t>
      </w:r>
      <w:bookmarkEnd w:id="169"/>
      <w:bookmarkEnd w:id="170"/>
      <w:bookmarkEnd w:id="171"/>
      <w:bookmarkEnd w:id="172"/>
    </w:p>
    <w:p w14:paraId="4B199174">
      <w:pPr>
        <w:pStyle w:val="80"/>
        <w:ind w:firstLine="480"/>
      </w:pPr>
      <w:r>
        <w:t>海菜加工废水由于排放时SS、COD、总氮、总磷等严重超标，且盐度过高，会对海水水质产生影响。目前各阶段废水的处理流程为：蒸煮过程中的漂烫水不直排海，先在处理池中收集并进行处理，之后再运出并入城市管网系统排放。盐渍过程产生的浓盐水先在池子中收集起来，最终随冷却水一起排放；也有与漂烫废水一同进入设备进行处理。</w:t>
      </w:r>
    </w:p>
    <w:p w14:paraId="4484A478">
      <w:pPr>
        <w:pStyle w:val="4"/>
        <w:numPr>
          <w:ilvl w:val="2"/>
          <w:numId w:val="2"/>
        </w:numPr>
        <w:ind w:left="0" w:firstLine="0"/>
        <w:rPr>
          <w:rFonts w:ascii="Times New Roman" w:cs="Times New Roman"/>
        </w:rPr>
      </w:pPr>
      <w:bookmarkStart w:id="173" w:name="_Toc198292141"/>
      <w:bookmarkStart w:id="174" w:name="_Toc196224417"/>
      <w:bookmarkStart w:id="175" w:name="_Toc196224168"/>
      <w:bookmarkStart w:id="176" w:name="_Toc198291919"/>
      <w:r>
        <w:rPr>
          <w:rFonts w:ascii="Times New Roman" w:cs="Times New Roman"/>
        </w:rPr>
        <w:t>行业污水处理难点</w:t>
      </w:r>
      <w:bookmarkEnd w:id="173"/>
      <w:bookmarkEnd w:id="174"/>
      <w:bookmarkEnd w:id="175"/>
      <w:bookmarkEnd w:id="176"/>
    </w:p>
    <w:p w14:paraId="002017D7">
      <w:pPr>
        <w:pStyle w:val="80"/>
        <w:ind w:firstLine="480"/>
      </w:pPr>
      <w:r>
        <w:t>（1）水质指标差别大，漂烫盐渍废水进水COD、总氮、总磷浓度高，且目前执行的污水排放标准COD指标过于严格，且不适于以海水为主要成分的冷却水，达标排放的处理成本高昂。</w:t>
      </w:r>
    </w:p>
    <w:p w14:paraId="63FFB63E">
      <w:pPr>
        <w:pStyle w:val="80"/>
        <w:ind w:firstLine="480"/>
      </w:pPr>
      <w:r>
        <w:t>（2）农村小作坊式的个体加工厂多，没有废水排放设施，很多企业没有环保手续，管理难度大。</w:t>
      </w:r>
    </w:p>
    <w:p w14:paraId="1753A95F">
      <w:pPr>
        <w:pStyle w:val="80"/>
        <w:ind w:firstLine="480"/>
      </w:pPr>
      <w:r>
        <w:t>（3）所有的海菜加工过程中所用水均为海水，整个过程所产生的废水主要有漂烫盐渍水和冷却水。其中冷却环节需要大量海水，产生的大量冷却水需经处理达标后排放。</w:t>
      </w:r>
    </w:p>
    <w:p w14:paraId="2660DFF7">
      <w:pPr>
        <w:pStyle w:val="4"/>
        <w:numPr>
          <w:ilvl w:val="2"/>
          <w:numId w:val="2"/>
        </w:numPr>
        <w:ind w:left="0" w:firstLine="0"/>
        <w:rPr>
          <w:rFonts w:ascii="Times New Roman" w:cs="Times New Roman"/>
        </w:rPr>
      </w:pPr>
      <w:bookmarkStart w:id="177" w:name="_Toc198292142"/>
      <w:bookmarkStart w:id="178" w:name="_Toc198291920"/>
      <w:bookmarkStart w:id="179" w:name="_Toc196224169"/>
      <w:bookmarkStart w:id="180" w:name="_Toc196224418"/>
      <w:bookmarkStart w:id="181" w:name="_Toc76041883"/>
      <w:r>
        <w:rPr>
          <w:rFonts w:ascii="Times New Roman" w:cs="Times New Roman"/>
        </w:rPr>
        <w:t>国外水产品加工废水排放相关标准研究</w:t>
      </w:r>
      <w:bookmarkEnd w:id="177"/>
      <w:bookmarkEnd w:id="178"/>
      <w:bookmarkEnd w:id="179"/>
      <w:bookmarkEnd w:id="180"/>
      <w:bookmarkEnd w:id="181"/>
    </w:p>
    <w:p w14:paraId="64432AB3">
      <w:pPr>
        <w:pStyle w:val="80"/>
        <w:ind w:firstLine="480"/>
      </w:pPr>
      <w:r>
        <w:t>通过相关资料了解到日本水产品加工废水普遍都是直接入海排放，且污染物浓度排放限值符合《水污染控制法》的规定。参考日本水污染控制法统一排水标准，日本水质标准包括健康项目和生活环境项目两大类，采用浓度限值。允许地方根据当地水域特点制定地方排水限值标准。对于日本水污染控制法统一排水标准的规定值如表3-2。</w:t>
      </w:r>
    </w:p>
    <w:p w14:paraId="0AD14C3D">
      <w:pPr>
        <w:pStyle w:val="80"/>
        <w:ind w:firstLine="480"/>
      </w:pPr>
    </w:p>
    <w:p w14:paraId="58438276">
      <w:pPr>
        <w:pStyle w:val="80"/>
        <w:ind w:firstLine="480"/>
      </w:pPr>
    </w:p>
    <w:p w14:paraId="7AFA986B">
      <w:pPr>
        <w:pStyle w:val="80"/>
        <w:ind w:firstLine="480"/>
      </w:pPr>
    </w:p>
    <w:p w14:paraId="49F22938">
      <w:pPr>
        <w:pStyle w:val="61"/>
        <w:rPr>
          <w:rFonts w:cs="Times New Roman"/>
        </w:rPr>
      </w:pPr>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2</w:t>
      </w:r>
      <w:r>
        <w:rPr>
          <w:rFonts w:cs="Times New Roman"/>
        </w:rPr>
        <w:fldChar w:fldCharType="end"/>
      </w:r>
      <w:r>
        <w:rPr>
          <w:rFonts w:cs="Times New Roman"/>
        </w:rPr>
        <w:t xml:space="preserve">    日本统一排水标准</w:t>
      </w:r>
    </w:p>
    <w:tbl>
      <w:tblPr>
        <w:tblStyle w:val="68"/>
        <w:tblW w:w="90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1"/>
        <w:gridCol w:w="2698"/>
        <w:gridCol w:w="2635"/>
        <w:gridCol w:w="2045"/>
      </w:tblGrid>
      <w:tr w14:paraId="59504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1" w:type="dxa"/>
            <w:vAlign w:val="center"/>
          </w:tcPr>
          <w:p w14:paraId="01E0F0D5">
            <w:pPr>
              <w:pStyle w:val="81"/>
              <w:rPr>
                <w:rFonts w:cs="Times New Roman"/>
                <w:kern w:val="0"/>
                <w:sz w:val="20"/>
              </w:rPr>
            </w:pPr>
            <w:r>
              <w:rPr>
                <w:rFonts w:cs="Times New Roman"/>
                <w:kern w:val="0"/>
                <w:sz w:val="20"/>
              </w:rPr>
              <w:t>项  目</w:t>
            </w:r>
          </w:p>
        </w:tc>
        <w:tc>
          <w:tcPr>
            <w:tcW w:w="2698" w:type="dxa"/>
            <w:vAlign w:val="center"/>
          </w:tcPr>
          <w:p w14:paraId="294DE4D4">
            <w:pPr>
              <w:pStyle w:val="81"/>
              <w:rPr>
                <w:rFonts w:cs="Times New Roman"/>
                <w:kern w:val="0"/>
                <w:sz w:val="20"/>
              </w:rPr>
            </w:pPr>
            <w:r>
              <w:rPr>
                <w:rFonts w:cs="Times New Roman"/>
                <w:kern w:val="0"/>
                <w:sz w:val="20"/>
              </w:rPr>
              <w:t>种  类</w:t>
            </w:r>
          </w:p>
        </w:tc>
        <w:tc>
          <w:tcPr>
            <w:tcW w:w="2635" w:type="dxa"/>
            <w:vAlign w:val="center"/>
          </w:tcPr>
          <w:p w14:paraId="51BAE237">
            <w:pPr>
              <w:pStyle w:val="81"/>
              <w:rPr>
                <w:rFonts w:cs="Times New Roman"/>
                <w:kern w:val="0"/>
                <w:sz w:val="20"/>
              </w:rPr>
            </w:pPr>
            <w:r>
              <w:rPr>
                <w:rFonts w:cs="Times New Roman"/>
                <w:kern w:val="0"/>
                <w:sz w:val="20"/>
              </w:rPr>
              <w:t>容许限度（mg/L）</w:t>
            </w:r>
          </w:p>
        </w:tc>
        <w:tc>
          <w:tcPr>
            <w:tcW w:w="2045" w:type="dxa"/>
            <w:vAlign w:val="center"/>
          </w:tcPr>
          <w:p w14:paraId="598AB50B">
            <w:pPr>
              <w:pStyle w:val="81"/>
              <w:rPr>
                <w:rFonts w:cs="Times New Roman"/>
                <w:kern w:val="0"/>
                <w:sz w:val="20"/>
              </w:rPr>
            </w:pPr>
            <w:r>
              <w:rPr>
                <w:rFonts w:cs="Times New Roman"/>
                <w:kern w:val="0"/>
                <w:sz w:val="20"/>
              </w:rPr>
              <w:t>备  注</w:t>
            </w:r>
          </w:p>
        </w:tc>
      </w:tr>
      <w:tr w14:paraId="02E6B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1" w:type="dxa"/>
            <w:vAlign w:val="center"/>
          </w:tcPr>
          <w:p w14:paraId="7BEC0762">
            <w:pPr>
              <w:pStyle w:val="81"/>
              <w:rPr>
                <w:rFonts w:cs="Times New Roman"/>
                <w:kern w:val="0"/>
                <w:sz w:val="20"/>
              </w:rPr>
            </w:pPr>
            <w:r>
              <w:rPr>
                <w:rFonts w:cs="Times New Roman"/>
                <w:kern w:val="0"/>
                <w:sz w:val="20"/>
              </w:rPr>
              <w:t>健康项目</w:t>
            </w:r>
          </w:p>
        </w:tc>
        <w:tc>
          <w:tcPr>
            <w:tcW w:w="2698" w:type="dxa"/>
            <w:vAlign w:val="center"/>
          </w:tcPr>
          <w:p w14:paraId="7D29BE3E">
            <w:pPr>
              <w:pStyle w:val="81"/>
              <w:rPr>
                <w:rFonts w:cs="Times New Roman"/>
                <w:kern w:val="0"/>
                <w:sz w:val="20"/>
              </w:rPr>
            </w:pPr>
            <w:r>
              <w:rPr>
                <w:rFonts w:cs="Times New Roman"/>
                <w:kern w:val="0"/>
                <w:sz w:val="20"/>
              </w:rPr>
              <w:t>氨氮</w:t>
            </w:r>
          </w:p>
        </w:tc>
        <w:tc>
          <w:tcPr>
            <w:tcW w:w="2635" w:type="dxa"/>
            <w:vAlign w:val="center"/>
          </w:tcPr>
          <w:p w14:paraId="72932D50">
            <w:pPr>
              <w:pStyle w:val="81"/>
              <w:rPr>
                <w:rFonts w:cs="Times New Roman"/>
                <w:kern w:val="0"/>
                <w:sz w:val="20"/>
              </w:rPr>
            </w:pPr>
            <w:r>
              <w:rPr>
                <w:rFonts w:cs="Times New Roman"/>
                <w:kern w:val="0"/>
                <w:sz w:val="20"/>
              </w:rPr>
              <w:t>100</w:t>
            </w:r>
          </w:p>
        </w:tc>
        <w:tc>
          <w:tcPr>
            <w:tcW w:w="2045" w:type="dxa"/>
            <w:vAlign w:val="center"/>
          </w:tcPr>
          <w:p w14:paraId="5AA59357">
            <w:pPr>
              <w:pStyle w:val="81"/>
              <w:rPr>
                <w:rFonts w:cs="Times New Roman"/>
                <w:kern w:val="0"/>
                <w:sz w:val="20"/>
              </w:rPr>
            </w:pPr>
          </w:p>
        </w:tc>
      </w:tr>
      <w:tr w14:paraId="78901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1" w:type="dxa"/>
            <w:vMerge w:val="restart"/>
            <w:vAlign w:val="center"/>
          </w:tcPr>
          <w:p w14:paraId="1B712B41">
            <w:pPr>
              <w:pStyle w:val="81"/>
              <w:rPr>
                <w:rFonts w:cs="Times New Roman"/>
                <w:kern w:val="0"/>
                <w:sz w:val="20"/>
              </w:rPr>
            </w:pPr>
            <w:r>
              <w:rPr>
                <w:rFonts w:cs="Times New Roman"/>
                <w:kern w:val="0"/>
                <w:sz w:val="20"/>
              </w:rPr>
              <w:t>生活环境项目</w:t>
            </w:r>
          </w:p>
        </w:tc>
        <w:tc>
          <w:tcPr>
            <w:tcW w:w="2698" w:type="dxa"/>
            <w:vAlign w:val="center"/>
          </w:tcPr>
          <w:p w14:paraId="00C7B45D">
            <w:pPr>
              <w:pStyle w:val="81"/>
              <w:rPr>
                <w:rFonts w:cs="Times New Roman"/>
                <w:kern w:val="0"/>
                <w:sz w:val="20"/>
              </w:rPr>
            </w:pPr>
            <w:r>
              <w:rPr>
                <w:rFonts w:cs="Times New Roman"/>
                <w:kern w:val="0"/>
                <w:sz w:val="20"/>
              </w:rPr>
              <w:t>氢离子浓度（pH）</w:t>
            </w:r>
          </w:p>
        </w:tc>
        <w:tc>
          <w:tcPr>
            <w:tcW w:w="2635" w:type="dxa"/>
            <w:vAlign w:val="center"/>
          </w:tcPr>
          <w:p w14:paraId="05152BC1">
            <w:pPr>
              <w:pStyle w:val="81"/>
              <w:rPr>
                <w:rFonts w:cs="Times New Roman"/>
                <w:kern w:val="0"/>
                <w:sz w:val="20"/>
              </w:rPr>
            </w:pPr>
            <w:r>
              <w:rPr>
                <w:rFonts w:cs="Times New Roman"/>
                <w:kern w:val="0"/>
                <w:sz w:val="20"/>
              </w:rPr>
              <w:t>5.0-9.0</w:t>
            </w:r>
          </w:p>
        </w:tc>
        <w:tc>
          <w:tcPr>
            <w:tcW w:w="2045" w:type="dxa"/>
            <w:vAlign w:val="center"/>
          </w:tcPr>
          <w:p w14:paraId="3D9A6A11">
            <w:pPr>
              <w:pStyle w:val="81"/>
              <w:rPr>
                <w:rFonts w:cs="Times New Roman"/>
                <w:kern w:val="0"/>
                <w:sz w:val="20"/>
              </w:rPr>
            </w:pPr>
            <w:r>
              <w:rPr>
                <w:rFonts w:cs="Times New Roman"/>
                <w:kern w:val="0"/>
                <w:sz w:val="20"/>
              </w:rPr>
              <w:t>海域</w:t>
            </w:r>
          </w:p>
        </w:tc>
      </w:tr>
      <w:tr w14:paraId="7E715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1" w:type="dxa"/>
            <w:vMerge w:val="continue"/>
            <w:vAlign w:val="center"/>
          </w:tcPr>
          <w:p w14:paraId="59A47971">
            <w:pPr>
              <w:pStyle w:val="81"/>
              <w:rPr>
                <w:rFonts w:cs="Times New Roman"/>
                <w:kern w:val="0"/>
                <w:sz w:val="20"/>
              </w:rPr>
            </w:pPr>
          </w:p>
        </w:tc>
        <w:tc>
          <w:tcPr>
            <w:tcW w:w="2698" w:type="dxa"/>
            <w:vAlign w:val="center"/>
          </w:tcPr>
          <w:p w14:paraId="037CF142">
            <w:pPr>
              <w:pStyle w:val="81"/>
              <w:rPr>
                <w:rFonts w:cs="Times New Roman"/>
                <w:kern w:val="0"/>
                <w:sz w:val="20"/>
              </w:rPr>
            </w:pPr>
            <w:r>
              <w:rPr>
                <w:rFonts w:cs="Times New Roman"/>
                <w:kern w:val="0"/>
                <w:sz w:val="20"/>
              </w:rPr>
              <w:t>BOD</w:t>
            </w:r>
          </w:p>
        </w:tc>
        <w:tc>
          <w:tcPr>
            <w:tcW w:w="2635" w:type="dxa"/>
            <w:vAlign w:val="center"/>
          </w:tcPr>
          <w:p w14:paraId="5961CC0A">
            <w:pPr>
              <w:pStyle w:val="81"/>
              <w:rPr>
                <w:rFonts w:cs="Times New Roman"/>
                <w:kern w:val="0"/>
                <w:sz w:val="20"/>
              </w:rPr>
            </w:pPr>
            <w:r>
              <w:rPr>
                <w:rFonts w:cs="Times New Roman"/>
                <w:kern w:val="0"/>
                <w:sz w:val="20"/>
              </w:rPr>
              <w:t>160（日间平均120）</w:t>
            </w:r>
          </w:p>
        </w:tc>
        <w:tc>
          <w:tcPr>
            <w:tcW w:w="2045" w:type="dxa"/>
            <w:vAlign w:val="center"/>
          </w:tcPr>
          <w:p w14:paraId="2E670883">
            <w:pPr>
              <w:pStyle w:val="81"/>
              <w:rPr>
                <w:rFonts w:cs="Times New Roman"/>
                <w:kern w:val="0"/>
                <w:sz w:val="20"/>
              </w:rPr>
            </w:pPr>
          </w:p>
        </w:tc>
      </w:tr>
      <w:tr w14:paraId="77C42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1" w:type="dxa"/>
            <w:vMerge w:val="continue"/>
            <w:vAlign w:val="center"/>
          </w:tcPr>
          <w:p w14:paraId="5968CA5C">
            <w:pPr>
              <w:pStyle w:val="81"/>
              <w:rPr>
                <w:rFonts w:cs="Times New Roman"/>
                <w:kern w:val="0"/>
                <w:sz w:val="20"/>
              </w:rPr>
            </w:pPr>
          </w:p>
        </w:tc>
        <w:tc>
          <w:tcPr>
            <w:tcW w:w="2698" w:type="dxa"/>
            <w:vAlign w:val="center"/>
          </w:tcPr>
          <w:p w14:paraId="25F129DA">
            <w:pPr>
              <w:pStyle w:val="81"/>
              <w:rPr>
                <w:rFonts w:cs="Times New Roman"/>
                <w:kern w:val="0"/>
                <w:sz w:val="20"/>
              </w:rPr>
            </w:pPr>
            <w:r>
              <w:rPr>
                <w:rFonts w:cs="Times New Roman"/>
                <w:kern w:val="0"/>
                <w:sz w:val="20"/>
              </w:rPr>
              <w:t>COD</w:t>
            </w:r>
          </w:p>
        </w:tc>
        <w:tc>
          <w:tcPr>
            <w:tcW w:w="2635" w:type="dxa"/>
            <w:vAlign w:val="center"/>
          </w:tcPr>
          <w:p w14:paraId="1A4F2ED6">
            <w:pPr>
              <w:pStyle w:val="81"/>
              <w:rPr>
                <w:rFonts w:cs="Times New Roman"/>
                <w:kern w:val="0"/>
                <w:sz w:val="20"/>
              </w:rPr>
            </w:pPr>
            <w:r>
              <w:rPr>
                <w:rFonts w:cs="Times New Roman"/>
                <w:kern w:val="0"/>
                <w:sz w:val="20"/>
              </w:rPr>
              <w:t>160（日间平均120）</w:t>
            </w:r>
          </w:p>
        </w:tc>
        <w:tc>
          <w:tcPr>
            <w:tcW w:w="2045" w:type="dxa"/>
            <w:vAlign w:val="center"/>
          </w:tcPr>
          <w:p w14:paraId="74E8E422">
            <w:pPr>
              <w:pStyle w:val="81"/>
              <w:rPr>
                <w:rFonts w:cs="Times New Roman"/>
                <w:kern w:val="0"/>
                <w:sz w:val="20"/>
              </w:rPr>
            </w:pPr>
          </w:p>
        </w:tc>
      </w:tr>
      <w:tr w14:paraId="64EF3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1" w:type="dxa"/>
            <w:vMerge w:val="continue"/>
            <w:vAlign w:val="center"/>
          </w:tcPr>
          <w:p w14:paraId="6481FE3B">
            <w:pPr>
              <w:pStyle w:val="81"/>
              <w:rPr>
                <w:rFonts w:cs="Times New Roman"/>
                <w:kern w:val="0"/>
                <w:sz w:val="20"/>
              </w:rPr>
            </w:pPr>
          </w:p>
        </w:tc>
        <w:tc>
          <w:tcPr>
            <w:tcW w:w="2698" w:type="dxa"/>
            <w:vAlign w:val="center"/>
          </w:tcPr>
          <w:p w14:paraId="2DA88A3D">
            <w:pPr>
              <w:pStyle w:val="81"/>
              <w:rPr>
                <w:rFonts w:cs="Times New Roman"/>
                <w:kern w:val="0"/>
                <w:sz w:val="20"/>
              </w:rPr>
            </w:pPr>
            <w:r>
              <w:rPr>
                <w:rFonts w:cs="Times New Roman"/>
                <w:kern w:val="0"/>
                <w:sz w:val="20"/>
              </w:rPr>
              <w:t>SS</w:t>
            </w:r>
          </w:p>
        </w:tc>
        <w:tc>
          <w:tcPr>
            <w:tcW w:w="2635" w:type="dxa"/>
            <w:vAlign w:val="center"/>
          </w:tcPr>
          <w:p w14:paraId="678367E1">
            <w:pPr>
              <w:pStyle w:val="81"/>
              <w:rPr>
                <w:rFonts w:cs="Times New Roman"/>
                <w:kern w:val="0"/>
                <w:sz w:val="20"/>
              </w:rPr>
            </w:pPr>
            <w:r>
              <w:rPr>
                <w:rFonts w:cs="Times New Roman"/>
                <w:kern w:val="0"/>
                <w:sz w:val="20"/>
              </w:rPr>
              <w:t>200（日间平均150）</w:t>
            </w:r>
          </w:p>
        </w:tc>
        <w:tc>
          <w:tcPr>
            <w:tcW w:w="2045" w:type="dxa"/>
            <w:vAlign w:val="center"/>
          </w:tcPr>
          <w:p w14:paraId="30F50DA2">
            <w:pPr>
              <w:pStyle w:val="81"/>
              <w:rPr>
                <w:rFonts w:cs="Times New Roman"/>
                <w:kern w:val="0"/>
                <w:sz w:val="20"/>
              </w:rPr>
            </w:pPr>
          </w:p>
        </w:tc>
      </w:tr>
      <w:tr w14:paraId="02604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1" w:type="dxa"/>
            <w:vMerge w:val="continue"/>
            <w:vAlign w:val="center"/>
          </w:tcPr>
          <w:p w14:paraId="6CD25F6B">
            <w:pPr>
              <w:pStyle w:val="81"/>
              <w:rPr>
                <w:rFonts w:cs="Times New Roman"/>
                <w:kern w:val="0"/>
                <w:sz w:val="20"/>
              </w:rPr>
            </w:pPr>
          </w:p>
        </w:tc>
        <w:tc>
          <w:tcPr>
            <w:tcW w:w="2698" w:type="dxa"/>
            <w:vAlign w:val="center"/>
          </w:tcPr>
          <w:p w14:paraId="299887B4">
            <w:pPr>
              <w:pStyle w:val="81"/>
              <w:rPr>
                <w:rFonts w:cs="Times New Roman"/>
                <w:kern w:val="0"/>
                <w:sz w:val="20"/>
              </w:rPr>
            </w:pPr>
            <w:r>
              <w:rPr>
                <w:rFonts w:cs="Times New Roman"/>
                <w:kern w:val="0"/>
                <w:sz w:val="20"/>
              </w:rPr>
              <w:t>正己烷萃取物含量</w:t>
            </w:r>
          </w:p>
        </w:tc>
        <w:tc>
          <w:tcPr>
            <w:tcW w:w="2635" w:type="dxa"/>
            <w:vAlign w:val="center"/>
          </w:tcPr>
          <w:p w14:paraId="41052ADE">
            <w:pPr>
              <w:pStyle w:val="81"/>
              <w:rPr>
                <w:rFonts w:cs="Times New Roman"/>
                <w:kern w:val="0"/>
                <w:sz w:val="20"/>
              </w:rPr>
            </w:pPr>
            <w:r>
              <w:rPr>
                <w:rFonts w:cs="Times New Roman"/>
                <w:kern w:val="0"/>
                <w:sz w:val="20"/>
              </w:rPr>
              <w:t>30</w:t>
            </w:r>
          </w:p>
        </w:tc>
        <w:tc>
          <w:tcPr>
            <w:tcW w:w="2045" w:type="dxa"/>
            <w:vAlign w:val="center"/>
          </w:tcPr>
          <w:p w14:paraId="77700939">
            <w:pPr>
              <w:pStyle w:val="81"/>
              <w:rPr>
                <w:rFonts w:cs="Times New Roman"/>
                <w:kern w:val="0"/>
                <w:sz w:val="20"/>
              </w:rPr>
            </w:pPr>
            <w:r>
              <w:rPr>
                <w:rFonts w:cs="Times New Roman"/>
                <w:kern w:val="0"/>
                <w:sz w:val="20"/>
              </w:rPr>
              <w:t>动植物油脂含有量</w:t>
            </w:r>
          </w:p>
        </w:tc>
      </w:tr>
      <w:tr w14:paraId="797B9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1" w:type="dxa"/>
            <w:vMerge w:val="continue"/>
            <w:vAlign w:val="center"/>
          </w:tcPr>
          <w:p w14:paraId="53766404">
            <w:pPr>
              <w:pStyle w:val="81"/>
              <w:rPr>
                <w:rFonts w:cs="Times New Roman"/>
                <w:kern w:val="0"/>
                <w:sz w:val="20"/>
              </w:rPr>
            </w:pPr>
          </w:p>
        </w:tc>
        <w:tc>
          <w:tcPr>
            <w:tcW w:w="2698" w:type="dxa"/>
            <w:vAlign w:val="center"/>
          </w:tcPr>
          <w:p w14:paraId="458E5E06">
            <w:pPr>
              <w:pStyle w:val="81"/>
              <w:rPr>
                <w:rFonts w:cs="Times New Roman"/>
                <w:kern w:val="0"/>
                <w:sz w:val="20"/>
              </w:rPr>
            </w:pPr>
            <w:r>
              <w:rPr>
                <w:rFonts w:cs="Times New Roman"/>
                <w:kern w:val="0"/>
                <w:sz w:val="20"/>
              </w:rPr>
              <w:t>大肠杆菌数</w:t>
            </w:r>
          </w:p>
        </w:tc>
        <w:tc>
          <w:tcPr>
            <w:tcW w:w="2635" w:type="dxa"/>
            <w:vAlign w:val="center"/>
          </w:tcPr>
          <w:p w14:paraId="63C96EAB">
            <w:pPr>
              <w:pStyle w:val="81"/>
              <w:rPr>
                <w:rFonts w:cs="Times New Roman"/>
                <w:kern w:val="0"/>
                <w:sz w:val="20"/>
              </w:rPr>
            </w:pPr>
            <w:r>
              <w:rPr>
                <w:rFonts w:cs="Times New Roman"/>
                <w:kern w:val="0"/>
                <w:sz w:val="20"/>
              </w:rPr>
              <w:t>日间平均，3000个/cm</w:t>
            </w:r>
            <w:r>
              <w:rPr>
                <w:rFonts w:cs="Times New Roman"/>
                <w:kern w:val="0"/>
                <w:sz w:val="20"/>
                <w:vertAlign w:val="superscript"/>
              </w:rPr>
              <w:t>3</w:t>
            </w:r>
          </w:p>
        </w:tc>
        <w:tc>
          <w:tcPr>
            <w:tcW w:w="2045" w:type="dxa"/>
            <w:vAlign w:val="center"/>
          </w:tcPr>
          <w:p w14:paraId="045DF455">
            <w:pPr>
              <w:pStyle w:val="81"/>
              <w:rPr>
                <w:rFonts w:cs="Times New Roman"/>
                <w:kern w:val="0"/>
                <w:sz w:val="20"/>
              </w:rPr>
            </w:pPr>
          </w:p>
        </w:tc>
      </w:tr>
      <w:tr w14:paraId="1DC14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1" w:type="dxa"/>
            <w:vMerge w:val="continue"/>
            <w:vAlign w:val="center"/>
          </w:tcPr>
          <w:p w14:paraId="3934AB40">
            <w:pPr>
              <w:pStyle w:val="81"/>
              <w:rPr>
                <w:rFonts w:cs="Times New Roman"/>
                <w:kern w:val="0"/>
                <w:sz w:val="20"/>
              </w:rPr>
            </w:pPr>
          </w:p>
        </w:tc>
        <w:tc>
          <w:tcPr>
            <w:tcW w:w="2698" w:type="dxa"/>
            <w:vAlign w:val="center"/>
          </w:tcPr>
          <w:p w14:paraId="33E8385B">
            <w:pPr>
              <w:pStyle w:val="81"/>
              <w:rPr>
                <w:rFonts w:cs="Times New Roman"/>
                <w:kern w:val="0"/>
                <w:sz w:val="20"/>
              </w:rPr>
            </w:pPr>
            <w:r>
              <w:rPr>
                <w:rFonts w:cs="Times New Roman"/>
                <w:kern w:val="0"/>
                <w:sz w:val="20"/>
              </w:rPr>
              <w:t>T-N</w:t>
            </w:r>
          </w:p>
        </w:tc>
        <w:tc>
          <w:tcPr>
            <w:tcW w:w="2635" w:type="dxa"/>
            <w:vAlign w:val="center"/>
          </w:tcPr>
          <w:p w14:paraId="68DA9E3B">
            <w:pPr>
              <w:pStyle w:val="81"/>
              <w:rPr>
                <w:rFonts w:cs="Times New Roman"/>
                <w:kern w:val="0"/>
                <w:sz w:val="20"/>
              </w:rPr>
            </w:pPr>
            <w:r>
              <w:rPr>
                <w:rFonts w:cs="Times New Roman"/>
                <w:kern w:val="0"/>
                <w:sz w:val="20"/>
              </w:rPr>
              <w:t>120（日间平均60）</w:t>
            </w:r>
          </w:p>
        </w:tc>
        <w:tc>
          <w:tcPr>
            <w:tcW w:w="2045" w:type="dxa"/>
            <w:vAlign w:val="center"/>
          </w:tcPr>
          <w:p w14:paraId="11D082D2">
            <w:pPr>
              <w:pStyle w:val="81"/>
              <w:rPr>
                <w:rFonts w:cs="Times New Roman"/>
                <w:kern w:val="0"/>
                <w:sz w:val="20"/>
              </w:rPr>
            </w:pPr>
          </w:p>
        </w:tc>
      </w:tr>
      <w:tr w14:paraId="29338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1" w:type="dxa"/>
            <w:vMerge w:val="continue"/>
            <w:vAlign w:val="center"/>
          </w:tcPr>
          <w:p w14:paraId="1D2EE118">
            <w:pPr>
              <w:pStyle w:val="81"/>
              <w:rPr>
                <w:rFonts w:cs="Times New Roman"/>
                <w:kern w:val="0"/>
                <w:sz w:val="20"/>
              </w:rPr>
            </w:pPr>
          </w:p>
        </w:tc>
        <w:tc>
          <w:tcPr>
            <w:tcW w:w="2698" w:type="dxa"/>
            <w:vAlign w:val="center"/>
          </w:tcPr>
          <w:p w14:paraId="6A48706B">
            <w:pPr>
              <w:pStyle w:val="81"/>
              <w:rPr>
                <w:rFonts w:cs="Times New Roman"/>
                <w:kern w:val="0"/>
                <w:sz w:val="20"/>
              </w:rPr>
            </w:pPr>
            <w:r>
              <w:rPr>
                <w:rFonts w:cs="Times New Roman"/>
                <w:kern w:val="0"/>
                <w:sz w:val="20"/>
              </w:rPr>
              <w:t>T-P</w:t>
            </w:r>
          </w:p>
        </w:tc>
        <w:tc>
          <w:tcPr>
            <w:tcW w:w="2635" w:type="dxa"/>
            <w:vAlign w:val="center"/>
          </w:tcPr>
          <w:p w14:paraId="3530AC8C">
            <w:pPr>
              <w:pStyle w:val="81"/>
              <w:rPr>
                <w:rFonts w:cs="Times New Roman"/>
                <w:kern w:val="0"/>
                <w:sz w:val="20"/>
              </w:rPr>
            </w:pPr>
            <w:r>
              <w:rPr>
                <w:rFonts w:cs="Times New Roman"/>
                <w:kern w:val="0"/>
                <w:sz w:val="20"/>
              </w:rPr>
              <w:t>16（日间平均8）</w:t>
            </w:r>
          </w:p>
        </w:tc>
        <w:tc>
          <w:tcPr>
            <w:tcW w:w="2045" w:type="dxa"/>
            <w:vAlign w:val="center"/>
          </w:tcPr>
          <w:p w14:paraId="21A7BC1F">
            <w:pPr>
              <w:pStyle w:val="81"/>
              <w:rPr>
                <w:rFonts w:cs="Times New Roman"/>
                <w:kern w:val="0"/>
                <w:sz w:val="20"/>
              </w:rPr>
            </w:pPr>
          </w:p>
        </w:tc>
      </w:tr>
    </w:tbl>
    <w:p w14:paraId="6840A346">
      <w:pPr>
        <w:pStyle w:val="79"/>
        <w:ind w:firstLine="420"/>
        <w:rPr>
          <w:rFonts w:cs="Times New Roman"/>
        </w:rPr>
      </w:pPr>
    </w:p>
    <w:p w14:paraId="4B860CAE">
      <w:pPr>
        <w:pStyle w:val="80"/>
        <w:ind w:firstLine="480"/>
      </w:pPr>
      <w:r>
        <w:t>日本是世界主要水产品加工大国，水产品加工业也是日本一大重要产业，因此为防止海水富营养化，日本对水产品加工业排放废水的水质做出了更严格的规定。水质标准如下</w:t>
      </w:r>
      <w:r>
        <w:fldChar w:fldCharType="begin"/>
      </w:r>
      <w:r>
        <w:instrText xml:space="preserve"> REF _Ref196211954 \h  \* MERGEFORMAT </w:instrText>
      </w:r>
      <w:r>
        <w:fldChar w:fldCharType="separate"/>
      </w:r>
      <w:r>
        <w:t>表 3</w:t>
      </w:r>
      <w:r>
        <w:noBreakHyphen/>
      </w:r>
      <w:r>
        <w:t>3</w:t>
      </w:r>
      <w:r>
        <w:fldChar w:fldCharType="end"/>
      </w:r>
      <w:r>
        <w:t>。</w:t>
      </w:r>
    </w:p>
    <w:p w14:paraId="76620B48">
      <w:pPr>
        <w:pStyle w:val="61"/>
        <w:rPr>
          <w:rFonts w:cs="Times New Roman"/>
        </w:rPr>
      </w:pPr>
      <w:bookmarkStart w:id="182" w:name="_Ref196211954"/>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3</w:t>
      </w:r>
      <w:r>
        <w:rPr>
          <w:rFonts w:cs="Times New Roman"/>
        </w:rPr>
        <w:fldChar w:fldCharType="end"/>
      </w:r>
      <w:bookmarkEnd w:id="182"/>
      <w:r>
        <w:rPr>
          <w:rFonts w:cs="Times New Roman"/>
        </w:rPr>
        <w:t xml:space="preserve">    日本水产品加工业排放废水水质标准</w:t>
      </w:r>
    </w:p>
    <w:tbl>
      <w:tblPr>
        <w:tblStyle w:val="68"/>
        <w:tblW w:w="89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76"/>
        <w:gridCol w:w="4744"/>
      </w:tblGrid>
      <w:tr w14:paraId="0D8BD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76" w:type="dxa"/>
          </w:tcPr>
          <w:p w14:paraId="316495D6">
            <w:pPr>
              <w:pStyle w:val="81"/>
              <w:rPr>
                <w:rFonts w:cs="Times New Roman"/>
                <w:kern w:val="0"/>
                <w:sz w:val="20"/>
              </w:rPr>
            </w:pPr>
            <w:r>
              <w:rPr>
                <w:rFonts w:cs="Times New Roman"/>
                <w:kern w:val="0"/>
                <w:sz w:val="20"/>
              </w:rPr>
              <w:t>项目</w:t>
            </w:r>
          </w:p>
        </w:tc>
        <w:tc>
          <w:tcPr>
            <w:tcW w:w="4744" w:type="dxa"/>
          </w:tcPr>
          <w:p w14:paraId="0170EEC2">
            <w:pPr>
              <w:pStyle w:val="81"/>
              <w:rPr>
                <w:rFonts w:cs="Times New Roman"/>
                <w:kern w:val="0"/>
                <w:sz w:val="20"/>
              </w:rPr>
            </w:pPr>
            <w:r>
              <w:rPr>
                <w:rFonts w:cs="Times New Roman"/>
                <w:kern w:val="0"/>
                <w:sz w:val="20"/>
              </w:rPr>
              <w:t>排放管理目标值</w:t>
            </w:r>
          </w:p>
        </w:tc>
      </w:tr>
      <w:tr w14:paraId="5713C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76" w:type="dxa"/>
          </w:tcPr>
          <w:p w14:paraId="538B1496">
            <w:pPr>
              <w:pStyle w:val="81"/>
              <w:rPr>
                <w:rFonts w:cs="Times New Roman"/>
                <w:kern w:val="0"/>
                <w:sz w:val="20"/>
              </w:rPr>
            </w:pPr>
            <w:r>
              <w:rPr>
                <w:rFonts w:cs="Times New Roman"/>
                <w:kern w:val="0"/>
                <w:sz w:val="20"/>
              </w:rPr>
              <w:t>pH</w:t>
            </w:r>
          </w:p>
        </w:tc>
        <w:tc>
          <w:tcPr>
            <w:tcW w:w="4744" w:type="dxa"/>
          </w:tcPr>
          <w:p w14:paraId="75127AE2">
            <w:pPr>
              <w:pStyle w:val="81"/>
              <w:rPr>
                <w:rFonts w:cs="Times New Roman"/>
                <w:kern w:val="0"/>
                <w:sz w:val="20"/>
              </w:rPr>
            </w:pPr>
            <w:r>
              <w:rPr>
                <w:rFonts w:cs="Times New Roman"/>
                <w:kern w:val="0"/>
                <w:sz w:val="20"/>
              </w:rPr>
              <w:t>5.8-8.6</w:t>
            </w:r>
          </w:p>
        </w:tc>
      </w:tr>
      <w:tr w14:paraId="1D7A7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76" w:type="dxa"/>
          </w:tcPr>
          <w:p w14:paraId="3844DFEE">
            <w:pPr>
              <w:pStyle w:val="81"/>
              <w:rPr>
                <w:rFonts w:cs="Times New Roman"/>
                <w:kern w:val="0"/>
                <w:sz w:val="20"/>
              </w:rPr>
            </w:pPr>
            <w:r>
              <w:rPr>
                <w:rFonts w:cs="Times New Roman"/>
                <w:kern w:val="0"/>
                <w:sz w:val="20"/>
              </w:rPr>
              <w:t>SS</w:t>
            </w:r>
          </w:p>
        </w:tc>
        <w:tc>
          <w:tcPr>
            <w:tcW w:w="4744" w:type="dxa"/>
          </w:tcPr>
          <w:p w14:paraId="563CADF3">
            <w:pPr>
              <w:pStyle w:val="81"/>
              <w:rPr>
                <w:rFonts w:cs="Times New Roman"/>
                <w:kern w:val="0"/>
                <w:sz w:val="20"/>
              </w:rPr>
            </w:pPr>
            <w:r>
              <w:rPr>
                <w:rFonts w:cs="Times New Roman"/>
                <w:kern w:val="0"/>
                <w:sz w:val="20"/>
              </w:rPr>
              <w:t>30mg/L以下（日间平均20mg/L）</w:t>
            </w:r>
          </w:p>
        </w:tc>
      </w:tr>
      <w:tr w14:paraId="77B40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76" w:type="dxa"/>
          </w:tcPr>
          <w:p w14:paraId="6C4A3F41">
            <w:pPr>
              <w:pStyle w:val="81"/>
              <w:rPr>
                <w:rFonts w:cs="Times New Roman"/>
                <w:kern w:val="0"/>
                <w:sz w:val="20"/>
              </w:rPr>
            </w:pPr>
            <w:r>
              <w:rPr>
                <w:rFonts w:cs="Times New Roman"/>
                <w:kern w:val="0"/>
                <w:sz w:val="20"/>
              </w:rPr>
              <w:t>BOD</w:t>
            </w:r>
          </w:p>
        </w:tc>
        <w:tc>
          <w:tcPr>
            <w:tcW w:w="4744" w:type="dxa"/>
          </w:tcPr>
          <w:p w14:paraId="1E4A7701">
            <w:pPr>
              <w:pStyle w:val="81"/>
              <w:rPr>
                <w:rFonts w:cs="Times New Roman"/>
                <w:kern w:val="0"/>
                <w:sz w:val="20"/>
              </w:rPr>
            </w:pPr>
            <w:r>
              <w:rPr>
                <w:rFonts w:cs="Times New Roman"/>
                <w:kern w:val="0"/>
                <w:sz w:val="20"/>
              </w:rPr>
              <w:t>20mg/L以下（日间平均15mg/L）</w:t>
            </w:r>
          </w:p>
        </w:tc>
      </w:tr>
      <w:tr w14:paraId="178E4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76" w:type="dxa"/>
          </w:tcPr>
          <w:p w14:paraId="3BA0E2A8">
            <w:pPr>
              <w:pStyle w:val="81"/>
              <w:rPr>
                <w:rFonts w:cs="Times New Roman"/>
                <w:kern w:val="0"/>
                <w:sz w:val="20"/>
              </w:rPr>
            </w:pPr>
            <w:r>
              <w:rPr>
                <w:rFonts w:cs="Times New Roman"/>
                <w:kern w:val="0"/>
                <w:sz w:val="20"/>
              </w:rPr>
              <w:t>COD</w:t>
            </w:r>
          </w:p>
        </w:tc>
        <w:tc>
          <w:tcPr>
            <w:tcW w:w="4744" w:type="dxa"/>
          </w:tcPr>
          <w:p w14:paraId="767C278F">
            <w:pPr>
              <w:pStyle w:val="81"/>
              <w:rPr>
                <w:rFonts w:cs="Times New Roman"/>
                <w:kern w:val="0"/>
                <w:sz w:val="20"/>
              </w:rPr>
            </w:pPr>
            <w:r>
              <w:rPr>
                <w:rFonts w:cs="Times New Roman"/>
                <w:kern w:val="0"/>
                <w:sz w:val="20"/>
              </w:rPr>
              <w:t>80mg/L以下（日间平均60mg/L）</w:t>
            </w:r>
          </w:p>
        </w:tc>
      </w:tr>
      <w:tr w14:paraId="3E235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76" w:type="dxa"/>
          </w:tcPr>
          <w:p w14:paraId="5DCCDCCA">
            <w:pPr>
              <w:pStyle w:val="81"/>
              <w:rPr>
                <w:rFonts w:cs="Times New Roman"/>
                <w:kern w:val="0"/>
                <w:sz w:val="20"/>
              </w:rPr>
            </w:pPr>
            <w:r>
              <w:rPr>
                <w:rFonts w:cs="Times New Roman"/>
                <w:kern w:val="0"/>
                <w:sz w:val="20"/>
              </w:rPr>
              <w:t>T-N</w:t>
            </w:r>
          </w:p>
        </w:tc>
        <w:tc>
          <w:tcPr>
            <w:tcW w:w="4744" w:type="dxa"/>
          </w:tcPr>
          <w:p w14:paraId="06B5B376">
            <w:pPr>
              <w:pStyle w:val="81"/>
              <w:rPr>
                <w:rFonts w:cs="Times New Roman"/>
                <w:kern w:val="0"/>
                <w:sz w:val="20"/>
              </w:rPr>
            </w:pPr>
            <w:r>
              <w:rPr>
                <w:rFonts w:cs="Times New Roman"/>
                <w:kern w:val="0"/>
                <w:sz w:val="20"/>
              </w:rPr>
              <w:t>60mg/L以下（日间平均30mg/L）</w:t>
            </w:r>
          </w:p>
        </w:tc>
      </w:tr>
      <w:tr w14:paraId="02A68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76" w:type="dxa"/>
          </w:tcPr>
          <w:p w14:paraId="2D1A486C">
            <w:pPr>
              <w:pStyle w:val="81"/>
              <w:rPr>
                <w:rFonts w:cs="Times New Roman"/>
                <w:kern w:val="0"/>
                <w:sz w:val="20"/>
              </w:rPr>
            </w:pPr>
            <w:r>
              <w:rPr>
                <w:rFonts w:cs="Times New Roman"/>
                <w:kern w:val="0"/>
                <w:sz w:val="20"/>
              </w:rPr>
              <w:t>T-P</w:t>
            </w:r>
          </w:p>
        </w:tc>
        <w:tc>
          <w:tcPr>
            <w:tcW w:w="4744" w:type="dxa"/>
          </w:tcPr>
          <w:p w14:paraId="35087632">
            <w:pPr>
              <w:pStyle w:val="81"/>
              <w:rPr>
                <w:rFonts w:cs="Times New Roman"/>
                <w:kern w:val="0"/>
                <w:sz w:val="20"/>
              </w:rPr>
            </w:pPr>
            <w:r>
              <w:rPr>
                <w:rFonts w:cs="Times New Roman"/>
                <w:kern w:val="0"/>
                <w:sz w:val="20"/>
              </w:rPr>
              <w:t>8mg/L以下（日间平均4mg/L）</w:t>
            </w:r>
          </w:p>
        </w:tc>
      </w:tr>
      <w:tr w14:paraId="03F1B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76" w:type="dxa"/>
          </w:tcPr>
          <w:p w14:paraId="4BBAAD85">
            <w:pPr>
              <w:pStyle w:val="81"/>
              <w:rPr>
                <w:rFonts w:cs="Times New Roman"/>
                <w:kern w:val="0"/>
                <w:sz w:val="20"/>
              </w:rPr>
            </w:pPr>
            <w:r>
              <w:rPr>
                <w:rFonts w:cs="Times New Roman"/>
                <w:kern w:val="0"/>
                <w:sz w:val="20"/>
              </w:rPr>
              <w:t>正己烷萃取物质含量（动植物油）</w:t>
            </w:r>
          </w:p>
        </w:tc>
        <w:tc>
          <w:tcPr>
            <w:tcW w:w="4744" w:type="dxa"/>
          </w:tcPr>
          <w:p w14:paraId="3C812A2D">
            <w:pPr>
              <w:pStyle w:val="81"/>
              <w:rPr>
                <w:rFonts w:cs="Times New Roman"/>
                <w:kern w:val="0"/>
                <w:sz w:val="20"/>
              </w:rPr>
            </w:pPr>
            <w:r>
              <w:rPr>
                <w:rFonts w:cs="Times New Roman"/>
                <w:kern w:val="0"/>
                <w:sz w:val="20"/>
              </w:rPr>
              <w:t>5mg/L以下</w:t>
            </w:r>
          </w:p>
        </w:tc>
      </w:tr>
    </w:tbl>
    <w:p w14:paraId="0191CCBE">
      <w:pPr>
        <w:pStyle w:val="79"/>
        <w:ind w:firstLine="420"/>
        <w:rPr>
          <w:rFonts w:cs="Times New Roman"/>
        </w:rPr>
      </w:pPr>
    </w:p>
    <w:p w14:paraId="6300B279">
      <w:pPr>
        <w:pStyle w:val="3"/>
        <w:numPr>
          <w:ilvl w:val="1"/>
          <w:numId w:val="2"/>
        </w:numPr>
        <w:rPr>
          <w:rFonts w:ascii="Times New Roman" w:hAnsi="Times New Roman" w:cs="Times New Roman"/>
        </w:rPr>
      </w:pPr>
      <w:bookmarkStart w:id="183" w:name="_Toc198292143"/>
      <w:bookmarkStart w:id="184" w:name="_Toc196224419"/>
      <w:bookmarkStart w:id="185" w:name="_Toc196224170"/>
      <w:r>
        <w:rPr>
          <w:rFonts w:ascii="Times New Roman" w:hAnsi="Times New Roman" w:cs="Times New Roman"/>
        </w:rPr>
        <w:t>标准主要内容</w:t>
      </w:r>
      <w:bookmarkEnd w:id="183"/>
      <w:bookmarkEnd w:id="184"/>
      <w:bookmarkEnd w:id="185"/>
    </w:p>
    <w:p w14:paraId="55909F12">
      <w:pPr>
        <w:pStyle w:val="4"/>
        <w:numPr>
          <w:ilvl w:val="2"/>
          <w:numId w:val="2"/>
        </w:numPr>
        <w:ind w:left="0" w:firstLine="0"/>
        <w:rPr>
          <w:rFonts w:ascii="Times New Roman" w:cs="Times New Roman"/>
        </w:rPr>
      </w:pPr>
      <w:bookmarkStart w:id="186" w:name="_Toc196224420"/>
      <w:bookmarkStart w:id="187" w:name="_Toc198292144"/>
      <w:bookmarkStart w:id="188" w:name="_Toc196224171"/>
      <w:bookmarkStart w:id="189" w:name="_Toc89857026"/>
      <w:r>
        <w:rPr>
          <w:rFonts w:ascii="Times New Roman" w:cs="Times New Roman"/>
        </w:rPr>
        <w:t>适用范围</w:t>
      </w:r>
      <w:bookmarkEnd w:id="186"/>
      <w:bookmarkEnd w:id="187"/>
      <w:bookmarkEnd w:id="188"/>
      <w:bookmarkEnd w:id="189"/>
    </w:p>
    <w:p w14:paraId="2EF3122A">
      <w:pPr>
        <w:pStyle w:val="80"/>
        <w:ind w:firstLine="480"/>
      </w:pPr>
      <w:bookmarkStart w:id="190" w:name="_Toc89857027"/>
      <w:r>
        <w:t>本标准适用于以海水进行海菜类产品加工企业的水污染物排放管理。</w:t>
      </w:r>
    </w:p>
    <w:p w14:paraId="466B2DDB">
      <w:pPr>
        <w:pStyle w:val="80"/>
        <w:ind w:firstLine="480"/>
      </w:pPr>
      <w:r>
        <w:t>本标准适用于法律允许的污染物排放行为。新设立污染源的选址和特殊保护区域内现污染源的管理，按照《中华人民共和国水污染防治法》《中华人民共和国海洋环境保护法》《中华人民共和国环境影响评价法》等法律法规、规章的相关规定执行。</w:t>
      </w:r>
    </w:p>
    <w:p w14:paraId="2DCC188A">
      <w:pPr>
        <w:pStyle w:val="4"/>
        <w:numPr>
          <w:ilvl w:val="2"/>
          <w:numId w:val="2"/>
        </w:numPr>
        <w:ind w:left="0" w:firstLine="0"/>
        <w:rPr>
          <w:rFonts w:ascii="Times New Roman" w:cs="Times New Roman"/>
        </w:rPr>
      </w:pPr>
      <w:bookmarkStart w:id="191" w:name="_Toc196224421"/>
      <w:bookmarkStart w:id="192" w:name="_Toc198292145"/>
      <w:bookmarkStart w:id="193" w:name="_Toc196224172"/>
      <w:r>
        <w:rPr>
          <w:rFonts w:ascii="Times New Roman" w:cs="Times New Roman"/>
        </w:rPr>
        <w:t>标准框架体系</w:t>
      </w:r>
      <w:bookmarkEnd w:id="191"/>
      <w:bookmarkEnd w:id="192"/>
      <w:bookmarkEnd w:id="193"/>
    </w:p>
    <w:p w14:paraId="31A45357">
      <w:pPr>
        <w:pStyle w:val="80"/>
        <w:ind w:firstLine="480"/>
      </w:pPr>
      <w:r>
        <w:t xml:space="preserve">按照《国家环境保护标准制修订工作管理办法》等要求，本标准主要包括适用范围、规范性引用文件、术语和定义、水污染物排放控制要求、水污染物监测要求、污水排放口规范化要求、结果判定、实施与监督8个部分。 </w:t>
      </w:r>
    </w:p>
    <w:p w14:paraId="188D2A86">
      <w:pPr>
        <w:pStyle w:val="4"/>
        <w:numPr>
          <w:ilvl w:val="2"/>
          <w:numId w:val="2"/>
        </w:numPr>
        <w:ind w:left="0" w:firstLine="0"/>
        <w:rPr>
          <w:rFonts w:ascii="Times New Roman" w:cs="Times New Roman"/>
        </w:rPr>
      </w:pPr>
      <w:bookmarkStart w:id="194" w:name="_Toc198292146"/>
      <w:bookmarkStart w:id="195" w:name="_Toc196224422"/>
      <w:bookmarkStart w:id="196" w:name="_Toc196224173"/>
      <w:r>
        <w:rPr>
          <w:rFonts w:ascii="Times New Roman" w:cs="Times New Roman"/>
        </w:rPr>
        <w:t>术语和定义</w:t>
      </w:r>
      <w:bookmarkEnd w:id="190"/>
      <w:bookmarkEnd w:id="194"/>
      <w:bookmarkEnd w:id="195"/>
      <w:bookmarkEnd w:id="196"/>
    </w:p>
    <w:p w14:paraId="333B4364">
      <w:pPr>
        <w:pStyle w:val="80"/>
        <w:ind w:firstLine="480"/>
      </w:pPr>
      <w:bookmarkStart w:id="197" w:name="_Toc89857028"/>
      <w:r>
        <w:t>标准规定了海水水产品加工业、海菜行业、加工工艺、排水量、直接排放、间接排放等6个术语。</w:t>
      </w:r>
    </w:p>
    <w:p w14:paraId="6E38569E">
      <w:pPr>
        <w:pStyle w:val="80"/>
        <w:ind w:firstLine="480"/>
      </w:pPr>
      <w:r>
        <w:t>（1）海水水产品加工业 marine aquatic products processing industry</w:t>
      </w:r>
    </w:p>
    <w:p w14:paraId="3DE021CD">
      <w:pPr>
        <w:pStyle w:val="80"/>
        <w:ind w:firstLine="480"/>
      </w:pPr>
      <w:r>
        <w:t>指利用海水产品经过物理、化学或生物的方法（如加热、盐渍、脱水等）加工成产品的工业。</w:t>
      </w:r>
    </w:p>
    <w:p w14:paraId="173971A8">
      <w:pPr>
        <w:pStyle w:val="80"/>
        <w:ind w:firstLine="480"/>
      </w:pPr>
      <w:r>
        <w:t>（2）海菜行业 seaweed processing industry</w:t>
      </w:r>
    </w:p>
    <w:p w14:paraId="20CCEB00">
      <w:pPr>
        <w:pStyle w:val="80"/>
        <w:ind w:firstLine="480"/>
      </w:pPr>
      <w:r>
        <w:t>指从海水中获取养殖的海带、裙带菜、海白菜等并用海水加工成成品或直接用海水加工海菜类产品的企业。</w:t>
      </w:r>
    </w:p>
    <w:p w14:paraId="627890B3">
      <w:pPr>
        <w:pStyle w:val="80"/>
        <w:ind w:firstLine="480"/>
      </w:pPr>
      <w:r>
        <w:t>（3）加工工艺 processing technic</w:t>
      </w:r>
    </w:p>
    <w:p w14:paraId="4CDB6E22">
      <w:pPr>
        <w:pStyle w:val="80"/>
        <w:ind w:firstLine="480"/>
      </w:pPr>
      <w:r>
        <w:t>海菜加工工艺过程主要包括漂烫工艺、冷却工艺、盐渍工艺等。</w:t>
      </w:r>
    </w:p>
    <w:p w14:paraId="15A3B2D8">
      <w:pPr>
        <w:pStyle w:val="80"/>
        <w:ind w:firstLine="480"/>
      </w:pPr>
      <w:r>
        <w:t>漂烫工艺指在蒸煮锅内煮海菜的鲜品煮沸阶段。</w:t>
      </w:r>
    </w:p>
    <w:p w14:paraId="538885CE">
      <w:pPr>
        <w:pStyle w:val="80"/>
        <w:ind w:firstLine="480"/>
      </w:pPr>
      <w:r>
        <w:t>冷却工艺指在冷却设备中对海菜进行降温冲洗的阶段。</w:t>
      </w:r>
    </w:p>
    <w:p w14:paraId="42CCAD4D">
      <w:pPr>
        <w:pStyle w:val="80"/>
        <w:ind w:firstLine="480"/>
      </w:pPr>
      <w:r>
        <w:t>盐渍工艺指脱水加盐翻拌的阶段。</w:t>
      </w:r>
    </w:p>
    <w:p w14:paraId="739C0619">
      <w:pPr>
        <w:pStyle w:val="80"/>
        <w:ind w:firstLine="480"/>
      </w:pPr>
      <w:r>
        <w:t>（4）排水量 effluent volume</w:t>
      </w:r>
    </w:p>
    <w:p w14:paraId="38171D66">
      <w:pPr>
        <w:pStyle w:val="80"/>
        <w:ind w:firstLine="480"/>
      </w:pPr>
      <w:r>
        <w:t>指生产设施或企业向企业法定边界以外排放废水的量，包括与生产有直接或间接关系的各种外排废水（如厂区生产废水、生活污水、冷却废水等）。</w:t>
      </w:r>
    </w:p>
    <w:p w14:paraId="27FFF470">
      <w:pPr>
        <w:pStyle w:val="80"/>
        <w:ind w:firstLine="480"/>
      </w:pPr>
      <w:r>
        <w:t>（5）直接排放 direct discharge</w:t>
      </w:r>
    </w:p>
    <w:p w14:paraId="528F0BB5">
      <w:pPr>
        <w:pStyle w:val="80"/>
        <w:ind w:firstLine="480"/>
      </w:pPr>
      <w:r>
        <w:t>指排污单位直接向环境水体排放水污染物的行为。</w:t>
      </w:r>
    </w:p>
    <w:p w14:paraId="76D10726">
      <w:pPr>
        <w:pStyle w:val="80"/>
        <w:ind w:firstLine="480"/>
      </w:pPr>
      <w:r>
        <w:t>（6）间接排放 indirect discharge</w:t>
      </w:r>
    </w:p>
    <w:p w14:paraId="2AE78C32">
      <w:pPr>
        <w:pStyle w:val="80"/>
        <w:ind w:firstLine="480"/>
      </w:pPr>
      <w:r>
        <w:t>指排污单位向公共污水处理系统排放水污染物的行为。</w:t>
      </w:r>
    </w:p>
    <w:bookmarkEnd w:id="197"/>
    <w:p w14:paraId="440C3DD7">
      <w:pPr>
        <w:pStyle w:val="3"/>
        <w:numPr>
          <w:ilvl w:val="1"/>
          <w:numId w:val="2"/>
        </w:numPr>
        <w:rPr>
          <w:rFonts w:ascii="Times New Roman" w:hAnsi="Times New Roman" w:cs="Times New Roman"/>
        </w:rPr>
      </w:pPr>
      <w:bookmarkStart w:id="198" w:name="_Toc1583538200"/>
      <w:bookmarkStart w:id="199" w:name="_Toc196224174"/>
      <w:bookmarkStart w:id="200" w:name="_Toc196224423"/>
      <w:bookmarkStart w:id="201" w:name="_Toc198292147"/>
      <w:bookmarkStart w:id="202" w:name="_Toc29650"/>
      <w:bookmarkStart w:id="203" w:name="_Toc7217"/>
      <w:r>
        <w:rPr>
          <w:rFonts w:ascii="Times New Roman" w:hAnsi="Times New Roman" w:cs="Times New Roman"/>
        </w:rPr>
        <w:t>排放控制要求</w:t>
      </w:r>
      <w:bookmarkEnd w:id="198"/>
      <w:bookmarkEnd w:id="199"/>
      <w:bookmarkEnd w:id="200"/>
      <w:bookmarkEnd w:id="201"/>
    </w:p>
    <w:p w14:paraId="193E7E8E">
      <w:pPr>
        <w:pStyle w:val="4"/>
        <w:numPr>
          <w:ilvl w:val="2"/>
          <w:numId w:val="2"/>
        </w:numPr>
        <w:ind w:left="0" w:firstLine="0"/>
        <w:rPr>
          <w:rFonts w:ascii="Times New Roman" w:cs="Times New Roman"/>
        </w:rPr>
      </w:pPr>
      <w:bookmarkStart w:id="204" w:name="_Toc196224176"/>
      <w:bookmarkStart w:id="205" w:name="_Toc196224425"/>
      <w:bookmarkStart w:id="206" w:name="_Toc198292148"/>
      <w:r>
        <w:rPr>
          <w:rFonts w:ascii="Times New Roman" w:cs="Times New Roman"/>
        </w:rPr>
        <w:t>控制指标的选择</w:t>
      </w:r>
      <w:bookmarkEnd w:id="202"/>
      <w:bookmarkEnd w:id="203"/>
      <w:bookmarkEnd w:id="204"/>
      <w:bookmarkEnd w:id="205"/>
      <w:bookmarkEnd w:id="206"/>
    </w:p>
    <w:p w14:paraId="25DC69FB">
      <w:pPr>
        <w:pStyle w:val="80"/>
        <w:ind w:firstLine="480"/>
      </w:pPr>
      <w:r>
        <w:t>海菜类产品加工行业废水主要源于加工过程中所产生的漂烫废水、冷却废水以及盐渍工序的高盐废水。本标准控制指标的选择从普遍性、代表性和污染危害的严重性三个方面着手，同时参照《海水水质标准》（GB 3097-1997）、《污水综合排放标准》（GB 8978-1996）以及辽宁省《污水综合排放标准》（DB21/1627-2008）中的基本控制项目和排放限值，在对海菜加工业生产的废水进行综合分析后，提出了应控制的污染物项目，主要包括pH值、温度、悬浮物（SS）、化学需氧量（COD）、总氮、总磷等指标。</w:t>
      </w:r>
    </w:p>
    <w:p w14:paraId="748C8471">
      <w:pPr>
        <w:pStyle w:val="80"/>
        <w:ind w:firstLine="480"/>
      </w:pPr>
      <w:r>
        <w:t>（1）pH</w:t>
      </w:r>
    </w:p>
    <w:p w14:paraId="13A29E4C">
      <w:pPr>
        <w:pStyle w:val="80"/>
        <w:ind w:firstLine="480"/>
      </w:pPr>
      <w:r>
        <w:t>海菜类产品加工废水pH值的控制，对维护污水处理设备的正常运行，防止污水处理设备的腐蚀，保护水生物的生长和水体自净化功能都有着实际的意义。</w:t>
      </w:r>
    </w:p>
    <w:p w14:paraId="6D4CEB4F">
      <w:pPr>
        <w:pStyle w:val="80"/>
        <w:ind w:firstLine="480"/>
      </w:pPr>
      <w:r>
        <w:t>（2）悬浮物（SS）</w:t>
      </w:r>
    </w:p>
    <w:p w14:paraId="63B48CC7">
      <w:pPr>
        <w:pStyle w:val="80"/>
        <w:ind w:firstLine="480"/>
      </w:pPr>
      <w:r>
        <w:t xml:space="preserve">由于生产工艺的原因，海菜类产品加工废水含有一定量的悬浮物，其主要成分为有机物质。悬浮物的存在不但使水质浑浊，聚集于水面将影响水体复氧，沉淀于水底会引起水体淤积，破坏水体底栖生物的生存条件。因此，悬浮物是废水排放的基本控制项目。 </w:t>
      </w:r>
    </w:p>
    <w:p w14:paraId="29E1C631">
      <w:pPr>
        <w:pStyle w:val="80"/>
        <w:ind w:firstLine="480"/>
      </w:pPr>
      <w:r>
        <w:t>（3）</w:t>
      </w:r>
      <w:r>
        <w:rPr>
          <w:bCs/>
        </w:rPr>
        <w:t>化学需氧量</w:t>
      </w:r>
      <w:r>
        <w:t>（COD）</w:t>
      </w:r>
    </w:p>
    <w:p w14:paraId="606AEE8C">
      <w:pPr>
        <w:pStyle w:val="80"/>
        <w:ind w:firstLine="480"/>
      </w:pPr>
      <w:r>
        <w:t>海菜类产品加工过程中，因存在对原料进行漂烫和冷却等工序，会产生大量的废水，其中的有机物含量相对较高。有机物是废水中的重要水质指标，当大量有机物进入水体后，在微生物的作用下进行氧化分解，从而使水中的溶解氧降低，影响鱼类的生存。本标准采用COD对海菜类产品加工废水中的有机物给予控制，其中化学需氧量（COD）表示的有机物量接近于废水中有机物总量，用以评价海菜加工废水处理前后的水质情况。鉴于冷却水是直接抽取海水用于海菜降温后产生的，没有引入其他成分，故其水质更适于以海水指标体系评价。漂烫盐渍废水具有高的COD浓度，采用废水评价指标。</w:t>
      </w:r>
    </w:p>
    <w:p w14:paraId="13CDDFC2">
      <w:pPr>
        <w:pStyle w:val="80"/>
        <w:ind w:firstLine="480"/>
      </w:pPr>
      <w:r>
        <w:t xml:space="preserve">（4）总氮、总磷 </w:t>
      </w:r>
    </w:p>
    <w:p w14:paraId="25F33EB5">
      <w:pPr>
        <w:pStyle w:val="80"/>
        <w:ind w:firstLine="480"/>
      </w:pPr>
      <w:r>
        <w:t xml:space="preserve">氮、磷等是植物生长所必需的营养物质，但当水体中这类物质含量过多时，会导致各种藻类的大量繁殖和旺盛生长。同时藻类的死亡和腐败，又引起水中溶解氧的大量消耗，从而使水质恶化造成鱼类死亡，水生生物消亡。另外，水中氮含量过高，会使水中的硝酸盐超标而产生毒性。总氮、总磷作为国家进行总量控制及解决区域环境问题的污染物项目，本标准给予了必要的控制。 </w:t>
      </w:r>
    </w:p>
    <w:p w14:paraId="7FCE15BE">
      <w:pPr>
        <w:pStyle w:val="80"/>
        <w:ind w:firstLine="480"/>
      </w:pPr>
      <w:r>
        <w:t>（5）温度</w:t>
      </w:r>
    </w:p>
    <w:p w14:paraId="2A8895C8">
      <w:pPr>
        <w:pStyle w:val="80"/>
        <w:ind w:firstLine="480"/>
      </w:pPr>
      <w:r>
        <w:t>在对海带和裙带菜加工处理过程中，生产过程中产生的冷却水具有一定温度，排放对水体中会对水生生物带来影响，故标准中对水温加以一定控制。</w:t>
      </w:r>
    </w:p>
    <w:p w14:paraId="1C21B65F">
      <w:pPr>
        <w:pStyle w:val="4"/>
        <w:numPr>
          <w:ilvl w:val="2"/>
          <w:numId w:val="2"/>
        </w:numPr>
        <w:ind w:left="0" w:firstLine="0"/>
        <w:rPr>
          <w:rFonts w:ascii="Times New Roman" w:cs="Times New Roman"/>
        </w:rPr>
      </w:pPr>
      <w:bookmarkStart w:id="207" w:name="_Toc198292149"/>
      <w:bookmarkStart w:id="208" w:name="_Toc196224177"/>
      <w:bookmarkStart w:id="209" w:name="_Toc196224426"/>
      <w:r>
        <w:rPr>
          <w:rFonts w:ascii="Times New Roman" w:cs="Times New Roman"/>
        </w:rPr>
        <w:t>控制指标排放限值的确定</w:t>
      </w:r>
      <w:bookmarkEnd w:id="207"/>
      <w:bookmarkEnd w:id="208"/>
      <w:bookmarkEnd w:id="209"/>
    </w:p>
    <w:p w14:paraId="2C80E432">
      <w:pPr>
        <w:pStyle w:val="80"/>
        <w:ind w:firstLine="480"/>
      </w:pPr>
      <w:r>
        <w:t>本标准主要根据我省近岸海域水质现状、现有海菜加工企业生产工艺及污染治理技术，并结合国家、地方的相关法律法规以及国内外的污染物排放标准，综合确定控制指标的排放限值。</w:t>
      </w:r>
    </w:p>
    <w:p w14:paraId="6BB04121">
      <w:pPr>
        <w:pStyle w:val="80"/>
        <w:ind w:firstLine="480"/>
      </w:pPr>
      <w:r>
        <w:t>海菜加工行业废水主要包括海水冷却废水、漂烫废水和盐渍废水三类，其中盐渍废水的产生量较小，属于间歇排放，为此本标准规定将盐渍废水纳入漂烫废水一并收集处理，同时分别对海水冷却废水和漂烫盐渍废水的排放限制进行确定。鉴于现有海菜加工企业废水排放主要有直接排放和间接排放两种形式，本标准分别确定其控制指标的排放限值。</w:t>
      </w:r>
    </w:p>
    <w:p w14:paraId="0AA3526A">
      <w:pPr>
        <w:pStyle w:val="5"/>
        <w:numPr>
          <w:ilvl w:val="3"/>
          <w:numId w:val="2"/>
        </w:numPr>
        <w:ind w:left="0" w:firstLine="0"/>
        <w:rPr>
          <w:rFonts w:cs="Times New Roman"/>
        </w:rPr>
      </w:pPr>
      <w:r>
        <w:rPr>
          <w:rFonts w:cs="Times New Roman"/>
        </w:rPr>
        <w:t xml:space="preserve"> 漂烫盐渍废水</w:t>
      </w:r>
    </w:p>
    <w:p w14:paraId="3DB12EF8">
      <w:pPr>
        <w:pStyle w:val="80"/>
        <w:ind w:firstLine="480"/>
      </w:pPr>
      <w:r>
        <w:t>（1）pH值</w:t>
      </w:r>
    </w:p>
    <w:p w14:paraId="4D8FA6FD">
      <w:pPr>
        <w:pStyle w:val="80"/>
        <w:ind w:firstLine="480"/>
      </w:pPr>
      <w:r>
        <w:fldChar w:fldCharType="begin"/>
      </w:r>
      <w:r>
        <w:instrText xml:space="preserve"> REF _Ref196212074 \h  \* MERGEFORMAT </w:instrText>
      </w:r>
      <w:r>
        <w:fldChar w:fldCharType="separate"/>
      </w:r>
      <w:r>
        <w:t>表 3</w:t>
      </w:r>
      <w:r>
        <w:noBreakHyphen/>
      </w:r>
      <w:r>
        <w:t>4</w:t>
      </w:r>
      <w:r>
        <w:fldChar w:fldCharType="end"/>
      </w:r>
      <w:r>
        <w:t>归纳整理了现行排放标准或控制要求中关于废水pH的控制值。由此可以看出，pH控制值基本设定在6~9之间，本标准也将该指标直接排放的控制值设定为6~9。</w:t>
      </w:r>
    </w:p>
    <w:p w14:paraId="59FE59E9">
      <w:pPr>
        <w:pStyle w:val="80"/>
        <w:ind w:firstLine="480"/>
      </w:pPr>
    </w:p>
    <w:p w14:paraId="15537BA2">
      <w:pPr>
        <w:pStyle w:val="61"/>
        <w:spacing w:before="0" w:beforeLines="0" w:after="0" w:afterLines="0"/>
        <w:rPr>
          <w:rFonts w:cs="Times New Roman"/>
        </w:rPr>
      </w:pPr>
      <w:bookmarkStart w:id="210" w:name="_Ref196212074"/>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4</w:t>
      </w:r>
      <w:r>
        <w:rPr>
          <w:rFonts w:cs="Times New Roman"/>
        </w:rPr>
        <w:fldChar w:fldCharType="end"/>
      </w:r>
      <w:bookmarkEnd w:id="210"/>
      <w:r>
        <w:rPr>
          <w:rFonts w:cs="Times New Roman"/>
        </w:rPr>
        <w:t xml:space="preserve">    pH排放限值分析表</w:t>
      </w:r>
    </w:p>
    <w:tbl>
      <w:tblPr>
        <w:tblStyle w:val="68"/>
        <w:tblW w:w="80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3"/>
        <w:gridCol w:w="3418"/>
      </w:tblGrid>
      <w:tr w14:paraId="67F3F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3" w:type="dxa"/>
            <w:vAlign w:val="center"/>
          </w:tcPr>
          <w:p w14:paraId="4D050B2B">
            <w:pPr>
              <w:pStyle w:val="81"/>
              <w:rPr>
                <w:rFonts w:cs="Times New Roman"/>
                <w:kern w:val="0"/>
                <w:sz w:val="20"/>
              </w:rPr>
            </w:pPr>
            <w:r>
              <w:rPr>
                <w:rFonts w:cs="Times New Roman"/>
                <w:kern w:val="0"/>
                <w:sz w:val="20"/>
              </w:rPr>
              <w:t>标准名称</w:t>
            </w:r>
          </w:p>
        </w:tc>
        <w:tc>
          <w:tcPr>
            <w:tcW w:w="3418" w:type="dxa"/>
            <w:vAlign w:val="center"/>
          </w:tcPr>
          <w:p w14:paraId="07476E7D">
            <w:pPr>
              <w:pStyle w:val="81"/>
              <w:rPr>
                <w:rFonts w:cs="Times New Roman"/>
                <w:kern w:val="0"/>
                <w:sz w:val="20"/>
              </w:rPr>
            </w:pPr>
            <w:r>
              <w:rPr>
                <w:rFonts w:cs="Times New Roman"/>
                <w:kern w:val="0"/>
                <w:sz w:val="20"/>
              </w:rPr>
              <w:t>标准值</w:t>
            </w:r>
          </w:p>
        </w:tc>
      </w:tr>
      <w:tr w14:paraId="6E3D1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3" w:type="dxa"/>
            <w:vAlign w:val="center"/>
          </w:tcPr>
          <w:p w14:paraId="396416C3">
            <w:pPr>
              <w:pStyle w:val="81"/>
              <w:rPr>
                <w:rFonts w:cs="Times New Roman"/>
                <w:kern w:val="0"/>
                <w:sz w:val="20"/>
              </w:rPr>
            </w:pPr>
            <w:r>
              <w:rPr>
                <w:rFonts w:cs="Times New Roman"/>
                <w:kern w:val="0"/>
                <w:sz w:val="20"/>
              </w:rPr>
              <w:t>《污水综合排放标准》</w:t>
            </w:r>
          </w:p>
        </w:tc>
        <w:tc>
          <w:tcPr>
            <w:tcW w:w="3418" w:type="dxa"/>
            <w:vAlign w:val="center"/>
          </w:tcPr>
          <w:p w14:paraId="146B9AF9">
            <w:pPr>
              <w:pStyle w:val="81"/>
              <w:rPr>
                <w:rFonts w:cs="Times New Roman"/>
                <w:kern w:val="0"/>
                <w:sz w:val="20"/>
              </w:rPr>
            </w:pPr>
            <w:r>
              <w:rPr>
                <w:rFonts w:cs="Times New Roman"/>
                <w:kern w:val="0"/>
                <w:sz w:val="20"/>
              </w:rPr>
              <w:t>6~9</w:t>
            </w:r>
          </w:p>
        </w:tc>
      </w:tr>
      <w:tr w14:paraId="16820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3" w:type="dxa"/>
            <w:vAlign w:val="center"/>
          </w:tcPr>
          <w:p w14:paraId="77C18E36">
            <w:pPr>
              <w:pStyle w:val="81"/>
              <w:rPr>
                <w:rFonts w:cs="Times New Roman"/>
                <w:kern w:val="0"/>
                <w:sz w:val="20"/>
              </w:rPr>
            </w:pPr>
            <w:r>
              <w:rPr>
                <w:rFonts w:cs="Times New Roman"/>
                <w:kern w:val="0"/>
                <w:sz w:val="20"/>
              </w:rPr>
              <w:t>《辽宁省污水综合排放标准》</w:t>
            </w:r>
          </w:p>
        </w:tc>
        <w:tc>
          <w:tcPr>
            <w:tcW w:w="3418" w:type="dxa"/>
            <w:vAlign w:val="center"/>
          </w:tcPr>
          <w:p w14:paraId="05430F40">
            <w:pPr>
              <w:pStyle w:val="81"/>
              <w:rPr>
                <w:rFonts w:cs="Times New Roman"/>
                <w:kern w:val="0"/>
                <w:sz w:val="20"/>
              </w:rPr>
            </w:pPr>
            <w:r>
              <w:rPr>
                <w:rFonts w:cs="Times New Roman"/>
                <w:kern w:val="0"/>
                <w:sz w:val="20"/>
              </w:rPr>
              <w:t>/</w:t>
            </w:r>
          </w:p>
        </w:tc>
      </w:tr>
      <w:tr w14:paraId="69466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3" w:type="dxa"/>
            <w:vAlign w:val="center"/>
          </w:tcPr>
          <w:p w14:paraId="09FB7C0F">
            <w:pPr>
              <w:pStyle w:val="81"/>
              <w:rPr>
                <w:rFonts w:cs="Times New Roman"/>
                <w:kern w:val="0"/>
                <w:sz w:val="20"/>
              </w:rPr>
            </w:pPr>
            <w:r>
              <w:rPr>
                <w:rFonts w:cs="Times New Roman"/>
                <w:kern w:val="0"/>
                <w:sz w:val="20"/>
              </w:rPr>
              <w:t>《海水冷却水排放要求》</w:t>
            </w:r>
          </w:p>
        </w:tc>
        <w:tc>
          <w:tcPr>
            <w:tcW w:w="3418" w:type="dxa"/>
            <w:vAlign w:val="center"/>
          </w:tcPr>
          <w:p w14:paraId="0411CA4E">
            <w:pPr>
              <w:pStyle w:val="81"/>
              <w:rPr>
                <w:rFonts w:cs="Times New Roman"/>
                <w:kern w:val="0"/>
                <w:sz w:val="20"/>
              </w:rPr>
            </w:pPr>
            <w:r>
              <w:rPr>
                <w:rFonts w:cs="Times New Roman"/>
                <w:kern w:val="0"/>
                <w:sz w:val="20"/>
              </w:rPr>
              <w:t>6~9，同时不超出该水域</w:t>
            </w:r>
          </w:p>
          <w:p w14:paraId="029968E8">
            <w:pPr>
              <w:pStyle w:val="81"/>
              <w:rPr>
                <w:rFonts w:cs="Times New Roman"/>
                <w:kern w:val="0"/>
                <w:sz w:val="20"/>
              </w:rPr>
            </w:pPr>
            <w:r>
              <w:rPr>
                <w:rFonts w:cs="Times New Roman"/>
                <w:kern w:val="0"/>
                <w:sz w:val="20"/>
              </w:rPr>
              <w:t>正常变动范围的0.5pH单位</w:t>
            </w:r>
          </w:p>
        </w:tc>
      </w:tr>
      <w:tr w14:paraId="1F609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3" w:type="dxa"/>
            <w:vAlign w:val="center"/>
          </w:tcPr>
          <w:p w14:paraId="43DA50D9">
            <w:pPr>
              <w:pStyle w:val="81"/>
              <w:rPr>
                <w:rFonts w:cs="Times New Roman"/>
                <w:kern w:val="0"/>
                <w:sz w:val="20"/>
              </w:rPr>
            </w:pPr>
            <w:r>
              <w:rPr>
                <w:rFonts w:cs="Times New Roman"/>
                <w:kern w:val="0"/>
                <w:sz w:val="20"/>
              </w:rPr>
              <w:t>《大连市海菜加工行业生态环境</w:t>
            </w:r>
          </w:p>
          <w:p w14:paraId="4DECE1B4">
            <w:pPr>
              <w:pStyle w:val="81"/>
              <w:rPr>
                <w:rFonts w:cs="Times New Roman"/>
                <w:kern w:val="0"/>
                <w:sz w:val="20"/>
              </w:rPr>
            </w:pPr>
            <w:r>
              <w:rPr>
                <w:rFonts w:cs="Times New Roman"/>
                <w:kern w:val="0"/>
                <w:sz w:val="20"/>
              </w:rPr>
              <w:t>综合整治指导意见》</w:t>
            </w:r>
          </w:p>
        </w:tc>
        <w:tc>
          <w:tcPr>
            <w:tcW w:w="3418" w:type="dxa"/>
            <w:vAlign w:val="center"/>
          </w:tcPr>
          <w:p w14:paraId="46258038">
            <w:pPr>
              <w:pStyle w:val="81"/>
              <w:rPr>
                <w:rFonts w:cs="Times New Roman"/>
                <w:kern w:val="0"/>
                <w:sz w:val="20"/>
              </w:rPr>
            </w:pPr>
            <w:r>
              <w:rPr>
                <w:rFonts w:cs="Times New Roman"/>
                <w:kern w:val="0"/>
                <w:sz w:val="20"/>
              </w:rPr>
              <w:t>6~9</w:t>
            </w:r>
          </w:p>
        </w:tc>
      </w:tr>
      <w:tr w14:paraId="3D358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3" w:type="dxa"/>
            <w:vAlign w:val="center"/>
          </w:tcPr>
          <w:p w14:paraId="6E658926">
            <w:pPr>
              <w:pStyle w:val="81"/>
              <w:rPr>
                <w:rFonts w:cs="Times New Roman"/>
                <w:kern w:val="0"/>
                <w:sz w:val="20"/>
              </w:rPr>
            </w:pPr>
            <w:r>
              <w:rPr>
                <w:rFonts w:cs="Times New Roman"/>
                <w:kern w:val="0"/>
                <w:sz w:val="20"/>
              </w:rPr>
              <w:t>《食品加工制造业水污染物排放标准</w:t>
            </w:r>
          </w:p>
          <w:p w14:paraId="5AD1AC97">
            <w:pPr>
              <w:pStyle w:val="81"/>
              <w:rPr>
                <w:rFonts w:cs="Times New Roman"/>
                <w:kern w:val="0"/>
                <w:sz w:val="20"/>
              </w:rPr>
            </w:pPr>
            <w:r>
              <w:rPr>
                <w:rFonts w:cs="Times New Roman"/>
                <w:kern w:val="0"/>
                <w:sz w:val="20"/>
              </w:rPr>
              <w:t>（征求意见稿）》（2020）</w:t>
            </w:r>
          </w:p>
        </w:tc>
        <w:tc>
          <w:tcPr>
            <w:tcW w:w="3418" w:type="dxa"/>
            <w:vAlign w:val="center"/>
          </w:tcPr>
          <w:p w14:paraId="7563B8F8">
            <w:pPr>
              <w:pStyle w:val="81"/>
              <w:rPr>
                <w:rFonts w:cs="Times New Roman"/>
                <w:kern w:val="0"/>
                <w:sz w:val="20"/>
              </w:rPr>
            </w:pPr>
            <w:r>
              <w:rPr>
                <w:rFonts w:cs="Times New Roman"/>
                <w:kern w:val="0"/>
                <w:sz w:val="20"/>
              </w:rPr>
              <w:t>6~9</w:t>
            </w:r>
          </w:p>
        </w:tc>
      </w:tr>
      <w:tr w14:paraId="446A7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3" w:type="dxa"/>
            <w:vAlign w:val="center"/>
          </w:tcPr>
          <w:p w14:paraId="2231A7FB">
            <w:pPr>
              <w:pStyle w:val="81"/>
              <w:rPr>
                <w:rFonts w:cs="Times New Roman"/>
                <w:kern w:val="0"/>
                <w:sz w:val="20"/>
              </w:rPr>
            </w:pPr>
            <w:r>
              <w:rPr>
                <w:rFonts w:cs="Times New Roman"/>
                <w:kern w:val="0"/>
                <w:sz w:val="20"/>
              </w:rPr>
              <w:t>《食品加工制造业水污染物排放标准</w:t>
            </w:r>
          </w:p>
          <w:p w14:paraId="27A5BD94">
            <w:pPr>
              <w:pStyle w:val="81"/>
              <w:rPr>
                <w:rFonts w:cs="Times New Roman"/>
                <w:kern w:val="0"/>
                <w:sz w:val="20"/>
              </w:rPr>
            </w:pPr>
            <w:r>
              <w:rPr>
                <w:rFonts w:cs="Times New Roman"/>
                <w:kern w:val="0"/>
                <w:sz w:val="20"/>
              </w:rPr>
              <w:t>（二次征求意见稿）》（2024）</w:t>
            </w:r>
          </w:p>
        </w:tc>
        <w:tc>
          <w:tcPr>
            <w:tcW w:w="3418" w:type="dxa"/>
            <w:vAlign w:val="center"/>
          </w:tcPr>
          <w:p w14:paraId="2D0EC9CB">
            <w:pPr>
              <w:pStyle w:val="81"/>
              <w:rPr>
                <w:rFonts w:cs="Times New Roman"/>
                <w:kern w:val="0"/>
                <w:sz w:val="20"/>
              </w:rPr>
            </w:pPr>
            <w:r>
              <w:rPr>
                <w:rFonts w:cs="Times New Roman"/>
                <w:kern w:val="0"/>
                <w:sz w:val="20"/>
              </w:rPr>
              <w:t>6~9</w:t>
            </w:r>
          </w:p>
        </w:tc>
      </w:tr>
      <w:tr w14:paraId="29018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663" w:type="dxa"/>
            <w:vAlign w:val="center"/>
          </w:tcPr>
          <w:p w14:paraId="6C3234AC">
            <w:pPr>
              <w:pStyle w:val="81"/>
              <w:rPr>
                <w:rFonts w:cs="Times New Roman"/>
                <w:kern w:val="0"/>
                <w:sz w:val="20"/>
              </w:rPr>
            </w:pPr>
            <w:r>
              <w:rPr>
                <w:rFonts w:cs="Times New Roman"/>
                <w:kern w:val="0"/>
                <w:sz w:val="20"/>
              </w:rPr>
              <w:t>《海水水质标准》</w:t>
            </w:r>
          </w:p>
        </w:tc>
        <w:tc>
          <w:tcPr>
            <w:tcW w:w="3418" w:type="dxa"/>
            <w:vAlign w:val="center"/>
          </w:tcPr>
          <w:p w14:paraId="5C3772F7">
            <w:pPr>
              <w:pStyle w:val="81"/>
              <w:rPr>
                <w:rFonts w:cs="Times New Roman"/>
                <w:kern w:val="0"/>
                <w:sz w:val="20"/>
              </w:rPr>
            </w:pPr>
            <w:r>
              <w:rPr>
                <w:rFonts w:cs="Times New Roman"/>
                <w:kern w:val="0"/>
                <w:sz w:val="20"/>
              </w:rPr>
              <w:t>第一类、第二类水域7.8~8.5，第三类、第四类水域6.8~8.8</w:t>
            </w:r>
          </w:p>
        </w:tc>
      </w:tr>
    </w:tbl>
    <w:p w14:paraId="17F98859">
      <w:pPr>
        <w:pStyle w:val="79"/>
        <w:ind w:firstLine="420"/>
        <w:rPr>
          <w:rFonts w:cs="Times New Roman"/>
        </w:rPr>
      </w:pPr>
    </w:p>
    <w:p w14:paraId="69B77C79">
      <w:pPr>
        <w:pStyle w:val="80"/>
        <w:ind w:firstLine="480"/>
      </w:pPr>
      <w:r>
        <w:t>2022年6月项目组曾开展海菜加工行业污染防治研究，调查了大连市89家海菜加工企业，获取了43家企业漂烫水的监测数据。处理前废水不满足pH值在6~9范围内的有23家企业，占监测数据企业数的53%，处理后监测值均在6~9范围内。</w:t>
      </w:r>
    </w:p>
    <w:p w14:paraId="29EFAAED">
      <w:pPr>
        <w:pStyle w:val="80"/>
        <w:ind w:firstLine="480"/>
      </w:pPr>
      <w:r>
        <w:t>（2）悬浮物</w:t>
      </w:r>
    </w:p>
    <w:p w14:paraId="207FCB84">
      <w:pPr>
        <w:pStyle w:val="80"/>
        <w:ind w:firstLine="480"/>
      </w:pPr>
      <w:r>
        <w:t>从</w:t>
      </w:r>
      <w:r>
        <w:fldChar w:fldCharType="begin"/>
      </w:r>
      <w:r>
        <w:instrText xml:space="preserve"> REF _Ref196212249 \h  \* MERGEFORMAT </w:instrText>
      </w:r>
      <w:r>
        <w:fldChar w:fldCharType="separate"/>
      </w:r>
      <w:r>
        <w:t>表 3</w:t>
      </w:r>
      <w:r>
        <w:noBreakHyphen/>
      </w:r>
      <w:r>
        <w:t>5</w:t>
      </w:r>
      <w:r>
        <w:fldChar w:fldCharType="end"/>
      </w:r>
      <w:r>
        <w:t>可以看出，《海水冷却水排放要求》和《食品加工制造业水污染物排放标准（征求意见稿）》均将悬浮物的标准限值定为30mg/L，结合对海菜加工企业海水冷却水的调研结果，本标准将该项指标直接排放控制值定为30mg/L。</w:t>
      </w:r>
    </w:p>
    <w:p w14:paraId="4965C3FE">
      <w:pPr>
        <w:pStyle w:val="61"/>
        <w:spacing w:before="0" w:beforeLines="0" w:after="0" w:afterLines="0"/>
        <w:rPr>
          <w:rFonts w:cs="Times New Roman"/>
        </w:rPr>
      </w:pPr>
      <w:bookmarkStart w:id="211" w:name="_Ref196212249"/>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5</w:t>
      </w:r>
      <w:r>
        <w:rPr>
          <w:rFonts w:cs="Times New Roman"/>
        </w:rPr>
        <w:fldChar w:fldCharType="end"/>
      </w:r>
      <w:bookmarkEnd w:id="211"/>
      <w:r>
        <w:rPr>
          <w:rFonts w:cs="Times New Roman"/>
        </w:rPr>
        <w:t xml:space="preserve">    悬浮物排放标准分析表 </w:t>
      </w:r>
    </w:p>
    <w:p w14:paraId="414A1E7A">
      <w:pPr>
        <w:pStyle w:val="65"/>
        <w:spacing w:before="0" w:after="0" w:line="240" w:lineRule="auto"/>
        <w:rPr>
          <w:rFonts w:cs="Times New Roman"/>
        </w:rPr>
      </w:pPr>
      <w:r>
        <w:rPr>
          <w:rFonts w:cs="Times New Roman"/>
        </w:rPr>
        <w:t>单位：mg/L</w:t>
      </w:r>
    </w:p>
    <w:tbl>
      <w:tblPr>
        <w:tblStyle w:val="68"/>
        <w:tblW w:w="84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16"/>
        <w:gridCol w:w="4649"/>
      </w:tblGrid>
      <w:tr w14:paraId="55CDB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6" w:type="dxa"/>
            <w:vAlign w:val="center"/>
          </w:tcPr>
          <w:p w14:paraId="58C64975">
            <w:pPr>
              <w:pStyle w:val="81"/>
              <w:rPr>
                <w:rFonts w:cs="Times New Roman"/>
                <w:kern w:val="0"/>
                <w:sz w:val="20"/>
              </w:rPr>
            </w:pPr>
            <w:r>
              <w:rPr>
                <w:rFonts w:cs="Times New Roman"/>
                <w:kern w:val="0"/>
                <w:sz w:val="20"/>
              </w:rPr>
              <w:t>标准名称</w:t>
            </w:r>
          </w:p>
        </w:tc>
        <w:tc>
          <w:tcPr>
            <w:tcW w:w="4649" w:type="dxa"/>
            <w:vAlign w:val="center"/>
          </w:tcPr>
          <w:p w14:paraId="4CE5A590">
            <w:pPr>
              <w:pStyle w:val="81"/>
              <w:rPr>
                <w:rFonts w:cs="Times New Roman"/>
                <w:kern w:val="0"/>
                <w:sz w:val="20"/>
              </w:rPr>
            </w:pPr>
            <w:r>
              <w:rPr>
                <w:rFonts w:cs="Times New Roman"/>
                <w:kern w:val="0"/>
                <w:sz w:val="20"/>
              </w:rPr>
              <w:t>标准值</w:t>
            </w:r>
          </w:p>
        </w:tc>
      </w:tr>
      <w:tr w14:paraId="6FBC3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6" w:type="dxa"/>
            <w:vAlign w:val="center"/>
          </w:tcPr>
          <w:p w14:paraId="1E296329">
            <w:pPr>
              <w:pStyle w:val="81"/>
              <w:rPr>
                <w:rFonts w:cs="Times New Roman"/>
                <w:kern w:val="0"/>
                <w:sz w:val="20"/>
              </w:rPr>
            </w:pPr>
            <w:r>
              <w:rPr>
                <w:rFonts w:cs="Times New Roman"/>
                <w:kern w:val="0"/>
                <w:sz w:val="20"/>
              </w:rPr>
              <w:t>《污水综合排放标准》</w:t>
            </w:r>
          </w:p>
        </w:tc>
        <w:tc>
          <w:tcPr>
            <w:tcW w:w="4649" w:type="dxa"/>
            <w:vAlign w:val="center"/>
          </w:tcPr>
          <w:p w14:paraId="44FF0EA6">
            <w:pPr>
              <w:pStyle w:val="81"/>
              <w:rPr>
                <w:rFonts w:cs="Times New Roman"/>
                <w:kern w:val="0"/>
                <w:sz w:val="20"/>
              </w:rPr>
            </w:pPr>
            <w:r>
              <w:rPr>
                <w:rFonts w:cs="Times New Roman"/>
                <w:kern w:val="0"/>
                <w:sz w:val="20"/>
              </w:rPr>
              <w:t>一级70，二级150，三级400</w:t>
            </w:r>
          </w:p>
        </w:tc>
      </w:tr>
      <w:tr w14:paraId="0CEF0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6" w:type="dxa"/>
            <w:vAlign w:val="center"/>
          </w:tcPr>
          <w:p w14:paraId="2C1CE80A">
            <w:pPr>
              <w:pStyle w:val="81"/>
              <w:rPr>
                <w:rFonts w:cs="Times New Roman"/>
                <w:kern w:val="0"/>
                <w:sz w:val="20"/>
              </w:rPr>
            </w:pPr>
            <w:r>
              <w:rPr>
                <w:rFonts w:cs="Times New Roman"/>
                <w:kern w:val="0"/>
                <w:sz w:val="20"/>
              </w:rPr>
              <w:t>《辽宁省污水综合排放标准》</w:t>
            </w:r>
          </w:p>
        </w:tc>
        <w:tc>
          <w:tcPr>
            <w:tcW w:w="4649" w:type="dxa"/>
            <w:vAlign w:val="center"/>
          </w:tcPr>
          <w:p w14:paraId="339CC706">
            <w:pPr>
              <w:pStyle w:val="81"/>
              <w:rPr>
                <w:rFonts w:cs="Times New Roman"/>
                <w:kern w:val="0"/>
                <w:sz w:val="20"/>
              </w:rPr>
            </w:pPr>
            <w:r>
              <w:rPr>
                <w:rFonts w:cs="Times New Roman"/>
                <w:kern w:val="0"/>
                <w:sz w:val="20"/>
              </w:rPr>
              <w:t>直排20，排入城镇污水处理厂300</w:t>
            </w:r>
          </w:p>
        </w:tc>
      </w:tr>
      <w:tr w14:paraId="23945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6" w:type="dxa"/>
            <w:vAlign w:val="center"/>
          </w:tcPr>
          <w:p w14:paraId="1A163B1A">
            <w:pPr>
              <w:pStyle w:val="81"/>
              <w:rPr>
                <w:rFonts w:cs="Times New Roman"/>
                <w:kern w:val="0"/>
                <w:sz w:val="20"/>
              </w:rPr>
            </w:pPr>
            <w:r>
              <w:rPr>
                <w:rFonts w:cs="Times New Roman"/>
                <w:kern w:val="0"/>
                <w:sz w:val="20"/>
              </w:rPr>
              <w:t>《海水冷却水排放要求》</w:t>
            </w:r>
          </w:p>
        </w:tc>
        <w:tc>
          <w:tcPr>
            <w:tcW w:w="4649" w:type="dxa"/>
            <w:vAlign w:val="center"/>
          </w:tcPr>
          <w:p w14:paraId="552CB7DB">
            <w:pPr>
              <w:pStyle w:val="81"/>
              <w:rPr>
                <w:rFonts w:cs="Times New Roman"/>
                <w:bCs/>
                <w:kern w:val="0"/>
                <w:sz w:val="20"/>
              </w:rPr>
            </w:pPr>
            <w:r>
              <w:rPr>
                <w:rFonts w:cs="Times New Roman"/>
                <w:bCs/>
                <w:kern w:val="0"/>
                <w:sz w:val="20"/>
              </w:rPr>
              <w:t>≤30</w:t>
            </w:r>
          </w:p>
          <w:p w14:paraId="09B54815">
            <w:pPr>
              <w:pStyle w:val="81"/>
              <w:rPr>
                <w:rFonts w:cs="Times New Roman"/>
                <w:kern w:val="0"/>
                <w:sz w:val="20"/>
              </w:rPr>
            </w:pPr>
            <w:r>
              <w:rPr>
                <w:rFonts w:cs="Times New Roman"/>
                <w:kern w:val="0"/>
                <w:sz w:val="20"/>
              </w:rPr>
              <w:t>人为增加量≤20（有本底值的情况下执行）</w:t>
            </w:r>
          </w:p>
        </w:tc>
      </w:tr>
      <w:tr w14:paraId="49501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6" w:type="dxa"/>
            <w:vAlign w:val="center"/>
          </w:tcPr>
          <w:p w14:paraId="3FF4A42A">
            <w:pPr>
              <w:pStyle w:val="81"/>
              <w:rPr>
                <w:rFonts w:cs="Times New Roman"/>
                <w:kern w:val="0"/>
                <w:sz w:val="20"/>
              </w:rPr>
            </w:pPr>
            <w:r>
              <w:rPr>
                <w:rFonts w:cs="Times New Roman"/>
                <w:kern w:val="0"/>
                <w:sz w:val="20"/>
              </w:rPr>
              <w:t>《大连市海菜加工行业生态环境</w:t>
            </w:r>
          </w:p>
          <w:p w14:paraId="59B61396">
            <w:pPr>
              <w:pStyle w:val="81"/>
              <w:rPr>
                <w:rFonts w:cs="Times New Roman"/>
                <w:kern w:val="0"/>
                <w:sz w:val="20"/>
              </w:rPr>
            </w:pPr>
            <w:r>
              <w:rPr>
                <w:rFonts w:cs="Times New Roman"/>
                <w:kern w:val="0"/>
                <w:sz w:val="20"/>
              </w:rPr>
              <w:t>综合整治指导意见》</w:t>
            </w:r>
          </w:p>
        </w:tc>
        <w:tc>
          <w:tcPr>
            <w:tcW w:w="4649" w:type="dxa"/>
            <w:vAlign w:val="center"/>
          </w:tcPr>
          <w:p w14:paraId="27775332">
            <w:pPr>
              <w:pStyle w:val="81"/>
              <w:rPr>
                <w:rFonts w:cs="Times New Roman"/>
                <w:kern w:val="0"/>
                <w:sz w:val="20"/>
              </w:rPr>
            </w:pPr>
            <w:r>
              <w:rPr>
                <w:rFonts w:cs="Times New Roman"/>
                <w:kern w:val="0"/>
                <w:sz w:val="20"/>
              </w:rPr>
              <w:t>20</w:t>
            </w:r>
          </w:p>
        </w:tc>
      </w:tr>
      <w:tr w14:paraId="1676B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6" w:type="dxa"/>
            <w:vAlign w:val="center"/>
          </w:tcPr>
          <w:p w14:paraId="24F3FD24">
            <w:pPr>
              <w:pStyle w:val="81"/>
              <w:rPr>
                <w:rFonts w:cs="Times New Roman"/>
                <w:kern w:val="0"/>
                <w:sz w:val="20"/>
              </w:rPr>
            </w:pPr>
            <w:r>
              <w:rPr>
                <w:rFonts w:cs="Times New Roman"/>
                <w:kern w:val="0"/>
                <w:sz w:val="20"/>
              </w:rPr>
              <w:t>《食品加工制造业水污染物排放标准</w:t>
            </w:r>
          </w:p>
          <w:p w14:paraId="62F041BD">
            <w:pPr>
              <w:pStyle w:val="81"/>
              <w:rPr>
                <w:rFonts w:cs="Times New Roman"/>
                <w:kern w:val="0"/>
                <w:sz w:val="20"/>
              </w:rPr>
            </w:pPr>
            <w:r>
              <w:rPr>
                <w:rFonts w:cs="Times New Roman"/>
                <w:kern w:val="0"/>
                <w:sz w:val="20"/>
              </w:rPr>
              <w:t>（征求意见稿）》（2020）</w:t>
            </w:r>
          </w:p>
        </w:tc>
        <w:tc>
          <w:tcPr>
            <w:tcW w:w="4649" w:type="dxa"/>
            <w:vAlign w:val="center"/>
          </w:tcPr>
          <w:p w14:paraId="7DABF245">
            <w:pPr>
              <w:pStyle w:val="81"/>
              <w:rPr>
                <w:rFonts w:cs="Times New Roman"/>
                <w:bCs/>
                <w:kern w:val="0"/>
                <w:sz w:val="20"/>
              </w:rPr>
            </w:pPr>
            <w:r>
              <w:rPr>
                <w:rFonts w:cs="Times New Roman"/>
                <w:bCs/>
                <w:kern w:val="0"/>
                <w:sz w:val="20"/>
              </w:rPr>
              <w:t>30</w:t>
            </w:r>
          </w:p>
        </w:tc>
      </w:tr>
      <w:tr w14:paraId="3D679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6" w:type="dxa"/>
            <w:vAlign w:val="center"/>
          </w:tcPr>
          <w:p w14:paraId="1DB9FC50">
            <w:pPr>
              <w:pStyle w:val="81"/>
              <w:rPr>
                <w:rFonts w:cs="Times New Roman"/>
                <w:kern w:val="0"/>
                <w:sz w:val="20"/>
              </w:rPr>
            </w:pPr>
            <w:r>
              <w:rPr>
                <w:rFonts w:cs="Times New Roman"/>
                <w:kern w:val="0"/>
                <w:sz w:val="20"/>
              </w:rPr>
              <w:t>《食品加工制造业水污染物排放标准</w:t>
            </w:r>
          </w:p>
          <w:p w14:paraId="2F319720">
            <w:pPr>
              <w:pStyle w:val="81"/>
              <w:rPr>
                <w:rFonts w:cs="Times New Roman"/>
                <w:kern w:val="0"/>
                <w:sz w:val="20"/>
              </w:rPr>
            </w:pPr>
            <w:r>
              <w:rPr>
                <w:rFonts w:cs="Times New Roman"/>
                <w:kern w:val="0"/>
                <w:sz w:val="20"/>
              </w:rPr>
              <w:t>（二次征求意见稿）》（2024）</w:t>
            </w:r>
          </w:p>
        </w:tc>
        <w:tc>
          <w:tcPr>
            <w:tcW w:w="4649" w:type="dxa"/>
            <w:vAlign w:val="center"/>
          </w:tcPr>
          <w:p w14:paraId="7564B6DA">
            <w:pPr>
              <w:pStyle w:val="81"/>
              <w:rPr>
                <w:rFonts w:cs="Times New Roman"/>
                <w:bCs/>
                <w:kern w:val="0"/>
                <w:sz w:val="20"/>
              </w:rPr>
            </w:pPr>
            <w:r>
              <w:rPr>
                <w:rFonts w:cs="Times New Roman"/>
                <w:bCs/>
                <w:kern w:val="0"/>
                <w:sz w:val="20"/>
              </w:rPr>
              <w:t>30</w:t>
            </w:r>
          </w:p>
        </w:tc>
      </w:tr>
      <w:tr w14:paraId="0955F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6" w:hRule="atLeast"/>
        </w:trPr>
        <w:tc>
          <w:tcPr>
            <w:tcW w:w="3816" w:type="dxa"/>
            <w:vAlign w:val="center"/>
          </w:tcPr>
          <w:p w14:paraId="35704DEA">
            <w:pPr>
              <w:pStyle w:val="81"/>
              <w:rPr>
                <w:rFonts w:cs="Times New Roman"/>
                <w:kern w:val="0"/>
                <w:sz w:val="20"/>
              </w:rPr>
            </w:pPr>
            <w:r>
              <w:rPr>
                <w:rFonts w:cs="Times New Roman"/>
                <w:kern w:val="0"/>
                <w:sz w:val="20"/>
              </w:rPr>
              <w:t>《海水水质标准》</w:t>
            </w:r>
          </w:p>
        </w:tc>
        <w:tc>
          <w:tcPr>
            <w:tcW w:w="4649" w:type="dxa"/>
            <w:vAlign w:val="center"/>
          </w:tcPr>
          <w:p w14:paraId="46F8C649">
            <w:pPr>
              <w:pStyle w:val="81"/>
              <w:rPr>
                <w:rFonts w:cs="Times New Roman"/>
                <w:kern w:val="0"/>
                <w:sz w:val="20"/>
              </w:rPr>
            </w:pPr>
            <w:r>
              <w:rPr>
                <w:rFonts w:cs="Times New Roman"/>
                <w:kern w:val="0"/>
                <w:sz w:val="20"/>
              </w:rPr>
              <w:t>第一类、第二类水域人为增加的量≤10，第三类水域人为增加的量≤100，第四类水域人为增加的量≤150</w:t>
            </w:r>
          </w:p>
        </w:tc>
      </w:tr>
    </w:tbl>
    <w:p w14:paraId="3BF4B3B9">
      <w:pPr>
        <w:pStyle w:val="79"/>
        <w:ind w:firstLine="420"/>
        <w:rPr>
          <w:rFonts w:cs="Times New Roman"/>
        </w:rPr>
      </w:pPr>
    </w:p>
    <w:p w14:paraId="5476B642">
      <w:pPr>
        <w:pStyle w:val="80"/>
        <w:ind w:firstLine="480"/>
      </w:pPr>
      <w:r>
        <w:t>2022年调查的43家海菜加工企业，漂烫废水处理前SS监测值在200~6000mg/L之间，平均为645mg/L。其中，处理前监测数据超过1000mg/L的企业有14家，占监测数据企业数的33%，超过400mg/L的企业有17家，占监测数据企业数的40%，超过300mg/L的企业有23家，占监测数据企业数的53%，超过20mg/L的企业有43家，占监测数据企业数的100%。处理后废水SS监测值在8~77mg/L之间，平均为16mg/L。其中，监测数据超过20mg/L的企业有2家，占监测数据企业数的5%。</w:t>
      </w:r>
    </w:p>
    <w:p w14:paraId="757859BA">
      <w:pPr>
        <w:pStyle w:val="80"/>
        <w:ind w:firstLine="480"/>
      </w:pPr>
      <w:r>
        <w:t>（3）水温</w:t>
      </w:r>
    </w:p>
    <w:p w14:paraId="5BDAFCCA">
      <w:pPr>
        <w:pStyle w:val="80"/>
        <w:ind w:firstLine="480"/>
        <w:rPr>
          <w:bCs/>
        </w:rPr>
      </w:pPr>
      <w:r>
        <w:rPr>
          <w:bCs/>
        </w:rPr>
        <w:t>国家《污水综合排放标准》、辽宁省《污水综合排放标准》以及《食品加工制造业水污染物排放标准（征求意见稿）》均未对水温进行控制。海菜加工过程中产生的漂烫废水和盐渍废水中盐分和有机物含量很高，必须经过处理设施处理后排放。为此，对于这部分废水不进行温度指标控制。</w:t>
      </w:r>
    </w:p>
    <w:p w14:paraId="2BCE2C18">
      <w:pPr>
        <w:pStyle w:val="80"/>
        <w:ind w:firstLine="480"/>
        <w:rPr>
          <w:bCs/>
        </w:rPr>
      </w:pPr>
      <w:r>
        <w:rPr>
          <w:bCs/>
        </w:rPr>
        <w:t>（4）化学需氧量（COD）</w:t>
      </w:r>
    </w:p>
    <w:p w14:paraId="551939A8">
      <w:pPr>
        <w:pStyle w:val="80"/>
        <w:ind w:firstLine="480"/>
        <w:rPr>
          <w:bCs/>
        </w:rPr>
      </w:pPr>
      <w:r>
        <w:rPr>
          <w:bCs/>
        </w:rPr>
        <w:fldChar w:fldCharType="begin"/>
      </w:r>
      <w:r>
        <w:rPr>
          <w:bCs/>
        </w:rPr>
        <w:instrText xml:space="preserve"> REF _Ref196212338 \h  \* MERGEFORMAT </w:instrText>
      </w:r>
      <w:r>
        <w:rPr>
          <w:bCs/>
        </w:rPr>
        <w:fldChar w:fldCharType="separate"/>
      </w:r>
      <w:r>
        <w:t>表 3</w:t>
      </w:r>
      <w:r>
        <w:noBreakHyphen/>
      </w:r>
      <w:r>
        <w:t>6</w:t>
      </w:r>
      <w:r>
        <w:rPr>
          <w:bCs/>
        </w:rPr>
        <w:fldChar w:fldCharType="end"/>
      </w:r>
      <w:r>
        <w:rPr>
          <w:bCs/>
        </w:rPr>
        <w:t>分析了相关标准中对COD的控制限值，结合2022年企业调研和2024年的实际监测数据分析，本标准分别控制漂烫盐渍废水和冷却水COD指标。</w:t>
      </w:r>
    </w:p>
    <w:p w14:paraId="1B60470B">
      <w:pPr>
        <w:pStyle w:val="80"/>
        <w:ind w:firstLine="480"/>
        <w:rPr>
          <w:bCs/>
        </w:rPr>
      </w:pPr>
      <w:r>
        <w:rPr>
          <w:bCs/>
        </w:rPr>
        <w:t>漂烫盐渍废水直接排放的COD</w:t>
      </w:r>
      <w:r>
        <w:rPr>
          <w:bCs/>
          <w:vertAlign w:val="subscript"/>
        </w:rPr>
        <w:t>Cr</w:t>
      </w:r>
      <w:r>
        <w:rPr>
          <w:bCs/>
        </w:rPr>
        <w:t>控制值确定为100mg/L，与</w:t>
      </w:r>
      <w:r>
        <w:t>《食品加工制造业水污染物排放标准（征求意见稿）》（2020）和《食品加工制造业水污染物排放标准（二次征求意见稿）》（2024）</w:t>
      </w:r>
      <w:r>
        <w:rPr>
          <w:bCs/>
        </w:rPr>
        <w:t>中直排入海标准一致。从两次调查的数据来看，采用100 mg/L的控制限值，经处理后漂烫废水的达标率在75%左右，尚有25%的企业需进一步提升处理效率，以保障该部分废水达标排放。</w:t>
      </w:r>
    </w:p>
    <w:p w14:paraId="2B361FCF">
      <w:pPr>
        <w:pStyle w:val="61"/>
        <w:rPr>
          <w:rFonts w:cs="Times New Roman"/>
        </w:rPr>
      </w:pPr>
      <w:bookmarkStart w:id="212" w:name="_Ref196212338"/>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6</w:t>
      </w:r>
      <w:r>
        <w:rPr>
          <w:rFonts w:cs="Times New Roman"/>
        </w:rPr>
        <w:fldChar w:fldCharType="end"/>
      </w:r>
      <w:bookmarkEnd w:id="212"/>
      <w:r>
        <w:rPr>
          <w:rFonts w:cs="Times New Roman"/>
        </w:rPr>
        <w:t xml:space="preserve">    化学需氧量排放标准分析表</w:t>
      </w:r>
    </w:p>
    <w:tbl>
      <w:tblPr>
        <w:tblStyle w:val="68"/>
        <w:tblW w:w="822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4"/>
        <w:gridCol w:w="4257"/>
      </w:tblGrid>
      <w:tr w14:paraId="4B2B5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vAlign w:val="center"/>
          </w:tcPr>
          <w:p w14:paraId="73DD265E">
            <w:pPr>
              <w:pStyle w:val="81"/>
              <w:rPr>
                <w:rFonts w:cs="Times New Roman"/>
                <w:kern w:val="0"/>
                <w:sz w:val="20"/>
              </w:rPr>
            </w:pPr>
            <w:r>
              <w:rPr>
                <w:rFonts w:cs="Times New Roman"/>
                <w:kern w:val="0"/>
                <w:sz w:val="20"/>
              </w:rPr>
              <w:t xml:space="preserve">     标准名称</w:t>
            </w:r>
          </w:p>
        </w:tc>
        <w:tc>
          <w:tcPr>
            <w:tcW w:w="4257" w:type="dxa"/>
            <w:vAlign w:val="center"/>
          </w:tcPr>
          <w:p w14:paraId="380AF116">
            <w:pPr>
              <w:pStyle w:val="81"/>
              <w:rPr>
                <w:rFonts w:cs="Times New Roman"/>
                <w:kern w:val="0"/>
                <w:sz w:val="20"/>
              </w:rPr>
            </w:pPr>
            <w:r>
              <w:rPr>
                <w:rFonts w:cs="Times New Roman"/>
                <w:kern w:val="0"/>
                <w:sz w:val="20"/>
              </w:rPr>
              <w:t>标准值（mg/L）</w:t>
            </w:r>
          </w:p>
        </w:tc>
      </w:tr>
      <w:tr w14:paraId="346B8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vAlign w:val="center"/>
          </w:tcPr>
          <w:p w14:paraId="515B34F4">
            <w:pPr>
              <w:pStyle w:val="81"/>
              <w:rPr>
                <w:rFonts w:cs="Times New Roman"/>
                <w:kern w:val="0"/>
                <w:sz w:val="20"/>
              </w:rPr>
            </w:pPr>
            <w:r>
              <w:rPr>
                <w:rFonts w:cs="Times New Roman"/>
                <w:kern w:val="0"/>
                <w:sz w:val="20"/>
              </w:rPr>
              <w:t>《污水综合排放标准》</w:t>
            </w:r>
          </w:p>
        </w:tc>
        <w:tc>
          <w:tcPr>
            <w:tcW w:w="4257" w:type="dxa"/>
            <w:vAlign w:val="center"/>
          </w:tcPr>
          <w:p w14:paraId="355B0612">
            <w:pPr>
              <w:pStyle w:val="81"/>
              <w:rPr>
                <w:rFonts w:cs="Times New Roman"/>
                <w:kern w:val="0"/>
                <w:sz w:val="20"/>
              </w:rPr>
            </w:pPr>
            <w:r>
              <w:rPr>
                <w:rFonts w:cs="Times New Roman"/>
                <w:kern w:val="0"/>
                <w:sz w:val="20"/>
              </w:rPr>
              <w:t>一级100，二级150，三级500</w:t>
            </w:r>
          </w:p>
        </w:tc>
      </w:tr>
      <w:tr w14:paraId="3B7B9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vAlign w:val="center"/>
          </w:tcPr>
          <w:p w14:paraId="3DE88D79">
            <w:pPr>
              <w:pStyle w:val="81"/>
              <w:rPr>
                <w:rFonts w:cs="Times New Roman"/>
                <w:kern w:val="0"/>
                <w:sz w:val="20"/>
              </w:rPr>
            </w:pPr>
            <w:r>
              <w:rPr>
                <w:rFonts w:cs="Times New Roman"/>
                <w:kern w:val="0"/>
                <w:sz w:val="20"/>
              </w:rPr>
              <w:t>《辽宁省污水综合排放标准》</w:t>
            </w:r>
          </w:p>
        </w:tc>
        <w:tc>
          <w:tcPr>
            <w:tcW w:w="4257" w:type="dxa"/>
            <w:vAlign w:val="center"/>
          </w:tcPr>
          <w:p w14:paraId="36D44349">
            <w:pPr>
              <w:pStyle w:val="81"/>
              <w:rPr>
                <w:rFonts w:cs="Times New Roman"/>
                <w:kern w:val="0"/>
                <w:sz w:val="20"/>
              </w:rPr>
            </w:pPr>
            <w:r>
              <w:rPr>
                <w:rFonts w:cs="Times New Roman"/>
                <w:kern w:val="0"/>
                <w:sz w:val="20"/>
              </w:rPr>
              <w:t>50</w:t>
            </w:r>
          </w:p>
        </w:tc>
      </w:tr>
      <w:tr w14:paraId="6F51C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vAlign w:val="center"/>
          </w:tcPr>
          <w:p w14:paraId="2F0158BB">
            <w:pPr>
              <w:pStyle w:val="81"/>
              <w:rPr>
                <w:rFonts w:cs="Times New Roman"/>
                <w:kern w:val="0"/>
                <w:sz w:val="20"/>
              </w:rPr>
            </w:pPr>
            <w:r>
              <w:rPr>
                <w:rFonts w:cs="Times New Roman"/>
                <w:kern w:val="0"/>
                <w:sz w:val="20"/>
              </w:rPr>
              <w:t>《大连市海菜加工行业生态环境</w:t>
            </w:r>
          </w:p>
          <w:p w14:paraId="4807D31D">
            <w:pPr>
              <w:pStyle w:val="81"/>
              <w:rPr>
                <w:rFonts w:cs="Times New Roman"/>
                <w:kern w:val="0"/>
                <w:sz w:val="20"/>
              </w:rPr>
            </w:pPr>
            <w:r>
              <w:rPr>
                <w:rFonts w:cs="Times New Roman"/>
                <w:kern w:val="0"/>
                <w:sz w:val="20"/>
              </w:rPr>
              <w:t>综合整治指导意见》</w:t>
            </w:r>
          </w:p>
        </w:tc>
        <w:tc>
          <w:tcPr>
            <w:tcW w:w="4257" w:type="dxa"/>
            <w:vAlign w:val="center"/>
          </w:tcPr>
          <w:p w14:paraId="778BAB81">
            <w:pPr>
              <w:pStyle w:val="81"/>
              <w:rPr>
                <w:rFonts w:cs="Times New Roman"/>
                <w:kern w:val="0"/>
                <w:sz w:val="20"/>
              </w:rPr>
            </w:pPr>
            <w:r>
              <w:rPr>
                <w:rFonts w:cs="Times New Roman"/>
                <w:kern w:val="0"/>
                <w:sz w:val="20"/>
              </w:rPr>
              <w:t>50</w:t>
            </w:r>
          </w:p>
        </w:tc>
      </w:tr>
      <w:tr w14:paraId="07D35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vAlign w:val="center"/>
          </w:tcPr>
          <w:p w14:paraId="1FE92C60">
            <w:pPr>
              <w:pStyle w:val="81"/>
              <w:rPr>
                <w:rFonts w:cs="Times New Roman"/>
                <w:kern w:val="0"/>
                <w:sz w:val="20"/>
              </w:rPr>
            </w:pPr>
            <w:r>
              <w:rPr>
                <w:rFonts w:cs="Times New Roman"/>
                <w:kern w:val="0"/>
                <w:sz w:val="20"/>
              </w:rPr>
              <w:t>《食品加工制造业水污染物排放标准</w:t>
            </w:r>
          </w:p>
          <w:p w14:paraId="6DBB3AF1">
            <w:pPr>
              <w:pStyle w:val="81"/>
              <w:rPr>
                <w:rFonts w:cs="Times New Roman"/>
                <w:kern w:val="0"/>
                <w:sz w:val="20"/>
              </w:rPr>
            </w:pPr>
            <w:r>
              <w:rPr>
                <w:rFonts w:cs="Times New Roman"/>
                <w:kern w:val="0"/>
                <w:sz w:val="20"/>
              </w:rPr>
              <w:t>（征求意见稿）》（2020）</w:t>
            </w:r>
          </w:p>
        </w:tc>
        <w:tc>
          <w:tcPr>
            <w:tcW w:w="4257" w:type="dxa"/>
            <w:vAlign w:val="center"/>
          </w:tcPr>
          <w:p w14:paraId="29E7B108">
            <w:pPr>
              <w:pStyle w:val="81"/>
              <w:rPr>
                <w:rFonts w:cs="Times New Roman"/>
                <w:kern w:val="0"/>
                <w:sz w:val="20"/>
              </w:rPr>
            </w:pPr>
            <w:r>
              <w:rPr>
                <w:rFonts w:cs="Times New Roman"/>
                <w:kern w:val="0"/>
                <w:sz w:val="20"/>
              </w:rPr>
              <w:t>100</w:t>
            </w:r>
          </w:p>
        </w:tc>
      </w:tr>
      <w:tr w14:paraId="7F157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vAlign w:val="center"/>
          </w:tcPr>
          <w:p w14:paraId="0F32F1AA">
            <w:pPr>
              <w:pStyle w:val="81"/>
              <w:rPr>
                <w:rFonts w:cs="Times New Roman"/>
                <w:kern w:val="0"/>
                <w:sz w:val="20"/>
              </w:rPr>
            </w:pPr>
            <w:r>
              <w:rPr>
                <w:rFonts w:cs="Times New Roman"/>
                <w:kern w:val="0"/>
                <w:sz w:val="20"/>
              </w:rPr>
              <w:t>《食品加工制造业水污染物排放标准</w:t>
            </w:r>
          </w:p>
          <w:p w14:paraId="1A5F9923">
            <w:pPr>
              <w:pStyle w:val="81"/>
              <w:rPr>
                <w:rFonts w:cs="Times New Roman"/>
                <w:kern w:val="0"/>
                <w:sz w:val="20"/>
              </w:rPr>
            </w:pPr>
            <w:r>
              <w:rPr>
                <w:rFonts w:cs="Times New Roman"/>
                <w:kern w:val="0"/>
                <w:sz w:val="20"/>
              </w:rPr>
              <w:t>（二次征求意见稿）》（2024）</w:t>
            </w:r>
          </w:p>
        </w:tc>
        <w:tc>
          <w:tcPr>
            <w:tcW w:w="4257" w:type="dxa"/>
            <w:vAlign w:val="center"/>
          </w:tcPr>
          <w:p w14:paraId="79C3EDDD">
            <w:pPr>
              <w:pStyle w:val="81"/>
              <w:rPr>
                <w:rFonts w:cs="Times New Roman"/>
                <w:kern w:val="0"/>
                <w:sz w:val="20"/>
              </w:rPr>
            </w:pPr>
            <w:r>
              <w:rPr>
                <w:rFonts w:cs="Times New Roman"/>
                <w:kern w:val="0"/>
                <w:sz w:val="20"/>
              </w:rPr>
              <w:t>100</w:t>
            </w:r>
          </w:p>
        </w:tc>
      </w:tr>
    </w:tbl>
    <w:p w14:paraId="4B971A8F">
      <w:pPr>
        <w:pStyle w:val="79"/>
        <w:ind w:firstLine="420"/>
        <w:rPr>
          <w:rFonts w:cs="Times New Roman"/>
        </w:rPr>
      </w:pPr>
    </w:p>
    <w:p w14:paraId="23AA3A5B">
      <w:pPr>
        <w:pStyle w:val="80"/>
        <w:ind w:firstLine="480"/>
      </w:pPr>
      <w:r>
        <w:t>2022年调查43家海菜加工企业的废水排放数据表明，处理前漂烫废水化学需氧量在2800~37200mg/L之间，平均浓度为6909mg/L，处理后化学需氧量在36~65mg/L之间，平均为42mg/L。其中，处理后监测数据均低于100mg/L的限值，其中大于50mg/L的企业有16家，占监测数据企业数的37%。</w:t>
      </w:r>
    </w:p>
    <w:p w14:paraId="061AC7E6">
      <w:pPr>
        <w:pStyle w:val="80"/>
        <w:ind w:firstLine="480"/>
      </w:pPr>
      <w:r>
        <w:t>2024年项目组对大连市26家有代表性的海菜加工企业进行了现场实地监测，监测结果如</w:t>
      </w:r>
      <w:r>
        <w:fldChar w:fldCharType="begin"/>
      </w:r>
      <w:r>
        <w:instrText xml:space="preserve"> REF _Ref196212402 \h  \* MERGEFORMAT </w:instrText>
      </w:r>
      <w:r>
        <w:fldChar w:fldCharType="separate"/>
      </w:r>
      <w:r>
        <w:t>表 3</w:t>
      </w:r>
      <w:r>
        <w:noBreakHyphen/>
      </w:r>
      <w:r>
        <w:t>7</w:t>
      </w:r>
      <w:r>
        <w:fldChar w:fldCharType="end"/>
      </w:r>
      <w:r>
        <w:t>所示。从该表可以看出，漂烫废水处理前COD浓度在47.6~3800mg/L，处理后COD浓度在0.16~96mg/L之间，均低于100mg/L的限值。</w:t>
      </w:r>
    </w:p>
    <w:p w14:paraId="10A6A8CD">
      <w:pPr>
        <w:pStyle w:val="61"/>
        <w:rPr>
          <w:rFonts w:cs="Times New Roman"/>
        </w:rPr>
      </w:pPr>
      <w:bookmarkStart w:id="213" w:name="_Ref196212402"/>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7</w:t>
      </w:r>
      <w:r>
        <w:rPr>
          <w:rFonts w:cs="Times New Roman"/>
        </w:rPr>
        <w:fldChar w:fldCharType="end"/>
      </w:r>
      <w:bookmarkEnd w:id="213"/>
      <w:r>
        <w:rPr>
          <w:rFonts w:cs="Times New Roman"/>
        </w:rPr>
        <w:t xml:space="preserve">    2024年海菜加工企业漂烫废水COD监测数据统计表</w:t>
      </w:r>
    </w:p>
    <w:tbl>
      <w:tblPr>
        <w:tblStyle w:val="68"/>
        <w:tblW w:w="80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2"/>
        <w:gridCol w:w="1558"/>
        <w:gridCol w:w="1703"/>
        <w:gridCol w:w="1706"/>
        <w:gridCol w:w="1842"/>
      </w:tblGrid>
      <w:tr w14:paraId="71C2A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Merge w:val="restart"/>
            <w:vAlign w:val="center"/>
          </w:tcPr>
          <w:p w14:paraId="41CE7243">
            <w:pPr>
              <w:pStyle w:val="81"/>
              <w:rPr>
                <w:rFonts w:cs="Times New Roman"/>
                <w:kern w:val="0"/>
                <w:sz w:val="20"/>
              </w:rPr>
            </w:pPr>
            <w:r>
              <w:rPr>
                <w:rFonts w:cs="Times New Roman"/>
                <w:kern w:val="0"/>
                <w:sz w:val="20"/>
              </w:rPr>
              <w:t>企业序号</w:t>
            </w:r>
          </w:p>
        </w:tc>
        <w:tc>
          <w:tcPr>
            <w:tcW w:w="6809" w:type="dxa"/>
            <w:gridSpan w:val="4"/>
            <w:vAlign w:val="center"/>
          </w:tcPr>
          <w:p w14:paraId="1AB919BB">
            <w:pPr>
              <w:pStyle w:val="81"/>
              <w:rPr>
                <w:rFonts w:cs="Times New Roman"/>
                <w:kern w:val="0"/>
                <w:sz w:val="20"/>
              </w:rPr>
            </w:pPr>
            <w:r>
              <w:rPr>
                <w:rFonts w:cs="Times New Roman"/>
                <w:kern w:val="0"/>
                <w:sz w:val="20"/>
              </w:rPr>
              <w:t>漂烫废水COD(mg/L)</w:t>
            </w:r>
          </w:p>
        </w:tc>
      </w:tr>
      <w:tr w14:paraId="5E111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272" w:type="dxa"/>
            <w:vMerge w:val="continue"/>
            <w:vAlign w:val="center"/>
          </w:tcPr>
          <w:p w14:paraId="3DFBE6AF">
            <w:pPr>
              <w:pStyle w:val="81"/>
              <w:rPr>
                <w:rFonts w:cs="Times New Roman"/>
                <w:kern w:val="0"/>
                <w:sz w:val="20"/>
              </w:rPr>
            </w:pPr>
          </w:p>
        </w:tc>
        <w:tc>
          <w:tcPr>
            <w:tcW w:w="1558" w:type="dxa"/>
            <w:vAlign w:val="center"/>
          </w:tcPr>
          <w:p w14:paraId="114226B1">
            <w:pPr>
              <w:pStyle w:val="81"/>
              <w:rPr>
                <w:rFonts w:cs="Times New Roman"/>
                <w:kern w:val="0"/>
                <w:sz w:val="20"/>
              </w:rPr>
            </w:pPr>
            <w:r>
              <w:rPr>
                <w:rFonts w:cs="Times New Roman"/>
                <w:kern w:val="0"/>
                <w:sz w:val="20"/>
              </w:rPr>
              <w:t>水量（t）</w:t>
            </w:r>
          </w:p>
        </w:tc>
        <w:tc>
          <w:tcPr>
            <w:tcW w:w="1703" w:type="dxa"/>
            <w:vAlign w:val="center"/>
          </w:tcPr>
          <w:p w14:paraId="1193CF30">
            <w:pPr>
              <w:pStyle w:val="81"/>
              <w:rPr>
                <w:rFonts w:cs="Times New Roman"/>
                <w:kern w:val="0"/>
                <w:sz w:val="20"/>
              </w:rPr>
            </w:pPr>
            <w:r>
              <w:rPr>
                <w:rFonts w:cs="Times New Roman"/>
                <w:kern w:val="0"/>
                <w:sz w:val="20"/>
              </w:rPr>
              <w:t>原水</w:t>
            </w:r>
          </w:p>
        </w:tc>
        <w:tc>
          <w:tcPr>
            <w:tcW w:w="1706" w:type="dxa"/>
            <w:vAlign w:val="center"/>
          </w:tcPr>
          <w:p w14:paraId="33D029E9">
            <w:pPr>
              <w:pStyle w:val="81"/>
              <w:rPr>
                <w:rFonts w:cs="Times New Roman"/>
                <w:kern w:val="0"/>
                <w:sz w:val="20"/>
              </w:rPr>
            </w:pPr>
            <w:r>
              <w:rPr>
                <w:rFonts w:cs="Times New Roman"/>
                <w:kern w:val="0"/>
                <w:sz w:val="20"/>
              </w:rPr>
              <w:t>出水</w:t>
            </w:r>
          </w:p>
        </w:tc>
        <w:tc>
          <w:tcPr>
            <w:tcW w:w="1842" w:type="dxa"/>
            <w:vAlign w:val="center"/>
          </w:tcPr>
          <w:p w14:paraId="02AF5140">
            <w:pPr>
              <w:pStyle w:val="81"/>
              <w:rPr>
                <w:rFonts w:cs="Times New Roman"/>
                <w:kern w:val="0"/>
                <w:sz w:val="20"/>
              </w:rPr>
            </w:pPr>
            <w:r>
              <w:rPr>
                <w:rFonts w:cs="Times New Roman"/>
                <w:kern w:val="0"/>
                <w:sz w:val="20"/>
              </w:rPr>
              <w:t>去除率（%）</w:t>
            </w:r>
          </w:p>
        </w:tc>
      </w:tr>
      <w:tr w14:paraId="3BBBC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4E2CDE47">
            <w:pPr>
              <w:pStyle w:val="81"/>
              <w:rPr>
                <w:rFonts w:cs="Times New Roman"/>
                <w:kern w:val="0"/>
                <w:sz w:val="20"/>
              </w:rPr>
            </w:pPr>
            <w:r>
              <w:rPr>
                <w:rFonts w:cs="Times New Roman"/>
                <w:kern w:val="0"/>
                <w:sz w:val="20"/>
              </w:rPr>
              <w:t>1</w:t>
            </w:r>
          </w:p>
        </w:tc>
        <w:tc>
          <w:tcPr>
            <w:tcW w:w="1558" w:type="dxa"/>
            <w:vAlign w:val="center"/>
          </w:tcPr>
          <w:p w14:paraId="2277289B">
            <w:pPr>
              <w:pStyle w:val="81"/>
              <w:rPr>
                <w:rFonts w:cs="Times New Roman"/>
                <w:kern w:val="0"/>
                <w:sz w:val="20"/>
              </w:rPr>
            </w:pPr>
            <w:r>
              <w:rPr>
                <w:rFonts w:cs="Times New Roman"/>
                <w:kern w:val="0"/>
                <w:sz w:val="20"/>
              </w:rPr>
              <w:t>20</w:t>
            </w:r>
          </w:p>
        </w:tc>
        <w:tc>
          <w:tcPr>
            <w:tcW w:w="1703" w:type="dxa"/>
            <w:vAlign w:val="center"/>
          </w:tcPr>
          <w:p w14:paraId="7D18BA66">
            <w:pPr>
              <w:pStyle w:val="81"/>
              <w:rPr>
                <w:rFonts w:cs="Times New Roman"/>
                <w:kern w:val="0"/>
                <w:sz w:val="20"/>
              </w:rPr>
            </w:pPr>
            <w:r>
              <w:rPr>
                <w:rFonts w:cs="Times New Roman"/>
                <w:kern w:val="0"/>
                <w:sz w:val="20"/>
              </w:rPr>
              <w:t>2340</w:t>
            </w:r>
          </w:p>
        </w:tc>
        <w:tc>
          <w:tcPr>
            <w:tcW w:w="1706" w:type="dxa"/>
            <w:vAlign w:val="center"/>
          </w:tcPr>
          <w:p w14:paraId="5CEEC195">
            <w:pPr>
              <w:pStyle w:val="81"/>
              <w:rPr>
                <w:rFonts w:cs="Times New Roman"/>
                <w:kern w:val="0"/>
                <w:sz w:val="20"/>
              </w:rPr>
            </w:pPr>
            <w:r>
              <w:rPr>
                <w:rFonts w:cs="Times New Roman"/>
                <w:kern w:val="0"/>
                <w:sz w:val="20"/>
              </w:rPr>
              <w:t>1.5</w:t>
            </w:r>
          </w:p>
        </w:tc>
        <w:tc>
          <w:tcPr>
            <w:tcW w:w="1842" w:type="dxa"/>
            <w:vAlign w:val="center"/>
          </w:tcPr>
          <w:p w14:paraId="5453FFEF">
            <w:pPr>
              <w:pStyle w:val="81"/>
              <w:rPr>
                <w:rFonts w:cs="Times New Roman"/>
                <w:kern w:val="0"/>
                <w:sz w:val="20"/>
              </w:rPr>
            </w:pPr>
            <w:r>
              <w:rPr>
                <w:rFonts w:cs="Times New Roman"/>
                <w:kern w:val="0"/>
                <w:sz w:val="20"/>
              </w:rPr>
              <w:t>99.9</w:t>
            </w:r>
          </w:p>
        </w:tc>
      </w:tr>
      <w:tr w14:paraId="01058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1C669B80">
            <w:pPr>
              <w:pStyle w:val="81"/>
              <w:rPr>
                <w:rFonts w:cs="Times New Roman"/>
                <w:kern w:val="0"/>
                <w:sz w:val="20"/>
              </w:rPr>
            </w:pPr>
            <w:r>
              <w:rPr>
                <w:rFonts w:cs="Times New Roman"/>
                <w:kern w:val="0"/>
                <w:sz w:val="20"/>
              </w:rPr>
              <w:t>2</w:t>
            </w:r>
          </w:p>
        </w:tc>
        <w:tc>
          <w:tcPr>
            <w:tcW w:w="1558" w:type="dxa"/>
            <w:vAlign w:val="center"/>
          </w:tcPr>
          <w:p w14:paraId="4AA67C87">
            <w:pPr>
              <w:pStyle w:val="81"/>
              <w:rPr>
                <w:rFonts w:cs="Times New Roman"/>
                <w:kern w:val="0"/>
                <w:sz w:val="20"/>
              </w:rPr>
            </w:pPr>
            <w:r>
              <w:rPr>
                <w:rFonts w:cs="Times New Roman"/>
                <w:kern w:val="0"/>
                <w:sz w:val="20"/>
              </w:rPr>
              <w:t>5</w:t>
            </w:r>
          </w:p>
        </w:tc>
        <w:tc>
          <w:tcPr>
            <w:tcW w:w="1703" w:type="dxa"/>
            <w:vAlign w:val="center"/>
          </w:tcPr>
          <w:p w14:paraId="5F8A2861">
            <w:pPr>
              <w:pStyle w:val="81"/>
              <w:rPr>
                <w:rFonts w:cs="Times New Roman"/>
                <w:kern w:val="0"/>
                <w:sz w:val="20"/>
              </w:rPr>
            </w:pPr>
            <w:r>
              <w:rPr>
                <w:rFonts w:cs="Times New Roman"/>
                <w:kern w:val="0"/>
                <w:sz w:val="20"/>
              </w:rPr>
              <w:t>840</w:t>
            </w:r>
          </w:p>
        </w:tc>
        <w:tc>
          <w:tcPr>
            <w:tcW w:w="1706" w:type="dxa"/>
            <w:vAlign w:val="center"/>
          </w:tcPr>
          <w:p w14:paraId="455B1975">
            <w:pPr>
              <w:pStyle w:val="81"/>
              <w:rPr>
                <w:rFonts w:cs="Times New Roman"/>
                <w:kern w:val="0"/>
                <w:sz w:val="20"/>
              </w:rPr>
            </w:pPr>
            <w:r>
              <w:rPr>
                <w:rFonts w:cs="Times New Roman"/>
                <w:kern w:val="0"/>
                <w:sz w:val="20"/>
              </w:rPr>
              <w:t>10</w:t>
            </w:r>
          </w:p>
        </w:tc>
        <w:tc>
          <w:tcPr>
            <w:tcW w:w="1842" w:type="dxa"/>
            <w:vAlign w:val="center"/>
          </w:tcPr>
          <w:p w14:paraId="1A15FBCF">
            <w:pPr>
              <w:pStyle w:val="81"/>
              <w:rPr>
                <w:rFonts w:cs="Times New Roman"/>
                <w:kern w:val="0"/>
                <w:sz w:val="20"/>
              </w:rPr>
            </w:pPr>
            <w:r>
              <w:rPr>
                <w:rFonts w:cs="Times New Roman"/>
                <w:kern w:val="0"/>
                <w:sz w:val="20"/>
              </w:rPr>
              <w:t>98.8</w:t>
            </w:r>
          </w:p>
        </w:tc>
      </w:tr>
      <w:tr w14:paraId="65E15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3FB471ED">
            <w:pPr>
              <w:pStyle w:val="81"/>
              <w:rPr>
                <w:rFonts w:cs="Times New Roman"/>
                <w:kern w:val="0"/>
                <w:sz w:val="20"/>
              </w:rPr>
            </w:pPr>
            <w:r>
              <w:rPr>
                <w:rFonts w:cs="Times New Roman"/>
                <w:kern w:val="0"/>
                <w:sz w:val="20"/>
              </w:rPr>
              <w:t>3</w:t>
            </w:r>
          </w:p>
        </w:tc>
        <w:tc>
          <w:tcPr>
            <w:tcW w:w="1558" w:type="dxa"/>
            <w:vAlign w:val="center"/>
          </w:tcPr>
          <w:p w14:paraId="686BF1CC">
            <w:pPr>
              <w:pStyle w:val="81"/>
              <w:rPr>
                <w:rFonts w:cs="Times New Roman"/>
                <w:kern w:val="0"/>
                <w:sz w:val="20"/>
              </w:rPr>
            </w:pPr>
            <w:r>
              <w:rPr>
                <w:rFonts w:cs="Times New Roman"/>
                <w:kern w:val="0"/>
                <w:sz w:val="20"/>
              </w:rPr>
              <w:t>1</w:t>
            </w:r>
          </w:p>
        </w:tc>
        <w:tc>
          <w:tcPr>
            <w:tcW w:w="1703" w:type="dxa"/>
            <w:vAlign w:val="center"/>
          </w:tcPr>
          <w:p w14:paraId="4703FFF6">
            <w:pPr>
              <w:pStyle w:val="81"/>
              <w:rPr>
                <w:rFonts w:cs="Times New Roman"/>
                <w:kern w:val="0"/>
                <w:sz w:val="20"/>
              </w:rPr>
            </w:pPr>
            <w:r>
              <w:rPr>
                <w:rFonts w:cs="Times New Roman"/>
                <w:kern w:val="0"/>
                <w:sz w:val="20"/>
              </w:rPr>
              <w:t>720</w:t>
            </w:r>
          </w:p>
        </w:tc>
        <w:tc>
          <w:tcPr>
            <w:tcW w:w="1706" w:type="dxa"/>
            <w:vAlign w:val="center"/>
          </w:tcPr>
          <w:p w14:paraId="02C97EDE">
            <w:pPr>
              <w:pStyle w:val="81"/>
              <w:rPr>
                <w:rFonts w:cs="Times New Roman"/>
                <w:kern w:val="0"/>
                <w:sz w:val="20"/>
              </w:rPr>
            </w:pPr>
            <w:r>
              <w:rPr>
                <w:rFonts w:cs="Times New Roman"/>
                <w:kern w:val="0"/>
                <w:sz w:val="20"/>
              </w:rPr>
              <w:t>96</w:t>
            </w:r>
          </w:p>
        </w:tc>
        <w:tc>
          <w:tcPr>
            <w:tcW w:w="1842" w:type="dxa"/>
            <w:vAlign w:val="center"/>
          </w:tcPr>
          <w:p w14:paraId="72034CFA">
            <w:pPr>
              <w:pStyle w:val="81"/>
              <w:rPr>
                <w:rFonts w:cs="Times New Roman"/>
                <w:kern w:val="0"/>
                <w:sz w:val="20"/>
              </w:rPr>
            </w:pPr>
            <w:r>
              <w:rPr>
                <w:rFonts w:cs="Times New Roman"/>
                <w:kern w:val="0"/>
                <w:sz w:val="20"/>
              </w:rPr>
              <w:t>86.7</w:t>
            </w:r>
          </w:p>
        </w:tc>
      </w:tr>
      <w:tr w14:paraId="41D69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57C91FF7">
            <w:pPr>
              <w:pStyle w:val="81"/>
              <w:rPr>
                <w:rFonts w:cs="Times New Roman"/>
                <w:kern w:val="0"/>
                <w:sz w:val="20"/>
              </w:rPr>
            </w:pPr>
            <w:r>
              <w:rPr>
                <w:rFonts w:cs="Times New Roman"/>
                <w:kern w:val="0"/>
                <w:sz w:val="20"/>
              </w:rPr>
              <w:t>4</w:t>
            </w:r>
          </w:p>
        </w:tc>
        <w:tc>
          <w:tcPr>
            <w:tcW w:w="1558" w:type="dxa"/>
            <w:vAlign w:val="center"/>
          </w:tcPr>
          <w:p w14:paraId="71E232B4">
            <w:pPr>
              <w:pStyle w:val="81"/>
              <w:rPr>
                <w:rFonts w:cs="Times New Roman"/>
                <w:kern w:val="0"/>
                <w:sz w:val="20"/>
              </w:rPr>
            </w:pPr>
            <w:r>
              <w:rPr>
                <w:rFonts w:cs="Times New Roman"/>
                <w:kern w:val="0"/>
                <w:sz w:val="20"/>
              </w:rPr>
              <w:t>5</w:t>
            </w:r>
          </w:p>
        </w:tc>
        <w:tc>
          <w:tcPr>
            <w:tcW w:w="1703" w:type="dxa"/>
            <w:vAlign w:val="center"/>
          </w:tcPr>
          <w:p w14:paraId="22771EEE">
            <w:pPr>
              <w:pStyle w:val="81"/>
              <w:rPr>
                <w:rFonts w:cs="Times New Roman"/>
                <w:kern w:val="0"/>
                <w:sz w:val="20"/>
              </w:rPr>
            </w:pPr>
            <w:r>
              <w:rPr>
                <w:rFonts w:cs="Times New Roman"/>
                <w:kern w:val="0"/>
                <w:sz w:val="20"/>
              </w:rPr>
              <w:t>832</w:t>
            </w:r>
          </w:p>
        </w:tc>
        <w:tc>
          <w:tcPr>
            <w:tcW w:w="1706" w:type="dxa"/>
            <w:vAlign w:val="center"/>
          </w:tcPr>
          <w:p w14:paraId="397566F3">
            <w:pPr>
              <w:pStyle w:val="81"/>
              <w:rPr>
                <w:rFonts w:cs="Times New Roman"/>
                <w:kern w:val="0"/>
                <w:sz w:val="20"/>
              </w:rPr>
            </w:pPr>
            <w:r>
              <w:rPr>
                <w:rFonts w:cs="Times New Roman"/>
                <w:kern w:val="0"/>
                <w:sz w:val="20"/>
              </w:rPr>
              <w:t>40</w:t>
            </w:r>
          </w:p>
        </w:tc>
        <w:tc>
          <w:tcPr>
            <w:tcW w:w="1842" w:type="dxa"/>
            <w:vAlign w:val="center"/>
          </w:tcPr>
          <w:p w14:paraId="23BC631C">
            <w:pPr>
              <w:pStyle w:val="81"/>
              <w:rPr>
                <w:rFonts w:cs="Times New Roman"/>
                <w:kern w:val="0"/>
                <w:sz w:val="20"/>
              </w:rPr>
            </w:pPr>
            <w:r>
              <w:rPr>
                <w:rFonts w:cs="Times New Roman"/>
                <w:kern w:val="0"/>
                <w:sz w:val="20"/>
              </w:rPr>
              <w:t>95.2</w:t>
            </w:r>
          </w:p>
        </w:tc>
      </w:tr>
      <w:tr w14:paraId="175FE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04D0232A">
            <w:pPr>
              <w:pStyle w:val="81"/>
              <w:rPr>
                <w:rFonts w:cs="Times New Roman"/>
                <w:kern w:val="0"/>
                <w:sz w:val="20"/>
              </w:rPr>
            </w:pPr>
            <w:r>
              <w:rPr>
                <w:rFonts w:cs="Times New Roman"/>
                <w:kern w:val="0"/>
                <w:sz w:val="20"/>
              </w:rPr>
              <w:t>5</w:t>
            </w:r>
          </w:p>
        </w:tc>
        <w:tc>
          <w:tcPr>
            <w:tcW w:w="1558" w:type="dxa"/>
            <w:vAlign w:val="center"/>
          </w:tcPr>
          <w:p w14:paraId="3447875C">
            <w:pPr>
              <w:pStyle w:val="81"/>
              <w:rPr>
                <w:rFonts w:cs="Times New Roman"/>
                <w:kern w:val="0"/>
                <w:sz w:val="20"/>
              </w:rPr>
            </w:pPr>
            <w:r>
              <w:rPr>
                <w:rFonts w:cs="Times New Roman"/>
                <w:kern w:val="0"/>
                <w:sz w:val="20"/>
              </w:rPr>
              <w:t>5</w:t>
            </w:r>
          </w:p>
        </w:tc>
        <w:tc>
          <w:tcPr>
            <w:tcW w:w="1703" w:type="dxa"/>
            <w:vAlign w:val="center"/>
          </w:tcPr>
          <w:p w14:paraId="7ADE1BA4">
            <w:pPr>
              <w:pStyle w:val="81"/>
              <w:rPr>
                <w:rFonts w:cs="Times New Roman"/>
                <w:kern w:val="0"/>
                <w:sz w:val="20"/>
              </w:rPr>
            </w:pPr>
            <w:r>
              <w:rPr>
                <w:rFonts w:cs="Times New Roman"/>
                <w:kern w:val="0"/>
                <w:sz w:val="20"/>
              </w:rPr>
              <w:t>1720</w:t>
            </w:r>
          </w:p>
        </w:tc>
        <w:tc>
          <w:tcPr>
            <w:tcW w:w="1706" w:type="dxa"/>
            <w:vAlign w:val="center"/>
          </w:tcPr>
          <w:p w14:paraId="0694A4A8">
            <w:pPr>
              <w:pStyle w:val="81"/>
              <w:rPr>
                <w:rFonts w:cs="Times New Roman"/>
                <w:kern w:val="0"/>
                <w:sz w:val="20"/>
              </w:rPr>
            </w:pPr>
            <w:r>
              <w:rPr>
                <w:rFonts w:cs="Times New Roman"/>
                <w:kern w:val="0"/>
                <w:sz w:val="20"/>
              </w:rPr>
              <w:t>4</w:t>
            </w:r>
          </w:p>
        </w:tc>
        <w:tc>
          <w:tcPr>
            <w:tcW w:w="1842" w:type="dxa"/>
            <w:vAlign w:val="center"/>
          </w:tcPr>
          <w:p w14:paraId="79DFE61E">
            <w:pPr>
              <w:pStyle w:val="81"/>
              <w:rPr>
                <w:rFonts w:cs="Times New Roman"/>
                <w:kern w:val="0"/>
                <w:sz w:val="20"/>
              </w:rPr>
            </w:pPr>
            <w:r>
              <w:rPr>
                <w:rFonts w:cs="Times New Roman"/>
                <w:kern w:val="0"/>
                <w:sz w:val="20"/>
              </w:rPr>
              <w:t>99.8</w:t>
            </w:r>
          </w:p>
        </w:tc>
      </w:tr>
      <w:tr w14:paraId="61324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10B1A1FC">
            <w:pPr>
              <w:pStyle w:val="81"/>
              <w:rPr>
                <w:rFonts w:cs="Times New Roman"/>
                <w:kern w:val="0"/>
                <w:sz w:val="20"/>
              </w:rPr>
            </w:pPr>
            <w:r>
              <w:rPr>
                <w:rFonts w:cs="Times New Roman"/>
                <w:kern w:val="0"/>
                <w:sz w:val="20"/>
              </w:rPr>
              <w:t>6</w:t>
            </w:r>
          </w:p>
        </w:tc>
        <w:tc>
          <w:tcPr>
            <w:tcW w:w="1558" w:type="dxa"/>
            <w:vAlign w:val="center"/>
          </w:tcPr>
          <w:p w14:paraId="1A3F6AAD">
            <w:pPr>
              <w:pStyle w:val="81"/>
              <w:rPr>
                <w:rFonts w:cs="Times New Roman"/>
                <w:kern w:val="0"/>
                <w:sz w:val="20"/>
              </w:rPr>
            </w:pPr>
            <w:r>
              <w:rPr>
                <w:rFonts w:cs="Times New Roman"/>
                <w:kern w:val="0"/>
                <w:sz w:val="20"/>
              </w:rPr>
              <w:t>3</w:t>
            </w:r>
          </w:p>
        </w:tc>
        <w:tc>
          <w:tcPr>
            <w:tcW w:w="1703" w:type="dxa"/>
            <w:vAlign w:val="center"/>
          </w:tcPr>
          <w:p w14:paraId="790D9D70">
            <w:pPr>
              <w:pStyle w:val="81"/>
              <w:rPr>
                <w:rFonts w:cs="Times New Roman"/>
                <w:kern w:val="0"/>
                <w:sz w:val="20"/>
              </w:rPr>
            </w:pPr>
            <w:r>
              <w:rPr>
                <w:rFonts w:cs="Times New Roman"/>
                <w:kern w:val="0"/>
                <w:sz w:val="20"/>
              </w:rPr>
              <w:t>680</w:t>
            </w:r>
          </w:p>
        </w:tc>
        <w:tc>
          <w:tcPr>
            <w:tcW w:w="1706" w:type="dxa"/>
            <w:vAlign w:val="center"/>
          </w:tcPr>
          <w:p w14:paraId="7E0184F4">
            <w:pPr>
              <w:pStyle w:val="81"/>
              <w:rPr>
                <w:rFonts w:cs="Times New Roman"/>
                <w:kern w:val="0"/>
                <w:sz w:val="20"/>
              </w:rPr>
            </w:pPr>
            <w:r>
              <w:rPr>
                <w:rFonts w:cs="Times New Roman"/>
                <w:kern w:val="0"/>
                <w:sz w:val="20"/>
              </w:rPr>
              <w:t>18</w:t>
            </w:r>
          </w:p>
        </w:tc>
        <w:tc>
          <w:tcPr>
            <w:tcW w:w="1842" w:type="dxa"/>
            <w:vAlign w:val="center"/>
          </w:tcPr>
          <w:p w14:paraId="7E8366C7">
            <w:pPr>
              <w:pStyle w:val="81"/>
              <w:rPr>
                <w:rFonts w:cs="Times New Roman"/>
                <w:kern w:val="0"/>
                <w:sz w:val="20"/>
              </w:rPr>
            </w:pPr>
            <w:r>
              <w:rPr>
                <w:rFonts w:cs="Times New Roman"/>
                <w:kern w:val="0"/>
                <w:sz w:val="20"/>
              </w:rPr>
              <w:t>97.3</w:t>
            </w:r>
          </w:p>
        </w:tc>
      </w:tr>
      <w:tr w14:paraId="3168A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5937BEB2">
            <w:pPr>
              <w:pStyle w:val="81"/>
              <w:rPr>
                <w:rFonts w:cs="Times New Roman"/>
                <w:kern w:val="0"/>
                <w:sz w:val="20"/>
              </w:rPr>
            </w:pPr>
            <w:r>
              <w:rPr>
                <w:rFonts w:cs="Times New Roman"/>
                <w:kern w:val="0"/>
                <w:sz w:val="20"/>
              </w:rPr>
              <w:t>7</w:t>
            </w:r>
          </w:p>
        </w:tc>
        <w:tc>
          <w:tcPr>
            <w:tcW w:w="1558" w:type="dxa"/>
            <w:vAlign w:val="center"/>
          </w:tcPr>
          <w:p w14:paraId="67D1AC56">
            <w:pPr>
              <w:pStyle w:val="81"/>
              <w:rPr>
                <w:rFonts w:cs="Times New Roman"/>
                <w:kern w:val="0"/>
                <w:sz w:val="20"/>
              </w:rPr>
            </w:pPr>
            <w:r>
              <w:rPr>
                <w:rFonts w:cs="Times New Roman"/>
                <w:kern w:val="0"/>
                <w:sz w:val="20"/>
              </w:rPr>
              <w:t>3</w:t>
            </w:r>
          </w:p>
        </w:tc>
        <w:tc>
          <w:tcPr>
            <w:tcW w:w="1703" w:type="dxa"/>
            <w:vAlign w:val="center"/>
          </w:tcPr>
          <w:p w14:paraId="17794781">
            <w:pPr>
              <w:pStyle w:val="81"/>
              <w:rPr>
                <w:rFonts w:cs="Times New Roman"/>
                <w:kern w:val="0"/>
                <w:sz w:val="20"/>
              </w:rPr>
            </w:pPr>
            <w:r>
              <w:rPr>
                <w:rFonts w:cs="Times New Roman"/>
                <w:kern w:val="0"/>
                <w:sz w:val="20"/>
              </w:rPr>
              <w:t>440</w:t>
            </w:r>
          </w:p>
        </w:tc>
        <w:tc>
          <w:tcPr>
            <w:tcW w:w="1706" w:type="dxa"/>
            <w:vAlign w:val="center"/>
          </w:tcPr>
          <w:p w14:paraId="5E8EFFC9">
            <w:pPr>
              <w:pStyle w:val="81"/>
              <w:rPr>
                <w:rFonts w:cs="Times New Roman"/>
                <w:kern w:val="0"/>
                <w:sz w:val="20"/>
              </w:rPr>
            </w:pPr>
            <w:r>
              <w:rPr>
                <w:rFonts w:cs="Times New Roman"/>
                <w:kern w:val="0"/>
                <w:sz w:val="20"/>
              </w:rPr>
              <w:t>16</w:t>
            </w:r>
          </w:p>
        </w:tc>
        <w:tc>
          <w:tcPr>
            <w:tcW w:w="1842" w:type="dxa"/>
            <w:vAlign w:val="center"/>
          </w:tcPr>
          <w:p w14:paraId="35A2E613">
            <w:pPr>
              <w:pStyle w:val="81"/>
              <w:rPr>
                <w:rFonts w:cs="Times New Roman"/>
                <w:kern w:val="0"/>
                <w:sz w:val="20"/>
              </w:rPr>
            </w:pPr>
            <w:r>
              <w:rPr>
                <w:rFonts w:cs="Times New Roman"/>
                <w:kern w:val="0"/>
                <w:sz w:val="20"/>
              </w:rPr>
              <w:t>96.4</w:t>
            </w:r>
          </w:p>
        </w:tc>
      </w:tr>
      <w:tr w14:paraId="4750E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49FAAF09">
            <w:pPr>
              <w:pStyle w:val="81"/>
              <w:rPr>
                <w:rFonts w:cs="Times New Roman"/>
                <w:kern w:val="0"/>
                <w:sz w:val="20"/>
              </w:rPr>
            </w:pPr>
            <w:r>
              <w:rPr>
                <w:rFonts w:cs="Times New Roman"/>
                <w:kern w:val="0"/>
                <w:sz w:val="20"/>
              </w:rPr>
              <w:t>8</w:t>
            </w:r>
          </w:p>
        </w:tc>
        <w:tc>
          <w:tcPr>
            <w:tcW w:w="1558" w:type="dxa"/>
            <w:vAlign w:val="center"/>
          </w:tcPr>
          <w:p w14:paraId="2E455192">
            <w:pPr>
              <w:pStyle w:val="81"/>
              <w:rPr>
                <w:rFonts w:cs="Times New Roman"/>
                <w:kern w:val="0"/>
                <w:sz w:val="20"/>
              </w:rPr>
            </w:pPr>
            <w:r>
              <w:rPr>
                <w:rFonts w:cs="Times New Roman"/>
                <w:kern w:val="0"/>
                <w:sz w:val="20"/>
              </w:rPr>
              <w:t>1</w:t>
            </w:r>
          </w:p>
        </w:tc>
        <w:tc>
          <w:tcPr>
            <w:tcW w:w="1703" w:type="dxa"/>
            <w:vAlign w:val="center"/>
          </w:tcPr>
          <w:p w14:paraId="71E8BE85">
            <w:pPr>
              <w:pStyle w:val="81"/>
              <w:rPr>
                <w:rFonts w:cs="Times New Roman"/>
                <w:kern w:val="0"/>
                <w:sz w:val="20"/>
              </w:rPr>
            </w:pPr>
            <w:r>
              <w:rPr>
                <w:rFonts w:cs="Times New Roman"/>
                <w:kern w:val="0"/>
                <w:sz w:val="20"/>
              </w:rPr>
              <w:t>520</w:t>
            </w:r>
          </w:p>
        </w:tc>
        <w:tc>
          <w:tcPr>
            <w:tcW w:w="1706" w:type="dxa"/>
            <w:vAlign w:val="center"/>
          </w:tcPr>
          <w:p w14:paraId="0BA7D443">
            <w:pPr>
              <w:pStyle w:val="81"/>
              <w:rPr>
                <w:rFonts w:cs="Times New Roman"/>
                <w:kern w:val="0"/>
                <w:sz w:val="20"/>
              </w:rPr>
            </w:pPr>
            <w:r>
              <w:rPr>
                <w:rFonts w:cs="Times New Roman"/>
                <w:kern w:val="0"/>
                <w:sz w:val="20"/>
              </w:rPr>
              <w:t>8</w:t>
            </w:r>
          </w:p>
        </w:tc>
        <w:tc>
          <w:tcPr>
            <w:tcW w:w="1842" w:type="dxa"/>
            <w:vAlign w:val="center"/>
          </w:tcPr>
          <w:p w14:paraId="73178EE2">
            <w:pPr>
              <w:pStyle w:val="81"/>
              <w:rPr>
                <w:rFonts w:cs="Times New Roman"/>
                <w:kern w:val="0"/>
                <w:sz w:val="20"/>
              </w:rPr>
            </w:pPr>
            <w:r>
              <w:rPr>
                <w:rFonts w:cs="Times New Roman"/>
                <w:kern w:val="0"/>
                <w:sz w:val="20"/>
              </w:rPr>
              <w:t>98.5</w:t>
            </w:r>
          </w:p>
        </w:tc>
      </w:tr>
      <w:tr w14:paraId="6FB0E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5D7B748C">
            <w:pPr>
              <w:pStyle w:val="81"/>
              <w:rPr>
                <w:rFonts w:cs="Times New Roman"/>
                <w:kern w:val="0"/>
                <w:sz w:val="20"/>
              </w:rPr>
            </w:pPr>
            <w:r>
              <w:rPr>
                <w:rFonts w:cs="Times New Roman"/>
                <w:kern w:val="0"/>
                <w:sz w:val="20"/>
              </w:rPr>
              <w:t>9</w:t>
            </w:r>
          </w:p>
        </w:tc>
        <w:tc>
          <w:tcPr>
            <w:tcW w:w="1558" w:type="dxa"/>
            <w:vAlign w:val="center"/>
          </w:tcPr>
          <w:p w14:paraId="29E45A16">
            <w:pPr>
              <w:pStyle w:val="81"/>
              <w:rPr>
                <w:rFonts w:cs="Times New Roman"/>
                <w:kern w:val="0"/>
                <w:sz w:val="20"/>
              </w:rPr>
            </w:pPr>
            <w:r>
              <w:rPr>
                <w:rFonts w:cs="Times New Roman"/>
                <w:kern w:val="0"/>
                <w:sz w:val="20"/>
              </w:rPr>
              <w:t>1</w:t>
            </w:r>
          </w:p>
        </w:tc>
        <w:tc>
          <w:tcPr>
            <w:tcW w:w="1703" w:type="dxa"/>
            <w:vAlign w:val="center"/>
          </w:tcPr>
          <w:p w14:paraId="6889B326">
            <w:pPr>
              <w:pStyle w:val="81"/>
              <w:rPr>
                <w:rFonts w:cs="Times New Roman"/>
                <w:kern w:val="0"/>
                <w:sz w:val="20"/>
              </w:rPr>
            </w:pPr>
            <w:r>
              <w:rPr>
                <w:rFonts w:cs="Times New Roman"/>
                <w:kern w:val="0"/>
                <w:sz w:val="20"/>
              </w:rPr>
              <w:t>1550</w:t>
            </w:r>
          </w:p>
        </w:tc>
        <w:tc>
          <w:tcPr>
            <w:tcW w:w="1706" w:type="dxa"/>
            <w:vAlign w:val="center"/>
          </w:tcPr>
          <w:p w14:paraId="2EDB38F6">
            <w:pPr>
              <w:pStyle w:val="81"/>
              <w:rPr>
                <w:rFonts w:cs="Times New Roman"/>
                <w:kern w:val="0"/>
                <w:sz w:val="20"/>
              </w:rPr>
            </w:pPr>
            <w:r>
              <w:rPr>
                <w:rFonts w:cs="Times New Roman"/>
                <w:kern w:val="0"/>
                <w:sz w:val="20"/>
              </w:rPr>
              <w:t>9</w:t>
            </w:r>
          </w:p>
        </w:tc>
        <w:tc>
          <w:tcPr>
            <w:tcW w:w="1842" w:type="dxa"/>
            <w:vAlign w:val="center"/>
          </w:tcPr>
          <w:p w14:paraId="39BD01BB">
            <w:pPr>
              <w:pStyle w:val="81"/>
              <w:rPr>
                <w:rFonts w:cs="Times New Roman"/>
                <w:kern w:val="0"/>
                <w:sz w:val="20"/>
              </w:rPr>
            </w:pPr>
            <w:r>
              <w:rPr>
                <w:rFonts w:cs="Times New Roman"/>
                <w:kern w:val="0"/>
                <w:sz w:val="20"/>
              </w:rPr>
              <w:t>99.4</w:t>
            </w:r>
          </w:p>
        </w:tc>
      </w:tr>
      <w:tr w14:paraId="6E19D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58BA16C1">
            <w:pPr>
              <w:pStyle w:val="81"/>
              <w:rPr>
                <w:rFonts w:cs="Times New Roman"/>
                <w:kern w:val="0"/>
                <w:sz w:val="20"/>
              </w:rPr>
            </w:pPr>
            <w:r>
              <w:rPr>
                <w:rFonts w:cs="Times New Roman"/>
                <w:kern w:val="0"/>
                <w:sz w:val="20"/>
              </w:rPr>
              <w:t>10</w:t>
            </w:r>
          </w:p>
        </w:tc>
        <w:tc>
          <w:tcPr>
            <w:tcW w:w="1558" w:type="dxa"/>
            <w:vAlign w:val="center"/>
          </w:tcPr>
          <w:p w14:paraId="5FA48A7E">
            <w:pPr>
              <w:pStyle w:val="81"/>
              <w:rPr>
                <w:rFonts w:cs="Times New Roman"/>
                <w:kern w:val="0"/>
                <w:sz w:val="20"/>
              </w:rPr>
            </w:pPr>
            <w:r>
              <w:rPr>
                <w:rFonts w:cs="Times New Roman"/>
                <w:kern w:val="0"/>
                <w:sz w:val="20"/>
              </w:rPr>
              <w:t>2</w:t>
            </w:r>
          </w:p>
        </w:tc>
        <w:tc>
          <w:tcPr>
            <w:tcW w:w="1703" w:type="dxa"/>
            <w:vAlign w:val="center"/>
          </w:tcPr>
          <w:p w14:paraId="7F816EAC">
            <w:pPr>
              <w:pStyle w:val="81"/>
              <w:rPr>
                <w:rFonts w:cs="Times New Roman"/>
                <w:kern w:val="0"/>
                <w:sz w:val="20"/>
              </w:rPr>
            </w:pPr>
            <w:r>
              <w:rPr>
                <w:rFonts w:cs="Times New Roman"/>
                <w:kern w:val="0"/>
                <w:sz w:val="20"/>
              </w:rPr>
              <w:t>720</w:t>
            </w:r>
          </w:p>
        </w:tc>
        <w:tc>
          <w:tcPr>
            <w:tcW w:w="1706" w:type="dxa"/>
            <w:vAlign w:val="center"/>
          </w:tcPr>
          <w:p w14:paraId="117E5066">
            <w:pPr>
              <w:pStyle w:val="81"/>
              <w:rPr>
                <w:rFonts w:cs="Times New Roman"/>
                <w:kern w:val="0"/>
                <w:sz w:val="20"/>
              </w:rPr>
            </w:pPr>
            <w:r>
              <w:rPr>
                <w:rFonts w:cs="Times New Roman"/>
                <w:kern w:val="0"/>
                <w:sz w:val="20"/>
              </w:rPr>
              <w:t>7</w:t>
            </w:r>
          </w:p>
        </w:tc>
        <w:tc>
          <w:tcPr>
            <w:tcW w:w="1842" w:type="dxa"/>
            <w:vAlign w:val="center"/>
          </w:tcPr>
          <w:p w14:paraId="7B9FC57C">
            <w:pPr>
              <w:pStyle w:val="81"/>
              <w:rPr>
                <w:rFonts w:cs="Times New Roman"/>
                <w:kern w:val="0"/>
                <w:sz w:val="20"/>
              </w:rPr>
            </w:pPr>
            <w:r>
              <w:rPr>
                <w:rFonts w:cs="Times New Roman"/>
                <w:kern w:val="0"/>
                <w:sz w:val="20"/>
              </w:rPr>
              <w:t>99.0</w:t>
            </w:r>
          </w:p>
        </w:tc>
      </w:tr>
      <w:tr w14:paraId="09C5B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53C6AC02">
            <w:pPr>
              <w:pStyle w:val="81"/>
              <w:rPr>
                <w:rFonts w:cs="Times New Roman"/>
                <w:kern w:val="0"/>
                <w:sz w:val="20"/>
              </w:rPr>
            </w:pPr>
            <w:r>
              <w:rPr>
                <w:rFonts w:cs="Times New Roman"/>
                <w:kern w:val="0"/>
                <w:sz w:val="20"/>
              </w:rPr>
              <w:t>11</w:t>
            </w:r>
          </w:p>
        </w:tc>
        <w:tc>
          <w:tcPr>
            <w:tcW w:w="1558" w:type="dxa"/>
            <w:vAlign w:val="center"/>
          </w:tcPr>
          <w:p w14:paraId="1B783777">
            <w:pPr>
              <w:pStyle w:val="81"/>
              <w:rPr>
                <w:rFonts w:cs="Times New Roman"/>
                <w:kern w:val="0"/>
                <w:sz w:val="20"/>
              </w:rPr>
            </w:pPr>
            <w:r>
              <w:rPr>
                <w:rFonts w:cs="Times New Roman"/>
                <w:kern w:val="0"/>
                <w:sz w:val="20"/>
              </w:rPr>
              <w:t>5</w:t>
            </w:r>
          </w:p>
        </w:tc>
        <w:tc>
          <w:tcPr>
            <w:tcW w:w="1703" w:type="dxa"/>
            <w:vAlign w:val="center"/>
          </w:tcPr>
          <w:p w14:paraId="467D6B8F">
            <w:pPr>
              <w:pStyle w:val="81"/>
              <w:rPr>
                <w:rFonts w:cs="Times New Roman"/>
                <w:kern w:val="0"/>
                <w:sz w:val="20"/>
              </w:rPr>
            </w:pPr>
            <w:r>
              <w:rPr>
                <w:rFonts w:cs="Times New Roman"/>
                <w:kern w:val="0"/>
                <w:sz w:val="20"/>
              </w:rPr>
              <w:t>480</w:t>
            </w:r>
          </w:p>
        </w:tc>
        <w:tc>
          <w:tcPr>
            <w:tcW w:w="1706" w:type="dxa"/>
            <w:vAlign w:val="center"/>
          </w:tcPr>
          <w:p w14:paraId="1291FF0A">
            <w:pPr>
              <w:pStyle w:val="81"/>
              <w:rPr>
                <w:rFonts w:cs="Times New Roman"/>
                <w:kern w:val="0"/>
                <w:sz w:val="20"/>
              </w:rPr>
            </w:pPr>
            <w:r>
              <w:rPr>
                <w:rFonts w:cs="Times New Roman"/>
                <w:kern w:val="0"/>
                <w:sz w:val="20"/>
              </w:rPr>
              <w:t>7</w:t>
            </w:r>
          </w:p>
        </w:tc>
        <w:tc>
          <w:tcPr>
            <w:tcW w:w="1842" w:type="dxa"/>
            <w:vAlign w:val="center"/>
          </w:tcPr>
          <w:p w14:paraId="2633279B">
            <w:pPr>
              <w:pStyle w:val="81"/>
              <w:rPr>
                <w:rFonts w:cs="Times New Roman"/>
                <w:kern w:val="0"/>
                <w:sz w:val="20"/>
              </w:rPr>
            </w:pPr>
            <w:r>
              <w:rPr>
                <w:rFonts w:cs="Times New Roman"/>
                <w:kern w:val="0"/>
                <w:sz w:val="20"/>
              </w:rPr>
              <w:t>98.5</w:t>
            </w:r>
          </w:p>
        </w:tc>
      </w:tr>
      <w:tr w14:paraId="75168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63BE6676">
            <w:pPr>
              <w:pStyle w:val="81"/>
              <w:rPr>
                <w:rFonts w:cs="Times New Roman"/>
                <w:kern w:val="0"/>
                <w:sz w:val="20"/>
              </w:rPr>
            </w:pPr>
            <w:r>
              <w:rPr>
                <w:rFonts w:cs="Times New Roman"/>
                <w:kern w:val="0"/>
                <w:sz w:val="20"/>
              </w:rPr>
              <w:t>12</w:t>
            </w:r>
          </w:p>
        </w:tc>
        <w:tc>
          <w:tcPr>
            <w:tcW w:w="1558" w:type="dxa"/>
            <w:vAlign w:val="center"/>
          </w:tcPr>
          <w:p w14:paraId="2C47204A">
            <w:pPr>
              <w:pStyle w:val="81"/>
              <w:rPr>
                <w:rFonts w:cs="Times New Roman"/>
                <w:kern w:val="0"/>
                <w:sz w:val="20"/>
              </w:rPr>
            </w:pPr>
            <w:r>
              <w:rPr>
                <w:rFonts w:cs="Times New Roman"/>
                <w:kern w:val="0"/>
                <w:sz w:val="20"/>
              </w:rPr>
              <w:t>80</w:t>
            </w:r>
          </w:p>
        </w:tc>
        <w:tc>
          <w:tcPr>
            <w:tcW w:w="1703" w:type="dxa"/>
            <w:vAlign w:val="center"/>
          </w:tcPr>
          <w:p w14:paraId="5369D2B1">
            <w:pPr>
              <w:pStyle w:val="81"/>
              <w:rPr>
                <w:rFonts w:cs="Times New Roman"/>
                <w:kern w:val="0"/>
                <w:sz w:val="20"/>
              </w:rPr>
            </w:pPr>
            <w:r>
              <w:rPr>
                <w:rFonts w:cs="Times New Roman"/>
                <w:kern w:val="0"/>
                <w:sz w:val="20"/>
              </w:rPr>
              <w:t>1710</w:t>
            </w:r>
          </w:p>
        </w:tc>
        <w:tc>
          <w:tcPr>
            <w:tcW w:w="1706" w:type="dxa"/>
            <w:vAlign w:val="center"/>
          </w:tcPr>
          <w:p w14:paraId="03C594ED">
            <w:pPr>
              <w:pStyle w:val="81"/>
              <w:rPr>
                <w:rFonts w:cs="Times New Roman"/>
                <w:kern w:val="0"/>
                <w:sz w:val="20"/>
              </w:rPr>
            </w:pPr>
            <w:r>
              <w:rPr>
                <w:rFonts w:cs="Times New Roman"/>
                <w:kern w:val="0"/>
                <w:sz w:val="20"/>
              </w:rPr>
              <w:t>14.5</w:t>
            </w:r>
          </w:p>
        </w:tc>
        <w:tc>
          <w:tcPr>
            <w:tcW w:w="1842" w:type="dxa"/>
            <w:vAlign w:val="center"/>
          </w:tcPr>
          <w:p w14:paraId="54087619">
            <w:pPr>
              <w:pStyle w:val="81"/>
              <w:rPr>
                <w:rFonts w:cs="Times New Roman"/>
                <w:kern w:val="0"/>
                <w:sz w:val="20"/>
              </w:rPr>
            </w:pPr>
            <w:r>
              <w:rPr>
                <w:rFonts w:cs="Times New Roman"/>
                <w:kern w:val="0"/>
                <w:sz w:val="20"/>
              </w:rPr>
              <w:t>99.1</w:t>
            </w:r>
          </w:p>
        </w:tc>
      </w:tr>
      <w:tr w14:paraId="5E246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0E9CEA41">
            <w:pPr>
              <w:pStyle w:val="81"/>
              <w:rPr>
                <w:rFonts w:cs="Times New Roman"/>
                <w:kern w:val="0"/>
                <w:sz w:val="20"/>
              </w:rPr>
            </w:pPr>
            <w:r>
              <w:rPr>
                <w:rFonts w:cs="Times New Roman"/>
                <w:kern w:val="0"/>
                <w:sz w:val="20"/>
              </w:rPr>
              <w:t>13</w:t>
            </w:r>
          </w:p>
        </w:tc>
        <w:tc>
          <w:tcPr>
            <w:tcW w:w="1558" w:type="dxa"/>
            <w:vAlign w:val="center"/>
          </w:tcPr>
          <w:p w14:paraId="19F18973">
            <w:pPr>
              <w:pStyle w:val="81"/>
              <w:rPr>
                <w:rFonts w:cs="Times New Roman"/>
                <w:kern w:val="0"/>
                <w:sz w:val="20"/>
              </w:rPr>
            </w:pPr>
            <w:r>
              <w:rPr>
                <w:rFonts w:cs="Times New Roman"/>
                <w:kern w:val="0"/>
                <w:sz w:val="20"/>
              </w:rPr>
              <w:t>/</w:t>
            </w:r>
          </w:p>
        </w:tc>
        <w:tc>
          <w:tcPr>
            <w:tcW w:w="1703" w:type="dxa"/>
            <w:vAlign w:val="center"/>
          </w:tcPr>
          <w:p w14:paraId="40491BB1">
            <w:pPr>
              <w:pStyle w:val="81"/>
              <w:rPr>
                <w:rFonts w:cs="Times New Roman"/>
                <w:kern w:val="0"/>
                <w:sz w:val="20"/>
              </w:rPr>
            </w:pPr>
            <w:r>
              <w:rPr>
                <w:rFonts w:cs="Times New Roman"/>
                <w:kern w:val="0"/>
                <w:sz w:val="20"/>
              </w:rPr>
              <w:t>2280</w:t>
            </w:r>
          </w:p>
        </w:tc>
        <w:tc>
          <w:tcPr>
            <w:tcW w:w="1706" w:type="dxa"/>
            <w:vAlign w:val="center"/>
          </w:tcPr>
          <w:p w14:paraId="6CBB2C05">
            <w:pPr>
              <w:pStyle w:val="81"/>
              <w:rPr>
                <w:rFonts w:cs="Times New Roman"/>
                <w:kern w:val="0"/>
                <w:sz w:val="20"/>
              </w:rPr>
            </w:pPr>
            <w:r>
              <w:rPr>
                <w:rFonts w:cs="Times New Roman"/>
                <w:kern w:val="0"/>
                <w:sz w:val="20"/>
              </w:rPr>
              <w:t>21.6</w:t>
            </w:r>
          </w:p>
        </w:tc>
        <w:tc>
          <w:tcPr>
            <w:tcW w:w="1842" w:type="dxa"/>
            <w:vAlign w:val="center"/>
          </w:tcPr>
          <w:p w14:paraId="330294BF">
            <w:pPr>
              <w:pStyle w:val="81"/>
              <w:rPr>
                <w:rFonts w:cs="Times New Roman"/>
                <w:kern w:val="0"/>
                <w:sz w:val="20"/>
              </w:rPr>
            </w:pPr>
            <w:r>
              <w:rPr>
                <w:rFonts w:cs="Times New Roman"/>
                <w:kern w:val="0"/>
                <w:sz w:val="20"/>
              </w:rPr>
              <w:t>99.0</w:t>
            </w:r>
          </w:p>
        </w:tc>
      </w:tr>
      <w:tr w14:paraId="3850D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4CC5F38F">
            <w:pPr>
              <w:pStyle w:val="81"/>
              <w:rPr>
                <w:rFonts w:cs="Times New Roman"/>
                <w:kern w:val="0"/>
                <w:sz w:val="20"/>
              </w:rPr>
            </w:pPr>
            <w:r>
              <w:rPr>
                <w:rFonts w:cs="Times New Roman"/>
                <w:kern w:val="0"/>
                <w:sz w:val="20"/>
              </w:rPr>
              <w:t>14</w:t>
            </w:r>
          </w:p>
        </w:tc>
        <w:tc>
          <w:tcPr>
            <w:tcW w:w="1558" w:type="dxa"/>
            <w:vAlign w:val="center"/>
          </w:tcPr>
          <w:p w14:paraId="17DB60E0">
            <w:pPr>
              <w:pStyle w:val="81"/>
              <w:rPr>
                <w:rFonts w:cs="Times New Roman"/>
                <w:kern w:val="0"/>
                <w:sz w:val="20"/>
              </w:rPr>
            </w:pPr>
            <w:r>
              <w:rPr>
                <w:rFonts w:cs="Times New Roman"/>
                <w:kern w:val="0"/>
                <w:sz w:val="20"/>
              </w:rPr>
              <w:t>16</w:t>
            </w:r>
          </w:p>
        </w:tc>
        <w:tc>
          <w:tcPr>
            <w:tcW w:w="1703" w:type="dxa"/>
            <w:vAlign w:val="center"/>
          </w:tcPr>
          <w:p w14:paraId="3F838737">
            <w:pPr>
              <w:pStyle w:val="81"/>
              <w:rPr>
                <w:rFonts w:cs="Times New Roman"/>
                <w:kern w:val="0"/>
                <w:sz w:val="20"/>
              </w:rPr>
            </w:pPr>
            <w:r>
              <w:rPr>
                <w:rFonts w:cs="Times New Roman"/>
                <w:kern w:val="0"/>
                <w:sz w:val="20"/>
              </w:rPr>
              <w:t>2000</w:t>
            </w:r>
          </w:p>
        </w:tc>
        <w:tc>
          <w:tcPr>
            <w:tcW w:w="1706" w:type="dxa"/>
            <w:vAlign w:val="center"/>
          </w:tcPr>
          <w:p w14:paraId="1C5B4D3A">
            <w:pPr>
              <w:pStyle w:val="81"/>
              <w:rPr>
                <w:rFonts w:cs="Times New Roman"/>
                <w:kern w:val="0"/>
                <w:sz w:val="20"/>
              </w:rPr>
            </w:pPr>
            <w:r>
              <w:rPr>
                <w:rFonts w:cs="Times New Roman"/>
                <w:kern w:val="0"/>
                <w:sz w:val="20"/>
              </w:rPr>
              <w:t>19.5</w:t>
            </w:r>
          </w:p>
        </w:tc>
        <w:tc>
          <w:tcPr>
            <w:tcW w:w="1842" w:type="dxa"/>
            <w:vAlign w:val="center"/>
          </w:tcPr>
          <w:p w14:paraId="69C5B192">
            <w:pPr>
              <w:pStyle w:val="81"/>
              <w:rPr>
                <w:rFonts w:cs="Times New Roman"/>
                <w:kern w:val="0"/>
                <w:sz w:val="20"/>
              </w:rPr>
            </w:pPr>
            <w:r>
              <w:rPr>
                <w:rFonts w:cs="Times New Roman"/>
                <w:kern w:val="0"/>
                <w:sz w:val="20"/>
              </w:rPr>
              <w:t>99.0</w:t>
            </w:r>
          </w:p>
        </w:tc>
      </w:tr>
      <w:tr w14:paraId="668A7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7EDF8B9E">
            <w:pPr>
              <w:pStyle w:val="81"/>
              <w:rPr>
                <w:rFonts w:cs="Times New Roman"/>
                <w:kern w:val="0"/>
                <w:sz w:val="20"/>
              </w:rPr>
            </w:pPr>
            <w:r>
              <w:rPr>
                <w:rFonts w:cs="Times New Roman"/>
                <w:kern w:val="0"/>
                <w:sz w:val="20"/>
              </w:rPr>
              <w:t>15</w:t>
            </w:r>
          </w:p>
        </w:tc>
        <w:tc>
          <w:tcPr>
            <w:tcW w:w="1558" w:type="dxa"/>
            <w:vAlign w:val="center"/>
          </w:tcPr>
          <w:p w14:paraId="65D381EA">
            <w:pPr>
              <w:pStyle w:val="81"/>
              <w:rPr>
                <w:rFonts w:cs="Times New Roman"/>
                <w:kern w:val="0"/>
                <w:sz w:val="20"/>
              </w:rPr>
            </w:pPr>
            <w:r>
              <w:rPr>
                <w:rFonts w:cs="Times New Roman"/>
                <w:kern w:val="0"/>
                <w:sz w:val="20"/>
              </w:rPr>
              <w:t>65</w:t>
            </w:r>
          </w:p>
        </w:tc>
        <w:tc>
          <w:tcPr>
            <w:tcW w:w="1703" w:type="dxa"/>
            <w:vAlign w:val="center"/>
          </w:tcPr>
          <w:p w14:paraId="1C262609">
            <w:pPr>
              <w:pStyle w:val="81"/>
              <w:rPr>
                <w:rFonts w:cs="Times New Roman"/>
                <w:kern w:val="0"/>
                <w:sz w:val="20"/>
              </w:rPr>
            </w:pPr>
            <w:r>
              <w:rPr>
                <w:rFonts w:cs="Times New Roman"/>
                <w:kern w:val="0"/>
                <w:sz w:val="20"/>
              </w:rPr>
              <w:t>1650</w:t>
            </w:r>
          </w:p>
        </w:tc>
        <w:tc>
          <w:tcPr>
            <w:tcW w:w="1706" w:type="dxa"/>
            <w:vAlign w:val="center"/>
          </w:tcPr>
          <w:p w14:paraId="3AC22F3D">
            <w:pPr>
              <w:pStyle w:val="81"/>
              <w:rPr>
                <w:rFonts w:cs="Times New Roman"/>
                <w:kern w:val="0"/>
                <w:sz w:val="20"/>
              </w:rPr>
            </w:pPr>
            <w:r>
              <w:rPr>
                <w:rFonts w:cs="Times New Roman"/>
                <w:kern w:val="0"/>
                <w:sz w:val="20"/>
              </w:rPr>
              <w:t>18</w:t>
            </w:r>
          </w:p>
        </w:tc>
        <w:tc>
          <w:tcPr>
            <w:tcW w:w="1842" w:type="dxa"/>
            <w:vAlign w:val="center"/>
          </w:tcPr>
          <w:p w14:paraId="69130990">
            <w:pPr>
              <w:pStyle w:val="81"/>
              <w:rPr>
                <w:rFonts w:cs="Times New Roman"/>
                <w:kern w:val="0"/>
                <w:sz w:val="20"/>
              </w:rPr>
            </w:pPr>
            <w:r>
              <w:rPr>
                <w:rFonts w:cs="Times New Roman"/>
                <w:kern w:val="0"/>
                <w:sz w:val="20"/>
              </w:rPr>
              <w:t>98.9</w:t>
            </w:r>
          </w:p>
        </w:tc>
      </w:tr>
      <w:tr w14:paraId="0957C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17D20FF5">
            <w:pPr>
              <w:pStyle w:val="81"/>
              <w:rPr>
                <w:rFonts w:cs="Times New Roman"/>
                <w:kern w:val="0"/>
                <w:sz w:val="20"/>
              </w:rPr>
            </w:pPr>
            <w:r>
              <w:rPr>
                <w:rFonts w:cs="Times New Roman"/>
                <w:kern w:val="0"/>
                <w:sz w:val="20"/>
              </w:rPr>
              <w:t>16</w:t>
            </w:r>
          </w:p>
        </w:tc>
        <w:tc>
          <w:tcPr>
            <w:tcW w:w="1558" w:type="dxa"/>
            <w:vAlign w:val="center"/>
          </w:tcPr>
          <w:p w14:paraId="3E5AAEFF">
            <w:pPr>
              <w:pStyle w:val="81"/>
              <w:rPr>
                <w:rFonts w:cs="Times New Roman"/>
                <w:kern w:val="0"/>
                <w:sz w:val="20"/>
              </w:rPr>
            </w:pPr>
            <w:r>
              <w:rPr>
                <w:rFonts w:cs="Times New Roman"/>
                <w:kern w:val="0"/>
                <w:sz w:val="20"/>
              </w:rPr>
              <w:t>75</w:t>
            </w:r>
          </w:p>
        </w:tc>
        <w:tc>
          <w:tcPr>
            <w:tcW w:w="1703" w:type="dxa"/>
            <w:vAlign w:val="center"/>
          </w:tcPr>
          <w:p w14:paraId="5E3D594E">
            <w:pPr>
              <w:pStyle w:val="81"/>
              <w:rPr>
                <w:rFonts w:cs="Times New Roman"/>
                <w:kern w:val="0"/>
                <w:sz w:val="20"/>
              </w:rPr>
            </w:pPr>
            <w:r>
              <w:rPr>
                <w:rFonts w:cs="Times New Roman"/>
                <w:kern w:val="0"/>
                <w:sz w:val="20"/>
              </w:rPr>
              <w:t>2650</w:t>
            </w:r>
          </w:p>
        </w:tc>
        <w:tc>
          <w:tcPr>
            <w:tcW w:w="1706" w:type="dxa"/>
            <w:vAlign w:val="center"/>
          </w:tcPr>
          <w:p w14:paraId="1CE8E41E">
            <w:pPr>
              <w:pStyle w:val="81"/>
              <w:rPr>
                <w:rFonts w:cs="Times New Roman"/>
                <w:kern w:val="0"/>
                <w:sz w:val="20"/>
              </w:rPr>
            </w:pPr>
            <w:r>
              <w:rPr>
                <w:rFonts w:cs="Times New Roman"/>
                <w:kern w:val="0"/>
                <w:sz w:val="20"/>
              </w:rPr>
              <w:t>20.5</w:t>
            </w:r>
          </w:p>
        </w:tc>
        <w:tc>
          <w:tcPr>
            <w:tcW w:w="1842" w:type="dxa"/>
            <w:vAlign w:val="center"/>
          </w:tcPr>
          <w:p w14:paraId="0BBD412B">
            <w:pPr>
              <w:pStyle w:val="81"/>
              <w:rPr>
                <w:rFonts w:cs="Times New Roman"/>
                <w:kern w:val="0"/>
                <w:sz w:val="20"/>
              </w:rPr>
            </w:pPr>
            <w:r>
              <w:rPr>
                <w:rFonts w:cs="Times New Roman"/>
                <w:kern w:val="0"/>
                <w:sz w:val="20"/>
              </w:rPr>
              <w:t>99.2</w:t>
            </w:r>
          </w:p>
        </w:tc>
      </w:tr>
      <w:tr w14:paraId="3CF59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0C052FE3">
            <w:pPr>
              <w:pStyle w:val="81"/>
              <w:rPr>
                <w:rFonts w:cs="Times New Roman"/>
                <w:kern w:val="0"/>
                <w:sz w:val="20"/>
              </w:rPr>
            </w:pPr>
            <w:r>
              <w:rPr>
                <w:rFonts w:cs="Times New Roman"/>
                <w:kern w:val="0"/>
                <w:sz w:val="20"/>
              </w:rPr>
              <w:t>17</w:t>
            </w:r>
          </w:p>
        </w:tc>
        <w:tc>
          <w:tcPr>
            <w:tcW w:w="1558" w:type="dxa"/>
            <w:vAlign w:val="center"/>
          </w:tcPr>
          <w:p w14:paraId="600C6508">
            <w:pPr>
              <w:pStyle w:val="81"/>
              <w:rPr>
                <w:rFonts w:cs="Times New Roman"/>
                <w:kern w:val="0"/>
                <w:sz w:val="20"/>
              </w:rPr>
            </w:pPr>
            <w:r>
              <w:rPr>
                <w:rFonts w:cs="Times New Roman"/>
                <w:kern w:val="0"/>
                <w:sz w:val="20"/>
              </w:rPr>
              <w:t>55</w:t>
            </w:r>
          </w:p>
        </w:tc>
        <w:tc>
          <w:tcPr>
            <w:tcW w:w="1703" w:type="dxa"/>
            <w:vAlign w:val="center"/>
          </w:tcPr>
          <w:p w14:paraId="16F648BB">
            <w:pPr>
              <w:pStyle w:val="81"/>
              <w:rPr>
                <w:rFonts w:cs="Times New Roman"/>
                <w:kern w:val="0"/>
                <w:sz w:val="20"/>
              </w:rPr>
            </w:pPr>
            <w:r>
              <w:rPr>
                <w:rFonts w:cs="Times New Roman"/>
                <w:kern w:val="0"/>
                <w:sz w:val="20"/>
              </w:rPr>
              <w:t>2130</w:t>
            </w:r>
          </w:p>
        </w:tc>
        <w:tc>
          <w:tcPr>
            <w:tcW w:w="1706" w:type="dxa"/>
            <w:vAlign w:val="center"/>
          </w:tcPr>
          <w:p w14:paraId="08B8F976">
            <w:pPr>
              <w:pStyle w:val="81"/>
              <w:rPr>
                <w:rFonts w:cs="Times New Roman"/>
                <w:kern w:val="0"/>
                <w:sz w:val="20"/>
              </w:rPr>
            </w:pPr>
            <w:r>
              <w:rPr>
                <w:rFonts w:cs="Times New Roman"/>
                <w:kern w:val="0"/>
                <w:sz w:val="20"/>
              </w:rPr>
              <w:t>18.5</w:t>
            </w:r>
          </w:p>
        </w:tc>
        <w:tc>
          <w:tcPr>
            <w:tcW w:w="1842" w:type="dxa"/>
            <w:vAlign w:val="center"/>
          </w:tcPr>
          <w:p w14:paraId="625CDC15">
            <w:pPr>
              <w:pStyle w:val="81"/>
              <w:rPr>
                <w:rFonts w:cs="Times New Roman"/>
                <w:kern w:val="0"/>
                <w:sz w:val="20"/>
              </w:rPr>
            </w:pPr>
            <w:r>
              <w:rPr>
                <w:rFonts w:cs="Times New Roman"/>
                <w:kern w:val="0"/>
                <w:sz w:val="20"/>
              </w:rPr>
              <w:t>99.1</w:t>
            </w:r>
          </w:p>
        </w:tc>
      </w:tr>
      <w:tr w14:paraId="45813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310026A7">
            <w:pPr>
              <w:pStyle w:val="81"/>
              <w:rPr>
                <w:rFonts w:cs="Times New Roman"/>
                <w:kern w:val="0"/>
                <w:sz w:val="20"/>
              </w:rPr>
            </w:pPr>
            <w:r>
              <w:rPr>
                <w:rFonts w:cs="Times New Roman"/>
                <w:kern w:val="0"/>
                <w:sz w:val="20"/>
              </w:rPr>
              <w:t>18</w:t>
            </w:r>
          </w:p>
        </w:tc>
        <w:tc>
          <w:tcPr>
            <w:tcW w:w="1558" w:type="dxa"/>
            <w:vAlign w:val="center"/>
          </w:tcPr>
          <w:p w14:paraId="5B64A3DB">
            <w:pPr>
              <w:pStyle w:val="81"/>
              <w:rPr>
                <w:rFonts w:cs="Times New Roman"/>
                <w:kern w:val="0"/>
                <w:sz w:val="20"/>
              </w:rPr>
            </w:pPr>
            <w:r>
              <w:rPr>
                <w:rFonts w:cs="Times New Roman"/>
                <w:kern w:val="0"/>
                <w:sz w:val="20"/>
              </w:rPr>
              <w:t>20</w:t>
            </w:r>
          </w:p>
        </w:tc>
        <w:tc>
          <w:tcPr>
            <w:tcW w:w="1703" w:type="dxa"/>
            <w:vAlign w:val="center"/>
          </w:tcPr>
          <w:p w14:paraId="6EE555F4">
            <w:pPr>
              <w:pStyle w:val="81"/>
              <w:rPr>
                <w:rFonts w:cs="Times New Roman"/>
                <w:kern w:val="0"/>
                <w:sz w:val="20"/>
              </w:rPr>
            </w:pPr>
            <w:r>
              <w:rPr>
                <w:rFonts w:cs="Times New Roman"/>
                <w:kern w:val="0"/>
                <w:sz w:val="20"/>
              </w:rPr>
              <w:t>2080</w:t>
            </w:r>
          </w:p>
        </w:tc>
        <w:tc>
          <w:tcPr>
            <w:tcW w:w="1706" w:type="dxa"/>
            <w:vAlign w:val="center"/>
          </w:tcPr>
          <w:p w14:paraId="61ECF3DC">
            <w:pPr>
              <w:pStyle w:val="81"/>
              <w:rPr>
                <w:rFonts w:cs="Times New Roman"/>
                <w:kern w:val="0"/>
                <w:sz w:val="20"/>
              </w:rPr>
            </w:pPr>
            <w:r>
              <w:rPr>
                <w:rFonts w:cs="Times New Roman"/>
                <w:kern w:val="0"/>
                <w:sz w:val="20"/>
              </w:rPr>
              <w:t>23</w:t>
            </w:r>
          </w:p>
        </w:tc>
        <w:tc>
          <w:tcPr>
            <w:tcW w:w="1842" w:type="dxa"/>
            <w:vAlign w:val="center"/>
          </w:tcPr>
          <w:p w14:paraId="2414E027">
            <w:pPr>
              <w:pStyle w:val="81"/>
              <w:rPr>
                <w:rFonts w:cs="Times New Roman"/>
                <w:kern w:val="0"/>
                <w:sz w:val="20"/>
              </w:rPr>
            </w:pPr>
            <w:r>
              <w:rPr>
                <w:rFonts w:cs="Times New Roman"/>
                <w:kern w:val="0"/>
                <w:sz w:val="20"/>
              </w:rPr>
              <w:t>98.9</w:t>
            </w:r>
          </w:p>
        </w:tc>
      </w:tr>
      <w:tr w14:paraId="6CED8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3BAD5482">
            <w:pPr>
              <w:pStyle w:val="81"/>
              <w:rPr>
                <w:rFonts w:cs="Times New Roman"/>
                <w:kern w:val="0"/>
                <w:sz w:val="20"/>
              </w:rPr>
            </w:pPr>
            <w:r>
              <w:rPr>
                <w:rFonts w:cs="Times New Roman"/>
                <w:kern w:val="0"/>
                <w:sz w:val="20"/>
              </w:rPr>
              <w:t>19</w:t>
            </w:r>
          </w:p>
        </w:tc>
        <w:tc>
          <w:tcPr>
            <w:tcW w:w="1558" w:type="dxa"/>
            <w:vAlign w:val="center"/>
          </w:tcPr>
          <w:p w14:paraId="15ACD244">
            <w:pPr>
              <w:pStyle w:val="81"/>
              <w:rPr>
                <w:rFonts w:cs="Times New Roman"/>
                <w:kern w:val="0"/>
                <w:sz w:val="20"/>
              </w:rPr>
            </w:pPr>
            <w:r>
              <w:rPr>
                <w:rFonts w:cs="Times New Roman"/>
                <w:kern w:val="0"/>
                <w:sz w:val="20"/>
              </w:rPr>
              <w:t>150</w:t>
            </w:r>
          </w:p>
        </w:tc>
        <w:tc>
          <w:tcPr>
            <w:tcW w:w="1703" w:type="dxa"/>
            <w:vAlign w:val="center"/>
          </w:tcPr>
          <w:p w14:paraId="2BDAB777">
            <w:pPr>
              <w:pStyle w:val="81"/>
              <w:rPr>
                <w:rFonts w:cs="Times New Roman"/>
                <w:kern w:val="0"/>
                <w:sz w:val="20"/>
              </w:rPr>
            </w:pPr>
            <w:r>
              <w:rPr>
                <w:rFonts w:cs="Times New Roman"/>
                <w:kern w:val="0"/>
                <w:sz w:val="20"/>
              </w:rPr>
              <w:t>2250</w:t>
            </w:r>
          </w:p>
        </w:tc>
        <w:tc>
          <w:tcPr>
            <w:tcW w:w="1706" w:type="dxa"/>
            <w:vAlign w:val="center"/>
          </w:tcPr>
          <w:p w14:paraId="7FB1C89C">
            <w:pPr>
              <w:pStyle w:val="81"/>
              <w:rPr>
                <w:rFonts w:cs="Times New Roman"/>
                <w:kern w:val="0"/>
                <w:sz w:val="20"/>
              </w:rPr>
            </w:pPr>
            <w:r>
              <w:rPr>
                <w:rFonts w:cs="Times New Roman"/>
                <w:kern w:val="0"/>
                <w:sz w:val="20"/>
              </w:rPr>
              <w:t>18.5</w:t>
            </w:r>
          </w:p>
        </w:tc>
        <w:tc>
          <w:tcPr>
            <w:tcW w:w="1842" w:type="dxa"/>
            <w:vAlign w:val="center"/>
          </w:tcPr>
          <w:p w14:paraId="4CE513AA">
            <w:pPr>
              <w:pStyle w:val="81"/>
              <w:rPr>
                <w:rFonts w:cs="Times New Roman"/>
                <w:kern w:val="0"/>
                <w:sz w:val="20"/>
              </w:rPr>
            </w:pPr>
            <w:r>
              <w:rPr>
                <w:rFonts w:cs="Times New Roman"/>
                <w:kern w:val="0"/>
                <w:sz w:val="20"/>
              </w:rPr>
              <w:t>99.2</w:t>
            </w:r>
          </w:p>
        </w:tc>
      </w:tr>
      <w:tr w14:paraId="0C227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1CDC9F64">
            <w:pPr>
              <w:pStyle w:val="81"/>
              <w:rPr>
                <w:rFonts w:cs="Times New Roman"/>
                <w:kern w:val="0"/>
                <w:sz w:val="20"/>
              </w:rPr>
            </w:pPr>
            <w:r>
              <w:rPr>
                <w:rFonts w:cs="Times New Roman"/>
                <w:kern w:val="0"/>
                <w:sz w:val="20"/>
              </w:rPr>
              <w:t>20</w:t>
            </w:r>
          </w:p>
        </w:tc>
        <w:tc>
          <w:tcPr>
            <w:tcW w:w="1558" w:type="dxa"/>
            <w:vAlign w:val="center"/>
          </w:tcPr>
          <w:p w14:paraId="4243EDD4">
            <w:pPr>
              <w:pStyle w:val="81"/>
              <w:rPr>
                <w:rFonts w:cs="Times New Roman"/>
                <w:kern w:val="0"/>
                <w:sz w:val="20"/>
              </w:rPr>
            </w:pPr>
            <w:r>
              <w:rPr>
                <w:rFonts w:cs="Times New Roman"/>
                <w:kern w:val="0"/>
                <w:sz w:val="20"/>
              </w:rPr>
              <w:t>/</w:t>
            </w:r>
          </w:p>
        </w:tc>
        <w:tc>
          <w:tcPr>
            <w:tcW w:w="1703" w:type="dxa"/>
            <w:vAlign w:val="center"/>
          </w:tcPr>
          <w:p w14:paraId="131D4F69">
            <w:pPr>
              <w:pStyle w:val="81"/>
              <w:rPr>
                <w:rFonts w:cs="Times New Roman"/>
                <w:kern w:val="0"/>
                <w:sz w:val="20"/>
              </w:rPr>
            </w:pPr>
            <w:r>
              <w:rPr>
                <w:rFonts w:cs="Times New Roman"/>
                <w:kern w:val="0"/>
                <w:sz w:val="20"/>
              </w:rPr>
              <w:t>47.6</w:t>
            </w:r>
          </w:p>
        </w:tc>
        <w:tc>
          <w:tcPr>
            <w:tcW w:w="1706" w:type="dxa"/>
            <w:vAlign w:val="center"/>
          </w:tcPr>
          <w:p w14:paraId="49C03777">
            <w:pPr>
              <w:pStyle w:val="81"/>
              <w:rPr>
                <w:rFonts w:cs="Times New Roman"/>
                <w:kern w:val="0"/>
                <w:sz w:val="20"/>
              </w:rPr>
            </w:pPr>
            <w:r>
              <w:rPr>
                <w:rFonts w:cs="Times New Roman"/>
                <w:kern w:val="0"/>
                <w:sz w:val="20"/>
              </w:rPr>
              <w:t>10.9</w:t>
            </w:r>
          </w:p>
        </w:tc>
        <w:tc>
          <w:tcPr>
            <w:tcW w:w="1842" w:type="dxa"/>
            <w:vAlign w:val="center"/>
          </w:tcPr>
          <w:p w14:paraId="7BACC03B">
            <w:pPr>
              <w:pStyle w:val="81"/>
              <w:rPr>
                <w:rFonts w:cs="Times New Roman"/>
                <w:kern w:val="0"/>
                <w:sz w:val="20"/>
              </w:rPr>
            </w:pPr>
            <w:r>
              <w:rPr>
                <w:rFonts w:cs="Times New Roman"/>
                <w:kern w:val="0"/>
                <w:sz w:val="20"/>
              </w:rPr>
              <w:t>77.1</w:t>
            </w:r>
          </w:p>
        </w:tc>
      </w:tr>
      <w:tr w14:paraId="02EA3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432A997C">
            <w:pPr>
              <w:pStyle w:val="81"/>
              <w:rPr>
                <w:rFonts w:cs="Times New Roman"/>
                <w:kern w:val="0"/>
                <w:sz w:val="20"/>
              </w:rPr>
            </w:pPr>
            <w:r>
              <w:rPr>
                <w:rFonts w:cs="Times New Roman"/>
                <w:kern w:val="0"/>
                <w:sz w:val="20"/>
              </w:rPr>
              <w:t>21</w:t>
            </w:r>
          </w:p>
        </w:tc>
        <w:tc>
          <w:tcPr>
            <w:tcW w:w="1558" w:type="dxa"/>
            <w:vAlign w:val="center"/>
          </w:tcPr>
          <w:p w14:paraId="663F7A00">
            <w:pPr>
              <w:pStyle w:val="81"/>
              <w:rPr>
                <w:rFonts w:cs="Times New Roman"/>
                <w:kern w:val="0"/>
                <w:sz w:val="20"/>
              </w:rPr>
            </w:pPr>
            <w:r>
              <w:rPr>
                <w:rFonts w:cs="Times New Roman"/>
                <w:kern w:val="0"/>
                <w:sz w:val="20"/>
              </w:rPr>
              <w:t>/</w:t>
            </w:r>
          </w:p>
        </w:tc>
        <w:tc>
          <w:tcPr>
            <w:tcW w:w="1703" w:type="dxa"/>
            <w:vAlign w:val="center"/>
          </w:tcPr>
          <w:p w14:paraId="11CC7C0D">
            <w:pPr>
              <w:pStyle w:val="81"/>
              <w:rPr>
                <w:rFonts w:cs="Times New Roman"/>
                <w:kern w:val="0"/>
                <w:sz w:val="20"/>
              </w:rPr>
            </w:pPr>
            <w:r>
              <w:rPr>
                <w:rFonts w:cs="Times New Roman"/>
                <w:kern w:val="0"/>
                <w:sz w:val="20"/>
              </w:rPr>
              <w:t>2620</w:t>
            </w:r>
          </w:p>
        </w:tc>
        <w:tc>
          <w:tcPr>
            <w:tcW w:w="1706" w:type="dxa"/>
            <w:vAlign w:val="center"/>
          </w:tcPr>
          <w:p w14:paraId="7F974C49">
            <w:pPr>
              <w:pStyle w:val="81"/>
              <w:rPr>
                <w:rFonts w:cs="Times New Roman"/>
                <w:kern w:val="0"/>
                <w:sz w:val="20"/>
              </w:rPr>
            </w:pPr>
            <w:r>
              <w:rPr>
                <w:rFonts w:cs="Times New Roman"/>
                <w:kern w:val="0"/>
                <w:sz w:val="20"/>
              </w:rPr>
              <w:t>16.5</w:t>
            </w:r>
          </w:p>
        </w:tc>
        <w:tc>
          <w:tcPr>
            <w:tcW w:w="1842" w:type="dxa"/>
            <w:vAlign w:val="center"/>
          </w:tcPr>
          <w:p w14:paraId="014A3372">
            <w:pPr>
              <w:pStyle w:val="81"/>
              <w:rPr>
                <w:rFonts w:cs="Times New Roman"/>
                <w:kern w:val="0"/>
                <w:sz w:val="20"/>
              </w:rPr>
            </w:pPr>
            <w:r>
              <w:rPr>
                <w:rFonts w:cs="Times New Roman"/>
                <w:kern w:val="0"/>
                <w:sz w:val="20"/>
              </w:rPr>
              <w:t>99.3</w:t>
            </w:r>
          </w:p>
        </w:tc>
      </w:tr>
      <w:tr w14:paraId="69B25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45C21BD3">
            <w:pPr>
              <w:pStyle w:val="81"/>
              <w:rPr>
                <w:rFonts w:cs="Times New Roman"/>
                <w:kern w:val="0"/>
                <w:sz w:val="20"/>
              </w:rPr>
            </w:pPr>
            <w:r>
              <w:rPr>
                <w:rFonts w:cs="Times New Roman"/>
                <w:kern w:val="0"/>
                <w:sz w:val="20"/>
              </w:rPr>
              <w:t>22</w:t>
            </w:r>
          </w:p>
        </w:tc>
        <w:tc>
          <w:tcPr>
            <w:tcW w:w="1558" w:type="dxa"/>
            <w:vAlign w:val="center"/>
          </w:tcPr>
          <w:p w14:paraId="788A3053">
            <w:pPr>
              <w:pStyle w:val="81"/>
              <w:rPr>
                <w:rFonts w:cs="Times New Roman"/>
                <w:kern w:val="0"/>
                <w:sz w:val="20"/>
              </w:rPr>
            </w:pPr>
            <w:r>
              <w:rPr>
                <w:rFonts w:cs="Times New Roman"/>
                <w:kern w:val="0"/>
                <w:sz w:val="20"/>
              </w:rPr>
              <w:t>20</w:t>
            </w:r>
          </w:p>
        </w:tc>
        <w:tc>
          <w:tcPr>
            <w:tcW w:w="1703" w:type="dxa"/>
            <w:vAlign w:val="center"/>
          </w:tcPr>
          <w:p w14:paraId="26D173BB">
            <w:pPr>
              <w:pStyle w:val="81"/>
              <w:rPr>
                <w:rFonts w:cs="Times New Roman"/>
                <w:kern w:val="0"/>
                <w:sz w:val="20"/>
              </w:rPr>
            </w:pPr>
            <w:r>
              <w:rPr>
                <w:rFonts w:cs="Times New Roman"/>
                <w:kern w:val="0"/>
                <w:sz w:val="20"/>
              </w:rPr>
              <w:t>3800</w:t>
            </w:r>
          </w:p>
        </w:tc>
        <w:tc>
          <w:tcPr>
            <w:tcW w:w="1706" w:type="dxa"/>
            <w:vAlign w:val="center"/>
          </w:tcPr>
          <w:p w14:paraId="4EEE0BD3">
            <w:pPr>
              <w:pStyle w:val="81"/>
              <w:rPr>
                <w:rFonts w:cs="Times New Roman"/>
                <w:kern w:val="0"/>
                <w:sz w:val="20"/>
              </w:rPr>
            </w:pPr>
            <w:r>
              <w:rPr>
                <w:rFonts w:cs="Times New Roman"/>
                <w:kern w:val="0"/>
                <w:sz w:val="20"/>
              </w:rPr>
              <w:t>/</w:t>
            </w:r>
          </w:p>
        </w:tc>
        <w:tc>
          <w:tcPr>
            <w:tcW w:w="1842" w:type="dxa"/>
            <w:vAlign w:val="center"/>
          </w:tcPr>
          <w:p w14:paraId="2CC01BEB">
            <w:pPr>
              <w:pStyle w:val="81"/>
              <w:rPr>
                <w:rFonts w:cs="Times New Roman"/>
                <w:kern w:val="0"/>
                <w:sz w:val="20"/>
              </w:rPr>
            </w:pPr>
            <w:r>
              <w:rPr>
                <w:rFonts w:cs="Times New Roman"/>
                <w:kern w:val="0"/>
                <w:sz w:val="20"/>
              </w:rPr>
              <w:t>/</w:t>
            </w:r>
          </w:p>
        </w:tc>
      </w:tr>
      <w:tr w14:paraId="42A35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487D6CC1">
            <w:pPr>
              <w:pStyle w:val="81"/>
              <w:rPr>
                <w:rFonts w:cs="Times New Roman"/>
                <w:kern w:val="0"/>
                <w:sz w:val="20"/>
              </w:rPr>
            </w:pPr>
            <w:r>
              <w:rPr>
                <w:rFonts w:cs="Times New Roman"/>
                <w:kern w:val="0"/>
                <w:sz w:val="20"/>
              </w:rPr>
              <w:t>23</w:t>
            </w:r>
          </w:p>
        </w:tc>
        <w:tc>
          <w:tcPr>
            <w:tcW w:w="1558" w:type="dxa"/>
            <w:vAlign w:val="center"/>
          </w:tcPr>
          <w:p w14:paraId="1C6DFE01">
            <w:pPr>
              <w:pStyle w:val="81"/>
              <w:rPr>
                <w:rFonts w:cs="Times New Roman"/>
                <w:kern w:val="0"/>
                <w:sz w:val="20"/>
              </w:rPr>
            </w:pPr>
            <w:r>
              <w:rPr>
                <w:rFonts w:cs="Times New Roman"/>
                <w:kern w:val="0"/>
                <w:sz w:val="20"/>
              </w:rPr>
              <w:t>5</w:t>
            </w:r>
          </w:p>
        </w:tc>
        <w:tc>
          <w:tcPr>
            <w:tcW w:w="1703" w:type="dxa"/>
            <w:vAlign w:val="center"/>
          </w:tcPr>
          <w:p w14:paraId="3318D097">
            <w:pPr>
              <w:pStyle w:val="81"/>
              <w:rPr>
                <w:rFonts w:cs="Times New Roman"/>
                <w:kern w:val="0"/>
                <w:sz w:val="20"/>
              </w:rPr>
            </w:pPr>
            <w:r>
              <w:rPr>
                <w:rFonts w:cs="Times New Roman"/>
                <w:kern w:val="0"/>
                <w:sz w:val="20"/>
              </w:rPr>
              <w:t>2440</w:t>
            </w:r>
          </w:p>
        </w:tc>
        <w:tc>
          <w:tcPr>
            <w:tcW w:w="1706" w:type="dxa"/>
            <w:vAlign w:val="center"/>
          </w:tcPr>
          <w:p w14:paraId="1A4F4B3D">
            <w:pPr>
              <w:pStyle w:val="81"/>
              <w:rPr>
                <w:rFonts w:cs="Times New Roman"/>
                <w:kern w:val="0"/>
                <w:sz w:val="20"/>
              </w:rPr>
            </w:pPr>
            <w:r>
              <w:rPr>
                <w:rFonts w:cs="Times New Roman"/>
                <w:kern w:val="0"/>
                <w:sz w:val="20"/>
              </w:rPr>
              <w:t>0.16</w:t>
            </w:r>
          </w:p>
        </w:tc>
        <w:tc>
          <w:tcPr>
            <w:tcW w:w="1842" w:type="dxa"/>
            <w:vAlign w:val="center"/>
          </w:tcPr>
          <w:p w14:paraId="7C4C5BA1">
            <w:pPr>
              <w:pStyle w:val="81"/>
              <w:rPr>
                <w:rFonts w:cs="Times New Roman"/>
                <w:kern w:val="0"/>
                <w:sz w:val="20"/>
              </w:rPr>
            </w:pPr>
            <w:r>
              <w:rPr>
                <w:rFonts w:cs="Times New Roman"/>
                <w:kern w:val="0"/>
                <w:sz w:val="20"/>
              </w:rPr>
              <w:t>99.9</w:t>
            </w:r>
          </w:p>
        </w:tc>
      </w:tr>
      <w:tr w14:paraId="30D6F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6E207AE4">
            <w:pPr>
              <w:pStyle w:val="81"/>
              <w:rPr>
                <w:rFonts w:cs="Times New Roman"/>
                <w:kern w:val="0"/>
                <w:sz w:val="20"/>
              </w:rPr>
            </w:pPr>
            <w:r>
              <w:rPr>
                <w:rFonts w:cs="Times New Roman"/>
                <w:kern w:val="0"/>
                <w:sz w:val="20"/>
              </w:rPr>
              <w:t>24</w:t>
            </w:r>
          </w:p>
        </w:tc>
        <w:tc>
          <w:tcPr>
            <w:tcW w:w="1558" w:type="dxa"/>
            <w:vAlign w:val="center"/>
          </w:tcPr>
          <w:p w14:paraId="01B99F11">
            <w:pPr>
              <w:pStyle w:val="81"/>
              <w:rPr>
                <w:rFonts w:cs="Times New Roman"/>
                <w:kern w:val="0"/>
                <w:sz w:val="20"/>
              </w:rPr>
            </w:pPr>
            <w:r>
              <w:rPr>
                <w:rFonts w:cs="Times New Roman"/>
                <w:kern w:val="0"/>
                <w:sz w:val="20"/>
              </w:rPr>
              <w:t>12600</w:t>
            </w:r>
          </w:p>
        </w:tc>
        <w:tc>
          <w:tcPr>
            <w:tcW w:w="1703" w:type="dxa"/>
            <w:vAlign w:val="center"/>
          </w:tcPr>
          <w:p w14:paraId="20BB1B01">
            <w:pPr>
              <w:pStyle w:val="81"/>
              <w:rPr>
                <w:rFonts w:cs="Times New Roman"/>
                <w:kern w:val="0"/>
                <w:sz w:val="20"/>
              </w:rPr>
            </w:pPr>
            <w:r>
              <w:rPr>
                <w:rFonts w:cs="Times New Roman"/>
                <w:kern w:val="0"/>
                <w:sz w:val="20"/>
              </w:rPr>
              <w:t>1000</w:t>
            </w:r>
          </w:p>
        </w:tc>
        <w:tc>
          <w:tcPr>
            <w:tcW w:w="1706" w:type="dxa"/>
            <w:vAlign w:val="center"/>
          </w:tcPr>
          <w:p w14:paraId="246CE060">
            <w:pPr>
              <w:pStyle w:val="81"/>
              <w:rPr>
                <w:rFonts w:cs="Times New Roman"/>
                <w:kern w:val="0"/>
                <w:sz w:val="20"/>
              </w:rPr>
            </w:pPr>
            <w:r>
              <w:rPr>
                <w:rFonts w:cs="Times New Roman"/>
                <w:kern w:val="0"/>
                <w:sz w:val="20"/>
              </w:rPr>
              <w:t>4.64</w:t>
            </w:r>
          </w:p>
        </w:tc>
        <w:tc>
          <w:tcPr>
            <w:tcW w:w="1842" w:type="dxa"/>
            <w:vAlign w:val="center"/>
          </w:tcPr>
          <w:p w14:paraId="12217210">
            <w:pPr>
              <w:pStyle w:val="81"/>
              <w:rPr>
                <w:rFonts w:cs="Times New Roman"/>
                <w:kern w:val="0"/>
                <w:sz w:val="20"/>
              </w:rPr>
            </w:pPr>
            <w:r>
              <w:rPr>
                <w:rFonts w:cs="Times New Roman"/>
                <w:kern w:val="0"/>
                <w:sz w:val="20"/>
              </w:rPr>
              <w:t>99.5</w:t>
            </w:r>
          </w:p>
        </w:tc>
      </w:tr>
      <w:tr w14:paraId="74115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4C802C31">
            <w:pPr>
              <w:pStyle w:val="81"/>
              <w:rPr>
                <w:rFonts w:cs="Times New Roman"/>
                <w:kern w:val="0"/>
                <w:sz w:val="20"/>
              </w:rPr>
            </w:pPr>
            <w:r>
              <w:rPr>
                <w:rFonts w:cs="Times New Roman"/>
                <w:kern w:val="0"/>
                <w:sz w:val="20"/>
              </w:rPr>
              <w:t>25</w:t>
            </w:r>
          </w:p>
        </w:tc>
        <w:tc>
          <w:tcPr>
            <w:tcW w:w="1558" w:type="dxa"/>
            <w:vAlign w:val="center"/>
          </w:tcPr>
          <w:p w14:paraId="0E67B237">
            <w:pPr>
              <w:pStyle w:val="81"/>
              <w:rPr>
                <w:rFonts w:cs="Times New Roman"/>
                <w:kern w:val="0"/>
                <w:sz w:val="20"/>
              </w:rPr>
            </w:pPr>
            <w:r>
              <w:rPr>
                <w:rFonts w:cs="Times New Roman"/>
                <w:kern w:val="0"/>
                <w:sz w:val="20"/>
              </w:rPr>
              <w:t>2800</w:t>
            </w:r>
          </w:p>
        </w:tc>
        <w:tc>
          <w:tcPr>
            <w:tcW w:w="1703" w:type="dxa"/>
            <w:vAlign w:val="center"/>
          </w:tcPr>
          <w:p w14:paraId="7D855931">
            <w:pPr>
              <w:pStyle w:val="81"/>
              <w:rPr>
                <w:rFonts w:cs="Times New Roman"/>
                <w:kern w:val="0"/>
                <w:sz w:val="20"/>
              </w:rPr>
            </w:pPr>
            <w:r>
              <w:rPr>
                <w:rFonts w:cs="Times New Roman"/>
                <w:kern w:val="0"/>
                <w:sz w:val="20"/>
              </w:rPr>
              <w:t>3640</w:t>
            </w:r>
          </w:p>
        </w:tc>
        <w:tc>
          <w:tcPr>
            <w:tcW w:w="1706" w:type="dxa"/>
            <w:vAlign w:val="center"/>
          </w:tcPr>
          <w:p w14:paraId="6F8CA0CF">
            <w:pPr>
              <w:pStyle w:val="81"/>
              <w:rPr>
                <w:rFonts w:cs="Times New Roman"/>
                <w:kern w:val="0"/>
                <w:sz w:val="20"/>
              </w:rPr>
            </w:pPr>
            <w:r>
              <w:rPr>
                <w:rFonts w:cs="Times New Roman"/>
                <w:kern w:val="0"/>
                <w:sz w:val="20"/>
              </w:rPr>
              <w:t>0.98</w:t>
            </w:r>
          </w:p>
        </w:tc>
        <w:tc>
          <w:tcPr>
            <w:tcW w:w="1842" w:type="dxa"/>
            <w:vAlign w:val="center"/>
          </w:tcPr>
          <w:p w14:paraId="0F7FD67F">
            <w:pPr>
              <w:pStyle w:val="81"/>
              <w:rPr>
                <w:rFonts w:cs="Times New Roman"/>
                <w:kern w:val="0"/>
                <w:sz w:val="20"/>
              </w:rPr>
            </w:pPr>
            <w:r>
              <w:rPr>
                <w:rFonts w:cs="Times New Roman"/>
                <w:kern w:val="0"/>
                <w:sz w:val="20"/>
              </w:rPr>
              <w:t>99.9</w:t>
            </w:r>
          </w:p>
        </w:tc>
      </w:tr>
      <w:tr w14:paraId="77D04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272" w:type="dxa"/>
            <w:vAlign w:val="center"/>
          </w:tcPr>
          <w:p w14:paraId="52A4C24D">
            <w:pPr>
              <w:pStyle w:val="81"/>
              <w:rPr>
                <w:rFonts w:cs="Times New Roman"/>
                <w:kern w:val="0"/>
                <w:sz w:val="20"/>
              </w:rPr>
            </w:pPr>
            <w:r>
              <w:rPr>
                <w:rFonts w:cs="Times New Roman"/>
                <w:kern w:val="0"/>
                <w:sz w:val="20"/>
              </w:rPr>
              <w:t>26</w:t>
            </w:r>
          </w:p>
        </w:tc>
        <w:tc>
          <w:tcPr>
            <w:tcW w:w="1558" w:type="dxa"/>
            <w:vAlign w:val="center"/>
          </w:tcPr>
          <w:p w14:paraId="623EFBFD">
            <w:pPr>
              <w:pStyle w:val="81"/>
              <w:rPr>
                <w:rFonts w:cs="Times New Roman"/>
                <w:kern w:val="0"/>
                <w:sz w:val="20"/>
              </w:rPr>
            </w:pPr>
            <w:r>
              <w:rPr>
                <w:rFonts w:cs="Times New Roman"/>
                <w:kern w:val="0"/>
                <w:sz w:val="20"/>
              </w:rPr>
              <w:t>2100</w:t>
            </w:r>
          </w:p>
        </w:tc>
        <w:tc>
          <w:tcPr>
            <w:tcW w:w="1703" w:type="dxa"/>
            <w:vAlign w:val="center"/>
          </w:tcPr>
          <w:p w14:paraId="29169CF3">
            <w:pPr>
              <w:pStyle w:val="81"/>
              <w:rPr>
                <w:rFonts w:cs="Times New Roman"/>
                <w:kern w:val="0"/>
                <w:sz w:val="20"/>
              </w:rPr>
            </w:pPr>
            <w:r>
              <w:rPr>
                <w:rFonts w:cs="Times New Roman"/>
                <w:kern w:val="0"/>
                <w:sz w:val="20"/>
              </w:rPr>
              <w:t>3660</w:t>
            </w:r>
          </w:p>
        </w:tc>
        <w:tc>
          <w:tcPr>
            <w:tcW w:w="1706" w:type="dxa"/>
            <w:vAlign w:val="center"/>
          </w:tcPr>
          <w:p w14:paraId="102BEF2B">
            <w:pPr>
              <w:pStyle w:val="81"/>
              <w:rPr>
                <w:rFonts w:cs="Times New Roman"/>
                <w:kern w:val="0"/>
                <w:sz w:val="20"/>
              </w:rPr>
            </w:pPr>
            <w:r>
              <w:rPr>
                <w:rFonts w:cs="Times New Roman"/>
                <w:kern w:val="0"/>
                <w:sz w:val="20"/>
              </w:rPr>
              <w:t>11.3</w:t>
            </w:r>
          </w:p>
        </w:tc>
        <w:tc>
          <w:tcPr>
            <w:tcW w:w="1842" w:type="dxa"/>
            <w:vAlign w:val="center"/>
          </w:tcPr>
          <w:p w14:paraId="5A4DE1EA">
            <w:pPr>
              <w:pStyle w:val="81"/>
              <w:rPr>
                <w:rFonts w:cs="Times New Roman"/>
                <w:kern w:val="0"/>
                <w:sz w:val="20"/>
              </w:rPr>
            </w:pPr>
            <w:r>
              <w:rPr>
                <w:rFonts w:cs="Times New Roman"/>
                <w:kern w:val="0"/>
                <w:sz w:val="20"/>
              </w:rPr>
              <w:t>99.7</w:t>
            </w:r>
          </w:p>
        </w:tc>
      </w:tr>
    </w:tbl>
    <w:p w14:paraId="0D2E0F59">
      <w:pPr>
        <w:pStyle w:val="79"/>
        <w:ind w:firstLine="420"/>
        <w:rPr>
          <w:rFonts w:cs="Times New Roman"/>
        </w:rPr>
      </w:pPr>
    </w:p>
    <w:p w14:paraId="4AC57759">
      <w:pPr>
        <w:pStyle w:val="80"/>
        <w:ind w:firstLine="480"/>
      </w:pPr>
      <w:r>
        <w:t>（5）氮（N）</w:t>
      </w:r>
    </w:p>
    <w:p w14:paraId="336BB931">
      <w:pPr>
        <w:pStyle w:val="80"/>
        <w:ind w:firstLine="480"/>
      </w:pPr>
      <w:r>
        <w:t>各类废水排放标准中对氮的控制指标主要有氨氮、总氮两项</w:t>
      </w:r>
      <w:bookmarkStart w:id="214" w:name="OLE_LINK65"/>
      <w:r>
        <w:t>，</w:t>
      </w:r>
      <w:bookmarkEnd w:id="214"/>
      <w:r>
        <w:fldChar w:fldCharType="begin"/>
      </w:r>
      <w:r>
        <w:instrText xml:space="preserve"> REF _Ref196212472 \h  \* MERGEFORMAT </w:instrText>
      </w:r>
      <w:r>
        <w:fldChar w:fldCharType="separate"/>
      </w:r>
      <w:r>
        <w:t>表 3</w:t>
      </w:r>
      <w:r>
        <w:noBreakHyphen/>
      </w:r>
      <w:r>
        <w:t>8</w:t>
      </w:r>
      <w:r>
        <w:fldChar w:fldCharType="end"/>
      </w:r>
      <w:r>
        <w:t>列举了主要几项标准中对氮的控制限值。</w:t>
      </w:r>
    </w:p>
    <w:p w14:paraId="0D958DBB">
      <w:pPr>
        <w:pStyle w:val="61"/>
        <w:rPr>
          <w:rFonts w:cs="Times New Roman"/>
        </w:rPr>
      </w:pPr>
      <w:bookmarkStart w:id="215" w:name="_Ref196212472"/>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8</w:t>
      </w:r>
      <w:r>
        <w:rPr>
          <w:rFonts w:cs="Times New Roman"/>
        </w:rPr>
        <w:fldChar w:fldCharType="end"/>
      </w:r>
      <w:bookmarkEnd w:id="215"/>
      <w:r>
        <w:rPr>
          <w:rFonts w:cs="Times New Roman"/>
        </w:rPr>
        <w:t xml:space="preserve">    氮排放标准分析表                     </w:t>
      </w:r>
    </w:p>
    <w:tbl>
      <w:tblPr>
        <w:tblStyle w:val="68"/>
        <w:tblW w:w="80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88"/>
        <w:gridCol w:w="4396"/>
      </w:tblGrid>
      <w:tr w14:paraId="42043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8" w:type="dxa"/>
            <w:vAlign w:val="center"/>
          </w:tcPr>
          <w:p w14:paraId="0837EE01">
            <w:pPr>
              <w:pStyle w:val="81"/>
              <w:rPr>
                <w:rFonts w:cs="Times New Roman"/>
                <w:kern w:val="0"/>
                <w:sz w:val="20"/>
              </w:rPr>
            </w:pPr>
            <w:r>
              <w:rPr>
                <w:rFonts w:cs="Times New Roman"/>
                <w:kern w:val="0"/>
                <w:sz w:val="20"/>
              </w:rPr>
              <w:t>标准名称</w:t>
            </w:r>
          </w:p>
        </w:tc>
        <w:tc>
          <w:tcPr>
            <w:tcW w:w="4396" w:type="dxa"/>
            <w:vAlign w:val="center"/>
          </w:tcPr>
          <w:p w14:paraId="5B92C8C4">
            <w:pPr>
              <w:pStyle w:val="81"/>
              <w:rPr>
                <w:rFonts w:cs="Times New Roman"/>
                <w:kern w:val="0"/>
                <w:sz w:val="20"/>
              </w:rPr>
            </w:pPr>
            <w:r>
              <w:rPr>
                <w:rFonts w:cs="Times New Roman"/>
                <w:kern w:val="0"/>
                <w:sz w:val="20"/>
              </w:rPr>
              <w:t>标准值（mg/L）</w:t>
            </w:r>
          </w:p>
        </w:tc>
      </w:tr>
      <w:tr w14:paraId="6B4CA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8" w:type="dxa"/>
            <w:vAlign w:val="center"/>
          </w:tcPr>
          <w:p w14:paraId="1E13F060">
            <w:pPr>
              <w:pStyle w:val="81"/>
              <w:rPr>
                <w:rFonts w:cs="Times New Roman"/>
                <w:kern w:val="0"/>
                <w:sz w:val="20"/>
              </w:rPr>
            </w:pPr>
            <w:r>
              <w:rPr>
                <w:rFonts w:cs="Times New Roman"/>
                <w:kern w:val="0"/>
                <w:sz w:val="20"/>
              </w:rPr>
              <w:t>《污水综合排放标准》</w:t>
            </w:r>
          </w:p>
        </w:tc>
        <w:tc>
          <w:tcPr>
            <w:tcW w:w="4396" w:type="dxa"/>
            <w:vAlign w:val="center"/>
          </w:tcPr>
          <w:p w14:paraId="1F888CE3">
            <w:pPr>
              <w:pStyle w:val="81"/>
              <w:rPr>
                <w:rFonts w:cs="Times New Roman"/>
                <w:kern w:val="0"/>
                <w:sz w:val="20"/>
              </w:rPr>
            </w:pPr>
            <w:r>
              <w:rPr>
                <w:rFonts w:cs="Times New Roman"/>
                <w:kern w:val="0"/>
                <w:sz w:val="20"/>
              </w:rPr>
              <w:t>一级15，二级25，三级-</w:t>
            </w:r>
          </w:p>
        </w:tc>
      </w:tr>
      <w:tr w14:paraId="17B8A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8" w:type="dxa"/>
            <w:vMerge w:val="restart"/>
            <w:vAlign w:val="center"/>
          </w:tcPr>
          <w:p w14:paraId="3F749A36">
            <w:pPr>
              <w:pStyle w:val="81"/>
              <w:rPr>
                <w:rFonts w:cs="Times New Roman"/>
                <w:kern w:val="0"/>
                <w:sz w:val="20"/>
              </w:rPr>
            </w:pPr>
            <w:r>
              <w:rPr>
                <w:rFonts w:cs="Times New Roman"/>
                <w:kern w:val="0"/>
                <w:sz w:val="20"/>
              </w:rPr>
              <w:t>《辽宁省污水综合排放标准》</w:t>
            </w:r>
          </w:p>
        </w:tc>
        <w:tc>
          <w:tcPr>
            <w:tcW w:w="4396" w:type="dxa"/>
            <w:vAlign w:val="center"/>
          </w:tcPr>
          <w:p w14:paraId="248B83BE">
            <w:pPr>
              <w:pStyle w:val="81"/>
              <w:rPr>
                <w:rFonts w:cs="Times New Roman"/>
                <w:kern w:val="0"/>
                <w:sz w:val="20"/>
              </w:rPr>
            </w:pPr>
            <w:r>
              <w:rPr>
                <w:rFonts w:cs="Times New Roman"/>
                <w:kern w:val="0"/>
                <w:sz w:val="20"/>
              </w:rPr>
              <w:t>氨氮：直排</w:t>
            </w:r>
            <w:bookmarkStart w:id="216" w:name="OLE_LINK66"/>
            <w:r>
              <w:rPr>
                <w:rFonts w:cs="Times New Roman"/>
                <w:kern w:val="0"/>
                <w:sz w:val="20"/>
              </w:rPr>
              <w:t>8（10）</w:t>
            </w:r>
            <w:r>
              <w:rPr>
                <w:rFonts w:cs="Times New Roman"/>
                <w:kern w:val="0"/>
                <w:sz w:val="20"/>
                <w:vertAlign w:val="superscript"/>
              </w:rPr>
              <w:t>（1）</w:t>
            </w:r>
            <w:bookmarkEnd w:id="216"/>
            <w:r>
              <w:rPr>
                <w:rFonts w:cs="Times New Roman"/>
                <w:kern w:val="0"/>
                <w:sz w:val="20"/>
              </w:rPr>
              <w:t>，排入城镇污水处理厂30</w:t>
            </w:r>
          </w:p>
        </w:tc>
      </w:tr>
      <w:tr w14:paraId="04719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8" w:type="dxa"/>
            <w:vMerge w:val="continue"/>
            <w:vAlign w:val="center"/>
          </w:tcPr>
          <w:p w14:paraId="66DF5119">
            <w:pPr>
              <w:pStyle w:val="81"/>
              <w:rPr>
                <w:rFonts w:cs="Times New Roman"/>
                <w:kern w:val="0"/>
                <w:sz w:val="20"/>
              </w:rPr>
            </w:pPr>
          </w:p>
        </w:tc>
        <w:tc>
          <w:tcPr>
            <w:tcW w:w="4396" w:type="dxa"/>
            <w:vAlign w:val="center"/>
          </w:tcPr>
          <w:p w14:paraId="22C8FF99">
            <w:pPr>
              <w:pStyle w:val="81"/>
              <w:rPr>
                <w:rFonts w:cs="Times New Roman"/>
                <w:kern w:val="0"/>
                <w:sz w:val="20"/>
              </w:rPr>
            </w:pPr>
            <w:r>
              <w:rPr>
                <w:rFonts w:cs="Times New Roman"/>
                <w:kern w:val="0"/>
                <w:sz w:val="20"/>
              </w:rPr>
              <w:t>总氮：直排15，排入城镇污水处理厂50</w:t>
            </w:r>
          </w:p>
        </w:tc>
      </w:tr>
      <w:tr w14:paraId="6ED60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8" w:type="dxa"/>
            <w:vMerge w:val="restart"/>
            <w:vAlign w:val="center"/>
          </w:tcPr>
          <w:p w14:paraId="71A89486">
            <w:pPr>
              <w:pStyle w:val="81"/>
              <w:rPr>
                <w:rFonts w:cs="Times New Roman"/>
                <w:kern w:val="0"/>
                <w:sz w:val="20"/>
              </w:rPr>
            </w:pPr>
            <w:r>
              <w:rPr>
                <w:rFonts w:cs="Times New Roman"/>
                <w:kern w:val="0"/>
                <w:sz w:val="20"/>
              </w:rPr>
              <w:t>《大连市海菜加工行业生态环境</w:t>
            </w:r>
          </w:p>
          <w:p w14:paraId="419EE01B">
            <w:pPr>
              <w:pStyle w:val="81"/>
              <w:rPr>
                <w:rFonts w:cs="Times New Roman"/>
                <w:kern w:val="0"/>
                <w:sz w:val="20"/>
              </w:rPr>
            </w:pPr>
            <w:r>
              <w:rPr>
                <w:rFonts w:cs="Times New Roman"/>
                <w:kern w:val="0"/>
                <w:sz w:val="20"/>
              </w:rPr>
              <w:t>综合整治指导意见》</w:t>
            </w:r>
          </w:p>
        </w:tc>
        <w:tc>
          <w:tcPr>
            <w:tcW w:w="4396" w:type="dxa"/>
            <w:vAlign w:val="center"/>
          </w:tcPr>
          <w:p w14:paraId="2F78B149">
            <w:pPr>
              <w:pStyle w:val="81"/>
              <w:rPr>
                <w:rFonts w:cs="Times New Roman"/>
                <w:kern w:val="0"/>
                <w:sz w:val="20"/>
              </w:rPr>
            </w:pPr>
            <w:r>
              <w:rPr>
                <w:rFonts w:cs="Times New Roman"/>
                <w:kern w:val="0"/>
                <w:sz w:val="20"/>
              </w:rPr>
              <w:t>氨氮：8/10</w:t>
            </w:r>
            <w:r>
              <w:rPr>
                <w:rFonts w:cs="Times New Roman"/>
                <w:kern w:val="0"/>
                <w:sz w:val="20"/>
                <w:vertAlign w:val="superscript"/>
              </w:rPr>
              <w:t>（1）</w:t>
            </w:r>
          </w:p>
        </w:tc>
      </w:tr>
      <w:tr w14:paraId="7C567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8" w:type="dxa"/>
            <w:vMerge w:val="continue"/>
            <w:vAlign w:val="center"/>
          </w:tcPr>
          <w:p w14:paraId="154404CB">
            <w:pPr>
              <w:pStyle w:val="81"/>
              <w:rPr>
                <w:rFonts w:cs="Times New Roman"/>
                <w:kern w:val="0"/>
                <w:sz w:val="20"/>
              </w:rPr>
            </w:pPr>
          </w:p>
        </w:tc>
        <w:tc>
          <w:tcPr>
            <w:tcW w:w="4396" w:type="dxa"/>
            <w:vAlign w:val="center"/>
          </w:tcPr>
          <w:p w14:paraId="5D828BF8">
            <w:pPr>
              <w:pStyle w:val="81"/>
              <w:rPr>
                <w:rFonts w:cs="Times New Roman"/>
                <w:kern w:val="0"/>
                <w:sz w:val="20"/>
              </w:rPr>
            </w:pPr>
            <w:r>
              <w:rPr>
                <w:rFonts w:cs="Times New Roman"/>
                <w:kern w:val="0"/>
                <w:sz w:val="20"/>
              </w:rPr>
              <w:t>总氮：15</w:t>
            </w:r>
          </w:p>
        </w:tc>
      </w:tr>
      <w:tr w14:paraId="0A059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8" w:type="dxa"/>
            <w:vMerge w:val="restart"/>
            <w:vAlign w:val="center"/>
          </w:tcPr>
          <w:p w14:paraId="15B33988">
            <w:pPr>
              <w:pStyle w:val="81"/>
              <w:rPr>
                <w:rFonts w:cs="Times New Roman"/>
                <w:kern w:val="0"/>
                <w:sz w:val="20"/>
              </w:rPr>
            </w:pPr>
            <w:r>
              <w:rPr>
                <w:rFonts w:cs="Times New Roman"/>
                <w:kern w:val="0"/>
                <w:sz w:val="20"/>
              </w:rPr>
              <w:t>《食品加工制造业水污染物排放标准</w:t>
            </w:r>
          </w:p>
          <w:p w14:paraId="62103945">
            <w:pPr>
              <w:pStyle w:val="81"/>
              <w:rPr>
                <w:rFonts w:cs="Times New Roman"/>
                <w:kern w:val="0"/>
                <w:sz w:val="20"/>
              </w:rPr>
            </w:pPr>
            <w:r>
              <w:rPr>
                <w:rFonts w:cs="Times New Roman"/>
                <w:kern w:val="0"/>
                <w:sz w:val="20"/>
              </w:rPr>
              <w:t>（征求意见稿）》（2020）</w:t>
            </w:r>
          </w:p>
        </w:tc>
        <w:tc>
          <w:tcPr>
            <w:tcW w:w="4396" w:type="dxa"/>
            <w:vAlign w:val="center"/>
          </w:tcPr>
          <w:p w14:paraId="554DD88B">
            <w:pPr>
              <w:pStyle w:val="81"/>
              <w:rPr>
                <w:rFonts w:cs="Times New Roman"/>
                <w:kern w:val="0"/>
                <w:sz w:val="20"/>
              </w:rPr>
            </w:pPr>
            <w:r>
              <w:rPr>
                <w:rFonts w:cs="Times New Roman"/>
                <w:kern w:val="0"/>
                <w:sz w:val="20"/>
              </w:rPr>
              <w:t>氨氮：15</w:t>
            </w:r>
          </w:p>
        </w:tc>
      </w:tr>
      <w:tr w14:paraId="37E41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8" w:type="dxa"/>
            <w:vMerge w:val="continue"/>
            <w:vAlign w:val="center"/>
          </w:tcPr>
          <w:p w14:paraId="1EC0CB38">
            <w:pPr>
              <w:pStyle w:val="81"/>
              <w:rPr>
                <w:rFonts w:cs="Times New Roman"/>
                <w:kern w:val="0"/>
                <w:sz w:val="20"/>
              </w:rPr>
            </w:pPr>
          </w:p>
        </w:tc>
        <w:tc>
          <w:tcPr>
            <w:tcW w:w="4396" w:type="dxa"/>
            <w:vAlign w:val="center"/>
          </w:tcPr>
          <w:p w14:paraId="17A6A2F7">
            <w:pPr>
              <w:pStyle w:val="81"/>
              <w:rPr>
                <w:rFonts w:cs="Times New Roman"/>
                <w:kern w:val="0"/>
                <w:sz w:val="20"/>
              </w:rPr>
            </w:pPr>
            <w:r>
              <w:rPr>
                <w:rFonts w:cs="Times New Roman"/>
                <w:kern w:val="0"/>
                <w:sz w:val="20"/>
              </w:rPr>
              <w:t>总氮：25</w:t>
            </w:r>
          </w:p>
        </w:tc>
      </w:tr>
    </w:tbl>
    <w:p w14:paraId="10FFC747">
      <w:pPr>
        <w:pStyle w:val="79"/>
        <w:ind w:firstLine="420"/>
        <w:rPr>
          <w:rFonts w:cs="Times New Roman"/>
        </w:rPr>
      </w:pPr>
      <w:r>
        <w:rPr>
          <w:rFonts w:cs="Times New Roman"/>
        </w:rPr>
        <w:t>注：（1）括号外数值为水温＞12℃时的控制指标，括号内数值为水温≤12℃时的控制指标。</w:t>
      </w:r>
    </w:p>
    <w:p w14:paraId="41485652">
      <w:pPr>
        <w:pStyle w:val="80"/>
        <w:ind w:firstLine="480"/>
      </w:pPr>
      <w:r>
        <w:t>2022年调查的大连市89家海菜企业，提供氨氮和总氮浓度数据的有30家。处理前漂烫废水氨氮在20.4~229mg/L之间，平均浓度为106mg/L。其中，处理前监测数据超过60mg/L的企业有28家，占93%，30家企业漂烫废水的氨氮浓度均超过10mg/L。处理后废水氨氮监测值在0.96~8mg/L之间，平均为2.5mg/L。处理前漂烫废水总氮监测值在59.8~674mg/L之间，平均浓度为299mg/L。其中，处理前监测数据超过80mg/L的企业有29家，占监测数据企业数的97%。处理后废水总氮监测值在3.49~15mg/L之间，平均为8.3mg/L。</w:t>
      </w:r>
    </w:p>
    <w:p w14:paraId="13D662DC">
      <w:pPr>
        <w:pStyle w:val="80"/>
        <w:ind w:firstLine="480"/>
      </w:pPr>
      <w:r>
        <w:t>从2022年调研企业的监测数据来看，漂烫处理前废水中氨氮、总氮含量较高，需要处理后排放。进行处理的30家企业都能满足《辽宁省污水综合排放标准》要求，与《大连市海菜加工行业生态环境综合整治指导意见》要求一致。调研走访过程中，企业也都表示漂烫废水经处理后目前基本可以做到达标排放。</w:t>
      </w:r>
    </w:p>
    <w:p w14:paraId="393A722A">
      <w:pPr>
        <w:pStyle w:val="80"/>
        <w:ind w:firstLine="480"/>
      </w:pPr>
      <w:r>
        <w:t>2024年26家代表性海菜加工企业漂烫废水氨氮和总氮的监测结果如</w:t>
      </w:r>
      <w:r>
        <w:fldChar w:fldCharType="begin"/>
      </w:r>
      <w:r>
        <w:instrText xml:space="preserve"> REF _Ref196226220 \h  \* MERGEFORMAT </w:instrText>
      </w:r>
      <w:r>
        <w:fldChar w:fldCharType="separate"/>
      </w:r>
      <w:r>
        <w:t>表 3</w:t>
      </w:r>
      <w:r>
        <w:noBreakHyphen/>
      </w:r>
      <w:r>
        <w:t>9</w:t>
      </w:r>
      <w:r>
        <w:fldChar w:fldCharType="end"/>
      </w:r>
      <w:r>
        <w:t>所示。从统计数据看，26家企业排放漂烫废水处理后氨氮浓度介于0.01~4.38mg/L，均不高于辽宁省《污水综合排放标准》中直排标准8.0mg/L。漂烫废水处理后总氮浓度介于0.052~53.1mg/L，超过辽宁省《污水综合排放标准》中直排标准15.0mg/L的企业有3家，占12%。</w:t>
      </w:r>
    </w:p>
    <w:p w14:paraId="344D436A">
      <w:pPr>
        <w:pStyle w:val="80"/>
        <w:ind w:firstLine="480"/>
      </w:pPr>
      <w:r>
        <w:t>综合考虑现行标准和现有企业实际排放废水的监测数据，本标准将漂烫废水的氨氮、总氮的控制限值确定为辽宁省《污水综合排放标准》中直排标准限值。</w:t>
      </w:r>
    </w:p>
    <w:p w14:paraId="1155C3D6">
      <w:pPr>
        <w:pStyle w:val="61"/>
        <w:rPr>
          <w:rFonts w:cs="Times New Roman"/>
        </w:rPr>
      </w:pPr>
      <w:bookmarkStart w:id="217" w:name="_Ref196226220"/>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9</w:t>
      </w:r>
      <w:r>
        <w:rPr>
          <w:rFonts w:cs="Times New Roman"/>
        </w:rPr>
        <w:fldChar w:fldCharType="end"/>
      </w:r>
      <w:bookmarkEnd w:id="217"/>
      <w:r>
        <w:rPr>
          <w:rFonts w:cs="Times New Roman"/>
        </w:rPr>
        <w:t xml:space="preserve">   2024年海菜加工企业漂烫废水氨氮和总氮监测数据统计表</w:t>
      </w:r>
    </w:p>
    <w:tbl>
      <w:tblPr>
        <w:tblStyle w:val="68"/>
        <w:tblW w:w="91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8"/>
        <w:gridCol w:w="1425"/>
        <w:gridCol w:w="1256"/>
        <w:gridCol w:w="1575"/>
        <w:gridCol w:w="1294"/>
        <w:gridCol w:w="1443"/>
        <w:gridCol w:w="1125"/>
      </w:tblGrid>
      <w:tr w14:paraId="77A7C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Merge w:val="restart"/>
            <w:vAlign w:val="center"/>
          </w:tcPr>
          <w:p w14:paraId="175C3B77">
            <w:pPr>
              <w:pStyle w:val="81"/>
              <w:rPr>
                <w:rFonts w:cs="Times New Roman"/>
                <w:kern w:val="0"/>
                <w:sz w:val="20"/>
              </w:rPr>
            </w:pPr>
            <w:r>
              <w:rPr>
                <w:rFonts w:cs="Times New Roman"/>
                <w:kern w:val="0"/>
                <w:sz w:val="20"/>
              </w:rPr>
              <w:t>企业序号</w:t>
            </w:r>
          </w:p>
        </w:tc>
        <w:tc>
          <w:tcPr>
            <w:tcW w:w="1425" w:type="dxa"/>
            <w:vMerge w:val="restart"/>
            <w:vAlign w:val="center"/>
          </w:tcPr>
          <w:p w14:paraId="2BCC784E">
            <w:pPr>
              <w:pStyle w:val="81"/>
              <w:rPr>
                <w:rFonts w:cs="Times New Roman"/>
                <w:kern w:val="0"/>
                <w:sz w:val="20"/>
              </w:rPr>
            </w:pPr>
            <w:r>
              <w:rPr>
                <w:rFonts w:cs="Times New Roman"/>
                <w:kern w:val="0"/>
                <w:sz w:val="20"/>
              </w:rPr>
              <w:t>水量(t)</w:t>
            </w:r>
          </w:p>
        </w:tc>
        <w:tc>
          <w:tcPr>
            <w:tcW w:w="2831" w:type="dxa"/>
            <w:gridSpan w:val="2"/>
            <w:vAlign w:val="center"/>
          </w:tcPr>
          <w:p w14:paraId="5233FE08">
            <w:pPr>
              <w:pStyle w:val="81"/>
              <w:rPr>
                <w:rFonts w:cs="Times New Roman"/>
                <w:kern w:val="0"/>
                <w:sz w:val="20"/>
              </w:rPr>
            </w:pPr>
            <w:r>
              <w:rPr>
                <w:rFonts w:cs="Times New Roman"/>
                <w:kern w:val="0"/>
                <w:sz w:val="20"/>
              </w:rPr>
              <w:t>氨氮（mg/L）</w:t>
            </w:r>
          </w:p>
        </w:tc>
        <w:tc>
          <w:tcPr>
            <w:tcW w:w="2737" w:type="dxa"/>
            <w:gridSpan w:val="2"/>
            <w:vAlign w:val="center"/>
          </w:tcPr>
          <w:p w14:paraId="6023FB5B">
            <w:pPr>
              <w:pStyle w:val="81"/>
              <w:rPr>
                <w:rFonts w:cs="Times New Roman"/>
                <w:kern w:val="0"/>
                <w:sz w:val="20"/>
              </w:rPr>
            </w:pPr>
            <w:r>
              <w:rPr>
                <w:rFonts w:cs="Times New Roman"/>
                <w:kern w:val="0"/>
                <w:sz w:val="20"/>
              </w:rPr>
              <w:t>总氮(mg/L)</w:t>
            </w:r>
          </w:p>
        </w:tc>
        <w:tc>
          <w:tcPr>
            <w:tcW w:w="1125" w:type="dxa"/>
            <w:vMerge w:val="restart"/>
            <w:vAlign w:val="center"/>
          </w:tcPr>
          <w:p w14:paraId="28AB9093">
            <w:pPr>
              <w:pStyle w:val="81"/>
              <w:rPr>
                <w:rFonts w:cs="Times New Roman"/>
                <w:kern w:val="0"/>
                <w:sz w:val="20"/>
              </w:rPr>
            </w:pPr>
            <w:r>
              <w:rPr>
                <w:rFonts w:cs="Times New Roman"/>
                <w:kern w:val="0"/>
                <w:sz w:val="20"/>
              </w:rPr>
              <w:t>去除率</w:t>
            </w:r>
          </w:p>
        </w:tc>
      </w:tr>
      <w:tr w14:paraId="4AEE7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Merge w:val="continue"/>
            <w:vAlign w:val="center"/>
          </w:tcPr>
          <w:p w14:paraId="45EF1E86">
            <w:pPr>
              <w:pStyle w:val="81"/>
              <w:rPr>
                <w:rFonts w:cs="Times New Roman"/>
                <w:kern w:val="0"/>
                <w:sz w:val="20"/>
              </w:rPr>
            </w:pPr>
          </w:p>
        </w:tc>
        <w:tc>
          <w:tcPr>
            <w:tcW w:w="1425" w:type="dxa"/>
            <w:vMerge w:val="continue"/>
            <w:vAlign w:val="center"/>
          </w:tcPr>
          <w:p w14:paraId="5DFE5BA3">
            <w:pPr>
              <w:pStyle w:val="81"/>
              <w:rPr>
                <w:rFonts w:cs="Times New Roman"/>
                <w:kern w:val="0"/>
                <w:sz w:val="20"/>
              </w:rPr>
            </w:pPr>
          </w:p>
        </w:tc>
        <w:tc>
          <w:tcPr>
            <w:tcW w:w="1256" w:type="dxa"/>
            <w:vAlign w:val="center"/>
          </w:tcPr>
          <w:p w14:paraId="3F94DD72">
            <w:pPr>
              <w:pStyle w:val="81"/>
              <w:rPr>
                <w:rFonts w:cs="Times New Roman"/>
                <w:kern w:val="0"/>
                <w:sz w:val="20"/>
              </w:rPr>
            </w:pPr>
            <w:r>
              <w:rPr>
                <w:rFonts w:cs="Times New Roman"/>
                <w:kern w:val="0"/>
                <w:sz w:val="20"/>
              </w:rPr>
              <w:t>原水</w:t>
            </w:r>
          </w:p>
        </w:tc>
        <w:tc>
          <w:tcPr>
            <w:tcW w:w="1575" w:type="dxa"/>
            <w:vAlign w:val="center"/>
          </w:tcPr>
          <w:p w14:paraId="71B7479B">
            <w:pPr>
              <w:pStyle w:val="81"/>
              <w:rPr>
                <w:rFonts w:cs="Times New Roman"/>
                <w:kern w:val="0"/>
                <w:sz w:val="20"/>
              </w:rPr>
            </w:pPr>
            <w:r>
              <w:rPr>
                <w:rFonts w:cs="Times New Roman"/>
                <w:kern w:val="0"/>
                <w:sz w:val="20"/>
              </w:rPr>
              <w:t>处理后</w:t>
            </w:r>
          </w:p>
        </w:tc>
        <w:tc>
          <w:tcPr>
            <w:tcW w:w="1294" w:type="dxa"/>
            <w:vAlign w:val="center"/>
          </w:tcPr>
          <w:p w14:paraId="1B7E1C44">
            <w:pPr>
              <w:pStyle w:val="81"/>
              <w:rPr>
                <w:rFonts w:cs="Times New Roman"/>
                <w:kern w:val="0"/>
                <w:sz w:val="20"/>
              </w:rPr>
            </w:pPr>
            <w:r>
              <w:rPr>
                <w:rFonts w:cs="Times New Roman"/>
                <w:kern w:val="0"/>
                <w:sz w:val="20"/>
              </w:rPr>
              <w:t>原水</w:t>
            </w:r>
          </w:p>
        </w:tc>
        <w:tc>
          <w:tcPr>
            <w:tcW w:w="1443" w:type="dxa"/>
            <w:vAlign w:val="center"/>
          </w:tcPr>
          <w:p w14:paraId="5C8B1045">
            <w:pPr>
              <w:pStyle w:val="81"/>
              <w:rPr>
                <w:rFonts w:cs="Times New Roman"/>
                <w:kern w:val="0"/>
                <w:sz w:val="20"/>
              </w:rPr>
            </w:pPr>
            <w:r>
              <w:rPr>
                <w:rFonts w:cs="Times New Roman"/>
                <w:kern w:val="0"/>
                <w:sz w:val="20"/>
              </w:rPr>
              <w:t>处理后</w:t>
            </w:r>
          </w:p>
        </w:tc>
        <w:tc>
          <w:tcPr>
            <w:tcW w:w="1125" w:type="dxa"/>
            <w:vMerge w:val="continue"/>
            <w:vAlign w:val="center"/>
          </w:tcPr>
          <w:p w14:paraId="1C44163E">
            <w:pPr>
              <w:pStyle w:val="81"/>
              <w:rPr>
                <w:rFonts w:cs="Times New Roman"/>
                <w:kern w:val="0"/>
                <w:sz w:val="20"/>
              </w:rPr>
            </w:pPr>
          </w:p>
        </w:tc>
      </w:tr>
      <w:tr w14:paraId="37393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316B46E1">
            <w:pPr>
              <w:pStyle w:val="81"/>
              <w:rPr>
                <w:rFonts w:cs="Times New Roman"/>
                <w:kern w:val="0"/>
                <w:sz w:val="20"/>
              </w:rPr>
            </w:pPr>
            <w:r>
              <w:rPr>
                <w:rFonts w:cs="Times New Roman"/>
                <w:kern w:val="0"/>
                <w:sz w:val="20"/>
              </w:rPr>
              <w:t>1</w:t>
            </w:r>
          </w:p>
        </w:tc>
        <w:tc>
          <w:tcPr>
            <w:tcW w:w="1425" w:type="dxa"/>
            <w:vAlign w:val="center"/>
          </w:tcPr>
          <w:p w14:paraId="1BEF4AE3">
            <w:pPr>
              <w:pStyle w:val="81"/>
              <w:rPr>
                <w:rFonts w:cs="Times New Roman"/>
                <w:kern w:val="0"/>
                <w:sz w:val="20"/>
              </w:rPr>
            </w:pPr>
            <w:r>
              <w:rPr>
                <w:rFonts w:cs="Times New Roman"/>
                <w:kern w:val="0"/>
                <w:sz w:val="20"/>
              </w:rPr>
              <w:t>20</w:t>
            </w:r>
          </w:p>
        </w:tc>
        <w:tc>
          <w:tcPr>
            <w:tcW w:w="1256" w:type="dxa"/>
            <w:vAlign w:val="center"/>
          </w:tcPr>
          <w:p w14:paraId="3A452ED2">
            <w:pPr>
              <w:pStyle w:val="81"/>
              <w:rPr>
                <w:rFonts w:cs="Times New Roman"/>
                <w:kern w:val="0"/>
                <w:sz w:val="20"/>
              </w:rPr>
            </w:pPr>
            <w:r>
              <w:rPr>
                <w:rFonts w:cs="Times New Roman"/>
                <w:kern w:val="0"/>
                <w:sz w:val="20"/>
              </w:rPr>
              <w:t>10</w:t>
            </w:r>
          </w:p>
        </w:tc>
        <w:tc>
          <w:tcPr>
            <w:tcW w:w="1575" w:type="dxa"/>
            <w:vAlign w:val="center"/>
          </w:tcPr>
          <w:p w14:paraId="59E3609F">
            <w:pPr>
              <w:pStyle w:val="81"/>
              <w:rPr>
                <w:rFonts w:cs="Times New Roman"/>
                <w:kern w:val="0"/>
                <w:sz w:val="20"/>
              </w:rPr>
            </w:pPr>
            <w:r>
              <w:rPr>
                <w:rFonts w:cs="Times New Roman"/>
                <w:kern w:val="0"/>
                <w:sz w:val="20"/>
              </w:rPr>
              <w:t>0.026</w:t>
            </w:r>
          </w:p>
        </w:tc>
        <w:tc>
          <w:tcPr>
            <w:tcW w:w="1294" w:type="dxa"/>
            <w:vAlign w:val="center"/>
          </w:tcPr>
          <w:p w14:paraId="6EF03A0B">
            <w:pPr>
              <w:pStyle w:val="81"/>
              <w:rPr>
                <w:rFonts w:cs="Times New Roman"/>
                <w:kern w:val="0"/>
                <w:sz w:val="20"/>
              </w:rPr>
            </w:pPr>
            <w:r>
              <w:rPr>
                <w:rFonts w:cs="Times New Roman"/>
                <w:kern w:val="0"/>
                <w:sz w:val="20"/>
              </w:rPr>
              <w:t>947</w:t>
            </w:r>
          </w:p>
        </w:tc>
        <w:tc>
          <w:tcPr>
            <w:tcW w:w="1443" w:type="dxa"/>
            <w:vAlign w:val="center"/>
          </w:tcPr>
          <w:p w14:paraId="137DB221">
            <w:pPr>
              <w:pStyle w:val="81"/>
              <w:rPr>
                <w:rFonts w:cs="Times New Roman"/>
                <w:kern w:val="0"/>
                <w:sz w:val="20"/>
              </w:rPr>
            </w:pPr>
            <w:r>
              <w:rPr>
                <w:rFonts w:cs="Times New Roman"/>
                <w:kern w:val="0"/>
                <w:sz w:val="20"/>
              </w:rPr>
              <w:t>2.2</w:t>
            </w:r>
          </w:p>
        </w:tc>
        <w:tc>
          <w:tcPr>
            <w:tcW w:w="1125" w:type="dxa"/>
            <w:vAlign w:val="center"/>
          </w:tcPr>
          <w:p w14:paraId="2E9FD5C3">
            <w:pPr>
              <w:pStyle w:val="81"/>
              <w:rPr>
                <w:rFonts w:cs="Times New Roman"/>
                <w:kern w:val="0"/>
                <w:sz w:val="20"/>
              </w:rPr>
            </w:pPr>
            <w:r>
              <w:rPr>
                <w:rFonts w:cs="Times New Roman"/>
                <w:kern w:val="0"/>
                <w:sz w:val="20"/>
              </w:rPr>
              <w:t>99.7</w:t>
            </w:r>
          </w:p>
        </w:tc>
      </w:tr>
      <w:tr w14:paraId="04EF3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4BBA61B9">
            <w:pPr>
              <w:pStyle w:val="81"/>
              <w:rPr>
                <w:rFonts w:cs="Times New Roman"/>
                <w:kern w:val="0"/>
                <w:sz w:val="20"/>
              </w:rPr>
            </w:pPr>
            <w:r>
              <w:rPr>
                <w:rFonts w:cs="Times New Roman"/>
                <w:kern w:val="0"/>
                <w:sz w:val="20"/>
              </w:rPr>
              <w:t>2</w:t>
            </w:r>
          </w:p>
        </w:tc>
        <w:tc>
          <w:tcPr>
            <w:tcW w:w="1425" w:type="dxa"/>
            <w:vAlign w:val="center"/>
          </w:tcPr>
          <w:p w14:paraId="17B863AE">
            <w:pPr>
              <w:pStyle w:val="81"/>
              <w:rPr>
                <w:rFonts w:cs="Times New Roman"/>
                <w:kern w:val="0"/>
                <w:sz w:val="20"/>
              </w:rPr>
            </w:pPr>
            <w:r>
              <w:rPr>
                <w:rFonts w:cs="Times New Roman"/>
                <w:kern w:val="0"/>
                <w:sz w:val="20"/>
              </w:rPr>
              <w:t>5</w:t>
            </w:r>
          </w:p>
        </w:tc>
        <w:tc>
          <w:tcPr>
            <w:tcW w:w="1256" w:type="dxa"/>
            <w:vAlign w:val="center"/>
          </w:tcPr>
          <w:p w14:paraId="62D5EC69">
            <w:pPr>
              <w:pStyle w:val="81"/>
              <w:rPr>
                <w:rFonts w:cs="Times New Roman"/>
                <w:kern w:val="0"/>
                <w:sz w:val="20"/>
              </w:rPr>
            </w:pPr>
            <w:r>
              <w:rPr>
                <w:rFonts w:cs="Times New Roman"/>
                <w:kern w:val="0"/>
                <w:sz w:val="20"/>
              </w:rPr>
              <w:t>1.17</w:t>
            </w:r>
          </w:p>
        </w:tc>
        <w:tc>
          <w:tcPr>
            <w:tcW w:w="1575" w:type="dxa"/>
            <w:vAlign w:val="center"/>
          </w:tcPr>
          <w:p w14:paraId="170E6E80">
            <w:pPr>
              <w:pStyle w:val="81"/>
              <w:rPr>
                <w:rFonts w:cs="Times New Roman"/>
                <w:kern w:val="0"/>
                <w:sz w:val="20"/>
              </w:rPr>
            </w:pPr>
            <w:r>
              <w:rPr>
                <w:rFonts w:cs="Times New Roman"/>
                <w:kern w:val="0"/>
                <w:sz w:val="20"/>
              </w:rPr>
              <w:t>0.2</w:t>
            </w:r>
          </w:p>
        </w:tc>
        <w:tc>
          <w:tcPr>
            <w:tcW w:w="1294" w:type="dxa"/>
            <w:vAlign w:val="center"/>
          </w:tcPr>
          <w:p w14:paraId="2F8B0BDE">
            <w:pPr>
              <w:pStyle w:val="81"/>
              <w:rPr>
                <w:rFonts w:cs="Times New Roman"/>
                <w:kern w:val="0"/>
                <w:sz w:val="20"/>
              </w:rPr>
            </w:pPr>
            <w:r>
              <w:rPr>
                <w:rFonts w:cs="Times New Roman"/>
                <w:kern w:val="0"/>
                <w:sz w:val="20"/>
              </w:rPr>
              <w:t>9.2</w:t>
            </w:r>
          </w:p>
        </w:tc>
        <w:tc>
          <w:tcPr>
            <w:tcW w:w="1443" w:type="dxa"/>
            <w:vAlign w:val="center"/>
          </w:tcPr>
          <w:p w14:paraId="2C882235">
            <w:pPr>
              <w:pStyle w:val="81"/>
              <w:rPr>
                <w:rFonts w:cs="Times New Roman"/>
                <w:kern w:val="0"/>
                <w:sz w:val="20"/>
              </w:rPr>
            </w:pPr>
            <w:r>
              <w:rPr>
                <w:rFonts w:cs="Times New Roman"/>
                <w:kern w:val="0"/>
                <w:sz w:val="20"/>
              </w:rPr>
              <w:t>2.65</w:t>
            </w:r>
          </w:p>
        </w:tc>
        <w:tc>
          <w:tcPr>
            <w:tcW w:w="1125" w:type="dxa"/>
            <w:vAlign w:val="center"/>
          </w:tcPr>
          <w:p w14:paraId="40B60E78">
            <w:pPr>
              <w:pStyle w:val="81"/>
              <w:rPr>
                <w:rFonts w:cs="Times New Roman"/>
                <w:kern w:val="0"/>
                <w:sz w:val="20"/>
              </w:rPr>
            </w:pPr>
            <w:r>
              <w:rPr>
                <w:rFonts w:cs="Times New Roman"/>
                <w:kern w:val="0"/>
                <w:sz w:val="20"/>
              </w:rPr>
              <w:t>82.9</w:t>
            </w:r>
          </w:p>
        </w:tc>
      </w:tr>
      <w:tr w14:paraId="3C7DE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68" w:type="dxa"/>
            <w:vAlign w:val="center"/>
          </w:tcPr>
          <w:p w14:paraId="3E689E9D">
            <w:pPr>
              <w:pStyle w:val="81"/>
              <w:rPr>
                <w:rFonts w:cs="Times New Roman"/>
                <w:kern w:val="0"/>
                <w:sz w:val="20"/>
              </w:rPr>
            </w:pPr>
            <w:r>
              <w:rPr>
                <w:rFonts w:cs="Times New Roman"/>
                <w:kern w:val="0"/>
                <w:sz w:val="20"/>
              </w:rPr>
              <w:t>3</w:t>
            </w:r>
          </w:p>
        </w:tc>
        <w:tc>
          <w:tcPr>
            <w:tcW w:w="1425" w:type="dxa"/>
            <w:vAlign w:val="center"/>
          </w:tcPr>
          <w:p w14:paraId="6943A668">
            <w:pPr>
              <w:pStyle w:val="81"/>
              <w:rPr>
                <w:rFonts w:cs="Times New Roman"/>
                <w:kern w:val="0"/>
                <w:sz w:val="20"/>
              </w:rPr>
            </w:pPr>
            <w:r>
              <w:rPr>
                <w:rFonts w:cs="Times New Roman"/>
                <w:kern w:val="0"/>
                <w:sz w:val="20"/>
              </w:rPr>
              <w:t>1</w:t>
            </w:r>
          </w:p>
        </w:tc>
        <w:tc>
          <w:tcPr>
            <w:tcW w:w="1256" w:type="dxa"/>
            <w:vAlign w:val="center"/>
          </w:tcPr>
          <w:p w14:paraId="59E8D5AB">
            <w:pPr>
              <w:pStyle w:val="81"/>
              <w:rPr>
                <w:rFonts w:cs="Times New Roman"/>
                <w:kern w:val="0"/>
                <w:sz w:val="20"/>
              </w:rPr>
            </w:pPr>
            <w:r>
              <w:rPr>
                <w:rFonts w:cs="Times New Roman"/>
                <w:kern w:val="0"/>
                <w:sz w:val="20"/>
              </w:rPr>
              <w:t>0.66</w:t>
            </w:r>
          </w:p>
        </w:tc>
        <w:tc>
          <w:tcPr>
            <w:tcW w:w="1575" w:type="dxa"/>
            <w:vAlign w:val="center"/>
          </w:tcPr>
          <w:p w14:paraId="5E6266E5">
            <w:pPr>
              <w:pStyle w:val="81"/>
              <w:rPr>
                <w:rFonts w:cs="Times New Roman"/>
                <w:kern w:val="0"/>
                <w:sz w:val="20"/>
              </w:rPr>
            </w:pPr>
            <w:r>
              <w:rPr>
                <w:rFonts w:cs="Times New Roman"/>
                <w:kern w:val="0"/>
                <w:sz w:val="20"/>
              </w:rPr>
              <w:t>0.13</w:t>
            </w:r>
          </w:p>
        </w:tc>
        <w:tc>
          <w:tcPr>
            <w:tcW w:w="1294" w:type="dxa"/>
            <w:vAlign w:val="center"/>
          </w:tcPr>
          <w:p w14:paraId="17AEE5D4">
            <w:pPr>
              <w:pStyle w:val="81"/>
              <w:rPr>
                <w:rFonts w:cs="Times New Roman"/>
                <w:kern w:val="0"/>
                <w:sz w:val="20"/>
              </w:rPr>
            </w:pPr>
            <w:r>
              <w:rPr>
                <w:rFonts w:cs="Times New Roman"/>
                <w:kern w:val="0"/>
                <w:sz w:val="20"/>
              </w:rPr>
              <w:t>52.1</w:t>
            </w:r>
          </w:p>
        </w:tc>
        <w:tc>
          <w:tcPr>
            <w:tcW w:w="1443" w:type="dxa"/>
            <w:vAlign w:val="center"/>
          </w:tcPr>
          <w:p w14:paraId="5EBC0C02">
            <w:pPr>
              <w:pStyle w:val="81"/>
              <w:rPr>
                <w:rFonts w:cs="Times New Roman"/>
                <w:kern w:val="0"/>
                <w:sz w:val="20"/>
              </w:rPr>
            </w:pPr>
            <w:r>
              <w:rPr>
                <w:rFonts w:cs="Times New Roman"/>
                <w:kern w:val="0"/>
                <w:sz w:val="20"/>
              </w:rPr>
              <w:t>9.53</w:t>
            </w:r>
          </w:p>
        </w:tc>
        <w:tc>
          <w:tcPr>
            <w:tcW w:w="1125" w:type="dxa"/>
            <w:vAlign w:val="center"/>
          </w:tcPr>
          <w:p w14:paraId="4325A336">
            <w:pPr>
              <w:pStyle w:val="81"/>
              <w:rPr>
                <w:rFonts w:cs="Times New Roman"/>
                <w:kern w:val="0"/>
                <w:sz w:val="20"/>
              </w:rPr>
            </w:pPr>
            <w:r>
              <w:rPr>
                <w:rFonts w:cs="Times New Roman"/>
                <w:kern w:val="0"/>
                <w:sz w:val="20"/>
              </w:rPr>
              <w:t>80.3</w:t>
            </w:r>
          </w:p>
        </w:tc>
      </w:tr>
      <w:tr w14:paraId="43D22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68" w:type="dxa"/>
            <w:vAlign w:val="center"/>
          </w:tcPr>
          <w:p w14:paraId="59EBF990">
            <w:pPr>
              <w:pStyle w:val="81"/>
              <w:rPr>
                <w:rFonts w:cs="Times New Roman"/>
                <w:kern w:val="0"/>
                <w:sz w:val="20"/>
              </w:rPr>
            </w:pPr>
            <w:r>
              <w:rPr>
                <w:rFonts w:cs="Times New Roman"/>
                <w:kern w:val="0"/>
                <w:sz w:val="20"/>
              </w:rPr>
              <w:t>4</w:t>
            </w:r>
          </w:p>
        </w:tc>
        <w:tc>
          <w:tcPr>
            <w:tcW w:w="1425" w:type="dxa"/>
            <w:vAlign w:val="center"/>
          </w:tcPr>
          <w:p w14:paraId="07D0C4F8">
            <w:pPr>
              <w:pStyle w:val="81"/>
              <w:rPr>
                <w:rFonts w:cs="Times New Roman"/>
                <w:kern w:val="0"/>
                <w:sz w:val="20"/>
              </w:rPr>
            </w:pPr>
            <w:r>
              <w:rPr>
                <w:rFonts w:cs="Times New Roman"/>
                <w:kern w:val="0"/>
                <w:sz w:val="20"/>
              </w:rPr>
              <w:t>5</w:t>
            </w:r>
          </w:p>
        </w:tc>
        <w:tc>
          <w:tcPr>
            <w:tcW w:w="1256" w:type="dxa"/>
            <w:vAlign w:val="center"/>
          </w:tcPr>
          <w:p w14:paraId="37BDE3E3">
            <w:pPr>
              <w:pStyle w:val="81"/>
              <w:rPr>
                <w:rFonts w:cs="Times New Roman"/>
                <w:kern w:val="0"/>
                <w:sz w:val="20"/>
              </w:rPr>
            </w:pPr>
            <w:r>
              <w:rPr>
                <w:rFonts w:cs="Times New Roman"/>
                <w:kern w:val="0"/>
                <w:sz w:val="20"/>
              </w:rPr>
              <w:t>5.77</w:t>
            </w:r>
          </w:p>
        </w:tc>
        <w:tc>
          <w:tcPr>
            <w:tcW w:w="1575" w:type="dxa"/>
            <w:vAlign w:val="center"/>
          </w:tcPr>
          <w:p w14:paraId="13A516E0">
            <w:pPr>
              <w:pStyle w:val="81"/>
              <w:rPr>
                <w:rFonts w:cs="Times New Roman"/>
                <w:kern w:val="0"/>
                <w:sz w:val="20"/>
              </w:rPr>
            </w:pPr>
            <w:r>
              <w:rPr>
                <w:rFonts w:cs="Times New Roman"/>
                <w:kern w:val="0"/>
                <w:sz w:val="20"/>
              </w:rPr>
              <w:t>0.63</w:t>
            </w:r>
          </w:p>
        </w:tc>
        <w:tc>
          <w:tcPr>
            <w:tcW w:w="1294" w:type="dxa"/>
            <w:vAlign w:val="center"/>
          </w:tcPr>
          <w:p w14:paraId="15F7786C">
            <w:pPr>
              <w:pStyle w:val="81"/>
              <w:rPr>
                <w:rFonts w:cs="Times New Roman"/>
                <w:kern w:val="0"/>
                <w:sz w:val="20"/>
              </w:rPr>
            </w:pPr>
            <w:r>
              <w:rPr>
                <w:rFonts w:cs="Times New Roman"/>
                <w:kern w:val="0"/>
                <w:sz w:val="20"/>
              </w:rPr>
              <w:t>51.8</w:t>
            </w:r>
          </w:p>
        </w:tc>
        <w:tc>
          <w:tcPr>
            <w:tcW w:w="1443" w:type="dxa"/>
            <w:vAlign w:val="center"/>
          </w:tcPr>
          <w:p w14:paraId="08E8CB64">
            <w:pPr>
              <w:pStyle w:val="81"/>
              <w:rPr>
                <w:rFonts w:cs="Times New Roman"/>
                <w:kern w:val="0"/>
                <w:sz w:val="20"/>
              </w:rPr>
            </w:pPr>
            <w:r>
              <w:rPr>
                <w:rFonts w:cs="Times New Roman"/>
                <w:kern w:val="0"/>
                <w:sz w:val="20"/>
              </w:rPr>
              <w:t>1.6</w:t>
            </w:r>
          </w:p>
        </w:tc>
        <w:tc>
          <w:tcPr>
            <w:tcW w:w="1125" w:type="dxa"/>
            <w:vAlign w:val="center"/>
          </w:tcPr>
          <w:p w14:paraId="3CF4B0AF">
            <w:pPr>
              <w:pStyle w:val="81"/>
              <w:rPr>
                <w:rFonts w:cs="Times New Roman"/>
                <w:kern w:val="0"/>
                <w:sz w:val="20"/>
              </w:rPr>
            </w:pPr>
            <w:r>
              <w:rPr>
                <w:rFonts w:cs="Times New Roman"/>
                <w:kern w:val="0"/>
                <w:sz w:val="20"/>
              </w:rPr>
              <w:t>89.1</w:t>
            </w:r>
          </w:p>
        </w:tc>
      </w:tr>
      <w:tr w14:paraId="5317F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68" w:type="dxa"/>
            <w:vAlign w:val="center"/>
          </w:tcPr>
          <w:p w14:paraId="1CEA1E37">
            <w:pPr>
              <w:pStyle w:val="81"/>
              <w:rPr>
                <w:rFonts w:cs="Times New Roman"/>
                <w:kern w:val="0"/>
                <w:sz w:val="20"/>
              </w:rPr>
            </w:pPr>
            <w:r>
              <w:rPr>
                <w:rFonts w:cs="Times New Roman"/>
                <w:kern w:val="0"/>
                <w:sz w:val="20"/>
              </w:rPr>
              <w:t>5</w:t>
            </w:r>
          </w:p>
        </w:tc>
        <w:tc>
          <w:tcPr>
            <w:tcW w:w="1425" w:type="dxa"/>
            <w:vAlign w:val="center"/>
          </w:tcPr>
          <w:p w14:paraId="59F5ACF4">
            <w:pPr>
              <w:pStyle w:val="81"/>
              <w:rPr>
                <w:rFonts w:cs="Times New Roman"/>
                <w:kern w:val="0"/>
                <w:sz w:val="20"/>
              </w:rPr>
            </w:pPr>
            <w:r>
              <w:rPr>
                <w:rFonts w:cs="Times New Roman"/>
                <w:kern w:val="0"/>
                <w:sz w:val="20"/>
              </w:rPr>
              <w:t>5</w:t>
            </w:r>
          </w:p>
        </w:tc>
        <w:tc>
          <w:tcPr>
            <w:tcW w:w="1256" w:type="dxa"/>
            <w:vAlign w:val="center"/>
          </w:tcPr>
          <w:p w14:paraId="0BEB0E45">
            <w:pPr>
              <w:pStyle w:val="81"/>
              <w:rPr>
                <w:rFonts w:cs="Times New Roman"/>
                <w:kern w:val="0"/>
                <w:sz w:val="20"/>
              </w:rPr>
            </w:pPr>
            <w:r>
              <w:rPr>
                <w:rFonts w:cs="Times New Roman"/>
                <w:kern w:val="0"/>
                <w:sz w:val="20"/>
              </w:rPr>
              <w:t>0.09</w:t>
            </w:r>
          </w:p>
        </w:tc>
        <w:tc>
          <w:tcPr>
            <w:tcW w:w="1575" w:type="dxa"/>
            <w:vAlign w:val="center"/>
          </w:tcPr>
          <w:p w14:paraId="6033A1FD">
            <w:pPr>
              <w:pStyle w:val="81"/>
              <w:rPr>
                <w:rFonts w:cs="Times New Roman"/>
                <w:kern w:val="0"/>
                <w:sz w:val="20"/>
              </w:rPr>
            </w:pPr>
            <w:r>
              <w:rPr>
                <w:rFonts w:cs="Times New Roman"/>
                <w:kern w:val="0"/>
                <w:sz w:val="20"/>
              </w:rPr>
              <w:t>0.02</w:t>
            </w:r>
          </w:p>
        </w:tc>
        <w:tc>
          <w:tcPr>
            <w:tcW w:w="1294" w:type="dxa"/>
            <w:vAlign w:val="center"/>
          </w:tcPr>
          <w:p w14:paraId="4822E367">
            <w:pPr>
              <w:pStyle w:val="81"/>
              <w:rPr>
                <w:rFonts w:cs="Times New Roman"/>
                <w:kern w:val="0"/>
                <w:sz w:val="20"/>
              </w:rPr>
            </w:pPr>
            <w:r>
              <w:rPr>
                <w:rFonts w:cs="Times New Roman"/>
                <w:kern w:val="0"/>
                <w:sz w:val="20"/>
              </w:rPr>
              <w:t>7.98</w:t>
            </w:r>
          </w:p>
        </w:tc>
        <w:tc>
          <w:tcPr>
            <w:tcW w:w="1443" w:type="dxa"/>
            <w:vAlign w:val="center"/>
          </w:tcPr>
          <w:p w14:paraId="0B93B042">
            <w:pPr>
              <w:pStyle w:val="81"/>
              <w:rPr>
                <w:rFonts w:cs="Times New Roman"/>
                <w:kern w:val="0"/>
                <w:sz w:val="20"/>
              </w:rPr>
            </w:pPr>
            <w:r>
              <w:rPr>
                <w:rFonts w:cs="Times New Roman"/>
                <w:kern w:val="0"/>
                <w:sz w:val="20"/>
              </w:rPr>
              <w:t>2.4</w:t>
            </w:r>
          </w:p>
        </w:tc>
        <w:tc>
          <w:tcPr>
            <w:tcW w:w="1125" w:type="dxa"/>
            <w:vAlign w:val="center"/>
          </w:tcPr>
          <w:p w14:paraId="27C5E44E">
            <w:pPr>
              <w:pStyle w:val="81"/>
              <w:rPr>
                <w:rFonts w:cs="Times New Roman"/>
                <w:kern w:val="0"/>
                <w:sz w:val="20"/>
              </w:rPr>
            </w:pPr>
            <w:r>
              <w:rPr>
                <w:rFonts w:cs="Times New Roman"/>
                <w:kern w:val="0"/>
                <w:sz w:val="20"/>
              </w:rPr>
              <w:t>77.8</w:t>
            </w:r>
          </w:p>
        </w:tc>
      </w:tr>
      <w:tr w14:paraId="0638B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68" w:type="dxa"/>
            <w:vAlign w:val="center"/>
          </w:tcPr>
          <w:p w14:paraId="6752B33E">
            <w:pPr>
              <w:pStyle w:val="81"/>
              <w:rPr>
                <w:rFonts w:cs="Times New Roman"/>
                <w:kern w:val="0"/>
                <w:sz w:val="20"/>
              </w:rPr>
            </w:pPr>
            <w:r>
              <w:rPr>
                <w:rFonts w:cs="Times New Roman"/>
                <w:kern w:val="0"/>
                <w:sz w:val="20"/>
              </w:rPr>
              <w:t>6</w:t>
            </w:r>
          </w:p>
        </w:tc>
        <w:tc>
          <w:tcPr>
            <w:tcW w:w="1425" w:type="dxa"/>
            <w:vAlign w:val="center"/>
          </w:tcPr>
          <w:p w14:paraId="07526870">
            <w:pPr>
              <w:pStyle w:val="81"/>
              <w:rPr>
                <w:rFonts w:cs="Times New Roman"/>
                <w:kern w:val="0"/>
                <w:sz w:val="20"/>
              </w:rPr>
            </w:pPr>
            <w:r>
              <w:rPr>
                <w:rFonts w:cs="Times New Roman"/>
                <w:kern w:val="0"/>
                <w:sz w:val="20"/>
              </w:rPr>
              <w:t>3</w:t>
            </w:r>
          </w:p>
        </w:tc>
        <w:tc>
          <w:tcPr>
            <w:tcW w:w="1256" w:type="dxa"/>
            <w:vAlign w:val="center"/>
          </w:tcPr>
          <w:p w14:paraId="28AF5B79">
            <w:pPr>
              <w:pStyle w:val="81"/>
              <w:rPr>
                <w:rFonts w:cs="Times New Roman"/>
                <w:kern w:val="0"/>
                <w:sz w:val="20"/>
              </w:rPr>
            </w:pPr>
            <w:r>
              <w:rPr>
                <w:rFonts w:cs="Times New Roman"/>
                <w:kern w:val="0"/>
                <w:sz w:val="20"/>
              </w:rPr>
              <w:t>6.85</w:t>
            </w:r>
          </w:p>
        </w:tc>
        <w:tc>
          <w:tcPr>
            <w:tcW w:w="1575" w:type="dxa"/>
            <w:vAlign w:val="center"/>
          </w:tcPr>
          <w:p w14:paraId="727F8388">
            <w:pPr>
              <w:pStyle w:val="81"/>
              <w:rPr>
                <w:rFonts w:cs="Times New Roman"/>
                <w:kern w:val="0"/>
                <w:sz w:val="20"/>
              </w:rPr>
            </w:pPr>
            <w:r>
              <w:rPr>
                <w:rFonts w:cs="Times New Roman"/>
                <w:kern w:val="0"/>
                <w:sz w:val="20"/>
              </w:rPr>
              <w:t>0.73</w:t>
            </w:r>
          </w:p>
        </w:tc>
        <w:tc>
          <w:tcPr>
            <w:tcW w:w="1294" w:type="dxa"/>
            <w:vAlign w:val="center"/>
          </w:tcPr>
          <w:p w14:paraId="0F1C54F1">
            <w:pPr>
              <w:pStyle w:val="81"/>
              <w:rPr>
                <w:rFonts w:cs="Times New Roman"/>
                <w:kern w:val="0"/>
                <w:sz w:val="20"/>
              </w:rPr>
            </w:pPr>
            <w:r>
              <w:rPr>
                <w:rFonts w:cs="Times New Roman"/>
                <w:kern w:val="0"/>
                <w:sz w:val="20"/>
              </w:rPr>
              <w:t>38.6</w:t>
            </w:r>
          </w:p>
        </w:tc>
        <w:tc>
          <w:tcPr>
            <w:tcW w:w="1443" w:type="dxa"/>
            <w:vAlign w:val="center"/>
          </w:tcPr>
          <w:p w14:paraId="7AC0132E">
            <w:pPr>
              <w:pStyle w:val="81"/>
              <w:rPr>
                <w:rFonts w:cs="Times New Roman"/>
                <w:kern w:val="0"/>
                <w:sz w:val="20"/>
              </w:rPr>
            </w:pPr>
            <w:r>
              <w:rPr>
                <w:rFonts w:cs="Times New Roman"/>
                <w:kern w:val="0"/>
                <w:sz w:val="20"/>
              </w:rPr>
              <w:t>19.3</w:t>
            </w:r>
          </w:p>
        </w:tc>
        <w:tc>
          <w:tcPr>
            <w:tcW w:w="1125" w:type="dxa"/>
            <w:vAlign w:val="center"/>
          </w:tcPr>
          <w:p w14:paraId="1907F647">
            <w:pPr>
              <w:pStyle w:val="81"/>
              <w:rPr>
                <w:rFonts w:cs="Times New Roman"/>
                <w:kern w:val="0"/>
                <w:sz w:val="20"/>
              </w:rPr>
            </w:pPr>
            <w:r>
              <w:rPr>
                <w:rFonts w:cs="Times New Roman"/>
                <w:kern w:val="0"/>
                <w:sz w:val="20"/>
              </w:rPr>
              <w:t>89.3</w:t>
            </w:r>
          </w:p>
        </w:tc>
      </w:tr>
      <w:tr w14:paraId="047FC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68" w:type="dxa"/>
            <w:vAlign w:val="center"/>
          </w:tcPr>
          <w:p w14:paraId="14BE0671">
            <w:pPr>
              <w:pStyle w:val="81"/>
              <w:rPr>
                <w:rFonts w:cs="Times New Roman"/>
                <w:kern w:val="0"/>
                <w:sz w:val="20"/>
              </w:rPr>
            </w:pPr>
            <w:r>
              <w:rPr>
                <w:rFonts w:cs="Times New Roman"/>
                <w:kern w:val="0"/>
                <w:sz w:val="20"/>
              </w:rPr>
              <w:t>7</w:t>
            </w:r>
          </w:p>
        </w:tc>
        <w:tc>
          <w:tcPr>
            <w:tcW w:w="1425" w:type="dxa"/>
            <w:vAlign w:val="center"/>
          </w:tcPr>
          <w:p w14:paraId="7FC6AC9C">
            <w:pPr>
              <w:pStyle w:val="81"/>
              <w:rPr>
                <w:rFonts w:cs="Times New Roman"/>
                <w:kern w:val="0"/>
                <w:sz w:val="20"/>
              </w:rPr>
            </w:pPr>
            <w:r>
              <w:rPr>
                <w:rFonts w:cs="Times New Roman"/>
                <w:kern w:val="0"/>
                <w:sz w:val="20"/>
              </w:rPr>
              <w:t>3</w:t>
            </w:r>
          </w:p>
        </w:tc>
        <w:tc>
          <w:tcPr>
            <w:tcW w:w="1256" w:type="dxa"/>
            <w:vAlign w:val="center"/>
          </w:tcPr>
          <w:p w14:paraId="59085432">
            <w:pPr>
              <w:pStyle w:val="81"/>
              <w:rPr>
                <w:rFonts w:cs="Times New Roman"/>
                <w:kern w:val="0"/>
                <w:sz w:val="20"/>
              </w:rPr>
            </w:pPr>
            <w:r>
              <w:rPr>
                <w:rFonts w:cs="Times New Roman"/>
                <w:kern w:val="0"/>
                <w:sz w:val="20"/>
              </w:rPr>
              <w:t>0.28</w:t>
            </w:r>
          </w:p>
        </w:tc>
        <w:tc>
          <w:tcPr>
            <w:tcW w:w="1575" w:type="dxa"/>
            <w:vAlign w:val="center"/>
          </w:tcPr>
          <w:p w14:paraId="3C46AB6C">
            <w:pPr>
              <w:pStyle w:val="81"/>
              <w:rPr>
                <w:rFonts w:cs="Times New Roman"/>
                <w:kern w:val="0"/>
                <w:sz w:val="20"/>
              </w:rPr>
            </w:pPr>
            <w:r>
              <w:rPr>
                <w:rFonts w:cs="Times New Roman"/>
                <w:kern w:val="0"/>
                <w:sz w:val="20"/>
              </w:rPr>
              <w:t>0.06</w:t>
            </w:r>
          </w:p>
        </w:tc>
        <w:tc>
          <w:tcPr>
            <w:tcW w:w="1294" w:type="dxa"/>
            <w:vAlign w:val="center"/>
          </w:tcPr>
          <w:p w14:paraId="2EA63C1D">
            <w:pPr>
              <w:pStyle w:val="81"/>
              <w:rPr>
                <w:rFonts w:cs="Times New Roman"/>
                <w:kern w:val="0"/>
                <w:sz w:val="20"/>
              </w:rPr>
            </w:pPr>
            <w:r>
              <w:rPr>
                <w:rFonts w:cs="Times New Roman"/>
                <w:kern w:val="0"/>
                <w:sz w:val="20"/>
              </w:rPr>
              <w:t>15.2</w:t>
            </w:r>
          </w:p>
        </w:tc>
        <w:tc>
          <w:tcPr>
            <w:tcW w:w="1443" w:type="dxa"/>
            <w:vAlign w:val="center"/>
          </w:tcPr>
          <w:p w14:paraId="3B6FC70B">
            <w:pPr>
              <w:pStyle w:val="81"/>
              <w:rPr>
                <w:rFonts w:cs="Times New Roman"/>
                <w:kern w:val="0"/>
                <w:sz w:val="20"/>
              </w:rPr>
            </w:pPr>
            <w:r>
              <w:rPr>
                <w:rFonts w:cs="Times New Roman"/>
                <w:kern w:val="0"/>
                <w:sz w:val="20"/>
              </w:rPr>
              <w:t>2.67</w:t>
            </w:r>
          </w:p>
        </w:tc>
        <w:tc>
          <w:tcPr>
            <w:tcW w:w="1125" w:type="dxa"/>
            <w:vAlign w:val="center"/>
          </w:tcPr>
          <w:p w14:paraId="1E48E7BE">
            <w:pPr>
              <w:pStyle w:val="81"/>
              <w:rPr>
                <w:rFonts w:cs="Times New Roman"/>
                <w:kern w:val="0"/>
                <w:sz w:val="20"/>
              </w:rPr>
            </w:pPr>
            <w:r>
              <w:rPr>
                <w:rFonts w:cs="Times New Roman"/>
                <w:kern w:val="0"/>
                <w:sz w:val="20"/>
              </w:rPr>
              <w:t>78.6</w:t>
            </w:r>
          </w:p>
        </w:tc>
      </w:tr>
      <w:tr w14:paraId="10B73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69BF3154">
            <w:pPr>
              <w:pStyle w:val="81"/>
              <w:rPr>
                <w:rFonts w:cs="Times New Roman"/>
                <w:kern w:val="0"/>
                <w:sz w:val="20"/>
              </w:rPr>
            </w:pPr>
            <w:r>
              <w:rPr>
                <w:rFonts w:cs="Times New Roman"/>
                <w:kern w:val="0"/>
                <w:sz w:val="20"/>
              </w:rPr>
              <w:t>8</w:t>
            </w:r>
          </w:p>
        </w:tc>
        <w:tc>
          <w:tcPr>
            <w:tcW w:w="1425" w:type="dxa"/>
            <w:vAlign w:val="center"/>
          </w:tcPr>
          <w:p w14:paraId="2D6D91C8">
            <w:pPr>
              <w:pStyle w:val="81"/>
              <w:rPr>
                <w:rFonts w:cs="Times New Roman"/>
                <w:kern w:val="0"/>
                <w:sz w:val="20"/>
              </w:rPr>
            </w:pPr>
            <w:r>
              <w:rPr>
                <w:rFonts w:cs="Times New Roman"/>
                <w:kern w:val="0"/>
                <w:sz w:val="20"/>
              </w:rPr>
              <w:t>1</w:t>
            </w:r>
          </w:p>
        </w:tc>
        <w:tc>
          <w:tcPr>
            <w:tcW w:w="1256" w:type="dxa"/>
            <w:vAlign w:val="center"/>
          </w:tcPr>
          <w:p w14:paraId="7E16DD05">
            <w:pPr>
              <w:pStyle w:val="81"/>
              <w:rPr>
                <w:rFonts w:cs="Times New Roman"/>
                <w:kern w:val="0"/>
                <w:sz w:val="20"/>
              </w:rPr>
            </w:pPr>
            <w:r>
              <w:rPr>
                <w:rFonts w:cs="Times New Roman"/>
                <w:kern w:val="0"/>
                <w:sz w:val="20"/>
              </w:rPr>
              <w:t>/</w:t>
            </w:r>
          </w:p>
        </w:tc>
        <w:tc>
          <w:tcPr>
            <w:tcW w:w="1575" w:type="dxa"/>
            <w:vAlign w:val="center"/>
          </w:tcPr>
          <w:p w14:paraId="6992D0B5">
            <w:pPr>
              <w:pStyle w:val="81"/>
              <w:rPr>
                <w:rFonts w:cs="Times New Roman"/>
                <w:kern w:val="0"/>
                <w:sz w:val="20"/>
              </w:rPr>
            </w:pPr>
            <w:r>
              <w:rPr>
                <w:rFonts w:cs="Times New Roman"/>
                <w:kern w:val="0"/>
                <w:sz w:val="20"/>
              </w:rPr>
              <w:t>0.207</w:t>
            </w:r>
          </w:p>
        </w:tc>
        <w:tc>
          <w:tcPr>
            <w:tcW w:w="1294" w:type="dxa"/>
            <w:vAlign w:val="center"/>
          </w:tcPr>
          <w:p w14:paraId="22F2562B">
            <w:pPr>
              <w:pStyle w:val="81"/>
              <w:rPr>
                <w:rFonts w:cs="Times New Roman"/>
                <w:kern w:val="0"/>
                <w:sz w:val="20"/>
              </w:rPr>
            </w:pPr>
            <w:r>
              <w:rPr>
                <w:rFonts w:cs="Times New Roman"/>
                <w:kern w:val="0"/>
                <w:sz w:val="20"/>
              </w:rPr>
              <w:t>225</w:t>
            </w:r>
          </w:p>
        </w:tc>
        <w:tc>
          <w:tcPr>
            <w:tcW w:w="1443" w:type="dxa"/>
            <w:vAlign w:val="center"/>
          </w:tcPr>
          <w:p w14:paraId="0F19BE0A">
            <w:pPr>
              <w:pStyle w:val="81"/>
              <w:rPr>
                <w:rFonts w:cs="Times New Roman"/>
                <w:kern w:val="0"/>
                <w:sz w:val="20"/>
              </w:rPr>
            </w:pPr>
            <w:r>
              <w:rPr>
                <w:rFonts w:cs="Times New Roman"/>
                <w:kern w:val="0"/>
                <w:sz w:val="20"/>
              </w:rPr>
              <w:t>2.62</w:t>
            </w:r>
          </w:p>
        </w:tc>
        <w:tc>
          <w:tcPr>
            <w:tcW w:w="1125" w:type="dxa"/>
            <w:vAlign w:val="center"/>
          </w:tcPr>
          <w:p w14:paraId="00386E64">
            <w:pPr>
              <w:pStyle w:val="81"/>
              <w:rPr>
                <w:rFonts w:cs="Times New Roman"/>
                <w:kern w:val="0"/>
                <w:sz w:val="20"/>
              </w:rPr>
            </w:pPr>
            <w:r>
              <w:rPr>
                <w:rFonts w:cs="Times New Roman"/>
                <w:kern w:val="0"/>
                <w:sz w:val="20"/>
              </w:rPr>
              <w:t>98.8</w:t>
            </w:r>
          </w:p>
        </w:tc>
      </w:tr>
      <w:tr w14:paraId="0B9D3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45157F1B">
            <w:pPr>
              <w:pStyle w:val="81"/>
              <w:rPr>
                <w:rFonts w:cs="Times New Roman"/>
                <w:kern w:val="0"/>
                <w:sz w:val="20"/>
              </w:rPr>
            </w:pPr>
            <w:r>
              <w:rPr>
                <w:rFonts w:cs="Times New Roman"/>
                <w:kern w:val="0"/>
                <w:sz w:val="20"/>
              </w:rPr>
              <w:t>9</w:t>
            </w:r>
          </w:p>
        </w:tc>
        <w:tc>
          <w:tcPr>
            <w:tcW w:w="1425" w:type="dxa"/>
            <w:vAlign w:val="center"/>
          </w:tcPr>
          <w:p w14:paraId="369F08FF">
            <w:pPr>
              <w:pStyle w:val="81"/>
              <w:rPr>
                <w:rFonts w:cs="Times New Roman"/>
                <w:kern w:val="0"/>
                <w:sz w:val="20"/>
              </w:rPr>
            </w:pPr>
            <w:r>
              <w:rPr>
                <w:rFonts w:cs="Times New Roman"/>
                <w:kern w:val="0"/>
                <w:sz w:val="20"/>
              </w:rPr>
              <w:t>1</w:t>
            </w:r>
          </w:p>
        </w:tc>
        <w:tc>
          <w:tcPr>
            <w:tcW w:w="1256" w:type="dxa"/>
            <w:vAlign w:val="center"/>
          </w:tcPr>
          <w:p w14:paraId="0C01D8EF">
            <w:pPr>
              <w:pStyle w:val="81"/>
              <w:rPr>
                <w:rFonts w:cs="Times New Roman"/>
                <w:kern w:val="0"/>
                <w:sz w:val="20"/>
              </w:rPr>
            </w:pPr>
            <w:r>
              <w:rPr>
                <w:rFonts w:cs="Times New Roman"/>
                <w:kern w:val="0"/>
                <w:sz w:val="20"/>
              </w:rPr>
              <w:t>/</w:t>
            </w:r>
          </w:p>
        </w:tc>
        <w:tc>
          <w:tcPr>
            <w:tcW w:w="1575" w:type="dxa"/>
            <w:vAlign w:val="center"/>
          </w:tcPr>
          <w:p w14:paraId="56FEE786">
            <w:pPr>
              <w:pStyle w:val="81"/>
              <w:rPr>
                <w:rFonts w:cs="Times New Roman"/>
                <w:kern w:val="0"/>
                <w:sz w:val="20"/>
              </w:rPr>
            </w:pPr>
            <w:r>
              <w:rPr>
                <w:rFonts w:cs="Times New Roman"/>
                <w:kern w:val="0"/>
                <w:sz w:val="20"/>
              </w:rPr>
              <w:t>0.157</w:t>
            </w:r>
          </w:p>
        </w:tc>
        <w:tc>
          <w:tcPr>
            <w:tcW w:w="1294" w:type="dxa"/>
            <w:vAlign w:val="center"/>
          </w:tcPr>
          <w:p w14:paraId="2D7C0F72">
            <w:pPr>
              <w:pStyle w:val="81"/>
              <w:rPr>
                <w:rFonts w:cs="Times New Roman"/>
                <w:kern w:val="0"/>
                <w:sz w:val="20"/>
              </w:rPr>
            </w:pPr>
            <w:r>
              <w:rPr>
                <w:rFonts w:cs="Times New Roman"/>
                <w:kern w:val="0"/>
                <w:sz w:val="20"/>
              </w:rPr>
              <w:t>528</w:t>
            </w:r>
          </w:p>
        </w:tc>
        <w:tc>
          <w:tcPr>
            <w:tcW w:w="1443" w:type="dxa"/>
            <w:vAlign w:val="center"/>
          </w:tcPr>
          <w:p w14:paraId="0DBED5AD">
            <w:pPr>
              <w:pStyle w:val="81"/>
              <w:rPr>
                <w:rFonts w:cs="Times New Roman"/>
                <w:kern w:val="0"/>
                <w:sz w:val="20"/>
              </w:rPr>
            </w:pPr>
            <w:r>
              <w:rPr>
                <w:rFonts w:cs="Times New Roman"/>
                <w:kern w:val="0"/>
                <w:sz w:val="20"/>
              </w:rPr>
              <w:t>2.14</w:t>
            </w:r>
          </w:p>
        </w:tc>
        <w:tc>
          <w:tcPr>
            <w:tcW w:w="1125" w:type="dxa"/>
            <w:vAlign w:val="center"/>
          </w:tcPr>
          <w:p w14:paraId="26FFFFBB">
            <w:pPr>
              <w:pStyle w:val="81"/>
              <w:rPr>
                <w:rFonts w:cs="Times New Roman"/>
                <w:kern w:val="0"/>
                <w:sz w:val="20"/>
              </w:rPr>
            </w:pPr>
            <w:r>
              <w:rPr>
                <w:rFonts w:cs="Times New Roman"/>
                <w:kern w:val="0"/>
                <w:sz w:val="20"/>
              </w:rPr>
              <w:t>99.6</w:t>
            </w:r>
          </w:p>
        </w:tc>
      </w:tr>
      <w:tr w14:paraId="3CF0B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60032734">
            <w:pPr>
              <w:pStyle w:val="81"/>
              <w:rPr>
                <w:rFonts w:cs="Times New Roman"/>
                <w:kern w:val="0"/>
                <w:sz w:val="20"/>
              </w:rPr>
            </w:pPr>
            <w:r>
              <w:rPr>
                <w:rFonts w:cs="Times New Roman"/>
                <w:kern w:val="0"/>
                <w:sz w:val="20"/>
              </w:rPr>
              <w:t>10</w:t>
            </w:r>
          </w:p>
        </w:tc>
        <w:tc>
          <w:tcPr>
            <w:tcW w:w="1425" w:type="dxa"/>
            <w:vAlign w:val="center"/>
          </w:tcPr>
          <w:p w14:paraId="00A3F0BE">
            <w:pPr>
              <w:pStyle w:val="81"/>
              <w:rPr>
                <w:rFonts w:cs="Times New Roman"/>
                <w:kern w:val="0"/>
                <w:sz w:val="20"/>
              </w:rPr>
            </w:pPr>
            <w:r>
              <w:rPr>
                <w:rFonts w:cs="Times New Roman"/>
                <w:kern w:val="0"/>
                <w:sz w:val="20"/>
              </w:rPr>
              <w:t>2</w:t>
            </w:r>
          </w:p>
        </w:tc>
        <w:tc>
          <w:tcPr>
            <w:tcW w:w="1256" w:type="dxa"/>
            <w:vAlign w:val="center"/>
          </w:tcPr>
          <w:p w14:paraId="5CC9A502">
            <w:pPr>
              <w:pStyle w:val="81"/>
              <w:rPr>
                <w:rFonts w:cs="Times New Roman"/>
                <w:kern w:val="0"/>
                <w:sz w:val="20"/>
              </w:rPr>
            </w:pPr>
            <w:r>
              <w:rPr>
                <w:rFonts w:cs="Times New Roman"/>
                <w:kern w:val="0"/>
                <w:sz w:val="20"/>
              </w:rPr>
              <w:t>/</w:t>
            </w:r>
          </w:p>
        </w:tc>
        <w:tc>
          <w:tcPr>
            <w:tcW w:w="1575" w:type="dxa"/>
            <w:vAlign w:val="center"/>
          </w:tcPr>
          <w:p w14:paraId="4775BE2F">
            <w:pPr>
              <w:pStyle w:val="81"/>
              <w:rPr>
                <w:rFonts w:cs="Times New Roman"/>
                <w:kern w:val="0"/>
                <w:sz w:val="20"/>
              </w:rPr>
            </w:pPr>
            <w:r>
              <w:rPr>
                <w:rFonts w:cs="Times New Roman"/>
                <w:kern w:val="0"/>
                <w:sz w:val="20"/>
              </w:rPr>
              <w:t>0.133</w:t>
            </w:r>
          </w:p>
        </w:tc>
        <w:tc>
          <w:tcPr>
            <w:tcW w:w="1294" w:type="dxa"/>
            <w:vAlign w:val="center"/>
          </w:tcPr>
          <w:p w14:paraId="75724653">
            <w:pPr>
              <w:pStyle w:val="81"/>
              <w:rPr>
                <w:rFonts w:cs="Times New Roman"/>
                <w:kern w:val="0"/>
                <w:sz w:val="20"/>
              </w:rPr>
            </w:pPr>
            <w:r>
              <w:rPr>
                <w:rFonts w:cs="Times New Roman"/>
                <w:kern w:val="0"/>
                <w:sz w:val="20"/>
              </w:rPr>
              <w:t>410</w:t>
            </w:r>
          </w:p>
        </w:tc>
        <w:tc>
          <w:tcPr>
            <w:tcW w:w="1443" w:type="dxa"/>
            <w:vAlign w:val="center"/>
          </w:tcPr>
          <w:p w14:paraId="3610EBD8">
            <w:pPr>
              <w:pStyle w:val="81"/>
              <w:rPr>
                <w:rFonts w:cs="Times New Roman"/>
                <w:kern w:val="0"/>
                <w:sz w:val="20"/>
              </w:rPr>
            </w:pPr>
            <w:r>
              <w:rPr>
                <w:rFonts w:cs="Times New Roman"/>
                <w:kern w:val="0"/>
                <w:sz w:val="20"/>
              </w:rPr>
              <w:t>1.94</w:t>
            </w:r>
          </w:p>
        </w:tc>
        <w:tc>
          <w:tcPr>
            <w:tcW w:w="1125" w:type="dxa"/>
            <w:vAlign w:val="center"/>
          </w:tcPr>
          <w:p w14:paraId="69F6E7AD">
            <w:pPr>
              <w:pStyle w:val="81"/>
              <w:rPr>
                <w:rFonts w:cs="Times New Roman"/>
                <w:kern w:val="0"/>
                <w:sz w:val="20"/>
              </w:rPr>
            </w:pPr>
            <w:r>
              <w:rPr>
                <w:rFonts w:cs="Times New Roman"/>
                <w:kern w:val="0"/>
                <w:sz w:val="20"/>
              </w:rPr>
              <w:t>99.5</w:t>
            </w:r>
          </w:p>
        </w:tc>
      </w:tr>
      <w:tr w14:paraId="7CF77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1BCA943B">
            <w:pPr>
              <w:pStyle w:val="81"/>
              <w:rPr>
                <w:rFonts w:cs="Times New Roman"/>
                <w:kern w:val="0"/>
                <w:sz w:val="20"/>
              </w:rPr>
            </w:pPr>
            <w:r>
              <w:rPr>
                <w:rFonts w:cs="Times New Roman"/>
                <w:kern w:val="0"/>
                <w:sz w:val="20"/>
              </w:rPr>
              <w:t>11</w:t>
            </w:r>
          </w:p>
        </w:tc>
        <w:tc>
          <w:tcPr>
            <w:tcW w:w="1425" w:type="dxa"/>
            <w:vAlign w:val="center"/>
          </w:tcPr>
          <w:p w14:paraId="02099ABC">
            <w:pPr>
              <w:pStyle w:val="81"/>
              <w:rPr>
                <w:rFonts w:cs="Times New Roman"/>
                <w:kern w:val="0"/>
                <w:sz w:val="20"/>
              </w:rPr>
            </w:pPr>
            <w:r>
              <w:rPr>
                <w:rFonts w:cs="Times New Roman"/>
                <w:kern w:val="0"/>
                <w:sz w:val="20"/>
              </w:rPr>
              <w:t>5</w:t>
            </w:r>
          </w:p>
        </w:tc>
        <w:tc>
          <w:tcPr>
            <w:tcW w:w="1256" w:type="dxa"/>
            <w:vAlign w:val="center"/>
          </w:tcPr>
          <w:p w14:paraId="59F71B4E">
            <w:pPr>
              <w:pStyle w:val="81"/>
              <w:rPr>
                <w:rFonts w:cs="Times New Roman"/>
                <w:kern w:val="0"/>
                <w:sz w:val="20"/>
              </w:rPr>
            </w:pPr>
            <w:r>
              <w:rPr>
                <w:rFonts w:cs="Times New Roman"/>
                <w:kern w:val="0"/>
                <w:sz w:val="20"/>
              </w:rPr>
              <w:t>/</w:t>
            </w:r>
          </w:p>
        </w:tc>
        <w:tc>
          <w:tcPr>
            <w:tcW w:w="1575" w:type="dxa"/>
            <w:vAlign w:val="center"/>
          </w:tcPr>
          <w:p w14:paraId="11B16916">
            <w:pPr>
              <w:pStyle w:val="81"/>
              <w:rPr>
                <w:rFonts w:cs="Times New Roman"/>
                <w:kern w:val="0"/>
                <w:sz w:val="20"/>
              </w:rPr>
            </w:pPr>
            <w:r>
              <w:rPr>
                <w:rFonts w:cs="Times New Roman"/>
                <w:kern w:val="0"/>
                <w:sz w:val="20"/>
              </w:rPr>
              <w:t>0.275</w:t>
            </w:r>
          </w:p>
        </w:tc>
        <w:tc>
          <w:tcPr>
            <w:tcW w:w="1294" w:type="dxa"/>
            <w:vAlign w:val="center"/>
          </w:tcPr>
          <w:p w14:paraId="4700F69A">
            <w:pPr>
              <w:pStyle w:val="81"/>
              <w:rPr>
                <w:rFonts w:cs="Times New Roman"/>
                <w:kern w:val="0"/>
                <w:sz w:val="20"/>
              </w:rPr>
            </w:pPr>
            <w:r>
              <w:rPr>
                <w:rFonts w:cs="Times New Roman"/>
                <w:kern w:val="0"/>
                <w:sz w:val="20"/>
              </w:rPr>
              <w:t>280</w:t>
            </w:r>
          </w:p>
        </w:tc>
        <w:tc>
          <w:tcPr>
            <w:tcW w:w="1443" w:type="dxa"/>
            <w:vAlign w:val="center"/>
          </w:tcPr>
          <w:p w14:paraId="26FDC386">
            <w:pPr>
              <w:pStyle w:val="81"/>
              <w:rPr>
                <w:rFonts w:cs="Times New Roman"/>
                <w:kern w:val="0"/>
                <w:sz w:val="20"/>
              </w:rPr>
            </w:pPr>
            <w:r>
              <w:rPr>
                <w:rFonts w:cs="Times New Roman"/>
                <w:kern w:val="0"/>
                <w:sz w:val="20"/>
              </w:rPr>
              <w:t>2.36</w:t>
            </w:r>
          </w:p>
        </w:tc>
        <w:tc>
          <w:tcPr>
            <w:tcW w:w="1125" w:type="dxa"/>
            <w:vAlign w:val="center"/>
          </w:tcPr>
          <w:p w14:paraId="08EA975B">
            <w:pPr>
              <w:pStyle w:val="81"/>
              <w:rPr>
                <w:rFonts w:cs="Times New Roman"/>
                <w:kern w:val="0"/>
                <w:sz w:val="20"/>
              </w:rPr>
            </w:pPr>
            <w:r>
              <w:rPr>
                <w:rFonts w:cs="Times New Roman"/>
                <w:kern w:val="0"/>
                <w:sz w:val="20"/>
              </w:rPr>
              <w:t>99.1</w:t>
            </w:r>
          </w:p>
        </w:tc>
      </w:tr>
      <w:tr w14:paraId="0B696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17D188D1">
            <w:pPr>
              <w:pStyle w:val="81"/>
              <w:rPr>
                <w:rFonts w:cs="Times New Roman"/>
                <w:kern w:val="0"/>
                <w:sz w:val="20"/>
              </w:rPr>
            </w:pPr>
            <w:r>
              <w:rPr>
                <w:rFonts w:cs="Times New Roman"/>
                <w:kern w:val="0"/>
                <w:sz w:val="20"/>
              </w:rPr>
              <w:t>12</w:t>
            </w:r>
          </w:p>
        </w:tc>
        <w:tc>
          <w:tcPr>
            <w:tcW w:w="1425" w:type="dxa"/>
            <w:vAlign w:val="center"/>
          </w:tcPr>
          <w:p w14:paraId="6EF69074">
            <w:pPr>
              <w:pStyle w:val="81"/>
              <w:rPr>
                <w:rFonts w:cs="Times New Roman"/>
                <w:kern w:val="0"/>
                <w:sz w:val="20"/>
              </w:rPr>
            </w:pPr>
            <w:r>
              <w:rPr>
                <w:rFonts w:cs="Times New Roman"/>
                <w:kern w:val="0"/>
                <w:sz w:val="20"/>
              </w:rPr>
              <w:t>80</w:t>
            </w:r>
          </w:p>
        </w:tc>
        <w:tc>
          <w:tcPr>
            <w:tcW w:w="1256" w:type="dxa"/>
            <w:vAlign w:val="center"/>
          </w:tcPr>
          <w:p w14:paraId="1F5EEEBE">
            <w:pPr>
              <w:pStyle w:val="81"/>
              <w:rPr>
                <w:rFonts w:cs="Times New Roman"/>
                <w:kern w:val="0"/>
                <w:sz w:val="20"/>
              </w:rPr>
            </w:pPr>
            <w:r>
              <w:rPr>
                <w:rFonts w:cs="Times New Roman"/>
                <w:kern w:val="0"/>
                <w:sz w:val="20"/>
              </w:rPr>
              <w:t>40.6</w:t>
            </w:r>
          </w:p>
        </w:tc>
        <w:tc>
          <w:tcPr>
            <w:tcW w:w="1575" w:type="dxa"/>
            <w:vAlign w:val="center"/>
          </w:tcPr>
          <w:p w14:paraId="1E3B909D">
            <w:pPr>
              <w:pStyle w:val="81"/>
              <w:rPr>
                <w:rFonts w:cs="Times New Roman"/>
                <w:kern w:val="0"/>
                <w:sz w:val="20"/>
              </w:rPr>
            </w:pPr>
            <w:r>
              <w:rPr>
                <w:rFonts w:cs="Times New Roman"/>
                <w:kern w:val="0"/>
                <w:sz w:val="20"/>
              </w:rPr>
              <w:t>1.26</w:t>
            </w:r>
          </w:p>
        </w:tc>
        <w:tc>
          <w:tcPr>
            <w:tcW w:w="1294" w:type="dxa"/>
            <w:vAlign w:val="center"/>
          </w:tcPr>
          <w:p w14:paraId="16F9D130">
            <w:pPr>
              <w:pStyle w:val="81"/>
              <w:rPr>
                <w:rFonts w:cs="Times New Roman"/>
                <w:kern w:val="0"/>
                <w:sz w:val="20"/>
              </w:rPr>
            </w:pPr>
            <w:r>
              <w:rPr>
                <w:rFonts w:cs="Times New Roman"/>
                <w:kern w:val="0"/>
                <w:sz w:val="20"/>
              </w:rPr>
              <w:t>121</w:t>
            </w:r>
          </w:p>
        </w:tc>
        <w:tc>
          <w:tcPr>
            <w:tcW w:w="1443" w:type="dxa"/>
            <w:vAlign w:val="center"/>
          </w:tcPr>
          <w:p w14:paraId="7ACB708C">
            <w:pPr>
              <w:pStyle w:val="81"/>
              <w:rPr>
                <w:rFonts w:cs="Times New Roman"/>
                <w:kern w:val="0"/>
                <w:sz w:val="20"/>
              </w:rPr>
            </w:pPr>
            <w:r>
              <w:rPr>
                <w:rFonts w:cs="Times New Roman"/>
                <w:kern w:val="0"/>
                <w:sz w:val="20"/>
              </w:rPr>
              <w:t>10.9</w:t>
            </w:r>
          </w:p>
        </w:tc>
        <w:tc>
          <w:tcPr>
            <w:tcW w:w="1125" w:type="dxa"/>
            <w:vAlign w:val="center"/>
          </w:tcPr>
          <w:p w14:paraId="0D6FFA14">
            <w:pPr>
              <w:pStyle w:val="81"/>
              <w:rPr>
                <w:rFonts w:cs="Times New Roman"/>
                <w:kern w:val="0"/>
                <w:sz w:val="20"/>
              </w:rPr>
            </w:pPr>
            <w:r>
              <w:rPr>
                <w:rFonts w:cs="Times New Roman"/>
                <w:kern w:val="0"/>
                <w:sz w:val="20"/>
              </w:rPr>
              <w:t>96.9</w:t>
            </w:r>
          </w:p>
        </w:tc>
      </w:tr>
      <w:tr w14:paraId="24CDC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4E782066">
            <w:pPr>
              <w:pStyle w:val="81"/>
              <w:rPr>
                <w:rFonts w:cs="Times New Roman"/>
                <w:kern w:val="0"/>
                <w:sz w:val="20"/>
              </w:rPr>
            </w:pPr>
            <w:r>
              <w:rPr>
                <w:rFonts w:cs="Times New Roman"/>
                <w:kern w:val="0"/>
                <w:sz w:val="20"/>
              </w:rPr>
              <w:t>13</w:t>
            </w:r>
          </w:p>
        </w:tc>
        <w:tc>
          <w:tcPr>
            <w:tcW w:w="1425" w:type="dxa"/>
            <w:vAlign w:val="center"/>
          </w:tcPr>
          <w:p w14:paraId="0DD2C544">
            <w:pPr>
              <w:pStyle w:val="81"/>
              <w:rPr>
                <w:rFonts w:cs="Times New Roman"/>
                <w:kern w:val="0"/>
                <w:sz w:val="20"/>
              </w:rPr>
            </w:pPr>
            <w:r>
              <w:rPr>
                <w:rFonts w:cs="Times New Roman"/>
                <w:kern w:val="0"/>
                <w:sz w:val="20"/>
              </w:rPr>
              <w:t>/</w:t>
            </w:r>
          </w:p>
        </w:tc>
        <w:tc>
          <w:tcPr>
            <w:tcW w:w="1256" w:type="dxa"/>
            <w:vAlign w:val="center"/>
          </w:tcPr>
          <w:p w14:paraId="7C0C4023">
            <w:pPr>
              <w:pStyle w:val="81"/>
              <w:rPr>
                <w:rFonts w:cs="Times New Roman"/>
                <w:kern w:val="0"/>
                <w:sz w:val="20"/>
              </w:rPr>
            </w:pPr>
            <w:r>
              <w:rPr>
                <w:rFonts w:cs="Times New Roman"/>
                <w:kern w:val="0"/>
                <w:sz w:val="20"/>
              </w:rPr>
              <w:t>32.2</w:t>
            </w:r>
          </w:p>
        </w:tc>
        <w:tc>
          <w:tcPr>
            <w:tcW w:w="1575" w:type="dxa"/>
            <w:vAlign w:val="center"/>
          </w:tcPr>
          <w:p w14:paraId="10102503">
            <w:pPr>
              <w:pStyle w:val="81"/>
              <w:rPr>
                <w:rFonts w:cs="Times New Roman"/>
                <w:kern w:val="0"/>
                <w:sz w:val="20"/>
              </w:rPr>
            </w:pPr>
            <w:r>
              <w:rPr>
                <w:rFonts w:cs="Times New Roman"/>
                <w:kern w:val="0"/>
                <w:sz w:val="20"/>
              </w:rPr>
              <w:t>4.38</w:t>
            </w:r>
          </w:p>
        </w:tc>
        <w:tc>
          <w:tcPr>
            <w:tcW w:w="1294" w:type="dxa"/>
            <w:vAlign w:val="center"/>
          </w:tcPr>
          <w:p w14:paraId="08D804D5">
            <w:pPr>
              <w:pStyle w:val="81"/>
              <w:rPr>
                <w:rFonts w:cs="Times New Roman"/>
                <w:kern w:val="0"/>
                <w:sz w:val="20"/>
              </w:rPr>
            </w:pPr>
            <w:r>
              <w:rPr>
                <w:rFonts w:cs="Times New Roman"/>
                <w:kern w:val="0"/>
                <w:sz w:val="20"/>
              </w:rPr>
              <w:t>87</w:t>
            </w:r>
          </w:p>
        </w:tc>
        <w:tc>
          <w:tcPr>
            <w:tcW w:w="1443" w:type="dxa"/>
            <w:vAlign w:val="center"/>
          </w:tcPr>
          <w:p w14:paraId="02317951">
            <w:pPr>
              <w:pStyle w:val="81"/>
              <w:rPr>
                <w:rFonts w:cs="Times New Roman"/>
                <w:kern w:val="0"/>
                <w:sz w:val="20"/>
              </w:rPr>
            </w:pPr>
            <w:r>
              <w:rPr>
                <w:rFonts w:cs="Times New Roman"/>
                <w:kern w:val="0"/>
                <w:sz w:val="20"/>
              </w:rPr>
              <w:t>5.9</w:t>
            </w:r>
          </w:p>
        </w:tc>
        <w:tc>
          <w:tcPr>
            <w:tcW w:w="1125" w:type="dxa"/>
            <w:vAlign w:val="center"/>
          </w:tcPr>
          <w:p w14:paraId="24D7C52C">
            <w:pPr>
              <w:pStyle w:val="81"/>
              <w:rPr>
                <w:rFonts w:cs="Times New Roman"/>
                <w:kern w:val="0"/>
                <w:sz w:val="20"/>
              </w:rPr>
            </w:pPr>
            <w:r>
              <w:rPr>
                <w:rFonts w:cs="Times New Roman"/>
                <w:kern w:val="0"/>
                <w:sz w:val="20"/>
              </w:rPr>
              <w:t>86.4</w:t>
            </w:r>
          </w:p>
        </w:tc>
      </w:tr>
      <w:tr w14:paraId="0537F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76ABA8A2">
            <w:pPr>
              <w:pStyle w:val="81"/>
              <w:rPr>
                <w:rFonts w:cs="Times New Roman"/>
                <w:kern w:val="0"/>
                <w:sz w:val="20"/>
              </w:rPr>
            </w:pPr>
            <w:r>
              <w:rPr>
                <w:rFonts w:cs="Times New Roman"/>
                <w:kern w:val="0"/>
                <w:sz w:val="20"/>
              </w:rPr>
              <w:t>14</w:t>
            </w:r>
          </w:p>
        </w:tc>
        <w:tc>
          <w:tcPr>
            <w:tcW w:w="1425" w:type="dxa"/>
            <w:vAlign w:val="center"/>
          </w:tcPr>
          <w:p w14:paraId="2526C1F8">
            <w:pPr>
              <w:pStyle w:val="81"/>
              <w:rPr>
                <w:rFonts w:cs="Times New Roman"/>
                <w:kern w:val="0"/>
                <w:sz w:val="20"/>
              </w:rPr>
            </w:pPr>
            <w:r>
              <w:rPr>
                <w:rFonts w:cs="Times New Roman"/>
                <w:kern w:val="0"/>
                <w:sz w:val="20"/>
              </w:rPr>
              <w:t>16</w:t>
            </w:r>
          </w:p>
        </w:tc>
        <w:tc>
          <w:tcPr>
            <w:tcW w:w="1256" w:type="dxa"/>
            <w:vAlign w:val="center"/>
          </w:tcPr>
          <w:p w14:paraId="133C06FA">
            <w:pPr>
              <w:pStyle w:val="81"/>
              <w:rPr>
                <w:rFonts w:cs="Times New Roman"/>
                <w:kern w:val="0"/>
                <w:sz w:val="20"/>
              </w:rPr>
            </w:pPr>
            <w:r>
              <w:rPr>
                <w:rFonts w:cs="Times New Roman"/>
                <w:kern w:val="0"/>
                <w:sz w:val="20"/>
              </w:rPr>
              <w:t>90.5</w:t>
            </w:r>
          </w:p>
        </w:tc>
        <w:tc>
          <w:tcPr>
            <w:tcW w:w="1575" w:type="dxa"/>
            <w:vAlign w:val="center"/>
          </w:tcPr>
          <w:p w14:paraId="3078AA6E">
            <w:pPr>
              <w:pStyle w:val="81"/>
              <w:rPr>
                <w:rFonts w:cs="Times New Roman"/>
                <w:kern w:val="0"/>
                <w:sz w:val="20"/>
              </w:rPr>
            </w:pPr>
            <w:r>
              <w:rPr>
                <w:rFonts w:cs="Times New Roman"/>
                <w:kern w:val="0"/>
                <w:sz w:val="20"/>
              </w:rPr>
              <w:t>0.02</w:t>
            </w:r>
          </w:p>
        </w:tc>
        <w:tc>
          <w:tcPr>
            <w:tcW w:w="1294" w:type="dxa"/>
            <w:vAlign w:val="center"/>
          </w:tcPr>
          <w:p w14:paraId="481E1288">
            <w:pPr>
              <w:pStyle w:val="81"/>
              <w:rPr>
                <w:rFonts w:cs="Times New Roman"/>
                <w:kern w:val="0"/>
                <w:sz w:val="20"/>
              </w:rPr>
            </w:pPr>
            <w:r>
              <w:rPr>
                <w:rFonts w:cs="Times New Roman"/>
                <w:kern w:val="0"/>
                <w:sz w:val="20"/>
              </w:rPr>
              <w:t>299</w:t>
            </w:r>
          </w:p>
        </w:tc>
        <w:tc>
          <w:tcPr>
            <w:tcW w:w="1443" w:type="dxa"/>
            <w:vAlign w:val="center"/>
          </w:tcPr>
          <w:p w14:paraId="2D5740FF">
            <w:pPr>
              <w:pStyle w:val="81"/>
              <w:rPr>
                <w:rFonts w:cs="Times New Roman"/>
                <w:kern w:val="0"/>
                <w:sz w:val="20"/>
              </w:rPr>
            </w:pPr>
            <w:r>
              <w:rPr>
                <w:rFonts w:cs="Times New Roman"/>
                <w:kern w:val="0"/>
                <w:sz w:val="20"/>
              </w:rPr>
              <w:t>17</w:t>
            </w:r>
          </w:p>
        </w:tc>
        <w:tc>
          <w:tcPr>
            <w:tcW w:w="1125" w:type="dxa"/>
            <w:vAlign w:val="center"/>
          </w:tcPr>
          <w:p w14:paraId="205F7176">
            <w:pPr>
              <w:pStyle w:val="81"/>
              <w:rPr>
                <w:rFonts w:cs="Times New Roman"/>
                <w:kern w:val="0"/>
                <w:sz w:val="20"/>
              </w:rPr>
            </w:pPr>
            <w:r>
              <w:rPr>
                <w:rFonts w:cs="Times New Roman"/>
                <w:kern w:val="0"/>
                <w:sz w:val="20"/>
              </w:rPr>
              <w:t>99.9</w:t>
            </w:r>
          </w:p>
        </w:tc>
      </w:tr>
      <w:tr w14:paraId="0D154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7FA3264C">
            <w:pPr>
              <w:pStyle w:val="81"/>
              <w:rPr>
                <w:rFonts w:cs="Times New Roman"/>
                <w:kern w:val="0"/>
                <w:sz w:val="20"/>
              </w:rPr>
            </w:pPr>
            <w:r>
              <w:rPr>
                <w:rFonts w:cs="Times New Roman"/>
                <w:kern w:val="0"/>
                <w:sz w:val="20"/>
              </w:rPr>
              <w:t>15</w:t>
            </w:r>
          </w:p>
        </w:tc>
        <w:tc>
          <w:tcPr>
            <w:tcW w:w="1425" w:type="dxa"/>
            <w:vAlign w:val="center"/>
          </w:tcPr>
          <w:p w14:paraId="71D4350D">
            <w:pPr>
              <w:pStyle w:val="81"/>
              <w:rPr>
                <w:rFonts w:cs="Times New Roman"/>
                <w:kern w:val="0"/>
                <w:sz w:val="20"/>
              </w:rPr>
            </w:pPr>
            <w:r>
              <w:rPr>
                <w:rFonts w:cs="Times New Roman"/>
                <w:kern w:val="0"/>
                <w:sz w:val="20"/>
              </w:rPr>
              <w:t>65</w:t>
            </w:r>
          </w:p>
        </w:tc>
        <w:tc>
          <w:tcPr>
            <w:tcW w:w="1256" w:type="dxa"/>
            <w:vAlign w:val="center"/>
          </w:tcPr>
          <w:p w14:paraId="2BC9057B">
            <w:pPr>
              <w:pStyle w:val="81"/>
              <w:rPr>
                <w:rFonts w:cs="Times New Roman"/>
                <w:kern w:val="0"/>
                <w:sz w:val="20"/>
              </w:rPr>
            </w:pPr>
            <w:r>
              <w:rPr>
                <w:rFonts w:cs="Times New Roman"/>
                <w:kern w:val="0"/>
                <w:sz w:val="20"/>
              </w:rPr>
              <w:t>53.1</w:t>
            </w:r>
          </w:p>
        </w:tc>
        <w:tc>
          <w:tcPr>
            <w:tcW w:w="1575" w:type="dxa"/>
            <w:vAlign w:val="center"/>
          </w:tcPr>
          <w:p w14:paraId="5FF626DB">
            <w:pPr>
              <w:pStyle w:val="81"/>
              <w:rPr>
                <w:rFonts w:cs="Times New Roman"/>
                <w:kern w:val="0"/>
                <w:sz w:val="20"/>
              </w:rPr>
            </w:pPr>
            <w:r>
              <w:rPr>
                <w:rFonts w:cs="Times New Roman"/>
                <w:kern w:val="0"/>
                <w:sz w:val="20"/>
              </w:rPr>
              <w:t>2.93</w:t>
            </w:r>
          </w:p>
        </w:tc>
        <w:tc>
          <w:tcPr>
            <w:tcW w:w="1294" w:type="dxa"/>
            <w:vAlign w:val="center"/>
          </w:tcPr>
          <w:p w14:paraId="64C1058C">
            <w:pPr>
              <w:pStyle w:val="81"/>
              <w:rPr>
                <w:rFonts w:cs="Times New Roman"/>
                <w:kern w:val="0"/>
                <w:sz w:val="20"/>
              </w:rPr>
            </w:pPr>
            <w:r>
              <w:rPr>
                <w:rFonts w:cs="Times New Roman"/>
                <w:kern w:val="0"/>
                <w:sz w:val="20"/>
              </w:rPr>
              <w:t>293</w:t>
            </w:r>
          </w:p>
        </w:tc>
        <w:tc>
          <w:tcPr>
            <w:tcW w:w="1443" w:type="dxa"/>
            <w:vAlign w:val="center"/>
          </w:tcPr>
          <w:p w14:paraId="28C91BED">
            <w:pPr>
              <w:pStyle w:val="81"/>
              <w:rPr>
                <w:rFonts w:cs="Times New Roman"/>
                <w:kern w:val="0"/>
                <w:sz w:val="20"/>
              </w:rPr>
            </w:pPr>
            <w:r>
              <w:rPr>
                <w:rFonts w:cs="Times New Roman"/>
                <w:kern w:val="0"/>
                <w:sz w:val="20"/>
              </w:rPr>
              <w:t>53.1</w:t>
            </w:r>
          </w:p>
        </w:tc>
        <w:tc>
          <w:tcPr>
            <w:tcW w:w="1125" w:type="dxa"/>
            <w:vAlign w:val="center"/>
          </w:tcPr>
          <w:p w14:paraId="300410BB">
            <w:pPr>
              <w:pStyle w:val="81"/>
              <w:rPr>
                <w:rFonts w:cs="Times New Roman"/>
                <w:kern w:val="0"/>
                <w:sz w:val="20"/>
              </w:rPr>
            </w:pPr>
            <w:r>
              <w:rPr>
                <w:rFonts w:cs="Times New Roman"/>
                <w:kern w:val="0"/>
                <w:sz w:val="20"/>
              </w:rPr>
              <w:t>94.5</w:t>
            </w:r>
          </w:p>
        </w:tc>
      </w:tr>
      <w:tr w14:paraId="20DDD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2D31D69E">
            <w:pPr>
              <w:pStyle w:val="81"/>
              <w:rPr>
                <w:rFonts w:cs="Times New Roman"/>
                <w:kern w:val="0"/>
                <w:sz w:val="20"/>
              </w:rPr>
            </w:pPr>
            <w:r>
              <w:rPr>
                <w:rFonts w:cs="Times New Roman"/>
                <w:kern w:val="0"/>
                <w:sz w:val="20"/>
              </w:rPr>
              <w:t>16</w:t>
            </w:r>
          </w:p>
        </w:tc>
        <w:tc>
          <w:tcPr>
            <w:tcW w:w="1425" w:type="dxa"/>
            <w:vAlign w:val="center"/>
          </w:tcPr>
          <w:p w14:paraId="6BCB7280">
            <w:pPr>
              <w:pStyle w:val="81"/>
              <w:rPr>
                <w:rFonts w:cs="Times New Roman"/>
                <w:kern w:val="0"/>
                <w:sz w:val="20"/>
              </w:rPr>
            </w:pPr>
            <w:r>
              <w:rPr>
                <w:rFonts w:cs="Times New Roman"/>
                <w:kern w:val="0"/>
                <w:sz w:val="20"/>
              </w:rPr>
              <w:t>75</w:t>
            </w:r>
          </w:p>
        </w:tc>
        <w:tc>
          <w:tcPr>
            <w:tcW w:w="1256" w:type="dxa"/>
            <w:vAlign w:val="center"/>
          </w:tcPr>
          <w:p w14:paraId="463FC681">
            <w:pPr>
              <w:pStyle w:val="81"/>
              <w:rPr>
                <w:rFonts w:cs="Times New Roman"/>
                <w:kern w:val="0"/>
                <w:sz w:val="20"/>
              </w:rPr>
            </w:pPr>
            <w:r>
              <w:rPr>
                <w:rFonts w:cs="Times New Roman"/>
                <w:kern w:val="0"/>
                <w:sz w:val="20"/>
              </w:rPr>
              <w:t>47</w:t>
            </w:r>
          </w:p>
        </w:tc>
        <w:tc>
          <w:tcPr>
            <w:tcW w:w="1575" w:type="dxa"/>
            <w:vAlign w:val="center"/>
          </w:tcPr>
          <w:p w14:paraId="0689614E">
            <w:pPr>
              <w:pStyle w:val="81"/>
              <w:rPr>
                <w:rFonts w:cs="Times New Roman"/>
                <w:kern w:val="0"/>
                <w:sz w:val="20"/>
              </w:rPr>
            </w:pPr>
            <w:r>
              <w:rPr>
                <w:rFonts w:cs="Times New Roman"/>
                <w:kern w:val="0"/>
                <w:sz w:val="20"/>
              </w:rPr>
              <w:t>2.28</w:t>
            </w:r>
          </w:p>
        </w:tc>
        <w:tc>
          <w:tcPr>
            <w:tcW w:w="1294" w:type="dxa"/>
            <w:vAlign w:val="center"/>
          </w:tcPr>
          <w:p w14:paraId="24D435C1">
            <w:pPr>
              <w:pStyle w:val="81"/>
              <w:rPr>
                <w:rFonts w:cs="Times New Roman"/>
                <w:kern w:val="0"/>
                <w:sz w:val="20"/>
              </w:rPr>
            </w:pPr>
            <w:r>
              <w:rPr>
                <w:rFonts w:cs="Times New Roman"/>
                <w:kern w:val="0"/>
                <w:sz w:val="20"/>
              </w:rPr>
              <w:t>209</w:t>
            </w:r>
          </w:p>
        </w:tc>
        <w:tc>
          <w:tcPr>
            <w:tcW w:w="1443" w:type="dxa"/>
            <w:vAlign w:val="center"/>
          </w:tcPr>
          <w:p w14:paraId="0C9488EC">
            <w:pPr>
              <w:pStyle w:val="81"/>
              <w:rPr>
                <w:rFonts w:cs="Times New Roman"/>
                <w:kern w:val="0"/>
                <w:sz w:val="20"/>
              </w:rPr>
            </w:pPr>
            <w:r>
              <w:rPr>
                <w:rFonts w:cs="Times New Roman"/>
                <w:kern w:val="0"/>
                <w:sz w:val="20"/>
              </w:rPr>
              <w:t>4.29</w:t>
            </w:r>
          </w:p>
        </w:tc>
        <w:tc>
          <w:tcPr>
            <w:tcW w:w="1125" w:type="dxa"/>
            <w:vAlign w:val="center"/>
          </w:tcPr>
          <w:p w14:paraId="3717CA2C">
            <w:pPr>
              <w:pStyle w:val="81"/>
              <w:rPr>
                <w:rFonts w:cs="Times New Roman"/>
                <w:kern w:val="0"/>
                <w:sz w:val="20"/>
              </w:rPr>
            </w:pPr>
            <w:r>
              <w:rPr>
                <w:rFonts w:cs="Times New Roman"/>
                <w:kern w:val="0"/>
                <w:sz w:val="20"/>
              </w:rPr>
              <w:t>95.1</w:t>
            </w:r>
          </w:p>
        </w:tc>
      </w:tr>
      <w:tr w14:paraId="6E9B9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2540A193">
            <w:pPr>
              <w:pStyle w:val="81"/>
              <w:rPr>
                <w:rFonts w:cs="Times New Roman"/>
                <w:kern w:val="0"/>
                <w:sz w:val="20"/>
              </w:rPr>
            </w:pPr>
            <w:r>
              <w:rPr>
                <w:rFonts w:cs="Times New Roman"/>
                <w:kern w:val="0"/>
                <w:sz w:val="20"/>
              </w:rPr>
              <w:t>17</w:t>
            </w:r>
          </w:p>
        </w:tc>
        <w:tc>
          <w:tcPr>
            <w:tcW w:w="1425" w:type="dxa"/>
            <w:vAlign w:val="center"/>
          </w:tcPr>
          <w:p w14:paraId="137A559F">
            <w:pPr>
              <w:pStyle w:val="81"/>
              <w:rPr>
                <w:rFonts w:cs="Times New Roman"/>
                <w:kern w:val="0"/>
                <w:sz w:val="20"/>
              </w:rPr>
            </w:pPr>
            <w:r>
              <w:rPr>
                <w:rFonts w:cs="Times New Roman"/>
                <w:kern w:val="0"/>
                <w:sz w:val="20"/>
              </w:rPr>
              <w:t>55</w:t>
            </w:r>
          </w:p>
        </w:tc>
        <w:tc>
          <w:tcPr>
            <w:tcW w:w="1256" w:type="dxa"/>
            <w:vAlign w:val="center"/>
          </w:tcPr>
          <w:p w14:paraId="0F116F0A">
            <w:pPr>
              <w:pStyle w:val="81"/>
              <w:rPr>
                <w:rFonts w:cs="Times New Roman"/>
                <w:kern w:val="0"/>
                <w:sz w:val="20"/>
              </w:rPr>
            </w:pPr>
            <w:r>
              <w:rPr>
                <w:rFonts w:cs="Times New Roman"/>
                <w:kern w:val="0"/>
                <w:sz w:val="20"/>
              </w:rPr>
              <w:t>87.2</w:t>
            </w:r>
          </w:p>
        </w:tc>
        <w:tc>
          <w:tcPr>
            <w:tcW w:w="1575" w:type="dxa"/>
            <w:vAlign w:val="center"/>
          </w:tcPr>
          <w:p w14:paraId="4017E25B">
            <w:pPr>
              <w:pStyle w:val="81"/>
              <w:rPr>
                <w:rFonts w:cs="Times New Roman"/>
                <w:kern w:val="0"/>
                <w:sz w:val="20"/>
              </w:rPr>
            </w:pPr>
            <w:r>
              <w:rPr>
                <w:rFonts w:cs="Times New Roman"/>
                <w:kern w:val="0"/>
                <w:sz w:val="20"/>
              </w:rPr>
              <w:t>2.51</w:t>
            </w:r>
          </w:p>
        </w:tc>
        <w:tc>
          <w:tcPr>
            <w:tcW w:w="1294" w:type="dxa"/>
            <w:vAlign w:val="center"/>
          </w:tcPr>
          <w:p w14:paraId="795C2AD2">
            <w:pPr>
              <w:pStyle w:val="81"/>
              <w:rPr>
                <w:rFonts w:cs="Times New Roman"/>
                <w:kern w:val="0"/>
                <w:sz w:val="20"/>
              </w:rPr>
            </w:pPr>
            <w:r>
              <w:rPr>
                <w:rFonts w:cs="Times New Roman"/>
                <w:kern w:val="0"/>
                <w:sz w:val="20"/>
              </w:rPr>
              <w:t>452</w:t>
            </w:r>
          </w:p>
        </w:tc>
        <w:tc>
          <w:tcPr>
            <w:tcW w:w="1443" w:type="dxa"/>
            <w:vAlign w:val="center"/>
          </w:tcPr>
          <w:p w14:paraId="10C43EA0">
            <w:pPr>
              <w:pStyle w:val="81"/>
              <w:rPr>
                <w:rFonts w:cs="Times New Roman"/>
                <w:kern w:val="0"/>
                <w:sz w:val="20"/>
              </w:rPr>
            </w:pPr>
            <w:r>
              <w:rPr>
                <w:rFonts w:cs="Times New Roman"/>
                <w:kern w:val="0"/>
                <w:sz w:val="20"/>
              </w:rPr>
              <w:t>7</w:t>
            </w:r>
          </w:p>
        </w:tc>
        <w:tc>
          <w:tcPr>
            <w:tcW w:w="1125" w:type="dxa"/>
            <w:vAlign w:val="center"/>
          </w:tcPr>
          <w:p w14:paraId="44A0A7BC">
            <w:pPr>
              <w:pStyle w:val="81"/>
              <w:rPr>
                <w:rFonts w:cs="Times New Roman"/>
                <w:kern w:val="0"/>
                <w:sz w:val="20"/>
              </w:rPr>
            </w:pPr>
            <w:r>
              <w:rPr>
                <w:rFonts w:cs="Times New Roman"/>
                <w:kern w:val="0"/>
                <w:sz w:val="20"/>
              </w:rPr>
              <w:t>97.1</w:t>
            </w:r>
          </w:p>
        </w:tc>
      </w:tr>
      <w:tr w14:paraId="1E7E9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1FDB3BF2">
            <w:pPr>
              <w:pStyle w:val="81"/>
              <w:rPr>
                <w:rFonts w:cs="Times New Roman"/>
                <w:kern w:val="0"/>
                <w:sz w:val="20"/>
              </w:rPr>
            </w:pPr>
            <w:r>
              <w:rPr>
                <w:rFonts w:cs="Times New Roman"/>
                <w:kern w:val="0"/>
                <w:sz w:val="20"/>
              </w:rPr>
              <w:t>18</w:t>
            </w:r>
          </w:p>
        </w:tc>
        <w:tc>
          <w:tcPr>
            <w:tcW w:w="1425" w:type="dxa"/>
            <w:vAlign w:val="center"/>
          </w:tcPr>
          <w:p w14:paraId="4BEA75B3">
            <w:pPr>
              <w:pStyle w:val="81"/>
              <w:rPr>
                <w:rFonts w:cs="Times New Roman"/>
                <w:kern w:val="0"/>
                <w:sz w:val="20"/>
              </w:rPr>
            </w:pPr>
            <w:r>
              <w:rPr>
                <w:rFonts w:cs="Times New Roman"/>
                <w:kern w:val="0"/>
                <w:sz w:val="20"/>
              </w:rPr>
              <w:t>20</w:t>
            </w:r>
          </w:p>
        </w:tc>
        <w:tc>
          <w:tcPr>
            <w:tcW w:w="1256" w:type="dxa"/>
            <w:vAlign w:val="center"/>
          </w:tcPr>
          <w:p w14:paraId="3B1BD707">
            <w:pPr>
              <w:pStyle w:val="81"/>
              <w:rPr>
                <w:rFonts w:cs="Times New Roman"/>
                <w:kern w:val="0"/>
                <w:sz w:val="20"/>
              </w:rPr>
            </w:pPr>
            <w:r>
              <w:rPr>
                <w:rFonts w:cs="Times New Roman"/>
                <w:kern w:val="0"/>
                <w:sz w:val="20"/>
              </w:rPr>
              <w:t>16.5</w:t>
            </w:r>
          </w:p>
        </w:tc>
        <w:tc>
          <w:tcPr>
            <w:tcW w:w="1575" w:type="dxa"/>
            <w:vAlign w:val="center"/>
          </w:tcPr>
          <w:p w14:paraId="5DF5ED06">
            <w:pPr>
              <w:pStyle w:val="81"/>
              <w:rPr>
                <w:rFonts w:cs="Times New Roman"/>
                <w:kern w:val="0"/>
                <w:sz w:val="20"/>
              </w:rPr>
            </w:pPr>
            <w:r>
              <w:rPr>
                <w:rFonts w:cs="Times New Roman"/>
                <w:kern w:val="0"/>
                <w:sz w:val="20"/>
              </w:rPr>
              <w:t>0.48</w:t>
            </w:r>
          </w:p>
        </w:tc>
        <w:tc>
          <w:tcPr>
            <w:tcW w:w="1294" w:type="dxa"/>
            <w:vAlign w:val="center"/>
          </w:tcPr>
          <w:p w14:paraId="27D3661A">
            <w:pPr>
              <w:pStyle w:val="81"/>
              <w:rPr>
                <w:rFonts w:cs="Times New Roman"/>
                <w:kern w:val="0"/>
                <w:sz w:val="20"/>
              </w:rPr>
            </w:pPr>
            <w:r>
              <w:rPr>
                <w:rFonts w:cs="Times New Roman"/>
                <w:kern w:val="0"/>
                <w:sz w:val="20"/>
              </w:rPr>
              <w:t>140</w:t>
            </w:r>
          </w:p>
        </w:tc>
        <w:tc>
          <w:tcPr>
            <w:tcW w:w="1443" w:type="dxa"/>
            <w:vAlign w:val="center"/>
          </w:tcPr>
          <w:p w14:paraId="34589482">
            <w:pPr>
              <w:pStyle w:val="81"/>
              <w:rPr>
                <w:rFonts w:cs="Times New Roman"/>
                <w:kern w:val="0"/>
                <w:sz w:val="20"/>
              </w:rPr>
            </w:pPr>
            <w:r>
              <w:rPr>
                <w:rFonts w:cs="Times New Roman"/>
                <w:kern w:val="0"/>
                <w:sz w:val="20"/>
              </w:rPr>
              <w:t>1.68</w:t>
            </w:r>
          </w:p>
        </w:tc>
        <w:tc>
          <w:tcPr>
            <w:tcW w:w="1125" w:type="dxa"/>
            <w:vAlign w:val="center"/>
          </w:tcPr>
          <w:p w14:paraId="5836E95F">
            <w:pPr>
              <w:pStyle w:val="81"/>
              <w:rPr>
                <w:rFonts w:cs="Times New Roman"/>
                <w:kern w:val="0"/>
                <w:sz w:val="20"/>
              </w:rPr>
            </w:pPr>
            <w:r>
              <w:rPr>
                <w:rFonts w:cs="Times New Roman"/>
                <w:kern w:val="0"/>
                <w:sz w:val="20"/>
              </w:rPr>
              <w:t>97.1</w:t>
            </w:r>
          </w:p>
        </w:tc>
      </w:tr>
      <w:tr w14:paraId="689A2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19269A00">
            <w:pPr>
              <w:pStyle w:val="81"/>
              <w:rPr>
                <w:rFonts w:cs="Times New Roman"/>
                <w:kern w:val="0"/>
                <w:sz w:val="20"/>
              </w:rPr>
            </w:pPr>
            <w:r>
              <w:rPr>
                <w:rFonts w:cs="Times New Roman"/>
                <w:kern w:val="0"/>
                <w:sz w:val="20"/>
              </w:rPr>
              <w:t>19</w:t>
            </w:r>
          </w:p>
        </w:tc>
        <w:tc>
          <w:tcPr>
            <w:tcW w:w="1425" w:type="dxa"/>
            <w:vAlign w:val="center"/>
          </w:tcPr>
          <w:p w14:paraId="1023B910">
            <w:pPr>
              <w:pStyle w:val="81"/>
              <w:rPr>
                <w:rFonts w:cs="Times New Roman"/>
                <w:kern w:val="0"/>
                <w:sz w:val="20"/>
              </w:rPr>
            </w:pPr>
            <w:r>
              <w:rPr>
                <w:rFonts w:cs="Times New Roman"/>
                <w:kern w:val="0"/>
                <w:sz w:val="20"/>
              </w:rPr>
              <w:t>150</w:t>
            </w:r>
          </w:p>
        </w:tc>
        <w:tc>
          <w:tcPr>
            <w:tcW w:w="1256" w:type="dxa"/>
            <w:vAlign w:val="center"/>
          </w:tcPr>
          <w:p w14:paraId="7F8AB893">
            <w:pPr>
              <w:pStyle w:val="81"/>
              <w:rPr>
                <w:rFonts w:cs="Times New Roman"/>
                <w:kern w:val="0"/>
                <w:sz w:val="20"/>
              </w:rPr>
            </w:pPr>
            <w:r>
              <w:rPr>
                <w:rFonts w:cs="Times New Roman"/>
                <w:kern w:val="0"/>
                <w:sz w:val="20"/>
              </w:rPr>
              <w:t>12.6</w:t>
            </w:r>
          </w:p>
        </w:tc>
        <w:tc>
          <w:tcPr>
            <w:tcW w:w="1575" w:type="dxa"/>
            <w:vAlign w:val="center"/>
          </w:tcPr>
          <w:p w14:paraId="35F145B4">
            <w:pPr>
              <w:pStyle w:val="81"/>
              <w:rPr>
                <w:rFonts w:cs="Times New Roman"/>
                <w:kern w:val="0"/>
                <w:sz w:val="20"/>
              </w:rPr>
            </w:pPr>
            <w:r>
              <w:rPr>
                <w:rFonts w:cs="Times New Roman"/>
                <w:kern w:val="0"/>
                <w:sz w:val="20"/>
              </w:rPr>
              <w:t>2.2</w:t>
            </w:r>
          </w:p>
        </w:tc>
        <w:tc>
          <w:tcPr>
            <w:tcW w:w="1294" w:type="dxa"/>
            <w:vAlign w:val="center"/>
          </w:tcPr>
          <w:p w14:paraId="04B0B5E8">
            <w:pPr>
              <w:pStyle w:val="81"/>
              <w:rPr>
                <w:rFonts w:cs="Times New Roman"/>
                <w:kern w:val="0"/>
                <w:sz w:val="20"/>
              </w:rPr>
            </w:pPr>
            <w:r>
              <w:rPr>
                <w:rFonts w:cs="Times New Roman"/>
                <w:kern w:val="0"/>
                <w:sz w:val="20"/>
              </w:rPr>
              <w:t>205</w:t>
            </w:r>
          </w:p>
        </w:tc>
        <w:tc>
          <w:tcPr>
            <w:tcW w:w="1443" w:type="dxa"/>
            <w:vAlign w:val="center"/>
          </w:tcPr>
          <w:p w14:paraId="684BCB9E">
            <w:pPr>
              <w:pStyle w:val="81"/>
              <w:rPr>
                <w:rFonts w:cs="Times New Roman"/>
                <w:kern w:val="0"/>
                <w:sz w:val="20"/>
              </w:rPr>
            </w:pPr>
            <w:r>
              <w:rPr>
                <w:rFonts w:cs="Times New Roman"/>
                <w:kern w:val="0"/>
                <w:sz w:val="20"/>
              </w:rPr>
              <w:t>7.91</w:t>
            </w:r>
          </w:p>
        </w:tc>
        <w:tc>
          <w:tcPr>
            <w:tcW w:w="1125" w:type="dxa"/>
            <w:vAlign w:val="center"/>
          </w:tcPr>
          <w:p w14:paraId="11F2FB61">
            <w:pPr>
              <w:pStyle w:val="81"/>
              <w:rPr>
                <w:rFonts w:cs="Times New Roman"/>
                <w:kern w:val="0"/>
                <w:sz w:val="20"/>
              </w:rPr>
            </w:pPr>
            <w:r>
              <w:rPr>
                <w:rFonts w:cs="Times New Roman"/>
                <w:kern w:val="0"/>
                <w:sz w:val="20"/>
              </w:rPr>
              <w:t>82.5</w:t>
            </w:r>
          </w:p>
        </w:tc>
      </w:tr>
      <w:tr w14:paraId="657FB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2BCCCEE1">
            <w:pPr>
              <w:pStyle w:val="81"/>
              <w:rPr>
                <w:rFonts w:cs="Times New Roman"/>
                <w:kern w:val="0"/>
                <w:sz w:val="20"/>
              </w:rPr>
            </w:pPr>
            <w:r>
              <w:rPr>
                <w:rFonts w:cs="Times New Roman"/>
                <w:kern w:val="0"/>
                <w:sz w:val="20"/>
              </w:rPr>
              <w:t>20</w:t>
            </w:r>
          </w:p>
        </w:tc>
        <w:tc>
          <w:tcPr>
            <w:tcW w:w="1425" w:type="dxa"/>
            <w:vAlign w:val="center"/>
          </w:tcPr>
          <w:p w14:paraId="21DC0ABF">
            <w:pPr>
              <w:pStyle w:val="81"/>
              <w:rPr>
                <w:rFonts w:cs="Times New Roman"/>
                <w:kern w:val="0"/>
                <w:sz w:val="20"/>
              </w:rPr>
            </w:pPr>
            <w:r>
              <w:rPr>
                <w:rFonts w:cs="Times New Roman"/>
                <w:kern w:val="0"/>
                <w:sz w:val="20"/>
              </w:rPr>
              <w:t>/</w:t>
            </w:r>
          </w:p>
        </w:tc>
        <w:tc>
          <w:tcPr>
            <w:tcW w:w="1256" w:type="dxa"/>
            <w:vAlign w:val="center"/>
          </w:tcPr>
          <w:p w14:paraId="514A74B7">
            <w:pPr>
              <w:pStyle w:val="81"/>
              <w:rPr>
                <w:rFonts w:cs="Times New Roman"/>
                <w:kern w:val="0"/>
                <w:sz w:val="20"/>
              </w:rPr>
            </w:pPr>
            <w:r>
              <w:rPr>
                <w:rFonts w:cs="Times New Roman"/>
                <w:kern w:val="0"/>
                <w:sz w:val="20"/>
              </w:rPr>
              <w:t>14</w:t>
            </w:r>
          </w:p>
        </w:tc>
        <w:tc>
          <w:tcPr>
            <w:tcW w:w="1575" w:type="dxa"/>
            <w:vAlign w:val="center"/>
          </w:tcPr>
          <w:p w14:paraId="010CD77E">
            <w:pPr>
              <w:pStyle w:val="81"/>
              <w:rPr>
                <w:rFonts w:cs="Times New Roman"/>
                <w:kern w:val="0"/>
                <w:sz w:val="20"/>
              </w:rPr>
            </w:pPr>
            <w:r>
              <w:rPr>
                <w:rFonts w:cs="Times New Roman"/>
                <w:kern w:val="0"/>
                <w:sz w:val="20"/>
              </w:rPr>
              <w:t>0.64</w:t>
            </w:r>
          </w:p>
        </w:tc>
        <w:tc>
          <w:tcPr>
            <w:tcW w:w="1294" w:type="dxa"/>
            <w:vAlign w:val="center"/>
          </w:tcPr>
          <w:p w14:paraId="2E941AC8">
            <w:pPr>
              <w:pStyle w:val="81"/>
              <w:rPr>
                <w:rFonts w:cs="Times New Roman"/>
                <w:kern w:val="0"/>
                <w:sz w:val="20"/>
              </w:rPr>
            </w:pPr>
            <w:r>
              <w:rPr>
                <w:rFonts w:cs="Times New Roman"/>
                <w:kern w:val="0"/>
                <w:sz w:val="20"/>
              </w:rPr>
              <w:t>70.5</w:t>
            </w:r>
          </w:p>
        </w:tc>
        <w:tc>
          <w:tcPr>
            <w:tcW w:w="1443" w:type="dxa"/>
            <w:vAlign w:val="center"/>
          </w:tcPr>
          <w:p w14:paraId="3CBE52CD">
            <w:pPr>
              <w:pStyle w:val="81"/>
              <w:rPr>
                <w:rFonts w:cs="Times New Roman"/>
                <w:kern w:val="0"/>
                <w:sz w:val="20"/>
              </w:rPr>
            </w:pPr>
            <w:r>
              <w:rPr>
                <w:rFonts w:cs="Times New Roman"/>
                <w:kern w:val="0"/>
                <w:sz w:val="20"/>
              </w:rPr>
              <w:t>8.44</w:t>
            </w:r>
          </w:p>
        </w:tc>
        <w:tc>
          <w:tcPr>
            <w:tcW w:w="1125" w:type="dxa"/>
            <w:vAlign w:val="center"/>
          </w:tcPr>
          <w:p w14:paraId="00652D11">
            <w:pPr>
              <w:pStyle w:val="81"/>
              <w:rPr>
                <w:rFonts w:cs="Times New Roman"/>
                <w:kern w:val="0"/>
                <w:sz w:val="20"/>
              </w:rPr>
            </w:pPr>
            <w:r>
              <w:rPr>
                <w:rFonts w:cs="Times New Roman"/>
                <w:kern w:val="0"/>
                <w:sz w:val="20"/>
              </w:rPr>
              <w:t>95.4</w:t>
            </w:r>
          </w:p>
        </w:tc>
      </w:tr>
      <w:tr w14:paraId="62CF6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69C2C468">
            <w:pPr>
              <w:pStyle w:val="81"/>
              <w:rPr>
                <w:rFonts w:cs="Times New Roman"/>
                <w:kern w:val="0"/>
                <w:sz w:val="20"/>
              </w:rPr>
            </w:pPr>
            <w:r>
              <w:rPr>
                <w:rFonts w:cs="Times New Roman"/>
                <w:kern w:val="0"/>
                <w:sz w:val="20"/>
              </w:rPr>
              <w:t>21</w:t>
            </w:r>
          </w:p>
        </w:tc>
        <w:tc>
          <w:tcPr>
            <w:tcW w:w="1425" w:type="dxa"/>
            <w:vAlign w:val="center"/>
          </w:tcPr>
          <w:p w14:paraId="7DE5317E">
            <w:pPr>
              <w:pStyle w:val="81"/>
              <w:rPr>
                <w:rFonts w:cs="Times New Roman"/>
                <w:kern w:val="0"/>
                <w:sz w:val="20"/>
              </w:rPr>
            </w:pPr>
            <w:r>
              <w:rPr>
                <w:rFonts w:cs="Times New Roman"/>
                <w:kern w:val="0"/>
                <w:sz w:val="20"/>
              </w:rPr>
              <w:t>/</w:t>
            </w:r>
          </w:p>
        </w:tc>
        <w:tc>
          <w:tcPr>
            <w:tcW w:w="1256" w:type="dxa"/>
            <w:vAlign w:val="center"/>
          </w:tcPr>
          <w:p w14:paraId="749B5EC6">
            <w:pPr>
              <w:pStyle w:val="81"/>
              <w:rPr>
                <w:rFonts w:cs="Times New Roman"/>
                <w:kern w:val="0"/>
                <w:sz w:val="20"/>
              </w:rPr>
            </w:pPr>
            <w:r>
              <w:rPr>
                <w:rFonts w:cs="Times New Roman"/>
                <w:kern w:val="0"/>
                <w:sz w:val="20"/>
              </w:rPr>
              <w:t>15.5</w:t>
            </w:r>
          </w:p>
        </w:tc>
        <w:tc>
          <w:tcPr>
            <w:tcW w:w="1575" w:type="dxa"/>
            <w:vAlign w:val="center"/>
          </w:tcPr>
          <w:p w14:paraId="5E4E1943">
            <w:pPr>
              <w:pStyle w:val="81"/>
              <w:rPr>
                <w:rFonts w:cs="Times New Roman"/>
                <w:kern w:val="0"/>
                <w:sz w:val="20"/>
              </w:rPr>
            </w:pPr>
            <w:r>
              <w:rPr>
                <w:rFonts w:cs="Times New Roman"/>
                <w:kern w:val="0"/>
                <w:sz w:val="20"/>
              </w:rPr>
              <w:t>0.87</w:t>
            </w:r>
          </w:p>
        </w:tc>
        <w:tc>
          <w:tcPr>
            <w:tcW w:w="1294" w:type="dxa"/>
            <w:vAlign w:val="center"/>
          </w:tcPr>
          <w:p w14:paraId="2AF8621D">
            <w:pPr>
              <w:pStyle w:val="81"/>
              <w:rPr>
                <w:rFonts w:cs="Times New Roman"/>
                <w:kern w:val="0"/>
                <w:sz w:val="20"/>
              </w:rPr>
            </w:pPr>
            <w:r>
              <w:rPr>
                <w:rFonts w:cs="Times New Roman"/>
                <w:kern w:val="0"/>
                <w:sz w:val="20"/>
              </w:rPr>
              <w:t>226</w:t>
            </w:r>
          </w:p>
        </w:tc>
        <w:tc>
          <w:tcPr>
            <w:tcW w:w="1443" w:type="dxa"/>
            <w:vAlign w:val="center"/>
          </w:tcPr>
          <w:p w14:paraId="19902CE3">
            <w:pPr>
              <w:pStyle w:val="81"/>
              <w:rPr>
                <w:rFonts w:cs="Times New Roman"/>
                <w:kern w:val="0"/>
                <w:sz w:val="20"/>
              </w:rPr>
            </w:pPr>
            <w:r>
              <w:rPr>
                <w:rFonts w:cs="Times New Roman"/>
                <w:kern w:val="0"/>
                <w:sz w:val="20"/>
              </w:rPr>
              <w:t>5.73</w:t>
            </w:r>
          </w:p>
        </w:tc>
        <w:tc>
          <w:tcPr>
            <w:tcW w:w="1125" w:type="dxa"/>
            <w:vAlign w:val="center"/>
          </w:tcPr>
          <w:p w14:paraId="0AED318B">
            <w:pPr>
              <w:pStyle w:val="81"/>
              <w:rPr>
                <w:rFonts w:cs="Times New Roman"/>
                <w:kern w:val="0"/>
                <w:sz w:val="20"/>
              </w:rPr>
            </w:pPr>
            <w:r>
              <w:rPr>
                <w:rFonts w:cs="Times New Roman"/>
                <w:kern w:val="0"/>
                <w:sz w:val="20"/>
              </w:rPr>
              <w:t>94.3</w:t>
            </w:r>
          </w:p>
        </w:tc>
      </w:tr>
      <w:tr w14:paraId="46098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3DCDB31E">
            <w:pPr>
              <w:pStyle w:val="81"/>
              <w:rPr>
                <w:rFonts w:cs="Times New Roman"/>
                <w:kern w:val="0"/>
                <w:sz w:val="20"/>
              </w:rPr>
            </w:pPr>
            <w:r>
              <w:rPr>
                <w:rFonts w:cs="Times New Roman"/>
                <w:kern w:val="0"/>
                <w:sz w:val="20"/>
              </w:rPr>
              <w:t>22</w:t>
            </w:r>
          </w:p>
        </w:tc>
        <w:tc>
          <w:tcPr>
            <w:tcW w:w="1425" w:type="dxa"/>
            <w:vAlign w:val="center"/>
          </w:tcPr>
          <w:p w14:paraId="3554A065">
            <w:pPr>
              <w:pStyle w:val="81"/>
              <w:rPr>
                <w:rFonts w:cs="Times New Roman"/>
                <w:kern w:val="0"/>
                <w:sz w:val="20"/>
              </w:rPr>
            </w:pPr>
            <w:r>
              <w:rPr>
                <w:rFonts w:cs="Times New Roman"/>
                <w:kern w:val="0"/>
                <w:sz w:val="20"/>
              </w:rPr>
              <w:t>20</w:t>
            </w:r>
          </w:p>
        </w:tc>
        <w:tc>
          <w:tcPr>
            <w:tcW w:w="1256" w:type="dxa"/>
            <w:vAlign w:val="center"/>
          </w:tcPr>
          <w:p w14:paraId="20B3C997">
            <w:pPr>
              <w:pStyle w:val="81"/>
              <w:rPr>
                <w:rFonts w:cs="Times New Roman"/>
                <w:kern w:val="0"/>
                <w:sz w:val="20"/>
              </w:rPr>
            </w:pPr>
            <w:r>
              <w:rPr>
                <w:rFonts w:cs="Times New Roman"/>
                <w:kern w:val="0"/>
                <w:sz w:val="20"/>
              </w:rPr>
              <w:t>13.1</w:t>
            </w:r>
          </w:p>
        </w:tc>
        <w:tc>
          <w:tcPr>
            <w:tcW w:w="1575" w:type="dxa"/>
            <w:vAlign w:val="center"/>
          </w:tcPr>
          <w:p w14:paraId="7070F4D4">
            <w:pPr>
              <w:pStyle w:val="81"/>
              <w:rPr>
                <w:rFonts w:cs="Times New Roman"/>
                <w:kern w:val="0"/>
                <w:sz w:val="20"/>
              </w:rPr>
            </w:pPr>
            <w:r>
              <w:rPr>
                <w:rFonts w:cs="Times New Roman"/>
                <w:kern w:val="0"/>
                <w:sz w:val="20"/>
              </w:rPr>
              <w:t>/</w:t>
            </w:r>
          </w:p>
        </w:tc>
        <w:tc>
          <w:tcPr>
            <w:tcW w:w="1294" w:type="dxa"/>
            <w:vAlign w:val="center"/>
          </w:tcPr>
          <w:p w14:paraId="18257633">
            <w:pPr>
              <w:pStyle w:val="81"/>
              <w:rPr>
                <w:rFonts w:cs="Times New Roman"/>
                <w:kern w:val="0"/>
                <w:sz w:val="20"/>
              </w:rPr>
            </w:pPr>
            <w:r>
              <w:rPr>
                <w:rFonts w:cs="Times New Roman"/>
                <w:kern w:val="0"/>
                <w:sz w:val="20"/>
              </w:rPr>
              <w:t>553</w:t>
            </w:r>
          </w:p>
        </w:tc>
        <w:tc>
          <w:tcPr>
            <w:tcW w:w="1443" w:type="dxa"/>
            <w:vAlign w:val="center"/>
          </w:tcPr>
          <w:p w14:paraId="16833D6D">
            <w:pPr>
              <w:pStyle w:val="81"/>
              <w:rPr>
                <w:rFonts w:cs="Times New Roman"/>
                <w:kern w:val="0"/>
                <w:sz w:val="20"/>
              </w:rPr>
            </w:pPr>
            <w:r>
              <w:rPr>
                <w:rFonts w:cs="Times New Roman"/>
                <w:kern w:val="0"/>
                <w:sz w:val="20"/>
              </w:rPr>
              <w:t>/</w:t>
            </w:r>
          </w:p>
        </w:tc>
        <w:tc>
          <w:tcPr>
            <w:tcW w:w="1125" w:type="dxa"/>
            <w:vAlign w:val="center"/>
          </w:tcPr>
          <w:p w14:paraId="0EAD44BD">
            <w:pPr>
              <w:pStyle w:val="81"/>
              <w:rPr>
                <w:rFonts w:cs="Times New Roman"/>
                <w:kern w:val="0"/>
                <w:sz w:val="20"/>
              </w:rPr>
            </w:pPr>
            <w:r>
              <w:rPr>
                <w:rFonts w:cs="Times New Roman"/>
                <w:kern w:val="0"/>
                <w:sz w:val="20"/>
              </w:rPr>
              <w:t>/</w:t>
            </w:r>
          </w:p>
        </w:tc>
      </w:tr>
      <w:tr w14:paraId="48AB8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5B94426B">
            <w:pPr>
              <w:pStyle w:val="81"/>
              <w:rPr>
                <w:rFonts w:cs="Times New Roman"/>
                <w:kern w:val="0"/>
                <w:sz w:val="20"/>
              </w:rPr>
            </w:pPr>
            <w:r>
              <w:rPr>
                <w:rFonts w:cs="Times New Roman"/>
                <w:kern w:val="0"/>
                <w:sz w:val="20"/>
              </w:rPr>
              <w:t>23</w:t>
            </w:r>
          </w:p>
        </w:tc>
        <w:tc>
          <w:tcPr>
            <w:tcW w:w="1425" w:type="dxa"/>
            <w:vAlign w:val="center"/>
          </w:tcPr>
          <w:p w14:paraId="5F41E472">
            <w:pPr>
              <w:pStyle w:val="81"/>
              <w:rPr>
                <w:rFonts w:cs="Times New Roman"/>
                <w:kern w:val="0"/>
                <w:sz w:val="20"/>
              </w:rPr>
            </w:pPr>
            <w:r>
              <w:rPr>
                <w:rFonts w:cs="Times New Roman"/>
                <w:kern w:val="0"/>
                <w:sz w:val="20"/>
              </w:rPr>
              <w:t>5</w:t>
            </w:r>
          </w:p>
        </w:tc>
        <w:tc>
          <w:tcPr>
            <w:tcW w:w="1256" w:type="dxa"/>
            <w:vAlign w:val="center"/>
          </w:tcPr>
          <w:p w14:paraId="0091F986">
            <w:pPr>
              <w:pStyle w:val="81"/>
              <w:rPr>
                <w:rFonts w:cs="Times New Roman"/>
                <w:kern w:val="0"/>
                <w:sz w:val="20"/>
              </w:rPr>
            </w:pPr>
            <w:r>
              <w:rPr>
                <w:rFonts w:cs="Times New Roman"/>
                <w:kern w:val="0"/>
                <w:sz w:val="20"/>
              </w:rPr>
              <w:t>7.2</w:t>
            </w:r>
          </w:p>
        </w:tc>
        <w:tc>
          <w:tcPr>
            <w:tcW w:w="1575" w:type="dxa"/>
            <w:vAlign w:val="center"/>
          </w:tcPr>
          <w:p w14:paraId="4EAB0A40">
            <w:pPr>
              <w:pStyle w:val="81"/>
              <w:rPr>
                <w:rFonts w:cs="Times New Roman"/>
                <w:kern w:val="0"/>
                <w:sz w:val="20"/>
              </w:rPr>
            </w:pPr>
            <w:r>
              <w:rPr>
                <w:rFonts w:cs="Times New Roman"/>
                <w:kern w:val="0"/>
                <w:sz w:val="20"/>
              </w:rPr>
              <w:t>0.01</w:t>
            </w:r>
          </w:p>
        </w:tc>
        <w:tc>
          <w:tcPr>
            <w:tcW w:w="1294" w:type="dxa"/>
            <w:vAlign w:val="center"/>
          </w:tcPr>
          <w:p w14:paraId="7D951685">
            <w:pPr>
              <w:pStyle w:val="81"/>
              <w:rPr>
                <w:rFonts w:cs="Times New Roman"/>
                <w:kern w:val="0"/>
                <w:sz w:val="20"/>
              </w:rPr>
            </w:pPr>
            <w:r>
              <w:rPr>
                <w:rFonts w:cs="Times New Roman"/>
                <w:kern w:val="0"/>
                <w:sz w:val="20"/>
              </w:rPr>
              <w:t>741</w:t>
            </w:r>
          </w:p>
        </w:tc>
        <w:tc>
          <w:tcPr>
            <w:tcW w:w="1443" w:type="dxa"/>
            <w:vAlign w:val="center"/>
          </w:tcPr>
          <w:p w14:paraId="5969C804">
            <w:pPr>
              <w:pStyle w:val="81"/>
              <w:rPr>
                <w:rFonts w:cs="Times New Roman"/>
                <w:kern w:val="0"/>
                <w:sz w:val="20"/>
              </w:rPr>
            </w:pPr>
            <w:r>
              <w:rPr>
                <w:rFonts w:cs="Times New Roman"/>
                <w:kern w:val="0"/>
                <w:sz w:val="20"/>
              </w:rPr>
              <w:t>2.43</w:t>
            </w:r>
          </w:p>
        </w:tc>
        <w:tc>
          <w:tcPr>
            <w:tcW w:w="1125" w:type="dxa"/>
            <w:vAlign w:val="center"/>
          </w:tcPr>
          <w:p w14:paraId="5F2BA468">
            <w:pPr>
              <w:pStyle w:val="81"/>
              <w:rPr>
                <w:rFonts w:cs="Times New Roman"/>
                <w:kern w:val="0"/>
                <w:sz w:val="20"/>
              </w:rPr>
            </w:pPr>
            <w:r>
              <w:rPr>
                <w:rFonts w:cs="Times New Roman"/>
                <w:kern w:val="0"/>
                <w:sz w:val="20"/>
              </w:rPr>
              <w:t>99.8</w:t>
            </w:r>
          </w:p>
        </w:tc>
      </w:tr>
      <w:tr w14:paraId="4CC08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2C1115B0">
            <w:pPr>
              <w:pStyle w:val="81"/>
              <w:rPr>
                <w:rFonts w:cs="Times New Roman"/>
                <w:kern w:val="0"/>
                <w:sz w:val="20"/>
              </w:rPr>
            </w:pPr>
            <w:r>
              <w:rPr>
                <w:rFonts w:cs="Times New Roman"/>
                <w:kern w:val="0"/>
                <w:sz w:val="20"/>
              </w:rPr>
              <w:t>24</w:t>
            </w:r>
          </w:p>
        </w:tc>
        <w:tc>
          <w:tcPr>
            <w:tcW w:w="1425" w:type="dxa"/>
            <w:vAlign w:val="center"/>
          </w:tcPr>
          <w:p w14:paraId="297E9E94">
            <w:pPr>
              <w:pStyle w:val="81"/>
              <w:rPr>
                <w:rFonts w:cs="Times New Roman"/>
                <w:kern w:val="0"/>
                <w:sz w:val="20"/>
              </w:rPr>
            </w:pPr>
            <w:r>
              <w:rPr>
                <w:rFonts w:cs="Times New Roman"/>
                <w:kern w:val="0"/>
                <w:sz w:val="20"/>
              </w:rPr>
              <w:t>12600</w:t>
            </w:r>
          </w:p>
        </w:tc>
        <w:tc>
          <w:tcPr>
            <w:tcW w:w="1256" w:type="dxa"/>
            <w:vAlign w:val="center"/>
          </w:tcPr>
          <w:p w14:paraId="7CEE193C">
            <w:pPr>
              <w:pStyle w:val="81"/>
              <w:rPr>
                <w:rFonts w:cs="Times New Roman"/>
                <w:kern w:val="0"/>
                <w:sz w:val="20"/>
              </w:rPr>
            </w:pPr>
            <w:r>
              <w:rPr>
                <w:rFonts w:cs="Times New Roman"/>
                <w:kern w:val="0"/>
                <w:sz w:val="20"/>
              </w:rPr>
              <w:t>5.8</w:t>
            </w:r>
          </w:p>
        </w:tc>
        <w:tc>
          <w:tcPr>
            <w:tcW w:w="1575" w:type="dxa"/>
            <w:vAlign w:val="center"/>
          </w:tcPr>
          <w:p w14:paraId="37818608">
            <w:pPr>
              <w:pStyle w:val="81"/>
              <w:rPr>
                <w:rFonts w:cs="Times New Roman"/>
                <w:kern w:val="0"/>
                <w:sz w:val="20"/>
              </w:rPr>
            </w:pPr>
            <w:r>
              <w:rPr>
                <w:rFonts w:cs="Times New Roman"/>
                <w:kern w:val="0"/>
                <w:sz w:val="20"/>
              </w:rPr>
              <w:t>3.62</w:t>
            </w:r>
          </w:p>
        </w:tc>
        <w:tc>
          <w:tcPr>
            <w:tcW w:w="1294" w:type="dxa"/>
            <w:vAlign w:val="center"/>
          </w:tcPr>
          <w:p w14:paraId="31C3250F">
            <w:pPr>
              <w:pStyle w:val="81"/>
              <w:rPr>
                <w:rFonts w:cs="Times New Roman"/>
                <w:kern w:val="0"/>
                <w:sz w:val="20"/>
              </w:rPr>
            </w:pPr>
            <w:r>
              <w:rPr>
                <w:rFonts w:cs="Times New Roman"/>
                <w:kern w:val="0"/>
                <w:sz w:val="20"/>
              </w:rPr>
              <w:t>71.6</w:t>
            </w:r>
          </w:p>
        </w:tc>
        <w:tc>
          <w:tcPr>
            <w:tcW w:w="1443" w:type="dxa"/>
            <w:vAlign w:val="center"/>
          </w:tcPr>
          <w:p w14:paraId="6537DC55">
            <w:pPr>
              <w:pStyle w:val="81"/>
              <w:rPr>
                <w:rFonts w:cs="Times New Roman"/>
                <w:kern w:val="0"/>
                <w:sz w:val="20"/>
              </w:rPr>
            </w:pPr>
            <w:r>
              <w:rPr>
                <w:rFonts w:cs="Times New Roman"/>
                <w:kern w:val="0"/>
                <w:sz w:val="20"/>
              </w:rPr>
              <w:t>17.4</w:t>
            </w:r>
          </w:p>
        </w:tc>
        <w:tc>
          <w:tcPr>
            <w:tcW w:w="1125" w:type="dxa"/>
            <w:vAlign w:val="center"/>
          </w:tcPr>
          <w:p w14:paraId="68B45CC3">
            <w:pPr>
              <w:pStyle w:val="81"/>
              <w:rPr>
                <w:rFonts w:cs="Times New Roman"/>
                <w:kern w:val="0"/>
                <w:sz w:val="20"/>
              </w:rPr>
            </w:pPr>
            <w:r>
              <w:rPr>
                <w:rFonts w:cs="Times New Roman"/>
                <w:kern w:val="0"/>
                <w:sz w:val="20"/>
              </w:rPr>
              <w:t>37.6</w:t>
            </w:r>
          </w:p>
        </w:tc>
      </w:tr>
      <w:tr w14:paraId="21CAE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3B51A571">
            <w:pPr>
              <w:pStyle w:val="81"/>
              <w:rPr>
                <w:rFonts w:cs="Times New Roman"/>
                <w:kern w:val="0"/>
                <w:sz w:val="20"/>
              </w:rPr>
            </w:pPr>
            <w:r>
              <w:rPr>
                <w:rFonts w:cs="Times New Roman"/>
                <w:kern w:val="0"/>
                <w:sz w:val="20"/>
              </w:rPr>
              <w:t>25</w:t>
            </w:r>
          </w:p>
        </w:tc>
        <w:tc>
          <w:tcPr>
            <w:tcW w:w="1425" w:type="dxa"/>
            <w:vAlign w:val="center"/>
          </w:tcPr>
          <w:p w14:paraId="17339E20">
            <w:pPr>
              <w:pStyle w:val="81"/>
              <w:rPr>
                <w:rFonts w:cs="Times New Roman"/>
                <w:kern w:val="0"/>
                <w:sz w:val="20"/>
              </w:rPr>
            </w:pPr>
            <w:r>
              <w:rPr>
                <w:rFonts w:cs="Times New Roman"/>
                <w:kern w:val="0"/>
                <w:sz w:val="20"/>
              </w:rPr>
              <w:t>2800</w:t>
            </w:r>
          </w:p>
        </w:tc>
        <w:tc>
          <w:tcPr>
            <w:tcW w:w="1256" w:type="dxa"/>
            <w:vAlign w:val="center"/>
          </w:tcPr>
          <w:p w14:paraId="47E7705E">
            <w:pPr>
              <w:pStyle w:val="81"/>
              <w:rPr>
                <w:rFonts w:cs="Times New Roman"/>
                <w:kern w:val="0"/>
                <w:sz w:val="20"/>
              </w:rPr>
            </w:pPr>
            <w:r>
              <w:rPr>
                <w:rFonts w:cs="Times New Roman"/>
                <w:kern w:val="0"/>
                <w:sz w:val="20"/>
              </w:rPr>
              <w:t>53.1</w:t>
            </w:r>
          </w:p>
        </w:tc>
        <w:tc>
          <w:tcPr>
            <w:tcW w:w="1575" w:type="dxa"/>
            <w:vAlign w:val="center"/>
          </w:tcPr>
          <w:p w14:paraId="3FDCDF68">
            <w:pPr>
              <w:pStyle w:val="81"/>
              <w:rPr>
                <w:rFonts w:cs="Times New Roman"/>
                <w:kern w:val="0"/>
                <w:sz w:val="20"/>
              </w:rPr>
            </w:pPr>
            <w:r>
              <w:rPr>
                <w:rFonts w:cs="Times New Roman"/>
                <w:kern w:val="0"/>
                <w:sz w:val="20"/>
              </w:rPr>
              <w:t>0.189</w:t>
            </w:r>
          </w:p>
        </w:tc>
        <w:tc>
          <w:tcPr>
            <w:tcW w:w="1294" w:type="dxa"/>
            <w:vAlign w:val="center"/>
          </w:tcPr>
          <w:p w14:paraId="419529FC">
            <w:pPr>
              <w:pStyle w:val="81"/>
              <w:rPr>
                <w:rFonts w:cs="Times New Roman"/>
                <w:kern w:val="0"/>
                <w:sz w:val="20"/>
              </w:rPr>
            </w:pPr>
            <w:r>
              <w:rPr>
                <w:rFonts w:cs="Times New Roman"/>
                <w:kern w:val="0"/>
                <w:sz w:val="20"/>
              </w:rPr>
              <w:t>624</w:t>
            </w:r>
          </w:p>
        </w:tc>
        <w:tc>
          <w:tcPr>
            <w:tcW w:w="1443" w:type="dxa"/>
            <w:vAlign w:val="center"/>
          </w:tcPr>
          <w:p w14:paraId="63151AD5">
            <w:pPr>
              <w:pStyle w:val="81"/>
              <w:rPr>
                <w:rFonts w:cs="Times New Roman"/>
                <w:kern w:val="0"/>
                <w:sz w:val="20"/>
              </w:rPr>
            </w:pPr>
            <w:r>
              <w:rPr>
                <w:rFonts w:cs="Times New Roman"/>
                <w:kern w:val="0"/>
                <w:sz w:val="20"/>
              </w:rPr>
              <w:t>0.544</w:t>
            </w:r>
          </w:p>
        </w:tc>
        <w:tc>
          <w:tcPr>
            <w:tcW w:w="1125" w:type="dxa"/>
            <w:vAlign w:val="center"/>
          </w:tcPr>
          <w:p w14:paraId="0C901EA8">
            <w:pPr>
              <w:pStyle w:val="81"/>
              <w:rPr>
                <w:rFonts w:cs="Times New Roman"/>
                <w:kern w:val="0"/>
                <w:sz w:val="20"/>
              </w:rPr>
            </w:pPr>
            <w:r>
              <w:rPr>
                <w:rFonts w:cs="Times New Roman"/>
                <w:kern w:val="0"/>
                <w:sz w:val="20"/>
              </w:rPr>
              <w:t>99.6</w:t>
            </w:r>
          </w:p>
        </w:tc>
      </w:tr>
      <w:tr w14:paraId="40D69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68" w:type="dxa"/>
            <w:vAlign w:val="center"/>
          </w:tcPr>
          <w:p w14:paraId="16D8FF73">
            <w:pPr>
              <w:pStyle w:val="81"/>
              <w:rPr>
                <w:rFonts w:cs="Times New Roman"/>
                <w:kern w:val="0"/>
                <w:sz w:val="20"/>
              </w:rPr>
            </w:pPr>
            <w:r>
              <w:rPr>
                <w:rFonts w:cs="Times New Roman"/>
                <w:kern w:val="0"/>
                <w:sz w:val="20"/>
              </w:rPr>
              <w:t>26</w:t>
            </w:r>
          </w:p>
        </w:tc>
        <w:tc>
          <w:tcPr>
            <w:tcW w:w="1425" w:type="dxa"/>
            <w:vAlign w:val="center"/>
          </w:tcPr>
          <w:p w14:paraId="6855A1E2">
            <w:pPr>
              <w:pStyle w:val="81"/>
              <w:rPr>
                <w:rFonts w:cs="Times New Roman"/>
                <w:kern w:val="0"/>
                <w:sz w:val="20"/>
              </w:rPr>
            </w:pPr>
            <w:r>
              <w:rPr>
                <w:rFonts w:cs="Times New Roman"/>
                <w:kern w:val="0"/>
                <w:sz w:val="20"/>
              </w:rPr>
              <w:t>2100</w:t>
            </w:r>
          </w:p>
        </w:tc>
        <w:tc>
          <w:tcPr>
            <w:tcW w:w="1256" w:type="dxa"/>
            <w:vAlign w:val="center"/>
          </w:tcPr>
          <w:p w14:paraId="1D2EBF10">
            <w:pPr>
              <w:pStyle w:val="81"/>
              <w:rPr>
                <w:rFonts w:cs="Times New Roman"/>
                <w:kern w:val="0"/>
                <w:sz w:val="20"/>
              </w:rPr>
            </w:pPr>
            <w:r>
              <w:rPr>
                <w:rFonts w:cs="Times New Roman"/>
                <w:kern w:val="0"/>
                <w:sz w:val="20"/>
              </w:rPr>
              <w:t>22.4</w:t>
            </w:r>
          </w:p>
        </w:tc>
        <w:tc>
          <w:tcPr>
            <w:tcW w:w="1575" w:type="dxa"/>
            <w:vAlign w:val="center"/>
          </w:tcPr>
          <w:p w14:paraId="74589AB4">
            <w:pPr>
              <w:pStyle w:val="81"/>
              <w:rPr>
                <w:rFonts w:cs="Times New Roman"/>
                <w:kern w:val="0"/>
                <w:sz w:val="20"/>
              </w:rPr>
            </w:pPr>
            <w:r>
              <w:rPr>
                <w:rFonts w:cs="Times New Roman"/>
                <w:kern w:val="0"/>
                <w:sz w:val="20"/>
              </w:rPr>
              <w:t>0.0105</w:t>
            </w:r>
          </w:p>
        </w:tc>
        <w:tc>
          <w:tcPr>
            <w:tcW w:w="1294" w:type="dxa"/>
            <w:vAlign w:val="center"/>
          </w:tcPr>
          <w:p w14:paraId="64201621">
            <w:pPr>
              <w:pStyle w:val="81"/>
              <w:rPr>
                <w:rFonts w:cs="Times New Roman"/>
                <w:kern w:val="0"/>
                <w:sz w:val="20"/>
              </w:rPr>
            </w:pPr>
            <w:r>
              <w:rPr>
                <w:rFonts w:cs="Times New Roman"/>
                <w:kern w:val="0"/>
                <w:sz w:val="20"/>
              </w:rPr>
              <w:t>3.04</w:t>
            </w:r>
          </w:p>
        </w:tc>
        <w:tc>
          <w:tcPr>
            <w:tcW w:w="1443" w:type="dxa"/>
            <w:vAlign w:val="center"/>
          </w:tcPr>
          <w:p w14:paraId="5ABD3B62">
            <w:pPr>
              <w:pStyle w:val="81"/>
              <w:rPr>
                <w:rFonts w:cs="Times New Roman"/>
                <w:kern w:val="0"/>
                <w:sz w:val="20"/>
              </w:rPr>
            </w:pPr>
            <w:r>
              <w:rPr>
                <w:rFonts w:cs="Times New Roman"/>
                <w:kern w:val="0"/>
                <w:sz w:val="20"/>
              </w:rPr>
              <w:t>0.052</w:t>
            </w:r>
          </w:p>
        </w:tc>
        <w:tc>
          <w:tcPr>
            <w:tcW w:w="1125" w:type="dxa"/>
            <w:vAlign w:val="center"/>
          </w:tcPr>
          <w:p w14:paraId="6A5E1F06">
            <w:pPr>
              <w:pStyle w:val="81"/>
              <w:rPr>
                <w:rFonts w:cs="Times New Roman"/>
                <w:kern w:val="0"/>
                <w:sz w:val="20"/>
              </w:rPr>
            </w:pPr>
            <w:r>
              <w:rPr>
                <w:rFonts w:cs="Times New Roman"/>
                <w:kern w:val="0"/>
                <w:sz w:val="20"/>
              </w:rPr>
              <w:t>99.9</w:t>
            </w:r>
          </w:p>
        </w:tc>
      </w:tr>
    </w:tbl>
    <w:p w14:paraId="772E47CF">
      <w:pPr>
        <w:pStyle w:val="79"/>
        <w:ind w:firstLine="420"/>
        <w:rPr>
          <w:rFonts w:cs="Times New Roman"/>
        </w:rPr>
      </w:pPr>
    </w:p>
    <w:p w14:paraId="537D6673">
      <w:pPr>
        <w:pStyle w:val="80"/>
        <w:ind w:firstLine="480"/>
      </w:pPr>
      <w:r>
        <w:t>（6）磷（P）</w:t>
      </w:r>
    </w:p>
    <w:p w14:paraId="62681751">
      <w:pPr>
        <w:pStyle w:val="61"/>
        <w:rPr>
          <w:rFonts w:cs="Times New Roman"/>
          <w:szCs w:val="24"/>
        </w:rPr>
      </w:pPr>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10</w:t>
      </w:r>
      <w:r>
        <w:rPr>
          <w:rFonts w:cs="Times New Roman"/>
        </w:rPr>
        <w:fldChar w:fldCharType="end"/>
      </w:r>
      <w:r>
        <w:rPr>
          <w:rFonts w:cs="Times New Roman"/>
        </w:rPr>
        <w:t xml:space="preserve">    </w:t>
      </w:r>
      <w:r>
        <w:rPr>
          <w:rFonts w:cs="Times New Roman"/>
          <w:szCs w:val="24"/>
        </w:rPr>
        <w:t>磷排放标准分析表</w:t>
      </w:r>
      <w:bookmarkStart w:id="218" w:name="OLE_LINK68"/>
      <w:bookmarkStart w:id="219" w:name="OLE_LINK67"/>
      <w:r>
        <w:rPr>
          <w:rFonts w:cs="Times New Roman"/>
          <w:szCs w:val="24"/>
        </w:rPr>
        <w:t xml:space="preserve"> </w:t>
      </w:r>
      <w:bookmarkEnd w:id="218"/>
      <w:bookmarkEnd w:id="219"/>
    </w:p>
    <w:tbl>
      <w:tblPr>
        <w:tblStyle w:val="68"/>
        <w:tblW w:w="830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44"/>
        <w:gridCol w:w="3058"/>
      </w:tblGrid>
      <w:tr w14:paraId="3286B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4" w:type="dxa"/>
            <w:vAlign w:val="center"/>
          </w:tcPr>
          <w:p w14:paraId="22FCDE45">
            <w:pPr>
              <w:pStyle w:val="81"/>
              <w:rPr>
                <w:rFonts w:cs="Times New Roman"/>
                <w:kern w:val="0"/>
                <w:sz w:val="20"/>
              </w:rPr>
            </w:pPr>
            <w:r>
              <w:rPr>
                <w:rFonts w:cs="Times New Roman"/>
                <w:kern w:val="0"/>
                <w:sz w:val="20"/>
              </w:rPr>
              <w:t>标准名称</w:t>
            </w:r>
          </w:p>
        </w:tc>
        <w:tc>
          <w:tcPr>
            <w:tcW w:w="3058" w:type="dxa"/>
            <w:vAlign w:val="center"/>
          </w:tcPr>
          <w:p w14:paraId="0FEA6F2A">
            <w:pPr>
              <w:pStyle w:val="81"/>
              <w:rPr>
                <w:rFonts w:cs="Times New Roman"/>
                <w:kern w:val="0"/>
                <w:sz w:val="20"/>
              </w:rPr>
            </w:pPr>
            <w:r>
              <w:rPr>
                <w:rFonts w:cs="Times New Roman"/>
                <w:kern w:val="0"/>
                <w:sz w:val="20"/>
              </w:rPr>
              <w:t>标准值（mg/L）</w:t>
            </w:r>
          </w:p>
        </w:tc>
      </w:tr>
      <w:tr w14:paraId="1D93E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4" w:type="dxa"/>
            <w:vMerge w:val="restart"/>
            <w:vAlign w:val="center"/>
          </w:tcPr>
          <w:p w14:paraId="7D45B002">
            <w:pPr>
              <w:pStyle w:val="81"/>
              <w:rPr>
                <w:rFonts w:cs="Times New Roman"/>
                <w:kern w:val="0"/>
                <w:sz w:val="20"/>
              </w:rPr>
            </w:pPr>
            <w:r>
              <w:rPr>
                <w:rFonts w:cs="Times New Roman"/>
                <w:kern w:val="0"/>
                <w:sz w:val="20"/>
              </w:rPr>
              <w:t>《污水综合排放标准》</w:t>
            </w:r>
          </w:p>
        </w:tc>
        <w:tc>
          <w:tcPr>
            <w:tcW w:w="3058" w:type="dxa"/>
            <w:vAlign w:val="center"/>
          </w:tcPr>
          <w:p w14:paraId="6557D5F0">
            <w:pPr>
              <w:pStyle w:val="81"/>
              <w:rPr>
                <w:rFonts w:cs="Times New Roman"/>
                <w:kern w:val="0"/>
                <w:sz w:val="20"/>
              </w:rPr>
            </w:pPr>
            <w:r>
              <w:rPr>
                <w:rFonts w:cs="Times New Roman"/>
                <w:kern w:val="0"/>
                <w:sz w:val="20"/>
              </w:rPr>
              <w:t>一级0.1，二级、三级0.3</w:t>
            </w:r>
          </w:p>
        </w:tc>
      </w:tr>
      <w:tr w14:paraId="0500E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4" w:type="dxa"/>
            <w:vMerge w:val="continue"/>
            <w:vAlign w:val="center"/>
          </w:tcPr>
          <w:p w14:paraId="151EBAE0">
            <w:pPr>
              <w:pStyle w:val="81"/>
              <w:rPr>
                <w:rFonts w:cs="Times New Roman"/>
                <w:kern w:val="0"/>
                <w:sz w:val="20"/>
              </w:rPr>
            </w:pPr>
          </w:p>
        </w:tc>
        <w:tc>
          <w:tcPr>
            <w:tcW w:w="3058" w:type="dxa"/>
            <w:vAlign w:val="center"/>
          </w:tcPr>
          <w:p w14:paraId="0290CF10">
            <w:pPr>
              <w:pStyle w:val="81"/>
              <w:rPr>
                <w:rFonts w:cs="Times New Roman"/>
                <w:kern w:val="0"/>
                <w:sz w:val="20"/>
              </w:rPr>
            </w:pPr>
            <w:r>
              <w:rPr>
                <w:rFonts w:cs="Times New Roman"/>
                <w:kern w:val="0"/>
                <w:sz w:val="20"/>
              </w:rPr>
              <w:t>一级0.5，二级1.0</w:t>
            </w:r>
          </w:p>
        </w:tc>
      </w:tr>
      <w:tr w14:paraId="046B5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4" w:type="dxa"/>
            <w:vAlign w:val="center"/>
          </w:tcPr>
          <w:p w14:paraId="76F3461B">
            <w:pPr>
              <w:pStyle w:val="81"/>
              <w:rPr>
                <w:rFonts w:cs="Times New Roman"/>
                <w:kern w:val="0"/>
                <w:sz w:val="20"/>
              </w:rPr>
            </w:pPr>
            <w:r>
              <w:rPr>
                <w:rFonts w:cs="Times New Roman"/>
                <w:kern w:val="0"/>
                <w:sz w:val="20"/>
              </w:rPr>
              <w:t>《辽宁省污水综合排放标准》</w:t>
            </w:r>
          </w:p>
        </w:tc>
        <w:tc>
          <w:tcPr>
            <w:tcW w:w="3058" w:type="dxa"/>
            <w:vAlign w:val="center"/>
          </w:tcPr>
          <w:p w14:paraId="52EFBC60">
            <w:pPr>
              <w:pStyle w:val="81"/>
              <w:rPr>
                <w:rFonts w:cs="Times New Roman"/>
                <w:kern w:val="0"/>
                <w:sz w:val="20"/>
              </w:rPr>
            </w:pPr>
            <w:r>
              <w:rPr>
                <w:rFonts w:cs="Times New Roman"/>
                <w:kern w:val="0"/>
                <w:sz w:val="20"/>
              </w:rPr>
              <w:t>0.5</w:t>
            </w:r>
          </w:p>
        </w:tc>
      </w:tr>
      <w:tr w14:paraId="0ED56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4" w:type="dxa"/>
            <w:vAlign w:val="center"/>
          </w:tcPr>
          <w:p w14:paraId="5CEB6E98">
            <w:pPr>
              <w:pStyle w:val="81"/>
              <w:rPr>
                <w:rFonts w:cs="Times New Roman"/>
                <w:kern w:val="0"/>
                <w:sz w:val="20"/>
              </w:rPr>
            </w:pPr>
            <w:r>
              <w:rPr>
                <w:rFonts w:cs="Times New Roman"/>
                <w:kern w:val="0"/>
                <w:sz w:val="20"/>
              </w:rPr>
              <w:t>《大连市海菜加工行业生态环境综合整治指导意见》</w:t>
            </w:r>
          </w:p>
        </w:tc>
        <w:tc>
          <w:tcPr>
            <w:tcW w:w="3058" w:type="dxa"/>
            <w:vAlign w:val="center"/>
          </w:tcPr>
          <w:p w14:paraId="79BC13FD">
            <w:pPr>
              <w:pStyle w:val="81"/>
              <w:rPr>
                <w:rFonts w:cs="Times New Roman"/>
                <w:kern w:val="0"/>
                <w:sz w:val="20"/>
              </w:rPr>
            </w:pPr>
            <w:r>
              <w:rPr>
                <w:rFonts w:cs="Times New Roman"/>
                <w:kern w:val="0"/>
                <w:sz w:val="20"/>
              </w:rPr>
              <w:t>/</w:t>
            </w:r>
          </w:p>
        </w:tc>
      </w:tr>
      <w:tr w14:paraId="3409B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4" w:type="dxa"/>
            <w:vAlign w:val="center"/>
          </w:tcPr>
          <w:p w14:paraId="10B032BB">
            <w:pPr>
              <w:pStyle w:val="81"/>
              <w:rPr>
                <w:rFonts w:cs="Times New Roman"/>
                <w:kern w:val="0"/>
                <w:sz w:val="20"/>
              </w:rPr>
            </w:pPr>
            <w:r>
              <w:rPr>
                <w:rFonts w:cs="Times New Roman"/>
                <w:kern w:val="0"/>
                <w:sz w:val="20"/>
              </w:rPr>
              <w:t>《食品加工制造业水污染物排放标准（征求意见稿）》（2020）</w:t>
            </w:r>
          </w:p>
        </w:tc>
        <w:tc>
          <w:tcPr>
            <w:tcW w:w="3058" w:type="dxa"/>
            <w:vAlign w:val="center"/>
          </w:tcPr>
          <w:p w14:paraId="7173367A">
            <w:pPr>
              <w:pStyle w:val="81"/>
              <w:rPr>
                <w:rFonts w:cs="Times New Roman"/>
                <w:kern w:val="0"/>
                <w:sz w:val="20"/>
              </w:rPr>
            </w:pPr>
            <w:r>
              <w:rPr>
                <w:rFonts w:cs="Times New Roman"/>
                <w:kern w:val="0"/>
                <w:sz w:val="20"/>
              </w:rPr>
              <w:t>1.0</w:t>
            </w:r>
          </w:p>
        </w:tc>
      </w:tr>
    </w:tbl>
    <w:p w14:paraId="07D8F550">
      <w:pPr>
        <w:pStyle w:val="79"/>
        <w:ind w:firstLine="420"/>
        <w:rPr>
          <w:rFonts w:cs="Times New Roman"/>
        </w:rPr>
      </w:pPr>
    </w:p>
    <w:p w14:paraId="69B8BF0C">
      <w:pPr>
        <w:pStyle w:val="80"/>
        <w:ind w:firstLine="480"/>
      </w:pPr>
      <w:r>
        <w:t>2022年所调查30家海菜加工企业漂烫废水处理前废水总磷在2.0~61.4mg/L之间，平均浓度为38.02mg/L。其中，处理前监测数据＞40mg/L的企业有2家，占监测数据企业数的7%。处理后废水总磷监测值在0.21~0.5mg/L之间，平均为0.286mg/L，进行处理的30家企业中，漂烫废水中总磷浓度均能满足辽宁省《污水综合排放标准》要求。</w:t>
      </w:r>
    </w:p>
    <w:p w14:paraId="0BF58618">
      <w:pPr>
        <w:pStyle w:val="80"/>
        <w:ind w:firstLine="480"/>
      </w:pPr>
      <w:r>
        <w:t>2024年26家代表性海菜加工企业漂烫废水总磷监测结果如</w:t>
      </w:r>
      <w:r>
        <w:fldChar w:fldCharType="begin"/>
      </w:r>
      <w:r>
        <w:instrText xml:space="preserve"> REF _Ref196212918 \h  \* MERGEFORMAT </w:instrText>
      </w:r>
      <w:r>
        <w:fldChar w:fldCharType="separate"/>
      </w:r>
      <w:r>
        <w:t>表 3</w:t>
      </w:r>
      <w:r>
        <w:noBreakHyphen/>
      </w:r>
      <w:r>
        <w:t>11</w:t>
      </w:r>
      <w:r>
        <w:fldChar w:fldCharType="end"/>
      </w:r>
      <w:r>
        <w:t>所示。从统计数据看，26家企业排放漂烫废水处理后总磷浓度介于0.004~3.53mg/L，有5家企业的漂烫废水经处理后仍超过辽宁省《污水综合排放标准》中直排标准限值0.5mg/L的限值，占比19%。</w:t>
      </w:r>
    </w:p>
    <w:p w14:paraId="2F962AA9">
      <w:pPr>
        <w:pStyle w:val="80"/>
        <w:ind w:firstLine="480"/>
      </w:pPr>
      <w:r>
        <w:t>综合考虑现行标准和现有企业实际排放废水的监测数据，本标准将漂烫废水总磷直接排放控制限值确定为辽宁省《污水综合排放标准》中直排标准限值。</w:t>
      </w:r>
    </w:p>
    <w:p w14:paraId="120F3FC0">
      <w:pPr>
        <w:pStyle w:val="61"/>
        <w:rPr>
          <w:rFonts w:cs="Times New Roman"/>
        </w:rPr>
      </w:pPr>
      <w:bookmarkStart w:id="220" w:name="_Ref196212918"/>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11</w:t>
      </w:r>
      <w:r>
        <w:rPr>
          <w:rFonts w:cs="Times New Roman"/>
        </w:rPr>
        <w:fldChar w:fldCharType="end"/>
      </w:r>
      <w:bookmarkEnd w:id="220"/>
      <w:r>
        <w:rPr>
          <w:rFonts w:cs="Times New Roman"/>
        </w:rPr>
        <w:t xml:space="preserve">   2024年海菜加工企业漂烫废水总磷监测数据统计表</w:t>
      </w:r>
    </w:p>
    <w:tbl>
      <w:tblPr>
        <w:tblStyle w:val="68"/>
        <w:tblW w:w="830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5"/>
        <w:gridCol w:w="1602"/>
        <w:gridCol w:w="1747"/>
        <w:gridCol w:w="1753"/>
        <w:gridCol w:w="1895"/>
      </w:tblGrid>
      <w:tr w14:paraId="0154C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1305" w:type="dxa"/>
            <w:vMerge w:val="restart"/>
            <w:vAlign w:val="center"/>
          </w:tcPr>
          <w:p w14:paraId="508AB1C7">
            <w:pPr>
              <w:pStyle w:val="81"/>
              <w:rPr>
                <w:rFonts w:cs="Times New Roman"/>
                <w:kern w:val="0"/>
                <w:sz w:val="20"/>
              </w:rPr>
            </w:pPr>
            <w:r>
              <w:rPr>
                <w:rFonts w:cs="Times New Roman"/>
                <w:kern w:val="0"/>
                <w:sz w:val="20"/>
              </w:rPr>
              <w:t>企业序号</w:t>
            </w:r>
          </w:p>
        </w:tc>
        <w:tc>
          <w:tcPr>
            <w:tcW w:w="6997" w:type="dxa"/>
            <w:gridSpan w:val="4"/>
            <w:vAlign w:val="center"/>
          </w:tcPr>
          <w:p w14:paraId="7409DB4C">
            <w:pPr>
              <w:pStyle w:val="81"/>
              <w:rPr>
                <w:rFonts w:cs="Times New Roman"/>
                <w:kern w:val="0"/>
                <w:sz w:val="22"/>
              </w:rPr>
            </w:pPr>
            <w:r>
              <w:rPr>
                <w:rFonts w:cs="Times New Roman"/>
                <w:kern w:val="0"/>
                <w:sz w:val="22"/>
              </w:rPr>
              <w:t>漂烫废水总磷（mg/L）</w:t>
            </w:r>
          </w:p>
        </w:tc>
      </w:tr>
      <w:tr w14:paraId="59EFF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trPr>
        <w:tc>
          <w:tcPr>
            <w:tcW w:w="1305" w:type="dxa"/>
            <w:vMerge w:val="continue"/>
            <w:vAlign w:val="center"/>
          </w:tcPr>
          <w:p w14:paraId="2648C6F9">
            <w:pPr>
              <w:pStyle w:val="81"/>
              <w:rPr>
                <w:rFonts w:cs="Times New Roman"/>
                <w:kern w:val="0"/>
                <w:sz w:val="20"/>
              </w:rPr>
            </w:pPr>
          </w:p>
        </w:tc>
        <w:tc>
          <w:tcPr>
            <w:tcW w:w="1602" w:type="dxa"/>
            <w:vAlign w:val="center"/>
          </w:tcPr>
          <w:p w14:paraId="0B7C6734">
            <w:pPr>
              <w:pStyle w:val="81"/>
              <w:rPr>
                <w:rFonts w:cs="Times New Roman"/>
                <w:kern w:val="0"/>
                <w:sz w:val="22"/>
              </w:rPr>
            </w:pPr>
            <w:r>
              <w:rPr>
                <w:rFonts w:cs="Times New Roman"/>
                <w:kern w:val="0"/>
                <w:sz w:val="22"/>
              </w:rPr>
              <w:t>水量（t）</w:t>
            </w:r>
          </w:p>
        </w:tc>
        <w:tc>
          <w:tcPr>
            <w:tcW w:w="1747" w:type="dxa"/>
            <w:vAlign w:val="center"/>
          </w:tcPr>
          <w:p w14:paraId="6CB9B608">
            <w:pPr>
              <w:pStyle w:val="81"/>
              <w:rPr>
                <w:rFonts w:cs="Times New Roman"/>
                <w:kern w:val="0"/>
                <w:sz w:val="22"/>
              </w:rPr>
            </w:pPr>
            <w:r>
              <w:rPr>
                <w:rFonts w:cs="Times New Roman"/>
                <w:kern w:val="0"/>
                <w:sz w:val="22"/>
              </w:rPr>
              <w:t>原水</w:t>
            </w:r>
          </w:p>
        </w:tc>
        <w:tc>
          <w:tcPr>
            <w:tcW w:w="1753" w:type="dxa"/>
            <w:vAlign w:val="center"/>
          </w:tcPr>
          <w:p w14:paraId="0E64378A">
            <w:pPr>
              <w:pStyle w:val="81"/>
              <w:rPr>
                <w:rFonts w:cs="Times New Roman"/>
                <w:kern w:val="0"/>
                <w:sz w:val="22"/>
              </w:rPr>
            </w:pPr>
            <w:r>
              <w:rPr>
                <w:rFonts w:cs="Times New Roman"/>
                <w:kern w:val="0"/>
                <w:sz w:val="22"/>
              </w:rPr>
              <w:t>出水</w:t>
            </w:r>
          </w:p>
        </w:tc>
        <w:tc>
          <w:tcPr>
            <w:tcW w:w="1895" w:type="dxa"/>
            <w:vAlign w:val="center"/>
          </w:tcPr>
          <w:p w14:paraId="6E96AC10">
            <w:pPr>
              <w:pStyle w:val="81"/>
              <w:rPr>
                <w:rFonts w:cs="Times New Roman"/>
                <w:kern w:val="0"/>
                <w:sz w:val="22"/>
              </w:rPr>
            </w:pPr>
            <w:r>
              <w:rPr>
                <w:rFonts w:cs="Times New Roman"/>
                <w:kern w:val="0"/>
                <w:sz w:val="22"/>
              </w:rPr>
              <w:t>去除率（%）</w:t>
            </w:r>
          </w:p>
        </w:tc>
      </w:tr>
      <w:tr w14:paraId="1C0A9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375328AB">
            <w:pPr>
              <w:pStyle w:val="81"/>
              <w:rPr>
                <w:rFonts w:cs="Times New Roman"/>
                <w:kern w:val="0"/>
                <w:sz w:val="20"/>
              </w:rPr>
            </w:pPr>
            <w:r>
              <w:rPr>
                <w:rFonts w:cs="Times New Roman"/>
                <w:kern w:val="0"/>
                <w:sz w:val="20"/>
              </w:rPr>
              <w:t>1</w:t>
            </w:r>
          </w:p>
        </w:tc>
        <w:tc>
          <w:tcPr>
            <w:tcW w:w="1602" w:type="dxa"/>
            <w:vAlign w:val="center"/>
          </w:tcPr>
          <w:p w14:paraId="60A7CB51">
            <w:pPr>
              <w:pStyle w:val="81"/>
              <w:rPr>
                <w:rFonts w:cs="Times New Roman"/>
                <w:kern w:val="0"/>
                <w:sz w:val="22"/>
              </w:rPr>
            </w:pPr>
            <w:r>
              <w:rPr>
                <w:rFonts w:cs="Times New Roman"/>
                <w:kern w:val="0"/>
                <w:sz w:val="22"/>
              </w:rPr>
              <w:t>20</w:t>
            </w:r>
          </w:p>
        </w:tc>
        <w:tc>
          <w:tcPr>
            <w:tcW w:w="1747" w:type="dxa"/>
            <w:vAlign w:val="center"/>
          </w:tcPr>
          <w:p w14:paraId="1E863558">
            <w:pPr>
              <w:pStyle w:val="81"/>
              <w:rPr>
                <w:rFonts w:cs="Times New Roman"/>
                <w:kern w:val="0"/>
                <w:sz w:val="20"/>
              </w:rPr>
            </w:pPr>
            <w:r>
              <w:rPr>
                <w:rFonts w:eastAsia="等线" w:cs="Times New Roman"/>
                <w:kern w:val="0"/>
                <w:sz w:val="20"/>
              </w:rPr>
              <w:t>2.47</w:t>
            </w:r>
          </w:p>
        </w:tc>
        <w:tc>
          <w:tcPr>
            <w:tcW w:w="1753" w:type="dxa"/>
            <w:vAlign w:val="center"/>
          </w:tcPr>
          <w:p w14:paraId="2C5B60EE">
            <w:pPr>
              <w:pStyle w:val="81"/>
              <w:rPr>
                <w:rFonts w:cs="Times New Roman"/>
                <w:kern w:val="0"/>
                <w:sz w:val="20"/>
              </w:rPr>
            </w:pPr>
            <w:r>
              <w:rPr>
                <w:rFonts w:eastAsia="等线" w:cs="Times New Roman"/>
                <w:kern w:val="0"/>
                <w:sz w:val="20"/>
              </w:rPr>
              <w:t>0.007</w:t>
            </w:r>
          </w:p>
        </w:tc>
        <w:tc>
          <w:tcPr>
            <w:tcW w:w="1895" w:type="dxa"/>
            <w:vAlign w:val="center"/>
          </w:tcPr>
          <w:p w14:paraId="2EFDAE55">
            <w:pPr>
              <w:pStyle w:val="81"/>
              <w:rPr>
                <w:rFonts w:cs="Times New Roman"/>
                <w:kern w:val="0"/>
                <w:sz w:val="20"/>
              </w:rPr>
            </w:pPr>
            <w:r>
              <w:rPr>
                <w:rFonts w:eastAsia="等线" w:cs="Times New Roman"/>
                <w:kern w:val="0"/>
                <w:sz w:val="20"/>
              </w:rPr>
              <w:t>99.7</w:t>
            </w:r>
          </w:p>
        </w:tc>
      </w:tr>
      <w:tr w14:paraId="128F7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0EBCCD5E">
            <w:pPr>
              <w:pStyle w:val="81"/>
              <w:rPr>
                <w:rFonts w:cs="Times New Roman"/>
                <w:kern w:val="0"/>
                <w:sz w:val="20"/>
              </w:rPr>
            </w:pPr>
            <w:r>
              <w:rPr>
                <w:rFonts w:cs="Times New Roman"/>
                <w:kern w:val="0"/>
                <w:sz w:val="20"/>
              </w:rPr>
              <w:t>2</w:t>
            </w:r>
          </w:p>
        </w:tc>
        <w:tc>
          <w:tcPr>
            <w:tcW w:w="1602" w:type="dxa"/>
            <w:vAlign w:val="center"/>
          </w:tcPr>
          <w:p w14:paraId="0A39DA2F">
            <w:pPr>
              <w:pStyle w:val="81"/>
              <w:rPr>
                <w:rFonts w:cs="Times New Roman"/>
                <w:kern w:val="0"/>
                <w:sz w:val="22"/>
              </w:rPr>
            </w:pPr>
            <w:r>
              <w:rPr>
                <w:rFonts w:cs="Times New Roman"/>
                <w:kern w:val="0"/>
                <w:sz w:val="22"/>
              </w:rPr>
              <w:t>5</w:t>
            </w:r>
          </w:p>
        </w:tc>
        <w:tc>
          <w:tcPr>
            <w:tcW w:w="1747" w:type="dxa"/>
            <w:vAlign w:val="center"/>
          </w:tcPr>
          <w:p w14:paraId="680E5050">
            <w:pPr>
              <w:pStyle w:val="81"/>
              <w:rPr>
                <w:rFonts w:cs="Times New Roman"/>
                <w:kern w:val="0"/>
                <w:sz w:val="20"/>
              </w:rPr>
            </w:pPr>
            <w:r>
              <w:rPr>
                <w:rFonts w:eastAsia="等线" w:cs="Times New Roman"/>
                <w:kern w:val="0"/>
                <w:sz w:val="20"/>
              </w:rPr>
              <w:t>16.4</w:t>
            </w:r>
          </w:p>
        </w:tc>
        <w:tc>
          <w:tcPr>
            <w:tcW w:w="1753" w:type="dxa"/>
            <w:vAlign w:val="center"/>
          </w:tcPr>
          <w:p w14:paraId="6386395A">
            <w:pPr>
              <w:pStyle w:val="81"/>
              <w:rPr>
                <w:rFonts w:cs="Times New Roman"/>
                <w:kern w:val="0"/>
                <w:sz w:val="20"/>
              </w:rPr>
            </w:pPr>
            <w:r>
              <w:rPr>
                <w:rFonts w:eastAsia="等线" w:cs="Times New Roman"/>
                <w:kern w:val="0"/>
                <w:sz w:val="20"/>
              </w:rPr>
              <w:t>0.004</w:t>
            </w:r>
          </w:p>
        </w:tc>
        <w:tc>
          <w:tcPr>
            <w:tcW w:w="1895" w:type="dxa"/>
            <w:vAlign w:val="center"/>
          </w:tcPr>
          <w:p w14:paraId="5C59F3C4">
            <w:pPr>
              <w:pStyle w:val="81"/>
              <w:rPr>
                <w:rFonts w:cs="Times New Roman"/>
                <w:kern w:val="0"/>
                <w:sz w:val="20"/>
              </w:rPr>
            </w:pPr>
            <w:r>
              <w:rPr>
                <w:rFonts w:eastAsia="等线" w:cs="Times New Roman"/>
                <w:kern w:val="0"/>
                <w:sz w:val="20"/>
              </w:rPr>
              <w:t>99.9</w:t>
            </w:r>
          </w:p>
        </w:tc>
      </w:tr>
      <w:tr w14:paraId="7D841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44601AF6">
            <w:pPr>
              <w:pStyle w:val="81"/>
              <w:rPr>
                <w:rFonts w:cs="Times New Roman"/>
                <w:kern w:val="0"/>
                <w:sz w:val="20"/>
              </w:rPr>
            </w:pPr>
            <w:r>
              <w:rPr>
                <w:rFonts w:cs="Times New Roman"/>
                <w:kern w:val="0"/>
                <w:sz w:val="20"/>
              </w:rPr>
              <w:t>3</w:t>
            </w:r>
          </w:p>
        </w:tc>
        <w:tc>
          <w:tcPr>
            <w:tcW w:w="1602" w:type="dxa"/>
            <w:vAlign w:val="center"/>
          </w:tcPr>
          <w:p w14:paraId="18859E99">
            <w:pPr>
              <w:pStyle w:val="81"/>
              <w:rPr>
                <w:rFonts w:cs="Times New Roman"/>
                <w:kern w:val="0"/>
                <w:sz w:val="22"/>
              </w:rPr>
            </w:pPr>
            <w:r>
              <w:rPr>
                <w:rFonts w:cs="Times New Roman"/>
                <w:kern w:val="0"/>
                <w:sz w:val="22"/>
              </w:rPr>
              <w:t>1</w:t>
            </w:r>
          </w:p>
        </w:tc>
        <w:tc>
          <w:tcPr>
            <w:tcW w:w="1747" w:type="dxa"/>
            <w:vAlign w:val="center"/>
          </w:tcPr>
          <w:p w14:paraId="34FD2AEB">
            <w:pPr>
              <w:pStyle w:val="81"/>
              <w:rPr>
                <w:rFonts w:cs="Times New Roman"/>
                <w:kern w:val="0"/>
                <w:sz w:val="20"/>
              </w:rPr>
            </w:pPr>
            <w:r>
              <w:rPr>
                <w:rFonts w:eastAsia="等线" w:cs="Times New Roman"/>
                <w:kern w:val="0"/>
                <w:sz w:val="20"/>
              </w:rPr>
              <w:t>55.5</w:t>
            </w:r>
          </w:p>
        </w:tc>
        <w:tc>
          <w:tcPr>
            <w:tcW w:w="1753" w:type="dxa"/>
            <w:vAlign w:val="center"/>
          </w:tcPr>
          <w:p w14:paraId="7F1FFB01">
            <w:pPr>
              <w:pStyle w:val="81"/>
              <w:rPr>
                <w:rFonts w:cs="Times New Roman"/>
                <w:kern w:val="0"/>
                <w:sz w:val="20"/>
              </w:rPr>
            </w:pPr>
            <w:r>
              <w:rPr>
                <w:rFonts w:eastAsia="等线" w:cs="Times New Roman"/>
                <w:kern w:val="0"/>
                <w:sz w:val="20"/>
              </w:rPr>
              <w:t>3.53</w:t>
            </w:r>
          </w:p>
        </w:tc>
        <w:tc>
          <w:tcPr>
            <w:tcW w:w="1895" w:type="dxa"/>
            <w:vAlign w:val="center"/>
          </w:tcPr>
          <w:p w14:paraId="2C5D702F">
            <w:pPr>
              <w:pStyle w:val="81"/>
              <w:rPr>
                <w:rFonts w:cs="Times New Roman"/>
                <w:kern w:val="0"/>
                <w:sz w:val="20"/>
              </w:rPr>
            </w:pPr>
            <w:r>
              <w:rPr>
                <w:rFonts w:eastAsia="等线" w:cs="Times New Roman"/>
                <w:kern w:val="0"/>
                <w:sz w:val="20"/>
              </w:rPr>
              <w:t>93.6</w:t>
            </w:r>
          </w:p>
        </w:tc>
      </w:tr>
      <w:tr w14:paraId="2A6CE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119CB735">
            <w:pPr>
              <w:pStyle w:val="81"/>
              <w:rPr>
                <w:rFonts w:cs="Times New Roman"/>
                <w:kern w:val="0"/>
                <w:sz w:val="20"/>
              </w:rPr>
            </w:pPr>
            <w:r>
              <w:rPr>
                <w:rFonts w:cs="Times New Roman"/>
                <w:kern w:val="0"/>
                <w:sz w:val="20"/>
              </w:rPr>
              <w:t>4</w:t>
            </w:r>
          </w:p>
        </w:tc>
        <w:tc>
          <w:tcPr>
            <w:tcW w:w="1602" w:type="dxa"/>
            <w:vAlign w:val="center"/>
          </w:tcPr>
          <w:p w14:paraId="3F6EB412">
            <w:pPr>
              <w:pStyle w:val="81"/>
              <w:rPr>
                <w:rFonts w:cs="Times New Roman"/>
                <w:kern w:val="0"/>
                <w:sz w:val="22"/>
              </w:rPr>
            </w:pPr>
            <w:r>
              <w:rPr>
                <w:rFonts w:cs="Times New Roman"/>
                <w:kern w:val="0"/>
                <w:sz w:val="22"/>
              </w:rPr>
              <w:t>5</w:t>
            </w:r>
          </w:p>
        </w:tc>
        <w:tc>
          <w:tcPr>
            <w:tcW w:w="1747" w:type="dxa"/>
            <w:vAlign w:val="center"/>
          </w:tcPr>
          <w:p w14:paraId="4A0FDD89">
            <w:pPr>
              <w:pStyle w:val="81"/>
              <w:rPr>
                <w:rFonts w:cs="Times New Roman"/>
                <w:kern w:val="0"/>
                <w:sz w:val="20"/>
              </w:rPr>
            </w:pPr>
            <w:r>
              <w:rPr>
                <w:rFonts w:eastAsia="等线" w:cs="Times New Roman"/>
                <w:kern w:val="0"/>
                <w:sz w:val="20"/>
              </w:rPr>
              <w:t>65.8</w:t>
            </w:r>
          </w:p>
        </w:tc>
        <w:tc>
          <w:tcPr>
            <w:tcW w:w="1753" w:type="dxa"/>
            <w:vAlign w:val="center"/>
          </w:tcPr>
          <w:p w14:paraId="48CF6F1E">
            <w:pPr>
              <w:pStyle w:val="81"/>
              <w:rPr>
                <w:rFonts w:cs="Times New Roman"/>
                <w:kern w:val="0"/>
                <w:sz w:val="20"/>
              </w:rPr>
            </w:pPr>
            <w:r>
              <w:rPr>
                <w:rFonts w:eastAsia="等线" w:cs="Times New Roman"/>
                <w:kern w:val="0"/>
                <w:sz w:val="20"/>
              </w:rPr>
              <w:t>1.39</w:t>
            </w:r>
          </w:p>
        </w:tc>
        <w:tc>
          <w:tcPr>
            <w:tcW w:w="1895" w:type="dxa"/>
            <w:vAlign w:val="center"/>
          </w:tcPr>
          <w:p w14:paraId="61D7E327">
            <w:pPr>
              <w:pStyle w:val="81"/>
              <w:rPr>
                <w:rFonts w:cs="Times New Roman"/>
                <w:kern w:val="0"/>
                <w:sz w:val="20"/>
              </w:rPr>
            </w:pPr>
            <w:r>
              <w:rPr>
                <w:rFonts w:eastAsia="等线" w:cs="Times New Roman"/>
                <w:kern w:val="0"/>
                <w:sz w:val="20"/>
              </w:rPr>
              <w:t>97.8</w:t>
            </w:r>
          </w:p>
        </w:tc>
      </w:tr>
      <w:tr w14:paraId="6D5E3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00C475EE">
            <w:pPr>
              <w:pStyle w:val="81"/>
              <w:rPr>
                <w:rFonts w:cs="Times New Roman"/>
                <w:kern w:val="0"/>
                <w:sz w:val="20"/>
              </w:rPr>
            </w:pPr>
            <w:r>
              <w:rPr>
                <w:rFonts w:cs="Times New Roman"/>
                <w:kern w:val="0"/>
                <w:sz w:val="20"/>
              </w:rPr>
              <w:t>5</w:t>
            </w:r>
          </w:p>
        </w:tc>
        <w:tc>
          <w:tcPr>
            <w:tcW w:w="1602" w:type="dxa"/>
            <w:vAlign w:val="center"/>
          </w:tcPr>
          <w:p w14:paraId="2566421C">
            <w:pPr>
              <w:pStyle w:val="81"/>
              <w:rPr>
                <w:rFonts w:cs="Times New Roman"/>
                <w:kern w:val="0"/>
                <w:sz w:val="22"/>
              </w:rPr>
            </w:pPr>
            <w:r>
              <w:rPr>
                <w:rFonts w:cs="Times New Roman"/>
                <w:kern w:val="0"/>
                <w:sz w:val="22"/>
              </w:rPr>
              <w:t>5</w:t>
            </w:r>
          </w:p>
        </w:tc>
        <w:tc>
          <w:tcPr>
            <w:tcW w:w="1747" w:type="dxa"/>
            <w:vAlign w:val="center"/>
          </w:tcPr>
          <w:p w14:paraId="7E3DC5D0">
            <w:pPr>
              <w:pStyle w:val="81"/>
              <w:rPr>
                <w:rFonts w:cs="Times New Roman"/>
                <w:kern w:val="0"/>
                <w:sz w:val="20"/>
              </w:rPr>
            </w:pPr>
            <w:r>
              <w:rPr>
                <w:rFonts w:eastAsia="等线" w:cs="Times New Roman"/>
                <w:kern w:val="0"/>
                <w:sz w:val="20"/>
              </w:rPr>
              <w:t>0.81</w:t>
            </w:r>
          </w:p>
        </w:tc>
        <w:tc>
          <w:tcPr>
            <w:tcW w:w="1753" w:type="dxa"/>
            <w:vAlign w:val="center"/>
          </w:tcPr>
          <w:p w14:paraId="1331EF85">
            <w:pPr>
              <w:pStyle w:val="81"/>
              <w:rPr>
                <w:rFonts w:cs="Times New Roman"/>
                <w:kern w:val="0"/>
                <w:sz w:val="20"/>
              </w:rPr>
            </w:pPr>
            <w:r>
              <w:rPr>
                <w:rFonts w:eastAsia="等线" w:cs="Times New Roman"/>
                <w:kern w:val="0"/>
                <w:sz w:val="20"/>
              </w:rPr>
              <w:t>1.6</w:t>
            </w:r>
          </w:p>
        </w:tc>
        <w:tc>
          <w:tcPr>
            <w:tcW w:w="1895" w:type="dxa"/>
            <w:vAlign w:val="center"/>
          </w:tcPr>
          <w:p w14:paraId="1947F9F1">
            <w:pPr>
              <w:pStyle w:val="81"/>
              <w:rPr>
                <w:rFonts w:cs="Times New Roman"/>
                <w:kern w:val="0"/>
                <w:sz w:val="20"/>
              </w:rPr>
            </w:pPr>
            <w:r>
              <w:rPr>
                <w:rFonts w:eastAsia="等线" w:cs="Times New Roman"/>
                <w:kern w:val="0"/>
                <w:sz w:val="20"/>
              </w:rPr>
              <w:t>/</w:t>
            </w:r>
          </w:p>
        </w:tc>
      </w:tr>
      <w:tr w14:paraId="50878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1E517F64">
            <w:pPr>
              <w:pStyle w:val="81"/>
              <w:rPr>
                <w:rFonts w:cs="Times New Roman"/>
                <w:kern w:val="0"/>
                <w:sz w:val="20"/>
              </w:rPr>
            </w:pPr>
            <w:r>
              <w:rPr>
                <w:rFonts w:cs="Times New Roman"/>
                <w:kern w:val="0"/>
                <w:sz w:val="20"/>
              </w:rPr>
              <w:t>6</w:t>
            </w:r>
          </w:p>
        </w:tc>
        <w:tc>
          <w:tcPr>
            <w:tcW w:w="1602" w:type="dxa"/>
            <w:vAlign w:val="center"/>
          </w:tcPr>
          <w:p w14:paraId="3863545F">
            <w:pPr>
              <w:pStyle w:val="81"/>
              <w:rPr>
                <w:rFonts w:cs="Times New Roman"/>
                <w:kern w:val="0"/>
                <w:sz w:val="22"/>
              </w:rPr>
            </w:pPr>
            <w:r>
              <w:rPr>
                <w:rFonts w:cs="Times New Roman"/>
                <w:kern w:val="0"/>
                <w:sz w:val="22"/>
              </w:rPr>
              <w:t>3</w:t>
            </w:r>
          </w:p>
        </w:tc>
        <w:tc>
          <w:tcPr>
            <w:tcW w:w="1747" w:type="dxa"/>
            <w:vAlign w:val="center"/>
          </w:tcPr>
          <w:p w14:paraId="53CBC2CB">
            <w:pPr>
              <w:pStyle w:val="81"/>
              <w:rPr>
                <w:rFonts w:cs="Times New Roman"/>
                <w:kern w:val="0"/>
                <w:sz w:val="20"/>
              </w:rPr>
            </w:pPr>
            <w:r>
              <w:rPr>
                <w:rFonts w:eastAsia="等线" w:cs="Times New Roman"/>
                <w:kern w:val="0"/>
                <w:sz w:val="20"/>
              </w:rPr>
              <w:t>3.09</w:t>
            </w:r>
          </w:p>
        </w:tc>
        <w:tc>
          <w:tcPr>
            <w:tcW w:w="1753" w:type="dxa"/>
            <w:vAlign w:val="center"/>
          </w:tcPr>
          <w:p w14:paraId="02067FAA">
            <w:pPr>
              <w:pStyle w:val="81"/>
              <w:rPr>
                <w:rFonts w:cs="Times New Roman"/>
                <w:kern w:val="0"/>
                <w:sz w:val="20"/>
              </w:rPr>
            </w:pPr>
            <w:r>
              <w:rPr>
                <w:rFonts w:eastAsia="等线" w:cs="Times New Roman"/>
                <w:kern w:val="0"/>
                <w:sz w:val="20"/>
              </w:rPr>
              <w:t>0.12</w:t>
            </w:r>
          </w:p>
        </w:tc>
        <w:tc>
          <w:tcPr>
            <w:tcW w:w="1895" w:type="dxa"/>
            <w:vAlign w:val="center"/>
          </w:tcPr>
          <w:p w14:paraId="1CC2B132">
            <w:pPr>
              <w:pStyle w:val="81"/>
              <w:rPr>
                <w:rFonts w:cs="Times New Roman"/>
                <w:kern w:val="0"/>
                <w:sz w:val="20"/>
              </w:rPr>
            </w:pPr>
            <w:r>
              <w:rPr>
                <w:rFonts w:eastAsia="等线" w:cs="Times New Roman"/>
                <w:kern w:val="0"/>
                <w:sz w:val="20"/>
              </w:rPr>
              <w:t>96.1</w:t>
            </w:r>
          </w:p>
        </w:tc>
      </w:tr>
      <w:tr w14:paraId="2146C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07A2D519">
            <w:pPr>
              <w:pStyle w:val="81"/>
              <w:rPr>
                <w:rFonts w:cs="Times New Roman"/>
                <w:kern w:val="0"/>
                <w:sz w:val="20"/>
              </w:rPr>
            </w:pPr>
            <w:r>
              <w:rPr>
                <w:rFonts w:cs="Times New Roman"/>
                <w:kern w:val="0"/>
                <w:sz w:val="20"/>
              </w:rPr>
              <w:t>7</w:t>
            </w:r>
          </w:p>
        </w:tc>
        <w:tc>
          <w:tcPr>
            <w:tcW w:w="1602" w:type="dxa"/>
            <w:vAlign w:val="center"/>
          </w:tcPr>
          <w:p w14:paraId="1C960C89">
            <w:pPr>
              <w:pStyle w:val="81"/>
              <w:rPr>
                <w:rFonts w:cs="Times New Roman"/>
                <w:kern w:val="0"/>
                <w:sz w:val="22"/>
              </w:rPr>
            </w:pPr>
            <w:r>
              <w:rPr>
                <w:rFonts w:cs="Times New Roman"/>
                <w:kern w:val="0"/>
                <w:sz w:val="22"/>
              </w:rPr>
              <w:t>3</w:t>
            </w:r>
          </w:p>
        </w:tc>
        <w:tc>
          <w:tcPr>
            <w:tcW w:w="1747" w:type="dxa"/>
            <w:vAlign w:val="center"/>
          </w:tcPr>
          <w:p w14:paraId="29B80147">
            <w:pPr>
              <w:pStyle w:val="81"/>
              <w:rPr>
                <w:rFonts w:cs="Times New Roman"/>
                <w:kern w:val="0"/>
                <w:sz w:val="20"/>
              </w:rPr>
            </w:pPr>
            <w:r>
              <w:rPr>
                <w:rFonts w:eastAsia="等线" w:cs="Times New Roman"/>
                <w:kern w:val="0"/>
                <w:sz w:val="20"/>
              </w:rPr>
              <w:t>3.83</w:t>
            </w:r>
          </w:p>
        </w:tc>
        <w:tc>
          <w:tcPr>
            <w:tcW w:w="1753" w:type="dxa"/>
            <w:vAlign w:val="center"/>
          </w:tcPr>
          <w:p w14:paraId="249CBCF7">
            <w:pPr>
              <w:pStyle w:val="81"/>
              <w:rPr>
                <w:rFonts w:cs="Times New Roman"/>
                <w:kern w:val="0"/>
                <w:sz w:val="20"/>
              </w:rPr>
            </w:pPr>
            <w:r>
              <w:rPr>
                <w:rFonts w:eastAsia="等线" w:cs="Times New Roman"/>
                <w:kern w:val="0"/>
                <w:sz w:val="20"/>
              </w:rPr>
              <w:t>0.43</w:t>
            </w:r>
          </w:p>
        </w:tc>
        <w:tc>
          <w:tcPr>
            <w:tcW w:w="1895" w:type="dxa"/>
            <w:vAlign w:val="center"/>
          </w:tcPr>
          <w:p w14:paraId="75D74265">
            <w:pPr>
              <w:pStyle w:val="81"/>
              <w:rPr>
                <w:rFonts w:cs="Times New Roman"/>
                <w:kern w:val="0"/>
                <w:sz w:val="20"/>
              </w:rPr>
            </w:pPr>
            <w:r>
              <w:rPr>
                <w:rFonts w:eastAsia="等线" w:cs="Times New Roman"/>
                <w:kern w:val="0"/>
                <w:sz w:val="20"/>
              </w:rPr>
              <w:t>88.8</w:t>
            </w:r>
          </w:p>
        </w:tc>
      </w:tr>
      <w:tr w14:paraId="517DD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2B668FC0">
            <w:pPr>
              <w:pStyle w:val="81"/>
              <w:rPr>
                <w:rFonts w:cs="Times New Roman"/>
                <w:kern w:val="0"/>
                <w:sz w:val="20"/>
              </w:rPr>
            </w:pPr>
            <w:r>
              <w:rPr>
                <w:rFonts w:cs="Times New Roman"/>
                <w:kern w:val="0"/>
                <w:sz w:val="20"/>
              </w:rPr>
              <w:t>8</w:t>
            </w:r>
          </w:p>
        </w:tc>
        <w:tc>
          <w:tcPr>
            <w:tcW w:w="1602" w:type="dxa"/>
            <w:vAlign w:val="center"/>
          </w:tcPr>
          <w:p w14:paraId="4F993571">
            <w:pPr>
              <w:pStyle w:val="81"/>
              <w:rPr>
                <w:rFonts w:cs="Times New Roman"/>
                <w:kern w:val="0"/>
                <w:sz w:val="22"/>
              </w:rPr>
            </w:pPr>
            <w:r>
              <w:rPr>
                <w:rFonts w:cs="Times New Roman"/>
                <w:kern w:val="0"/>
                <w:sz w:val="22"/>
              </w:rPr>
              <w:t>1</w:t>
            </w:r>
          </w:p>
        </w:tc>
        <w:tc>
          <w:tcPr>
            <w:tcW w:w="1747" w:type="dxa"/>
            <w:vAlign w:val="center"/>
          </w:tcPr>
          <w:p w14:paraId="21B64D2B">
            <w:pPr>
              <w:pStyle w:val="81"/>
              <w:rPr>
                <w:rFonts w:cs="Times New Roman"/>
                <w:kern w:val="0"/>
                <w:sz w:val="20"/>
              </w:rPr>
            </w:pPr>
            <w:r>
              <w:rPr>
                <w:rFonts w:eastAsia="等线" w:cs="Times New Roman"/>
                <w:kern w:val="0"/>
                <w:sz w:val="20"/>
              </w:rPr>
              <w:t>11.9</w:t>
            </w:r>
          </w:p>
        </w:tc>
        <w:tc>
          <w:tcPr>
            <w:tcW w:w="1753" w:type="dxa"/>
            <w:vAlign w:val="center"/>
          </w:tcPr>
          <w:p w14:paraId="4DDD28C3">
            <w:pPr>
              <w:pStyle w:val="81"/>
              <w:rPr>
                <w:rFonts w:cs="Times New Roman"/>
                <w:kern w:val="0"/>
                <w:sz w:val="20"/>
              </w:rPr>
            </w:pPr>
            <w:r>
              <w:rPr>
                <w:rFonts w:eastAsia="等线" w:cs="Times New Roman"/>
                <w:kern w:val="0"/>
                <w:sz w:val="20"/>
              </w:rPr>
              <w:t>0.07</w:t>
            </w:r>
          </w:p>
        </w:tc>
        <w:tc>
          <w:tcPr>
            <w:tcW w:w="1895" w:type="dxa"/>
            <w:vAlign w:val="center"/>
          </w:tcPr>
          <w:p w14:paraId="799F12A2">
            <w:pPr>
              <w:pStyle w:val="81"/>
              <w:rPr>
                <w:rFonts w:cs="Times New Roman"/>
                <w:kern w:val="0"/>
                <w:sz w:val="20"/>
              </w:rPr>
            </w:pPr>
            <w:r>
              <w:rPr>
                <w:rFonts w:eastAsia="等线" w:cs="Times New Roman"/>
                <w:kern w:val="0"/>
                <w:sz w:val="20"/>
              </w:rPr>
              <w:t>99.4</w:t>
            </w:r>
          </w:p>
        </w:tc>
      </w:tr>
      <w:tr w14:paraId="1EB04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68E80484">
            <w:pPr>
              <w:pStyle w:val="81"/>
              <w:rPr>
                <w:rFonts w:cs="Times New Roman"/>
                <w:kern w:val="0"/>
                <w:sz w:val="20"/>
              </w:rPr>
            </w:pPr>
            <w:r>
              <w:rPr>
                <w:rFonts w:cs="Times New Roman"/>
                <w:kern w:val="0"/>
                <w:sz w:val="20"/>
              </w:rPr>
              <w:t>9</w:t>
            </w:r>
          </w:p>
        </w:tc>
        <w:tc>
          <w:tcPr>
            <w:tcW w:w="1602" w:type="dxa"/>
            <w:vAlign w:val="center"/>
          </w:tcPr>
          <w:p w14:paraId="1336D02E">
            <w:pPr>
              <w:pStyle w:val="81"/>
              <w:rPr>
                <w:rFonts w:cs="Times New Roman"/>
                <w:kern w:val="0"/>
                <w:sz w:val="22"/>
              </w:rPr>
            </w:pPr>
            <w:r>
              <w:rPr>
                <w:rFonts w:cs="Times New Roman"/>
                <w:kern w:val="0"/>
                <w:sz w:val="22"/>
              </w:rPr>
              <w:t>1</w:t>
            </w:r>
          </w:p>
        </w:tc>
        <w:tc>
          <w:tcPr>
            <w:tcW w:w="1747" w:type="dxa"/>
            <w:vAlign w:val="center"/>
          </w:tcPr>
          <w:p w14:paraId="5EA489FA">
            <w:pPr>
              <w:pStyle w:val="81"/>
              <w:rPr>
                <w:rFonts w:cs="Times New Roman"/>
                <w:kern w:val="0"/>
                <w:sz w:val="20"/>
              </w:rPr>
            </w:pPr>
            <w:r>
              <w:rPr>
                <w:rFonts w:eastAsia="等线" w:cs="Times New Roman"/>
                <w:kern w:val="0"/>
                <w:sz w:val="20"/>
              </w:rPr>
              <w:t>32.2</w:t>
            </w:r>
          </w:p>
        </w:tc>
        <w:tc>
          <w:tcPr>
            <w:tcW w:w="1753" w:type="dxa"/>
            <w:vAlign w:val="center"/>
          </w:tcPr>
          <w:p w14:paraId="0111FC25">
            <w:pPr>
              <w:pStyle w:val="81"/>
              <w:rPr>
                <w:rFonts w:cs="Times New Roman"/>
                <w:kern w:val="0"/>
                <w:sz w:val="20"/>
              </w:rPr>
            </w:pPr>
            <w:r>
              <w:rPr>
                <w:rFonts w:eastAsia="等线" w:cs="Times New Roman"/>
                <w:kern w:val="0"/>
                <w:sz w:val="20"/>
              </w:rPr>
              <w:t>0.06</w:t>
            </w:r>
          </w:p>
        </w:tc>
        <w:tc>
          <w:tcPr>
            <w:tcW w:w="1895" w:type="dxa"/>
            <w:vAlign w:val="center"/>
          </w:tcPr>
          <w:p w14:paraId="1B0456EE">
            <w:pPr>
              <w:pStyle w:val="81"/>
              <w:rPr>
                <w:rFonts w:cs="Times New Roman"/>
                <w:kern w:val="0"/>
                <w:sz w:val="20"/>
              </w:rPr>
            </w:pPr>
            <w:r>
              <w:rPr>
                <w:rFonts w:eastAsia="等线" w:cs="Times New Roman"/>
                <w:kern w:val="0"/>
                <w:sz w:val="20"/>
              </w:rPr>
              <w:t>99.8</w:t>
            </w:r>
          </w:p>
        </w:tc>
      </w:tr>
      <w:tr w14:paraId="6E37A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6F2024F1">
            <w:pPr>
              <w:pStyle w:val="81"/>
              <w:rPr>
                <w:rFonts w:cs="Times New Roman"/>
                <w:kern w:val="0"/>
                <w:sz w:val="20"/>
              </w:rPr>
            </w:pPr>
            <w:r>
              <w:rPr>
                <w:rFonts w:cs="Times New Roman"/>
                <w:kern w:val="0"/>
                <w:sz w:val="20"/>
              </w:rPr>
              <w:t>10</w:t>
            </w:r>
          </w:p>
        </w:tc>
        <w:tc>
          <w:tcPr>
            <w:tcW w:w="1602" w:type="dxa"/>
            <w:vAlign w:val="center"/>
          </w:tcPr>
          <w:p w14:paraId="4FA6CE0F">
            <w:pPr>
              <w:pStyle w:val="81"/>
              <w:rPr>
                <w:rFonts w:cs="Times New Roman"/>
                <w:kern w:val="0"/>
                <w:sz w:val="22"/>
              </w:rPr>
            </w:pPr>
            <w:r>
              <w:rPr>
                <w:rFonts w:cs="Times New Roman"/>
                <w:kern w:val="0"/>
                <w:sz w:val="22"/>
              </w:rPr>
              <w:t>2</w:t>
            </w:r>
          </w:p>
        </w:tc>
        <w:tc>
          <w:tcPr>
            <w:tcW w:w="1747" w:type="dxa"/>
            <w:vAlign w:val="center"/>
          </w:tcPr>
          <w:p w14:paraId="4F9380CF">
            <w:pPr>
              <w:pStyle w:val="81"/>
              <w:rPr>
                <w:rFonts w:cs="Times New Roman"/>
                <w:kern w:val="0"/>
                <w:sz w:val="20"/>
              </w:rPr>
            </w:pPr>
            <w:r>
              <w:rPr>
                <w:rFonts w:eastAsia="等线" w:cs="Times New Roman"/>
                <w:kern w:val="0"/>
                <w:sz w:val="20"/>
              </w:rPr>
              <w:t>35.6</w:t>
            </w:r>
          </w:p>
        </w:tc>
        <w:tc>
          <w:tcPr>
            <w:tcW w:w="1753" w:type="dxa"/>
            <w:vAlign w:val="center"/>
          </w:tcPr>
          <w:p w14:paraId="69C0D38E">
            <w:pPr>
              <w:pStyle w:val="81"/>
              <w:rPr>
                <w:rFonts w:cs="Times New Roman"/>
                <w:kern w:val="0"/>
                <w:sz w:val="20"/>
              </w:rPr>
            </w:pPr>
            <w:r>
              <w:rPr>
                <w:rFonts w:eastAsia="等线" w:cs="Times New Roman"/>
                <w:kern w:val="0"/>
                <w:sz w:val="20"/>
              </w:rPr>
              <w:t>0.07</w:t>
            </w:r>
          </w:p>
        </w:tc>
        <w:tc>
          <w:tcPr>
            <w:tcW w:w="1895" w:type="dxa"/>
            <w:vAlign w:val="center"/>
          </w:tcPr>
          <w:p w14:paraId="19288A0B">
            <w:pPr>
              <w:pStyle w:val="81"/>
              <w:rPr>
                <w:rFonts w:cs="Times New Roman"/>
                <w:kern w:val="0"/>
                <w:sz w:val="20"/>
              </w:rPr>
            </w:pPr>
            <w:r>
              <w:rPr>
                <w:rFonts w:eastAsia="等线" w:cs="Times New Roman"/>
                <w:kern w:val="0"/>
                <w:sz w:val="20"/>
              </w:rPr>
              <w:t>99.8</w:t>
            </w:r>
          </w:p>
        </w:tc>
      </w:tr>
      <w:tr w14:paraId="2EE32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72EC9DC3">
            <w:pPr>
              <w:pStyle w:val="81"/>
              <w:rPr>
                <w:rFonts w:cs="Times New Roman"/>
                <w:kern w:val="0"/>
                <w:sz w:val="20"/>
              </w:rPr>
            </w:pPr>
            <w:r>
              <w:rPr>
                <w:rFonts w:cs="Times New Roman"/>
                <w:kern w:val="0"/>
                <w:sz w:val="20"/>
              </w:rPr>
              <w:t>11</w:t>
            </w:r>
          </w:p>
        </w:tc>
        <w:tc>
          <w:tcPr>
            <w:tcW w:w="1602" w:type="dxa"/>
            <w:vAlign w:val="center"/>
          </w:tcPr>
          <w:p w14:paraId="3701578B">
            <w:pPr>
              <w:pStyle w:val="81"/>
              <w:rPr>
                <w:rFonts w:cs="Times New Roman"/>
                <w:kern w:val="0"/>
                <w:sz w:val="22"/>
              </w:rPr>
            </w:pPr>
            <w:r>
              <w:rPr>
                <w:rFonts w:cs="Times New Roman"/>
                <w:kern w:val="0"/>
                <w:sz w:val="22"/>
              </w:rPr>
              <w:t>5</w:t>
            </w:r>
          </w:p>
        </w:tc>
        <w:tc>
          <w:tcPr>
            <w:tcW w:w="1747" w:type="dxa"/>
            <w:vAlign w:val="center"/>
          </w:tcPr>
          <w:p w14:paraId="07493D55">
            <w:pPr>
              <w:pStyle w:val="81"/>
              <w:rPr>
                <w:rFonts w:cs="Times New Roman"/>
                <w:kern w:val="0"/>
                <w:sz w:val="20"/>
              </w:rPr>
            </w:pPr>
            <w:r>
              <w:rPr>
                <w:rFonts w:eastAsia="等线" w:cs="Times New Roman"/>
                <w:kern w:val="0"/>
                <w:sz w:val="20"/>
              </w:rPr>
              <w:t>30.2</w:t>
            </w:r>
          </w:p>
        </w:tc>
        <w:tc>
          <w:tcPr>
            <w:tcW w:w="1753" w:type="dxa"/>
            <w:vAlign w:val="center"/>
          </w:tcPr>
          <w:p w14:paraId="0BE16416">
            <w:pPr>
              <w:pStyle w:val="81"/>
              <w:rPr>
                <w:rFonts w:cs="Times New Roman"/>
                <w:kern w:val="0"/>
                <w:sz w:val="20"/>
              </w:rPr>
            </w:pPr>
            <w:r>
              <w:rPr>
                <w:rFonts w:eastAsia="等线" w:cs="Times New Roman"/>
                <w:kern w:val="0"/>
                <w:sz w:val="20"/>
              </w:rPr>
              <w:t>0.08</w:t>
            </w:r>
          </w:p>
        </w:tc>
        <w:tc>
          <w:tcPr>
            <w:tcW w:w="1895" w:type="dxa"/>
            <w:vAlign w:val="center"/>
          </w:tcPr>
          <w:p w14:paraId="0EC6C679">
            <w:pPr>
              <w:pStyle w:val="81"/>
              <w:rPr>
                <w:rFonts w:cs="Times New Roman"/>
                <w:kern w:val="0"/>
                <w:sz w:val="20"/>
              </w:rPr>
            </w:pPr>
            <w:r>
              <w:rPr>
                <w:rFonts w:eastAsia="等线" w:cs="Times New Roman"/>
                <w:kern w:val="0"/>
                <w:sz w:val="20"/>
              </w:rPr>
              <w:t>99.7</w:t>
            </w:r>
          </w:p>
        </w:tc>
      </w:tr>
      <w:tr w14:paraId="4C6E8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3EB792BA">
            <w:pPr>
              <w:pStyle w:val="81"/>
              <w:rPr>
                <w:rFonts w:cs="Times New Roman"/>
                <w:kern w:val="0"/>
                <w:sz w:val="20"/>
              </w:rPr>
            </w:pPr>
            <w:r>
              <w:rPr>
                <w:rFonts w:cs="Times New Roman"/>
                <w:kern w:val="0"/>
                <w:sz w:val="20"/>
              </w:rPr>
              <w:t>12</w:t>
            </w:r>
          </w:p>
        </w:tc>
        <w:tc>
          <w:tcPr>
            <w:tcW w:w="1602" w:type="dxa"/>
            <w:vAlign w:val="center"/>
          </w:tcPr>
          <w:p w14:paraId="4DEB1C44">
            <w:pPr>
              <w:pStyle w:val="81"/>
              <w:rPr>
                <w:rFonts w:cs="Times New Roman"/>
                <w:kern w:val="0"/>
                <w:sz w:val="22"/>
              </w:rPr>
            </w:pPr>
            <w:r>
              <w:rPr>
                <w:rFonts w:cs="Times New Roman"/>
                <w:kern w:val="0"/>
                <w:sz w:val="22"/>
              </w:rPr>
              <w:t>80</w:t>
            </w:r>
          </w:p>
        </w:tc>
        <w:tc>
          <w:tcPr>
            <w:tcW w:w="1747" w:type="dxa"/>
            <w:vAlign w:val="center"/>
          </w:tcPr>
          <w:p w14:paraId="25CE028B">
            <w:pPr>
              <w:pStyle w:val="81"/>
              <w:rPr>
                <w:rFonts w:cs="Times New Roman"/>
                <w:kern w:val="0"/>
                <w:sz w:val="20"/>
              </w:rPr>
            </w:pPr>
            <w:r>
              <w:rPr>
                <w:rFonts w:eastAsia="等线" w:cs="Times New Roman"/>
                <w:kern w:val="0"/>
                <w:sz w:val="20"/>
              </w:rPr>
              <w:t>1.27</w:t>
            </w:r>
          </w:p>
        </w:tc>
        <w:tc>
          <w:tcPr>
            <w:tcW w:w="1753" w:type="dxa"/>
            <w:vAlign w:val="center"/>
          </w:tcPr>
          <w:p w14:paraId="53A30299">
            <w:pPr>
              <w:pStyle w:val="81"/>
              <w:rPr>
                <w:rFonts w:cs="Times New Roman"/>
                <w:kern w:val="0"/>
                <w:sz w:val="20"/>
              </w:rPr>
            </w:pPr>
            <w:r>
              <w:rPr>
                <w:rFonts w:eastAsia="等线" w:cs="Times New Roman"/>
                <w:kern w:val="0"/>
                <w:sz w:val="20"/>
              </w:rPr>
              <w:t>0.125</w:t>
            </w:r>
          </w:p>
        </w:tc>
        <w:tc>
          <w:tcPr>
            <w:tcW w:w="1895" w:type="dxa"/>
            <w:vAlign w:val="center"/>
          </w:tcPr>
          <w:p w14:paraId="27830BFF">
            <w:pPr>
              <w:pStyle w:val="81"/>
              <w:rPr>
                <w:rFonts w:cs="Times New Roman"/>
                <w:kern w:val="0"/>
                <w:sz w:val="20"/>
              </w:rPr>
            </w:pPr>
            <w:r>
              <w:rPr>
                <w:rFonts w:eastAsia="等线" w:cs="Times New Roman"/>
                <w:kern w:val="0"/>
                <w:sz w:val="20"/>
              </w:rPr>
              <w:t>90.1</w:t>
            </w:r>
          </w:p>
        </w:tc>
      </w:tr>
      <w:tr w14:paraId="2F62E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2AD15715">
            <w:pPr>
              <w:pStyle w:val="81"/>
              <w:rPr>
                <w:rFonts w:cs="Times New Roman"/>
                <w:kern w:val="0"/>
                <w:sz w:val="20"/>
              </w:rPr>
            </w:pPr>
            <w:r>
              <w:rPr>
                <w:rFonts w:cs="Times New Roman"/>
                <w:kern w:val="0"/>
                <w:sz w:val="20"/>
              </w:rPr>
              <w:t>13</w:t>
            </w:r>
          </w:p>
        </w:tc>
        <w:tc>
          <w:tcPr>
            <w:tcW w:w="1602" w:type="dxa"/>
            <w:vAlign w:val="center"/>
          </w:tcPr>
          <w:p w14:paraId="7BF03CC9">
            <w:pPr>
              <w:pStyle w:val="81"/>
              <w:rPr>
                <w:rFonts w:cs="Times New Roman"/>
                <w:kern w:val="0"/>
                <w:sz w:val="22"/>
              </w:rPr>
            </w:pPr>
            <w:r>
              <w:rPr>
                <w:rFonts w:cs="Times New Roman"/>
                <w:kern w:val="0"/>
                <w:sz w:val="22"/>
              </w:rPr>
              <w:t>/</w:t>
            </w:r>
          </w:p>
        </w:tc>
        <w:tc>
          <w:tcPr>
            <w:tcW w:w="1747" w:type="dxa"/>
            <w:vAlign w:val="center"/>
          </w:tcPr>
          <w:p w14:paraId="3AC52EE6">
            <w:pPr>
              <w:pStyle w:val="81"/>
              <w:rPr>
                <w:rFonts w:cs="Times New Roman"/>
                <w:kern w:val="0"/>
                <w:sz w:val="20"/>
              </w:rPr>
            </w:pPr>
            <w:r>
              <w:rPr>
                <w:rFonts w:eastAsia="等线" w:cs="Times New Roman"/>
                <w:kern w:val="0"/>
                <w:sz w:val="20"/>
              </w:rPr>
              <w:t>0.88</w:t>
            </w:r>
          </w:p>
        </w:tc>
        <w:tc>
          <w:tcPr>
            <w:tcW w:w="1753" w:type="dxa"/>
            <w:vAlign w:val="center"/>
          </w:tcPr>
          <w:p w14:paraId="0BCB0FB9">
            <w:pPr>
              <w:pStyle w:val="81"/>
              <w:rPr>
                <w:rFonts w:cs="Times New Roman"/>
                <w:kern w:val="0"/>
                <w:sz w:val="20"/>
              </w:rPr>
            </w:pPr>
            <w:r>
              <w:rPr>
                <w:rFonts w:eastAsia="等线" w:cs="Times New Roman"/>
                <w:kern w:val="0"/>
                <w:sz w:val="20"/>
              </w:rPr>
              <w:t>0.108</w:t>
            </w:r>
          </w:p>
        </w:tc>
        <w:tc>
          <w:tcPr>
            <w:tcW w:w="1895" w:type="dxa"/>
            <w:vAlign w:val="center"/>
          </w:tcPr>
          <w:p w14:paraId="656D5108">
            <w:pPr>
              <w:pStyle w:val="81"/>
              <w:rPr>
                <w:rFonts w:cs="Times New Roman"/>
                <w:kern w:val="0"/>
                <w:sz w:val="20"/>
              </w:rPr>
            </w:pPr>
            <w:r>
              <w:rPr>
                <w:rFonts w:eastAsia="等线" w:cs="Times New Roman"/>
                <w:kern w:val="0"/>
                <w:sz w:val="20"/>
              </w:rPr>
              <w:t>87.7</w:t>
            </w:r>
          </w:p>
        </w:tc>
      </w:tr>
      <w:tr w14:paraId="0C652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345B7863">
            <w:pPr>
              <w:pStyle w:val="81"/>
              <w:rPr>
                <w:rFonts w:cs="Times New Roman"/>
                <w:kern w:val="0"/>
                <w:sz w:val="20"/>
              </w:rPr>
            </w:pPr>
            <w:r>
              <w:rPr>
                <w:rFonts w:cs="Times New Roman"/>
                <w:kern w:val="0"/>
                <w:sz w:val="20"/>
              </w:rPr>
              <w:t>14</w:t>
            </w:r>
          </w:p>
        </w:tc>
        <w:tc>
          <w:tcPr>
            <w:tcW w:w="1602" w:type="dxa"/>
            <w:vAlign w:val="center"/>
          </w:tcPr>
          <w:p w14:paraId="653B776A">
            <w:pPr>
              <w:pStyle w:val="81"/>
              <w:rPr>
                <w:rFonts w:cs="Times New Roman"/>
                <w:kern w:val="0"/>
                <w:sz w:val="22"/>
              </w:rPr>
            </w:pPr>
            <w:r>
              <w:rPr>
                <w:rFonts w:cs="Times New Roman"/>
                <w:kern w:val="0"/>
                <w:sz w:val="22"/>
              </w:rPr>
              <w:t>16</w:t>
            </w:r>
          </w:p>
        </w:tc>
        <w:tc>
          <w:tcPr>
            <w:tcW w:w="1747" w:type="dxa"/>
            <w:vAlign w:val="center"/>
          </w:tcPr>
          <w:p w14:paraId="79437AAB">
            <w:pPr>
              <w:pStyle w:val="81"/>
              <w:rPr>
                <w:rFonts w:cs="Times New Roman"/>
                <w:kern w:val="0"/>
                <w:sz w:val="20"/>
              </w:rPr>
            </w:pPr>
            <w:r>
              <w:rPr>
                <w:rFonts w:eastAsia="等线" w:cs="Times New Roman"/>
                <w:kern w:val="0"/>
                <w:sz w:val="20"/>
              </w:rPr>
              <w:t>1.19</w:t>
            </w:r>
          </w:p>
        </w:tc>
        <w:tc>
          <w:tcPr>
            <w:tcW w:w="1753" w:type="dxa"/>
            <w:vAlign w:val="center"/>
          </w:tcPr>
          <w:p w14:paraId="13912A30">
            <w:pPr>
              <w:pStyle w:val="81"/>
              <w:rPr>
                <w:rFonts w:cs="Times New Roman"/>
                <w:kern w:val="0"/>
                <w:sz w:val="20"/>
              </w:rPr>
            </w:pPr>
            <w:r>
              <w:rPr>
                <w:rFonts w:eastAsia="等线" w:cs="Times New Roman"/>
                <w:kern w:val="0"/>
                <w:sz w:val="20"/>
              </w:rPr>
              <w:t>0.046</w:t>
            </w:r>
          </w:p>
        </w:tc>
        <w:tc>
          <w:tcPr>
            <w:tcW w:w="1895" w:type="dxa"/>
            <w:vAlign w:val="center"/>
          </w:tcPr>
          <w:p w14:paraId="43FE5B3A">
            <w:pPr>
              <w:pStyle w:val="81"/>
              <w:rPr>
                <w:rFonts w:cs="Times New Roman"/>
                <w:kern w:val="0"/>
                <w:sz w:val="20"/>
              </w:rPr>
            </w:pPr>
            <w:r>
              <w:rPr>
                <w:rFonts w:eastAsia="等线" w:cs="Times New Roman"/>
                <w:kern w:val="0"/>
                <w:sz w:val="20"/>
              </w:rPr>
              <w:t>96.1</w:t>
            </w:r>
          </w:p>
        </w:tc>
      </w:tr>
      <w:tr w14:paraId="0DD80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68AB6841">
            <w:pPr>
              <w:pStyle w:val="81"/>
              <w:rPr>
                <w:rFonts w:cs="Times New Roman"/>
                <w:kern w:val="0"/>
                <w:sz w:val="20"/>
              </w:rPr>
            </w:pPr>
            <w:r>
              <w:rPr>
                <w:rFonts w:cs="Times New Roman"/>
                <w:kern w:val="0"/>
                <w:sz w:val="20"/>
              </w:rPr>
              <w:t>15</w:t>
            </w:r>
          </w:p>
        </w:tc>
        <w:tc>
          <w:tcPr>
            <w:tcW w:w="1602" w:type="dxa"/>
            <w:vAlign w:val="center"/>
          </w:tcPr>
          <w:p w14:paraId="076C1BBE">
            <w:pPr>
              <w:pStyle w:val="81"/>
              <w:rPr>
                <w:rFonts w:cs="Times New Roman"/>
                <w:kern w:val="0"/>
                <w:sz w:val="22"/>
              </w:rPr>
            </w:pPr>
            <w:r>
              <w:rPr>
                <w:rFonts w:cs="Times New Roman"/>
                <w:kern w:val="0"/>
                <w:sz w:val="22"/>
              </w:rPr>
              <w:t>65</w:t>
            </w:r>
          </w:p>
        </w:tc>
        <w:tc>
          <w:tcPr>
            <w:tcW w:w="1747" w:type="dxa"/>
            <w:vAlign w:val="center"/>
          </w:tcPr>
          <w:p w14:paraId="07CC7759">
            <w:pPr>
              <w:pStyle w:val="81"/>
              <w:rPr>
                <w:rFonts w:cs="Times New Roman"/>
                <w:kern w:val="0"/>
                <w:sz w:val="20"/>
              </w:rPr>
            </w:pPr>
            <w:r>
              <w:rPr>
                <w:rFonts w:eastAsia="等线" w:cs="Times New Roman"/>
                <w:kern w:val="0"/>
                <w:sz w:val="20"/>
              </w:rPr>
              <w:t>0.543</w:t>
            </w:r>
          </w:p>
        </w:tc>
        <w:tc>
          <w:tcPr>
            <w:tcW w:w="1753" w:type="dxa"/>
            <w:vAlign w:val="center"/>
          </w:tcPr>
          <w:p w14:paraId="628D3058">
            <w:pPr>
              <w:pStyle w:val="81"/>
              <w:rPr>
                <w:rFonts w:cs="Times New Roman"/>
                <w:kern w:val="0"/>
                <w:sz w:val="20"/>
              </w:rPr>
            </w:pPr>
            <w:r>
              <w:rPr>
                <w:rFonts w:eastAsia="等线" w:cs="Times New Roman"/>
                <w:kern w:val="0"/>
                <w:sz w:val="20"/>
              </w:rPr>
              <w:t>0.067</w:t>
            </w:r>
          </w:p>
        </w:tc>
        <w:tc>
          <w:tcPr>
            <w:tcW w:w="1895" w:type="dxa"/>
            <w:vAlign w:val="center"/>
          </w:tcPr>
          <w:p w14:paraId="172523F0">
            <w:pPr>
              <w:pStyle w:val="81"/>
              <w:rPr>
                <w:rFonts w:cs="Times New Roman"/>
                <w:kern w:val="0"/>
                <w:sz w:val="20"/>
              </w:rPr>
            </w:pPr>
            <w:r>
              <w:rPr>
                <w:rFonts w:eastAsia="等线" w:cs="Times New Roman"/>
                <w:kern w:val="0"/>
                <w:sz w:val="20"/>
              </w:rPr>
              <w:t>87.7</w:t>
            </w:r>
          </w:p>
        </w:tc>
      </w:tr>
      <w:tr w14:paraId="6F0D0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12EC0E76">
            <w:pPr>
              <w:pStyle w:val="81"/>
              <w:rPr>
                <w:rFonts w:cs="Times New Roman"/>
                <w:kern w:val="0"/>
                <w:sz w:val="20"/>
              </w:rPr>
            </w:pPr>
            <w:r>
              <w:rPr>
                <w:rFonts w:cs="Times New Roman"/>
                <w:kern w:val="0"/>
                <w:sz w:val="20"/>
              </w:rPr>
              <w:t>16</w:t>
            </w:r>
          </w:p>
        </w:tc>
        <w:tc>
          <w:tcPr>
            <w:tcW w:w="1602" w:type="dxa"/>
            <w:vAlign w:val="center"/>
          </w:tcPr>
          <w:p w14:paraId="123DA0A8">
            <w:pPr>
              <w:pStyle w:val="81"/>
              <w:rPr>
                <w:rFonts w:cs="Times New Roman"/>
                <w:kern w:val="0"/>
                <w:sz w:val="22"/>
              </w:rPr>
            </w:pPr>
            <w:r>
              <w:rPr>
                <w:rFonts w:cs="Times New Roman"/>
                <w:kern w:val="0"/>
                <w:sz w:val="22"/>
              </w:rPr>
              <w:t>75</w:t>
            </w:r>
          </w:p>
        </w:tc>
        <w:tc>
          <w:tcPr>
            <w:tcW w:w="1747" w:type="dxa"/>
            <w:vAlign w:val="center"/>
          </w:tcPr>
          <w:p w14:paraId="75B65558">
            <w:pPr>
              <w:pStyle w:val="81"/>
              <w:rPr>
                <w:rFonts w:cs="Times New Roman"/>
                <w:kern w:val="0"/>
                <w:sz w:val="20"/>
              </w:rPr>
            </w:pPr>
            <w:r>
              <w:rPr>
                <w:rFonts w:eastAsia="等线" w:cs="Times New Roman"/>
                <w:kern w:val="0"/>
                <w:sz w:val="20"/>
              </w:rPr>
              <w:t>1.33</w:t>
            </w:r>
          </w:p>
        </w:tc>
        <w:tc>
          <w:tcPr>
            <w:tcW w:w="1753" w:type="dxa"/>
            <w:vAlign w:val="center"/>
          </w:tcPr>
          <w:p w14:paraId="799EEB16">
            <w:pPr>
              <w:pStyle w:val="81"/>
              <w:rPr>
                <w:rFonts w:cs="Times New Roman"/>
                <w:kern w:val="0"/>
                <w:sz w:val="20"/>
              </w:rPr>
            </w:pPr>
            <w:r>
              <w:rPr>
                <w:rFonts w:eastAsia="等线" w:cs="Times New Roman"/>
                <w:kern w:val="0"/>
                <w:sz w:val="20"/>
              </w:rPr>
              <w:t>0.205</w:t>
            </w:r>
          </w:p>
        </w:tc>
        <w:tc>
          <w:tcPr>
            <w:tcW w:w="1895" w:type="dxa"/>
            <w:vAlign w:val="center"/>
          </w:tcPr>
          <w:p w14:paraId="40BCAB71">
            <w:pPr>
              <w:pStyle w:val="81"/>
              <w:rPr>
                <w:rFonts w:cs="Times New Roman"/>
                <w:kern w:val="0"/>
                <w:sz w:val="20"/>
              </w:rPr>
            </w:pPr>
            <w:r>
              <w:rPr>
                <w:rFonts w:eastAsia="等线" w:cs="Times New Roman"/>
                <w:kern w:val="0"/>
                <w:sz w:val="20"/>
              </w:rPr>
              <w:t>84.6</w:t>
            </w:r>
          </w:p>
        </w:tc>
      </w:tr>
      <w:tr w14:paraId="69467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6310372E">
            <w:pPr>
              <w:pStyle w:val="81"/>
              <w:rPr>
                <w:rFonts w:cs="Times New Roman"/>
                <w:kern w:val="0"/>
                <w:sz w:val="20"/>
              </w:rPr>
            </w:pPr>
            <w:r>
              <w:rPr>
                <w:rFonts w:cs="Times New Roman"/>
                <w:kern w:val="0"/>
                <w:sz w:val="20"/>
              </w:rPr>
              <w:t>17</w:t>
            </w:r>
          </w:p>
        </w:tc>
        <w:tc>
          <w:tcPr>
            <w:tcW w:w="1602" w:type="dxa"/>
            <w:vAlign w:val="center"/>
          </w:tcPr>
          <w:p w14:paraId="4CB05965">
            <w:pPr>
              <w:pStyle w:val="81"/>
              <w:rPr>
                <w:rFonts w:cs="Times New Roman"/>
                <w:kern w:val="0"/>
                <w:sz w:val="22"/>
              </w:rPr>
            </w:pPr>
            <w:r>
              <w:rPr>
                <w:rFonts w:cs="Times New Roman"/>
                <w:kern w:val="0"/>
                <w:sz w:val="22"/>
              </w:rPr>
              <w:t>55</w:t>
            </w:r>
          </w:p>
        </w:tc>
        <w:tc>
          <w:tcPr>
            <w:tcW w:w="1747" w:type="dxa"/>
            <w:vAlign w:val="center"/>
          </w:tcPr>
          <w:p w14:paraId="069A7D36">
            <w:pPr>
              <w:pStyle w:val="81"/>
              <w:rPr>
                <w:rFonts w:cs="Times New Roman"/>
                <w:kern w:val="0"/>
                <w:sz w:val="20"/>
              </w:rPr>
            </w:pPr>
            <w:r>
              <w:rPr>
                <w:rFonts w:eastAsia="等线" w:cs="Times New Roman"/>
                <w:kern w:val="0"/>
                <w:sz w:val="20"/>
              </w:rPr>
              <w:t>0.871</w:t>
            </w:r>
          </w:p>
        </w:tc>
        <w:tc>
          <w:tcPr>
            <w:tcW w:w="1753" w:type="dxa"/>
            <w:vAlign w:val="center"/>
          </w:tcPr>
          <w:p w14:paraId="0F8EFBF5">
            <w:pPr>
              <w:pStyle w:val="81"/>
              <w:rPr>
                <w:rFonts w:cs="Times New Roman"/>
                <w:kern w:val="0"/>
                <w:sz w:val="20"/>
              </w:rPr>
            </w:pPr>
            <w:r>
              <w:rPr>
                <w:rFonts w:eastAsia="等线" w:cs="Times New Roman"/>
                <w:kern w:val="0"/>
                <w:sz w:val="20"/>
              </w:rPr>
              <w:t>0.1</w:t>
            </w:r>
          </w:p>
        </w:tc>
        <w:tc>
          <w:tcPr>
            <w:tcW w:w="1895" w:type="dxa"/>
            <w:vAlign w:val="center"/>
          </w:tcPr>
          <w:p w14:paraId="1C43DC6F">
            <w:pPr>
              <w:pStyle w:val="81"/>
              <w:rPr>
                <w:rFonts w:cs="Times New Roman"/>
                <w:kern w:val="0"/>
                <w:sz w:val="20"/>
              </w:rPr>
            </w:pPr>
            <w:r>
              <w:rPr>
                <w:rFonts w:eastAsia="等线" w:cs="Times New Roman"/>
                <w:kern w:val="0"/>
                <w:sz w:val="20"/>
              </w:rPr>
              <w:t>88.5</w:t>
            </w:r>
          </w:p>
        </w:tc>
      </w:tr>
      <w:tr w14:paraId="3FC0D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3D21B946">
            <w:pPr>
              <w:pStyle w:val="81"/>
              <w:rPr>
                <w:rFonts w:cs="Times New Roman"/>
                <w:kern w:val="0"/>
                <w:sz w:val="20"/>
              </w:rPr>
            </w:pPr>
            <w:r>
              <w:rPr>
                <w:rFonts w:cs="Times New Roman"/>
                <w:kern w:val="0"/>
                <w:sz w:val="20"/>
              </w:rPr>
              <w:t>18</w:t>
            </w:r>
          </w:p>
        </w:tc>
        <w:tc>
          <w:tcPr>
            <w:tcW w:w="1602" w:type="dxa"/>
            <w:vAlign w:val="center"/>
          </w:tcPr>
          <w:p w14:paraId="4DA5C1FE">
            <w:pPr>
              <w:pStyle w:val="81"/>
              <w:rPr>
                <w:rFonts w:cs="Times New Roman"/>
                <w:kern w:val="0"/>
                <w:sz w:val="22"/>
              </w:rPr>
            </w:pPr>
            <w:r>
              <w:rPr>
                <w:rFonts w:cs="Times New Roman"/>
                <w:kern w:val="0"/>
                <w:sz w:val="22"/>
              </w:rPr>
              <w:t>20</w:t>
            </w:r>
          </w:p>
        </w:tc>
        <w:tc>
          <w:tcPr>
            <w:tcW w:w="1747" w:type="dxa"/>
            <w:vAlign w:val="center"/>
          </w:tcPr>
          <w:p w14:paraId="579820C6">
            <w:pPr>
              <w:pStyle w:val="81"/>
              <w:rPr>
                <w:rFonts w:cs="Times New Roman"/>
                <w:kern w:val="0"/>
                <w:sz w:val="20"/>
              </w:rPr>
            </w:pPr>
            <w:r>
              <w:rPr>
                <w:rFonts w:eastAsia="等线" w:cs="Times New Roman"/>
                <w:kern w:val="0"/>
                <w:sz w:val="20"/>
              </w:rPr>
              <w:t>0.155</w:t>
            </w:r>
          </w:p>
        </w:tc>
        <w:tc>
          <w:tcPr>
            <w:tcW w:w="1753" w:type="dxa"/>
            <w:vAlign w:val="center"/>
          </w:tcPr>
          <w:p w14:paraId="442A056E">
            <w:pPr>
              <w:pStyle w:val="81"/>
              <w:rPr>
                <w:rFonts w:cs="Times New Roman"/>
                <w:kern w:val="0"/>
                <w:sz w:val="20"/>
              </w:rPr>
            </w:pPr>
            <w:r>
              <w:rPr>
                <w:rFonts w:eastAsia="等线" w:cs="Times New Roman"/>
                <w:kern w:val="0"/>
                <w:sz w:val="20"/>
              </w:rPr>
              <w:t>1.07</w:t>
            </w:r>
          </w:p>
        </w:tc>
        <w:tc>
          <w:tcPr>
            <w:tcW w:w="1895" w:type="dxa"/>
            <w:vAlign w:val="center"/>
          </w:tcPr>
          <w:p w14:paraId="7EF75BF3">
            <w:pPr>
              <w:pStyle w:val="81"/>
              <w:rPr>
                <w:rFonts w:cs="Times New Roman"/>
                <w:kern w:val="0"/>
                <w:sz w:val="20"/>
              </w:rPr>
            </w:pPr>
            <w:r>
              <w:rPr>
                <w:rFonts w:eastAsia="等线" w:cs="Times New Roman"/>
                <w:kern w:val="0"/>
                <w:sz w:val="20"/>
              </w:rPr>
              <w:t>/</w:t>
            </w:r>
          </w:p>
        </w:tc>
      </w:tr>
      <w:tr w14:paraId="257E2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5514D631">
            <w:pPr>
              <w:pStyle w:val="81"/>
              <w:rPr>
                <w:rFonts w:cs="Times New Roman"/>
                <w:kern w:val="0"/>
                <w:sz w:val="20"/>
              </w:rPr>
            </w:pPr>
            <w:r>
              <w:rPr>
                <w:rFonts w:cs="Times New Roman"/>
                <w:kern w:val="0"/>
                <w:sz w:val="20"/>
              </w:rPr>
              <w:t>19</w:t>
            </w:r>
          </w:p>
        </w:tc>
        <w:tc>
          <w:tcPr>
            <w:tcW w:w="1602" w:type="dxa"/>
            <w:vAlign w:val="center"/>
          </w:tcPr>
          <w:p w14:paraId="42A33218">
            <w:pPr>
              <w:pStyle w:val="81"/>
              <w:rPr>
                <w:rFonts w:cs="Times New Roman"/>
                <w:kern w:val="0"/>
                <w:sz w:val="22"/>
              </w:rPr>
            </w:pPr>
            <w:r>
              <w:rPr>
                <w:rFonts w:cs="Times New Roman"/>
                <w:kern w:val="0"/>
                <w:sz w:val="22"/>
              </w:rPr>
              <w:t>150</w:t>
            </w:r>
          </w:p>
        </w:tc>
        <w:tc>
          <w:tcPr>
            <w:tcW w:w="1747" w:type="dxa"/>
            <w:vAlign w:val="center"/>
          </w:tcPr>
          <w:p w14:paraId="46373A7D">
            <w:pPr>
              <w:pStyle w:val="81"/>
              <w:rPr>
                <w:rFonts w:cs="Times New Roman"/>
                <w:kern w:val="0"/>
                <w:sz w:val="20"/>
              </w:rPr>
            </w:pPr>
            <w:r>
              <w:rPr>
                <w:rFonts w:eastAsia="等线" w:cs="Times New Roman"/>
                <w:kern w:val="0"/>
                <w:sz w:val="20"/>
              </w:rPr>
              <w:t>1.68</w:t>
            </w:r>
          </w:p>
        </w:tc>
        <w:tc>
          <w:tcPr>
            <w:tcW w:w="1753" w:type="dxa"/>
            <w:vAlign w:val="center"/>
          </w:tcPr>
          <w:p w14:paraId="4F838C66">
            <w:pPr>
              <w:pStyle w:val="81"/>
              <w:rPr>
                <w:rFonts w:cs="Times New Roman"/>
                <w:kern w:val="0"/>
                <w:sz w:val="20"/>
              </w:rPr>
            </w:pPr>
            <w:r>
              <w:rPr>
                <w:rFonts w:eastAsia="等线" w:cs="Times New Roman"/>
                <w:kern w:val="0"/>
                <w:sz w:val="20"/>
              </w:rPr>
              <w:t>0.142</w:t>
            </w:r>
          </w:p>
        </w:tc>
        <w:tc>
          <w:tcPr>
            <w:tcW w:w="1895" w:type="dxa"/>
            <w:vAlign w:val="center"/>
          </w:tcPr>
          <w:p w14:paraId="3FDAC8A3">
            <w:pPr>
              <w:pStyle w:val="81"/>
              <w:rPr>
                <w:rFonts w:cs="Times New Roman"/>
                <w:kern w:val="0"/>
                <w:sz w:val="20"/>
              </w:rPr>
            </w:pPr>
            <w:r>
              <w:rPr>
                <w:rFonts w:eastAsia="等线" w:cs="Times New Roman"/>
                <w:kern w:val="0"/>
                <w:sz w:val="20"/>
              </w:rPr>
              <w:t>91.5</w:t>
            </w:r>
          </w:p>
        </w:tc>
      </w:tr>
      <w:tr w14:paraId="615DD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24781066">
            <w:pPr>
              <w:pStyle w:val="81"/>
              <w:rPr>
                <w:rFonts w:cs="Times New Roman"/>
                <w:kern w:val="0"/>
                <w:sz w:val="20"/>
              </w:rPr>
            </w:pPr>
            <w:r>
              <w:rPr>
                <w:rFonts w:cs="Times New Roman"/>
                <w:kern w:val="0"/>
                <w:sz w:val="20"/>
              </w:rPr>
              <w:t>20</w:t>
            </w:r>
          </w:p>
        </w:tc>
        <w:tc>
          <w:tcPr>
            <w:tcW w:w="1602" w:type="dxa"/>
            <w:vAlign w:val="center"/>
          </w:tcPr>
          <w:p w14:paraId="27A72867">
            <w:pPr>
              <w:pStyle w:val="81"/>
              <w:rPr>
                <w:rFonts w:cs="Times New Roman"/>
                <w:kern w:val="0"/>
                <w:sz w:val="22"/>
              </w:rPr>
            </w:pPr>
            <w:r>
              <w:rPr>
                <w:rFonts w:cs="Times New Roman"/>
                <w:kern w:val="0"/>
                <w:sz w:val="22"/>
              </w:rPr>
              <w:t>/</w:t>
            </w:r>
          </w:p>
        </w:tc>
        <w:tc>
          <w:tcPr>
            <w:tcW w:w="1747" w:type="dxa"/>
            <w:vAlign w:val="center"/>
          </w:tcPr>
          <w:p w14:paraId="28D0386A">
            <w:pPr>
              <w:pStyle w:val="81"/>
              <w:rPr>
                <w:rFonts w:cs="Times New Roman"/>
                <w:kern w:val="0"/>
                <w:sz w:val="20"/>
              </w:rPr>
            </w:pPr>
            <w:r>
              <w:rPr>
                <w:rFonts w:eastAsia="等线" w:cs="Times New Roman"/>
                <w:kern w:val="0"/>
                <w:sz w:val="20"/>
              </w:rPr>
              <w:t>0.877</w:t>
            </w:r>
          </w:p>
        </w:tc>
        <w:tc>
          <w:tcPr>
            <w:tcW w:w="1753" w:type="dxa"/>
            <w:vAlign w:val="center"/>
          </w:tcPr>
          <w:p w14:paraId="33193CF4">
            <w:pPr>
              <w:pStyle w:val="81"/>
              <w:rPr>
                <w:rFonts w:cs="Times New Roman"/>
                <w:kern w:val="0"/>
                <w:sz w:val="20"/>
              </w:rPr>
            </w:pPr>
            <w:r>
              <w:rPr>
                <w:rFonts w:eastAsia="等线" w:cs="Times New Roman"/>
                <w:kern w:val="0"/>
                <w:sz w:val="20"/>
              </w:rPr>
              <w:t>0.113</w:t>
            </w:r>
          </w:p>
        </w:tc>
        <w:tc>
          <w:tcPr>
            <w:tcW w:w="1895" w:type="dxa"/>
            <w:vAlign w:val="center"/>
          </w:tcPr>
          <w:p w14:paraId="05A2D7DE">
            <w:pPr>
              <w:pStyle w:val="81"/>
              <w:rPr>
                <w:rFonts w:cs="Times New Roman"/>
                <w:kern w:val="0"/>
                <w:sz w:val="20"/>
              </w:rPr>
            </w:pPr>
            <w:r>
              <w:rPr>
                <w:rFonts w:eastAsia="等线" w:cs="Times New Roman"/>
                <w:kern w:val="0"/>
                <w:sz w:val="20"/>
              </w:rPr>
              <w:t>87.1</w:t>
            </w:r>
          </w:p>
        </w:tc>
      </w:tr>
      <w:tr w14:paraId="5A059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7F903048">
            <w:pPr>
              <w:pStyle w:val="81"/>
              <w:rPr>
                <w:rFonts w:cs="Times New Roman"/>
                <w:kern w:val="0"/>
                <w:sz w:val="20"/>
              </w:rPr>
            </w:pPr>
            <w:r>
              <w:rPr>
                <w:rFonts w:cs="Times New Roman"/>
                <w:kern w:val="0"/>
                <w:sz w:val="20"/>
              </w:rPr>
              <w:t>21</w:t>
            </w:r>
          </w:p>
        </w:tc>
        <w:tc>
          <w:tcPr>
            <w:tcW w:w="1602" w:type="dxa"/>
            <w:vAlign w:val="center"/>
          </w:tcPr>
          <w:p w14:paraId="3DFC15DF">
            <w:pPr>
              <w:pStyle w:val="81"/>
              <w:rPr>
                <w:rFonts w:cs="Times New Roman"/>
                <w:kern w:val="0"/>
                <w:sz w:val="22"/>
              </w:rPr>
            </w:pPr>
            <w:r>
              <w:rPr>
                <w:rFonts w:cs="Times New Roman"/>
                <w:kern w:val="0"/>
                <w:sz w:val="22"/>
              </w:rPr>
              <w:t>/</w:t>
            </w:r>
          </w:p>
        </w:tc>
        <w:tc>
          <w:tcPr>
            <w:tcW w:w="1747" w:type="dxa"/>
            <w:vAlign w:val="center"/>
          </w:tcPr>
          <w:p w14:paraId="4A8F1FF3">
            <w:pPr>
              <w:pStyle w:val="81"/>
              <w:rPr>
                <w:rFonts w:cs="Times New Roman"/>
                <w:kern w:val="0"/>
                <w:sz w:val="20"/>
              </w:rPr>
            </w:pPr>
            <w:r>
              <w:rPr>
                <w:rFonts w:eastAsia="等线" w:cs="Times New Roman"/>
                <w:kern w:val="0"/>
                <w:sz w:val="20"/>
              </w:rPr>
              <w:t>1.62</w:t>
            </w:r>
          </w:p>
        </w:tc>
        <w:tc>
          <w:tcPr>
            <w:tcW w:w="1753" w:type="dxa"/>
            <w:vAlign w:val="center"/>
          </w:tcPr>
          <w:p w14:paraId="7CA84E1F">
            <w:pPr>
              <w:pStyle w:val="81"/>
              <w:rPr>
                <w:rFonts w:cs="Times New Roman"/>
                <w:kern w:val="0"/>
                <w:sz w:val="20"/>
              </w:rPr>
            </w:pPr>
            <w:r>
              <w:rPr>
                <w:rFonts w:eastAsia="等线" w:cs="Times New Roman"/>
                <w:kern w:val="0"/>
                <w:sz w:val="20"/>
              </w:rPr>
              <w:t>0.196</w:t>
            </w:r>
          </w:p>
        </w:tc>
        <w:tc>
          <w:tcPr>
            <w:tcW w:w="1895" w:type="dxa"/>
            <w:vAlign w:val="center"/>
          </w:tcPr>
          <w:p w14:paraId="1EAB3723">
            <w:pPr>
              <w:pStyle w:val="81"/>
              <w:rPr>
                <w:rFonts w:cs="Times New Roman"/>
                <w:kern w:val="0"/>
                <w:sz w:val="20"/>
              </w:rPr>
            </w:pPr>
            <w:r>
              <w:rPr>
                <w:rFonts w:eastAsia="等线" w:cs="Times New Roman"/>
                <w:kern w:val="0"/>
                <w:sz w:val="20"/>
              </w:rPr>
              <w:t>87.9</w:t>
            </w:r>
          </w:p>
        </w:tc>
      </w:tr>
      <w:tr w14:paraId="6F192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0A4656DA">
            <w:pPr>
              <w:pStyle w:val="81"/>
              <w:rPr>
                <w:rFonts w:cs="Times New Roman"/>
                <w:kern w:val="0"/>
                <w:sz w:val="20"/>
              </w:rPr>
            </w:pPr>
            <w:r>
              <w:rPr>
                <w:rFonts w:cs="Times New Roman"/>
                <w:kern w:val="0"/>
                <w:sz w:val="20"/>
              </w:rPr>
              <w:t>22</w:t>
            </w:r>
          </w:p>
        </w:tc>
        <w:tc>
          <w:tcPr>
            <w:tcW w:w="1602" w:type="dxa"/>
            <w:vAlign w:val="center"/>
          </w:tcPr>
          <w:p w14:paraId="7DF9F920">
            <w:pPr>
              <w:pStyle w:val="81"/>
              <w:rPr>
                <w:rFonts w:cs="Times New Roman"/>
                <w:kern w:val="0"/>
                <w:sz w:val="22"/>
              </w:rPr>
            </w:pPr>
            <w:r>
              <w:rPr>
                <w:rFonts w:cs="Times New Roman"/>
                <w:kern w:val="0"/>
                <w:sz w:val="22"/>
              </w:rPr>
              <w:t>20</w:t>
            </w:r>
          </w:p>
        </w:tc>
        <w:tc>
          <w:tcPr>
            <w:tcW w:w="1747" w:type="dxa"/>
            <w:vAlign w:val="center"/>
          </w:tcPr>
          <w:p w14:paraId="7D91BD64">
            <w:pPr>
              <w:pStyle w:val="81"/>
              <w:rPr>
                <w:rFonts w:cs="Times New Roman"/>
                <w:kern w:val="0"/>
                <w:sz w:val="20"/>
              </w:rPr>
            </w:pPr>
            <w:r>
              <w:rPr>
                <w:rFonts w:eastAsia="等线" w:cs="Times New Roman"/>
                <w:kern w:val="0"/>
                <w:sz w:val="20"/>
              </w:rPr>
              <w:t>20.7</w:t>
            </w:r>
          </w:p>
        </w:tc>
        <w:tc>
          <w:tcPr>
            <w:tcW w:w="1753" w:type="dxa"/>
            <w:vAlign w:val="center"/>
          </w:tcPr>
          <w:p w14:paraId="3D1F1FED">
            <w:pPr>
              <w:pStyle w:val="81"/>
              <w:rPr>
                <w:rFonts w:cs="Times New Roman"/>
                <w:kern w:val="0"/>
                <w:sz w:val="20"/>
              </w:rPr>
            </w:pPr>
            <w:r>
              <w:rPr>
                <w:rFonts w:cs="Times New Roman"/>
                <w:kern w:val="0"/>
                <w:sz w:val="20"/>
              </w:rPr>
              <w:t>/</w:t>
            </w:r>
          </w:p>
        </w:tc>
        <w:tc>
          <w:tcPr>
            <w:tcW w:w="1895" w:type="dxa"/>
            <w:vAlign w:val="center"/>
          </w:tcPr>
          <w:p w14:paraId="181C838A">
            <w:pPr>
              <w:pStyle w:val="81"/>
              <w:rPr>
                <w:rFonts w:cs="Times New Roman"/>
                <w:kern w:val="0"/>
                <w:sz w:val="20"/>
              </w:rPr>
            </w:pPr>
            <w:r>
              <w:rPr>
                <w:rFonts w:eastAsia="等线" w:cs="Times New Roman"/>
                <w:kern w:val="0"/>
                <w:sz w:val="20"/>
              </w:rPr>
              <w:t>/</w:t>
            </w:r>
          </w:p>
        </w:tc>
      </w:tr>
      <w:tr w14:paraId="3BFD1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13273B14">
            <w:pPr>
              <w:pStyle w:val="81"/>
              <w:rPr>
                <w:rFonts w:cs="Times New Roman"/>
                <w:kern w:val="0"/>
                <w:sz w:val="20"/>
              </w:rPr>
            </w:pPr>
            <w:r>
              <w:rPr>
                <w:rFonts w:cs="Times New Roman"/>
                <w:kern w:val="0"/>
                <w:sz w:val="20"/>
              </w:rPr>
              <w:t>23</w:t>
            </w:r>
          </w:p>
        </w:tc>
        <w:tc>
          <w:tcPr>
            <w:tcW w:w="1602" w:type="dxa"/>
            <w:vAlign w:val="center"/>
          </w:tcPr>
          <w:p w14:paraId="6D4CA1E5">
            <w:pPr>
              <w:pStyle w:val="81"/>
              <w:rPr>
                <w:rFonts w:cs="Times New Roman"/>
                <w:kern w:val="0"/>
                <w:sz w:val="22"/>
              </w:rPr>
            </w:pPr>
            <w:r>
              <w:rPr>
                <w:rFonts w:cs="Times New Roman"/>
                <w:kern w:val="0"/>
                <w:sz w:val="22"/>
              </w:rPr>
              <w:t>5</w:t>
            </w:r>
          </w:p>
        </w:tc>
        <w:tc>
          <w:tcPr>
            <w:tcW w:w="1747" w:type="dxa"/>
            <w:vAlign w:val="center"/>
          </w:tcPr>
          <w:p w14:paraId="6D522A07">
            <w:pPr>
              <w:pStyle w:val="81"/>
              <w:rPr>
                <w:rFonts w:cs="Times New Roman"/>
                <w:kern w:val="0"/>
                <w:sz w:val="20"/>
              </w:rPr>
            </w:pPr>
            <w:r>
              <w:rPr>
                <w:rFonts w:eastAsia="等线" w:cs="Times New Roman"/>
                <w:kern w:val="0"/>
                <w:sz w:val="20"/>
              </w:rPr>
              <w:t>1.51</w:t>
            </w:r>
          </w:p>
        </w:tc>
        <w:tc>
          <w:tcPr>
            <w:tcW w:w="1753" w:type="dxa"/>
            <w:vAlign w:val="center"/>
          </w:tcPr>
          <w:p w14:paraId="1928CCA1">
            <w:pPr>
              <w:pStyle w:val="81"/>
              <w:rPr>
                <w:rFonts w:cs="Times New Roman"/>
                <w:kern w:val="0"/>
                <w:sz w:val="20"/>
              </w:rPr>
            </w:pPr>
            <w:r>
              <w:rPr>
                <w:rFonts w:eastAsia="等线" w:cs="Times New Roman"/>
                <w:kern w:val="0"/>
                <w:sz w:val="20"/>
              </w:rPr>
              <w:t>0.174</w:t>
            </w:r>
          </w:p>
        </w:tc>
        <w:tc>
          <w:tcPr>
            <w:tcW w:w="1895" w:type="dxa"/>
            <w:vAlign w:val="center"/>
          </w:tcPr>
          <w:p w14:paraId="718C93E2">
            <w:pPr>
              <w:pStyle w:val="81"/>
              <w:rPr>
                <w:rFonts w:cs="Times New Roman"/>
                <w:kern w:val="0"/>
                <w:sz w:val="20"/>
              </w:rPr>
            </w:pPr>
            <w:r>
              <w:rPr>
                <w:rFonts w:eastAsia="等线" w:cs="Times New Roman"/>
                <w:kern w:val="0"/>
                <w:sz w:val="20"/>
              </w:rPr>
              <w:t>88.5</w:t>
            </w:r>
          </w:p>
        </w:tc>
      </w:tr>
      <w:tr w14:paraId="3E8DD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1BD57126">
            <w:pPr>
              <w:pStyle w:val="81"/>
              <w:rPr>
                <w:rFonts w:cs="Times New Roman"/>
                <w:kern w:val="0"/>
                <w:sz w:val="20"/>
              </w:rPr>
            </w:pPr>
            <w:r>
              <w:rPr>
                <w:rFonts w:cs="Times New Roman"/>
                <w:kern w:val="0"/>
                <w:sz w:val="20"/>
              </w:rPr>
              <w:t>24</w:t>
            </w:r>
          </w:p>
        </w:tc>
        <w:tc>
          <w:tcPr>
            <w:tcW w:w="1602" w:type="dxa"/>
            <w:vAlign w:val="center"/>
          </w:tcPr>
          <w:p w14:paraId="563E3939">
            <w:pPr>
              <w:pStyle w:val="81"/>
              <w:rPr>
                <w:rFonts w:cs="Times New Roman"/>
                <w:kern w:val="0"/>
                <w:sz w:val="22"/>
              </w:rPr>
            </w:pPr>
            <w:r>
              <w:rPr>
                <w:rFonts w:cs="Times New Roman"/>
                <w:kern w:val="0"/>
                <w:sz w:val="22"/>
              </w:rPr>
              <w:t>12600</w:t>
            </w:r>
          </w:p>
        </w:tc>
        <w:tc>
          <w:tcPr>
            <w:tcW w:w="1747" w:type="dxa"/>
            <w:vAlign w:val="center"/>
          </w:tcPr>
          <w:p w14:paraId="69720283">
            <w:pPr>
              <w:pStyle w:val="81"/>
              <w:rPr>
                <w:rFonts w:cs="Times New Roman"/>
                <w:kern w:val="0"/>
                <w:sz w:val="20"/>
              </w:rPr>
            </w:pPr>
            <w:r>
              <w:rPr>
                <w:rFonts w:eastAsia="等线" w:cs="Times New Roman"/>
                <w:kern w:val="0"/>
                <w:sz w:val="20"/>
              </w:rPr>
              <w:t>1.31</w:t>
            </w:r>
          </w:p>
        </w:tc>
        <w:tc>
          <w:tcPr>
            <w:tcW w:w="1753" w:type="dxa"/>
            <w:vAlign w:val="center"/>
          </w:tcPr>
          <w:p w14:paraId="20ACB729">
            <w:pPr>
              <w:pStyle w:val="81"/>
              <w:rPr>
                <w:rFonts w:cs="Times New Roman"/>
                <w:kern w:val="0"/>
                <w:sz w:val="20"/>
              </w:rPr>
            </w:pPr>
            <w:r>
              <w:rPr>
                <w:rFonts w:eastAsia="等线" w:cs="Times New Roman"/>
                <w:kern w:val="0"/>
                <w:sz w:val="20"/>
              </w:rPr>
              <w:t>0.938</w:t>
            </w:r>
          </w:p>
        </w:tc>
        <w:tc>
          <w:tcPr>
            <w:tcW w:w="1895" w:type="dxa"/>
            <w:vAlign w:val="center"/>
          </w:tcPr>
          <w:p w14:paraId="12111D20">
            <w:pPr>
              <w:pStyle w:val="81"/>
              <w:rPr>
                <w:rFonts w:cs="Times New Roman"/>
                <w:kern w:val="0"/>
                <w:sz w:val="20"/>
              </w:rPr>
            </w:pPr>
            <w:r>
              <w:rPr>
                <w:rFonts w:eastAsia="等线" w:cs="Times New Roman"/>
                <w:kern w:val="0"/>
                <w:sz w:val="20"/>
              </w:rPr>
              <w:t>28.4</w:t>
            </w:r>
          </w:p>
        </w:tc>
      </w:tr>
      <w:tr w14:paraId="39C9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179F57D2">
            <w:pPr>
              <w:pStyle w:val="81"/>
              <w:rPr>
                <w:rFonts w:cs="Times New Roman"/>
                <w:kern w:val="0"/>
                <w:sz w:val="20"/>
              </w:rPr>
            </w:pPr>
            <w:r>
              <w:rPr>
                <w:rFonts w:cs="Times New Roman"/>
                <w:kern w:val="0"/>
                <w:sz w:val="20"/>
              </w:rPr>
              <w:t>25</w:t>
            </w:r>
          </w:p>
        </w:tc>
        <w:tc>
          <w:tcPr>
            <w:tcW w:w="1602" w:type="dxa"/>
            <w:vAlign w:val="center"/>
          </w:tcPr>
          <w:p w14:paraId="29E6B329">
            <w:pPr>
              <w:pStyle w:val="81"/>
              <w:rPr>
                <w:rFonts w:cs="Times New Roman"/>
                <w:kern w:val="0"/>
                <w:sz w:val="22"/>
              </w:rPr>
            </w:pPr>
            <w:r>
              <w:rPr>
                <w:rFonts w:cs="Times New Roman"/>
                <w:kern w:val="0"/>
                <w:sz w:val="22"/>
              </w:rPr>
              <w:t>2800</w:t>
            </w:r>
          </w:p>
        </w:tc>
        <w:tc>
          <w:tcPr>
            <w:tcW w:w="1747" w:type="dxa"/>
            <w:vAlign w:val="center"/>
          </w:tcPr>
          <w:p w14:paraId="1FA66541">
            <w:pPr>
              <w:pStyle w:val="81"/>
              <w:rPr>
                <w:rFonts w:cs="Times New Roman"/>
                <w:kern w:val="0"/>
                <w:sz w:val="20"/>
              </w:rPr>
            </w:pPr>
            <w:r>
              <w:rPr>
                <w:rFonts w:eastAsia="等线" w:cs="Times New Roman"/>
                <w:kern w:val="0"/>
                <w:sz w:val="20"/>
              </w:rPr>
              <w:t>88.2</w:t>
            </w:r>
          </w:p>
        </w:tc>
        <w:tc>
          <w:tcPr>
            <w:tcW w:w="1753" w:type="dxa"/>
            <w:vAlign w:val="center"/>
          </w:tcPr>
          <w:p w14:paraId="576FEA92">
            <w:pPr>
              <w:pStyle w:val="81"/>
              <w:rPr>
                <w:rFonts w:cs="Times New Roman"/>
                <w:kern w:val="0"/>
                <w:sz w:val="20"/>
              </w:rPr>
            </w:pPr>
            <w:r>
              <w:rPr>
                <w:rFonts w:eastAsia="等线" w:cs="Times New Roman"/>
                <w:kern w:val="0"/>
                <w:sz w:val="20"/>
              </w:rPr>
              <w:t>0.013</w:t>
            </w:r>
          </w:p>
        </w:tc>
        <w:tc>
          <w:tcPr>
            <w:tcW w:w="1895" w:type="dxa"/>
            <w:vAlign w:val="center"/>
          </w:tcPr>
          <w:p w14:paraId="007261B6">
            <w:pPr>
              <w:pStyle w:val="81"/>
              <w:rPr>
                <w:rFonts w:cs="Times New Roman"/>
                <w:kern w:val="0"/>
                <w:sz w:val="20"/>
              </w:rPr>
            </w:pPr>
            <w:r>
              <w:rPr>
                <w:rFonts w:eastAsia="等线" w:cs="Times New Roman"/>
                <w:kern w:val="0"/>
                <w:sz w:val="20"/>
              </w:rPr>
              <w:t>99.9</w:t>
            </w:r>
          </w:p>
        </w:tc>
      </w:tr>
      <w:tr w14:paraId="06D93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05" w:type="dxa"/>
            <w:vAlign w:val="center"/>
          </w:tcPr>
          <w:p w14:paraId="70288736">
            <w:pPr>
              <w:pStyle w:val="81"/>
              <w:rPr>
                <w:rFonts w:cs="Times New Roman"/>
                <w:kern w:val="0"/>
                <w:sz w:val="20"/>
              </w:rPr>
            </w:pPr>
            <w:r>
              <w:rPr>
                <w:rFonts w:cs="Times New Roman"/>
                <w:kern w:val="0"/>
                <w:sz w:val="20"/>
              </w:rPr>
              <w:t>26</w:t>
            </w:r>
          </w:p>
        </w:tc>
        <w:tc>
          <w:tcPr>
            <w:tcW w:w="1602" w:type="dxa"/>
            <w:vAlign w:val="center"/>
          </w:tcPr>
          <w:p w14:paraId="3C96CAE2">
            <w:pPr>
              <w:pStyle w:val="81"/>
              <w:rPr>
                <w:rFonts w:cs="Times New Roman"/>
                <w:kern w:val="0"/>
                <w:sz w:val="22"/>
              </w:rPr>
            </w:pPr>
            <w:r>
              <w:rPr>
                <w:rFonts w:cs="Times New Roman"/>
                <w:kern w:val="0"/>
                <w:sz w:val="22"/>
              </w:rPr>
              <w:t>2100</w:t>
            </w:r>
          </w:p>
        </w:tc>
        <w:tc>
          <w:tcPr>
            <w:tcW w:w="1747" w:type="dxa"/>
            <w:vAlign w:val="center"/>
          </w:tcPr>
          <w:p w14:paraId="4FF7D9D4">
            <w:pPr>
              <w:pStyle w:val="81"/>
              <w:rPr>
                <w:rFonts w:cs="Times New Roman"/>
                <w:kern w:val="0"/>
                <w:sz w:val="20"/>
              </w:rPr>
            </w:pPr>
            <w:r>
              <w:rPr>
                <w:rFonts w:eastAsia="等线" w:cs="Times New Roman"/>
                <w:kern w:val="0"/>
                <w:sz w:val="20"/>
              </w:rPr>
              <w:t>20.2</w:t>
            </w:r>
          </w:p>
        </w:tc>
        <w:tc>
          <w:tcPr>
            <w:tcW w:w="1753" w:type="dxa"/>
            <w:vAlign w:val="center"/>
          </w:tcPr>
          <w:p w14:paraId="35174DAD">
            <w:pPr>
              <w:pStyle w:val="81"/>
              <w:rPr>
                <w:rFonts w:cs="Times New Roman"/>
                <w:kern w:val="0"/>
                <w:sz w:val="20"/>
              </w:rPr>
            </w:pPr>
            <w:r>
              <w:rPr>
                <w:rFonts w:eastAsia="等线" w:cs="Times New Roman"/>
                <w:kern w:val="0"/>
                <w:sz w:val="20"/>
              </w:rPr>
              <w:t>0.142</w:t>
            </w:r>
          </w:p>
        </w:tc>
        <w:tc>
          <w:tcPr>
            <w:tcW w:w="1895" w:type="dxa"/>
            <w:vAlign w:val="center"/>
          </w:tcPr>
          <w:p w14:paraId="460BB9CF">
            <w:pPr>
              <w:pStyle w:val="81"/>
              <w:rPr>
                <w:rFonts w:cs="Times New Roman"/>
                <w:kern w:val="0"/>
                <w:sz w:val="20"/>
              </w:rPr>
            </w:pPr>
            <w:r>
              <w:rPr>
                <w:rFonts w:eastAsia="等线" w:cs="Times New Roman"/>
                <w:kern w:val="0"/>
                <w:sz w:val="20"/>
              </w:rPr>
              <w:t>99.3</w:t>
            </w:r>
          </w:p>
        </w:tc>
      </w:tr>
    </w:tbl>
    <w:p w14:paraId="380D35FB">
      <w:pPr>
        <w:pStyle w:val="79"/>
        <w:ind w:firstLine="420"/>
        <w:rPr>
          <w:rFonts w:cs="Times New Roman"/>
        </w:rPr>
      </w:pPr>
    </w:p>
    <w:p w14:paraId="59DB3F20">
      <w:pPr>
        <w:pStyle w:val="80"/>
        <w:ind w:firstLine="480"/>
      </w:pPr>
      <w:r>
        <w:t>（7）各控制指标间接排放限值</w:t>
      </w:r>
    </w:p>
    <w:p w14:paraId="3B9BF3F9">
      <w:pPr>
        <w:pStyle w:val="80"/>
        <w:ind w:firstLine="480"/>
      </w:pPr>
      <w:r>
        <w:t>对于海菜加工企业将漂烫盐渍废水送至城市或工业园区污水处理设施进行处理的，直接采用辽宁省《污水综合排放标准》中间接排放限值进行控制。</w:t>
      </w:r>
    </w:p>
    <w:p w14:paraId="59066E38">
      <w:pPr>
        <w:pStyle w:val="5"/>
        <w:numPr>
          <w:ilvl w:val="3"/>
          <w:numId w:val="2"/>
        </w:numPr>
        <w:ind w:left="0" w:firstLine="0"/>
        <w:rPr>
          <w:rFonts w:cs="Times New Roman"/>
        </w:rPr>
      </w:pPr>
      <w:r>
        <w:rPr>
          <w:rFonts w:cs="Times New Roman"/>
        </w:rPr>
        <w:t>海水冷却水</w:t>
      </w:r>
    </w:p>
    <w:p w14:paraId="5C33438E">
      <w:pPr>
        <w:pStyle w:val="80"/>
        <w:ind w:firstLine="480"/>
      </w:pPr>
      <w:r>
        <w:t>海菜加工企业的海水冷却水产生于漂烫后海菜的冷却降温工序，冷却水直接取自于海洋，经与漂烫的海菜接触后会有部分海菜碎屑进入到海水中，引起冷却水中有机物和氮磷的增加。由于该部分废水的含盐量高、水量大，不适于进入其它污水处理设施处理，可以经处理后采取直接排放方式回到海洋。</w:t>
      </w:r>
    </w:p>
    <w:p w14:paraId="7D0EF03B">
      <w:pPr>
        <w:pStyle w:val="80"/>
        <w:ind w:firstLine="480"/>
      </w:pPr>
      <w:r>
        <w:t>2020年我国发布了国家推荐性标准《海水冷却水排放要求》（GB/T 39361-2020），该标准要求海水冷却水宜独立排放。当确需与其他海水源的废水合流排放时，其他海水源的废水不应降低海水冷却水的排放水质，否则，应对其他海水源的废水进行处理。海水冷却水排放不得导致受纳水体表面出现油膜、浮沫和其他漂浮物质。海水冷却水的排放口宜离岸设置，选在有利于污染物向外海输移扩散的海域，并避开由岬角等特定地形引起的涡流及波浪破碎带。排放口不宜贴近潮间带，禁止漫滩排放。该标准仅对海水循环冷却水的化学需氧量、无机氮和总磷提出了排放要求，对海水直流冷却水排放水质未做要求。</w:t>
      </w:r>
    </w:p>
    <w:p w14:paraId="37D19963">
      <w:pPr>
        <w:pStyle w:val="80"/>
        <w:ind w:firstLine="480"/>
      </w:pPr>
      <w:r>
        <w:t>海菜加工企业的海水冷却废水属于直流冷却水，本标准要求该类废水应单独收集，经处理后直接排放入海。</w:t>
      </w:r>
    </w:p>
    <w:p w14:paraId="435732C9">
      <w:pPr>
        <w:pStyle w:val="80"/>
        <w:ind w:firstLine="480"/>
      </w:pPr>
      <w:r>
        <w:t>（1）pH值</w:t>
      </w:r>
    </w:p>
    <w:p w14:paraId="266C5995">
      <w:pPr>
        <w:pStyle w:val="80"/>
        <w:ind w:firstLine="480"/>
      </w:pPr>
      <w:r>
        <w:t>本标准参照我国《污水综合排放标准》、辽宁省《污水综合排放标准》《海水冷却水排放要求》以及《食品加工制造业水污染物排放标准（征求意见稿）》，将pH控制值设定为6~9。</w:t>
      </w:r>
    </w:p>
    <w:p w14:paraId="2FAEAE1C">
      <w:pPr>
        <w:pStyle w:val="80"/>
        <w:ind w:firstLine="480"/>
      </w:pPr>
      <w:r>
        <w:t>2022年6月项目组曾开展海菜加工行业污染防治研究，调查了大连市89家海菜加工企业，获取了37家的监测数据。数据表明各企业海水冷却水不满足pH值在6~9范围内的仅1家企业（大连金英海产有限公司），该企业冷却水没有单独排放，而是与漂烫废水混合后排入辽渔污水处理厂。由此也可以看出，海菜加工企业抽取海水作为冷却水后，对其pH值的影响不大，能够满足6~9的控制指标。</w:t>
      </w:r>
    </w:p>
    <w:p w14:paraId="416A95F9">
      <w:pPr>
        <w:pStyle w:val="80"/>
        <w:ind w:firstLine="480"/>
      </w:pPr>
      <w:r>
        <w:t>（2）悬浮物</w:t>
      </w:r>
    </w:p>
    <w:p w14:paraId="4CE24CB3">
      <w:pPr>
        <w:pStyle w:val="80"/>
        <w:ind w:firstLine="480"/>
      </w:pPr>
      <w:r>
        <w:t>辽宁省《污水综合排放标准》中悬浮物的控制限值为20mg/L，而《海水冷却水排放要求》和《食品加工制造业水污染物排放标准（征求意见稿）》均将悬浮物的标准限值定为30mg/L，结合对海菜加工企业海水冷却水的调研结果，本标准将该项指标控制值定为30mg/L。</w:t>
      </w:r>
    </w:p>
    <w:p w14:paraId="1494DE0C">
      <w:pPr>
        <w:pStyle w:val="80"/>
        <w:ind w:firstLine="480"/>
      </w:pPr>
      <w:r>
        <w:t>2022年开展调查的海菜加工企业中，海水冷却水处理前悬浮物监测值在15~620mg/L之间，平均为101mg/L。其中，处理前监测数据超过500mg/L的企业有2家，占监测数据企业数的3%，超过100mg/L的企业有12家，占监测数据企业数的20%，超过30mg/L的企业有54家，占监测数据企业数的89%。处理后废水SS监测值在9~77mg/L之间，平均为15mg/L。其中，监测数据超过30mg/L的企业仅有2家（大连金英海产有限公司、大连经济技术开发区大联兴水产养殖有限公司，均是漂烫废水与冷却水混合后处理，排入辽渔污水处理厂），占监测数据企业数的8%。</w:t>
      </w:r>
    </w:p>
    <w:p w14:paraId="422A521E">
      <w:pPr>
        <w:pStyle w:val="80"/>
        <w:ind w:firstLine="480"/>
        <w:rPr>
          <w:bCs/>
        </w:rPr>
      </w:pPr>
      <w:r>
        <w:rPr>
          <w:bCs/>
        </w:rPr>
        <w:t>（3）水温</w:t>
      </w:r>
    </w:p>
    <w:p w14:paraId="6879E359">
      <w:pPr>
        <w:pStyle w:val="80"/>
        <w:ind w:firstLine="480"/>
        <w:rPr>
          <w:bCs/>
        </w:rPr>
      </w:pPr>
      <w:r>
        <w:rPr>
          <w:bCs/>
        </w:rPr>
        <w:t>国家《污水综合排放标准》、辽宁省《污水综合排放标准》以及《食品加工制造业水污染物排放标准（征求意见稿）》均未对水温进行控制，但考虑到海菜加工过程中冷却水的形成过程，其水温过高可能会导致局部海域温升较大，建议以《海水冷却水排放要求》中对水温的控制要求进行控制，即人为造成的海水温升夏季不超过当时当地</w:t>
      </w:r>
      <w:r>
        <w:t>9℃。</w:t>
      </w:r>
    </w:p>
    <w:p w14:paraId="1175E4F1">
      <w:pPr>
        <w:pStyle w:val="80"/>
        <w:ind w:firstLine="480"/>
        <w:rPr>
          <w:bCs/>
        </w:rPr>
      </w:pPr>
      <w:r>
        <w:rPr>
          <w:bCs/>
        </w:rPr>
        <w:t>（4）化学需氧量（COD）</w:t>
      </w:r>
    </w:p>
    <w:p w14:paraId="2E24F53E">
      <w:pPr>
        <w:pStyle w:val="80"/>
        <w:ind w:firstLine="480"/>
      </w:pPr>
      <w:r>
        <w:t>我国《海水冷却水排放要求》没有对COD进行控制，考虑到海菜加工过程中冷却水直接与海菜接触，会有一部分海菜碎屑进入冷却水中，为此需提出相应的控制限值。《食品加工制造业水污染物排放标准（征求意见稿）》中提出的COD控制标准为100mg/L，从2022年调查和2024年对代表性海菜加工企业冷却水的监测结果来看，经必要的处理后，海菜加工冷却水的COD可以控制在100mg/L。</w:t>
      </w:r>
    </w:p>
    <w:p w14:paraId="157F5AE6">
      <w:pPr>
        <w:pStyle w:val="80"/>
        <w:ind w:firstLine="480"/>
      </w:pPr>
      <w:r>
        <w:t>2022年所调查的海菜加工企业，海水冷却水在处理前化学需氧量在50~37200mg/L之间。其中有两家企业是冷却水与漂烫废水混合后监测的，数值偏高。剔除这两家企业后，海水冷却水的化学需氧量在50~1000mg/L之间，平均浓度为133mg/L。其中，处理前监测数据超过500mg/L的企业有1家，占监测数据企业数的3%，处理前监测数据超过100mg/L的企业有15家，占监测数据企业数的45%。处理后废水化学需氧量监测值在42~65mg/L之间，平均为46mg/L。</w:t>
      </w:r>
    </w:p>
    <w:p w14:paraId="079A6A96">
      <w:pPr>
        <w:pStyle w:val="80"/>
        <w:ind w:firstLine="480"/>
      </w:pPr>
      <w:r>
        <w:t>2024年所监测的26家海菜加工企业，其冷却水出水COD值在6.0~310mg/L之间，超过100mg/L的企业共有6家，占比23%。</w:t>
      </w:r>
    </w:p>
    <w:p w14:paraId="3543B9BC">
      <w:pPr>
        <w:pStyle w:val="61"/>
        <w:rPr>
          <w:rFonts w:cs="Times New Roman"/>
        </w:rPr>
      </w:pPr>
      <w:bookmarkStart w:id="221" w:name="_Ref196213052"/>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12</w:t>
      </w:r>
      <w:r>
        <w:rPr>
          <w:rFonts w:cs="Times New Roman"/>
        </w:rPr>
        <w:fldChar w:fldCharType="end"/>
      </w:r>
      <w:bookmarkEnd w:id="221"/>
      <w:r>
        <w:rPr>
          <w:rFonts w:cs="Times New Roman"/>
        </w:rPr>
        <w:t xml:space="preserve">    2024年海菜加工企业冷却水出水监测数据统计表</w:t>
      </w:r>
    </w:p>
    <w:tbl>
      <w:tblPr>
        <w:tblStyle w:val="68"/>
        <w:tblW w:w="830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8"/>
        <w:gridCol w:w="1438"/>
        <w:gridCol w:w="1914"/>
        <w:gridCol w:w="1677"/>
        <w:gridCol w:w="1675"/>
      </w:tblGrid>
      <w:tr w14:paraId="29404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29DAF471">
            <w:pPr>
              <w:pStyle w:val="81"/>
              <w:rPr>
                <w:rFonts w:cs="Times New Roman"/>
                <w:kern w:val="0"/>
                <w:sz w:val="20"/>
              </w:rPr>
            </w:pPr>
            <w:r>
              <w:rPr>
                <w:rFonts w:cs="Times New Roman"/>
                <w:kern w:val="0"/>
                <w:sz w:val="20"/>
              </w:rPr>
              <w:t>企业序号</w:t>
            </w:r>
          </w:p>
        </w:tc>
        <w:tc>
          <w:tcPr>
            <w:tcW w:w="1438" w:type="dxa"/>
            <w:vAlign w:val="center"/>
          </w:tcPr>
          <w:p w14:paraId="60863067">
            <w:pPr>
              <w:pStyle w:val="81"/>
              <w:rPr>
                <w:rFonts w:cs="Times New Roman"/>
                <w:kern w:val="0"/>
                <w:sz w:val="22"/>
              </w:rPr>
            </w:pPr>
            <w:r>
              <w:rPr>
                <w:rFonts w:cs="Times New Roman"/>
                <w:kern w:val="0"/>
                <w:sz w:val="22"/>
              </w:rPr>
              <w:t>水量（t）</w:t>
            </w:r>
          </w:p>
        </w:tc>
        <w:tc>
          <w:tcPr>
            <w:tcW w:w="1914" w:type="dxa"/>
            <w:vAlign w:val="center"/>
          </w:tcPr>
          <w:p w14:paraId="09EFC1DC">
            <w:pPr>
              <w:pStyle w:val="81"/>
              <w:rPr>
                <w:rFonts w:cs="Times New Roman"/>
                <w:kern w:val="0"/>
                <w:sz w:val="20"/>
              </w:rPr>
            </w:pPr>
            <w:r>
              <w:rPr>
                <w:rFonts w:cs="Times New Roman"/>
                <w:kern w:val="0"/>
                <w:sz w:val="22"/>
              </w:rPr>
              <w:t>COD</w:t>
            </w:r>
            <w:r>
              <w:rPr>
                <w:rFonts w:cs="Times New Roman"/>
                <w:kern w:val="0"/>
                <w:sz w:val="20"/>
              </w:rPr>
              <w:t>(mg/L)</w:t>
            </w:r>
          </w:p>
        </w:tc>
        <w:tc>
          <w:tcPr>
            <w:tcW w:w="1677" w:type="dxa"/>
            <w:vAlign w:val="center"/>
          </w:tcPr>
          <w:p w14:paraId="36291549">
            <w:pPr>
              <w:pStyle w:val="81"/>
              <w:rPr>
                <w:rFonts w:cs="Times New Roman"/>
                <w:kern w:val="0"/>
                <w:sz w:val="20"/>
              </w:rPr>
            </w:pPr>
            <w:r>
              <w:rPr>
                <w:rFonts w:cs="Times New Roman"/>
                <w:kern w:val="0"/>
                <w:sz w:val="22"/>
              </w:rPr>
              <w:t>总氮（</w:t>
            </w:r>
            <w:r>
              <w:rPr>
                <w:rFonts w:cs="Times New Roman"/>
                <w:kern w:val="0"/>
                <w:sz w:val="20"/>
              </w:rPr>
              <w:t>mg/L）</w:t>
            </w:r>
          </w:p>
        </w:tc>
        <w:tc>
          <w:tcPr>
            <w:tcW w:w="1675" w:type="dxa"/>
            <w:vAlign w:val="center"/>
          </w:tcPr>
          <w:p w14:paraId="398441BE">
            <w:pPr>
              <w:pStyle w:val="81"/>
              <w:rPr>
                <w:rFonts w:cs="Times New Roman"/>
                <w:kern w:val="0"/>
                <w:sz w:val="20"/>
              </w:rPr>
            </w:pPr>
            <w:r>
              <w:rPr>
                <w:rFonts w:cs="Times New Roman"/>
                <w:kern w:val="0"/>
                <w:sz w:val="22"/>
              </w:rPr>
              <w:t>总磷（</w:t>
            </w:r>
            <w:r>
              <w:rPr>
                <w:rFonts w:cs="Times New Roman"/>
                <w:kern w:val="0"/>
                <w:sz w:val="20"/>
              </w:rPr>
              <w:t>mg/L）</w:t>
            </w:r>
          </w:p>
        </w:tc>
      </w:tr>
      <w:tr w14:paraId="78A0E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6195A936">
            <w:pPr>
              <w:pStyle w:val="81"/>
              <w:rPr>
                <w:rFonts w:cs="Times New Roman"/>
                <w:kern w:val="0"/>
                <w:sz w:val="20"/>
              </w:rPr>
            </w:pPr>
            <w:r>
              <w:rPr>
                <w:rFonts w:cs="Times New Roman"/>
                <w:kern w:val="0"/>
                <w:sz w:val="20"/>
              </w:rPr>
              <w:t>1</w:t>
            </w:r>
          </w:p>
        </w:tc>
        <w:tc>
          <w:tcPr>
            <w:tcW w:w="1438" w:type="dxa"/>
            <w:vAlign w:val="center"/>
          </w:tcPr>
          <w:p w14:paraId="514F7ADF">
            <w:pPr>
              <w:pStyle w:val="81"/>
              <w:rPr>
                <w:rFonts w:cs="Times New Roman"/>
                <w:kern w:val="0"/>
                <w:sz w:val="22"/>
              </w:rPr>
            </w:pPr>
            <w:r>
              <w:rPr>
                <w:rFonts w:eastAsia="等线" w:cs="Times New Roman"/>
                <w:kern w:val="0"/>
                <w:sz w:val="22"/>
              </w:rPr>
              <w:t>2000</w:t>
            </w:r>
          </w:p>
        </w:tc>
        <w:tc>
          <w:tcPr>
            <w:tcW w:w="1914" w:type="dxa"/>
            <w:vAlign w:val="center"/>
          </w:tcPr>
          <w:p w14:paraId="0564D756">
            <w:pPr>
              <w:pStyle w:val="81"/>
              <w:rPr>
                <w:rFonts w:cs="Times New Roman"/>
                <w:kern w:val="0"/>
                <w:sz w:val="20"/>
              </w:rPr>
            </w:pPr>
            <w:r>
              <w:rPr>
                <w:rFonts w:eastAsia="等线" w:cs="Times New Roman"/>
                <w:kern w:val="0"/>
                <w:sz w:val="22"/>
              </w:rPr>
              <w:t>43.2</w:t>
            </w:r>
          </w:p>
        </w:tc>
        <w:tc>
          <w:tcPr>
            <w:tcW w:w="1677" w:type="dxa"/>
            <w:vAlign w:val="center"/>
          </w:tcPr>
          <w:p w14:paraId="567E15DA">
            <w:pPr>
              <w:pStyle w:val="81"/>
              <w:rPr>
                <w:rFonts w:eastAsia="等线" w:cs="Times New Roman"/>
                <w:kern w:val="0"/>
                <w:sz w:val="20"/>
              </w:rPr>
            </w:pPr>
            <w:r>
              <w:rPr>
                <w:rFonts w:eastAsia="等线" w:cs="Times New Roman"/>
                <w:kern w:val="0"/>
                <w:sz w:val="22"/>
              </w:rPr>
              <w:t>27.3</w:t>
            </w:r>
          </w:p>
        </w:tc>
        <w:tc>
          <w:tcPr>
            <w:tcW w:w="1675" w:type="dxa"/>
            <w:vAlign w:val="center"/>
          </w:tcPr>
          <w:p w14:paraId="0D28D5A4">
            <w:pPr>
              <w:pStyle w:val="81"/>
              <w:rPr>
                <w:rFonts w:eastAsia="等线" w:cs="Times New Roman"/>
                <w:kern w:val="0"/>
                <w:sz w:val="20"/>
              </w:rPr>
            </w:pPr>
            <w:r>
              <w:rPr>
                <w:rFonts w:eastAsia="等线" w:cs="Times New Roman"/>
                <w:kern w:val="0"/>
                <w:sz w:val="22"/>
              </w:rPr>
              <w:t>0.129</w:t>
            </w:r>
          </w:p>
        </w:tc>
      </w:tr>
      <w:tr w14:paraId="35116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5B9D355B">
            <w:pPr>
              <w:pStyle w:val="81"/>
              <w:rPr>
                <w:rFonts w:cs="Times New Roman"/>
                <w:kern w:val="0"/>
                <w:sz w:val="20"/>
              </w:rPr>
            </w:pPr>
            <w:r>
              <w:rPr>
                <w:rFonts w:cs="Times New Roman"/>
                <w:kern w:val="0"/>
                <w:sz w:val="20"/>
              </w:rPr>
              <w:t>2</w:t>
            </w:r>
          </w:p>
        </w:tc>
        <w:tc>
          <w:tcPr>
            <w:tcW w:w="1438" w:type="dxa"/>
            <w:vAlign w:val="center"/>
          </w:tcPr>
          <w:p w14:paraId="47557754">
            <w:pPr>
              <w:pStyle w:val="81"/>
              <w:rPr>
                <w:rFonts w:cs="Times New Roman"/>
                <w:kern w:val="0"/>
                <w:sz w:val="22"/>
              </w:rPr>
            </w:pPr>
            <w:r>
              <w:rPr>
                <w:rFonts w:eastAsia="等线" w:cs="Times New Roman"/>
                <w:kern w:val="0"/>
                <w:sz w:val="22"/>
              </w:rPr>
              <w:t>30</w:t>
            </w:r>
          </w:p>
        </w:tc>
        <w:tc>
          <w:tcPr>
            <w:tcW w:w="1914" w:type="dxa"/>
            <w:vAlign w:val="center"/>
          </w:tcPr>
          <w:p w14:paraId="5361E8C6">
            <w:pPr>
              <w:pStyle w:val="81"/>
              <w:rPr>
                <w:rFonts w:cs="Times New Roman"/>
                <w:kern w:val="0"/>
                <w:sz w:val="20"/>
              </w:rPr>
            </w:pPr>
            <w:r>
              <w:rPr>
                <w:rFonts w:eastAsia="等线" w:cs="Times New Roman"/>
                <w:kern w:val="0"/>
                <w:sz w:val="22"/>
              </w:rPr>
              <w:t>6</w:t>
            </w:r>
          </w:p>
        </w:tc>
        <w:tc>
          <w:tcPr>
            <w:tcW w:w="1677" w:type="dxa"/>
            <w:vAlign w:val="center"/>
          </w:tcPr>
          <w:p w14:paraId="19775245">
            <w:pPr>
              <w:pStyle w:val="81"/>
              <w:rPr>
                <w:rFonts w:eastAsia="等线" w:cs="Times New Roman"/>
                <w:kern w:val="0"/>
                <w:sz w:val="20"/>
              </w:rPr>
            </w:pPr>
            <w:r>
              <w:rPr>
                <w:rFonts w:eastAsia="等线" w:cs="Times New Roman"/>
                <w:kern w:val="0"/>
                <w:sz w:val="22"/>
              </w:rPr>
              <w:t>0.72</w:t>
            </w:r>
          </w:p>
        </w:tc>
        <w:tc>
          <w:tcPr>
            <w:tcW w:w="1675" w:type="dxa"/>
            <w:vAlign w:val="center"/>
          </w:tcPr>
          <w:p w14:paraId="49C89490">
            <w:pPr>
              <w:pStyle w:val="81"/>
              <w:rPr>
                <w:rFonts w:eastAsia="等线" w:cs="Times New Roman"/>
                <w:kern w:val="0"/>
                <w:sz w:val="20"/>
              </w:rPr>
            </w:pPr>
            <w:r>
              <w:rPr>
                <w:rFonts w:eastAsia="等线" w:cs="Times New Roman"/>
                <w:kern w:val="0"/>
                <w:sz w:val="22"/>
              </w:rPr>
              <w:t>0.027</w:t>
            </w:r>
          </w:p>
        </w:tc>
      </w:tr>
      <w:tr w14:paraId="7FCDA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7C2E1DBD">
            <w:pPr>
              <w:pStyle w:val="81"/>
              <w:rPr>
                <w:rFonts w:cs="Times New Roman"/>
                <w:kern w:val="0"/>
                <w:sz w:val="20"/>
              </w:rPr>
            </w:pPr>
            <w:r>
              <w:rPr>
                <w:rFonts w:cs="Times New Roman"/>
                <w:kern w:val="0"/>
                <w:sz w:val="20"/>
              </w:rPr>
              <w:t>3</w:t>
            </w:r>
          </w:p>
        </w:tc>
        <w:tc>
          <w:tcPr>
            <w:tcW w:w="1438" w:type="dxa"/>
            <w:vAlign w:val="center"/>
          </w:tcPr>
          <w:p w14:paraId="4F4BA9FB">
            <w:pPr>
              <w:pStyle w:val="81"/>
              <w:rPr>
                <w:rFonts w:cs="Times New Roman"/>
                <w:kern w:val="0"/>
                <w:sz w:val="22"/>
              </w:rPr>
            </w:pPr>
            <w:r>
              <w:rPr>
                <w:rFonts w:eastAsia="等线" w:cs="Times New Roman"/>
                <w:kern w:val="0"/>
                <w:sz w:val="22"/>
              </w:rPr>
              <w:t>7</w:t>
            </w:r>
          </w:p>
        </w:tc>
        <w:tc>
          <w:tcPr>
            <w:tcW w:w="1914" w:type="dxa"/>
            <w:vAlign w:val="center"/>
          </w:tcPr>
          <w:p w14:paraId="79BA7A1A">
            <w:pPr>
              <w:pStyle w:val="81"/>
              <w:rPr>
                <w:rFonts w:cs="Times New Roman"/>
                <w:kern w:val="0"/>
                <w:sz w:val="20"/>
              </w:rPr>
            </w:pPr>
            <w:r>
              <w:rPr>
                <w:rFonts w:eastAsia="等线" w:cs="Times New Roman"/>
                <w:kern w:val="0"/>
                <w:sz w:val="22"/>
              </w:rPr>
              <w:t>96</w:t>
            </w:r>
          </w:p>
        </w:tc>
        <w:tc>
          <w:tcPr>
            <w:tcW w:w="1677" w:type="dxa"/>
            <w:vAlign w:val="center"/>
          </w:tcPr>
          <w:p w14:paraId="3A6DDDDA">
            <w:pPr>
              <w:pStyle w:val="81"/>
              <w:rPr>
                <w:rFonts w:eastAsia="等线" w:cs="Times New Roman"/>
                <w:kern w:val="0"/>
                <w:sz w:val="20"/>
              </w:rPr>
            </w:pPr>
            <w:r>
              <w:rPr>
                <w:rFonts w:eastAsia="等线" w:cs="Times New Roman"/>
                <w:kern w:val="0"/>
                <w:sz w:val="22"/>
              </w:rPr>
              <w:t>13.3</w:t>
            </w:r>
          </w:p>
        </w:tc>
        <w:tc>
          <w:tcPr>
            <w:tcW w:w="1675" w:type="dxa"/>
            <w:vAlign w:val="center"/>
          </w:tcPr>
          <w:p w14:paraId="198EEC66">
            <w:pPr>
              <w:pStyle w:val="81"/>
              <w:rPr>
                <w:rFonts w:eastAsia="等线" w:cs="Times New Roman"/>
                <w:kern w:val="0"/>
                <w:sz w:val="20"/>
              </w:rPr>
            </w:pPr>
            <w:r>
              <w:rPr>
                <w:rFonts w:eastAsia="等线" w:cs="Times New Roman"/>
                <w:kern w:val="0"/>
                <w:sz w:val="22"/>
              </w:rPr>
              <w:t>1.93</w:t>
            </w:r>
          </w:p>
        </w:tc>
      </w:tr>
      <w:tr w14:paraId="5C007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00C28ACB">
            <w:pPr>
              <w:pStyle w:val="81"/>
              <w:rPr>
                <w:rFonts w:cs="Times New Roman"/>
                <w:kern w:val="0"/>
                <w:sz w:val="20"/>
              </w:rPr>
            </w:pPr>
            <w:r>
              <w:rPr>
                <w:rFonts w:cs="Times New Roman"/>
                <w:kern w:val="0"/>
                <w:sz w:val="20"/>
              </w:rPr>
              <w:t>4</w:t>
            </w:r>
          </w:p>
        </w:tc>
        <w:tc>
          <w:tcPr>
            <w:tcW w:w="1438" w:type="dxa"/>
            <w:vAlign w:val="center"/>
          </w:tcPr>
          <w:p w14:paraId="73662AB3">
            <w:pPr>
              <w:pStyle w:val="81"/>
              <w:rPr>
                <w:rFonts w:cs="Times New Roman"/>
                <w:kern w:val="0"/>
                <w:sz w:val="22"/>
              </w:rPr>
            </w:pPr>
            <w:r>
              <w:rPr>
                <w:rFonts w:eastAsia="等线" w:cs="Times New Roman"/>
                <w:kern w:val="0"/>
                <w:sz w:val="22"/>
              </w:rPr>
              <w:t>50</w:t>
            </w:r>
          </w:p>
        </w:tc>
        <w:tc>
          <w:tcPr>
            <w:tcW w:w="1914" w:type="dxa"/>
            <w:vAlign w:val="center"/>
          </w:tcPr>
          <w:p w14:paraId="3092C76F">
            <w:pPr>
              <w:pStyle w:val="81"/>
              <w:rPr>
                <w:rFonts w:cs="Times New Roman"/>
                <w:kern w:val="0"/>
                <w:sz w:val="20"/>
              </w:rPr>
            </w:pPr>
            <w:r>
              <w:rPr>
                <w:rFonts w:eastAsia="等线" w:cs="Times New Roman"/>
                <w:kern w:val="0"/>
                <w:sz w:val="22"/>
              </w:rPr>
              <w:t>80</w:t>
            </w:r>
          </w:p>
        </w:tc>
        <w:tc>
          <w:tcPr>
            <w:tcW w:w="1677" w:type="dxa"/>
            <w:vAlign w:val="center"/>
          </w:tcPr>
          <w:p w14:paraId="4D6BB348">
            <w:pPr>
              <w:pStyle w:val="81"/>
              <w:rPr>
                <w:rFonts w:eastAsia="等线" w:cs="Times New Roman"/>
                <w:kern w:val="0"/>
                <w:sz w:val="20"/>
              </w:rPr>
            </w:pPr>
            <w:r>
              <w:rPr>
                <w:rFonts w:eastAsia="等线" w:cs="Times New Roman"/>
                <w:kern w:val="0"/>
                <w:sz w:val="22"/>
              </w:rPr>
              <w:t>3.79</w:t>
            </w:r>
          </w:p>
        </w:tc>
        <w:tc>
          <w:tcPr>
            <w:tcW w:w="1675" w:type="dxa"/>
            <w:vAlign w:val="center"/>
          </w:tcPr>
          <w:p w14:paraId="409128E6">
            <w:pPr>
              <w:pStyle w:val="81"/>
              <w:rPr>
                <w:rFonts w:eastAsia="等线" w:cs="Times New Roman"/>
                <w:kern w:val="0"/>
                <w:sz w:val="20"/>
              </w:rPr>
            </w:pPr>
            <w:r>
              <w:rPr>
                <w:rFonts w:eastAsia="等线" w:cs="Times New Roman"/>
                <w:kern w:val="0"/>
                <w:sz w:val="22"/>
              </w:rPr>
              <w:t>2.07</w:t>
            </w:r>
          </w:p>
        </w:tc>
      </w:tr>
      <w:tr w14:paraId="71D8C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7C75B595">
            <w:pPr>
              <w:pStyle w:val="81"/>
              <w:rPr>
                <w:rFonts w:cs="Times New Roman"/>
                <w:kern w:val="0"/>
                <w:sz w:val="20"/>
              </w:rPr>
            </w:pPr>
            <w:r>
              <w:rPr>
                <w:rFonts w:cs="Times New Roman"/>
                <w:kern w:val="0"/>
                <w:sz w:val="20"/>
              </w:rPr>
              <w:t>5</w:t>
            </w:r>
          </w:p>
        </w:tc>
        <w:tc>
          <w:tcPr>
            <w:tcW w:w="1438" w:type="dxa"/>
            <w:vAlign w:val="center"/>
          </w:tcPr>
          <w:p w14:paraId="1C149F25">
            <w:pPr>
              <w:pStyle w:val="81"/>
              <w:rPr>
                <w:rFonts w:cs="Times New Roman"/>
                <w:kern w:val="0"/>
                <w:sz w:val="22"/>
              </w:rPr>
            </w:pPr>
            <w:r>
              <w:rPr>
                <w:rFonts w:eastAsia="等线" w:cs="Times New Roman"/>
                <w:kern w:val="0"/>
                <w:sz w:val="22"/>
              </w:rPr>
              <w:t>50</w:t>
            </w:r>
          </w:p>
        </w:tc>
        <w:tc>
          <w:tcPr>
            <w:tcW w:w="1914" w:type="dxa"/>
            <w:vAlign w:val="center"/>
          </w:tcPr>
          <w:p w14:paraId="67DCEE44">
            <w:pPr>
              <w:pStyle w:val="81"/>
              <w:rPr>
                <w:rFonts w:cs="Times New Roman"/>
                <w:kern w:val="0"/>
                <w:sz w:val="20"/>
              </w:rPr>
            </w:pPr>
            <w:r>
              <w:rPr>
                <w:rFonts w:eastAsia="等线" w:cs="Times New Roman"/>
                <w:kern w:val="0"/>
                <w:sz w:val="22"/>
              </w:rPr>
              <w:t>8</w:t>
            </w:r>
          </w:p>
        </w:tc>
        <w:tc>
          <w:tcPr>
            <w:tcW w:w="1677" w:type="dxa"/>
            <w:vAlign w:val="center"/>
          </w:tcPr>
          <w:p w14:paraId="033819C3">
            <w:pPr>
              <w:pStyle w:val="81"/>
              <w:rPr>
                <w:rFonts w:eastAsia="等线" w:cs="Times New Roman"/>
                <w:kern w:val="0"/>
                <w:sz w:val="20"/>
              </w:rPr>
            </w:pPr>
            <w:r>
              <w:rPr>
                <w:rFonts w:eastAsia="等线" w:cs="Times New Roman"/>
                <w:kern w:val="0"/>
                <w:sz w:val="22"/>
              </w:rPr>
              <w:t>1.79</w:t>
            </w:r>
          </w:p>
        </w:tc>
        <w:tc>
          <w:tcPr>
            <w:tcW w:w="1675" w:type="dxa"/>
            <w:vAlign w:val="center"/>
          </w:tcPr>
          <w:p w14:paraId="0E82C488">
            <w:pPr>
              <w:pStyle w:val="81"/>
              <w:rPr>
                <w:rFonts w:eastAsia="等线" w:cs="Times New Roman"/>
                <w:kern w:val="0"/>
                <w:sz w:val="20"/>
              </w:rPr>
            </w:pPr>
            <w:r>
              <w:rPr>
                <w:rFonts w:eastAsia="等线" w:cs="Times New Roman"/>
                <w:kern w:val="0"/>
                <w:sz w:val="22"/>
              </w:rPr>
              <w:t>0.73</w:t>
            </w:r>
          </w:p>
        </w:tc>
      </w:tr>
      <w:tr w14:paraId="7F5E5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4A926529">
            <w:pPr>
              <w:pStyle w:val="81"/>
              <w:rPr>
                <w:rFonts w:cs="Times New Roman"/>
                <w:kern w:val="0"/>
                <w:sz w:val="20"/>
              </w:rPr>
            </w:pPr>
            <w:r>
              <w:rPr>
                <w:rFonts w:cs="Times New Roman"/>
                <w:kern w:val="0"/>
                <w:sz w:val="20"/>
              </w:rPr>
              <w:t>6</w:t>
            </w:r>
          </w:p>
        </w:tc>
        <w:tc>
          <w:tcPr>
            <w:tcW w:w="1438" w:type="dxa"/>
            <w:vAlign w:val="center"/>
          </w:tcPr>
          <w:p w14:paraId="5BBD865C">
            <w:pPr>
              <w:pStyle w:val="81"/>
              <w:rPr>
                <w:rFonts w:cs="Times New Roman"/>
                <w:kern w:val="0"/>
                <w:sz w:val="22"/>
              </w:rPr>
            </w:pPr>
            <w:r>
              <w:rPr>
                <w:rFonts w:eastAsia="等线" w:cs="Times New Roman"/>
                <w:kern w:val="0"/>
                <w:sz w:val="22"/>
              </w:rPr>
              <w:t>35</w:t>
            </w:r>
          </w:p>
        </w:tc>
        <w:tc>
          <w:tcPr>
            <w:tcW w:w="1914" w:type="dxa"/>
            <w:vAlign w:val="center"/>
          </w:tcPr>
          <w:p w14:paraId="36BA92BE">
            <w:pPr>
              <w:pStyle w:val="81"/>
              <w:rPr>
                <w:rFonts w:cs="Times New Roman"/>
                <w:kern w:val="0"/>
                <w:sz w:val="20"/>
              </w:rPr>
            </w:pPr>
            <w:r>
              <w:rPr>
                <w:rFonts w:eastAsia="等线" w:cs="Times New Roman"/>
                <w:kern w:val="0"/>
                <w:sz w:val="22"/>
              </w:rPr>
              <w:t>12</w:t>
            </w:r>
          </w:p>
        </w:tc>
        <w:tc>
          <w:tcPr>
            <w:tcW w:w="1677" w:type="dxa"/>
            <w:vAlign w:val="center"/>
          </w:tcPr>
          <w:p w14:paraId="7136F790">
            <w:pPr>
              <w:pStyle w:val="81"/>
              <w:rPr>
                <w:rFonts w:eastAsia="等线" w:cs="Times New Roman"/>
                <w:kern w:val="0"/>
                <w:sz w:val="20"/>
              </w:rPr>
            </w:pPr>
            <w:r>
              <w:rPr>
                <w:rFonts w:eastAsia="等线" w:cs="Times New Roman"/>
                <w:kern w:val="0"/>
                <w:sz w:val="22"/>
              </w:rPr>
              <w:t>1.8</w:t>
            </w:r>
          </w:p>
        </w:tc>
        <w:tc>
          <w:tcPr>
            <w:tcW w:w="1675" w:type="dxa"/>
            <w:vAlign w:val="center"/>
          </w:tcPr>
          <w:p w14:paraId="484C1128">
            <w:pPr>
              <w:pStyle w:val="81"/>
              <w:rPr>
                <w:rFonts w:eastAsia="等线" w:cs="Times New Roman"/>
                <w:kern w:val="0"/>
                <w:sz w:val="20"/>
              </w:rPr>
            </w:pPr>
            <w:r>
              <w:rPr>
                <w:rFonts w:eastAsia="等线" w:cs="Times New Roman"/>
                <w:kern w:val="0"/>
                <w:sz w:val="22"/>
              </w:rPr>
              <w:t>0.12</w:t>
            </w:r>
          </w:p>
        </w:tc>
      </w:tr>
      <w:tr w14:paraId="3AD77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3F5EF69E">
            <w:pPr>
              <w:pStyle w:val="81"/>
              <w:rPr>
                <w:rFonts w:cs="Times New Roman"/>
                <w:kern w:val="0"/>
                <w:sz w:val="20"/>
              </w:rPr>
            </w:pPr>
            <w:r>
              <w:rPr>
                <w:rFonts w:cs="Times New Roman"/>
                <w:kern w:val="0"/>
                <w:sz w:val="20"/>
              </w:rPr>
              <w:t>7</w:t>
            </w:r>
          </w:p>
        </w:tc>
        <w:tc>
          <w:tcPr>
            <w:tcW w:w="1438" w:type="dxa"/>
            <w:vAlign w:val="center"/>
          </w:tcPr>
          <w:p w14:paraId="37494314">
            <w:pPr>
              <w:pStyle w:val="81"/>
              <w:rPr>
                <w:rFonts w:cs="Times New Roman"/>
                <w:kern w:val="0"/>
                <w:sz w:val="22"/>
              </w:rPr>
            </w:pPr>
            <w:r>
              <w:rPr>
                <w:rFonts w:eastAsia="等线" w:cs="Times New Roman"/>
                <w:kern w:val="0"/>
                <w:sz w:val="22"/>
              </w:rPr>
              <w:t>30</w:t>
            </w:r>
          </w:p>
        </w:tc>
        <w:tc>
          <w:tcPr>
            <w:tcW w:w="1914" w:type="dxa"/>
            <w:vAlign w:val="center"/>
          </w:tcPr>
          <w:p w14:paraId="3757393C">
            <w:pPr>
              <w:pStyle w:val="81"/>
              <w:rPr>
                <w:rFonts w:cs="Times New Roman"/>
                <w:kern w:val="0"/>
                <w:sz w:val="20"/>
              </w:rPr>
            </w:pPr>
            <w:r>
              <w:rPr>
                <w:rFonts w:eastAsia="等线" w:cs="Times New Roman"/>
                <w:kern w:val="0"/>
                <w:sz w:val="22"/>
              </w:rPr>
              <w:t>24</w:t>
            </w:r>
          </w:p>
        </w:tc>
        <w:tc>
          <w:tcPr>
            <w:tcW w:w="1677" w:type="dxa"/>
            <w:vAlign w:val="center"/>
          </w:tcPr>
          <w:p w14:paraId="3C4A36BF">
            <w:pPr>
              <w:pStyle w:val="81"/>
              <w:rPr>
                <w:rFonts w:eastAsia="等线" w:cs="Times New Roman"/>
                <w:kern w:val="0"/>
                <w:sz w:val="20"/>
              </w:rPr>
            </w:pPr>
            <w:r>
              <w:rPr>
                <w:rFonts w:eastAsia="等线" w:cs="Times New Roman"/>
                <w:kern w:val="0"/>
                <w:sz w:val="22"/>
              </w:rPr>
              <w:t>2.45</w:t>
            </w:r>
          </w:p>
        </w:tc>
        <w:tc>
          <w:tcPr>
            <w:tcW w:w="1675" w:type="dxa"/>
            <w:vAlign w:val="center"/>
          </w:tcPr>
          <w:p w14:paraId="23373B81">
            <w:pPr>
              <w:pStyle w:val="81"/>
              <w:rPr>
                <w:rFonts w:eastAsia="等线" w:cs="Times New Roman"/>
                <w:kern w:val="0"/>
                <w:sz w:val="20"/>
              </w:rPr>
            </w:pPr>
            <w:r>
              <w:rPr>
                <w:rFonts w:eastAsia="等线" w:cs="Times New Roman"/>
                <w:kern w:val="0"/>
                <w:sz w:val="22"/>
              </w:rPr>
              <w:t>0.69</w:t>
            </w:r>
          </w:p>
        </w:tc>
      </w:tr>
      <w:tr w14:paraId="67D50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36258A21">
            <w:pPr>
              <w:pStyle w:val="81"/>
              <w:rPr>
                <w:rFonts w:cs="Times New Roman"/>
                <w:kern w:val="0"/>
                <w:sz w:val="20"/>
              </w:rPr>
            </w:pPr>
            <w:r>
              <w:rPr>
                <w:rFonts w:cs="Times New Roman"/>
                <w:kern w:val="0"/>
                <w:sz w:val="20"/>
              </w:rPr>
              <w:t>8</w:t>
            </w:r>
          </w:p>
        </w:tc>
        <w:tc>
          <w:tcPr>
            <w:tcW w:w="1438" w:type="dxa"/>
            <w:vAlign w:val="center"/>
          </w:tcPr>
          <w:p w14:paraId="1529F7C9">
            <w:pPr>
              <w:pStyle w:val="81"/>
              <w:rPr>
                <w:rFonts w:cs="Times New Roman"/>
                <w:kern w:val="0"/>
                <w:sz w:val="22"/>
              </w:rPr>
            </w:pPr>
            <w:r>
              <w:rPr>
                <w:rFonts w:eastAsia="等线" w:cs="Times New Roman"/>
                <w:kern w:val="0"/>
                <w:sz w:val="22"/>
              </w:rPr>
              <w:t>10</w:t>
            </w:r>
          </w:p>
        </w:tc>
        <w:tc>
          <w:tcPr>
            <w:tcW w:w="1914" w:type="dxa"/>
            <w:vAlign w:val="center"/>
          </w:tcPr>
          <w:p w14:paraId="05066404">
            <w:pPr>
              <w:pStyle w:val="81"/>
              <w:rPr>
                <w:rFonts w:cs="Times New Roman"/>
                <w:kern w:val="0"/>
                <w:sz w:val="20"/>
              </w:rPr>
            </w:pPr>
            <w:r>
              <w:rPr>
                <w:rFonts w:eastAsia="等线" w:cs="Times New Roman"/>
                <w:kern w:val="0"/>
                <w:sz w:val="22"/>
              </w:rPr>
              <w:t>8</w:t>
            </w:r>
          </w:p>
        </w:tc>
        <w:tc>
          <w:tcPr>
            <w:tcW w:w="1677" w:type="dxa"/>
            <w:vAlign w:val="center"/>
          </w:tcPr>
          <w:p w14:paraId="1F56B46E">
            <w:pPr>
              <w:pStyle w:val="81"/>
              <w:rPr>
                <w:rFonts w:eastAsia="等线" w:cs="Times New Roman"/>
                <w:kern w:val="0"/>
                <w:sz w:val="20"/>
              </w:rPr>
            </w:pPr>
            <w:r>
              <w:rPr>
                <w:rFonts w:eastAsia="等线" w:cs="Times New Roman"/>
                <w:kern w:val="0"/>
                <w:sz w:val="22"/>
              </w:rPr>
              <w:t>12</w:t>
            </w:r>
          </w:p>
        </w:tc>
        <w:tc>
          <w:tcPr>
            <w:tcW w:w="1675" w:type="dxa"/>
            <w:vAlign w:val="center"/>
          </w:tcPr>
          <w:p w14:paraId="46796EFB">
            <w:pPr>
              <w:pStyle w:val="81"/>
              <w:rPr>
                <w:rFonts w:eastAsia="等线" w:cs="Times New Roman"/>
                <w:kern w:val="0"/>
                <w:sz w:val="20"/>
              </w:rPr>
            </w:pPr>
            <w:r>
              <w:rPr>
                <w:rFonts w:eastAsia="等线" w:cs="Times New Roman"/>
                <w:kern w:val="0"/>
                <w:sz w:val="22"/>
              </w:rPr>
              <w:t>1.46</w:t>
            </w:r>
          </w:p>
        </w:tc>
      </w:tr>
      <w:tr w14:paraId="7F0A9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3593E8BD">
            <w:pPr>
              <w:pStyle w:val="81"/>
              <w:rPr>
                <w:rFonts w:cs="Times New Roman"/>
                <w:kern w:val="0"/>
                <w:sz w:val="20"/>
              </w:rPr>
            </w:pPr>
            <w:r>
              <w:rPr>
                <w:rFonts w:cs="Times New Roman"/>
                <w:kern w:val="0"/>
                <w:sz w:val="20"/>
              </w:rPr>
              <w:t>9</w:t>
            </w:r>
          </w:p>
        </w:tc>
        <w:tc>
          <w:tcPr>
            <w:tcW w:w="1438" w:type="dxa"/>
            <w:vAlign w:val="center"/>
          </w:tcPr>
          <w:p w14:paraId="4E92A675">
            <w:pPr>
              <w:pStyle w:val="81"/>
              <w:rPr>
                <w:rFonts w:cs="Times New Roman"/>
                <w:kern w:val="0"/>
                <w:sz w:val="22"/>
              </w:rPr>
            </w:pPr>
            <w:r>
              <w:rPr>
                <w:rFonts w:eastAsia="等线" w:cs="Times New Roman"/>
                <w:kern w:val="0"/>
                <w:sz w:val="22"/>
              </w:rPr>
              <w:t>10</w:t>
            </w:r>
          </w:p>
        </w:tc>
        <w:tc>
          <w:tcPr>
            <w:tcW w:w="1914" w:type="dxa"/>
            <w:vAlign w:val="center"/>
          </w:tcPr>
          <w:p w14:paraId="5A79E068">
            <w:pPr>
              <w:pStyle w:val="81"/>
              <w:rPr>
                <w:rFonts w:cs="Times New Roman"/>
                <w:kern w:val="0"/>
                <w:sz w:val="20"/>
              </w:rPr>
            </w:pPr>
            <w:r>
              <w:rPr>
                <w:rFonts w:eastAsia="等线" w:cs="Times New Roman"/>
                <w:kern w:val="0"/>
                <w:sz w:val="22"/>
              </w:rPr>
              <w:t>8</w:t>
            </w:r>
          </w:p>
        </w:tc>
        <w:tc>
          <w:tcPr>
            <w:tcW w:w="1677" w:type="dxa"/>
            <w:vAlign w:val="center"/>
          </w:tcPr>
          <w:p w14:paraId="4D052DE5">
            <w:pPr>
              <w:pStyle w:val="81"/>
              <w:rPr>
                <w:rFonts w:eastAsia="等线" w:cs="Times New Roman"/>
                <w:kern w:val="0"/>
                <w:sz w:val="20"/>
              </w:rPr>
            </w:pPr>
            <w:r>
              <w:rPr>
                <w:rFonts w:eastAsia="等线" w:cs="Times New Roman"/>
                <w:kern w:val="0"/>
                <w:sz w:val="22"/>
              </w:rPr>
              <w:t>11.2</w:t>
            </w:r>
          </w:p>
        </w:tc>
        <w:tc>
          <w:tcPr>
            <w:tcW w:w="1675" w:type="dxa"/>
            <w:vAlign w:val="center"/>
          </w:tcPr>
          <w:p w14:paraId="3F17AEDD">
            <w:pPr>
              <w:pStyle w:val="81"/>
              <w:rPr>
                <w:rFonts w:eastAsia="等线" w:cs="Times New Roman"/>
                <w:kern w:val="0"/>
                <w:sz w:val="20"/>
              </w:rPr>
            </w:pPr>
            <w:r>
              <w:rPr>
                <w:rFonts w:eastAsia="等线" w:cs="Times New Roman"/>
                <w:kern w:val="0"/>
                <w:sz w:val="22"/>
              </w:rPr>
              <w:t>12</w:t>
            </w:r>
          </w:p>
        </w:tc>
      </w:tr>
      <w:tr w14:paraId="4C8D7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0AAA4AEE">
            <w:pPr>
              <w:pStyle w:val="81"/>
              <w:rPr>
                <w:rFonts w:cs="Times New Roman"/>
                <w:kern w:val="0"/>
                <w:sz w:val="20"/>
              </w:rPr>
            </w:pPr>
            <w:r>
              <w:rPr>
                <w:rFonts w:cs="Times New Roman"/>
                <w:kern w:val="0"/>
                <w:sz w:val="20"/>
              </w:rPr>
              <w:t>10</w:t>
            </w:r>
          </w:p>
        </w:tc>
        <w:tc>
          <w:tcPr>
            <w:tcW w:w="1438" w:type="dxa"/>
            <w:vAlign w:val="center"/>
          </w:tcPr>
          <w:p w14:paraId="4B5CAA32">
            <w:pPr>
              <w:pStyle w:val="81"/>
              <w:rPr>
                <w:rFonts w:cs="Times New Roman"/>
                <w:kern w:val="0"/>
                <w:sz w:val="22"/>
              </w:rPr>
            </w:pPr>
            <w:r>
              <w:rPr>
                <w:rFonts w:eastAsia="等线" w:cs="Times New Roman"/>
                <w:kern w:val="0"/>
                <w:sz w:val="22"/>
              </w:rPr>
              <w:t>20</w:t>
            </w:r>
          </w:p>
        </w:tc>
        <w:tc>
          <w:tcPr>
            <w:tcW w:w="1914" w:type="dxa"/>
            <w:vAlign w:val="center"/>
          </w:tcPr>
          <w:p w14:paraId="6E49C3B5">
            <w:pPr>
              <w:pStyle w:val="81"/>
              <w:rPr>
                <w:rFonts w:cs="Times New Roman"/>
                <w:kern w:val="0"/>
                <w:sz w:val="20"/>
              </w:rPr>
            </w:pPr>
            <w:r>
              <w:rPr>
                <w:rFonts w:eastAsia="等线" w:cs="Times New Roman"/>
                <w:kern w:val="0"/>
                <w:sz w:val="22"/>
              </w:rPr>
              <w:t>10</w:t>
            </w:r>
          </w:p>
        </w:tc>
        <w:tc>
          <w:tcPr>
            <w:tcW w:w="1677" w:type="dxa"/>
            <w:vAlign w:val="center"/>
          </w:tcPr>
          <w:p w14:paraId="20543D10">
            <w:pPr>
              <w:pStyle w:val="81"/>
              <w:rPr>
                <w:rFonts w:eastAsia="等线" w:cs="Times New Roman"/>
                <w:kern w:val="0"/>
                <w:sz w:val="20"/>
              </w:rPr>
            </w:pPr>
            <w:r>
              <w:rPr>
                <w:rFonts w:eastAsia="等线" w:cs="Times New Roman"/>
                <w:kern w:val="0"/>
                <w:sz w:val="22"/>
              </w:rPr>
              <w:t>17</w:t>
            </w:r>
          </w:p>
        </w:tc>
        <w:tc>
          <w:tcPr>
            <w:tcW w:w="1675" w:type="dxa"/>
            <w:vAlign w:val="center"/>
          </w:tcPr>
          <w:p w14:paraId="5A274794">
            <w:pPr>
              <w:pStyle w:val="81"/>
              <w:rPr>
                <w:rFonts w:eastAsia="等线" w:cs="Times New Roman"/>
                <w:kern w:val="0"/>
                <w:sz w:val="20"/>
              </w:rPr>
            </w:pPr>
            <w:r>
              <w:rPr>
                <w:rFonts w:eastAsia="等线" w:cs="Times New Roman"/>
                <w:kern w:val="0"/>
                <w:sz w:val="22"/>
              </w:rPr>
              <w:t>2</w:t>
            </w:r>
          </w:p>
        </w:tc>
      </w:tr>
      <w:tr w14:paraId="34A4B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153C03AB">
            <w:pPr>
              <w:pStyle w:val="81"/>
              <w:rPr>
                <w:rFonts w:cs="Times New Roman"/>
                <w:kern w:val="0"/>
                <w:sz w:val="20"/>
              </w:rPr>
            </w:pPr>
            <w:r>
              <w:rPr>
                <w:rFonts w:cs="Times New Roman"/>
                <w:kern w:val="0"/>
                <w:sz w:val="20"/>
              </w:rPr>
              <w:t>11</w:t>
            </w:r>
          </w:p>
        </w:tc>
        <w:tc>
          <w:tcPr>
            <w:tcW w:w="1438" w:type="dxa"/>
            <w:vAlign w:val="center"/>
          </w:tcPr>
          <w:p w14:paraId="2AABF53B">
            <w:pPr>
              <w:pStyle w:val="81"/>
              <w:rPr>
                <w:rFonts w:cs="Times New Roman"/>
                <w:kern w:val="0"/>
                <w:sz w:val="22"/>
              </w:rPr>
            </w:pPr>
            <w:r>
              <w:rPr>
                <w:rFonts w:eastAsia="等线" w:cs="Times New Roman"/>
                <w:kern w:val="0"/>
                <w:sz w:val="22"/>
              </w:rPr>
              <w:t>50</w:t>
            </w:r>
          </w:p>
        </w:tc>
        <w:tc>
          <w:tcPr>
            <w:tcW w:w="1914" w:type="dxa"/>
            <w:vAlign w:val="center"/>
          </w:tcPr>
          <w:p w14:paraId="58D3303F">
            <w:pPr>
              <w:pStyle w:val="81"/>
              <w:rPr>
                <w:rFonts w:cs="Times New Roman"/>
                <w:kern w:val="0"/>
                <w:sz w:val="20"/>
              </w:rPr>
            </w:pPr>
            <w:r>
              <w:rPr>
                <w:rFonts w:eastAsia="等线" w:cs="Times New Roman"/>
                <w:kern w:val="0"/>
                <w:sz w:val="22"/>
              </w:rPr>
              <w:t>8</w:t>
            </w:r>
          </w:p>
        </w:tc>
        <w:tc>
          <w:tcPr>
            <w:tcW w:w="1677" w:type="dxa"/>
            <w:vAlign w:val="center"/>
          </w:tcPr>
          <w:p w14:paraId="2F541455">
            <w:pPr>
              <w:pStyle w:val="81"/>
              <w:rPr>
                <w:rFonts w:eastAsia="等线" w:cs="Times New Roman"/>
                <w:kern w:val="0"/>
                <w:sz w:val="20"/>
              </w:rPr>
            </w:pPr>
            <w:r>
              <w:rPr>
                <w:rFonts w:eastAsia="等线" w:cs="Times New Roman"/>
                <w:kern w:val="0"/>
                <w:sz w:val="22"/>
              </w:rPr>
              <w:t>13.6</w:t>
            </w:r>
          </w:p>
        </w:tc>
        <w:tc>
          <w:tcPr>
            <w:tcW w:w="1675" w:type="dxa"/>
            <w:vAlign w:val="center"/>
          </w:tcPr>
          <w:p w14:paraId="1186F380">
            <w:pPr>
              <w:pStyle w:val="81"/>
              <w:rPr>
                <w:rFonts w:eastAsia="等线" w:cs="Times New Roman"/>
                <w:kern w:val="0"/>
                <w:sz w:val="20"/>
              </w:rPr>
            </w:pPr>
            <w:r>
              <w:rPr>
                <w:rFonts w:eastAsia="等线" w:cs="Times New Roman"/>
                <w:kern w:val="0"/>
                <w:sz w:val="22"/>
              </w:rPr>
              <w:t>0.62</w:t>
            </w:r>
          </w:p>
        </w:tc>
      </w:tr>
      <w:tr w14:paraId="3ECE9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00A485B7">
            <w:pPr>
              <w:pStyle w:val="81"/>
              <w:rPr>
                <w:rFonts w:cs="Times New Roman"/>
                <w:kern w:val="0"/>
                <w:sz w:val="20"/>
              </w:rPr>
            </w:pPr>
            <w:r>
              <w:rPr>
                <w:rFonts w:cs="Times New Roman"/>
                <w:kern w:val="0"/>
                <w:sz w:val="20"/>
              </w:rPr>
              <w:t>12</w:t>
            </w:r>
          </w:p>
        </w:tc>
        <w:tc>
          <w:tcPr>
            <w:tcW w:w="1438" w:type="dxa"/>
            <w:vAlign w:val="center"/>
          </w:tcPr>
          <w:p w14:paraId="46BD695D">
            <w:pPr>
              <w:pStyle w:val="81"/>
              <w:rPr>
                <w:rFonts w:cs="Times New Roman"/>
                <w:kern w:val="0"/>
                <w:sz w:val="22"/>
              </w:rPr>
            </w:pPr>
            <w:r>
              <w:rPr>
                <w:rFonts w:eastAsia="等线" w:cs="Times New Roman"/>
                <w:kern w:val="0"/>
                <w:sz w:val="22"/>
              </w:rPr>
              <w:t>1500</w:t>
            </w:r>
          </w:p>
        </w:tc>
        <w:tc>
          <w:tcPr>
            <w:tcW w:w="1914" w:type="dxa"/>
            <w:vAlign w:val="center"/>
          </w:tcPr>
          <w:p w14:paraId="610E3A14">
            <w:pPr>
              <w:pStyle w:val="81"/>
              <w:rPr>
                <w:rFonts w:cs="Times New Roman"/>
                <w:kern w:val="0"/>
                <w:sz w:val="20"/>
              </w:rPr>
            </w:pPr>
            <w:r>
              <w:rPr>
                <w:rFonts w:eastAsia="等线" w:cs="Times New Roman"/>
                <w:kern w:val="0"/>
                <w:sz w:val="22"/>
              </w:rPr>
              <w:t>29</w:t>
            </w:r>
          </w:p>
        </w:tc>
        <w:tc>
          <w:tcPr>
            <w:tcW w:w="1677" w:type="dxa"/>
            <w:vAlign w:val="center"/>
          </w:tcPr>
          <w:p w14:paraId="367A3A01">
            <w:pPr>
              <w:pStyle w:val="81"/>
              <w:rPr>
                <w:rFonts w:eastAsia="等线" w:cs="Times New Roman"/>
                <w:kern w:val="0"/>
                <w:sz w:val="20"/>
              </w:rPr>
            </w:pPr>
            <w:r>
              <w:rPr>
                <w:rFonts w:eastAsia="等线" w:cs="Times New Roman"/>
                <w:kern w:val="0"/>
                <w:sz w:val="22"/>
              </w:rPr>
              <w:t>2.84</w:t>
            </w:r>
          </w:p>
        </w:tc>
        <w:tc>
          <w:tcPr>
            <w:tcW w:w="1675" w:type="dxa"/>
            <w:vAlign w:val="center"/>
          </w:tcPr>
          <w:p w14:paraId="0FA3A34C">
            <w:pPr>
              <w:pStyle w:val="81"/>
              <w:rPr>
                <w:rFonts w:eastAsia="等线" w:cs="Times New Roman"/>
                <w:kern w:val="0"/>
                <w:sz w:val="20"/>
              </w:rPr>
            </w:pPr>
            <w:r>
              <w:rPr>
                <w:rFonts w:eastAsia="等线" w:cs="Times New Roman"/>
                <w:kern w:val="0"/>
                <w:sz w:val="22"/>
              </w:rPr>
              <w:t>0.038</w:t>
            </w:r>
          </w:p>
        </w:tc>
      </w:tr>
      <w:tr w14:paraId="0904B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2A406416">
            <w:pPr>
              <w:pStyle w:val="81"/>
              <w:rPr>
                <w:rFonts w:cs="Times New Roman"/>
                <w:kern w:val="0"/>
                <w:sz w:val="20"/>
              </w:rPr>
            </w:pPr>
            <w:r>
              <w:rPr>
                <w:rFonts w:cs="Times New Roman"/>
                <w:kern w:val="0"/>
                <w:sz w:val="20"/>
              </w:rPr>
              <w:t>13</w:t>
            </w:r>
          </w:p>
        </w:tc>
        <w:tc>
          <w:tcPr>
            <w:tcW w:w="1438" w:type="dxa"/>
            <w:vAlign w:val="center"/>
          </w:tcPr>
          <w:p w14:paraId="3CD4E26F">
            <w:pPr>
              <w:pStyle w:val="81"/>
              <w:rPr>
                <w:rFonts w:cs="Times New Roman"/>
                <w:kern w:val="0"/>
                <w:sz w:val="22"/>
              </w:rPr>
            </w:pPr>
          </w:p>
        </w:tc>
        <w:tc>
          <w:tcPr>
            <w:tcW w:w="1914" w:type="dxa"/>
            <w:vAlign w:val="center"/>
          </w:tcPr>
          <w:p w14:paraId="08693E65">
            <w:pPr>
              <w:pStyle w:val="81"/>
              <w:rPr>
                <w:rFonts w:cs="Times New Roman"/>
                <w:kern w:val="0"/>
                <w:sz w:val="20"/>
              </w:rPr>
            </w:pPr>
            <w:r>
              <w:rPr>
                <w:rFonts w:eastAsia="等线" w:cs="Times New Roman"/>
                <w:kern w:val="0"/>
                <w:sz w:val="22"/>
              </w:rPr>
              <w:t>64</w:t>
            </w:r>
          </w:p>
        </w:tc>
        <w:tc>
          <w:tcPr>
            <w:tcW w:w="1677" w:type="dxa"/>
            <w:vAlign w:val="center"/>
          </w:tcPr>
          <w:p w14:paraId="3F02D3AF">
            <w:pPr>
              <w:pStyle w:val="81"/>
              <w:rPr>
                <w:rFonts w:eastAsia="等线" w:cs="Times New Roman"/>
                <w:kern w:val="0"/>
                <w:sz w:val="20"/>
              </w:rPr>
            </w:pPr>
            <w:r>
              <w:rPr>
                <w:rFonts w:eastAsia="等线" w:cs="Times New Roman"/>
                <w:kern w:val="0"/>
                <w:sz w:val="22"/>
              </w:rPr>
              <w:t>0.29</w:t>
            </w:r>
          </w:p>
        </w:tc>
        <w:tc>
          <w:tcPr>
            <w:tcW w:w="1675" w:type="dxa"/>
            <w:vAlign w:val="center"/>
          </w:tcPr>
          <w:p w14:paraId="1D42DC2B">
            <w:pPr>
              <w:pStyle w:val="81"/>
              <w:rPr>
                <w:rFonts w:eastAsia="等线" w:cs="Times New Roman"/>
                <w:kern w:val="0"/>
                <w:sz w:val="20"/>
              </w:rPr>
            </w:pPr>
            <w:r>
              <w:rPr>
                <w:rFonts w:eastAsia="等线" w:cs="Times New Roman"/>
                <w:kern w:val="0"/>
                <w:sz w:val="22"/>
              </w:rPr>
              <w:t>0.044</w:t>
            </w:r>
          </w:p>
        </w:tc>
      </w:tr>
      <w:tr w14:paraId="71ACE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78081170">
            <w:pPr>
              <w:pStyle w:val="81"/>
              <w:rPr>
                <w:rFonts w:cs="Times New Roman"/>
                <w:kern w:val="0"/>
                <w:sz w:val="20"/>
              </w:rPr>
            </w:pPr>
            <w:r>
              <w:rPr>
                <w:rFonts w:cs="Times New Roman"/>
                <w:kern w:val="0"/>
                <w:sz w:val="20"/>
              </w:rPr>
              <w:t>14</w:t>
            </w:r>
          </w:p>
        </w:tc>
        <w:tc>
          <w:tcPr>
            <w:tcW w:w="1438" w:type="dxa"/>
            <w:vAlign w:val="center"/>
          </w:tcPr>
          <w:p w14:paraId="46A8FD78">
            <w:pPr>
              <w:pStyle w:val="81"/>
              <w:rPr>
                <w:rFonts w:cs="Times New Roman"/>
                <w:kern w:val="0"/>
                <w:sz w:val="22"/>
              </w:rPr>
            </w:pPr>
            <w:r>
              <w:rPr>
                <w:rFonts w:eastAsia="等线" w:cs="Times New Roman"/>
                <w:kern w:val="0"/>
                <w:sz w:val="22"/>
              </w:rPr>
              <w:t>320</w:t>
            </w:r>
          </w:p>
        </w:tc>
        <w:tc>
          <w:tcPr>
            <w:tcW w:w="1914" w:type="dxa"/>
            <w:vAlign w:val="center"/>
          </w:tcPr>
          <w:p w14:paraId="47B9B278">
            <w:pPr>
              <w:pStyle w:val="81"/>
              <w:rPr>
                <w:rFonts w:cs="Times New Roman"/>
                <w:kern w:val="0"/>
                <w:sz w:val="20"/>
              </w:rPr>
            </w:pPr>
            <w:r>
              <w:rPr>
                <w:rFonts w:eastAsia="等线" w:cs="Times New Roman"/>
                <w:kern w:val="0"/>
                <w:sz w:val="22"/>
              </w:rPr>
              <w:t>146</w:t>
            </w:r>
          </w:p>
        </w:tc>
        <w:tc>
          <w:tcPr>
            <w:tcW w:w="1677" w:type="dxa"/>
            <w:vAlign w:val="center"/>
          </w:tcPr>
          <w:p w14:paraId="03A19CC5">
            <w:pPr>
              <w:pStyle w:val="81"/>
              <w:rPr>
                <w:rFonts w:eastAsia="等线" w:cs="Times New Roman"/>
                <w:kern w:val="0"/>
                <w:sz w:val="20"/>
              </w:rPr>
            </w:pPr>
            <w:r>
              <w:rPr>
                <w:rFonts w:eastAsia="等线" w:cs="Times New Roman"/>
                <w:kern w:val="0"/>
                <w:sz w:val="22"/>
              </w:rPr>
              <w:t>3.07</w:t>
            </w:r>
          </w:p>
        </w:tc>
        <w:tc>
          <w:tcPr>
            <w:tcW w:w="1675" w:type="dxa"/>
            <w:vAlign w:val="center"/>
          </w:tcPr>
          <w:p w14:paraId="3E60BB87">
            <w:pPr>
              <w:pStyle w:val="81"/>
              <w:rPr>
                <w:rFonts w:eastAsia="等线" w:cs="Times New Roman"/>
                <w:kern w:val="0"/>
                <w:sz w:val="20"/>
              </w:rPr>
            </w:pPr>
            <w:r>
              <w:rPr>
                <w:rFonts w:eastAsia="等线" w:cs="Times New Roman"/>
                <w:kern w:val="0"/>
                <w:sz w:val="22"/>
              </w:rPr>
              <w:t>0.08</w:t>
            </w:r>
          </w:p>
        </w:tc>
      </w:tr>
      <w:tr w14:paraId="5DA98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448075BC">
            <w:pPr>
              <w:pStyle w:val="81"/>
              <w:rPr>
                <w:rFonts w:cs="Times New Roman"/>
                <w:kern w:val="0"/>
                <w:sz w:val="20"/>
              </w:rPr>
            </w:pPr>
            <w:r>
              <w:rPr>
                <w:rFonts w:cs="Times New Roman"/>
                <w:kern w:val="0"/>
                <w:sz w:val="20"/>
              </w:rPr>
              <w:t>15</w:t>
            </w:r>
          </w:p>
        </w:tc>
        <w:tc>
          <w:tcPr>
            <w:tcW w:w="1438" w:type="dxa"/>
            <w:vAlign w:val="center"/>
          </w:tcPr>
          <w:p w14:paraId="61E6C27A">
            <w:pPr>
              <w:pStyle w:val="81"/>
              <w:rPr>
                <w:rFonts w:cs="Times New Roman"/>
                <w:kern w:val="0"/>
                <w:sz w:val="22"/>
              </w:rPr>
            </w:pPr>
            <w:r>
              <w:rPr>
                <w:rFonts w:eastAsia="等线" w:cs="Times New Roman"/>
                <w:kern w:val="0"/>
                <w:sz w:val="22"/>
              </w:rPr>
              <w:t>1350</w:t>
            </w:r>
          </w:p>
        </w:tc>
        <w:tc>
          <w:tcPr>
            <w:tcW w:w="1914" w:type="dxa"/>
            <w:vAlign w:val="center"/>
          </w:tcPr>
          <w:p w14:paraId="72498691">
            <w:pPr>
              <w:pStyle w:val="81"/>
              <w:rPr>
                <w:rFonts w:cs="Times New Roman"/>
                <w:kern w:val="0"/>
                <w:sz w:val="20"/>
              </w:rPr>
            </w:pPr>
            <w:r>
              <w:rPr>
                <w:rFonts w:eastAsia="等线" w:cs="Times New Roman"/>
                <w:kern w:val="0"/>
                <w:sz w:val="22"/>
              </w:rPr>
              <w:t>89</w:t>
            </w:r>
          </w:p>
        </w:tc>
        <w:tc>
          <w:tcPr>
            <w:tcW w:w="1677" w:type="dxa"/>
            <w:vAlign w:val="center"/>
          </w:tcPr>
          <w:p w14:paraId="38678156">
            <w:pPr>
              <w:pStyle w:val="81"/>
              <w:rPr>
                <w:rFonts w:eastAsia="等线" w:cs="Times New Roman"/>
                <w:kern w:val="0"/>
                <w:sz w:val="20"/>
              </w:rPr>
            </w:pPr>
            <w:r>
              <w:rPr>
                <w:rFonts w:eastAsia="等线" w:cs="Times New Roman"/>
                <w:kern w:val="0"/>
                <w:sz w:val="22"/>
              </w:rPr>
              <w:t>5.59</w:t>
            </w:r>
          </w:p>
        </w:tc>
        <w:tc>
          <w:tcPr>
            <w:tcW w:w="1675" w:type="dxa"/>
            <w:vAlign w:val="center"/>
          </w:tcPr>
          <w:p w14:paraId="38358B88">
            <w:pPr>
              <w:pStyle w:val="81"/>
              <w:rPr>
                <w:rFonts w:eastAsia="等线" w:cs="Times New Roman"/>
                <w:kern w:val="0"/>
                <w:sz w:val="20"/>
              </w:rPr>
            </w:pPr>
            <w:r>
              <w:rPr>
                <w:rFonts w:eastAsia="等线" w:cs="Times New Roman"/>
                <w:kern w:val="0"/>
                <w:sz w:val="22"/>
              </w:rPr>
              <w:t>0.094</w:t>
            </w:r>
          </w:p>
        </w:tc>
      </w:tr>
      <w:tr w14:paraId="29E5C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5F16EA55">
            <w:pPr>
              <w:pStyle w:val="81"/>
              <w:rPr>
                <w:rFonts w:cs="Times New Roman"/>
                <w:kern w:val="0"/>
                <w:sz w:val="20"/>
              </w:rPr>
            </w:pPr>
            <w:r>
              <w:rPr>
                <w:rFonts w:cs="Times New Roman"/>
                <w:kern w:val="0"/>
                <w:sz w:val="20"/>
              </w:rPr>
              <w:t>16</w:t>
            </w:r>
          </w:p>
        </w:tc>
        <w:tc>
          <w:tcPr>
            <w:tcW w:w="1438" w:type="dxa"/>
            <w:vAlign w:val="center"/>
          </w:tcPr>
          <w:p w14:paraId="4AB5D2A9">
            <w:pPr>
              <w:pStyle w:val="81"/>
              <w:rPr>
                <w:rFonts w:cs="Times New Roman"/>
                <w:kern w:val="0"/>
                <w:sz w:val="22"/>
              </w:rPr>
            </w:pPr>
            <w:r>
              <w:rPr>
                <w:rFonts w:eastAsia="等线" w:cs="Times New Roman"/>
                <w:kern w:val="0"/>
                <w:sz w:val="22"/>
              </w:rPr>
              <w:t>900</w:t>
            </w:r>
          </w:p>
        </w:tc>
        <w:tc>
          <w:tcPr>
            <w:tcW w:w="1914" w:type="dxa"/>
            <w:vAlign w:val="center"/>
          </w:tcPr>
          <w:p w14:paraId="7AC7102E">
            <w:pPr>
              <w:pStyle w:val="81"/>
              <w:rPr>
                <w:rFonts w:cs="Times New Roman"/>
                <w:kern w:val="0"/>
                <w:sz w:val="20"/>
              </w:rPr>
            </w:pPr>
            <w:r>
              <w:rPr>
                <w:rFonts w:eastAsia="等线" w:cs="Times New Roman"/>
                <w:kern w:val="0"/>
                <w:sz w:val="22"/>
              </w:rPr>
              <w:t>122</w:t>
            </w:r>
          </w:p>
        </w:tc>
        <w:tc>
          <w:tcPr>
            <w:tcW w:w="1677" w:type="dxa"/>
            <w:vAlign w:val="center"/>
          </w:tcPr>
          <w:p w14:paraId="2792FA41">
            <w:pPr>
              <w:pStyle w:val="81"/>
              <w:rPr>
                <w:rFonts w:eastAsia="等线" w:cs="Times New Roman"/>
                <w:kern w:val="0"/>
                <w:sz w:val="20"/>
              </w:rPr>
            </w:pPr>
            <w:r>
              <w:rPr>
                <w:rFonts w:eastAsia="等线" w:cs="Times New Roman"/>
                <w:kern w:val="0"/>
                <w:sz w:val="22"/>
              </w:rPr>
              <w:t>2.94</w:t>
            </w:r>
          </w:p>
        </w:tc>
        <w:tc>
          <w:tcPr>
            <w:tcW w:w="1675" w:type="dxa"/>
            <w:vAlign w:val="center"/>
          </w:tcPr>
          <w:p w14:paraId="641F9DF3">
            <w:pPr>
              <w:pStyle w:val="81"/>
              <w:rPr>
                <w:rFonts w:eastAsia="等线" w:cs="Times New Roman"/>
                <w:kern w:val="0"/>
                <w:sz w:val="20"/>
              </w:rPr>
            </w:pPr>
            <w:r>
              <w:rPr>
                <w:rFonts w:eastAsia="等线" w:cs="Times New Roman"/>
                <w:kern w:val="0"/>
                <w:sz w:val="22"/>
              </w:rPr>
              <w:t>0.113</w:t>
            </w:r>
          </w:p>
        </w:tc>
      </w:tr>
      <w:tr w14:paraId="74A64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06F9860C">
            <w:pPr>
              <w:pStyle w:val="81"/>
              <w:rPr>
                <w:rFonts w:cs="Times New Roman"/>
                <w:kern w:val="0"/>
                <w:sz w:val="20"/>
              </w:rPr>
            </w:pPr>
            <w:r>
              <w:rPr>
                <w:rFonts w:cs="Times New Roman"/>
                <w:kern w:val="0"/>
                <w:sz w:val="20"/>
              </w:rPr>
              <w:t>17</w:t>
            </w:r>
          </w:p>
        </w:tc>
        <w:tc>
          <w:tcPr>
            <w:tcW w:w="1438" w:type="dxa"/>
            <w:vAlign w:val="center"/>
          </w:tcPr>
          <w:p w14:paraId="02592725">
            <w:pPr>
              <w:pStyle w:val="81"/>
              <w:rPr>
                <w:rFonts w:cs="Times New Roman"/>
                <w:kern w:val="0"/>
                <w:sz w:val="22"/>
              </w:rPr>
            </w:pPr>
            <w:r>
              <w:rPr>
                <w:rFonts w:eastAsia="等线" w:cs="Times New Roman"/>
                <w:kern w:val="0"/>
                <w:sz w:val="22"/>
              </w:rPr>
              <w:t>2400</w:t>
            </w:r>
          </w:p>
        </w:tc>
        <w:tc>
          <w:tcPr>
            <w:tcW w:w="1914" w:type="dxa"/>
            <w:vAlign w:val="center"/>
          </w:tcPr>
          <w:p w14:paraId="79C402E4">
            <w:pPr>
              <w:pStyle w:val="81"/>
              <w:rPr>
                <w:rFonts w:cs="Times New Roman"/>
                <w:kern w:val="0"/>
                <w:sz w:val="20"/>
              </w:rPr>
            </w:pPr>
            <w:r>
              <w:rPr>
                <w:rFonts w:eastAsia="等线" w:cs="Times New Roman"/>
                <w:kern w:val="0"/>
                <w:sz w:val="22"/>
              </w:rPr>
              <w:t>57.2</w:t>
            </w:r>
          </w:p>
        </w:tc>
        <w:tc>
          <w:tcPr>
            <w:tcW w:w="1677" w:type="dxa"/>
            <w:vAlign w:val="center"/>
          </w:tcPr>
          <w:p w14:paraId="155B4FB6">
            <w:pPr>
              <w:pStyle w:val="81"/>
              <w:rPr>
                <w:rFonts w:eastAsia="等线" w:cs="Times New Roman"/>
                <w:kern w:val="0"/>
                <w:sz w:val="20"/>
              </w:rPr>
            </w:pPr>
            <w:r>
              <w:rPr>
                <w:rFonts w:eastAsia="等线" w:cs="Times New Roman"/>
                <w:kern w:val="0"/>
                <w:sz w:val="22"/>
              </w:rPr>
              <w:t>3.57</w:t>
            </w:r>
          </w:p>
        </w:tc>
        <w:tc>
          <w:tcPr>
            <w:tcW w:w="1675" w:type="dxa"/>
            <w:vAlign w:val="center"/>
          </w:tcPr>
          <w:p w14:paraId="084139FE">
            <w:pPr>
              <w:pStyle w:val="81"/>
              <w:rPr>
                <w:rFonts w:eastAsia="等线" w:cs="Times New Roman"/>
                <w:kern w:val="0"/>
                <w:sz w:val="20"/>
              </w:rPr>
            </w:pPr>
            <w:r>
              <w:rPr>
                <w:rFonts w:eastAsia="等线" w:cs="Times New Roman"/>
                <w:kern w:val="0"/>
                <w:sz w:val="22"/>
              </w:rPr>
              <w:t>0.089</w:t>
            </w:r>
          </w:p>
        </w:tc>
      </w:tr>
      <w:tr w14:paraId="5D432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4D077B9F">
            <w:pPr>
              <w:pStyle w:val="81"/>
              <w:rPr>
                <w:rFonts w:cs="Times New Roman"/>
                <w:kern w:val="0"/>
                <w:sz w:val="20"/>
              </w:rPr>
            </w:pPr>
            <w:r>
              <w:rPr>
                <w:rFonts w:cs="Times New Roman"/>
                <w:kern w:val="0"/>
                <w:sz w:val="20"/>
              </w:rPr>
              <w:t>18</w:t>
            </w:r>
          </w:p>
        </w:tc>
        <w:tc>
          <w:tcPr>
            <w:tcW w:w="1438" w:type="dxa"/>
            <w:vAlign w:val="center"/>
          </w:tcPr>
          <w:p w14:paraId="4782B997">
            <w:pPr>
              <w:pStyle w:val="81"/>
              <w:rPr>
                <w:rFonts w:cs="Times New Roman"/>
                <w:kern w:val="0"/>
                <w:sz w:val="22"/>
              </w:rPr>
            </w:pPr>
            <w:r>
              <w:rPr>
                <w:rFonts w:eastAsia="等线" w:cs="Times New Roman"/>
                <w:kern w:val="0"/>
                <w:sz w:val="22"/>
              </w:rPr>
              <w:t>350</w:t>
            </w:r>
          </w:p>
        </w:tc>
        <w:tc>
          <w:tcPr>
            <w:tcW w:w="1914" w:type="dxa"/>
            <w:vAlign w:val="center"/>
          </w:tcPr>
          <w:p w14:paraId="01A7B50F">
            <w:pPr>
              <w:pStyle w:val="81"/>
              <w:rPr>
                <w:rFonts w:cs="Times New Roman"/>
                <w:kern w:val="0"/>
                <w:sz w:val="20"/>
              </w:rPr>
            </w:pPr>
            <w:r>
              <w:rPr>
                <w:rFonts w:eastAsia="等线" w:cs="Times New Roman"/>
                <w:kern w:val="0"/>
                <w:sz w:val="22"/>
              </w:rPr>
              <w:t>61.2</w:t>
            </w:r>
          </w:p>
        </w:tc>
        <w:tc>
          <w:tcPr>
            <w:tcW w:w="1677" w:type="dxa"/>
            <w:vAlign w:val="center"/>
          </w:tcPr>
          <w:p w14:paraId="2F2D62B0">
            <w:pPr>
              <w:pStyle w:val="81"/>
              <w:rPr>
                <w:rFonts w:eastAsia="等线" w:cs="Times New Roman"/>
                <w:kern w:val="0"/>
                <w:sz w:val="20"/>
              </w:rPr>
            </w:pPr>
            <w:r>
              <w:rPr>
                <w:rFonts w:eastAsia="等线" w:cs="Times New Roman"/>
                <w:kern w:val="0"/>
                <w:sz w:val="22"/>
              </w:rPr>
              <w:t>1.51</w:t>
            </w:r>
          </w:p>
        </w:tc>
        <w:tc>
          <w:tcPr>
            <w:tcW w:w="1675" w:type="dxa"/>
            <w:vAlign w:val="center"/>
          </w:tcPr>
          <w:p w14:paraId="125E22ED">
            <w:pPr>
              <w:pStyle w:val="81"/>
              <w:rPr>
                <w:rFonts w:eastAsia="等线" w:cs="Times New Roman"/>
                <w:kern w:val="0"/>
                <w:sz w:val="20"/>
              </w:rPr>
            </w:pPr>
            <w:r>
              <w:rPr>
                <w:rFonts w:eastAsia="等线" w:cs="Times New Roman"/>
                <w:kern w:val="0"/>
                <w:sz w:val="22"/>
              </w:rPr>
              <w:t>0.103</w:t>
            </w:r>
          </w:p>
        </w:tc>
      </w:tr>
      <w:tr w14:paraId="026C9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6B126753">
            <w:pPr>
              <w:pStyle w:val="81"/>
              <w:rPr>
                <w:rFonts w:cs="Times New Roman"/>
                <w:kern w:val="0"/>
                <w:sz w:val="20"/>
              </w:rPr>
            </w:pPr>
            <w:r>
              <w:rPr>
                <w:rFonts w:cs="Times New Roman"/>
                <w:kern w:val="0"/>
                <w:sz w:val="20"/>
              </w:rPr>
              <w:t>19</w:t>
            </w:r>
          </w:p>
        </w:tc>
        <w:tc>
          <w:tcPr>
            <w:tcW w:w="1438" w:type="dxa"/>
            <w:vAlign w:val="center"/>
          </w:tcPr>
          <w:p w14:paraId="53996566">
            <w:pPr>
              <w:pStyle w:val="81"/>
              <w:rPr>
                <w:rFonts w:cs="Times New Roman"/>
                <w:kern w:val="0"/>
                <w:sz w:val="22"/>
              </w:rPr>
            </w:pPr>
            <w:r>
              <w:rPr>
                <w:rFonts w:eastAsia="等线" w:cs="Times New Roman"/>
                <w:kern w:val="0"/>
                <w:sz w:val="22"/>
              </w:rPr>
              <w:t>5000</w:t>
            </w:r>
          </w:p>
        </w:tc>
        <w:tc>
          <w:tcPr>
            <w:tcW w:w="1914" w:type="dxa"/>
            <w:vAlign w:val="center"/>
          </w:tcPr>
          <w:p w14:paraId="3B60DEA7">
            <w:pPr>
              <w:pStyle w:val="81"/>
              <w:rPr>
                <w:rFonts w:cs="Times New Roman"/>
                <w:kern w:val="0"/>
                <w:sz w:val="20"/>
              </w:rPr>
            </w:pPr>
            <w:r>
              <w:rPr>
                <w:rFonts w:eastAsia="等线" w:cs="Times New Roman"/>
                <w:kern w:val="0"/>
                <w:sz w:val="22"/>
              </w:rPr>
              <w:t>93.2</w:t>
            </w:r>
          </w:p>
        </w:tc>
        <w:tc>
          <w:tcPr>
            <w:tcW w:w="1677" w:type="dxa"/>
            <w:vAlign w:val="center"/>
          </w:tcPr>
          <w:p w14:paraId="3D47398B">
            <w:pPr>
              <w:pStyle w:val="81"/>
              <w:rPr>
                <w:rFonts w:eastAsia="等线" w:cs="Times New Roman"/>
                <w:kern w:val="0"/>
                <w:sz w:val="20"/>
              </w:rPr>
            </w:pPr>
            <w:r>
              <w:rPr>
                <w:rFonts w:eastAsia="等线" w:cs="Times New Roman"/>
                <w:kern w:val="0"/>
                <w:sz w:val="22"/>
              </w:rPr>
              <w:t>5.14</w:t>
            </w:r>
          </w:p>
        </w:tc>
        <w:tc>
          <w:tcPr>
            <w:tcW w:w="1675" w:type="dxa"/>
            <w:vAlign w:val="center"/>
          </w:tcPr>
          <w:p w14:paraId="1C4B5DC3">
            <w:pPr>
              <w:pStyle w:val="81"/>
              <w:rPr>
                <w:rFonts w:eastAsia="等线" w:cs="Times New Roman"/>
                <w:kern w:val="0"/>
                <w:sz w:val="20"/>
              </w:rPr>
            </w:pPr>
            <w:r>
              <w:rPr>
                <w:rFonts w:eastAsia="等线" w:cs="Times New Roman"/>
                <w:kern w:val="0"/>
                <w:sz w:val="22"/>
              </w:rPr>
              <w:t>0.093</w:t>
            </w:r>
          </w:p>
        </w:tc>
      </w:tr>
      <w:tr w14:paraId="4C88D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1E4756D5">
            <w:pPr>
              <w:pStyle w:val="81"/>
              <w:rPr>
                <w:rFonts w:cs="Times New Roman"/>
                <w:kern w:val="0"/>
                <w:sz w:val="20"/>
              </w:rPr>
            </w:pPr>
            <w:r>
              <w:rPr>
                <w:rFonts w:cs="Times New Roman"/>
                <w:kern w:val="0"/>
                <w:sz w:val="20"/>
              </w:rPr>
              <w:t>20</w:t>
            </w:r>
          </w:p>
        </w:tc>
        <w:tc>
          <w:tcPr>
            <w:tcW w:w="1438" w:type="dxa"/>
            <w:vAlign w:val="center"/>
          </w:tcPr>
          <w:p w14:paraId="3D4CC076">
            <w:pPr>
              <w:pStyle w:val="81"/>
              <w:rPr>
                <w:rFonts w:cs="Times New Roman"/>
                <w:kern w:val="0"/>
                <w:sz w:val="22"/>
              </w:rPr>
            </w:pPr>
          </w:p>
        </w:tc>
        <w:tc>
          <w:tcPr>
            <w:tcW w:w="1914" w:type="dxa"/>
            <w:vAlign w:val="center"/>
          </w:tcPr>
          <w:p w14:paraId="56A6D3C1">
            <w:pPr>
              <w:pStyle w:val="81"/>
              <w:rPr>
                <w:rFonts w:cs="Times New Roman"/>
                <w:kern w:val="0"/>
                <w:sz w:val="20"/>
              </w:rPr>
            </w:pPr>
            <w:r>
              <w:rPr>
                <w:rFonts w:eastAsia="等线" w:cs="Times New Roman"/>
                <w:kern w:val="0"/>
                <w:sz w:val="22"/>
              </w:rPr>
              <w:t>36</w:t>
            </w:r>
          </w:p>
        </w:tc>
        <w:tc>
          <w:tcPr>
            <w:tcW w:w="1677" w:type="dxa"/>
            <w:vAlign w:val="center"/>
          </w:tcPr>
          <w:p w14:paraId="1CFEADAC">
            <w:pPr>
              <w:pStyle w:val="81"/>
              <w:rPr>
                <w:rFonts w:eastAsia="等线" w:cs="Times New Roman"/>
                <w:kern w:val="0"/>
                <w:sz w:val="20"/>
              </w:rPr>
            </w:pPr>
            <w:r>
              <w:rPr>
                <w:rFonts w:eastAsia="等线" w:cs="Times New Roman"/>
                <w:kern w:val="0"/>
                <w:sz w:val="22"/>
              </w:rPr>
              <w:t>0.69</w:t>
            </w:r>
          </w:p>
        </w:tc>
        <w:tc>
          <w:tcPr>
            <w:tcW w:w="1675" w:type="dxa"/>
            <w:vAlign w:val="center"/>
          </w:tcPr>
          <w:p w14:paraId="32880C4D">
            <w:pPr>
              <w:pStyle w:val="81"/>
              <w:rPr>
                <w:rFonts w:eastAsia="等线" w:cs="Times New Roman"/>
                <w:kern w:val="0"/>
                <w:sz w:val="20"/>
              </w:rPr>
            </w:pPr>
            <w:r>
              <w:rPr>
                <w:rFonts w:eastAsia="等线" w:cs="Times New Roman"/>
                <w:kern w:val="0"/>
                <w:sz w:val="22"/>
              </w:rPr>
              <w:t>0.151</w:t>
            </w:r>
          </w:p>
        </w:tc>
      </w:tr>
      <w:tr w14:paraId="0CDD6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57D09D2C">
            <w:pPr>
              <w:pStyle w:val="81"/>
              <w:rPr>
                <w:rFonts w:cs="Times New Roman"/>
                <w:kern w:val="0"/>
                <w:sz w:val="20"/>
              </w:rPr>
            </w:pPr>
            <w:r>
              <w:rPr>
                <w:rFonts w:cs="Times New Roman"/>
                <w:kern w:val="0"/>
                <w:sz w:val="20"/>
              </w:rPr>
              <w:t>21</w:t>
            </w:r>
          </w:p>
        </w:tc>
        <w:tc>
          <w:tcPr>
            <w:tcW w:w="1438" w:type="dxa"/>
            <w:vAlign w:val="center"/>
          </w:tcPr>
          <w:p w14:paraId="241F63A8">
            <w:pPr>
              <w:pStyle w:val="81"/>
              <w:rPr>
                <w:rFonts w:cs="Times New Roman"/>
                <w:kern w:val="0"/>
                <w:sz w:val="22"/>
              </w:rPr>
            </w:pPr>
          </w:p>
        </w:tc>
        <w:tc>
          <w:tcPr>
            <w:tcW w:w="1914" w:type="dxa"/>
            <w:vAlign w:val="center"/>
          </w:tcPr>
          <w:p w14:paraId="04DE6A93">
            <w:pPr>
              <w:pStyle w:val="81"/>
              <w:rPr>
                <w:rFonts w:cs="Times New Roman"/>
                <w:kern w:val="0"/>
                <w:sz w:val="20"/>
              </w:rPr>
            </w:pPr>
            <w:r>
              <w:rPr>
                <w:rFonts w:eastAsia="等线" w:cs="Times New Roman"/>
                <w:kern w:val="0"/>
                <w:sz w:val="22"/>
              </w:rPr>
              <w:t>59.2</w:t>
            </w:r>
          </w:p>
        </w:tc>
        <w:tc>
          <w:tcPr>
            <w:tcW w:w="1677" w:type="dxa"/>
            <w:vAlign w:val="center"/>
          </w:tcPr>
          <w:p w14:paraId="4BF03D3E">
            <w:pPr>
              <w:pStyle w:val="81"/>
              <w:rPr>
                <w:rFonts w:eastAsia="等线" w:cs="Times New Roman"/>
                <w:kern w:val="0"/>
                <w:sz w:val="20"/>
              </w:rPr>
            </w:pPr>
            <w:r>
              <w:rPr>
                <w:rFonts w:eastAsia="等线" w:cs="Times New Roman"/>
                <w:kern w:val="0"/>
                <w:sz w:val="22"/>
              </w:rPr>
              <w:t>3.03</w:t>
            </w:r>
          </w:p>
        </w:tc>
        <w:tc>
          <w:tcPr>
            <w:tcW w:w="1675" w:type="dxa"/>
            <w:vAlign w:val="center"/>
          </w:tcPr>
          <w:p w14:paraId="73F32DFD">
            <w:pPr>
              <w:pStyle w:val="81"/>
              <w:rPr>
                <w:rFonts w:eastAsia="等线" w:cs="Times New Roman"/>
                <w:kern w:val="0"/>
                <w:sz w:val="20"/>
              </w:rPr>
            </w:pPr>
            <w:r>
              <w:rPr>
                <w:rFonts w:eastAsia="等线" w:cs="Times New Roman"/>
                <w:kern w:val="0"/>
                <w:sz w:val="22"/>
              </w:rPr>
              <w:t>0.107</w:t>
            </w:r>
          </w:p>
        </w:tc>
      </w:tr>
      <w:tr w14:paraId="4C4A2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02BA01B6">
            <w:pPr>
              <w:pStyle w:val="81"/>
              <w:rPr>
                <w:rFonts w:cs="Times New Roman"/>
                <w:kern w:val="0"/>
                <w:sz w:val="20"/>
              </w:rPr>
            </w:pPr>
            <w:r>
              <w:rPr>
                <w:rFonts w:cs="Times New Roman"/>
                <w:kern w:val="0"/>
                <w:sz w:val="20"/>
              </w:rPr>
              <w:t>22</w:t>
            </w:r>
          </w:p>
        </w:tc>
        <w:tc>
          <w:tcPr>
            <w:tcW w:w="1438" w:type="dxa"/>
            <w:vAlign w:val="center"/>
          </w:tcPr>
          <w:p w14:paraId="24B6D97F">
            <w:pPr>
              <w:pStyle w:val="81"/>
              <w:rPr>
                <w:rFonts w:cs="Times New Roman"/>
                <w:kern w:val="0"/>
                <w:sz w:val="22"/>
              </w:rPr>
            </w:pPr>
            <w:r>
              <w:rPr>
                <w:rFonts w:eastAsia="等线" w:cs="Times New Roman"/>
                <w:kern w:val="0"/>
                <w:sz w:val="22"/>
              </w:rPr>
              <w:t>500</w:t>
            </w:r>
          </w:p>
        </w:tc>
        <w:tc>
          <w:tcPr>
            <w:tcW w:w="1914" w:type="dxa"/>
            <w:vAlign w:val="center"/>
          </w:tcPr>
          <w:p w14:paraId="59B28EFA">
            <w:pPr>
              <w:pStyle w:val="81"/>
              <w:rPr>
                <w:rFonts w:cs="Times New Roman"/>
                <w:kern w:val="0"/>
                <w:sz w:val="20"/>
              </w:rPr>
            </w:pPr>
            <w:r>
              <w:rPr>
                <w:rFonts w:eastAsia="等线" w:cs="Times New Roman"/>
                <w:kern w:val="0"/>
                <w:sz w:val="22"/>
              </w:rPr>
              <w:t>44.8</w:t>
            </w:r>
          </w:p>
        </w:tc>
        <w:tc>
          <w:tcPr>
            <w:tcW w:w="1677" w:type="dxa"/>
            <w:vAlign w:val="center"/>
          </w:tcPr>
          <w:p w14:paraId="79CC1AD4">
            <w:pPr>
              <w:pStyle w:val="81"/>
              <w:rPr>
                <w:rFonts w:eastAsia="等线" w:cs="Times New Roman"/>
                <w:kern w:val="0"/>
                <w:sz w:val="20"/>
              </w:rPr>
            </w:pPr>
            <w:r>
              <w:rPr>
                <w:rFonts w:eastAsia="等线" w:cs="Times New Roman"/>
                <w:kern w:val="0"/>
                <w:sz w:val="22"/>
              </w:rPr>
              <w:t>14.2</w:t>
            </w:r>
          </w:p>
        </w:tc>
        <w:tc>
          <w:tcPr>
            <w:tcW w:w="1675" w:type="dxa"/>
            <w:vAlign w:val="center"/>
          </w:tcPr>
          <w:p w14:paraId="25CBA370">
            <w:pPr>
              <w:pStyle w:val="81"/>
              <w:rPr>
                <w:rFonts w:eastAsia="等线" w:cs="Times New Roman"/>
                <w:kern w:val="0"/>
                <w:sz w:val="20"/>
              </w:rPr>
            </w:pPr>
            <w:r>
              <w:rPr>
                <w:rFonts w:eastAsia="等线" w:cs="Times New Roman"/>
                <w:kern w:val="0"/>
                <w:sz w:val="22"/>
              </w:rPr>
              <w:t>0.075</w:t>
            </w:r>
          </w:p>
        </w:tc>
      </w:tr>
      <w:tr w14:paraId="10CCC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4A0EABB0">
            <w:pPr>
              <w:pStyle w:val="81"/>
              <w:rPr>
                <w:rFonts w:cs="Times New Roman"/>
                <w:kern w:val="0"/>
                <w:sz w:val="20"/>
              </w:rPr>
            </w:pPr>
            <w:r>
              <w:rPr>
                <w:rFonts w:cs="Times New Roman"/>
                <w:kern w:val="0"/>
                <w:sz w:val="20"/>
              </w:rPr>
              <w:t>23</w:t>
            </w:r>
          </w:p>
        </w:tc>
        <w:tc>
          <w:tcPr>
            <w:tcW w:w="1438" w:type="dxa"/>
            <w:vAlign w:val="center"/>
          </w:tcPr>
          <w:p w14:paraId="3071C0D5">
            <w:pPr>
              <w:pStyle w:val="81"/>
              <w:rPr>
                <w:rFonts w:cs="Times New Roman"/>
                <w:kern w:val="0"/>
                <w:sz w:val="22"/>
              </w:rPr>
            </w:pPr>
            <w:r>
              <w:rPr>
                <w:rFonts w:eastAsia="等线" w:cs="Times New Roman"/>
                <w:kern w:val="0"/>
                <w:sz w:val="22"/>
              </w:rPr>
              <w:t>20</w:t>
            </w:r>
          </w:p>
        </w:tc>
        <w:tc>
          <w:tcPr>
            <w:tcW w:w="1914" w:type="dxa"/>
            <w:vAlign w:val="center"/>
          </w:tcPr>
          <w:p w14:paraId="7512B74F">
            <w:pPr>
              <w:pStyle w:val="81"/>
              <w:rPr>
                <w:rFonts w:cs="Times New Roman"/>
                <w:kern w:val="0"/>
                <w:sz w:val="20"/>
              </w:rPr>
            </w:pPr>
            <w:r>
              <w:rPr>
                <w:rFonts w:eastAsia="等线" w:cs="Times New Roman"/>
                <w:kern w:val="0"/>
                <w:sz w:val="22"/>
              </w:rPr>
              <w:t>157</w:t>
            </w:r>
          </w:p>
        </w:tc>
        <w:tc>
          <w:tcPr>
            <w:tcW w:w="1677" w:type="dxa"/>
            <w:vAlign w:val="center"/>
          </w:tcPr>
          <w:p w14:paraId="0E742080">
            <w:pPr>
              <w:pStyle w:val="81"/>
              <w:rPr>
                <w:rFonts w:eastAsia="等线" w:cs="Times New Roman"/>
                <w:kern w:val="0"/>
                <w:sz w:val="20"/>
              </w:rPr>
            </w:pPr>
            <w:r>
              <w:rPr>
                <w:rFonts w:eastAsia="等线" w:cs="Times New Roman"/>
                <w:kern w:val="0"/>
                <w:sz w:val="22"/>
              </w:rPr>
              <w:t>3.42</w:t>
            </w:r>
          </w:p>
        </w:tc>
        <w:tc>
          <w:tcPr>
            <w:tcW w:w="1675" w:type="dxa"/>
            <w:vAlign w:val="center"/>
          </w:tcPr>
          <w:p w14:paraId="5AA7FC3F">
            <w:pPr>
              <w:pStyle w:val="81"/>
              <w:rPr>
                <w:rFonts w:eastAsia="等线" w:cs="Times New Roman"/>
                <w:kern w:val="0"/>
                <w:sz w:val="20"/>
              </w:rPr>
            </w:pPr>
            <w:r>
              <w:rPr>
                <w:rFonts w:eastAsia="等线" w:cs="Times New Roman"/>
                <w:kern w:val="0"/>
                <w:sz w:val="22"/>
              </w:rPr>
              <w:t>0.216</w:t>
            </w:r>
          </w:p>
        </w:tc>
      </w:tr>
      <w:tr w14:paraId="3B8C9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1AD41E91">
            <w:pPr>
              <w:pStyle w:val="81"/>
              <w:rPr>
                <w:rFonts w:cs="Times New Roman"/>
                <w:kern w:val="0"/>
                <w:sz w:val="20"/>
              </w:rPr>
            </w:pPr>
            <w:r>
              <w:rPr>
                <w:rFonts w:cs="Times New Roman"/>
                <w:kern w:val="0"/>
                <w:sz w:val="20"/>
              </w:rPr>
              <w:t>24</w:t>
            </w:r>
          </w:p>
        </w:tc>
        <w:tc>
          <w:tcPr>
            <w:tcW w:w="1438" w:type="dxa"/>
            <w:vAlign w:val="center"/>
          </w:tcPr>
          <w:p w14:paraId="2930BC33">
            <w:pPr>
              <w:pStyle w:val="81"/>
              <w:rPr>
                <w:rFonts w:cs="Times New Roman"/>
                <w:kern w:val="0"/>
                <w:sz w:val="22"/>
              </w:rPr>
            </w:pPr>
            <w:r>
              <w:rPr>
                <w:rFonts w:eastAsia="等线" w:cs="Times New Roman"/>
                <w:kern w:val="0"/>
                <w:sz w:val="22"/>
              </w:rPr>
              <w:t>560000</w:t>
            </w:r>
          </w:p>
        </w:tc>
        <w:tc>
          <w:tcPr>
            <w:tcW w:w="1914" w:type="dxa"/>
            <w:vAlign w:val="center"/>
          </w:tcPr>
          <w:p w14:paraId="3E7753E5">
            <w:pPr>
              <w:pStyle w:val="81"/>
              <w:rPr>
                <w:rFonts w:cs="Times New Roman"/>
                <w:kern w:val="0"/>
                <w:sz w:val="20"/>
              </w:rPr>
            </w:pPr>
            <w:r>
              <w:rPr>
                <w:rFonts w:eastAsia="等线" w:cs="Times New Roman"/>
                <w:kern w:val="0"/>
                <w:sz w:val="22"/>
              </w:rPr>
              <w:t>114</w:t>
            </w:r>
          </w:p>
        </w:tc>
        <w:tc>
          <w:tcPr>
            <w:tcW w:w="1677" w:type="dxa"/>
            <w:vAlign w:val="center"/>
          </w:tcPr>
          <w:p w14:paraId="74D6A769">
            <w:pPr>
              <w:pStyle w:val="81"/>
              <w:rPr>
                <w:rFonts w:eastAsia="等线" w:cs="Times New Roman"/>
                <w:kern w:val="0"/>
                <w:sz w:val="20"/>
              </w:rPr>
            </w:pPr>
            <w:r>
              <w:rPr>
                <w:rFonts w:eastAsia="等线" w:cs="Times New Roman"/>
                <w:kern w:val="0"/>
                <w:sz w:val="22"/>
              </w:rPr>
              <w:t>8.81</w:t>
            </w:r>
          </w:p>
        </w:tc>
        <w:tc>
          <w:tcPr>
            <w:tcW w:w="1675" w:type="dxa"/>
            <w:vAlign w:val="center"/>
          </w:tcPr>
          <w:p w14:paraId="35D26E3E">
            <w:pPr>
              <w:pStyle w:val="81"/>
              <w:rPr>
                <w:rFonts w:eastAsia="等线" w:cs="Times New Roman"/>
                <w:kern w:val="0"/>
                <w:sz w:val="20"/>
              </w:rPr>
            </w:pPr>
            <w:r>
              <w:rPr>
                <w:rFonts w:eastAsia="等线" w:cs="Times New Roman"/>
                <w:kern w:val="0"/>
                <w:sz w:val="22"/>
              </w:rPr>
              <w:t>0.373</w:t>
            </w:r>
          </w:p>
        </w:tc>
      </w:tr>
      <w:tr w14:paraId="713C6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1462012F">
            <w:pPr>
              <w:pStyle w:val="81"/>
              <w:rPr>
                <w:rFonts w:cs="Times New Roman"/>
                <w:kern w:val="0"/>
                <w:sz w:val="20"/>
              </w:rPr>
            </w:pPr>
            <w:r>
              <w:rPr>
                <w:rFonts w:cs="Times New Roman"/>
                <w:kern w:val="0"/>
                <w:sz w:val="20"/>
              </w:rPr>
              <w:t>25</w:t>
            </w:r>
          </w:p>
        </w:tc>
        <w:tc>
          <w:tcPr>
            <w:tcW w:w="1438" w:type="dxa"/>
            <w:vAlign w:val="center"/>
          </w:tcPr>
          <w:p w14:paraId="3653AB4F">
            <w:pPr>
              <w:pStyle w:val="81"/>
              <w:rPr>
                <w:rFonts w:cs="Times New Roman"/>
                <w:kern w:val="0"/>
                <w:sz w:val="22"/>
              </w:rPr>
            </w:pPr>
            <w:r>
              <w:rPr>
                <w:rFonts w:eastAsia="等线" w:cs="Times New Roman"/>
                <w:kern w:val="0"/>
                <w:sz w:val="22"/>
              </w:rPr>
              <w:t>168000</w:t>
            </w:r>
          </w:p>
        </w:tc>
        <w:tc>
          <w:tcPr>
            <w:tcW w:w="1914" w:type="dxa"/>
            <w:vAlign w:val="center"/>
          </w:tcPr>
          <w:p w14:paraId="54846AAB">
            <w:pPr>
              <w:pStyle w:val="81"/>
              <w:rPr>
                <w:rFonts w:cs="Times New Roman"/>
                <w:kern w:val="0"/>
                <w:sz w:val="20"/>
              </w:rPr>
            </w:pPr>
            <w:r>
              <w:rPr>
                <w:rFonts w:eastAsia="等线" w:cs="Times New Roman"/>
                <w:kern w:val="0"/>
                <w:sz w:val="22"/>
              </w:rPr>
              <w:t>215</w:t>
            </w:r>
          </w:p>
        </w:tc>
        <w:tc>
          <w:tcPr>
            <w:tcW w:w="1677" w:type="dxa"/>
            <w:vAlign w:val="center"/>
          </w:tcPr>
          <w:p w14:paraId="2944DC36">
            <w:pPr>
              <w:pStyle w:val="81"/>
              <w:rPr>
                <w:rFonts w:eastAsia="等线" w:cs="Times New Roman"/>
                <w:kern w:val="0"/>
                <w:sz w:val="20"/>
              </w:rPr>
            </w:pPr>
            <w:r>
              <w:rPr>
                <w:rFonts w:eastAsia="等线" w:cs="Times New Roman"/>
                <w:kern w:val="0"/>
                <w:sz w:val="22"/>
              </w:rPr>
              <w:t>32.7</w:t>
            </w:r>
          </w:p>
        </w:tc>
        <w:tc>
          <w:tcPr>
            <w:tcW w:w="1675" w:type="dxa"/>
            <w:vAlign w:val="center"/>
          </w:tcPr>
          <w:p w14:paraId="393CDD24">
            <w:pPr>
              <w:pStyle w:val="81"/>
              <w:rPr>
                <w:rFonts w:eastAsia="等线" w:cs="Times New Roman"/>
                <w:kern w:val="0"/>
                <w:sz w:val="20"/>
              </w:rPr>
            </w:pPr>
            <w:r>
              <w:rPr>
                <w:rFonts w:eastAsia="等线" w:cs="Times New Roman"/>
                <w:kern w:val="0"/>
                <w:sz w:val="22"/>
              </w:rPr>
              <w:t>2.46</w:t>
            </w:r>
          </w:p>
        </w:tc>
      </w:tr>
      <w:tr w14:paraId="43CE7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98" w:type="dxa"/>
            <w:vAlign w:val="center"/>
          </w:tcPr>
          <w:p w14:paraId="69DE8B7B">
            <w:pPr>
              <w:pStyle w:val="81"/>
              <w:rPr>
                <w:rFonts w:cs="Times New Roman"/>
                <w:kern w:val="0"/>
                <w:sz w:val="20"/>
              </w:rPr>
            </w:pPr>
            <w:r>
              <w:rPr>
                <w:rFonts w:cs="Times New Roman"/>
                <w:kern w:val="0"/>
                <w:sz w:val="20"/>
              </w:rPr>
              <w:t>26</w:t>
            </w:r>
          </w:p>
        </w:tc>
        <w:tc>
          <w:tcPr>
            <w:tcW w:w="1438" w:type="dxa"/>
            <w:vAlign w:val="center"/>
          </w:tcPr>
          <w:p w14:paraId="3DC714A4">
            <w:pPr>
              <w:pStyle w:val="81"/>
              <w:rPr>
                <w:rFonts w:cs="Times New Roman"/>
                <w:kern w:val="0"/>
                <w:sz w:val="22"/>
              </w:rPr>
            </w:pPr>
            <w:r>
              <w:rPr>
                <w:rFonts w:eastAsia="等线" w:cs="Times New Roman"/>
                <w:kern w:val="0"/>
                <w:sz w:val="22"/>
              </w:rPr>
              <w:t>11200</w:t>
            </w:r>
          </w:p>
        </w:tc>
        <w:tc>
          <w:tcPr>
            <w:tcW w:w="1914" w:type="dxa"/>
            <w:vAlign w:val="center"/>
          </w:tcPr>
          <w:p w14:paraId="4703A199">
            <w:pPr>
              <w:pStyle w:val="81"/>
              <w:rPr>
                <w:rFonts w:cs="Times New Roman"/>
                <w:kern w:val="0"/>
                <w:sz w:val="20"/>
              </w:rPr>
            </w:pPr>
            <w:r>
              <w:rPr>
                <w:rFonts w:eastAsia="等线" w:cs="Times New Roman"/>
                <w:kern w:val="0"/>
                <w:sz w:val="22"/>
              </w:rPr>
              <w:t>310</w:t>
            </w:r>
          </w:p>
        </w:tc>
        <w:tc>
          <w:tcPr>
            <w:tcW w:w="1677" w:type="dxa"/>
            <w:vAlign w:val="center"/>
          </w:tcPr>
          <w:p w14:paraId="2644D4AB">
            <w:pPr>
              <w:pStyle w:val="81"/>
              <w:rPr>
                <w:rFonts w:eastAsia="等线" w:cs="Times New Roman"/>
                <w:kern w:val="0"/>
                <w:sz w:val="20"/>
              </w:rPr>
            </w:pPr>
            <w:r>
              <w:rPr>
                <w:rFonts w:eastAsia="等线" w:cs="Times New Roman"/>
                <w:kern w:val="0"/>
                <w:sz w:val="22"/>
              </w:rPr>
              <w:t>0.328</w:t>
            </w:r>
          </w:p>
        </w:tc>
        <w:tc>
          <w:tcPr>
            <w:tcW w:w="1675" w:type="dxa"/>
            <w:vAlign w:val="center"/>
          </w:tcPr>
          <w:p w14:paraId="2A6D5A2D">
            <w:pPr>
              <w:pStyle w:val="81"/>
              <w:rPr>
                <w:rFonts w:eastAsia="等线" w:cs="Times New Roman"/>
                <w:kern w:val="0"/>
                <w:sz w:val="20"/>
              </w:rPr>
            </w:pPr>
            <w:r>
              <w:rPr>
                <w:rFonts w:eastAsia="等线" w:cs="Times New Roman"/>
                <w:kern w:val="0"/>
                <w:sz w:val="22"/>
              </w:rPr>
              <w:t>0.032</w:t>
            </w:r>
          </w:p>
        </w:tc>
      </w:tr>
    </w:tbl>
    <w:p w14:paraId="1E71A99E">
      <w:pPr>
        <w:pStyle w:val="79"/>
        <w:ind w:firstLine="420"/>
        <w:rPr>
          <w:rFonts w:cs="Times New Roman"/>
        </w:rPr>
      </w:pPr>
    </w:p>
    <w:p w14:paraId="22BAEE40">
      <w:pPr>
        <w:ind w:firstLine="480"/>
        <w:rPr>
          <w:rFonts w:cs="Times New Roman"/>
        </w:rPr>
      </w:pPr>
      <w:r>
        <w:rPr>
          <w:rFonts w:cs="Times New Roman"/>
        </w:rPr>
        <w:t>（5）氨氮、总氮和总磷</w:t>
      </w:r>
    </w:p>
    <w:p w14:paraId="2A6B7E7C">
      <w:pPr>
        <w:ind w:firstLine="480"/>
        <w:rPr>
          <w:rFonts w:cs="Times New Roman"/>
        </w:rPr>
      </w:pPr>
      <w:r>
        <w:rPr>
          <w:rFonts w:cs="Times New Roman"/>
        </w:rPr>
        <w:t>2022年所调查的海菜加工企业，海水冷却水处理前氨氮在0.032~12.6mg/L之间，平均浓度为3.67mg/L。其中，处理前监测数据超过8mg/L的企业有6家，占监测数据企业数的11%，处理前监测数据超过10mg/L的企业有4家，占监测数据企业数的7%，没有超过15mg/L的企业。处理后废水氨氮监测值在0.96~8mg/L之间，平均为3.95mg/L。</w:t>
      </w:r>
    </w:p>
    <w:p w14:paraId="35197DB9">
      <w:pPr>
        <w:ind w:firstLine="480"/>
        <w:rPr>
          <w:rFonts w:cs="Times New Roman"/>
        </w:rPr>
      </w:pPr>
      <w:r>
        <w:rPr>
          <w:rFonts w:cs="Times New Roman"/>
        </w:rPr>
        <w:t>海水冷却水处理前的总氮值在15~20mg/L之间，平均浓度为18.4mg/L。其中，处理前监测数据超过15mg/L的企业占监测数据企业数的100%，没有超过25mg/L的企业。处理后废水总氮监测值在3.49~15mg/L之间，平均为12.74mg/L。</w:t>
      </w:r>
    </w:p>
    <w:p w14:paraId="5EA40352">
      <w:pPr>
        <w:pStyle w:val="80"/>
        <w:ind w:firstLine="480"/>
      </w:pPr>
      <w:r>
        <w:t>海水冷却水处理前的总磷值在0.5~15.3mg/L之间，平均浓度为3.447mg/L。其中，处理前监测数据＞1.0mg/L的企业有60家，占监测数据企业数的98%。处理后废水总磷监测值在0.21~0.5mg/L之间，平均为0.343mg/L。处理后的24家企业中，全部能满足辽宁省《污水综合排放标准》要求。</w:t>
      </w:r>
    </w:p>
    <w:p w14:paraId="3B2B14BD">
      <w:pPr>
        <w:ind w:firstLine="480"/>
        <w:rPr>
          <w:rFonts w:cs="Times New Roman"/>
        </w:rPr>
      </w:pPr>
      <w:r>
        <w:rPr>
          <w:rFonts w:cs="Times New Roman"/>
        </w:rPr>
        <w:t>从前面的</w:t>
      </w:r>
      <w:r>
        <w:rPr>
          <w:rFonts w:cs="Times New Roman"/>
        </w:rPr>
        <w:fldChar w:fldCharType="begin"/>
      </w:r>
      <w:r>
        <w:rPr>
          <w:rFonts w:cs="Times New Roman"/>
        </w:rPr>
        <w:instrText xml:space="preserve"> REF _Ref196213052 \h  \* MERGEFORMAT </w:instrText>
      </w:r>
      <w:r>
        <w:rPr>
          <w:rFonts w:cs="Times New Roman"/>
        </w:rPr>
        <w:fldChar w:fldCharType="separate"/>
      </w:r>
      <w:r>
        <w:rPr>
          <w:rFonts w:cs="Times New Roman"/>
        </w:rPr>
        <w:t>表 3</w:t>
      </w:r>
      <w:r>
        <w:rPr>
          <w:rFonts w:cs="Times New Roman"/>
        </w:rPr>
        <w:noBreakHyphen/>
      </w:r>
      <w:r>
        <w:rPr>
          <w:rFonts w:cs="Times New Roman"/>
        </w:rPr>
        <w:t>12</w:t>
      </w:r>
      <w:r>
        <w:rPr>
          <w:rFonts w:cs="Times New Roman"/>
        </w:rPr>
        <w:fldChar w:fldCharType="end"/>
      </w:r>
      <w:r>
        <w:rPr>
          <w:rFonts w:cs="Times New Roman"/>
        </w:rPr>
        <w:t>可以看出，所监测的26家企业海水冷却水经处理后，氨氮浓度在未检出~5.33mg/L之间，均未超过辽宁省《污水综合排放标准》中8mg/L的直排标准限值；总氮浓度在0.29~32.7mg/L之间，有2家企业冷却水总氮浓度超过了直排标准限值15mg/L，占比8%；总磷浓度在0.027~12mg/L之间，有9家企业冷却水总磷浓度超过了直排标准限值0.5mg/L，占比35%。</w:t>
      </w:r>
    </w:p>
    <w:p w14:paraId="152A91E7">
      <w:pPr>
        <w:pStyle w:val="11"/>
        <w:ind w:firstLine="480"/>
        <w:rPr>
          <w:rFonts w:cs="Times New Roman"/>
        </w:rPr>
      </w:pPr>
      <w:r>
        <w:rPr>
          <w:rFonts w:cs="Times New Roman"/>
        </w:rPr>
        <w:t>从海菜加工工艺上来看，冷却水中氮和磷的增加，主要是由于海菜残体、碎屑进入水体所导致，而海菜残体碎屑的增加，势必也会导致冷却水中有机物指标（COD）增高，因此只要控制冷却水的有机物指标，就可以最大限度地降低冷却水中氮、磷入海负荷。我国现行的《海水冷却水排放要求》并没有对氮、磷进行控制，为此，本标准提出，在有效控制冷却水有机物指标的前提下，不再对氮、磷指标进行控制。</w:t>
      </w:r>
    </w:p>
    <w:p w14:paraId="2F866ED0">
      <w:pPr>
        <w:pStyle w:val="3"/>
        <w:numPr>
          <w:ilvl w:val="1"/>
          <w:numId w:val="2"/>
        </w:numPr>
        <w:rPr>
          <w:rFonts w:ascii="Times New Roman" w:hAnsi="Times New Roman" w:cs="Times New Roman"/>
        </w:rPr>
      </w:pPr>
      <w:bookmarkStart w:id="222" w:name="_Toc196224427"/>
      <w:bookmarkStart w:id="223" w:name="_Toc196224178"/>
      <w:bookmarkStart w:id="224" w:name="_Toc198292150"/>
      <w:bookmarkStart w:id="225" w:name="_Toc53008088"/>
      <w:r>
        <w:rPr>
          <w:rFonts w:ascii="Times New Roman" w:hAnsi="Times New Roman" w:cs="Times New Roman"/>
        </w:rPr>
        <w:t>监测要求</w:t>
      </w:r>
      <w:bookmarkEnd w:id="222"/>
      <w:bookmarkEnd w:id="223"/>
      <w:bookmarkEnd w:id="224"/>
      <w:bookmarkEnd w:id="225"/>
    </w:p>
    <w:p w14:paraId="5259DDF3">
      <w:pPr>
        <w:pStyle w:val="4"/>
        <w:numPr>
          <w:ilvl w:val="2"/>
          <w:numId w:val="2"/>
        </w:numPr>
        <w:ind w:left="0" w:firstLine="0"/>
        <w:rPr>
          <w:rFonts w:ascii="Times New Roman" w:cs="Times New Roman"/>
        </w:rPr>
      </w:pPr>
      <w:bookmarkStart w:id="226" w:name="_Toc196224428"/>
      <w:bookmarkStart w:id="227" w:name="_Toc198292151"/>
      <w:bookmarkStart w:id="228" w:name="_Toc196224179"/>
      <w:r>
        <w:rPr>
          <w:rFonts w:ascii="Times New Roman" w:cs="Times New Roman"/>
        </w:rPr>
        <w:t>采样与监测要求</w:t>
      </w:r>
      <w:bookmarkEnd w:id="226"/>
      <w:bookmarkEnd w:id="227"/>
      <w:bookmarkEnd w:id="228"/>
    </w:p>
    <w:p w14:paraId="5C7DAE60">
      <w:pPr>
        <w:pStyle w:val="80"/>
        <w:ind w:firstLine="480"/>
      </w:pPr>
      <w:r>
        <w:t>对企业排放废水的采样，应根据监测污染物的种类，在规定的污染物排放监控位置进行，有废水处理设施的，应在该设施后监控。企业应按国家有关污染源监测技术规范的要求设置采样口，在污染物排放监控位置须设置永久性排污口标志。</w:t>
      </w:r>
    </w:p>
    <w:p w14:paraId="47ACC087">
      <w:pPr>
        <w:pStyle w:val="80"/>
        <w:ind w:firstLine="480"/>
      </w:pPr>
      <w:r>
        <w:t xml:space="preserve">对企业污染物排放情况进行监测的频次、采样时间等要求，按国家有关污染源监测技术规范的规定执行。 </w:t>
      </w:r>
    </w:p>
    <w:p w14:paraId="6BDC32F8">
      <w:pPr>
        <w:pStyle w:val="80"/>
        <w:ind w:firstLine="480"/>
      </w:pPr>
      <w:r>
        <w:t>企业应按照有关法律和《环境监测管理办法》的规定，对排污状况进行监测，并保存原始监测记录。</w:t>
      </w:r>
    </w:p>
    <w:p w14:paraId="02FA90C0">
      <w:pPr>
        <w:pStyle w:val="4"/>
        <w:numPr>
          <w:ilvl w:val="2"/>
          <w:numId w:val="2"/>
        </w:numPr>
        <w:ind w:left="0" w:firstLine="0"/>
        <w:rPr>
          <w:rFonts w:ascii="Times New Roman" w:cs="Times New Roman"/>
        </w:rPr>
      </w:pPr>
      <w:bookmarkStart w:id="229" w:name="_Toc196224180"/>
      <w:bookmarkStart w:id="230" w:name="_Toc196224429"/>
      <w:bookmarkStart w:id="231" w:name="_Toc198292152"/>
      <w:r>
        <w:rPr>
          <w:rFonts w:ascii="Times New Roman" w:cs="Times New Roman"/>
        </w:rPr>
        <w:t>控制指标分析方法</w:t>
      </w:r>
      <w:bookmarkEnd w:id="229"/>
      <w:bookmarkEnd w:id="230"/>
      <w:bookmarkEnd w:id="231"/>
    </w:p>
    <w:p w14:paraId="03CDE44F">
      <w:pPr>
        <w:pStyle w:val="80"/>
        <w:ind w:firstLine="480"/>
      </w:pPr>
      <w:r>
        <w:t>本标准中各控制指标的监测方法参照现行的国家标准或行业标准进行，主要包括GB 17378.4 海洋监测规范 第4 部分：海水分析；GB/T 12763.4 海洋调查规范第 4 部分：海水化学要素调查；HJ 442.3 近岸海域环境监测规范 第三部分 近岸海域水质监测；HY/T 147.1 海洋监测技术规程 第1 部分：海水。具体的分析方法如</w:t>
      </w:r>
      <w:r>
        <w:fldChar w:fldCharType="begin"/>
      </w:r>
      <w:r>
        <w:instrText xml:space="preserve"> REF _Ref196226365 \h  \* MERGEFORMAT </w:instrText>
      </w:r>
      <w:r>
        <w:fldChar w:fldCharType="separate"/>
      </w:r>
      <w:r>
        <w:t>表 3</w:t>
      </w:r>
      <w:r>
        <w:noBreakHyphen/>
      </w:r>
      <w:r>
        <w:t>13</w:t>
      </w:r>
      <w:r>
        <w:fldChar w:fldCharType="end"/>
      </w:r>
      <w:r>
        <w:t>所示。对于总氮和总磷的测定，当测定结果出现争议时，以GB 17378.4方法的结果为准。</w:t>
      </w:r>
    </w:p>
    <w:p w14:paraId="091CE262">
      <w:pPr>
        <w:pStyle w:val="61"/>
        <w:ind w:firstLine="480"/>
        <w:rPr>
          <w:rFonts w:cs="Times New Roman"/>
        </w:rPr>
      </w:pPr>
      <w:bookmarkStart w:id="232" w:name="_Ref196226365"/>
      <w:r>
        <w:rPr>
          <w:rFonts w:cs="Times New Roman"/>
        </w:rPr>
        <w:t xml:space="preserve">表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13</w:t>
      </w:r>
      <w:r>
        <w:rPr>
          <w:rFonts w:cs="Times New Roman"/>
        </w:rPr>
        <w:fldChar w:fldCharType="end"/>
      </w:r>
      <w:bookmarkEnd w:id="232"/>
      <w:r>
        <w:rPr>
          <w:rFonts w:cs="Times New Roman"/>
        </w:rPr>
        <w:t xml:space="preserve">    水污染物浓度测定方法标准</w:t>
      </w:r>
    </w:p>
    <w:tbl>
      <w:tblPr>
        <w:tblStyle w:val="68"/>
        <w:tblW w:w="8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5"/>
        <w:gridCol w:w="2818"/>
        <w:gridCol w:w="2409"/>
        <w:gridCol w:w="2127"/>
      </w:tblGrid>
      <w:tr w14:paraId="258E7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005" w:type="dxa"/>
            <w:vAlign w:val="center"/>
          </w:tcPr>
          <w:p w14:paraId="40875B9E">
            <w:pPr>
              <w:pStyle w:val="81"/>
              <w:rPr>
                <w:rFonts w:cs="Times New Roman"/>
                <w:kern w:val="0"/>
                <w:sz w:val="20"/>
              </w:rPr>
            </w:pPr>
            <w:r>
              <w:rPr>
                <w:rFonts w:cs="Times New Roman"/>
                <w:kern w:val="0"/>
                <w:sz w:val="20"/>
              </w:rPr>
              <w:t>序号</w:t>
            </w:r>
          </w:p>
        </w:tc>
        <w:tc>
          <w:tcPr>
            <w:tcW w:w="2818" w:type="dxa"/>
            <w:vAlign w:val="center"/>
          </w:tcPr>
          <w:p w14:paraId="30E6D991">
            <w:pPr>
              <w:pStyle w:val="81"/>
              <w:rPr>
                <w:rFonts w:cs="Times New Roman"/>
                <w:kern w:val="0"/>
                <w:sz w:val="20"/>
              </w:rPr>
            </w:pPr>
            <w:r>
              <w:rPr>
                <w:rFonts w:cs="Times New Roman"/>
                <w:kern w:val="0"/>
                <w:sz w:val="20"/>
              </w:rPr>
              <w:t>污染物项目</w:t>
            </w:r>
          </w:p>
        </w:tc>
        <w:tc>
          <w:tcPr>
            <w:tcW w:w="2409" w:type="dxa"/>
            <w:vAlign w:val="center"/>
          </w:tcPr>
          <w:p w14:paraId="253D8117">
            <w:pPr>
              <w:pStyle w:val="81"/>
              <w:rPr>
                <w:rFonts w:cs="Times New Roman"/>
                <w:kern w:val="0"/>
                <w:sz w:val="20"/>
              </w:rPr>
            </w:pPr>
            <w:r>
              <w:rPr>
                <w:rFonts w:cs="Times New Roman"/>
                <w:kern w:val="0"/>
                <w:sz w:val="20"/>
              </w:rPr>
              <w:t>分析方法</w:t>
            </w:r>
          </w:p>
        </w:tc>
        <w:tc>
          <w:tcPr>
            <w:tcW w:w="2127" w:type="dxa"/>
            <w:vAlign w:val="center"/>
          </w:tcPr>
          <w:p w14:paraId="6EE3AE86">
            <w:pPr>
              <w:pStyle w:val="81"/>
              <w:rPr>
                <w:rFonts w:cs="Times New Roman"/>
                <w:kern w:val="0"/>
                <w:sz w:val="20"/>
              </w:rPr>
            </w:pPr>
            <w:r>
              <w:rPr>
                <w:rFonts w:cs="Times New Roman"/>
                <w:kern w:val="0"/>
                <w:sz w:val="20"/>
              </w:rPr>
              <w:t>引用标准</w:t>
            </w:r>
          </w:p>
        </w:tc>
      </w:tr>
      <w:tr w14:paraId="52BB8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005" w:type="dxa"/>
            <w:vAlign w:val="center"/>
          </w:tcPr>
          <w:p w14:paraId="392E7AE4">
            <w:pPr>
              <w:pStyle w:val="81"/>
              <w:rPr>
                <w:rFonts w:cs="Times New Roman"/>
                <w:kern w:val="0"/>
                <w:sz w:val="20"/>
              </w:rPr>
            </w:pPr>
            <w:r>
              <w:rPr>
                <w:rFonts w:cs="Times New Roman"/>
                <w:kern w:val="0"/>
                <w:sz w:val="20"/>
              </w:rPr>
              <w:t>1</w:t>
            </w:r>
          </w:p>
        </w:tc>
        <w:tc>
          <w:tcPr>
            <w:tcW w:w="2818" w:type="dxa"/>
            <w:vAlign w:val="center"/>
          </w:tcPr>
          <w:p w14:paraId="380FFACE">
            <w:pPr>
              <w:pStyle w:val="81"/>
              <w:rPr>
                <w:rFonts w:cs="Times New Roman"/>
                <w:kern w:val="0"/>
                <w:sz w:val="20"/>
              </w:rPr>
            </w:pPr>
            <w:r>
              <w:rPr>
                <w:rFonts w:cs="Times New Roman"/>
                <w:kern w:val="0"/>
                <w:sz w:val="20"/>
              </w:rPr>
              <w:t>pH 值</w:t>
            </w:r>
          </w:p>
        </w:tc>
        <w:tc>
          <w:tcPr>
            <w:tcW w:w="2409" w:type="dxa"/>
            <w:vAlign w:val="center"/>
          </w:tcPr>
          <w:p w14:paraId="73FB9698">
            <w:pPr>
              <w:pStyle w:val="81"/>
              <w:rPr>
                <w:rFonts w:cs="Times New Roman"/>
                <w:kern w:val="0"/>
                <w:sz w:val="20"/>
              </w:rPr>
            </w:pPr>
            <w:r>
              <w:rPr>
                <w:rFonts w:cs="Times New Roman"/>
                <w:kern w:val="0"/>
                <w:sz w:val="20"/>
              </w:rPr>
              <w:t>pH计法</w:t>
            </w:r>
          </w:p>
        </w:tc>
        <w:tc>
          <w:tcPr>
            <w:tcW w:w="2127" w:type="dxa"/>
            <w:vAlign w:val="center"/>
          </w:tcPr>
          <w:p w14:paraId="3E68F8FC">
            <w:pPr>
              <w:pStyle w:val="81"/>
              <w:rPr>
                <w:rFonts w:cs="Times New Roman"/>
                <w:kern w:val="0"/>
                <w:sz w:val="20"/>
              </w:rPr>
            </w:pPr>
            <w:r>
              <w:rPr>
                <w:rFonts w:cs="Times New Roman"/>
                <w:kern w:val="0"/>
                <w:sz w:val="20"/>
              </w:rPr>
              <w:t>GB 17378.4</w:t>
            </w:r>
          </w:p>
        </w:tc>
      </w:tr>
      <w:tr w14:paraId="75211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005" w:type="dxa"/>
            <w:vAlign w:val="center"/>
          </w:tcPr>
          <w:p w14:paraId="2F7779AD">
            <w:pPr>
              <w:pStyle w:val="81"/>
              <w:rPr>
                <w:rFonts w:cs="Times New Roman"/>
                <w:kern w:val="0"/>
                <w:sz w:val="20"/>
              </w:rPr>
            </w:pPr>
            <w:r>
              <w:rPr>
                <w:rFonts w:cs="Times New Roman"/>
                <w:kern w:val="0"/>
                <w:sz w:val="20"/>
              </w:rPr>
              <w:t>2</w:t>
            </w:r>
          </w:p>
        </w:tc>
        <w:tc>
          <w:tcPr>
            <w:tcW w:w="2818" w:type="dxa"/>
            <w:vAlign w:val="center"/>
          </w:tcPr>
          <w:p w14:paraId="0C4840A6">
            <w:pPr>
              <w:pStyle w:val="81"/>
              <w:rPr>
                <w:rFonts w:cs="Times New Roman"/>
                <w:kern w:val="0"/>
                <w:sz w:val="20"/>
              </w:rPr>
            </w:pPr>
            <w:r>
              <w:rPr>
                <w:rFonts w:cs="Times New Roman"/>
                <w:kern w:val="0"/>
                <w:sz w:val="20"/>
              </w:rPr>
              <w:t>悬浮物</w:t>
            </w:r>
          </w:p>
        </w:tc>
        <w:tc>
          <w:tcPr>
            <w:tcW w:w="2409" w:type="dxa"/>
            <w:vAlign w:val="center"/>
          </w:tcPr>
          <w:p w14:paraId="08D76A64">
            <w:pPr>
              <w:pStyle w:val="81"/>
              <w:rPr>
                <w:rFonts w:cs="Times New Roman"/>
                <w:kern w:val="0"/>
                <w:sz w:val="20"/>
              </w:rPr>
            </w:pPr>
            <w:r>
              <w:rPr>
                <w:rFonts w:cs="Times New Roman"/>
                <w:kern w:val="0"/>
                <w:sz w:val="20"/>
              </w:rPr>
              <w:t>重量法</w:t>
            </w:r>
          </w:p>
        </w:tc>
        <w:tc>
          <w:tcPr>
            <w:tcW w:w="2127" w:type="dxa"/>
            <w:vAlign w:val="center"/>
          </w:tcPr>
          <w:p w14:paraId="7604D248">
            <w:pPr>
              <w:pStyle w:val="81"/>
              <w:rPr>
                <w:rFonts w:cs="Times New Roman"/>
                <w:kern w:val="0"/>
                <w:sz w:val="20"/>
              </w:rPr>
            </w:pPr>
            <w:r>
              <w:rPr>
                <w:rFonts w:cs="Times New Roman"/>
                <w:kern w:val="0"/>
                <w:sz w:val="20"/>
              </w:rPr>
              <w:t>GB 17378.4</w:t>
            </w:r>
          </w:p>
        </w:tc>
      </w:tr>
      <w:tr w14:paraId="7A6C0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005" w:type="dxa"/>
            <w:vAlign w:val="center"/>
          </w:tcPr>
          <w:p w14:paraId="4E82653B">
            <w:pPr>
              <w:pStyle w:val="81"/>
              <w:rPr>
                <w:rFonts w:cs="Times New Roman"/>
                <w:kern w:val="0"/>
                <w:sz w:val="20"/>
              </w:rPr>
            </w:pPr>
            <w:r>
              <w:rPr>
                <w:rFonts w:cs="Times New Roman"/>
                <w:kern w:val="0"/>
                <w:sz w:val="20"/>
              </w:rPr>
              <w:t>3</w:t>
            </w:r>
          </w:p>
        </w:tc>
        <w:tc>
          <w:tcPr>
            <w:tcW w:w="2818" w:type="dxa"/>
            <w:vAlign w:val="center"/>
          </w:tcPr>
          <w:p w14:paraId="38F5796B">
            <w:pPr>
              <w:pStyle w:val="81"/>
              <w:rPr>
                <w:rFonts w:cs="Times New Roman"/>
                <w:kern w:val="0"/>
                <w:sz w:val="20"/>
              </w:rPr>
            </w:pPr>
            <w:r>
              <w:rPr>
                <w:rFonts w:cs="Times New Roman"/>
                <w:kern w:val="0"/>
                <w:sz w:val="20"/>
              </w:rPr>
              <w:t>化学需氧量（COD</w:t>
            </w:r>
            <w:r>
              <w:rPr>
                <w:rFonts w:cs="Times New Roman"/>
                <w:kern w:val="0"/>
                <w:sz w:val="20"/>
                <w:vertAlign w:val="subscript"/>
              </w:rPr>
              <w:t>Cr</w:t>
            </w:r>
            <w:r>
              <w:rPr>
                <w:rFonts w:cs="Times New Roman"/>
                <w:kern w:val="0"/>
                <w:sz w:val="20"/>
              </w:rPr>
              <w:t>）</w:t>
            </w:r>
          </w:p>
        </w:tc>
        <w:tc>
          <w:tcPr>
            <w:tcW w:w="2409" w:type="dxa"/>
            <w:vAlign w:val="center"/>
          </w:tcPr>
          <w:p w14:paraId="6DAA3568">
            <w:pPr>
              <w:pStyle w:val="81"/>
              <w:rPr>
                <w:rFonts w:cs="Times New Roman"/>
                <w:kern w:val="0"/>
                <w:sz w:val="20"/>
              </w:rPr>
            </w:pPr>
            <w:r>
              <w:rPr>
                <w:rFonts w:cs="Times New Roman"/>
                <w:kern w:val="0"/>
                <w:sz w:val="20"/>
              </w:rPr>
              <w:t>重铬酸盐法</w:t>
            </w:r>
          </w:p>
        </w:tc>
        <w:tc>
          <w:tcPr>
            <w:tcW w:w="2127" w:type="dxa"/>
            <w:vAlign w:val="center"/>
          </w:tcPr>
          <w:p w14:paraId="5B52DE3D">
            <w:pPr>
              <w:pStyle w:val="81"/>
              <w:rPr>
                <w:rFonts w:cs="Times New Roman"/>
                <w:kern w:val="0"/>
                <w:sz w:val="20"/>
              </w:rPr>
            </w:pPr>
            <w:r>
              <w:rPr>
                <w:rFonts w:cs="Times New Roman"/>
                <w:kern w:val="0"/>
                <w:sz w:val="20"/>
              </w:rPr>
              <w:t>HJ 828</w:t>
            </w:r>
          </w:p>
        </w:tc>
      </w:tr>
      <w:tr w14:paraId="3C0AF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005" w:type="dxa"/>
            <w:vAlign w:val="center"/>
          </w:tcPr>
          <w:p w14:paraId="2E14A26E">
            <w:pPr>
              <w:pStyle w:val="81"/>
              <w:rPr>
                <w:rFonts w:cs="Times New Roman"/>
                <w:kern w:val="0"/>
                <w:sz w:val="20"/>
              </w:rPr>
            </w:pPr>
            <w:r>
              <w:rPr>
                <w:rFonts w:cs="Times New Roman"/>
                <w:kern w:val="0"/>
                <w:sz w:val="20"/>
              </w:rPr>
              <w:t>4</w:t>
            </w:r>
          </w:p>
        </w:tc>
        <w:tc>
          <w:tcPr>
            <w:tcW w:w="2818" w:type="dxa"/>
            <w:vAlign w:val="center"/>
          </w:tcPr>
          <w:p w14:paraId="1E81A7CA">
            <w:pPr>
              <w:pStyle w:val="81"/>
              <w:rPr>
                <w:rFonts w:cs="Times New Roman"/>
                <w:kern w:val="0"/>
                <w:sz w:val="20"/>
              </w:rPr>
            </w:pPr>
            <w:r>
              <w:rPr>
                <w:rFonts w:cs="Times New Roman"/>
                <w:kern w:val="0"/>
                <w:sz w:val="20"/>
              </w:rPr>
              <w:t>化学需氧量（COD</w:t>
            </w:r>
            <w:r>
              <w:rPr>
                <w:rFonts w:cs="Times New Roman"/>
                <w:kern w:val="0"/>
                <w:sz w:val="20"/>
                <w:vertAlign w:val="subscript"/>
              </w:rPr>
              <w:t>Mn</w:t>
            </w:r>
            <w:r>
              <w:rPr>
                <w:rFonts w:cs="Times New Roman"/>
                <w:kern w:val="0"/>
                <w:sz w:val="20"/>
              </w:rPr>
              <w:t>）</w:t>
            </w:r>
          </w:p>
        </w:tc>
        <w:tc>
          <w:tcPr>
            <w:tcW w:w="2409" w:type="dxa"/>
            <w:vAlign w:val="center"/>
          </w:tcPr>
          <w:p w14:paraId="1DAF042B">
            <w:pPr>
              <w:pStyle w:val="81"/>
              <w:rPr>
                <w:rFonts w:cs="Times New Roman"/>
                <w:kern w:val="0"/>
                <w:sz w:val="20"/>
              </w:rPr>
            </w:pPr>
            <w:r>
              <w:rPr>
                <w:rFonts w:cs="Times New Roman"/>
                <w:kern w:val="0"/>
                <w:sz w:val="20"/>
              </w:rPr>
              <w:t>碱性高锰酸钾法</w:t>
            </w:r>
          </w:p>
        </w:tc>
        <w:tc>
          <w:tcPr>
            <w:tcW w:w="2127" w:type="dxa"/>
            <w:vAlign w:val="center"/>
          </w:tcPr>
          <w:p w14:paraId="649E025C">
            <w:pPr>
              <w:pStyle w:val="81"/>
              <w:rPr>
                <w:rFonts w:cs="Times New Roman"/>
                <w:kern w:val="0"/>
                <w:sz w:val="20"/>
              </w:rPr>
            </w:pPr>
            <w:r>
              <w:rPr>
                <w:rFonts w:cs="Times New Roman"/>
                <w:kern w:val="0"/>
                <w:sz w:val="20"/>
              </w:rPr>
              <w:t>GB 17378.4</w:t>
            </w:r>
          </w:p>
        </w:tc>
      </w:tr>
      <w:tr w14:paraId="46E65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005" w:type="dxa"/>
            <w:vMerge w:val="restart"/>
            <w:vAlign w:val="center"/>
          </w:tcPr>
          <w:p w14:paraId="3D2C1C25">
            <w:pPr>
              <w:pStyle w:val="81"/>
              <w:rPr>
                <w:rFonts w:cs="Times New Roman"/>
                <w:kern w:val="0"/>
                <w:sz w:val="20"/>
              </w:rPr>
            </w:pPr>
            <w:r>
              <w:rPr>
                <w:rFonts w:cs="Times New Roman"/>
                <w:kern w:val="0"/>
                <w:sz w:val="20"/>
              </w:rPr>
              <w:t>5</w:t>
            </w:r>
          </w:p>
        </w:tc>
        <w:tc>
          <w:tcPr>
            <w:tcW w:w="2818" w:type="dxa"/>
            <w:vMerge w:val="restart"/>
            <w:vAlign w:val="center"/>
          </w:tcPr>
          <w:p w14:paraId="0119A1C5">
            <w:pPr>
              <w:pStyle w:val="81"/>
              <w:rPr>
                <w:rFonts w:cs="Times New Roman"/>
                <w:kern w:val="0"/>
                <w:sz w:val="20"/>
              </w:rPr>
            </w:pPr>
            <w:r>
              <w:rPr>
                <w:rFonts w:cs="Times New Roman"/>
                <w:kern w:val="0"/>
                <w:sz w:val="20"/>
              </w:rPr>
              <w:t>总氮</w:t>
            </w:r>
          </w:p>
        </w:tc>
        <w:tc>
          <w:tcPr>
            <w:tcW w:w="2409" w:type="dxa"/>
            <w:vAlign w:val="center"/>
          </w:tcPr>
          <w:p w14:paraId="37074E01">
            <w:pPr>
              <w:pStyle w:val="81"/>
              <w:rPr>
                <w:rFonts w:cs="Times New Roman"/>
                <w:kern w:val="0"/>
                <w:sz w:val="20"/>
              </w:rPr>
            </w:pPr>
            <w:r>
              <w:rPr>
                <w:rFonts w:cs="Times New Roman"/>
                <w:kern w:val="0"/>
                <w:sz w:val="20"/>
              </w:rPr>
              <w:t>过硫酸钾氧化法</w:t>
            </w:r>
          </w:p>
        </w:tc>
        <w:tc>
          <w:tcPr>
            <w:tcW w:w="2127" w:type="dxa"/>
            <w:vAlign w:val="center"/>
          </w:tcPr>
          <w:p w14:paraId="7182EBE6">
            <w:pPr>
              <w:pStyle w:val="81"/>
              <w:rPr>
                <w:rFonts w:cs="Times New Roman"/>
                <w:kern w:val="0"/>
                <w:sz w:val="20"/>
              </w:rPr>
            </w:pPr>
            <w:r>
              <w:rPr>
                <w:rFonts w:cs="Times New Roman"/>
                <w:kern w:val="0"/>
                <w:sz w:val="20"/>
              </w:rPr>
              <w:t>GB 17378.4</w:t>
            </w:r>
          </w:p>
        </w:tc>
      </w:tr>
      <w:tr w14:paraId="09AEE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005" w:type="dxa"/>
            <w:vMerge w:val="continue"/>
            <w:vAlign w:val="center"/>
          </w:tcPr>
          <w:p w14:paraId="632707E7">
            <w:pPr>
              <w:pStyle w:val="81"/>
              <w:rPr>
                <w:rFonts w:cs="Times New Roman"/>
                <w:kern w:val="0"/>
                <w:sz w:val="20"/>
              </w:rPr>
            </w:pPr>
          </w:p>
        </w:tc>
        <w:tc>
          <w:tcPr>
            <w:tcW w:w="2818" w:type="dxa"/>
            <w:vMerge w:val="continue"/>
            <w:vAlign w:val="center"/>
          </w:tcPr>
          <w:p w14:paraId="6B6CE44E">
            <w:pPr>
              <w:pStyle w:val="81"/>
              <w:rPr>
                <w:rFonts w:cs="Times New Roman"/>
                <w:kern w:val="0"/>
                <w:sz w:val="20"/>
              </w:rPr>
            </w:pPr>
          </w:p>
        </w:tc>
        <w:tc>
          <w:tcPr>
            <w:tcW w:w="2409" w:type="dxa"/>
            <w:vAlign w:val="center"/>
          </w:tcPr>
          <w:p w14:paraId="71E0C765">
            <w:pPr>
              <w:pStyle w:val="81"/>
              <w:rPr>
                <w:rFonts w:cs="Times New Roman"/>
                <w:kern w:val="0"/>
                <w:sz w:val="20"/>
              </w:rPr>
            </w:pPr>
            <w:r>
              <w:rPr>
                <w:rFonts w:cs="Times New Roman"/>
                <w:kern w:val="0"/>
                <w:sz w:val="20"/>
              </w:rPr>
              <w:t>流动分析法</w:t>
            </w:r>
          </w:p>
        </w:tc>
        <w:tc>
          <w:tcPr>
            <w:tcW w:w="2127" w:type="dxa"/>
            <w:vAlign w:val="center"/>
          </w:tcPr>
          <w:p w14:paraId="160316E0">
            <w:pPr>
              <w:pStyle w:val="81"/>
              <w:rPr>
                <w:rFonts w:cs="Times New Roman"/>
                <w:kern w:val="0"/>
                <w:sz w:val="20"/>
              </w:rPr>
            </w:pPr>
            <w:r>
              <w:rPr>
                <w:rFonts w:cs="Times New Roman"/>
                <w:kern w:val="0"/>
                <w:sz w:val="20"/>
              </w:rPr>
              <w:t>HY/T 147.1</w:t>
            </w:r>
          </w:p>
        </w:tc>
      </w:tr>
      <w:tr w14:paraId="7A5E2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005" w:type="dxa"/>
            <w:vMerge w:val="restart"/>
            <w:vAlign w:val="center"/>
          </w:tcPr>
          <w:p w14:paraId="7CFABC5D">
            <w:pPr>
              <w:pStyle w:val="81"/>
              <w:rPr>
                <w:rFonts w:cs="Times New Roman"/>
                <w:kern w:val="0"/>
                <w:sz w:val="20"/>
              </w:rPr>
            </w:pPr>
            <w:r>
              <w:rPr>
                <w:rFonts w:cs="Times New Roman"/>
                <w:kern w:val="0"/>
                <w:sz w:val="20"/>
              </w:rPr>
              <w:t>6</w:t>
            </w:r>
          </w:p>
        </w:tc>
        <w:tc>
          <w:tcPr>
            <w:tcW w:w="2818" w:type="dxa"/>
            <w:vMerge w:val="restart"/>
            <w:vAlign w:val="center"/>
          </w:tcPr>
          <w:p w14:paraId="5843A1CD">
            <w:pPr>
              <w:pStyle w:val="81"/>
              <w:rPr>
                <w:rFonts w:cs="Times New Roman"/>
                <w:kern w:val="0"/>
                <w:sz w:val="20"/>
              </w:rPr>
            </w:pPr>
            <w:r>
              <w:rPr>
                <w:rFonts w:cs="Times New Roman"/>
                <w:kern w:val="0"/>
                <w:sz w:val="20"/>
              </w:rPr>
              <w:t>总磷</w:t>
            </w:r>
          </w:p>
        </w:tc>
        <w:tc>
          <w:tcPr>
            <w:tcW w:w="2409" w:type="dxa"/>
            <w:vAlign w:val="center"/>
          </w:tcPr>
          <w:p w14:paraId="4DEB40AB">
            <w:pPr>
              <w:pStyle w:val="81"/>
              <w:rPr>
                <w:rFonts w:cs="Times New Roman"/>
                <w:kern w:val="0"/>
                <w:sz w:val="20"/>
              </w:rPr>
            </w:pPr>
            <w:r>
              <w:rPr>
                <w:rFonts w:cs="Times New Roman"/>
                <w:kern w:val="0"/>
                <w:sz w:val="20"/>
              </w:rPr>
              <w:t>过硫酸钾氧化法</w:t>
            </w:r>
          </w:p>
        </w:tc>
        <w:tc>
          <w:tcPr>
            <w:tcW w:w="2127" w:type="dxa"/>
            <w:vAlign w:val="center"/>
          </w:tcPr>
          <w:p w14:paraId="508D9B14">
            <w:pPr>
              <w:pStyle w:val="81"/>
              <w:rPr>
                <w:rFonts w:cs="Times New Roman"/>
                <w:kern w:val="0"/>
                <w:sz w:val="20"/>
              </w:rPr>
            </w:pPr>
            <w:r>
              <w:rPr>
                <w:rFonts w:cs="Times New Roman"/>
                <w:kern w:val="0"/>
                <w:sz w:val="20"/>
              </w:rPr>
              <w:t>GB 17378.4</w:t>
            </w:r>
          </w:p>
        </w:tc>
      </w:tr>
      <w:tr w14:paraId="0AAEA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005" w:type="dxa"/>
            <w:vMerge w:val="continue"/>
            <w:vAlign w:val="center"/>
          </w:tcPr>
          <w:p w14:paraId="679D8B11">
            <w:pPr>
              <w:pStyle w:val="81"/>
              <w:rPr>
                <w:rFonts w:cs="Times New Roman"/>
                <w:kern w:val="0"/>
                <w:sz w:val="20"/>
              </w:rPr>
            </w:pPr>
          </w:p>
        </w:tc>
        <w:tc>
          <w:tcPr>
            <w:tcW w:w="2818" w:type="dxa"/>
            <w:vMerge w:val="continue"/>
            <w:vAlign w:val="center"/>
          </w:tcPr>
          <w:p w14:paraId="65C04763">
            <w:pPr>
              <w:pStyle w:val="81"/>
              <w:rPr>
                <w:rFonts w:cs="Times New Roman"/>
                <w:kern w:val="0"/>
                <w:sz w:val="20"/>
              </w:rPr>
            </w:pPr>
          </w:p>
        </w:tc>
        <w:tc>
          <w:tcPr>
            <w:tcW w:w="2409" w:type="dxa"/>
            <w:vAlign w:val="center"/>
          </w:tcPr>
          <w:p w14:paraId="5F4FA68A">
            <w:pPr>
              <w:pStyle w:val="81"/>
              <w:rPr>
                <w:rFonts w:cs="Times New Roman"/>
                <w:kern w:val="0"/>
                <w:sz w:val="20"/>
              </w:rPr>
            </w:pPr>
            <w:r>
              <w:rPr>
                <w:rFonts w:cs="Times New Roman"/>
                <w:kern w:val="0"/>
                <w:sz w:val="20"/>
              </w:rPr>
              <w:t>流动分析法</w:t>
            </w:r>
          </w:p>
        </w:tc>
        <w:tc>
          <w:tcPr>
            <w:tcW w:w="2127" w:type="dxa"/>
            <w:vAlign w:val="center"/>
          </w:tcPr>
          <w:p w14:paraId="5B77D36D">
            <w:pPr>
              <w:pStyle w:val="81"/>
              <w:rPr>
                <w:rFonts w:cs="Times New Roman"/>
                <w:kern w:val="0"/>
                <w:sz w:val="20"/>
              </w:rPr>
            </w:pPr>
            <w:r>
              <w:rPr>
                <w:rFonts w:cs="Times New Roman"/>
                <w:kern w:val="0"/>
                <w:sz w:val="20"/>
              </w:rPr>
              <w:t>HY/T 147.1</w:t>
            </w:r>
          </w:p>
        </w:tc>
      </w:tr>
    </w:tbl>
    <w:p w14:paraId="54F2F5FA">
      <w:pPr>
        <w:pStyle w:val="3"/>
        <w:numPr>
          <w:ilvl w:val="1"/>
          <w:numId w:val="2"/>
        </w:numPr>
        <w:rPr>
          <w:rFonts w:ascii="Times New Roman" w:hAnsi="Times New Roman" w:cs="Times New Roman"/>
        </w:rPr>
      </w:pPr>
      <w:bookmarkStart w:id="233" w:name="_Toc198292153"/>
      <w:bookmarkStart w:id="234" w:name="_Toc196224430"/>
      <w:bookmarkStart w:id="235" w:name="_Toc1767442793"/>
      <w:bookmarkStart w:id="236" w:name="_Toc196224181"/>
      <w:r>
        <w:rPr>
          <w:rFonts w:ascii="Times New Roman" w:hAnsi="Times New Roman" w:cs="Times New Roman"/>
        </w:rPr>
        <w:t>结果判定</w:t>
      </w:r>
      <w:bookmarkEnd w:id="233"/>
      <w:bookmarkEnd w:id="234"/>
      <w:bookmarkEnd w:id="235"/>
      <w:bookmarkEnd w:id="236"/>
    </w:p>
    <w:p w14:paraId="02E543AB">
      <w:pPr>
        <w:pStyle w:val="80"/>
        <w:ind w:firstLine="480"/>
      </w:pPr>
      <w:r>
        <w:t>本标准采用单因子评价方法，当监测项目单项超过本标准规定的排放限值，即判定超标排放。测定值与排放限值比较采用GB/T 8170规定的修约值比较法。</w:t>
      </w:r>
    </w:p>
    <w:p w14:paraId="4A55C79B">
      <w:pPr>
        <w:pStyle w:val="80"/>
        <w:ind w:firstLine="480"/>
      </w:pPr>
      <w:r>
        <w:t>各级生态环境部门按照相关手工监测技术规范获取的监测结果超过本标准排放浓度限值的，判定为排放超标。各级生态环境部门进行执法检查时，可以将现场即时采样或监测的结果，作为判定排污行为是否符合排放标准以及实施相关生态环境管理措施的依据。本标准实施后，国家或地方生态环境主管部门出台相关新规定的，从其规定。</w:t>
      </w:r>
    </w:p>
    <w:p w14:paraId="08751A91">
      <w:pPr>
        <w:pStyle w:val="3"/>
        <w:numPr>
          <w:ilvl w:val="1"/>
          <w:numId w:val="2"/>
        </w:numPr>
        <w:rPr>
          <w:rFonts w:ascii="Times New Roman" w:hAnsi="Times New Roman" w:cs="Times New Roman"/>
        </w:rPr>
      </w:pPr>
      <w:bookmarkStart w:id="237" w:name="_Toc196224182"/>
      <w:bookmarkStart w:id="238" w:name="_Toc196224431"/>
      <w:bookmarkStart w:id="239" w:name="_Toc198292154"/>
      <w:r>
        <w:rPr>
          <w:rFonts w:ascii="Times New Roman" w:hAnsi="Times New Roman" w:cs="Times New Roman"/>
        </w:rPr>
        <w:t>实施与监督</w:t>
      </w:r>
      <w:bookmarkEnd w:id="237"/>
      <w:bookmarkEnd w:id="238"/>
      <w:bookmarkEnd w:id="239"/>
    </w:p>
    <w:p w14:paraId="0A53D550">
      <w:pPr>
        <w:pStyle w:val="80"/>
        <w:ind w:firstLine="480"/>
        <w:rPr>
          <w:lang w:val="ca-ES"/>
        </w:rPr>
      </w:pPr>
      <w:r>
        <w:rPr>
          <w:lang w:val="ca-ES"/>
        </w:rPr>
        <w:t>本文件由县级以上人民政府生态环境行政主管部门具体负责监督实施。</w:t>
      </w:r>
    </w:p>
    <w:p w14:paraId="3C09669B">
      <w:pPr>
        <w:pStyle w:val="80"/>
        <w:ind w:firstLine="480"/>
        <w:rPr>
          <w:lang w:val="ca-ES"/>
        </w:rPr>
      </w:pPr>
      <w:r>
        <w:rPr>
          <w:lang w:val="ca-ES"/>
        </w:rPr>
        <w:t>企业是实施排放标准的责任主体，应采取必要手段，达到本标准规定的污染物排放控制要求。</w:t>
      </w:r>
    </w:p>
    <w:p w14:paraId="25462266">
      <w:pPr>
        <w:pStyle w:val="80"/>
        <w:ind w:firstLine="480"/>
        <w:rPr>
          <w:lang w:val="ca-ES"/>
        </w:rPr>
      </w:pPr>
      <w:r>
        <w:rPr>
          <w:lang w:val="ca-ES"/>
        </w:rPr>
        <w:t>在任何情况下，企业均须遵守本文件的污染物排放控制要求，采取必要措施保证污染防治设施正常运行。企业未遵守本标准规定的措施性控制要求，构成违法行为的，依照法律法规等有关规定予以处理。</w:t>
      </w:r>
    </w:p>
    <w:p w14:paraId="59E1A58B">
      <w:pPr>
        <w:pStyle w:val="80"/>
        <w:ind w:firstLine="480"/>
        <w:rPr>
          <w:lang w:val="ca-ES"/>
        </w:rPr>
      </w:pPr>
      <w:r>
        <w:rPr>
          <w:lang w:val="ca-ES"/>
        </w:rPr>
        <w:t>本文件实施后，企业排污许可证规定要求宽于本文件的，应当在文件实施之日前依法变更排污许可证。</w:t>
      </w:r>
    </w:p>
    <w:p w14:paraId="0A23B0EA">
      <w:pPr>
        <w:pStyle w:val="3"/>
        <w:numPr>
          <w:ilvl w:val="1"/>
          <w:numId w:val="2"/>
        </w:numPr>
        <w:rPr>
          <w:rFonts w:ascii="Times New Roman" w:hAnsi="Times New Roman" w:cs="Times New Roman"/>
          <w:sz w:val="24"/>
          <w:szCs w:val="24"/>
          <w:lang w:val="ca-ES"/>
        </w:rPr>
      </w:pPr>
      <w:bookmarkStart w:id="240" w:name="_Toc196224432"/>
      <w:bookmarkStart w:id="241" w:name="_Toc196224183"/>
      <w:bookmarkStart w:id="242" w:name="_Toc198292155"/>
      <w:r>
        <w:rPr>
          <w:rFonts w:ascii="Times New Roman" w:hAnsi="Times New Roman" w:cs="Times New Roman"/>
        </w:rPr>
        <w:t>环境经济效益</w:t>
      </w:r>
      <w:bookmarkEnd w:id="240"/>
      <w:bookmarkEnd w:id="241"/>
      <w:r>
        <w:rPr>
          <w:rFonts w:ascii="Times New Roman" w:hAnsi="Times New Roman" w:cs="Times New Roman"/>
        </w:rPr>
        <w:t>及技术经济可行性分析</w:t>
      </w:r>
      <w:bookmarkEnd w:id="242"/>
    </w:p>
    <w:p w14:paraId="0DA50C59">
      <w:pPr>
        <w:pStyle w:val="4"/>
        <w:numPr>
          <w:ilvl w:val="2"/>
          <w:numId w:val="2"/>
        </w:numPr>
        <w:ind w:left="0" w:firstLine="0"/>
        <w:rPr>
          <w:rFonts w:ascii="Times New Roman" w:cs="Times New Roman"/>
        </w:rPr>
      </w:pPr>
      <w:bookmarkStart w:id="243" w:name="_Toc196224184"/>
      <w:bookmarkStart w:id="244" w:name="_Toc198291934"/>
      <w:bookmarkStart w:id="245" w:name="_Toc196224433"/>
      <w:bookmarkStart w:id="246" w:name="_Toc198292156"/>
      <w:bookmarkStart w:id="247" w:name="_Toc149209670"/>
      <w:r>
        <w:rPr>
          <w:rFonts w:ascii="Times New Roman" w:cs="Times New Roman"/>
        </w:rPr>
        <w:t>环境效益分析</w:t>
      </w:r>
      <w:bookmarkEnd w:id="243"/>
      <w:bookmarkEnd w:id="244"/>
      <w:bookmarkEnd w:id="245"/>
      <w:bookmarkEnd w:id="246"/>
      <w:bookmarkEnd w:id="247"/>
    </w:p>
    <w:p w14:paraId="1828F579">
      <w:pPr>
        <w:pStyle w:val="80"/>
        <w:ind w:firstLine="480"/>
      </w:pPr>
      <w:bookmarkStart w:id="248" w:name="_Hlk180226846"/>
      <w:bookmarkStart w:id="249" w:name="_Toc2074"/>
      <w:bookmarkStart w:id="250" w:name="_Toc24443"/>
      <w:r>
        <w:t>按照目前执行辽宁省《污水综合排放标准》（DB 21/1627-2008）中排放限值和本标准拟规定限值进行比较，漂烫盐渍废水和海水冷却水中有机物COD的控制要求均从原来的50mg/L降低到了100mg/L，冷却海水的氮、磷指标则不再控制。</w:t>
      </w:r>
    </w:p>
    <w:p w14:paraId="4786409C">
      <w:pPr>
        <w:pStyle w:val="80"/>
        <w:ind w:firstLine="480"/>
      </w:pPr>
      <w:r>
        <w:t>虽然本标准对海水冷却水的控制放宽，但根据多年的生态环境执法和现场调研的情况，实际上因冷却水量相对较大、高含盐量难处理，辽宁省《污水综合排放标准》控制标准对于冷却水排放又偏严格，海菜加工行业一直存在偷排漏排冷却水的情况，部分小的加工企业还存在将漂烫和盐渍废水混入冷却水排放的现象，给该行业环境管理也带来了诸多困难，也在一定程度上增加了入海污染负荷。</w:t>
      </w:r>
    </w:p>
    <w:p w14:paraId="76FB6C34">
      <w:pPr>
        <w:pStyle w:val="80"/>
        <w:ind w:firstLine="480"/>
      </w:pPr>
      <w:r>
        <w:t>本标准的实施，可以进一步规范海菜加工企业漂烫盐渍废水和海水冷却水的分质收集和处理，在严格执行本标准提出的控制限值的基础上，入海污染物将得到进一步的削减。以2023年辽宁省海菜加工量作为基数计算，每年可以减少入海有机物（COD）0.2吨，在一定程度上将改善海菜加工企业附近的海域水质质量，推动海菜加工企业的绿色可持续发展。</w:t>
      </w:r>
    </w:p>
    <w:p w14:paraId="552C202D">
      <w:pPr>
        <w:pStyle w:val="80"/>
        <w:ind w:firstLine="480"/>
      </w:pPr>
      <w:r>
        <w:t>此外，裙带菜属于早春海藻，辽宁省的采收期集中在3~5月，海带生长周期则较长，辽宁省的采收期一般在5-6月，因此海菜加工排放废水季节性特征明显，主要集中在3-6月份。在现行标准的制约下，部分企业没有配套建设治理设施，导致海菜加工废水直接排入到近岸海域，会导致局地短时间内的海水水质和景观恶化。本标准实施后，在加强海菜加工企业环境管理的同时，可有效改善这种局地短时的海水水质和景观恶化现象，具有较好的环境效益。</w:t>
      </w:r>
    </w:p>
    <w:bookmarkEnd w:id="248"/>
    <w:bookmarkEnd w:id="249"/>
    <w:bookmarkEnd w:id="250"/>
    <w:p w14:paraId="3981B678">
      <w:pPr>
        <w:pStyle w:val="4"/>
        <w:numPr>
          <w:ilvl w:val="2"/>
          <w:numId w:val="2"/>
        </w:numPr>
        <w:ind w:left="0" w:firstLine="0"/>
        <w:rPr>
          <w:rFonts w:ascii="Times New Roman" w:cs="Times New Roman"/>
        </w:rPr>
      </w:pPr>
      <w:bookmarkStart w:id="251" w:name="_Toc196224434"/>
      <w:bookmarkStart w:id="252" w:name="_Toc149209673"/>
      <w:bookmarkStart w:id="253" w:name="_Toc196224185"/>
      <w:bookmarkStart w:id="254" w:name="_Toc198292157"/>
      <w:bookmarkStart w:id="255" w:name="_Toc198291935"/>
      <w:r>
        <w:rPr>
          <w:rFonts w:ascii="Times New Roman" w:cs="Times New Roman"/>
        </w:rPr>
        <w:t>技术可行性分析</w:t>
      </w:r>
      <w:bookmarkEnd w:id="251"/>
      <w:bookmarkEnd w:id="252"/>
      <w:bookmarkEnd w:id="253"/>
      <w:bookmarkEnd w:id="254"/>
      <w:bookmarkEnd w:id="255"/>
    </w:p>
    <w:p w14:paraId="0D7CF957">
      <w:pPr>
        <w:pStyle w:val="80"/>
        <w:ind w:firstLine="480"/>
      </w:pPr>
      <w:bookmarkStart w:id="256" w:name="_Toc149209676"/>
      <w:r>
        <w:t>辽宁省海菜行业主要是对海带、裙带菜进行养殖并加工，加工过程中共分三个阶段，即漂烫阶段、冷却阶段、盐渍阶段，与此同时海菜加工过程中会产生漂烫废水、冷却废水、盐渍废水。其中漂烫废水和盐渍废水含盐量高、有机物以及氮磷污染物的浓度高，必须经过有效的处理后才能做到达标排放；而冷却水的污染特征是水量大、有机物和氮磷污染物的浓度相对较低。</w:t>
      </w:r>
    </w:p>
    <w:p w14:paraId="592C4D3F">
      <w:pPr>
        <w:pStyle w:val="80"/>
        <w:ind w:firstLine="480"/>
      </w:pPr>
      <w:r>
        <w:t>目前，海水冷却水处理工艺多采用格栅过滤+混凝沉淀的方式简单处理后，直接由管网排海。从2024年现场调研和监测数据可以看出，采用上述措施的企业，均能有效拦截冷却水中海菜残体和碎屑，从而降低冷却水中有机物和氮磷的增加值，能够满足本标准的限值直排入海。</w:t>
      </w:r>
    </w:p>
    <w:p w14:paraId="14428CC1">
      <w:pPr>
        <w:pStyle w:val="80"/>
        <w:ind w:firstLine="480"/>
      </w:pPr>
      <w:r>
        <w:t>而对于漂烫和盐渍废水而言，因其有机污染物浓度高、盐度高、温度高、季节性（3月～6月）强等特点，因此常采用组合工艺进行有效处理。</w:t>
      </w:r>
    </w:p>
    <w:p w14:paraId="2AD9296D">
      <w:pPr>
        <w:pStyle w:val="80"/>
        <w:ind w:firstLine="480"/>
      </w:pPr>
      <w:r>
        <w:t>（1）一种较为成熟</w:t>
      </w:r>
      <w:bookmarkStart w:id="257" w:name="OLE_LINK69"/>
      <w:bookmarkStart w:id="258" w:name="OLE_LINK70"/>
      <w:r>
        <w:t>的</w:t>
      </w:r>
      <w:bookmarkStart w:id="259" w:name="OLE_LINK72"/>
      <w:bookmarkStart w:id="260" w:name="OLE_LINK71"/>
      <w:r>
        <w:t>组合</w:t>
      </w:r>
      <w:bookmarkEnd w:id="257"/>
      <w:bookmarkEnd w:id="258"/>
      <w:r>
        <w:t>工艺</w:t>
      </w:r>
      <w:bookmarkEnd w:id="259"/>
      <w:bookmarkEnd w:id="260"/>
    </w:p>
    <w:p w14:paraId="240E7810">
      <w:pPr>
        <w:pStyle w:val="80"/>
        <w:ind w:firstLine="480"/>
      </w:pPr>
      <w:r>
        <w:t>该组合工艺参见</w:t>
      </w:r>
      <w:r>
        <w:fldChar w:fldCharType="begin"/>
      </w:r>
      <w:r>
        <w:instrText xml:space="preserve"> REF _Ref196213534 \h  \* MERGEFORMAT </w:instrText>
      </w:r>
      <w:r>
        <w:fldChar w:fldCharType="separate"/>
      </w:r>
      <w:r>
        <w:t>图 3</w:t>
      </w:r>
      <w:r>
        <w:noBreakHyphen/>
      </w:r>
      <w:r>
        <w:t>5</w:t>
      </w:r>
      <w:r>
        <w:fldChar w:fldCharType="end"/>
      </w:r>
      <w:r>
        <w:t>。</w:t>
      </w:r>
    </w:p>
    <w:p w14:paraId="5C0E9B0F">
      <w:pPr>
        <w:pStyle w:val="81"/>
        <w:rPr>
          <w:rFonts w:cs="Times New Roman"/>
        </w:rPr>
      </w:pPr>
      <w:r>
        <w:rPr>
          <w:rFonts w:cs="Times New Roman"/>
        </w:rPr>
        <w:drawing>
          <wp:inline distT="0" distB="0" distL="0" distR="0">
            <wp:extent cx="4410075" cy="5151120"/>
            <wp:effectExtent l="19050" t="0" r="9188"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17"/>
                    <a:srcRect l="33885" t="20401" r="35982" b="13227"/>
                    <a:stretch>
                      <a:fillRect/>
                    </a:stretch>
                  </pic:blipFill>
                  <pic:spPr>
                    <a:xfrm>
                      <a:off x="0" y="0"/>
                      <a:ext cx="4411416" cy="5152292"/>
                    </a:xfrm>
                    <a:prstGeom prst="rect">
                      <a:avLst/>
                    </a:prstGeom>
                    <a:noFill/>
                    <a:ln w="9525">
                      <a:noFill/>
                      <a:miter lim="800000"/>
                      <a:headEnd/>
                      <a:tailEnd/>
                    </a:ln>
                  </pic:spPr>
                </pic:pic>
              </a:graphicData>
            </a:graphic>
          </wp:inline>
        </w:drawing>
      </w:r>
    </w:p>
    <w:p w14:paraId="1DC00E5E">
      <w:pPr>
        <w:pStyle w:val="61"/>
        <w:rPr>
          <w:rFonts w:cs="Times New Roman"/>
        </w:rPr>
      </w:pPr>
      <w:bookmarkStart w:id="261" w:name="_Ref196213534"/>
      <w:r>
        <w:rPr>
          <w:rFonts w:cs="Times New Roman"/>
        </w:rPr>
        <w:t xml:space="preserve">图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图 \* ARABIC \s 1 </w:instrText>
      </w:r>
      <w:r>
        <w:rPr>
          <w:rFonts w:cs="Times New Roman"/>
        </w:rPr>
        <w:fldChar w:fldCharType="separate"/>
      </w:r>
      <w:r>
        <w:rPr>
          <w:rFonts w:cs="Times New Roman"/>
        </w:rPr>
        <w:t>5</w:t>
      </w:r>
      <w:r>
        <w:rPr>
          <w:rFonts w:cs="Times New Roman"/>
        </w:rPr>
        <w:fldChar w:fldCharType="end"/>
      </w:r>
      <w:bookmarkEnd w:id="261"/>
      <w:r>
        <w:rPr>
          <w:rFonts w:cs="Times New Roman"/>
        </w:rPr>
        <w:t xml:space="preserve">    海菜加工行业漂烫盐渍废水治理工艺流程组合图</w:t>
      </w:r>
    </w:p>
    <w:p w14:paraId="74B49ED1">
      <w:pPr>
        <w:pStyle w:val="80"/>
        <w:ind w:firstLine="480"/>
      </w:pPr>
      <w:r>
        <w:t>上述工艺中主要处理技术措施有蒸发脱盐以及脱盐后水的生物处理。漂烫废水通过管路汇集进入格栅渠，在格栅渠内安装两道水力格栅，将废水中漂浮的菜叶等去除后，废水进入初沉池内，在初沉池内去除废水中的泥沙等杂质后自流进入集水池，在液位控制下通过提升泵将废水提升至过滤系统进行过滤后，进入到调节池进行水质水量均化，在液位控制下通过提升泵将调节池内废水提升至MVR蒸发装置进行浓缩处理，浓缩液进入浓缩液贮池后提升至低温真空蒸发器进行结晶，结晶后的废渣委外处置，蒸发冷凝水流入降温池，经热交换器冷却降温后进入后续生化处理进行脱氮、除磷以及有机物的去除。</w:t>
      </w:r>
    </w:p>
    <w:p w14:paraId="2E3CC378">
      <w:pPr>
        <w:pStyle w:val="80"/>
        <w:ind w:firstLine="480"/>
      </w:pPr>
      <w:r>
        <w:t>经生化处理后的废水，根据环评批复文件要求及排放标准决定是否需要深度处理，处理后的污水加入消毒剂后达标外排。水处理过程中产生的初沉污泥、过滤污泥、剩余污泥进入原有污泥贮池内进行贮存，利用污泥脱水装置对污泥进行脱水，脱水后的污泥委外处置。处理过程中产生的臭气通过臭气收集装置收集，经除臭系统处理后排放。</w:t>
      </w:r>
    </w:p>
    <w:p w14:paraId="4871C064">
      <w:pPr>
        <w:pStyle w:val="80"/>
        <w:ind w:firstLine="480"/>
        <w:rPr>
          <w:szCs w:val="24"/>
        </w:rPr>
      </w:pPr>
      <w:r>
        <w:rPr>
          <w:szCs w:val="24"/>
        </w:rPr>
        <w:t>（2）三效蒸发与MBR组合</w:t>
      </w:r>
    </w:p>
    <w:p w14:paraId="3D6A07F2">
      <w:pPr>
        <w:pStyle w:val="80"/>
        <w:ind w:firstLine="480"/>
        <w:rPr>
          <w:szCs w:val="24"/>
        </w:rPr>
      </w:pPr>
      <w:r>
        <w:rPr>
          <w:szCs w:val="24"/>
        </w:rPr>
        <w:t>蒸煮槽漂烫水通过管网收集后进入降温调节池，此时浓度不同的废水在调节池中经水力搅拌均匀混合，均匀污水中污染物浓度。</w:t>
      </w:r>
    </w:p>
    <w:p w14:paraId="25702598">
      <w:pPr>
        <w:pStyle w:val="80"/>
        <w:ind w:firstLine="480"/>
        <w:rPr>
          <w:szCs w:val="24"/>
        </w:rPr>
      </w:pPr>
      <w:r>
        <w:rPr>
          <w:szCs w:val="24"/>
        </w:rPr>
        <w:t>经过调节池的废水由潜污泵计量提升进入混凝沉淀反应器中，将一些较大的颗粒物及胶体等污染通过沉淀从水中去除，之后自流进入混凝气浮反应器中。气浮的原理为：</w:t>
      </w:r>
      <w:r>
        <w:t>向废水中注入大量微气泡，使其与废水中固体物质黏附形成密度小于水的气浮体，在浮力作用下上浮至水面而达到固液分离。当加入化学药剂发生混凝反应后，废水中的油滴、胶体等物质脱落形成絮体，最终由气浮作用从水中被去除。同时由于絮粒的扫卷作用和吸附作用，能够大量去除水中的有机物质、COD、BOD等化学指标。</w:t>
      </w:r>
    </w:p>
    <w:p w14:paraId="790E18F5">
      <w:pPr>
        <w:pStyle w:val="80"/>
        <w:ind w:firstLine="480"/>
        <w:rPr>
          <w:szCs w:val="24"/>
        </w:rPr>
      </w:pPr>
      <w:r>
        <w:rPr>
          <w:szCs w:val="24"/>
        </w:rPr>
        <w:t>经过气浮处理的污水经过砂滤进一步去除细小的悬浮物后，通过物料泵泵入三效蒸发结晶设备中进行脱盐处理。本设计中，三效蒸发器对物料进行蒸发浓缩一效自然循环，二、三效采用强制循环蒸发，物料流向为顺流。本案中采用的三效顺流的蒸发器形式，是对传统的单效蒸发器进行了改良，降低了蒸汽的消耗，比较四效、五效蒸发器又节约了投资成本；采用三效蒸发器可以在减少投资成本的情况下，尽可能地减少能源的消耗。三效蒸发浓缩技术已在国内外成熟的使用，实践证明这是一种成熟的节能蒸发器技术。</w:t>
      </w:r>
    </w:p>
    <w:p w14:paraId="4F391318">
      <w:pPr>
        <w:pStyle w:val="80"/>
        <w:ind w:firstLine="480"/>
        <w:rPr>
          <w:szCs w:val="24"/>
        </w:rPr>
      </w:pPr>
      <w:r>
        <w:rPr>
          <w:szCs w:val="24"/>
        </w:rPr>
        <w:t>在工艺流程和配置上，我们以本案中物料特性为基础，在满足处理要求的前提下，综合考虑运行成本、设备投资、可靠性和稳定性，我公司认为采用三效顺流蒸发机组是最具性价比的方案。</w:t>
      </w:r>
    </w:p>
    <w:p w14:paraId="12762F5A">
      <w:pPr>
        <w:pStyle w:val="80"/>
        <w:ind w:firstLine="480"/>
      </w:pPr>
      <w:r>
        <w:rPr>
          <w:szCs w:val="24"/>
        </w:rPr>
        <w:t>通过三效蒸发结晶设备脱盐后的废水，进入AO生化池，</w:t>
      </w:r>
      <w:r>
        <w:t>在</w:t>
      </w:r>
      <w:r>
        <w:rPr>
          <w:szCs w:val="24"/>
        </w:rPr>
        <w:t>AO生化</w:t>
      </w:r>
      <w:r>
        <w:t>池中废水中有机物被大量的厌氧菌吸附转化，大大降低了废水的有机物浓度，为后续的好氧生化处理创造了良好的环境。</w:t>
      </w:r>
      <w:r>
        <w:rPr>
          <w:szCs w:val="24"/>
        </w:rPr>
        <w:t>AO生化</w:t>
      </w:r>
      <w:r>
        <w:t>工艺属于升流式厌氧污泥床反应器技术范畴，主要目的是将废水中的颗粒物质与胶体物质迅速截留和吸附。截留下来的物质在大量水解-产酸菌作用下，将不溶有机物水解为溶解性物质，将难降解的大分子物质可被转化为易于生物降解的小分子物质，从而使废水的可生化性和降解速度大幅度的提高，保证后续生化池能够正常运行。在水质发生突然变化的情况下，</w:t>
      </w:r>
      <w:r>
        <w:rPr>
          <w:szCs w:val="24"/>
        </w:rPr>
        <w:t>AO生化</w:t>
      </w:r>
      <w:r>
        <w:t>池还能起到抗冲击负荷，稳定水质的作用。</w:t>
      </w:r>
      <w:r>
        <w:rPr>
          <w:szCs w:val="24"/>
        </w:rPr>
        <w:t>AO生化</w:t>
      </w:r>
      <w:r>
        <w:t>出水自流进入后续的MBR池中进行好氧处理。</w:t>
      </w:r>
    </w:p>
    <w:p w14:paraId="22A6849A">
      <w:pPr>
        <w:ind w:firstLine="480"/>
        <w:rPr>
          <w:rFonts w:cs="Times New Roman"/>
        </w:rPr>
      </w:pPr>
      <w:r>
        <w:rPr>
          <w:rFonts w:cs="Times New Roman"/>
        </w:rPr>
        <mc:AlternateContent>
          <mc:Choice Requires="wpg">
            <w:drawing>
              <wp:anchor distT="0" distB="0" distL="114300" distR="114300" simplePos="0" relativeHeight="251659264" behindDoc="0" locked="0" layoutInCell="1" allowOverlap="1">
                <wp:simplePos x="0" y="0"/>
                <wp:positionH relativeFrom="margin">
                  <wp:align>left</wp:align>
                </wp:positionH>
                <wp:positionV relativeFrom="paragraph">
                  <wp:posOffset>4445</wp:posOffset>
                </wp:positionV>
                <wp:extent cx="6023610" cy="2971165"/>
                <wp:effectExtent l="0" t="0" r="15875" b="20320"/>
                <wp:wrapNone/>
                <wp:docPr id="83" name="Group 106"/>
                <wp:cNvGraphicFramePr/>
                <a:graphic xmlns:a="http://schemas.openxmlformats.org/drawingml/2006/main">
                  <a:graphicData uri="http://schemas.microsoft.com/office/word/2010/wordprocessingGroup">
                    <wpg:wgp>
                      <wpg:cNvGrpSpPr/>
                      <wpg:grpSpPr>
                        <a:xfrm>
                          <a:off x="0" y="0"/>
                          <a:ext cx="6023557" cy="2970856"/>
                          <a:chOff x="1654" y="10099"/>
                          <a:chExt cx="9712" cy="4788"/>
                        </a:xfrm>
                      </wpg:grpSpPr>
                      <wps:wsp>
                        <wps:cNvPr id="84" name="文本框 7"/>
                        <wps:cNvSpPr txBox="1">
                          <a:spLocks noChangeArrowheads="1"/>
                        </wps:cNvSpPr>
                        <wps:spPr bwMode="auto">
                          <a:xfrm>
                            <a:off x="6981" y="11709"/>
                            <a:ext cx="1200" cy="536"/>
                          </a:xfrm>
                          <a:prstGeom prst="rect">
                            <a:avLst/>
                          </a:prstGeom>
                          <a:solidFill>
                            <a:srgbClr val="FFFFFF"/>
                          </a:solidFill>
                          <a:ln>
                            <a:noFill/>
                          </a:ln>
                        </wps:spPr>
                        <wps:txbx>
                          <w:txbxContent>
                            <w:p w14:paraId="3551D599">
                              <w:pPr>
                                <w:pStyle w:val="81"/>
                              </w:pPr>
                              <w:r>
                                <w:rPr>
                                  <w:rFonts w:hint="eastAsia"/>
                                </w:rPr>
                                <w:t>污泥</w:t>
                              </w:r>
                            </w:p>
                            <w:p w14:paraId="5685DFB5">
                              <w:pPr>
                                <w:pStyle w:val="81"/>
                              </w:pPr>
                            </w:p>
                          </w:txbxContent>
                        </wps:txbx>
                        <wps:bodyPr rot="0" vert="horz" wrap="square" lIns="91440" tIns="45720" rIns="91440" bIns="45720" anchor="t" anchorCtr="0" upright="1">
                          <a:noAutofit/>
                        </wps:bodyPr>
                      </wps:wsp>
                      <wps:wsp>
                        <wps:cNvPr id="85" name="文本框 42"/>
                        <wps:cNvSpPr txBox="1">
                          <a:spLocks noChangeArrowheads="1"/>
                        </wps:cNvSpPr>
                        <wps:spPr bwMode="auto">
                          <a:xfrm>
                            <a:off x="4946" y="10981"/>
                            <a:ext cx="855" cy="479"/>
                          </a:xfrm>
                          <a:prstGeom prst="rect">
                            <a:avLst/>
                          </a:prstGeom>
                          <a:solidFill>
                            <a:srgbClr val="FFFFFF"/>
                          </a:solidFill>
                          <a:ln>
                            <a:noFill/>
                          </a:ln>
                        </wps:spPr>
                        <wps:txbx>
                          <w:txbxContent>
                            <w:p w14:paraId="3F0958F6">
                              <w:pPr>
                                <w:pStyle w:val="81"/>
                              </w:pPr>
                              <w:r>
                                <w:rPr>
                                  <w:rFonts w:hint="eastAsia"/>
                                </w:rPr>
                                <w:t>泵</w:t>
                              </w:r>
                            </w:p>
                            <w:p w14:paraId="0C7C5E3A">
                              <w:pPr>
                                <w:pStyle w:val="81"/>
                              </w:pPr>
                            </w:p>
                          </w:txbxContent>
                        </wps:txbx>
                        <wps:bodyPr rot="0" vert="horz" wrap="square" lIns="91440" tIns="45720" rIns="91440" bIns="45720" anchor="t" anchorCtr="0" upright="1">
                          <a:noAutofit/>
                        </wps:bodyPr>
                      </wps:wsp>
                      <wps:wsp>
                        <wps:cNvPr id="86" name="文本框 40"/>
                        <wps:cNvSpPr txBox="1">
                          <a:spLocks noChangeArrowheads="1"/>
                        </wps:cNvSpPr>
                        <wps:spPr bwMode="auto">
                          <a:xfrm>
                            <a:off x="9431" y="10975"/>
                            <a:ext cx="855" cy="554"/>
                          </a:xfrm>
                          <a:prstGeom prst="rect">
                            <a:avLst/>
                          </a:prstGeom>
                          <a:solidFill>
                            <a:srgbClr val="FFFFFF"/>
                          </a:solidFill>
                          <a:ln>
                            <a:noFill/>
                          </a:ln>
                        </wps:spPr>
                        <wps:txbx>
                          <w:txbxContent>
                            <w:p w14:paraId="6D5DC5B4">
                              <w:pPr>
                                <w:pStyle w:val="81"/>
                              </w:pPr>
                              <w:r>
                                <w:rPr>
                                  <w:rFonts w:hint="eastAsia"/>
                                </w:rPr>
                                <w:t>泵</w:t>
                              </w:r>
                            </w:p>
                            <w:p w14:paraId="6365BF25">
                              <w:pPr>
                                <w:pStyle w:val="81"/>
                              </w:pPr>
                            </w:p>
                          </w:txbxContent>
                        </wps:txbx>
                        <wps:bodyPr rot="0" vert="horz" wrap="square" lIns="91440" tIns="45720" rIns="91440" bIns="45720" anchor="t" anchorCtr="0" upright="1">
                          <a:noAutofit/>
                        </wps:bodyPr>
                      </wps:wsp>
                      <wps:wsp>
                        <wps:cNvPr id="87" name="文本框 12"/>
                        <wps:cNvSpPr txBox="1">
                          <a:spLocks noChangeArrowheads="1"/>
                        </wps:cNvSpPr>
                        <wps:spPr bwMode="auto">
                          <a:xfrm>
                            <a:off x="9851" y="11656"/>
                            <a:ext cx="855" cy="536"/>
                          </a:xfrm>
                          <a:prstGeom prst="rect">
                            <a:avLst/>
                          </a:prstGeom>
                          <a:solidFill>
                            <a:srgbClr val="FFFFFF"/>
                          </a:solidFill>
                          <a:ln>
                            <a:noFill/>
                          </a:ln>
                        </wps:spPr>
                        <wps:txbx>
                          <w:txbxContent>
                            <w:p w14:paraId="66A0B89D">
                              <w:pPr>
                                <w:pStyle w:val="81"/>
                              </w:pPr>
                              <w:r>
                                <w:rPr>
                                  <w:rFonts w:hint="eastAsia"/>
                                </w:rPr>
                                <w:t>泵</w:t>
                              </w:r>
                            </w:p>
                            <w:p w14:paraId="50B0B5DD">
                              <w:pPr>
                                <w:pStyle w:val="81"/>
                              </w:pPr>
                            </w:p>
                          </w:txbxContent>
                        </wps:txbx>
                        <wps:bodyPr rot="0" vert="horz" wrap="square" lIns="91440" tIns="45720" rIns="91440" bIns="45720" anchor="t" anchorCtr="0" upright="1">
                          <a:noAutofit/>
                        </wps:bodyPr>
                      </wps:wsp>
                      <wps:wsp>
                        <wps:cNvPr id="88" name="Text Box 6"/>
                        <wps:cNvSpPr txBox="1">
                          <a:spLocks noChangeArrowheads="1"/>
                        </wps:cNvSpPr>
                        <wps:spPr bwMode="auto">
                          <a:xfrm>
                            <a:off x="6577" y="13033"/>
                            <a:ext cx="855" cy="572"/>
                          </a:xfrm>
                          <a:prstGeom prst="rect">
                            <a:avLst/>
                          </a:prstGeom>
                          <a:solidFill>
                            <a:srgbClr val="FFFFFF"/>
                          </a:solidFill>
                          <a:ln>
                            <a:noFill/>
                          </a:ln>
                        </wps:spPr>
                        <wps:txbx>
                          <w:txbxContent>
                            <w:p w14:paraId="4DA674A0">
                              <w:pPr>
                                <w:pStyle w:val="81"/>
                              </w:pPr>
                              <w:r>
                                <w:rPr>
                                  <w:rFonts w:hint="eastAsia"/>
                                </w:rPr>
                                <w:t>泵</w:t>
                              </w:r>
                            </w:p>
                            <w:p w14:paraId="4658B070">
                              <w:pPr>
                                <w:pStyle w:val="81"/>
                              </w:pPr>
                            </w:p>
                          </w:txbxContent>
                        </wps:txbx>
                        <wps:bodyPr rot="0" vert="horz" wrap="square" lIns="91440" tIns="45720" rIns="91440" bIns="45720" anchor="t" anchorCtr="0" upright="1">
                          <a:noAutofit/>
                        </wps:bodyPr>
                      </wps:wsp>
                      <wps:wsp>
                        <wps:cNvPr id="89" name="文本框 41"/>
                        <wps:cNvSpPr txBox="1">
                          <a:spLocks noChangeArrowheads="1"/>
                        </wps:cNvSpPr>
                        <wps:spPr bwMode="auto">
                          <a:xfrm>
                            <a:off x="7961" y="11125"/>
                            <a:ext cx="1680" cy="554"/>
                          </a:xfrm>
                          <a:prstGeom prst="rect">
                            <a:avLst/>
                          </a:prstGeom>
                          <a:solidFill>
                            <a:srgbClr val="FFFFFF"/>
                          </a:solidFill>
                          <a:ln w="0">
                            <a:solidFill>
                              <a:srgbClr val="000000"/>
                            </a:solidFill>
                            <a:miter lim="800000"/>
                          </a:ln>
                        </wps:spPr>
                        <wps:txbx>
                          <w:txbxContent>
                            <w:p w14:paraId="2B68BF2B">
                              <w:pPr>
                                <w:pStyle w:val="81"/>
                              </w:pPr>
                              <w:r>
                                <w:rPr>
                                  <w:rFonts w:hint="eastAsia"/>
                                </w:rPr>
                                <w:t>混凝气浮机</w:t>
                              </w:r>
                            </w:p>
                          </w:txbxContent>
                        </wps:txbx>
                        <wps:bodyPr rot="0" vert="horz" wrap="square" lIns="91440" tIns="45720" rIns="91440" bIns="45720" anchor="t" anchorCtr="0" upright="1">
                          <a:noAutofit/>
                        </wps:bodyPr>
                      </wps:wsp>
                      <wps:wsp>
                        <wps:cNvPr id="90" name="文本框 32"/>
                        <wps:cNvSpPr txBox="1">
                          <a:spLocks noChangeArrowheads="1"/>
                        </wps:cNvSpPr>
                        <wps:spPr bwMode="auto">
                          <a:xfrm>
                            <a:off x="9671" y="13195"/>
                            <a:ext cx="1680" cy="554"/>
                          </a:xfrm>
                          <a:prstGeom prst="rect">
                            <a:avLst/>
                          </a:prstGeom>
                          <a:solidFill>
                            <a:srgbClr val="FFFFFF"/>
                          </a:solidFill>
                          <a:ln w="0">
                            <a:solidFill>
                              <a:srgbClr val="000000"/>
                            </a:solidFill>
                            <a:miter lim="800000"/>
                          </a:ln>
                        </wps:spPr>
                        <wps:txbx>
                          <w:txbxContent>
                            <w:p w14:paraId="6F634C0F">
                              <w:pPr>
                                <w:pStyle w:val="81"/>
                              </w:pPr>
                              <w:r>
                                <w:rPr>
                                  <w:rFonts w:hint="eastAsia"/>
                                </w:rPr>
                                <w:t>AO生化池</w:t>
                              </w:r>
                            </w:p>
                            <w:p w14:paraId="6BCEDCDE">
                              <w:pPr>
                                <w:pStyle w:val="81"/>
                              </w:pPr>
                            </w:p>
                          </w:txbxContent>
                        </wps:txbx>
                        <wps:bodyPr rot="0" vert="horz" wrap="square" lIns="91440" tIns="45720" rIns="91440" bIns="45720" anchor="t" anchorCtr="0" upright="1">
                          <a:noAutofit/>
                        </wps:bodyPr>
                      </wps:wsp>
                      <wps:wsp>
                        <wps:cNvPr id="91" name="文本框 31"/>
                        <wps:cNvSpPr txBox="1">
                          <a:spLocks noChangeArrowheads="1"/>
                        </wps:cNvSpPr>
                        <wps:spPr bwMode="auto">
                          <a:xfrm>
                            <a:off x="7271" y="13210"/>
                            <a:ext cx="1859" cy="600"/>
                          </a:xfrm>
                          <a:prstGeom prst="rect">
                            <a:avLst/>
                          </a:prstGeom>
                          <a:solidFill>
                            <a:srgbClr val="FFFFFF"/>
                          </a:solidFill>
                          <a:ln w="0">
                            <a:solidFill>
                              <a:srgbClr val="000000"/>
                            </a:solidFill>
                            <a:miter lim="800000"/>
                          </a:ln>
                        </wps:spPr>
                        <wps:txbx>
                          <w:txbxContent>
                            <w:p w14:paraId="0ECC8194">
                              <w:pPr>
                                <w:pStyle w:val="81"/>
                              </w:pPr>
                              <w:r>
                                <w:rPr>
                                  <w:rFonts w:hint="eastAsia"/>
                                </w:rPr>
                                <w:t>MBR池</w:t>
                              </w:r>
                            </w:p>
                            <w:p w14:paraId="4680EF4D">
                              <w:pPr>
                                <w:pStyle w:val="81"/>
                              </w:pPr>
                            </w:p>
                          </w:txbxContent>
                        </wps:txbx>
                        <wps:bodyPr rot="0" vert="horz" wrap="square" lIns="91440" tIns="45720" rIns="91440" bIns="45720" anchor="t" anchorCtr="0" upright="1">
                          <a:noAutofit/>
                        </wps:bodyPr>
                      </wps:wsp>
                      <wps:wsp>
                        <wps:cNvPr id="92" name="直接箭头连接符 19"/>
                        <wps:cNvCnPr>
                          <a:cxnSpLocks noChangeShapeType="1"/>
                        </wps:cNvCnPr>
                        <wps:spPr bwMode="auto">
                          <a:xfrm>
                            <a:off x="8531" y="11673"/>
                            <a:ext cx="0" cy="424"/>
                          </a:xfrm>
                          <a:prstGeom prst="straightConnector1">
                            <a:avLst/>
                          </a:prstGeom>
                          <a:noFill/>
                          <a:ln w="0">
                            <a:solidFill>
                              <a:srgbClr val="000000"/>
                            </a:solidFill>
                            <a:prstDash val="lgDashDotDot"/>
                            <a:round/>
                            <a:tailEnd type="triangle" w="med" len="med"/>
                          </a:ln>
                        </wps:spPr>
                        <wps:bodyPr/>
                      </wps:wsp>
                      <wps:wsp>
                        <wps:cNvPr id="93" name="文本框 44"/>
                        <wps:cNvSpPr txBox="1">
                          <a:spLocks noChangeArrowheads="1"/>
                        </wps:cNvSpPr>
                        <wps:spPr bwMode="auto">
                          <a:xfrm>
                            <a:off x="7435" y="14273"/>
                            <a:ext cx="1680" cy="614"/>
                          </a:xfrm>
                          <a:prstGeom prst="rect">
                            <a:avLst/>
                          </a:prstGeom>
                          <a:solidFill>
                            <a:srgbClr val="FFFFFF"/>
                          </a:solidFill>
                          <a:ln w="0">
                            <a:solidFill>
                              <a:srgbClr val="000000"/>
                            </a:solidFill>
                            <a:miter lim="800000"/>
                          </a:ln>
                        </wps:spPr>
                        <wps:txbx>
                          <w:txbxContent>
                            <w:p w14:paraId="1758D597">
                              <w:pPr>
                                <w:pStyle w:val="81"/>
                              </w:pPr>
                              <w:r>
                                <w:rPr>
                                  <w:rFonts w:hint="eastAsia"/>
                                </w:rPr>
                                <w:t>鼓风曝气</w:t>
                              </w:r>
                            </w:p>
                            <w:p w14:paraId="4D5737A0">
                              <w:pPr>
                                <w:pStyle w:val="81"/>
                              </w:pPr>
                            </w:p>
                          </w:txbxContent>
                        </wps:txbx>
                        <wps:bodyPr rot="0" vert="horz" wrap="square" lIns="91440" tIns="45720" rIns="91440" bIns="45720" anchor="t" anchorCtr="0" upright="1">
                          <a:noAutofit/>
                        </wps:bodyPr>
                      </wps:wsp>
                      <wps:wsp>
                        <wps:cNvPr id="94" name="文本框 16"/>
                        <wps:cNvSpPr txBox="1">
                          <a:spLocks noChangeArrowheads="1"/>
                        </wps:cNvSpPr>
                        <wps:spPr bwMode="auto">
                          <a:xfrm>
                            <a:off x="7962" y="12164"/>
                            <a:ext cx="1214" cy="574"/>
                          </a:xfrm>
                          <a:prstGeom prst="rect">
                            <a:avLst/>
                          </a:prstGeom>
                          <a:solidFill>
                            <a:srgbClr val="FFFFFF"/>
                          </a:solidFill>
                          <a:ln w="0">
                            <a:solidFill>
                              <a:srgbClr val="000000"/>
                            </a:solidFill>
                            <a:miter lim="800000"/>
                          </a:ln>
                        </wps:spPr>
                        <wps:txbx>
                          <w:txbxContent>
                            <w:p w14:paraId="56219ABD">
                              <w:pPr>
                                <w:pStyle w:val="81"/>
                              </w:pPr>
                              <w:r>
                                <w:rPr>
                                  <w:rFonts w:hint="eastAsia"/>
                                </w:rPr>
                                <w:t>污泥池</w:t>
                              </w:r>
                            </w:p>
                          </w:txbxContent>
                        </wps:txbx>
                        <wps:bodyPr rot="0" vert="horz" wrap="square" lIns="91440" tIns="45720" rIns="91440" bIns="45720" anchor="t" anchorCtr="0" upright="1">
                          <a:noAutofit/>
                        </wps:bodyPr>
                      </wps:wsp>
                      <wps:wsp>
                        <wps:cNvPr id="95" name="文本框 10"/>
                        <wps:cNvSpPr txBox="1">
                          <a:spLocks noChangeArrowheads="1"/>
                        </wps:cNvSpPr>
                        <wps:spPr bwMode="auto">
                          <a:xfrm>
                            <a:off x="6281" y="12138"/>
                            <a:ext cx="1228" cy="586"/>
                          </a:xfrm>
                          <a:prstGeom prst="rect">
                            <a:avLst/>
                          </a:prstGeom>
                          <a:solidFill>
                            <a:srgbClr val="FFFFFF"/>
                          </a:solidFill>
                          <a:ln w="0">
                            <a:solidFill>
                              <a:srgbClr val="000000"/>
                            </a:solidFill>
                            <a:miter lim="800000"/>
                          </a:ln>
                        </wps:spPr>
                        <wps:txbx>
                          <w:txbxContent>
                            <w:p w14:paraId="624C33B5">
                              <w:pPr>
                                <w:pStyle w:val="81"/>
                              </w:pPr>
                              <w:r>
                                <w:rPr>
                                  <w:rFonts w:hint="eastAsia"/>
                                </w:rPr>
                                <w:t>压滤机</w:t>
                              </w:r>
                            </w:p>
                          </w:txbxContent>
                        </wps:txbx>
                        <wps:bodyPr rot="0" vert="horz" wrap="square" lIns="91440" tIns="45720" rIns="91440" bIns="45720" anchor="t" anchorCtr="0" upright="1">
                          <a:noAutofit/>
                        </wps:bodyPr>
                      </wps:wsp>
                      <wps:wsp>
                        <wps:cNvPr id="96" name="文本框 2"/>
                        <wps:cNvSpPr txBox="1">
                          <a:spLocks noChangeArrowheads="1"/>
                        </wps:cNvSpPr>
                        <wps:spPr bwMode="auto">
                          <a:xfrm>
                            <a:off x="5681" y="11109"/>
                            <a:ext cx="1800" cy="568"/>
                          </a:xfrm>
                          <a:prstGeom prst="rect">
                            <a:avLst/>
                          </a:prstGeom>
                          <a:solidFill>
                            <a:srgbClr val="FFFFFF"/>
                          </a:solidFill>
                          <a:ln w="0">
                            <a:solidFill>
                              <a:srgbClr val="000000"/>
                            </a:solidFill>
                            <a:miter lim="800000"/>
                          </a:ln>
                        </wps:spPr>
                        <wps:txbx>
                          <w:txbxContent>
                            <w:p w14:paraId="01C975C2">
                              <w:pPr>
                                <w:pStyle w:val="81"/>
                              </w:pPr>
                              <w:r>
                                <w:rPr>
                                  <w:rFonts w:hint="eastAsia"/>
                                </w:rPr>
                                <w:t>混凝沉淀反应器</w:t>
                              </w:r>
                            </w:p>
                            <w:p w14:paraId="3DC7E31D">
                              <w:pPr>
                                <w:pStyle w:val="81"/>
                              </w:pPr>
                            </w:p>
                          </w:txbxContent>
                        </wps:txbx>
                        <wps:bodyPr rot="0" vert="horz" wrap="square" lIns="91440" tIns="45720" rIns="91440" bIns="45720" anchor="t" anchorCtr="0" upright="1">
                          <a:noAutofit/>
                        </wps:bodyPr>
                      </wps:wsp>
                      <wps:wsp>
                        <wps:cNvPr id="97" name="直接箭头连接符 21"/>
                        <wps:cNvCnPr>
                          <a:cxnSpLocks noChangeShapeType="1"/>
                        </wps:cNvCnPr>
                        <wps:spPr bwMode="auto">
                          <a:xfrm>
                            <a:off x="8530" y="10654"/>
                            <a:ext cx="1" cy="420"/>
                          </a:xfrm>
                          <a:prstGeom prst="straightConnector1">
                            <a:avLst/>
                          </a:prstGeom>
                          <a:noFill/>
                          <a:ln w="0">
                            <a:solidFill>
                              <a:srgbClr val="000000"/>
                            </a:solidFill>
                            <a:round/>
                            <a:tailEnd type="triangle" w="med" len="med"/>
                          </a:ln>
                        </wps:spPr>
                        <wps:bodyPr/>
                      </wps:wsp>
                      <wps:wsp>
                        <wps:cNvPr id="98" name="文本框 4"/>
                        <wps:cNvSpPr txBox="1">
                          <a:spLocks noChangeArrowheads="1"/>
                        </wps:cNvSpPr>
                        <wps:spPr bwMode="auto">
                          <a:xfrm>
                            <a:off x="3536" y="11098"/>
                            <a:ext cx="1680" cy="509"/>
                          </a:xfrm>
                          <a:prstGeom prst="rect">
                            <a:avLst/>
                          </a:prstGeom>
                          <a:solidFill>
                            <a:srgbClr val="FFFFFF"/>
                          </a:solidFill>
                          <a:ln w="0">
                            <a:solidFill>
                              <a:srgbClr val="000000"/>
                            </a:solidFill>
                            <a:miter lim="800000"/>
                          </a:ln>
                        </wps:spPr>
                        <wps:txbx>
                          <w:txbxContent>
                            <w:p w14:paraId="3D5B0FCE">
                              <w:pPr>
                                <w:pStyle w:val="81"/>
                              </w:pPr>
                              <w:r>
                                <w:rPr>
                                  <w:rFonts w:hint="eastAsia"/>
                                </w:rPr>
                                <w:t>降温调节池</w:t>
                              </w:r>
                            </w:p>
                            <w:p w14:paraId="206535A8">
                              <w:pPr>
                                <w:pStyle w:val="81"/>
                              </w:pPr>
                            </w:p>
                          </w:txbxContent>
                        </wps:txbx>
                        <wps:bodyPr rot="0" vert="horz" wrap="square" lIns="91440" tIns="45720" rIns="91440" bIns="45720" anchor="t" anchorCtr="0" upright="1">
                          <a:noAutofit/>
                        </wps:bodyPr>
                      </wps:wsp>
                      <wps:wsp>
                        <wps:cNvPr id="99" name="直接箭头连接符 27"/>
                        <wps:cNvCnPr>
                          <a:cxnSpLocks noChangeShapeType="1"/>
                        </wps:cNvCnPr>
                        <wps:spPr bwMode="auto">
                          <a:xfrm>
                            <a:off x="10689" y="12793"/>
                            <a:ext cx="1" cy="420"/>
                          </a:xfrm>
                          <a:prstGeom prst="straightConnector1">
                            <a:avLst/>
                          </a:prstGeom>
                          <a:noFill/>
                          <a:ln w="0">
                            <a:solidFill>
                              <a:srgbClr val="000000"/>
                            </a:solidFill>
                            <a:round/>
                            <a:tailEnd type="triangle" w="med" len="med"/>
                          </a:ln>
                        </wps:spPr>
                        <wps:bodyPr/>
                      </wps:wsp>
                      <wps:wsp>
                        <wps:cNvPr id="100" name="文本框 36"/>
                        <wps:cNvSpPr txBox="1">
                          <a:spLocks noChangeArrowheads="1"/>
                        </wps:cNvSpPr>
                        <wps:spPr bwMode="auto">
                          <a:xfrm>
                            <a:off x="5486" y="13210"/>
                            <a:ext cx="1214" cy="554"/>
                          </a:xfrm>
                          <a:prstGeom prst="rect">
                            <a:avLst/>
                          </a:prstGeom>
                          <a:solidFill>
                            <a:srgbClr val="FFFFFF"/>
                          </a:solidFill>
                          <a:ln w="0">
                            <a:solidFill>
                              <a:srgbClr val="000000"/>
                            </a:solidFill>
                            <a:miter lim="800000"/>
                          </a:ln>
                        </wps:spPr>
                        <wps:txbx>
                          <w:txbxContent>
                            <w:p w14:paraId="17931CAA">
                              <w:pPr>
                                <w:pStyle w:val="81"/>
                              </w:pPr>
                              <w:r>
                                <w:rPr>
                                  <w:rFonts w:hint="eastAsia"/>
                                </w:rPr>
                                <w:t>检测池</w:t>
                              </w:r>
                            </w:p>
                          </w:txbxContent>
                        </wps:txbx>
                        <wps:bodyPr rot="0" vert="horz" wrap="square" lIns="91440" tIns="45720" rIns="91440" bIns="45720" anchor="t" anchorCtr="0" upright="1">
                          <a:noAutofit/>
                        </wps:bodyPr>
                      </wps:wsp>
                      <wps:wsp>
                        <wps:cNvPr id="101" name="直接箭头连接符 22"/>
                        <wps:cNvCnPr>
                          <a:cxnSpLocks noChangeShapeType="1"/>
                        </wps:cNvCnPr>
                        <wps:spPr bwMode="auto">
                          <a:xfrm>
                            <a:off x="5816" y="10665"/>
                            <a:ext cx="1" cy="420"/>
                          </a:xfrm>
                          <a:prstGeom prst="straightConnector1">
                            <a:avLst/>
                          </a:prstGeom>
                          <a:noFill/>
                          <a:ln w="0">
                            <a:solidFill>
                              <a:srgbClr val="000000"/>
                            </a:solidFill>
                            <a:round/>
                            <a:tailEnd type="triangle" w="med" len="med"/>
                          </a:ln>
                        </wps:spPr>
                        <wps:bodyPr/>
                      </wps:wsp>
                      <wps:wsp>
                        <wps:cNvPr id="102" name="直接箭头连接符 14"/>
                        <wps:cNvCnPr>
                          <a:cxnSpLocks noChangeShapeType="1"/>
                        </wps:cNvCnPr>
                        <wps:spPr bwMode="auto">
                          <a:xfrm flipH="1">
                            <a:off x="6596" y="12087"/>
                            <a:ext cx="1935" cy="0"/>
                          </a:xfrm>
                          <a:prstGeom prst="straightConnector1">
                            <a:avLst/>
                          </a:prstGeom>
                          <a:noFill/>
                          <a:ln w="0">
                            <a:solidFill>
                              <a:srgbClr val="000000"/>
                            </a:solidFill>
                            <a:prstDash val="lgDashDotDot"/>
                            <a:round/>
                          </a:ln>
                        </wps:spPr>
                        <wps:bodyPr/>
                      </wps:wsp>
                      <wps:wsp>
                        <wps:cNvPr id="103" name="文本框 18"/>
                        <wps:cNvSpPr txBox="1">
                          <a:spLocks noChangeArrowheads="1"/>
                        </wps:cNvSpPr>
                        <wps:spPr bwMode="auto">
                          <a:xfrm>
                            <a:off x="1654" y="11092"/>
                            <a:ext cx="1432" cy="525"/>
                          </a:xfrm>
                          <a:prstGeom prst="rect">
                            <a:avLst/>
                          </a:prstGeom>
                          <a:solidFill>
                            <a:srgbClr val="FFFFFF"/>
                          </a:solidFill>
                          <a:ln w="0">
                            <a:solidFill>
                              <a:srgbClr val="000000"/>
                            </a:solidFill>
                            <a:miter lim="800000"/>
                          </a:ln>
                        </wps:spPr>
                        <wps:txbx>
                          <w:txbxContent>
                            <w:p w14:paraId="637E6D33">
                              <w:pPr>
                                <w:pStyle w:val="81"/>
                              </w:pPr>
                              <w:r>
                                <w:rPr>
                                  <w:rFonts w:hint="eastAsia"/>
                                </w:rPr>
                                <w:t>蒸煮漂烫水</w:t>
                              </w:r>
                            </w:p>
                          </w:txbxContent>
                        </wps:txbx>
                        <wps:bodyPr rot="0" vert="horz" wrap="square" lIns="91440" tIns="45720" rIns="91440" bIns="45720" anchor="t" anchorCtr="0" upright="1">
                          <a:noAutofit/>
                        </wps:bodyPr>
                      </wps:wsp>
                      <wps:wsp>
                        <wps:cNvPr id="104" name="直接箭头连接符 11"/>
                        <wps:cNvCnPr>
                          <a:cxnSpLocks noChangeShapeType="1"/>
                        </wps:cNvCnPr>
                        <wps:spPr bwMode="auto">
                          <a:xfrm>
                            <a:off x="10706" y="11667"/>
                            <a:ext cx="1" cy="510"/>
                          </a:xfrm>
                          <a:prstGeom prst="straightConnector1">
                            <a:avLst/>
                          </a:prstGeom>
                          <a:noFill/>
                          <a:ln w="0">
                            <a:solidFill>
                              <a:srgbClr val="000000"/>
                            </a:solidFill>
                            <a:round/>
                            <a:tailEnd type="triangle" w="med" len="med"/>
                          </a:ln>
                        </wps:spPr>
                        <wps:bodyPr/>
                      </wps:wsp>
                      <wps:wsp>
                        <wps:cNvPr id="105" name="文本框 9"/>
                        <wps:cNvSpPr txBox="1">
                          <a:spLocks noChangeArrowheads="1"/>
                        </wps:cNvSpPr>
                        <wps:spPr bwMode="auto">
                          <a:xfrm>
                            <a:off x="4542" y="12177"/>
                            <a:ext cx="1228" cy="531"/>
                          </a:xfrm>
                          <a:prstGeom prst="rect">
                            <a:avLst/>
                          </a:prstGeom>
                          <a:solidFill>
                            <a:srgbClr val="FFFFFF"/>
                          </a:solidFill>
                          <a:ln w="0">
                            <a:solidFill>
                              <a:srgbClr val="000000"/>
                            </a:solidFill>
                            <a:miter lim="800000"/>
                          </a:ln>
                        </wps:spPr>
                        <wps:txbx>
                          <w:txbxContent>
                            <w:p w14:paraId="2E774012">
                              <w:pPr>
                                <w:pStyle w:val="81"/>
                              </w:pPr>
                              <w:r>
                                <w:rPr>
                                  <w:rFonts w:hint="eastAsia"/>
                                </w:rPr>
                                <w:t>外运填埋</w:t>
                              </w:r>
                            </w:p>
                          </w:txbxContent>
                        </wps:txbx>
                        <wps:bodyPr rot="0" vert="horz" wrap="square" lIns="91440" tIns="45720" rIns="91440" bIns="45720" anchor="t" anchorCtr="0" upright="1">
                          <a:noAutofit/>
                        </wps:bodyPr>
                      </wps:wsp>
                      <wps:wsp>
                        <wps:cNvPr id="106" name="直接箭头连接符 30"/>
                        <wps:cNvCnPr>
                          <a:cxnSpLocks noChangeShapeType="1"/>
                        </wps:cNvCnPr>
                        <wps:spPr bwMode="auto">
                          <a:xfrm flipH="1" flipV="1">
                            <a:off x="9134" y="13397"/>
                            <a:ext cx="521" cy="9"/>
                          </a:xfrm>
                          <a:prstGeom prst="straightConnector1">
                            <a:avLst/>
                          </a:prstGeom>
                          <a:noFill/>
                          <a:ln w="0">
                            <a:solidFill>
                              <a:srgbClr val="000000"/>
                            </a:solidFill>
                            <a:round/>
                            <a:tailEnd type="triangle" w="med" len="med"/>
                          </a:ln>
                        </wps:spPr>
                        <wps:bodyPr/>
                      </wps:wsp>
                      <wps:wsp>
                        <wps:cNvPr id="107" name="文本框 28"/>
                        <wps:cNvSpPr txBox="1">
                          <a:spLocks noChangeArrowheads="1"/>
                        </wps:cNvSpPr>
                        <wps:spPr bwMode="auto">
                          <a:xfrm>
                            <a:off x="3760" y="13210"/>
                            <a:ext cx="1214" cy="525"/>
                          </a:xfrm>
                          <a:prstGeom prst="rect">
                            <a:avLst/>
                          </a:prstGeom>
                          <a:solidFill>
                            <a:srgbClr val="FFFFFF"/>
                          </a:solidFill>
                          <a:ln w="0">
                            <a:solidFill>
                              <a:srgbClr val="000000"/>
                            </a:solidFill>
                            <a:miter lim="800000"/>
                          </a:ln>
                        </wps:spPr>
                        <wps:txbx>
                          <w:txbxContent>
                            <w:p w14:paraId="12AA1DE0">
                              <w:pPr>
                                <w:pStyle w:val="81"/>
                              </w:pPr>
                              <w:r>
                                <w:rPr>
                                  <w:rFonts w:hint="eastAsia"/>
                                </w:rPr>
                                <w:t>达标排放</w:t>
                              </w:r>
                            </w:p>
                          </w:txbxContent>
                        </wps:txbx>
                        <wps:bodyPr rot="0" vert="horz" wrap="square" lIns="91440" tIns="45720" rIns="91440" bIns="45720" anchor="t" anchorCtr="0" upright="1">
                          <a:noAutofit/>
                        </wps:bodyPr>
                      </wps:wsp>
                      <wps:wsp>
                        <wps:cNvPr id="108" name="文本框 46"/>
                        <wps:cNvSpPr txBox="1">
                          <a:spLocks noChangeArrowheads="1"/>
                        </wps:cNvSpPr>
                        <wps:spPr bwMode="auto">
                          <a:xfrm>
                            <a:off x="10120" y="14237"/>
                            <a:ext cx="1020" cy="600"/>
                          </a:xfrm>
                          <a:prstGeom prst="rect">
                            <a:avLst/>
                          </a:prstGeom>
                          <a:solidFill>
                            <a:srgbClr val="FFFFFF"/>
                          </a:solidFill>
                          <a:ln w="0">
                            <a:solidFill>
                              <a:srgbClr val="000000"/>
                            </a:solidFill>
                            <a:miter lim="800000"/>
                          </a:ln>
                        </wps:spPr>
                        <wps:txbx>
                          <w:txbxContent>
                            <w:p w14:paraId="2D822D8A">
                              <w:pPr>
                                <w:pStyle w:val="81"/>
                              </w:pPr>
                              <w:r>
                                <w:rPr>
                                  <w:rFonts w:hint="eastAsia"/>
                                </w:rPr>
                                <w:t>碳源</w:t>
                              </w:r>
                            </w:p>
                          </w:txbxContent>
                        </wps:txbx>
                        <wps:bodyPr rot="0" vert="horz" wrap="square" lIns="91440" tIns="45720" rIns="91440" bIns="45720" anchor="t" anchorCtr="0" upright="1">
                          <a:noAutofit/>
                        </wps:bodyPr>
                      </wps:wsp>
                      <wps:wsp>
                        <wps:cNvPr id="109" name="文本框 24"/>
                        <wps:cNvSpPr txBox="1">
                          <a:spLocks noChangeArrowheads="1"/>
                        </wps:cNvSpPr>
                        <wps:spPr bwMode="auto">
                          <a:xfrm>
                            <a:off x="9686" y="12160"/>
                            <a:ext cx="1680" cy="614"/>
                          </a:xfrm>
                          <a:prstGeom prst="rect">
                            <a:avLst/>
                          </a:prstGeom>
                          <a:solidFill>
                            <a:srgbClr val="FFFFFF"/>
                          </a:solidFill>
                          <a:ln w="0">
                            <a:solidFill>
                              <a:srgbClr val="000000"/>
                            </a:solidFill>
                            <a:miter lim="800000"/>
                          </a:ln>
                        </wps:spPr>
                        <wps:txbx>
                          <w:txbxContent>
                            <w:p w14:paraId="36CC5475">
                              <w:pPr>
                                <w:pStyle w:val="81"/>
                              </w:pPr>
                              <w:r>
                                <w:rPr>
                                  <w:rFonts w:hint="eastAsia"/>
                                </w:rPr>
                                <w:t>三效蒸发脱盐</w:t>
                              </w:r>
                            </w:p>
                          </w:txbxContent>
                        </wps:txbx>
                        <wps:bodyPr rot="0" vert="horz" wrap="square" lIns="91440" tIns="45720" rIns="91440" bIns="45720" anchor="t" anchorCtr="0" upright="1">
                          <a:noAutofit/>
                        </wps:bodyPr>
                      </wps:wsp>
                      <wps:wsp>
                        <wps:cNvPr id="110" name="直接箭头连接符 35"/>
                        <wps:cNvCnPr>
                          <a:cxnSpLocks noChangeShapeType="1"/>
                        </wps:cNvCnPr>
                        <wps:spPr bwMode="auto">
                          <a:xfrm flipH="1" flipV="1">
                            <a:off x="10667" y="13780"/>
                            <a:ext cx="12" cy="432"/>
                          </a:xfrm>
                          <a:prstGeom prst="straightConnector1">
                            <a:avLst/>
                          </a:prstGeom>
                          <a:noFill/>
                          <a:ln w="0">
                            <a:solidFill>
                              <a:srgbClr val="000000"/>
                            </a:solidFill>
                            <a:round/>
                            <a:tailEnd type="triangle" w="med" len="med"/>
                          </a:ln>
                        </wps:spPr>
                        <wps:bodyPr/>
                      </wps:wsp>
                      <wps:wsp>
                        <wps:cNvPr id="111" name="直接箭头连接符 13"/>
                        <wps:cNvCnPr>
                          <a:cxnSpLocks noChangeShapeType="1"/>
                        </wps:cNvCnPr>
                        <wps:spPr bwMode="auto">
                          <a:xfrm>
                            <a:off x="3130" y="11351"/>
                            <a:ext cx="435" cy="0"/>
                          </a:xfrm>
                          <a:prstGeom prst="straightConnector1">
                            <a:avLst/>
                          </a:prstGeom>
                          <a:noFill/>
                          <a:ln w="0">
                            <a:solidFill>
                              <a:srgbClr val="000000"/>
                            </a:solidFill>
                            <a:round/>
                            <a:tailEnd type="triangle" w="med" len="med"/>
                          </a:ln>
                        </wps:spPr>
                        <wps:bodyPr/>
                      </wps:wsp>
                      <wps:wsp>
                        <wps:cNvPr id="112" name="直接箭头连接符 8"/>
                        <wps:cNvCnPr>
                          <a:cxnSpLocks noChangeShapeType="1"/>
                        </wps:cNvCnPr>
                        <wps:spPr bwMode="auto">
                          <a:xfrm>
                            <a:off x="5230" y="11366"/>
                            <a:ext cx="435" cy="0"/>
                          </a:xfrm>
                          <a:prstGeom prst="straightConnector1">
                            <a:avLst/>
                          </a:prstGeom>
                          <a:noFill/>
                          <a:ln w="0">
                            <a:solidFill>
                              <a:srgbClr val="000000"/>
                            </a:solidFill>
                            <a:round/>
                            <a:tailEnd type="triangle" w="med" len="med"/>
                          </a:ln>
                        </wps:spPr>
                        <wps:bodyPr/>
                      </wps:wsp>
                      <wps:wsp>
                        <wps:cNvPr id="113" name="直接箭头连接符 17"/>
                        <wps:cNvCnPr>
                          <a:cxnSpLocks noChangeShapeType="1"/>
                        </wps:cNvCnPr>
                        <wps:spPr bwMode="auto">
                          <a:xfrm>
                            <a:off x="7525" y="11381"/>
                            <a:ext cx="435" cy="0"/>
                          </a:xfrm>
                          <a:prstGeom prst="straightConnector1">
                            <a:avLst/>
                          </a:prstGeom>
                          <a:noFill/>
                          <a:ln w="0">
                            <a:solidFill>
                              <a:srgbClr val="000000"/>
                            </a:solidFill>
                            <a:round/>
                            <a:tailEnd type="triangle" w="med" len="med"/>
                          </a:ln>
                        </wps:spPr>
                        <wps:bodyPr/>
                      </wps:wsp>
                      <wps:wsp>
                        <wps:cNvPr id="114" name="直接箭头连接符 15"/>
                        <wps:cNvCnPr>
                          <a:cxnSpLocks noChangeShapeType="1"/>
                        </wps:cNvCnPr>
                        <wps:spPr bwMode="auto">
                          <a:xfrm>
                            <a:off x="9685" y="11381"/>
                            <a:ext cx="435" cy="0"/>
                          </a:xfrm>
                          <a:prstGeom prst="straightConnector1">
                            <a:avLst/>
                          </a:prstGeom>
                          <a:noFill/>
                          <a:ln w="0">
                            <a:solidFill>
                              <a:srgbClr val="000000"/>
                            </a:solidFill>
                            <a:round/>
                            <a:tailEnd type="triangle" w="med" len="med"/>
                          </a:ln>
                        </wps:spPr>
                        <wps:bodyPr/>
                      </wps:wsp>
                      <wps:wsp>
                        <wps:cNvPr id="115" name="文本框 39"/>
                        <wps:cNvSpPr txBox="1">
                          <a:spLocks noChangeArrowheads="1"/>
                        </wps:cNvSpPr>
                        <wps:spPr bwMode="auto">
                          <a:xfrm>
                            <a:off x="10151" y="11131"/>
                            <a:ext cx="1170" cy="509"/>
                          </a:xfrm>
                          <a:prstGeom prst="rect">
                            <a:avLst/>
                          </a:prstGeom>
                          <a:solidFill>
                            <a:srgbClr val="FFFFFF"/>
                          </a:solidFill>
                          <a:ln w="0">
                            <a:solidFill>
                              <a:srgbClr val="000000"/>
                            </a:solidFill>
                            <a:miter lim="800000"/>
                          </a:ln>
                        </wps:spPr>
                        <wps:txbx>
                          <w:txbxContent>
                            <w:p w14:paraId="4E2B7148">
                              <w:pPr>
                                <w:pStyle w:val="81"/>
                              </w:pPr>
                              <w:r>
                                <w:rPr>
                                  <w:rFonts w:hint="eastAsia"/>
                                </w:rPr>
                                <w:t>砂滤罐</w:t>
                              </w:r>
                            </w:p>
                          </w:txbxContent>
                        </wps:txbx>
                        <wps:bodyPr rot="0" vert="horz" wrap="square" lIns="91440" tIns="45720" rIns="91440" bIns="45720" anchor="t" anchorCtr="0" upright="1">
                          <a:noAutofit/>
                        </wps:bodyPr>
                      </wps:wsp>
                      <wps:wsp>
                        <wps:cNvPr id="116" name="文本框 20"/>
                        <wps:cNvSpPr txBox="1">
                          <a:spLocks noChangeArrowheads="1"/>
                        </wps:cNvSpPr>
                        <wps:spPr bwMode="auto">
                          <a:xfrm>
                            <a:off x="5246" y="10136"/>
                            <a:ext cx="1288" cy="554"/>
                          </a:xfrm>
                          <a:prstGeom prst="rect">
                            <a:avLst/>
                          </a:prstGeom>
                          <a:solidFill>
                            <a:srgbClr val="FFFFFF"/>
                          </a:solidFill>
                          <a:ln w="0">
                            <a:solidFill>
                              <a:srgbClr val="000000"/>
                            </a:solidFill>
                            <a:miter lim="800000"/>
                          </a:ln>
                        </wps:spPr>
                        <wps:txbx>
                          <w:txbxContent>
                            <w:p w14:paraId="09122BA3">
                              <w:pPr>
                                <w:pStyle w:val="81"/>
                              </w:pPr>
                              <w:r>
                                <w:rPr>
                                  <w:rFonts w:hint="eastAsia"/>
                                </w:rPr>
                                <w:t>混凝加药</w:t>
                              </w:r>
                            </w:p>
                          </w:txbxContent>
                        </wps:txbx>
                        <wps:bodyPr rot="0" vert="horz" wrap="square" lIns="91440" tIns="45720" rIns="91440" bIns="45720" anchor="t" anchorCtr="0" upright="1">
                          <a:noAutofit/>
                        </wps:bodyPr>
                      </wps:wsp>
                      <wps:wsp>
                        <wps:cNvPr id="117" name="文本框 23"/>
                        <wps:cNvSpPr txBox="1">
                          <a:spLocks noChangeArrowheads="1"/>
                        </wps:cNvSpPr>
                        <wps:spPr bwMode="auto">
                          <a:xfrm>
                            <a:off x="7946" y="10099"/>
                            <a:ext cx="1288" cy="525"/>
                          </a:xfrm>
                          <a:prstGeom prst="rect">
                            <a:avLst/>
                          </a:prstGeom>
                          <a:solidFill>
                            <a:srgbClr val="FFFFFF"/>
                          </a:solidFill>
                          <a:ln w="0">
                            <a:solidFill>
                              <a:srgbClr val="000000"/>
                            </a:solidFill>
                            <a:miter lim="800000"/>
                          </a:ln>
                        </wps:spPr>
                        <wps:txbx>
                          <w:txbxContent>
                            <w:p w14:paraId="5E4939F6">
                              <w:pPr>
                                <w:pStyle w:val="81"/>
                              </w:pPr>
                              <w:r>
                                <w:rPr>
                                  <w:rFonts w:hint="eastAsia"/>
                                </w:rPr>
                                <w:t>混凝加药</w:t>
                              </w:r>
                            </w:p>
                          </w:txbxContent>
                        </wps:txbx>
                        <wps:bodyPr rot="0" vert="horz" wrap="square" lIns="91440" tIns="45720" rIns="91440" bIns="45720" anchor="t" anchorCtr="0" upright="1">
                          <a:noAutofit/>
                        </wps:bodyPr>
                      </wps:wsp>
                      <wps:wsp>
                        <wps:cNvPr id="118" name="直接箭头连接符 6"/>
                        <wps:cNvCnPr>
                          <a:cxnSpLocks noChangeShapeType="1"/>
                        </wps:cNvCnPr>
                        <wps:spPr bwMode="auto">
                          <a:xfrm>
                            <a:off x="6584" y="11719"/>
                            <a:ext cx="12" cy="378"/>
                          </a:xfrm>
                          <a:prstGeom prst="straightConnector1">
                            <a:avLst/>
                          </a:prstGeom>
                          <a:noFill/>
                          <a:ln w="0">
                            <a:solidFill>
                              <a:srgbClr val="000000"/>
                            </a:solidFill>
                            <a:prstDash val="lgDashDotDot"/>
                            <a:round/>
                            <a:tailEnd type="triangle" w="med" len="med"/>
                          </a:ln>
                        </wps:spPr>
                        <wps:bodyPr/>
                      </wps:wsp>
                      <wps:wsp>
                        <wps:cNvPr id="119" name="直接箭头连接符 26"/>
                        <wps:cNvCnPr>
                          <a:cxnSpLocks noChangeShapeType="1"/>
                        </wps:cNvCnPr>
                        <wps:spPr bwMode="auto">
                          <a:xfrm flipH="1">
                            <a:off x="7499" y="12438"/>
                            <a:ext cx="477" cy="1"/>
                          </a:xfrm>
                          <a:prstGeom prst="straightConnector1">
                            <a:avLst/>
                          </a:prstGeom>
                          <a:noFill/>
                          <a:ln w="0">
                            <a:solidFill>
                              <a:srgbClr val="000000"/>
                            </a:solidFill>
                            <a:prstDash val="lgDashDotDot"/>
                            <a:round/>
                            <a:tailEnd type="triangle" w="med" len="med"/>
                          </a:ln>
                        </wps:spPr>
                        <wps:bodyPr/>
                      </wps:wsp>
                      <wps:wsp>
                        <wps:cNvPr id="120" name="直接箭头连接符 25"/>
                        <wps:cNvCnPr>
                          <a:cxnSpLocks noChangeShapeType="1"/>
                        </wps:cNvCnPr>
                        <wps:spPr bwMode="auto">
                          <a:xfrm flipH="1">
                            <a:off x="5804" y="12438"/>
                            <a:ext cx="477" cy="1"/>
                          </a:xfrm>
                          <a:prstGeom prst="straightConnector1">
                            <a:avLst/>
                          </a:prstGeom>
                          <a:noFill/>
                          <a:ln w="0">
                            <a:solidFill>
                              <a:srgbClr val="000000"/>
                            </a:solidFill>
                            <a:prstDash val="lgDashDotDot"/>
                            <a:round/>
                            <a:tailEnd type="triangle" w="med" len="med"/>
                          </a:ln>
                        </wps:spPr>
                        <wps:bodyPr/>
                      </wps:wsp>
                      <wps:wsp>
                        <wps:cNvPr id="121" name="直接箭头连接符 34"/>
                        <wps:cNvCnPr>
                          <a:cxnSpLocks noChangeShapeType="1"/>
                        </wps:cNvCnPr>
                        <wps:spPr bwMode="auto">
                          <a:xfrm flipH="1" flipV="1">
                            <a:off x="8327" y="13835"/>
                            <a:ext cx="12" cy="432"/>
                          </a:xfrm>
                          <a:prstGeom prst="straightConnector1">
                            <a:avLst/>
                          </a:prstGeom>
                          <a:noFill/>
                          <a:ln w="0">
                            <a:solidFill>
                              <a:srgbClr val="000000"/>
                            </a:solidFill>
                            <a:round/>
                            <a:tailEnd type="triangle" w="med" len="med"/>
                          </a:ln>
                        </wps:spPr>
                        <wps:bodyPr/>
                      </wps:wsp>
                      <wps:wsp>
                        <wps:cNvPr id="122" name="直接箭头连接符 37"/>
                        <wps:cNvCnPr>
                          <a:cxnSpLocks noChangeShapeType="1"/>
                        </wps:cNvCnPr>
                        <wps:spPr bwMode="auto">
                          <a:xfrm flipH="1" flipV="1">
                            <a:off x="6749" y="13412"/>
                            <a:ext cx="521" cy="9"/>
                          </a:xfrm>
                          <a:prstGeom prst="straightConnector1">
                            <a:avLst/>
                          </a:prstGeom>
                          <a:noFill/>
                          <a:ln w="0">
                            <a:solidFill>
                              <a:srgbClr val="000000"/>
                            </a:solidFill>
                            <a:round/>
                            <a:tailEnd type="triangle" w="med" len="med"/>
                          </a:ln>
                        </wps:spPr>
                        <wps:bodyPr/>
                      </wps:wsp>
                      <wps:wsp>
                        <wps:cNvPr id="123" name="直接箭头连接符 29"/>
                        <wps:cNvCnPr>
                          <a:cxnSpLocks noChangeShapeType="1"/>
                        </wps:cNvCnPr>
                        <wps:spPr bwMode="auto">
                          <a:xfrm flipH="1" flipV="1">
                            <a:off x="4979" y="13412"/>
                            <a:ext cx="521" cy="9"/>
                          </a:xfrm>
                          <a:prstGeom prst="straightConnector1">
                            <a:avLst/>
                          </a:prstGeom>
                          <a:noFill/>
                          <a:ln w="0">
                            <a:solidFill>
                              <a:srgbClr val="000000"/>
                            </a:solidFill>
                            <a:round/>
                            <a:tailEnd type="triangle" w="med" len="med"/>
                          </a:ln>
                        </wps:spPr>
                        <wps:bodyPr/>
                      </wps:wsp>
                      <wps:wsp>
                        <wps:cNvPr id="124" name="直接箭头连接符 33"/>
                        <wps:cNvCnPr>
                          <a:cxnSpLocks noChangeShapeType="1"/>
                        </wps:cNvCnPr>
                        <wps:spPr bwMode="auto">
                          <a:xfrm>
                            <a:off x="6296" y="13787"/>
                            <a:ext cx="1" cy="420"/>
                          </a:xfrm>
                          <a:prstGeom prst="straightConnector1">
                            <a:avLst/>
                          </a:prstGeom>
                          <a:noFill/>
                          <a:ln w="0">
                            <a:solidFill>
                              <a:srgbClr val="000000"/>
                            </a:solidFill>
                            <a:round/>
                            <a:tailEnd type="triangle" w="med" len="med"/>
                          </a:ln>
                        </wps:spPr>
                        <wps:bodyPr/>
                      </wps:wsp>
                      <wps:wsp>
                        <wps:cNvPr id="125" name="文本框 43"/>
                        <wps:cNvSpPr txBox="1">
                          <a:spLocks noChangeArrowheads="1"/>
                        </wps:cNvSpPr>
                        <wps:spPr bwMode="auto">
                          <a:xfrm>
                            <a:off x="5500" y="14208"/>
                            <a:ext cx="1214" cy="600"/>
                          </a:xfrm>
                          <a:prstGeom prst="rect">
                            <a:avLst/>
                          </a:prstGeom>
                          <a:solidFill>
                            <a:srgbClr val="FFFFFF"/>
                          </a:solidFill>
                          <a:ln w="0">
                            <a:solidFill>
                              <a:srgbClr val="000000"/>
                            </a:solidFill>
                            <a:miter lim="800000"/>
                          </a:ln>
                        </wps:spPr>
                        <wps:txbx>
                          <w:txbxContent>
                            <w:p w14:paraId="237DAF8F">
                              <w:pPr>
                                <w:pStyle w:val="81"/>
                              </w:pPr>
                              <w:r>
                                <w:rPr>
                                  <w:rFonts w:hint="eastAsia"/>
                                </w:rPr>
                                <w:t>在线检测</w:t>
                              </w:r>
                            </w:p>
                          </w:txbxContent>
                        </wps:txbx>
                        <wps:bodyPr rot="0" vert="horz" wrap="square" lIns="91440" tIns="45720" rIns="91440" bIns="45720" anchor="t" anchorCtr="0" upright="1">
                          <a:noAutofit/>
                        </wps:bodyPr>
                      </wps:wsp>
                    </wpg:wgp>
                  </a:graphicData>
                </a:graphic>
              </wp:anchor>
            </w:drawing>
          </mc:Choice>
          <mc:Fallback>
            <w:pict>
              <v:group id="Group 106" o:spid="_x0000_s1026" o:spt="203" style="position:absolute;left:0pt;margin-top:0.35pt;height:233.95pt;width:474.3pt;mso-position-horizontal:left;mso-position-horizontal-relative:margin;z-index:251659264;mso-width-relative:page;mso-height-relative:page;" coordorigin="1654,10099" coordsize="9712,4788" o:gfxdata="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">
                <o:lock v:ext="edit" aspectratio="f"/>
                <v:shape id="文本框 7" o:spid="_x0000_s1026" o:spt="202" type="#_x0000_t202" style="position:absolute;left:6981;top:11709;height:536;width:1200;" fillcolor="#FFFFFF" filled="t" stroked="f" coordsize="21600,21600" o:gfxdata="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WM79rgAAADbAAAA&#10;DwAAAAAAAAABACAAAAAiAAAAZHJzL2Rvd25yZXYueG1sUEsBAhQAFAAAAAgAh07iQDMvBZ47AAAA&#10;OQAAABAAAAAAAAAAAQAgAAAABwEAAGRycy9zaGFwZXhtbC54bWxQSwUGAAAAAAYABgBbAQAAsQMA&#10;AAAA&#10;">
                  <v:fill on="t" focussize="0,0"/>
                  <v:stroke on="f"/>
                  <v:imagedata o:title=""/>
                  <o:lock v:ext="edit" aspectratio="f"/>
                  <v:textbox>
                    <w:txbxContent>
                      <w:p w14:paraId="3551D599">
                        <w:pPr>
                          <w:pStyle w:val="81"/>
                        </w:pPr>
                        <w:r>
                          <w:rPr>
                            <w:rFonts w:hint="eastAsia"/>
                          </w:rPr>
                          <w:t>污泥</w:t>
                        </w:r>
                      </w:p>
                      <w:p w14:paraId="5685DFB5">
                        <w:pPr>
                          <w:pStyle w:val="81"/>
                        </w:pPr>
                      </w:p>
                    </w:txbxContent>
                  </v:textbox>
                </v:shape>
                <v:shape id="文本框 42" o:spid="_x0000_s1026" o:spt="202" type="#_x0000_t202" style="position:absolute;left:4946;top:10981;height:479;width:855;" fillcolor="#FFFFFF" filled="t" stroked="f" coordsize="21600,21600" o:gfxdata="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i+ebbgAAADbAAAA&#10;DwAAAAAAAAABACAAAAAiAAAAZHJzL2Rvd25yZXYueG1sUEsBAhQAFAAAAAgAh07iQDMvBZ47AAAA&#10;OQAAABAAAAAAAAAAAQAgAAAABwEAAGRycy9zaGFwZXhtbC54bWxQSwUGAAAAAAYABgBbAQAAsQMA&#10;AAAA&#10;">
                  <v:fill on="t" focussize="0,0"/>
                  <v:stroke on="f"/>
                  <v:imagedata o:title=""/>
                  <o:lock v:ext="edit" aspectratio="f"/>
                  <v:textbox>
                    <w:txbxContent>
                      <w:p w14:paraId="3F0958F6">
                        <w:pPr>
                          <w:pStyle w:val="81"/>
                        </w:pPr>
                        <w:r>
                          <w:rPr>
                            <w:rFonts w:hint="eastAsia"/>
                          </w:rPr>
                          <w:t>泵</w:t>
                        </w:r>
                      </w:p>
                      <w:p w14:paraId="0C7C5E3A">
                        <w:pPr>
                          <w:pStyle w:val="81"/>
                        </w:pPr>
                      </w:p>
                    </w:txbxContent>
                  </v:textbox>
                </v:shape>
                <v:shape id="文本框 40" o:spid="_x0000_s1026" o:spt="202" type="#_x0000_t202" style="position:absolute;left:9431;top:10975;height:554;width:855;" fillcolor="#FFFFFF" filled="t" stroked="f" coordsize="21600,21600" o:gfxdata="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r9ABq5AAAA2w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6D5DC5B4">
                        <w:pPr>
                          <w:pStyle w:val="81"/>
                        </w:pPr>
                        <w:r>
                          <w:rPr>
                            <w:rFonts w:hint="eastAsia"/>
                          </w:rPr>
                          <w:t>泵</w:t>
                        </w:r>
                      </w:p>
                      <w:p w14:paraId="6365BF25">
                        <w:pPr>
                          <w:pStyle w:val="81"/>
                        </w:pPr>
                      </w:p>
                    </w:txbxContent>
                  </v:textbox>
                </v:shape>
                <v:shape id="文本框 12" o:spid="_x0000_s1026" o:spt="202" type="#_x0000_t202" style="position:absolute;left:9851;top:11656;height:536;width:855;" fillcolor="#FFFFFF" filled="t" stroked="f" coordsize="21600,21600" o:gfxdata="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WxpYG5AAAA2w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66A0B89D">
                        <w:pPr>
                          <w:pStyle w:val="81"/>
                        </w:pPr>
                        <w:r>
                          <w:rPr>
                            <w:rFonts w:hint="eastAsia"/>
                          </w:rPr>
                          <w:t>泵</w:t>
                        </w:r>
                      </w:p>
                      <w:p w14:paraId="50B0B5DD">
                        <w:pPr>
                          <w:pStyle w:val="81"/>
                        </w:pPr>
                      </w:p>
                    </w:txbxContent>
                  </v:textbox>
                </v:shape>
                <v:shape id="Text Box 6" o:spid="_x0000_s1026" o:spt="202" type="#_x0000_t202" style="position:absolute;left:6577;top:13033;height:572;width:855;" fillcolor="#FFFFFF" filled="t" stroked="f" coordsize="21600,21600" o:gfxdata="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IQuMfO2AAAA2wAAAA8A&#10;AAAAAAAAAQAgAAAAIgAAAGRycy9kb3ducmV2LnhtbFBLAQIUABQAAAAIAIdO4kAzLwWeOwAAADkA&#10;AAAQAAAAAAAAAAEAIAAAAAUBAABkcnMvc2hhcGV4bWwueG1sUEsFBgAAAAAGAAYAWwEAAK8DAAAA&#10;AA==&#10;">
                  <v:fill on="t" focussize="0,0"/>
                  <v:stroke on="f"/>
                  <v:imagedata o:title=""/>
                  <o:lock v:ext="edit" aspectratio="f"/>
                  <v:textbox>
                    <w:txbxContent>
                      <w:p w14:paraId="4DA674A0">
                        <w:pPr>
                          <w:pStyle w:val="81"/>
                        </w:pPr>
                        <w:r>
                          <w:rPr>
                            <w:rFonts w:hint="eastAsia"/>
                          </w:rPr>
                          <w:t>泵</w:t>
                        </w:r>
                      </w:p>
                      <w:p w14:paraId="4658B070">
                        <w:pPr>
                          <w:pStyle w:val="81"/>
                        </w:pPr>
                      </w:p>
                    </w:txbxContent>
                  </v:textbox>
                </v:shape>
                <v:shape id="文本框 41" o:spid="_x0000_s1026" o:spt="202" type="#_x0000_t202" style="position:absolute;left:7961;top:11125;height:554;width:1680;" fillcolor="#FFFFFF" filled="t" stroked="t" coordsize="21600,21600" o:gfxdata="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4oL6m8AAAA&#10;2wAAAA8AAAAAAAAAAQAgAAAAIgAAAGRycy9kb3ducmV2LnhtbFBLAQIUABQAAAAIAIdO4kAzLwWe&#10;OwAAADkAAAAQAAAAAAAAAAEAIAAAAAsBAABkcnMvc2hhcGV4bWwueG1sUEsFBgAAAAAGAAYAWwEA&#10;ALUDAAAAAA==&#10;">
                  <v:fill on="t" focussize="0,0"/>
                  <v:stroke weight="0pt" color="#000000" miterlimit="8" joinstyle="miter"/>
                  <v:imagedata o:title=""/>
                  <o:lock v:ext="edit" aspectratio="f"/>
                  <v:textbox>
                    <w:txbxContent>
                      <w:p w14:paraId="2B68BF2B">
                        <w:pPr>
                          <w:pStyle w:val="81"/>
                        </w:pPr>
                        <w:r>
                          <w:rPr>
                            <w:rFonts w:hint="eastAsia"/>
                          </w:rPr>
                          <w:t>混凝气浮机</w:t>
                        </w:r>
                      </w:p>
                    </w:txbxContent>
                  </v:textbox>
                </v:shape>
                <v:shape id="文本框 32" o:spid="_x0000_s1026" o:spt="202" type="#_x0000_t202" style="position:absolute;left:9671;top:13195;height:554;width:1680;" fillcolor="#FFFFFF" filled="t" stroked="t" coordsize="21600,21600" o:gfxdata="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yxDpugAAANsA&#10;AAAPAAAAAAAAAAEAIAAAACIAAABkcnMvZG93bnJldi54bWxQSwECFAAUAAAACACHTuJAMy8FnjsA&#10;AAA5AAAAEAAAAAAAAAABACAAAAAJAQAAZHJzL3NoYXBleG1sLnhtbFBLBQYAAAAABgAGAFsBAACz&#10;AwAAAAA=&#10;">
                  <v:fill on="t" focussize="0,0"/>
                  <v:stroke weight="0pt" color="#000000" miterlimit="8" joinstyle="miter"/>
                  <v:imagedata o:title=""/>
                  <o:lock v:ext="edit" aspectratio="f"/>
                  <v:textbox>
                    <w:txbxContent>
                      <w:p w14:paraId="6F634C0F">
                        <w:pPr>
                          <w:pStyle w:val="81"/>
                        </w:pPr>
                        <w:r>
                          <w:rPr>
                            <w:rFonts w:hint="eastAsia"/>
                          </w:rPr>
                          <w:t>AO生化池</w:t>
                        </w:r>
                      </w:p>
                      <w:p w14:paraId="6BCEDCDE">
                        <w:pPr>
                          <w:pStyle w:val="81"/>
                        </w:pPr>
                      </w:p>
                    </w:txbxContent>
                  </v:textbox>
                </v:shape>
                <v:shape id="文本框 31" o:spid="_x0000_s1026" o:spt="202" type="#_x0000_t202" style="position:absolute;left:7271;top:13210;height:600;width:1859;" fillcolor="#FFFFFF" filled="t" stroked="t" coordsize="21600,21600" o:gfxdata="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h7VyvQAA&#10;ANsAAAAPAAAAAAAAAAEAIAAAACIAAABkcnMvZG93bnJldi54bWxQSwECFAAUAAAACACHTuJAMy8F&#10;njsAAAA5AAAAEAAAAAAAAAABACAAAAAMAQAAZHJzL3NoYXBleG1sLnhtbFBLBQYAAAAABgAGAFsB&#10;AAC2AwAAAAA=&#10;">
                  <v:fill on="t" focussize="0,0"/>
                  <v:stroke weight="0pt" color="#000000" miterlimit="8" joinstyle="miter"/>
                  <v:imagedata o:title=""/>
                  <o:lock v:ext="edit" aspectratio="f"/>
                  <v:textbox>
                    <w:txbxContent>
                      <w:p w14:paraId="0ECC8194">
                        <w:pPr>
                          <w:pStyle w:val="81"/>
                        </w:pPr>
                        <w:r>
                          <w:rPr>
                            <w:rFonts w:hint="eastAsia"/>
                          </w:rPr>
                          <w:t>MBR池</w:t>
                        </w:r>
                      </w:p>
                      <w:p w14:paraId="4680EF4D">
                        <w:pPr>
                          <w:pStyle w:val="81"/>
                        </w:pPr>
                      </w:p>
                    </w:txbxContent>
                  </v:textbox>
                </v:shape>
                <v:shape id="直接箭头连接符 19" o:spid="_x0000_s1026" o:spt="32" type="#_x0000_t32" style="position:absolute;left:8531;top:11673;height:424;width:0;" filled="f" stroked="t" coordsize="21600,21600" o:gfxdata="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fiJ74A&#10;AADbAAAADwAAAAAAAAABACAAAAAiAAAAZHJzL2Rvd25yZXYueG1sUEsBAhQAFAAAAAgAh07iQDMv&#10;BZ47AAAAOQAAABAAAAAAAAAAAQAgAAAADQEAAGRycy9zaGFwZXhtbC54bWxQSwUGAAAAAAYABgBb&#10;AQAAtwMAAAAA&#10;">
                  <v:fill on="f" focussize="0,0"/>
                  <v:stroke weight="0pt" color="#000000" joinstyle="round" dashstyle="longDashDotDot" endarrow="block"/>
                  <v:imagedata o:title=""/>
                  <o:lock v:ext="edit" aspectratio="f"/>
                </v:shape>
                <v:shape id="文本框 44" o:spid="_x0000_s1026" o:spt="202" type="#_x0000_t202" style="position:absolute;left:7435;top:14273;height:614;width:1680;" fillcolor="#FFFFFF" filled="t" stroked="t" coordsize="21600,21600" o:gfxdata="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GY6evQAA&#10;ANsAAAAPAAAAAAAAAAEAIAAAACIAAABkcnMvZG93bnJldi54bWxQSwECFAAUAAAACACHTuJAMy8F&#10;njsAAAA5AAAAEAAAAAAAAAABACAAAAAMAQAAZHJzL3NoYXBleG1sLnhtbFBLBQYAAAAABgAGAFsB&#10;AAC2AwAAAAA=&#10;">
                  <v:fill on="t" focussize="0,0"/>
                  <v:stroke weight="0pt" color="#000000" miterlimit="8" joinstyle="miter"/>
                  <v:imagedata o:title=""/>
                  <o:lock v:ext="edit" aspectratio="f"/>
                  <v:textbox>
                    <w:txbxContent>
                      <w:p w14:paraId="1758D597">
                        <w:pPr>
                          <w:pStyle w:val="81"/>
                        </w:pPr>
                        <w:r>
                          <w:rPr>
                            <w:rFonts w:hint="eastAsia"/>
                          </w:rPr>
                          <w:t>鼓风曝气</w:t>
                        </w:r>
                      </w:p>
                      <w:p w14:paraId="4D5737A0">
                        <w:pPr>
                          <w:pStyle w:val="81"/>
                        </w:pPr>
                      </w:p>
                    </w:txbxContent>
                  </v:textbox>
                </v:shape>
                <v:shape id="文本框 16" o:spid="_x0000_s1026" o:spt="202" type="#_x0000_t202" style="position:absolute;left:7962;top:12164;height:574;width:1214;" fillcolor="#FFFFFF" filled="t" stroked="t" coordsize="21600,21600" o:gfxdata="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8BbqvQAA&#10;ANsAAAAPAAAAAAAAAAEAIAAAACIAAABkcnMvZG93bnJldi54bWxQSwECFAAUAAAACACHTuJAMy8F&#10;njsAAAA5AAAAEAAAAAAAAAABACAAAAAMAQAAZHJzL3NoYXBleG1sLnhtbFBLBQYAAAAABgAGAFsB&#10;AAC2AwAAAAA=&#10;">
                  <v:fill on="t" focussize="0,0"/>
                  <v:stroke weight="0pt" color="#000000" miterlimit="8" joinstyle="miter"/>
                  <v:imagedata o:title=""/>
                  <o:lock v:ext="edit" aspectratio="f"/>
                  <v:textbox>
                    <w:txbxContent>
                      <w:p w14:paraId="56219ABD">
                        <w:pPr>
                          <w:pStyle w:val="81"/>
                        </w:pPr>
                        <w:r>
                          <w:rPr>
                            <w:rFonts w:hint="eastAsia"/>
                          </w:rPr>
                          <w:t>污泥池</w:t>
                        </w:r>
                      </w:p>
                    </w:txbxContent>
                  </v:textbox>
                </v:shape>
                <v:shape id="文本框 10" o:spid="_x0000_s1026" o:spt="202" type="#_x0000_t202" style="position:absolute;left:6281;top:12138;height:586;width:1228;" fillcolor="#FFFFFF" filled="t" stroked="t" coordsize="21600,21600" o:gfxdata="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vLNxvQAA&#10;ANsAAAAPAAAAAAAAAAEAIAAAACIAAABkcnMvZG93bnJldi54bWxQSwECFAAUAAAACACHTuJAMy8F&#10;njsAAAA5AAAAEAAAAAAAAAABACAAAAAMAQAAZHJzL3NoYXBleG1sLnhtbFBLBQYAAAAABgAGAFsB&#10;AAC2AwAAAAA=&#10;">
                  <v:fill on="t" focussize="0,0"/>
                  <v:stroke weight="0pt" color="#000000" miterlimit="8" joinstyle="miter"/>
                  <v:imagedata o:title=""/>
                  <o:lock v:ext="edit" aspectratio="f"/>
                  <v:textbox>
                    <w:txbxContent>
                      <w:p w14:paraId="624C33B5">
                        <w:pPr>
                          <w:pStyle w:val="81"/>
                        </w:pPr>
                        <w:r>
                          <w:rPr>
                            <w:rFonts w:hint="eastAsia"/>
                          </w:rPr>
                          <w:t>压滤机</w:t>
                        </w:r>
                      </w:p>
                    </w:txbxContent>
                  </v:textbox>
                </v:shape>
                <v:shape id="文本框 2" o:spid="_x0000_s1026" o:spt="202" type="#_x0000_t202" style="position:absolute;left:5681;top:11109;height:568;width:1800;" fillcolor="#FFFFFF" filled="t" stroked="t" coordsize="21600,21600" o:gfxdata="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uLQa8AAAA&#10;2wAAAA8AAAAAAAAAAQAgAAAAIgAAAGRycy9kb3ducmV2LnhtbFBLAQIUABQAAAAIAIdO4kAzLwWe&#10;OwAAADkAAAAQAAAAAAAAAAEAIAAAAAsBAABkcnMvc2hhcGV4bWwueG1sUEsFBgAAAAAGAAYAWwEA&#10;ALUDAAAAAA==&#10;">
                  <v:fill on="t" focussize="0,0"/>
                  <v:stroke weight="0pt" color="#000000" miterlimit="8" joinstyle="miter"/>
                  <v:imagedata o:title=""/>
                  <o:lock v:ext="edit" aspectratio="f"/>
                  <v:textbox>
                    <w:txbxContent>
                      <w:p w14:paraId="01C975C2">
                        <w:pPr>
                          <w:pStyle w:val="81"/>
                        </w:pPr>
                        <w:r>
                          <w:rPr>
                            <w:rFonts w:hint="eastAsia"/>
                          </w:rPr>
                          <w:t>混凝沉淀反应器</w:t>
                        </w:r>
                      </w:p>
                      <w:p w14:paraId="3DC7E31D">
                        <w:pPr>
                          <w:pStyle w:val="81"/>
                        </w:pPr>
                      </w:p>
                    </w:txbxContent>
                  </v:textbox>
                </v:shape>
                <v:shape id="直接箭头连接符 21" o:spid="_x0000_s1026" o:spt="32" type="#_x0000_t32" style="position:absolute;left:8530;top:10654;height:420;width:1;" filled="f" stroked="t" coordsize="21600,21600" o:gfxdata="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GE+G/&#10;AAAA2wAAAA8AAAAAAAAAAQAgAAAAIgAAAGRycy9kb3ducmV2LnhtbFBLAQIUABQAAAAIAIdO4kAz&#10;LwWeOwAAADkAAAAQAAAAAAAAAAEAIAAAAA4BAABkcnMvc2hhcGV4bWwueG1sUEsFBgAAAAAGAAYA&#10;WwEAALgDAAAAAA==&#10;">
                  <v:fill on="f" focussize="0,0"/>
                  <v:stroke weight="0pt" color="#000000" joinstyle="round" endarrow="block"/>
                  <v:imagedata o:title=""/>
                  <o:lock v:ext="edit" aspectratio="f"/>
                </v:shape>
                <v:shape id="文本框 4" o:spid="_x0000_s1026" o:spt="202" type="#_x0000_t202" style="position:absolute;left:3536;top:11098;height:509;width:1680;" fillcolor="#FFFFFF" filled="t" stroked="t" coordsize="21600,21600" o:gfxdata="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vRzvugAAANsA&#10;AAAPAAAAAAAAAAEAIAAAACIAAABkcnMvZG93bnJldi54bWxQSwECFAAUAAAACACHTuJAMy8FnjsA&#10;AAA5AAAAEAAAAAAAAAABACAAAAAJAQAAZHJzL3NoYXBleG1sLnhtbFBLBQYAAAAABgAGAFsBAACz&#10;AwAAAAA=&#10;">
                  <v:fill on="t" focussize="0,0"/>
                  <v:stroke weight="0pt" color="#000000" miterlimit="8" joinstyle="miter"/>
                  <v:imagedata o:title=""/>
                  <o:lock v:ext="edit" aspectratio="f"/>
                  <v:textbox>
                    <w:txbxContent>
                      <w:p w14:paraId="3D5B0FCE">
                        <w:pPr>
                          <w:pStyle w:val="81"/>
                        </w:pPr>
                        <w:r>
                          <w:rPr>
                            <w:rFonts w:hint="eastAsia"/>
                          </w:rPr>
                          <w:t>降温调节池</w:t>
                        </w:r>
                      </w:p>
                      <w:p w14:paraId="206535A8">
                        <w:pPr>
                          <w:pStyle w:val="81"/>
                        </w:pPr>
                      </w:p>
                    </w:txbxContent>
                  </v:textbox>
                </v:shape>
                <v:shape id="直接箭头连接符 27" o:spid="_x0000_s1026" o:spt="32" type="#_x0000_t32" style="position:absolute;left:10689;top:12793;height:420;width:1;" filled="f" stroked="t" coordsize="21600,21600" o:gfxdata="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lSII&#10;wAAAANsAAAAPAAAAAAAAAAEAIAAAACIAAABkcnMvZG93bnJldi54bWxQSwECFAAUAAAACACHTuJA&#10;My8FnjsAAAA5AAAAEAAAAAAAAAABACAAAAAPAQAAZHJzL3NoYXBleG1sLnhtbFBLBQYAAAAABgAG&#10;AFsBAAC5AwAAAAA=&#10;">
                  <v:fill on="f" focussize="0,0"/>
                  <v:stroke weight="0pt" color="#000000" joinstyle="round" endarrow="block"/>
                  <v:imagedata o:title=""/>
                  <o:lock v:ext="edit" aspectratio="f"/>
                </v:shape>
                <v:shape id="文本框 36" o:spid="_x0000_s1026" o:spt="202" type="#_x0000_t202" style="position:absolute;left:5486;top:13210;height:554;width:1214;" fillcolor="#FFFFFF" filled="t" stroked="t" coordsize="21600,21600" o:gfxdata="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NyIh74A&#10;AADcAAAADwAAAAAAAAABACAAAAAiAAAAZHJzL2Rvd25yZXYueG1sUEsBAhQAFAAAAAgAh07iQDMv&#10;BZ47AAAAOQAAABAAAAAAAAAAAQAgAAAADQEAAGRycy9zaGFwZXhtbC54bWxQSwUGAAAAAAYABgBb&#10;AQAAtwMAAAAA&#10;">
                  <v:fill on="t" focussize="0,0"/>
                  <v:stroke weight="0pt" color="#000000" miterlimit="8" joinstyle="miter"/>
                  <v:imagedata o:title=""/>
                  <o:lock v:ext="edit" aspectratio="f"/>
                  <v:textbox>
                    <w:txbxContent>
                      <w:p w14:paraId="17931CAA">
                        <w:pPr>
                          <w:pStyle w:val="81"/>
                        </w:pPr>
                        <w:r>
                          <w:rPr>
                            <w:rFonts w:hint="eastAsia"/>
                          </w:rPr>
                          <w:t>检测池</w:t>
                        </w:r>
                      </w:p>
                    </w:txbxContent>
                  </v:textbox>
                </v:shape>
                <v:shape id="直接箭头连接符 22" o:spid="_x0000_s1026" o:spt="32" type="#_x0000_t32" style="position:absolute;left:5816;top:10665;height:420;width:1;" filled="f" stroked="t" coordsize="21600,21600" o:gfxdata="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heF8vQAA&#10;ANwAAAAPAAAAAAAAAAEAIAAAACIAAABkcnMvZG93bnJldi54bWxQSwECFAAUAAAACACHTuJAMy8F&#10;njsAAAA5AAAAEAAAAAAAAAABACAAAAAMAQAAZHJzL3NoYXBleG1sLnhtbFBLBQYAAAAABgAGAFsB&#10;AAC2AwAAAAA=&#10;">
                  <v:fill on="f" focussize="0,0"/>
                  <v:stroke weight="0pt" color="#000000" joinstyle="round" endarrow="block"/>
                  <v:imagedata o:title=""/>
                  <o:lock v:ext="edit" aspectratio="f"/>
                </v:shape>
                <v:shape id="直接箭头连接符 14" o:spid="_x0000_s1026" o:spt="32" type="#_x0000_t32" style="position:absolute;left:6596;top:12087;flip:x;height:0;width:1935;" filled="f" stroked="t" coordsize="21600,21600" o:gfxdata="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nFUUxtwAAANwAAAAP&#10;AAAAAAAAAAEAIAAAACIAAABkcnMvZG93bnJldi54bWxQSwECFAAUAAAACACHTuJAMy8FnjsAAAA5&#10;AAAAEAAAAAAAAAABACAAAAAGAQAAZHJzL3NoYXBleG1sLnhtbFBLBQYAAAAABgAGAFsBAACwAwAA&#10;AAA=&#10;">
                  <v:fill on="f" focussize="0,0"/>
                  <v:stroke weight="0pt" color="#000000" joinstyle="round" dashstyle="longDashDotDot"/>
                  <v:imagedata o:title=""/>
                  <o:lock v:ext="edit" aspectratio="f"/>
                </v:shape>
                <v:shape id="文本框 18" o:spid="_x0000_s1026" o:spt="202" type="#_x0000_t202" style="position:absolute;left:1654;top:11092;height:525;width:1432;" fillcolor="#FFFFFF" filled="t" stroked="t" coordsize="21600,21600" o:gfxdata="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A4W8LsAAADc&#10;AAAADwAAAAAAAAABACAAAAAiAAAAZHJzL2Rvd25yZXYueG1sUEsBAhQAFAAAAAgAh07iQDMvBZ47&#10;AAAAOQAAABAAAAAAAAAAAQAgAAAACgEAAGRycy9zaGFwZXhtbC54bWxQSwUGAAAAAAYABgBbAQAA&#10;tAMAAAAA&#10;">
                  <v:fill on="t" focussize="0,0"/>
                  <v:stroke weight="0pt" color="#000000" miterlimit="8" joinstyle="miter"/>
                  <v:imagedata o:title=""/>
                  <o:lock v:ext="edit" aspectratio="f"/>
                  <v:textbox>
                    <w:txbxContent>
                      <w:p w14:paraId="637E6D33">
                        <w:pPr>
                          <w:pStyle w:val="81"/>
                        </w:pPr>
                        <w:r>
                          <w:rPr>
                            <w:rFonts w:hint="eastAsia"/>
                          </w:rPr>
                          <w:t>蒸煮漂烫水</w:t>
                        </w:r>
                      </w:p>
                    </w:txbxContent>
                  </v:textbox>
                </v:shape>
                <v:shape id="直接箭头连接符 11" o:spid="_x0000_s1026" o:spt="32" type="#_x0000_t32" style="position:absolute;left:10706;top:11667;height:510;width:1;" filled="f" stroked="t" coordsize="21600,21600" o:gfxdata="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8kLkvQAA&#10;ANwAAAAPAAAAAAAAAAEAIAAAACIAAABkcnMvZG93bnJldi54bWxQSwECFAAUAAAACACHTuJAMy8F&#10;njsAAAA5AAAAEAAAAAAAAAABACAAAAAMAQAAZHJzL3NoYXBleG1sLnhtbFBLBQYAAAAABgAGAFsB&#10;AAC2AwAAAAA=&#10;">
                  <v:fill on="f" focussize="0,0"/>
                  <v:stroke weight="0pt" color="#000000" joinstyle="round" endarrow="block"/>
                  <v:imagedata o:title=""/>
                  <o:lock v:ext="edit" aspectratio="f"/>
                </v:shape>
                <v:shape id="文本框 9" o:spid="_x0000_s1026" o:spt="202" type="#_x0000_t202" style="position:absolute;left:4542;top:12177;height:531;width:1228;" fillcolor="#FFFFFF" filled="t" stroked="t" coordsize="21600,21600" o:gfxdata="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KsrH7sAAADc&#10;AAAADwAAAAAAAAABACAAAAAiAAAAZHJzL2Rvd25yZXYueG1sUEsBAhQAFAAAAAgAh07iQDMvBZ47&#10;AAAAOQAAABAAAAAAAAAAAQAgAAAACgEAAGRycy9zaGFwZXhtbC54bWxQSwUGAAAAAAYABgBbAQAA&#10;tAMAAAAA&#10;">
                  <v:fill on="t" focussize="0,0"/>
                  <v:stroke weight="0pt" color="#000000" miterlimit="8" joinstyle="miter"/>
                  <v:imagedata o:title=""/>
                  <o:lock v:ext="edit" aspectratio="f"/>
                  <v:textbox>
                    <w:txbxContent>
                      <w:p w14:paraId="2E774012">
                        <w:pPr>
                          <w:pStyle w:val="81"/>
                        </w:pPr>
                        <w:r>
                          <w:rPr>
                            <w:rFonts w:hint="eastAsia"/>
                          </w:rPr>
                          <w:t>外运填埋</w:t>
                        </w:r>
                      </w:p>
                    </w:txbxContent>
                  </v:textbox>
                </v:shape>
                <v:shape id="直接箭头连接符 30" o:spid="_x0000_s1026" o:spt="32" type="#_x0000_t32" style="position:absolute;left:9134;top:13397;flip:x y;height:9;width:521;" filled="f" stroked="t" coordsize="21600,21600" o:gfxdata="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gbyEq/&#10;AAAA3AAAAA8AAAAAAAAAAQAgAAAAIgAAAGRycy9kb3ducmV2LnhtbFBLAQIUABQAAAAIAIdO4kAz&#10;LwWeOwAAADkAAAAQAAAAAAAAAAEAIAAAAA4BAABkcnMvc2hhcGV4bWwueG1sUEsFBgAAAAAGAAYA&#10;WwEAALgDAAAAAA==&#10;">
                  <v:fill on="f" focussize="0,0"/>
                  <v:stroke weight="0pt" color="#000000" joinstyle="round" endarrow="block"/>
                  <v:imagedata o:title=""/>
                  <o:lock v:ext="edit" aspectratio="f"/>
                </v:shape>
                <v:shape id="文本框 28" o:spid="_x0000_s1026" o:spt="202" type="#_x0000_t202" style="position:absolute;left:3760;top:13210;height:525;width:1214;" fillcolor="#FFFFFF" filled="t" stroked="t" coordsize="21600,21600" o:gfxdata="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zUQ87sAAADc&#10;AAAADwAAAAAAAAABACAAAAAiAAAAZHJzL2Rvd25yZXYueG1sUEsBAhQAFAAAAAgAh07iQDMvBZ47&#10;AAAAOQAAABAAAAAAAAAAAQAgAAAACgEAAGRycy9zaGFwZXhtbC54bWxQSwUGAAAAAAYABgBbAQAA&#10;tAMAAAAA&#10;">
                  <v:fill on="t" focussize="0,0"/>
                  <v:stroke weight="0pt" color="#000000" miterlimit="8" joinstyle="miter"/>
                  <v:imagedata o:title=""/>
                  <o:lock v:ext="edit" aspectratio="f"/>
                  <v:textbox>
                    <w:txbxContent>
                      <w:p w14:paraId="12AA1DE0">
                        <w:pPr>
                          <w:pStyle w:val="81"/>
                        </w:pPr>
                        <w:r>
                          <w:rPr>
                            <w:rFonts w:hint="eastAsia"/>
                          </w:rPr>
                          <w:t>达标排放</w:t>
                        </w:r>
                      </w:p>
                    </w:txbxContent>
                  </v:textbox>
                </v:shape>
                <v:shape id="文本框 46" o:spid="_x0000_s1026" o:spt="202" type="#_x0000_t202" style="position:absolute;left:10120;top:14237;height:600;width:1020;" fillcolor="#FFFFFF" filled="t" stroked="t" coordsize="21600,21600" o:gfxdata="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qqEgb4A&#10;AADcAAAADwAAAAAAAAABACAAAAAiAAAAZHJzL2Rvd25yZXYueG1sUEsBAhQAFAAAAAgAh07iQDMv&#10;BZ47AAAAOQAAABAAAAAAAAAAAQAgAAAADQEAAGRycy9zaGFwZXhtbC54bWxQSwUGAAAAAAYABgBb&#10;AQAAtwMAAAAA&#10;">
                  <v:fill on="t" focussize="0,0"/>
                  <v:stroke weight="0pt" color="#000000" miterlimit="8" joinstyle="miter"/>
                  <v:imagedata o:title=""/>
                  <o:lock v:ext="edit" aspectratio="f"/>
                  <v:textbox>
                    <w:txbxContent>
                      <w:p w14:paraId="2D822D8A">
                        <w:pPr>
                          <w:pStyle w:val="81"/>
                        </w:pPr>
                        <w:r>
                          <w:rPr>
                            <w:rFonts w:hint="eastAsia"/>
                          </w:rPr>
                          <w:t>碳源</w:t>
                        </w:r>
                      </w:p>
                    </w:txbxContent>
                  </v:textbox>
                </v:shape>
                <v:shape id="文本框 24" o:spid="_x0000_s1026" o:spt="202" type="#_x0000_t202" style="position:absolute;left:9686;top:12160;height:614;width:1680;" fillcolor="#FFFFFF" filled="t" stroked="t" coordsize="21600,21600" o:gfxdata="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eYhGrsAAADc&#10;AAAADwAAAAAAAAABACAAAAAiAAAAZHJzL2Rvd25yZXYueG1sUEsBAhQAFAAAAAgAh07iQDMvBZ47&#10;AAAAOQAAABAAAAAAAAAAAQAgAAAACgEAAGRycy9zaGFwZXhtbC54bWxQSwUGAAAAAAYABgBbAQAA&#10;tAMAAAAA&#10;">
                  <v:fill on="t" focussize="0,0"/>
                  <v:stroke weight="0pt" color="#000000" miterlimit="8" joinstyle="miter"/>
                  <v:imagedata o:title=""/>
                  <o:lock v:ext="edit" aspectratio="f"/>
                  <v:textbox>
                    <w:txbxContent>
                      <w:p w14:paraId="36CC5475">
                        <w:pPr>
                          <w:pStyle w:val="81"/>
                        </w:pPr>
                        <w:r>
                          <w:rPr>
                            <w:rFonts w:hint="eastAsia"/>
                          </w:rPr>
                          <w:t>三效蒸发脱盐</w:t>
                        </w:r>
                      </w:p>
                    </w:txbxContent>
                  </v:textbox>
                </v:shape>
                <v:shape id="直接箭头连接符 35" o:spid="_x0000_s1026" o:spt="32" type="#_x0000_t32" style="position:absolute;left:10667;top:13780;flip:x y;height:432;width:12;" filled="f" stroked="t" coordsize="21600,21600" o:gfxdata="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1n&#10;Y3jCAAAA3AAAAA8AAAAAAAAAAQAgAAAAIgAAAGRycy9kb3ducmV2LnhtbFBLAQIUABQAAAAIAIdO&#10;4kAzLwWeOwAAADkAAAAQAAAAAAAAAAEAIAAAABEBAABkcnMvc2hhcGV4bWwueG1sUEsFBgAAAAAG&#10;AAYAWwEAALsDAAAAAA==&#10;">
                  <v:fill on="f" focussize="0,0"/>
                  <v:stroke weight="0pt" color="#000000" joinstyle="round" endarrow="block"/>
                  <v:imagedata o:title=""/>
                  <o:lock v:ext="edit" aspectratio="f"/>
                </v:shape>
                <v:shape id="直接箭头连接符 13" o:spid="_x0000_s1026" o:spt="32" type="#_x0000_t32" style="position:absolute;left:3130;top:11351;height:0;width:435;" filled="f" stroked="t" coordsize="21600,21600" o:gfxdata="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Ncd6G8AAAA&#10;3AAAAA8AAAAAAAAAAQAgAAAAIgAAAGRycy9kb3ducmV2LnhtbFBLAQIUABQAAAAIAIdO4kAzLwWe&#10;OwAAADkAAAAQAAAAAAAAAAEAIAAAAAsBAABkcnMvc2hhcGV4bWwueG1sUEsFBgAAAAAGAAYAWwEA&#10;ALUDAAAAAA==&#10;">
                  <v:fill on="f" focussize="0,0"/>
                  <v:stroke weight="0pt" color="#000000" joinstyle="round" endarrow="block"/>
                  <v:imagedata o:title=""/>
                  <o:lock v:ext="edit" aspectratio="f"/>
                </v:shape>
                <v:shape id="直接箭头连接符 8" o:spid="_x0000_s1026" o:spt="32" type="#_x0000_t32" style="position:absolute;left:5230;top:11366;height:0;width:435;" filled="f" stroked="t" coordsize="21600,21600" o:gfxdata="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47p1r4A&#10;AADcAAAADwAAAAAAAAABACAAAAAiAAAAZHJzL2Rvd25yZXYueG1sUEsBAhQAFAAAAAgAh07iQDMv&#10;BZ47AAAAOQAAABAAAAAAAAAAAQAgAAAADQEAAGRycy9zaGFwZXhtbC54bWxQSwUGAAAAAAYABgBb&#10;AQAAtwMAAAAA&#10;">
                  <v:fill on="f" focussize="0,0"/>
                  <v:stroke weight="0pt" color="#000000" joinstyle="round" endarrow="block"/>
                  <v:imagedata o:title=""/>
                  <o:lock v:ext="edit" aspectratio="f"/>
                </v:shape>
                <v:shape id="直接箭头连接符 17" o:spid="_x0000_s1026" o:spt="32" type="#_x0000_t32" style="position:absolute;left:7525;top:11381;height:0;width:435;" filled="f" stroked="t" coordsize="21600,21600" o:gfxdata="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wkxNvQAA&#10;ANwAAAAPAAAAAAAAAAEAIAAAACIAAABkcnMvZG93bnJldi54bWxQSwECFAAUAAAACACHTuJAMy8F&#10;njsAAAA5AAAAEAAAAAAAAAABACAAAAAMAQAAZHJzL3NoYXBleG1sLnhtbFBLBQYAAAAABgAGAFsB&#10;AAC2AwAAAAA=&#10;">
                  <v:fill on="f" focussize="0,0"/>
                  <v:stroke weight="0pt" color="#000000" joinstyle="round" endarrow="block"/>
                  <v:imagedata o:title=""/>
                  <o:lock v:ext="edit" aspectratio="f"/>
                </v:shape>
                <v:shape id="直接箭头连接符 15" o:spid="_x0000_s1026" o:spt="32" type="#_x0000_t32" style="position:absolute;left:9685;top:11381;height:0;width:435;" filled="f" stroked="t" coordsize="21600,21600" o:gfxdata="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yvUOb4A&#10;AADcAAAADwAAAAAAAAABACAAAAAiAAAAZHJzL2Rvd25yZXYueG1sUEsBAhQAFAAAAAgAh07iQDMv&#10;BZ47AAAAOQAAABAAAAAAAAAAAQAgAAAADQEAAGRycy9zaGFwZXhtbC54bWxQSwUGAAAAAAYABgBb&#10;AQAAtwMAAAAA&#10;">
                  <v:fill on="f" focussize="0,0"/>
                  <v:stroke weight="0pt" color="#000000" joinstyle="round" endarrow="block"/>
                  <v:imagedata o:title=""/>
                  <o:lock v:ext="edit" aspectratio="f"/>
                </v:shape>
                <v:shape id="文本框 39" o:spid="_x0000_s1026" o:spt="202" type="#_x0000_t202" style="position:absolute;left:10151;top:11131;height:509;width:1170;" fillcolor="#FFFFFF" filled="t" stroked="t" coordsize="21600,21600" o:gfxdata="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XK9wrsAAADc&#10;AAAADwAAAAAAAAABACAAAAAiAAAAZHJzL2Rvd25yZXYueG1sUEsBAhQAFAAAAAgAh07iQDMvBZ47&#10;AAAAOQAAABAAAAAAAAAAAQAgAAAACgEAAGRycy9zaGFwZXhtbC54bWxQSwUGAAAAAAYABgBbAQAA&#10;tAMAAAAA&#10;">
                  <v:fill on="t" focussize="0,0"/>
                  <v:stroke weight="0pt" color="#000000" miterlimit="8" joinstyle="miter"/>
                  <v:imagedata o:title=""/>
                  <o:lock v:ext="edit" aspectratio="f"/>
                  <v:textbox>
                    <w:txbxContent>
                      <w:p w14:paraId="4E2B7148">
                        <w:pPr>
                          <w:pStyle w:val="81"/>
                        </w:pPr>
                        <w:r>
                          <w:rPr>
                            <w:rFonts w:hint="eastAsia"/>
                          </w:rPr>
                          <w:t>砂滤罐</w:t>
                        </w:r>
                      </w:p>
                    </w:txbxContent>
                  </v:textbox>
                </v:shape>
                <v:shape id="文本框 20" o:spid="_x0000_s1026" o:spt="202" type="#_x0000_t202" style="position:absolute;left:5246;top:10136;height:554;width:1288;" fillcolor="#FFFFFF" filled="t" stroked="t" coordsize="21600,21600" o:gfxdata="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aAjtbsAAADc&#10;AAAADwAAAAAAAAABACAAAAAiAAAAZHJzL2Rvd25yZXYueG1sUEsBAhQAFAAAAAgAh07iQDMvBZ47&#10;AAAAOQAAABAAAAAAAAAAAQAgAAAACgEAAGRycy9zaGFwZXhtbC54bWxQSwUGAAAAAAYABgBbAQAA&#10;tAMAAAAA&#10;">
                  <v:fill on="t" focussize="0,0"/>
                  <v:stroke weight="0pt" color="#000000" miterlimit="8" joinstyle="miter"/>
                  <v:imagedata o:title=""/>
                  <o:lock v:ext="edit" aspectratio="f"/>
                  <v:textbox>
                    <w:txbxContent>
                      <w:p w14:paraId="09122BA3">
                        <w:pPr>
                          <w:pStyle w:val="81"/>
                        </w:pPr>
                        <w:r>
                          <w:rPr>
                            <w:rFonts w:hint="eastAsia"/>
                          </w:rPr>
                          <w:t>混凝加药</w:t>
                        </w:r>
                      </w:p>
                    </w:txbxContent>
                  </v:textbox>
                </v:shape>
                <v:shape id="文本框 23" o:spid="_x0000_s1026" o:spt="202" type="#_x0000_t202" style="position:absolute;left:7946;top:10099;height:525;width:1288;" fillcolor="#FFFFFF" filled="t" stroked="t" coordsize="21600,21600" o:gfxdata="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uyGLrsAAADc&#10;AAAADwAAAAAAAAABACAAAAAiAAAAZHJzL2Rvd25yZXYueG1sUEsBAhQAFAAAAAgAh07iQDMvBZ47&#10;AAAAOQAAABAAAAAAAAAAAQAgAAAACgEAAGRycy9zaGFwZXhtbC54bWxQSwUGAAAAAAYABgBbAQAA&#10;tAMAAAAA&#10;">
                  <v:fill on="t" focussize="0,0"/>
                  <v:stroke weight="0pt" color="#000000" miterlimit="8" joinstyle="miter"/>
                  <v:imagedata o:title=""/>
                  <o:lock v:ext="edit" aspectratio="f"/>
                  <v:textbox>
                    <w:txbxContent>
                      <w:p w14:paraId="5E4939F6">
                        <w:pPr>
                          <w:pStyle w:val="81"/>
                        </w:pPr>
                        <w:r>
                          <w:rPr>
                            <w:rFonts w:hint="eastAsia"/>
                          </w:rPr>
                          <w:t>混凝加药</w:t>
                        </w:r>
                      </w:p>
                    </w:txbxContent>
                  </v:textbox>
                </v:shape>
                <v:shape id="直接箭头连接符 6" o:spid="_x0000_s1026" o:spt="32" type="#_x0000_t32" style="position:absolute;left:6584;top:11719;height:378;width:12;" filled="f" stroked="t" coordsize="21600,21600" o:gfxdata="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5GBJ74A&#10;AADcAAAADwAAAAAAAAABACAAAAAiAAAAZHJzL2Rvd25yZXYueG1sUEsBAhQAFAAAAAgAh07iQDMv&#10;BZ47AAAAOQAAABAAAAAAAAAAAQAgAAAADQEAAGRycy9zaGFwZXhtbC54bWxQSwUGAAAAAAYABgBb&#10;AQAAtwMAAAAA&#10;">
                  <v:fill on="f" focussize="0,0"/>
                  <v:stroke weight="0pt" color="#000000" joinstyle="round" dashstyle="longDashDotDot" endarrow="block"/>
                  <v:imagedata o:title=""/>
                  <o:lock v:ext="edit" aspectratio="f"/>
                </v:shape>
                <v:shape id="直接箭头连接符 26" o:spid="_x0000_s1026" o:spt="32" type="#_x0000_t32" style="position:absolute;left:7499;top:12438;flip:x;height:1;width:477;" filled="f" stroked="t" coordsize="21600,21600" o:gfxdata="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I38e8ugAAANwA&#10;AAAPAAAAAAAAAAEAIAAAACIAAABkcnMvZG93bnJldi54bWxQSwECFAAUAAAACACHTuJAMy8FnjsA&#10;AAA5AAAAEAAAAAAAAAABACAAAAAJAQAAZHJzL3NoYXBleG1sLnhtbFBLBQYAAAAABgAGAFsBAACz&#10;AwAAAAA=&#10;">
                  <v:fill on="f" focussize="0,0"/>
                  <v:stroke weight="0pt" color="#000000" joinstyle="round" dashstyle="longDashDotDot" endarrow="block"/>
                  <v:imagedata o:title=""/>
                  <o:lock v:ext="edit" aspectratio="f"/>
                </v:shape>
                <v:shape id="直接箭头连接符 25" o:spid="_x0000_s1026" o:spt="32" type="#_x0000_t32" style="position:absolute;left:5804;top:12438;flip:x;height:1;width:477;" filled="f" stroked="t" coordsize="21600,21600" o:gfxdata="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aScvQAA&#10;ANwAAAAPAAAAAAAAAAEAIAAAACIAAABkcnMvZG93bnJldi54bWxQSwECFAAUAAAACACHTuJAMy8F&#10;njsAAAA5AAAAEAAAAAAAAAABACAAAAAMAQAAZHJzL3NoYXBleG1sLnhtbFBLBQYAAAAABgAGAFsB&#10;AAC2AwAAAAA=&#10;">
                  <v:fill on="f" focussize="0,0"/>
                  <v:stroke weight="0pt" color="#000000" joinstyle="round" dashstyle="longDashDotDot" endarrow="block"/>
                  <v:imagedata o:title=""/>
                  <o:lock v:ext="edit" aspectratio="f"/>
                </v:shape>
                <v:shape id="直接箭头连接符 34" o:spid="_x0000_s1026" o:spt="32" type="#_x0000_t32" style="position:absolute;left:8327;top:13835;flip:x y;height:432;width:12;" filled="f" stroked="t" coordsize="21600,21600" o:gfxdata="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xHDF6/&#10;AAAA3AAAAA8AAAAAAAAAAQAgAAAAIgAAAGRycy9kb3ducmV2LnhtbFBLAQIUABQAAAAIAIdO4kAz&#10;LwWeOwAAADkAAAAQAAAAAAAAAAEAIAAAAA4BAABkcnMvc2hhcGV4bWwueG1sUEsFBgAAAAAGAAYA&#10;WwEAALgDAAAAAA==&#10;">
                  <v:fill on="f" focussize="0,0"/>
                  <v:stroke weight="0pt" color="#000000" joinstyle="round" endarrow="block"/>
                  <v:imagedata o:title=""/>
                  <o:lock v:ext="edit" aspectratio="f"/>
                </v:shape>
                <v:shape id="直接箭头连接符 37" o:spid="_x0000_s1026" o:spt="32" type="#_x0000_t32" style="position:absolute;left:6749;top:13412;flip:x y;height:9;width:521;" filled="f" stroked="t" coordsize="21600,21600" o:gfxdata="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yVkim/&#10;AAAA3AAAAA8AAAAAAAAAAQAgAAAAIgAAAGRycy9kb3ducmV2LnhtbFBLAQIUABQAAAAIAIdO4kAz&#10;LwWeOwAAADkAAAAQAAAAAAAAAAEAIAAAAA4BAABkcnMvc2hhcGV4bWwueG1sUEsFBgAAAAAGAAYA&#10;WwEAALgDAAAAAA==&#10;">
                  <v:fill on="f" focussize="0,0"/>
                  <v:stroke weight="0pt" color="#000000" joinstyle="round" endarrow="block"/>
                  <v:imagedata o:title=""/>
                  <o:lock v:ext="edit" aspectratio="f"/>
                </v:shape>
                <v:shape id="直接箭头连接符 29" o:spid="_x0000_s1026" o:spt="32" type="#_x0000_t32" style="position:absolute;left:4979;top:13412;flip:x y;height:9;width:521;" filled="f" stroked="t" coordsize="21600,21600" o:gfxdata="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PZN7K/&#10;AAAA3AAAAA8AAAAAAAAAAQAgAAAAIgAAAGRycy9kb3ducmV2LnhtbFBLAQIUABQAAAAIAIdO4kAz&#10;LwWeOwAAADkAAAAQAAAAAAAAAAEAIAAAAA4BAABkcnMvc2hhcGV4bWwueG1sUEsFBgAAAAAGAAYA&#10;WwEAALgDAAAAAA==&#10;">
                  <v:fill on="f" focussize="0,0"/>
                  <v:stroke weight="0pt" color="#000000" joinstyle="round" endarrow="block"/>
                  <v:imagedata o:title=""/>
                  <o:lock v:ext="edit" aspectratio="f"/>
                </v:shape>
                <v:shape id="直接箭头连接符 33" o:spid="_x0000_s1026" o:spt="32" type="#_x0000_t32" style="position:absolute;left:6296;top:13787;height:420;width:1;" filled="f" stroked="t" coordsize="21600,21600" o:gfxdata="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Rx6EvQAA&#10;ANwAAAAPAAAAAAAAAAEAIAAAACIAAABkcnMvZG93bnJldi54bWxQSwECFAAUAAAACACHTuJAMy8F&#10;njsAAAA5AAAAEAAAAAAAAAABACAAAAAMAQAAZHJzL3NoYXBleG1sLnhtbFBLBQYAAAAABgAGAFsB&#10;AAC2AwAAAAA=&#10;">
                  <v:fill on="f" focussize="0,0"/>
                  <v:stroke weight="0pt" color="#000000" joinstyle="round" endarrow="block"/>
                  <v:imagedata o:title=""/>
                  <o:lock v:ext="edit" aspectratio="f"/>
                </v:shape>
                <v:shape id="文本框 43" o:spid="_x0000_s1026" o:spt="202" type="#_x0000_t202" style="position:absolute;left:5500;top:14208;height:600;width:1214;" fillcolor="#FFFFFF" filled="t" stroked="t" coordsize="21600,21600" o:gfxdata="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x53f7sAAADc&#10;AAAADwAAAAAAAAABACAAAAAiAAAAZHJzL2Rvd25yZXYueG1sUEsBAhQAFAAAAAgAh07iQDMvBZ47&#10;AAAAOQAAABAAAAAAAAAAAQAgAAAACgEAAGRycy9zaGFwZXhtbC54bWxQSwUGAAAAAAYABgBbAQAA&#10;tAMAAAAA&#10;">
                  <v:fill on="t" focussize="0,0"/>
                  <v:stroke weight="0pt" color="#000000" miterlimit="8" joinstyle="miter"/>
                  <v:imagedata o:title=""/>
                  <o:lock v:ext="edit" aspectratio="f"/>
                  <v:textbox>
                    <w:txbxContent>
                      <w:p w14:paraId="237DAF8F">
                        <w:pPr>
                          <w:pStyle w:val="81"/>
                        </w:pPr>
                        <w:r>
                          <w:rPr>
                            <w:rFonts w:hint="eastAsia"/>
                          </w:rPr>
                          <w:t>在线检测</w:t>
                        </w:r>
                      </w:p>
                    </w:txbxContent>
                  </v:textbox>
                </v:shape>
              </v:group>
            </w:pict>
          </mc:Fallback>
        </mc:AlternateContent>
      </w:r>
    </w:p>
    <w:p w14:paraId="709E50C1">
      <w:pPr>
        <w:ind w:firstLine="480"/>
        <w:rPr>
          <w:rFonts w:cs="Times New Roman"/>
        </w:rPr>
      </w:pPr>
    </w:p>
    <w:p w14:paraId="5DC9C004">
      <w:pPr>
        <w:ind w:firstLine="480"/>
        <w:rPr>
          <w:rFonts w:cs="Times New Roman"/>
        </w:rPr>
      </w:pPr>
    </w:p>
    <w:p w14:paraId="321AD532">
      <w:pPr>
        <w:ind w:firstLine="480"/>
        <w:rPr>
          <w:rFonts w:cs="Times New Roman"/>
        </w:rPr>
      </w:pPr>
    </w:p>
    <w:p w14:paraId="57970D33">
      <w:pPr>
        <w:ind w:firstLine="480"/>
        <w:rPr>
          <w:rFonts w:cs="Times New Roman"/>
        </w:rPr>
      </w:pPr>
    </w:p>
    <w:p w14:paraId="044AFA0B">
      <w:pPr>
        <w:ind w:firstLine="480"/>
        <w:rPr>
          <w:rFonts w:cs="Times New Roman"/>
        </w:rPr>
      </w:pPr>
    </w:p>
    <w:p w14:paraId="3BCFAEC6">
      <w:pPr>
        <w:ind w:firstLine="480"/>
        <w:rPr>
          <w:rFonts w:cs="Times New Roman"/>
        </w:rPr>
      </w:pPr>
    </w:p>
    <w:p w14:paraId="2C201D7A">
      <w:pPr>
        <w:ind w:firstLine="480"/>
        <w:rPr>
          <w:rFonts w:cs="Times New Roman"/>
        </w:rPr>
      </w:pPr>
    </w:p>
    <w:p w14:paraId="0BE67732">
      <w:pPr>
        <w:ind w:firstLine="480"/>
        <w:rPr>
          <w:rFonts w:cs="Times New Roman"/>
        </w:rPr>
      </w:pPr>
    </w:p>
    <w:p w14:paraId="20702BAD">
      <w:pPr>
        <w:ind w:firstLine="480"/>
        <w:rPr>
          <w:rFonts w:cs="Times New Roman"/>
        </w:rPr>
      </w:pPr>
    </w:p>
    <w:p w14:paraId="71C58FF7">
      <w:pPr>
        <w:pStyle w:val="61"/>
        <w:rPr>
          <w:rFonts w:cs="Times New Roman"/>
          <w:sz w:val="21"/>
          <w:szCs w:val="21"/>
        </w:rPr>
      </w:pPr>
      <w:r>
        <w:rPr>
          <w:rFonts w:cs="Times New Roman"/>
        </w:rPr>
        <w:t xml:space="preserve">图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图 \* ARABIC \s 1 </w:instrText>
      </w:r>
      <w:r>
        <w:rPr>
          <w:rFonts w:cs="Times New Roman"/>
        </w:rPr>
        <w:fldChar w:fldCharType="separate"/>
      </w:r>
      <w:r>
        <w:rPr>
          <w:rFonts w:cs="Times New Roman"/>
        </w:rPr>
        <w:t>6</w:t>
      </w:r>
      <w:r>
        <w:rPr>
          <w:rFonts w:cs="Times New Roman"/>
        </w:rPr>
        <w:fldChar w:fldCharType="end"/>
      </w:r>
      <w:r>
        <w:rPr>
          <w:rFonts w:cs="Times New Roman"/>
        </w:rPr>
        <w:t xml:space="preserve">  </w:t>
      </w:r>
      <w:r>
        <w:rPr>
          <w:rFonts w:cs="Times New Roman"/>
          <w:sz w:val="21"/>
          <w:szCs w:val="21"/>
        </w:rPr>
        <w:t xml:space="preserve">  蒸煮漂烫水处理工艺流程图（三效蒸发与MBR组合）</w:t>
      </w:r>
    </w:p>
    <w:p w14:paraId="508D6E39">
      <w:pPr>
        <w:pStyle w:val="61"/>
        <w:rPr>
          <w:rFonts w:cs="Times New Roman"/>
          <w:sz w:val="21"/>
          <w:szCs w:val="21"/>
        </w:rPr>
      </w:pPr>
    </w:p>
    <w:p w14:paraId="1AB0AD67">
      <w:pPr>
        <w:pStyle w:val="80"/>
        <w:ind w:firstLine="480"/>
        <w:rPr>
          <w:szCs w:val="24"/>
        </w:rPr>
      </w:pPr>
      <w:r>
        <w:t>MBR池为好氧池，是在好氧曝气池的基础上发展而来的，池内经培养形成的具有优势菌种的活性污泥，在好氧曝气条件下，能更好地去除废水中污染物。MBR池由于独特的运行方式，因而对污水中CODcr、BOD</w:t>
      </w:r>
      <w:r>
        <w:rPr>
          <w:vertAlign w:val="subscript"/>
        </w:rPr>
        <w:t xml:space="preserve">5 </w:t>
      </w:r>
      <w:r>
        <w:t>等污染物的去除率更高。MBR池中安装曝气器；曝气器使用可变微孔曝气器，具有气泡均匀，氧利用率高，不易堵塞气孔的优点；MBR池微生物浓度高，生物利用率高</w:t>
      </w:r>
      <w:r>
        <w:rPr>
          <w:szCs w:val="24"/>
        </w:rPr>
        <w:t>。</w:t>
      </w:r>
    </w:p>
    <w:p w14:paraId="5D8372DF">
      <w:pPr>
        <w:pStyle w:val="80"/>
        <w:ind w:firstLine="480"/>
        <w:rPr>
          <w:szCs w:val="24"/>
        </w:rPr>
      </w:pPr>
      <w:r>
        <w:rPr>
          <w:szCs w:val="24"/>
        </w:rPr>
        <w:t>MBR池出水进入检测池后外排。</w:t>
      </w:r>
    </w:p>
    <w:p w14:paraId="092030F6">
      <w:pPr>
        <w:pStyle w:val="80"/>
        <w:ind w:firstLine="480"/>
        <w:rPr>
          <w:szCs w:val="24"/>
        </w:rPr>
      </w:pPr>
      <w:r>
        <w:t>工程实践证明，上述工艺流程的组合具有运行稳定，抗冲击能力强，处理效率高、出水水质好等特点，是成熟和理想的此类废水处理工艺。</w:t>
      </w:r>
    </w:p>
    <w:p w14:paraId="360FD8E1">
      <w:pPr>
        <w:pStyle w:val="80"/>
        <w:ind w:firstLine="480"/>
      </w:pPr>
      <w:r>
        <mc:AlternateContent>
          <mc:Choice Requires="wpg">
            <w:drawing>
              <wp:anchor distT="0" distB="0" distL="114300" distR="114300" simplePos="0" relativeHeight="251660288" behindDoc="0" locked="0" layoutInCell="1" allowOverlap="1">
                <wp:simplePos x="0" y="0"/>
                <wp:positionH relativeFrom="column">
                  <wp:posOffset>515620</wp:posOffset>
                </wp:positionH>
                <wp:positionV relativeFrom="paragraph">
                  <wp:posOffset>311785</wp:posOffset>
                </wp:positionV>
                <wp:extent cx="3553460" cy="5219700"/>
                <wp:effectExtent l="10795" t="5080" r="0" b="13970"/>
                <wp:wrapNone/>
                <wp:docPr id="46" name="Group 107"/>
                <wp:cNvGraphicFramePr/>
                <a:graphic xmlns:a="http://schemas.openxmlformats.org/drawingml/2006/main">
                  <a:graphicData uri="http://schemas.microsoft.com/office/word/2010/wordprocessingGroup">
                    <wpg:wgp>
                      <wpg:cNvGrpSpPr/>
                      <wpg:grpSpPr>
                        <a:xfrm>
                          <a:off x="0" y="0"/>
                          <a:ext cx="3553460" cy="5219700"/>
                          <a:chOff x="2351" y="7809"/>
                          <a:chExt cx="5596" cy="8220"/>
                        </a:xfrm>
                      </wpg:grpSpPr>
                      <wps:wsp>
                        <wps:cNvPr id="47" name="Text Box 44"/>
                        <wps:cNvSpPr txBox="1">
                          <a:spLocks noChangeArrowheads="1"/>
                        </wps:cNvSpPr>
                        <wps:spPr bwMode="auto">
                          <a:xfrm>
                            <a:off x="4524" y="8576"/>
                            <a:ext cx="1943" cy="527"/>
                          </a:xfrm>
                          <a:prstGeom prst="rect">
                            <a:avLst/>
                          </a:prstGeom>
                          <a:noFill/>
                          <a:ln w="6350">
                            <a:solidFill>
                              <a:srgbClr val="000000"/>
                            </a:solidFill>
                            <a:round/>
                          </a:ln>
                        </wps:spPr>
                        <wps:txbx>
                          <w:txbxContent>
                            <w:p w14:paraId="42514ED6">
                              <w:pPr>
                                <w:pStyle w:val="81"/>
                              </w:pPr>
                              <w:r>
                                <w:rPr>
                                  <w:rFonts w:hint="eastAsia"/>
                                </w:rPr>
                                <w:t>废水储池</w:t>
                              </w:r>
                            </w:p>
                          </w:txbxContent>
                        </wps:txbx>
                        <wps:bodyPr rot="0" vert="horz" wrap="square" lIns="0" tIns="72000" rIns="0" bIns="0" anchor="t" anchorCtr="0" upright="1">
                          <a:noAutofit/>
                        </wps:bodyPr>
                      </wps:wsp>
                      <wps:wsp>
                        <wps:cNvPr id="48" name="直接箭头连接符 3"/>
                        <wps:cNvCnPr>
                          <a:cxnSpLocks noChangeShapeType="1"/>
                        </wps:cNvCnPr>
                        <wps:spPr bwMode="auto">
                          <a:xfrm flipH="1">
                            <a:off x="3311" y="11386"/>
                            <a:ext cx="2" cy="378"/>
                          </a:xfrm>
                          <a:prstGeom prst="straightConnector1">
                            <a:avLst/>
                          </a:prstGeom>
                          <a:noFill/>
                          <a:ln w="12700">
                            <a:solidFill>
                              <a:srgbClr val="000000"/>
                            </a:solidFill>
                            <a:miter lim="800000"/>
                            <a:tailEnd type="triangle" w="med" len="lg"/>
                          </a:ln>
                        </wps:spPr>
                        <wps:bodyPr/>
                      </wps:wsp>
                      <wps:wsp>
                        <wps:cNvPr id="49" name="Text Box 46"/>
                        <wps:cNvSpPr txBox="1">
                          <a:spLocks noChangeArrowheads="1"/>
                        </wps:cNvSpPr>
                        <wps:spPr bwMode="auto">
                          <a:xfrm>
                            <a:off x="2932" y="9935"/>
                            <a:ext cx="919" cy="571"/>
                          </a:xfrm>
                          <a:prstGeom prst="rect">
                            <a:avLst/>
                          </a:prstGeom>
                          <a:noFill/>
                          <a:ln w="6350">
                            <a:solidFill>
                              <a:srgbClr val="FFFFFF"/>
                            </a:solidFill>
                            <a:round/>
                          </a:ln>
                        </wps:spPr>
                        <wps:txbx>
                          <w:txbxContent>
                            <w:p w14:paraId="471A103C">
                              <w:pPr>
                                <w:pStyle w:val="81"/>
                              </w:pPr>
                              <w:r>
                                <w:rPr>
                                  <w:rFonts w:hint="eastAsia"/>
                                </w:rPr>
                                <w:t>自来水</w:t>
                              </w:r>
                            </w:p>
                          </w:txbxContent>
                        </wps:txbx>
                        <wps:bodyPr rot="0" vert="horz" wrap="square" lIns="0" tIns="72000" rIns="0" bIns="0" anchor="t" anchorCtr="0" upright="1">
                          <a:noAutofit/>
                        </wps:bodyPr>
                      </wps:wsp>
                      <wps:wsp>
                        <wps:cNvPr id="50" name="文本框 5"/>
                        <wps:cNvSpPr txBox="1">
                          <a:spLocks noChangeArrowheads="1"/>
                        </wps:cNvSpPr>
                        <wps:spPr bwMode="auto">
                          <a:xfrm>
                            <a:off x="4648" y="9843"/>
                            <a:ext cx="1757" cy="562"/>
                          </a:xfrm>
                          <a:prstGeom prst="rect">
                            <a:avLst/>
                          </a:prstGeom>
                          <a:noFill/>
                          <a:ln w="6350">
                            <a:solidFill>
                              <a:srgbClr val="000000"/>
                            </a:solidFill>
                            <a:round/>
                          </a:ln>
                        </wps:spPr>
                        <wps:txbx>
                          <w:txbxContent>
                            <w:p w14:paraId="43A042E6">
                              <w:pPr>
                                <w:pStyle w:val="81"/>
                              </w:pPr>
                              <w:r>
                                <w:rPr>
                                  <w:rFonts w:hint="eastAsia"/>
                                </w:rPr>
                                <w:t>袋式过滤器</w:t>
                              </w:r>
                            </w:p>
                          </w:txbxContent>
                        </wps:txbx>
                        <wps:bodyPr rot="0" vert="horz" wrap="square" lIns="0" tIns="72000" rIns="0" bIns="0" anchor="t" anchorCtr="0" upright="1">
                          <a:noAutofit/>
                        </wps:bodyPr>
                      </wps:wsp>
                      <wps:wsp>
                        <wps:cNvPr id="51" name="Text Box 48"/>
                        <wps:cNvSpPr txBox="1">
                          <a:spLocks noChangeArrowheads="1"/>
                        </wps:cNvSpPr>
                        <wps:spPr bwMode="auto">
                          <a:xfrm>
                            <a:off x="4640" y="10799"/>
                            <a:ext cx="1757" cy="601"/>
                          </a:xfrm>
                          <a:prstGeom prst="rect">
                            <a:avLst/>
                          </a:prstGeom>
                          <a:noFill/>
                          <a:ln w="6350">
                            <a:solidFill>
                              <a:srgbClr val="000000"/>
                            </a:solidFill>
                            <a:round/>
                          </a:ln>
                        </wps:spPr>
                        <wps:txbx>
                          <w:txbxContent>
                            <w:p w14:paraId="7674664B">
                              <w:pPr>
                                <w:pStyle w:val="81"/>
                              </w:pPr>
                              <w:r>
                                <w:rPr>
                                  <w:rFonts w:hint="eastAsia"/>
                                </w:rPr>
                                <w:t>滤后水池</w:t>
                              </w:r>
                            </w:p>
                          </w:txbxContent>
                        </wps:txbx>
                        <wps:bodyPr rot="0" vert="horz" wrap="square" lIns="0" tIns="72000" rIns="0" bIns="0" anchor="t" anchorCtr="0" upright="1">
                          <a:noAutofit/>
                        </wps:bodyPr>
                      </wps:wsp>
                      <wps:wsp>
                        <wps:cNvPr id="52" name="文本框 8"/>
                        <wps:cNvSpPr txBox="1">
                          <a:spLocks noChangeArrowheads="1"/>
                        </wps:cNvSpPr>
                        <wps:spPr bwMode="auto">
                          <a:xfrm>
                            <a:off x="4645" y="11787"/>
                            <a:ext cx="1757" cy="564"/>
                          </a:xfrm>
                          <a:prstGeom prst="rect">
                            <a:avLst/>
                          </a:prstGeom>
                          <a:noFill/>
                          <a:ln w="6350">
                            <a:solidFill>
                              <a:srgbClr val="000000"/>
                            </a:solidFill>
                            <a:round/>
                          </a:ln>
                        </wps:spPr>
                        <wps:txbx>
                          <w:txbxContent>
                            <w:p w14:paraId="10955E51">
                              <w:pPr>
                                <w:pStyle w:val="81"/>
                              </w:pPr>
                              <w:r>
                                <w:rPr>
                                  <w:rFonts w:hint="eastAsia"/>
                                </w:rPr>
                                <w:t>MVR蒸发器</w:t>
                              </w:r>
                            </w:p>
                          </w:txbxContent>
                        </wps:txbx>
                        <wps:bodyPr rot="0" vert="horz" wrap="square" lIns="0" tIns="72000" rIns="0" bIns="0" anchor="t" anchorCtr="0" upright="1">
                          <a:noAutofit/>
                        </wps:bodyPr>
                      </wps:wsp>
                      <wps:wsp>
                        <wps:cNvPr id="53" name="直接箭头连接符 9"/>
                        <wps:cNvCnPr>
                          <a:cxnSpLocks noChangeShapeType="1"/>
                        </wps:cNvCnPr>
                        <wps:spPr bwMode="auto">
                          <a:xfrm>
                            <a:off x="4179" y="11976"/>
                            <a:ext cx="478" cy="5"/>
                          </a:xfrm>
                          <a:prstGeom prst="straightConnector1">
                            <a:avLst/>
                          </a:prstGeom>
                          <a:noFill/>
                          <a:ln w="12700">
                            <a:solidFill>
                              <a:srgbClr val="000000"/>
                            </a:solidFill>
                            <a:miter lim="800000"/>
                            <a:tailEnd type="triangle" w="med" len="lg"/>
                          </a:ln>
                        </wps:spPr>
                        <wps:bodyPr/>
                      </wps:wsp>
                      <wps:wsp>
                        <wps:cNvPr id="54" name="直接箭头连接符 10"/>
                        <wps:cNvCnPr>
                          <a:cxnSpLocks noChangeShapeType="1"/>
                        </wps:cNvCnPr>
                        <wps:spPr bwMode="auto">
                          <a:xfrm>
                            <a:off x="6427" y="10129"/>
                            <a:ext cx="478" cy="5"/>
                          </a:xfrm>
                          <a:prstGeom prst="straightConnector1">
                            <a:avLst/>
                          </a:prstGeom>
                          <a:noFill/>
                          <a:ln w="12700">
                            <a:solidFill>
                              <a:srgbClr val="000000"/>
                            </a:solidFill>
                            <a:miter lim="800000"/>
                            <a:tailEnd type="triangle" w="med" len="lg"/>
                          </a:ln>
                        </wps:spPr>
                        <wps:bodyPr/>
                      </wps:wsp>
                      <wps:wsp>
                        <wps:cNvPr id="55" name="AutoShape 52"/>
                        <wps:cNvCnPr>
                          <a:cxnSpLocks noChangeShapeType="1"/>
                        </wps:cNvCnPr>
                        <wps:spPr bwMode="auto">
                          <a:xfrm>
                            <a:off x="6459" y="11981"/>
                            <a:ext cx="478" cy="5"/>
                          </a:xfrm>
                          <a:prstGeom prst="straightConnector1">
                            <a:avLst/>
                          </a:prstGeom>
                          <a:noFill/>
                          <a:ln w="12700">
                            <a:solidFill>
                              <a:srgbClr val="000000"/>
                            </a:solidFill>
                            <a:miter lim="800000"/>
                            <a:tailEnd type="triangle" w="med" len="lg"/>
                          </a:ln>
                        </wps:spPr>
                        <wps:bodyPr/>
                      </wps:wsp>
                      <wps:wsp>
                        <wps:cNvPr id="56" name="直接箭头连接符 12"/>
                        <wps:cNvCnPr>
                          <a:cxnSpLocks noChangeShapeType="1"/>
                        </wps:cNvCnPr>
                        <wps:spPr bwMode="auto">
                          <a:xfrm>
                            <a:off x="3304" y="10463"/>
                            <a:ext cx="1" cy="397"/>
                          </a:xfrm>
                          <a:prstGeom prst="straightConnector1">
                            <a:avLst/>
                          </a:prstGeom>
                          <a:noFill/>
                          <a:ln w="12700">
                            <a:solidFill>
                              <a:srgbClr val="000000"/>
                            </a:solidFill>
                            <a:miter lim="800000"/>
                            <a:tailEnd type="triangle" w="med" len="lg"/>
                          </a:ln>
                        </wps:spPr>
                        <wps:bodyPr/>
                      </wps:wsp>
                      <wps:wsp>
                        <wps:cNvPr id="57" name="AutoShape 54"/>
                        <wps:cNvCnPr>
                          <a:cxnSpLocks noChangeShapeType="1"/>
                        </wps:cNvCnPr>
                        <wps:spPr bwMode="auto">
                          <a:xfrm flipH="1">
                            <a:off x="5492" y="11417"/>
                            <a:ext cx="9" cy="397"/>
                          </a:xfrm>
                          <a:prstGeom prst="straightConnector1">
                            <a:avLst/>
                          </a:prstGeom>
                          <a:noFill/>
                          <a:ln w="12700">
                            <a:solidFill>
                              <a:srgbClr val="000000"/>
                            </a:solidFill>
                            <a:miter lim="800000"/>
                            <a:tailEnd type="triangle" w="med" len="lg"/>
                          </a:ln>
                        </wps:spPr>
                        <wps:bodyPr/>
                      </wps:wsp>
                      <wps:wsp>
                        <wps:cNvPr id="58" name="直接箭头连接符 16"/>
                        <wps:cNvCnPr>
                          <a:cxnSpLocks noChangeShapeType="1"/>
                        </wps:cNvCnPr>
                        <wps:spPr bwMode="auto">
                          <a:xfrm>
                            <a:off x="5485" y="9103"/>
                            <a:ext cx="18" cy="797"/>
                          </a:xfrm>
                          <a:prstGeom prst="straightConnector1">
                            <a:avLst/>
                          </a:prstGeom>
                          <a:noFill/>
                          <a:ln w="12700">
                            <a:solidFill>
                              <a:srgbClr val="000000"/>
                            </a:solidFill>
                            <a:miter lim="800000"/>
                            <a:tailEnd type="triangle" w="med" len="lg"/>
                          </a:ln>
                        </wps:spPr>
                        <wps:bodyPr/>
                      </wps:wsp>
                      <wps:wsp>
                        <wps:cNvPr id="59" name="AutoShape 56"/>
                        <wps:cNvCnPr>
                          <a:cxnSpLocks noChangeShapeType="1"/>
                        </wps:cNvCnPr>
                        <wps:spPr bwMode="auto">
                          <a:xfrm flipH="1">
                            <a:off x="5510" y="10393"/>
                            <a:ext cx="2" cy="397"/>
                          </a:xfrm>
                          <a:prstGeom prst="straightConnector1">
                            <a:avLst/>
                          </a:prstGeom>
                          <a:noFill/>
                          <a:ln w="12700">
                            <a:solidFill>
                              <a:srgbClr val="000000"/>
                            </a:solidFill>
                            <a:miter lim="800000"/>
                            <a:tailEnd type="triangle" w="med" len="lg"/>
                          </a:ln>
                        </wps:spPr>
                        <wps:bodyPr/>
                      </wps:wsp>
                      <wps:wsp>
                        <wps:cNvPr id="60" name="文本框 22"/>
                        <wps:cNvSpPr txBox="1">
                          <a:spLocks noChangeArrowheads="1"/>
                        </wps:cNvSpPr>
                        <wps:spPr bwMode="auto">
                          <a:xfrm>
                            <a:off x="6827" y="11830"/>
                            <a:ext cx="1120" cy="504"/>
                          </a:xfrm>
                          <a:prstGeom prst="rect">
                            <a:avLst/>
                          </a:prstGeom>
                          <a:noFill/>
                          <a:ln>
                            <a:noFill/>
                          </a:ln>
                        </wps:spPr>
                        <wps:txbx>
                          <w:txbxContent>
                            <w:p w14:paraId="3C427B07">
                              <w:pPr>
                                <w:pStyle w:val="81"/>
                              </w:pPr>
                              <w:r>
                                <w:rPr>
                                  <w:rFonts w:hint="eastAsia"/>
                                </w:rPr>
                                <w:t>结晶盐</w:t>
                              </w:r>
                            </w:p>
                          </w:txbxContent>
                        </wps:txbx>
                        <wps:bodyPr rot="0" vert="horz" wrap="square" lIns="0" tIns="0" rIns="0" bIns="0" anchor="t" anchorCtr="0" upright="1">
                          <a:noAutofit/>
                        </wps:bodyPr>
                      </wps:wsp>
                      <wps:wsp>
                        <wps:cNvPr id="61" name="Text Box 58"/>
                        <wps:cNvSpPr txBox="1">
                          <a:spLocks noChangeArrowheads="1"/>
                        </wps:cNvSpPr>
                        <wps:spPr bwMode="auto">
                          <a:xfrm>
                            <a:off x="4457" y="7809"/>
                            <a:ext cx="1917" cy="552"/>
                          </a:xfrm>
                          <a:prstGeom prst="rect">
                            <a:avLst/>
                          </a:prstGeom>
                          <a:noFill/>
                          <a:ln w="6350">
                            <a:solidFill>
                              <a:srgbClr val="FFFFFF"/>
                            </a:solidFill>
                            <a:round/>
                          </a:ln>
                        </wps:spPr>
                        <wps:txbx>
                          <w:txbxContent>
                            <w:p w14:paraId="15EE96B1">
                              <w:pPr>
                                <w:pStyle w:val="81"/>
                              </w:pPr>
                              <w:r>
                                <w:rPr>
                                  <w:rFonts w:cs="楷体"/>
                                  <w:color w:val="000000"/>
                                  <w:spacing w:val="8"/>
                                </w:rPr>
                                <w:t>烫煮</w:t>
                              </w:r>
                              <w:r>
                                <w:rPr>
                                  <w:rFonts w:hint="eastAsia"/>
                                </w:rPr>
                                <w:t>废水</w:t>
                              </w:r>
                            </w:p>
                          </w:txbxContent>
                        </wps:txbx>
                        <wps:bodyPr rot="0" vert="horz" wrap="square" lIns="0" tIns="0" rIns="0" bIns="0" anchor="t" anchorCtr="0" upright="1">
                          <a:noAutofit/>
                        </wps:bodyPr>
                      </wps:wsp>
                      <wps:wsp>
                        <wps:cNvPr id="62" name="Text Box 59"/>
                        <wps:cNvSpPr txBox="1">
                          <a:spLocks noChangeArrowheads="1"/>
                        </wps:cNvSpPr>
                        <wps:spPr bwMode="auto">
                          <a:xfrm>
                            <a:off x="4629" y="15441"/>
                            <a:ext cx="1963" cy="588"/>
                          </a:xfrm>
                          <a:prstGeom prst="rect">
                            <a:avLst/>
                          </a:prstGeom>
                          <a:noFill/>
                          <a:ln w="6350">
                            <a:solidFill>
                              <a:srgbClr val="FFFFFF"/>
                            </a:solidFill>
                            <a:round/>
                          </a:ln>
                        </wps:spPr>
                        <wps:txbx>
                          <w:txbxContent>
                            <w:p w14:paraId="3E9BA280">
                              <w:pPr>
                                <w:pStyle w:val="81"/>
                              </w:pPr>
                              <w:r>
                                <w:rPr>
                                  <w:rFonts w:hint="eastAsia"/>
                                </w:rPr>
                                <w:t>达标排放</w:t>
                              </w:r>
                            </w:p>
                          </w:txbxContent>
                        </wps:txbx>
                        <wps:bodyPr rot="0" vert="horz" wrap="square" lIns="0" tIns="72000" rIns="0" bIns="0" anchor="t" anchorCtr="0" upright="1">
                          <a:noAutofit/>
                        </wps:bodyPr>
                      </wps:wsp>
                      <wps:wsp>
                        <wps:cNvPr id="63" name="文本框 25"/>
                        <wps:cNvSpPr txBox="1">
                          <a:spLocks noChangeArrowheads="1"/>
                        </wps:cNvSpPr>
                        <wps:spPr bwMode="auto">
                          <a:xfrm>
                            <a:off x="6656" y="9849"/>
                            <a:ext cx="1084" cy="663"/>
                          </a:xfrm>
                          <a:prstGeom prst="rect">
                            <a:avLst/>
                          </a:prstGeom>
                          <a:noFill/>
                          <a:ln>
                            <a:noFill/>
                          </a:ln>
                        </wps:spPr>
                        <wps:txbx>
                          <w:txbxContent>
                            <w:p w14:paraId="5B5FF1FB">
                              <w:pPr>
                                <w:pStyle w:val="81"/>
                              </w:pPr>
                              <w:r>
                                <w:rPr>
                                  <w:rFonts w:hint="eastAsia"/>
                                </w:rPr>
                                <w:t>滤渣</w:t>
                              </w:r>
                            </w:p>
                          </w:txbxContent>
                        </wps:txbx>
                        <wps:bodyPr rot="0" vert="horz" wrap="square" lIns="0" tIns="72000" rIns="0" bIns="0" anchor="t" anchorCtr="0" upright="1">
                          <a:noAutofit/>
                        </wps:bodyPr>
                      </wps:wsp>
                      <wps:wsp>
                        <wps:cNvPr id="64" name="Text Box 61"/>
                        <wps:cNvSpPr txBox="1">
                          <a:spLocks noChangeArrowheads="1"/>
                        </wps:cNvSpPr>
                        <wps:spPr bwMode="auto">
                          <a:xfrm>
                            <a:off x="5541" y="11421"/>
                            <a:ext cx="691" cy="423"/>
                          </a:xfrm>
                          <a:prstGeom prst="rect">
                            <a:avLst/>
                          </a:prstGeom>
                          <a:noFill/>
                          <a:ln>
                            <a:noFill/>
                          </a:ln>
                        </wps:spPr>
                        <wps:txbx>
                          <w:txbxContent>
                            <w:p w14:paraId="585538C9">
                              <w:pPr>
                                <w:pStyle w:val="81"/>
                              </w:pPr>
                              <w:r>
                                <w:rPr>
                                  <w:rFonts w:hint="eastAsia"/>
                                </w:rPr>
                                <w:t>泵</w:t>
                              </w:r>
                            </w:p>
                          </w:txbxContent>
                        </wps:txbx>
                        <wps:bodyPr rot="0" vert="horz" wrap="square" lIns="0" tIns="0" rIns="0" bIns="0" anchor="t" anchorCtr="0" upright="1">
                          <a:noAutofit/>
                        </wps:bodyPr>
                      </wps:wsp>
                      <wps:wsp>
                        <wps:cNvPr id="65" name="Text Box 62"/>
                        <wps:cNvSpPr txBox="1">
                          <a:spLocks noChangeArrowheads="1"/>
                        </wps:cNvSpPr>
                        <wps:spPr bwMode="auto">
                          <a:xfrm>
                            <a:off x="5150" y="9180"/>
                            <a:ext cx="1079" cy="653"/>
                          </a:xfrm>
                          <a:prstGeom prst="rect">
                            <a:avLst/>
                          </a:prstGeom>
                          <a:noFill/>
                          <a:ln>
                            <a:noFill/>
                          </a:ln>
                        </wps:spPr>
                        <wps:txbx>
                          <w:txbxContent>
                            <w:p w14:paraId="1B7AE7A6">
                              <w:pPr>
                                <w:pStyle w:val="81"/>
                              </w:pPr>
                              <w:r>
                                <w:rPr>
                                  <w:rFonts w:hint="eastAsia"/>
                                </w:rPr>
                                <w:t>泵</w:t>
                              </w:r>
                            </w:p>
                          </w:txbxContent>
                        </wps:txbx>
                        <wps:bodyPr rot="0" vert="horz" wrap="square" lIns="0" tIns="72000" rIns="0" bIns="0" anchor="t" anchorCtr="0" upright="1">
                          <a:noAutofit/>
                        </wps:bodyPr>
                      </wps:wsp>
                      <wps:wsp>
                        <wps:cNvPr id="66" name="Text Box 63"/>
                        <wps:cNvSpPr txBox="1">
                          <a:spLocks noChangeArrowheads="1"/>
                        </wps:cNvSpPr>
                        <wps:spPr bwMode="auto">
                          <a:xfrm>
                            <a:off x="2445" y="10836"/>
                            <a:ext cx="1757" cy="543"/>
                          </a:xfrm>
                          <a:prstGeom prst="rect">
                            <a:avLst/>
                          </a:prstGeom>
                          <a:noFill/>
                          <a:ln w="6350">
                            <a:solidFill>
                              <a:srgbClr val="000000"/>
                            </a:solidFill>
                            <a:round/>
                          </a:ln>
                        </wps:spPr>
                        <wps:txbx>
                          <w:txbxContent>
                            <w:p w14:paraId="43345D35">
                              <w:pPr>
                                <w:pStyle w:val="81"/>
                              </w:pPr>
                              <w:r>
                                <w:rPr>
                                  <w:rFonts w:hint="eastAsia"/>
                                </w:rPr>
                                <w:t>软化水装置</w:t>
                              </w:r>
                            </w:p>
                          </w:txbxContent>
                        </wps:txbx>
                        <wps:bodyPr rot="0" vert="horz" wrap="square" lIns="0" tIns="72000" rIns="0" bIns="0" anchor="t" anchorCtr="0" upright="1">
                          <a:noAutofit/>
                        </wps:bodyPr>
                      </wps:wsp>
                      <wps:wsp>
                        <wps:cNvPr id="67" name="Text Box 64"/>
                        <wps:cNvSpPr txBox="1">
                          <a:spLocks noChangeArrowheads="1"/>
                        </wps:cNvSpPr>
                        <wps:spPr bwMode="auto">
                          <a:xfrm>
                            <a:off x="2399" y="11776"/>
                            <a:ext cx="1757" cy="528"/>
                          </a:xfrm>
                          <a:prstGeom prst="rect">
                            <a:avLst/>
                          </a:prstGeom>
                          <a:noFill/>
                          <a:ln w="6350">
                            <a:solidFill>
                              <a:srgbClr val="000000"/>
                            </a:solidFill>
                            <a:round/>
                          </a:ln>
                        </wps:spPr>
                        <wps:txbx>
                          <w:txbxContent>
                            <w:p w14:paraId="1BCFAA19">
                              <w:pPr>
                                <w:pStyle w:val="81"/>
                              </w:pPr>
                              <w:r>
                                <w:rPr>
                                  <w:rFonts w:hint="eastAsia"/>
                                </w:rPr>
                                <w:t>热源</w:t>
                              </w:r>
                            </w:p>
                          </w:txbxContent>
                        </wps:txbx>
                        <wps:bodyPr rot="0" vert="horz" wrap="square" lIns="0" tIns="72000" rIns="0" bIns="0" anchor="t" anchorCtr="0" upright="1">
                          <a:noAutofit/>
                        </wps:bodyPr>
                      </wps:wsp>
                      <wps:wsp>
                        <wps:cNvPr id="70" name="Text Box 65"/>
                        <wps:cNvSpPr txBox="1">
                          <a:spLocks noChangeArrowheads="1"/>
                        </wps:cNvSpPr>
                        <wps:spPr bwMode="auto">
                          <a:xfrm>
                            <a:off x="4649" y="13731"/>
                            <a:ext cx="1757" cy="449"/>
                          </a:xfrm>
                          <a:prstGeom prst="rect">
                            <a:avLst/>
                          </a:prstGeom>
                          <a:noFill/>
                          <a:ln w="6350">
                            <a:solidFill>
                              <a:srgbClr val="000000"/>
                            </a:solidFill>
                            <a:round/>
                          </a:ln>
                        </wps:spPr>
                        <wps:txbx>
                          <w:txbxContent>
                            <w:p w14:paraId="76525201">
                              <w:pPr>
                                <w:pStyle w:val="81"/>
                              </w:pPr>
                              <w:r>
                                <w:rPr>
                                  <w:rFonts w:hint="eastAsia"/>
                                </w:rPr>
                                <w:t>生化处理系统</w:t>
                              </w:r>
                            </w:p>
                          </w:txbxContent>
                        </wps:txbx>
                        <wps:bodyPr rot="0" vert="horz" wrap="square" lIns="0" tIns="72000" rIns="0" bIns="0" anchor="t" anchorCtr="0" upright="1">
                          <a:noAutofit/>
                        </wps:bodyPr>
                      </wps:wsp>
                      <wps:wsp>
                        <wps:cNvPr id="71" name="Text Box 66"/>
                        <wps:cNvSpPr txBox="1">
                          <a:spLocks noChangeArrowheads="1"/>
                        </wps:cNvSpPr>
                        <wps:spPr bwMode="auto">
                          <a:xfrm>
                            <a:off x="4640" y="12783"/>
                            <a:ext cx="1757" cy="564"/>
                          </a:xfrm>
                          <a:prstGeom prst="rect">
                            <a:avLst/>
                          </a:prstGeom>
                          <a:noFill/>
                          <a:ln w="6350">
                            <a:solidFill>
                              <a:srgbClr val="000000"/>
                            </a:solidFill>
                            <a:round/>
                          </a:ln>
                        </wps:spPr>
                        <wps:txbx>
                          <w:txbxContent>
                            <w:p w14:paraId="754C84AF">
                              <w:pPr>
                                <w:pStyle w:val="81"/>
                              </w:pPr>
                              <w:r>
                                <w:rPr>
                                  <w:rFonts w:hint="eastAsia"/>
                                </w:rPr>
                                <w:t>冷凝水池</w:t>
                              </w:r>
                            </w:p>
                          </w:txbxContent>
                        </wps:txbx>
                        <wps:bodyPr rot="0" vert="horz" wrap="square" lIns="0" tIns="72000" rIns="0" bIns="0" anchor="t" anchorCtr="0" upright="1">
                          <a:noAutofit/>
                        </wps:bodyPr>
                      </wps:wsp>
                      <wps:wsp>
                        <wps:cNvPr id="72" name="AutoShape 67"/>
                        <wps:cNvCnPr>
                          <a:cxnSpLocks noChangeShapeType="1"/>
                        </wps:cNvCnPr>
                        <wps:spPr bwMode="auto">
                          <a:xfrm flipH="1">
                            <a:off x="5502" y="14174"/>
                            <a:ext cx="9" cy="397"/>
                          </a:xfrm>
                          <a:prstGeom prst="straightConnector1">
                            <a:avLst/>
                          </a:prstGeom>
                          <a:noFill/>
                          <a:ln w="12700">
                            <a:solidFill>
                              <a:srgbClr val="000000"/>
                            </a:solidFill>
                            <a:miter lim="800000"/>
                            <a:tailEnd type="triangle" w="med" len="lg"/>
                          </a:ln>
                        </wps:spPr>
                        <wps:bodyPr/>
                      </wps:wsp>
                      <wps:wsp>
                        <wps:cNvPr id="73" name="AutoShape 68"/>
                        <wps:cNvCnPr>
                          <a:cxnSpLocks noChangeShapeType="1"/>
                        </wps:cNvCnPr>
                        <wps:spPr bwMode="auto">
                          <a:xfrm>
                            <a:off x="5523" y="13359"/>
                            <a:ext cx="10" cy="397"/>
                          </a:xfrm>
                          <a:prstGeom prst="straightConnector1">
                            <a:avLst/>
                          </a:prstGeom>
                          <a:noFill/>
                          <a:ln w="12700">
                            <a:solidFill>
                              <a:srgbClr val="000000"/>
                            </a:solidFill>
                            <a:miter lim="800000"/>
                            <a:tailEnd type="triangle" w="med" len="lg"/>
                          </a:ln>
                        </wps:spPr>
                        <wps:bodyPr/>
                      </wps:wsp>
                      <wps:wsp>
                        <wps:cNvPr id="74" name="AutoShape 69"/>
                        <wps:cNvCnPr>
                          <a:cxnSpLocks noChangeShapeType="1"/>
                        </wps:cNvCnPr>
                        <wps:spPr bwMode="auto">
                          <a:xfrm flipH="1">
                            <a:off x="5539" y="12381"/>
                            <a:ext cx="2" cy="397"/>
                          </a:xfrm>
                          <a:prstGeom prst="straightConnector1">
                            <a:avLst/>
                          </a:prstGeom>
                          <a:noFill/>
                          <a:ln w="12700">
                            <a:solidFill>
                              <a:srgbClr val="000000"/>
                            </a:solidFill>
                            <a:miter lim="800000"/>
                            <a:tailEnd type="triangle" w="med" len="lg"/>
                          </a:ln>
                        </wps:spPr>
                        <wps:bodyPr/>
                      </wps:wsp>
                      <wps:wsp>
                        <wps:cNvPr id="75" name="Text Box 70"/>
                        <wps:cNvSpPr txBox="1">
                          <a:spLocks noChangeArrowheads="1"/>
                        </wps:cNvSpPr>
                        <wps:spPr bwMode="auto">
                          <a:xfrm>
                            <a:off x="4653" y="14559"/>
                            <a:ext cx="1757" cy="637"/>
                          </a:xfrm>
                          <a:prstGeom prst="rect">
                            <a:avLst/>
                          </a:prstGeom>
                          <a:noFill/>
                          <a:ln w="6350">
                            <a:solidFill>
                              <a:srgbClr val="000000"/>
                            </a:solidFill>
                            <a:round/>
                          </a:ln>
                        </wps:spPr>
                        <wps:txbx>
                          <w:txbxContent>
                            <w:p w14:paraId="461AFFE7">
                              <w:pPr>
                                <w:pStyle w:val="81"/>
                              </w:pPr>
                              <w:r>
                                <w:rPr>
                                  <w:rFonts w:hint="eastAsia"/>
                                </w:rPr>
                                <w:t>混凝除磷装置</w:t>
                              </w:r>
                            </w:p>
                          </w:txbxContent>
                        </wps:txbx>
                        <wps:bodyPr rot="0" vert="horz" wrap="square" lIns="0" tIns="72000" rIns="0" bIns="0" anchor="t" anchorCtr="0" upright="1">
                          <a:noAutofit/>
                        </wps:bodyPr>
                      </wps:wsp>
                      <wps:wsp>
                        <wps:cNvPr id="76" name="AutoShape 71"/>
                        <wps:cNvCnPr>
                          <a:cxnSpLocks noChangeShapeType="1"/>
                        </wps:cNvCnPr>
                        <wps:spPr bwMode="auto">
                          <a:xfrm flipH="1">
                            <a:off x="5530" y="15192"/>
                            <a:ext cx="9" cy="397"/>
                          </a:xfrm>
                          <a:prstGeom prst="straightConnector1">
                            <a:avLst/>
                          </a:prstGeom>
                          <a:noFill/>
                          <a:ln w="12700">
                            <a:solidFill>
                              <a:srgbClr val="000000"/>
                            </a:solidFill>
                            <a:miter lim="800000"/>
                            <a:tailEnd type="triangle" w="med" len="lg"/>
                          </a:ln>
                        </wps:spPr>
                        <wps:bodyPr/>
                      </wps:wsp>
                      <wps:wsp>
                        <wps:cNvPr id="77" name="Text Box 72"/>
                        <wps:cNvSpPr txBox="1">
                          <a:spLocks noChangeArrowheads="1"/>
                        </wps:cNvSpPr>
                        <wps:spPr bwMode="auto">
                          <a:xfrm>
                            <a:off x="5179" y="13284"/>
                            <a:ext cx="1253" cy="847"/>
                          </a:xfrm>
                          <a:prstGeom prst="rect">
                            <a:avLst/>
                          </a:prstGeom>
                          <a:noFill/>
                          <a:ln>
                            <a:noFill/>
                          </a:ln>
                        </wps:spPr>
                        <wps:txbx>
                          <w:txbxContent>
                            <w:p w14:paraId="35384849">
                              <w:pPr>
                                <w:pStyle w:val="81"/>
                              </w:pPr>
                              <w:r>
                                <w:rPr>
                                  <w:rFonts w:hint="eastAsia"/>
                                </w:rPr>
                                <w:t>泵</w:t>
                              </w:r>
                            </w:p>
                          </w:txbxContent>
                        </wps:txbx>
                        <wps:bodyPr rot="0" vert="horz" wrap="square" lIns="0" tIns="72000" rIns="0" bIns="0" anchor="t" anchorCtr="0" upright="1">
                          <a:noAutofit/>
                        </wps:bodyPr>
                      </wps:wsp>
                      <wps:wsp>
                        <wps:cNvPr id="78" name="Text Box 73"/>
                        <wps:cNvSpPr txBox="1">
                          <a:spLocks noChangeArrowheads="1"/>
                        </wps:cNvSpPr>
                        <wps:spPr bwMode="auto">
                          <a:xfrm>
                            <a:off x="2351" y="12789"/>
                            <a:ext cx="1757" cy="602"/>
                          </a:xfrm>
                          <a:prstGeom prst="rect">
                            <a:avLst/>
                          </a:prstGeom>
                          <a:noFill/>
                          <a:ln w="6350">
                            <a:solidFill>
                              <a:srgbClr val="000000"/>
                            </a:solidFill>
                            <a:round/>
                          </a:ln>
                        </wps:spPr>
                        <wps:txbx>
                          <w:txbxContent>
                            <w:p w14:paraId="63884E0E">
                              <w:pPr>
                                <w:pStyle w:val="81"/>
                              </w:pPr>
                              <w:r>
                                <w:rPr>
                                  <w:rFonts w:hint="eastAsia"/>
                                </w:rPr>
                                <w:t>冷却塔</w:t>
                              </w:r>
                            </w:p>
                          </w:txbxContent>
                        </wps:txbx>
                        <wps:bodyPr rot="0" vert="horz" wrap="square" lIns="0" tIns="72000" rIns="0" bIns="0" anchor="t" anchorCtr="0" upright="1">
                          <a:noAutofit/>
                        </wps:bodyPr>
                      </wps:wsp>
                      <wps:wsp>
                        <wps:cNvPr id="79" name="AutoShape 74"/>
                        <wps:cNvCnPr>
                          <a:cxnSpLocks noChangeShapeType="1"/>
                        </wps:cNvCnPr>
                        <wps:spPr bwMode="auto">
                          <a:xfrm rot="10800000">
                            <a:off x="4127" y="12977"/>
                            <a:ext cx="513" cy="7"/>
                          </a:xfrm>
                          <a:prstGeom prst="bentConnector3">
                            <a:avLst>
                              <a:gd name="adj1" fmla="val 50097"/>
                            </a:avLst>
                          </a:prstGeom>
                          <a:noFill/>
                          <a:ln w="12700">
                            <a:solidFill>
                              <a:srgbClr val="000000"/>
                            </a:solidFill>
                            <a:miter lim="800000"/>
                            <a:tailEnd type="triangle" w="med" len="lg"/>
                          </a:ln>
                        </wps:spPr>
                        <wps:bodyPr/>
                      </wps:wsp>
                      <wps:wsp>
                        <wps:cNvPr id="80" name="Text Box 75"/>
                        <wps:cNvSpPr txBox="1">
                          <a:spLocks noChangeArrowheads="1"/>
                        </wps:cNvSpPr>
                        <wps:spPr bwMode="auto">
                          <a:xfrm>
                            <a:off x="3977" y="12525"/>
                            <a:ext cx="822" cy="522"/>
                          </a:xfrm>
                          <a:prstGeom prst="rect">
                            <a:avLst/>
                          </a:prstGeom>
                          <a:noFill/>
                          <a:ln>
                            <a:noFill/>
                          </a:ln>
                        </wps:spPr>
                        <wps:txbx>
                          <w:txbxContent>
                            <w:p w14:paraId="5B1AB3C5">
                              <w:pPr>
                                <w:pStyle w:val="81"/>
                              </w:pPr>
                              <w:r>
                                <w:rPr>
                                  <w:rFonts w:hint="eastAsia"/>
                                </w:rPr>
                                <w:t>泵</w:t>
                              </w:r>
                            </w:p>
                          </w:txbxContent>
                        </wps:txbx>
                        <wps:bodyPr rot="0" vert="horz" wrap="square" lIns="0" tIns="72000" rIns="0" bIns="0" anchor="t" anchorCtr="0" upright="1">
                          <a:noAutofit/>
                        </wps:bodyPr>
                      </wps:wsp>
                      <wps:wsp>
                        <wps:cNvPr id="81" name="直接箭头连接符 18"/>
                        <wps:cNvCnPr>
                          <a:cxnSpLocks noChangeShapeType="1"/>
                        </wps:cNvCnPr>
                        <wps:spPr bwMode="auto">
                          <a:xfrm flipH="1">
                            <a:off x="5452" y="8149"/>
                            <a:ext cx="2" cy="397"/>
                          </a:xfrm>
                          <a:prstGeom prst="straightConnector1">
                            <a:avLst/>
                          </a:prstGeom>
                          <a:noFill/>
                          <a:ln w="12700">
                            <a:solidFill>
                              <a:srgbClr val="000000"/>
                            </a:solidFill>
                            <a:miter lim="800000"/>
                            <a:tailEnd type="triangle" w="med" len="lg"/>
                          </a:ln>
                        </wps:spPr>
                        <wps:bodyPr/>
                      </wps:wsp>
                      <wps:wsp>
                        <wps:cNvPr id="82" name="AutoShape 77"/>
                        <wps:cNvCnPr>
                          <a:cxnSpLocks noChangeShapeType="1"/>
                        </wps:cNvCnPr>
                        <wps:spPr bwMode="auto">
                          <a:xfrm>
                            <a:off x="4175" y="13112"/>
                            <a:ext cx="478" cy="5"/>
                          </a:xfrm>
                          <a:prstGeom prst="straightConnector1">
                            <a:avLst/>
                          </a:prstGeom>
                          <a:noFill/>
                          <a:ln w="12700">
                            <a:solidFill>
                              <a:srgbClr val="000000"/>
                            </a:solidFill>
                            <a:miter lim="800000"/>
                            <a:tailEnd type="triangle" w="med" len="lg"/>
                          </a:ln>
                        </wps:spPr>
                        <wps:bodyPr/>
                      </wps:wsp>
                    </wpg:wgp>
                  </a:graphicData>
                </a:graphic>
              </wp:anchor>
            </w:drawing>
          </mc:Choice>
          <mc:Fallback>
            <w:pict>
              <v:group id="Group 107" o:spid="_x0000_s1026" o:spt="203" style="position:absolute;left:0pt;margin-left:40.6pt;margin-top:24.55pt;height:411pt;width:279.8pt;z-index:251660288;mso-width-relative:page;mso-height-relative:page;" coordorigin="2351,7809" coordsize="5596,8220" o:gfxdata="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">
                <o:lock v:ext="edit" aspectratio="f"/>
                <v:shape id="Text Box 44" o:spid="_x0000_s1026" o:spt="202" type="#_x0000_t202" style="position:absolute;left:4524;top:8576;height:527;width:1943;" filled="f" stroked="t" coordsize="21600,21600" o:gfxdata="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7Qkb4A&#10;AADb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textbox inset="0mm,2mm,0mm,0mm">
                    <w:txbxContent>
                      <w:p w14:paraId="42514ED6">
                        <w:pPr>
                          <w:pStyle w:val="81"/>
                        </w:pPr>
                        <w:r>
                          <w:rPr>
                            <w:rFonts w:hint="eastAsia"/>
                          </w:rPr>
                          <w:t>废水储池</w:t>
                        </w:r>
                      </w:p>
                    </w:txbxContent>
                  </v:textbox>
                </v:shape>
                <v:shape id="直接箭头连接符 3" o:spid="_x0000_s1026" o:spt="32" type="#_x0000_t32" style="position:absolute;left:3311;top:11386;flip:x;height:378;width:2;" filled="f" stroked="t" coordsize="21600,21600" o:gfxdata="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A5R9rsAAADb&#10;AAAADwAAAAAAAAABACAAAAAiAAAAZHJzL2Rvd25yZXYueG1sUEsBAhQAFAAAAAgAh07iQDMvBZ47&#10;AAAAOQAAABAAAAAAAAAAAQAgAAAACgEAAGRycy9zaGFwZXhtbC54bWxQSwUGAAAAAAYABgBbAQAA&#10;tAMAAAAA&#10;">
                  <v:fill on="f" focussize="0,0"/>
                  <v:stroke weight="1pt" color="#000000" miterlimit="8" joinstyle="miter" endarrow="block" endarrowlength="long"/>
                  <v:imagedata o:title=""/>
                  <o:lock v:ext="edit" aspectratio="f"/>
                </v:shape>
                <v:shape id="Text Box 46" o:spid="_x0000_s1026" o:spt="202" type="#_x0000_t202" style="position:absolute;left:2932;top:9935;height:571;width:919;" filled="f" stroked="t" coordsize="21600,21600" o:gfxdata="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GVopi/&#10;AAAA2wAAAA8AAAAAAAAAAQAgAAAAIgAAAGRycy9kb3ducmV2LnhtbFBLAQIUABQAAAAIAIdO4kAz&#10;LwWeOwAAADkAAAAQAAAAAAAAAAEAIAAAAA4BAABkcnMvc2hhcGV4bWwueG1sUEsFBgAAAAAGAAYA&#10;WwEAALgDAAAAAA==&#10;">
                  <v:fill on="f" focussize="0,0"/>
                  <v:stroke weight="0.5pt" color="#FFFFFF" joinstyle="round"/>
                  <v:imagedata o:title=""/>
                  <o:lock v:ext="edit" aspectratio="f"/>
                  <v:textbox inset="0mm,2mm,0mm,0mm">
                    <w:txbxContent>
                      <w:p w14:paraId="471A103C">
                        <w:pPr>
                          <w:pStyle w:val="81"/>
                        </w:pPr>
                        <w:r>
                          <w:rPr>
                            <w:rFonts w:hint="eastAsia"/>
                          </w:rPr>
                          <w:t>自来水</w:t>
                        </w:r>
                      </w:p>
                    </w:txbxContent>
                  </v:textbox>
                </v:shape>
                <v:shape id="文本框 5" o:spid="_x0000_s1026" o:spt="202" type="#_x0000_t202" style="position:absolute;left:4648;top:9843;height:562;width:1757;" filled="f" stroked="t" coordsize="21600,21600" o:gfxdata="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wzt44ugAAANs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textbox inset="0mm,2mm,0mm,0mm">
                    <w:txbxContent>
                      <w:p w14:paraId="43A042E6">
                        <w:pPr>
                          <w:pStyle w:val="81"/>
                        </w:pPr>
                        <w:r>
                          <w:rPr>
                            <w:rFonts w:hint="eastAsia"/>
                          </w:rPr>
                          <w:t>袋式过滤器</w:t>
                        </w:r>
                      </w:p>
                    </w:txbxContent>
                  </v:textbox>
                </v:shape>
                <v:shape id="Text Box 48" o:spid="_x0000_s1026" o:spt="202" type="#_x0000_t202" style="position:absolute;left:4640;top:10799;height:601;width:1757;" filled="f" stroked="t" coordsize="21600,21600" o:gfxdata="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gnujvQAA&#10;ANs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textbox inset="0mm,2mm,0mm,0mm">
                    <w:txbxContent>
                      <w:p w14:paraId="7674664B">
                        <w:pPr>
                          <w:pStyle w:val="81"/>
                        </w:pPr>
                        <w:r>
                          <w:rPr>
                            <w:rFonts w:hint="eastAsia"/>
                          </w:rPr>
                          <w:t>滤后水池</w:t>
                        </w:r>
                      </w:p>
                    </w:txbxContent>
                  </v:textbox>
                </v:shape>
                <v:shape id="文本框 8" o:spid="_x0000_s1026" o:spt="202" type="#_x0000_t202" style="position:absolute;left:4645;top:11787;height:564;width:1757;" filled="f" stroked="t" coordsize="21600,21600" o:gfxdata="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UOXUvQAA&#10;ANs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textbox inset="0mm,2mm,0mm,0mm">
                    <w:txbxContent>
                      <w:p w14:paraId="10955E51">
                        <w:pPr>
                          <w:pStyle w:val="81"/>
                        </w:pPr>
                        <w:r>
                          <w:rPr>
                            <w:rFonts w:hint="eastAsia"/>
                          </w:rPr>
                          <w:t>MVR蒸发器</w:t>
                        </w:r>
                      </w:p>
                    </w:txbxContent>
                  </v:textbox>
                </v:shape>
                <v:shape id="直接箭头连接符 9" o:spid="_x0000_s1026" o:spt="32" type="#_x0000_t32" style="position:absolute;left:4179;top:11976;height:5;width:478;" filled="f" stroked="t" coordsize="21600,21600" o:gfxdata="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zS4cvQAA&#10;ANsAAAAPAAAAAAAAAAEAIAAAACIAAABkcnMvZG93bnJldi54bWxQSwECFAAUAAAACACHTuJAMy8F&#10;njsAAAA5AAAAEAAAAAAAAAABACAAAAAMAQAAZHJzL3NoYXBleG1sLnhtbFBLBQYAAAAABgAGAFsB&#10;AAC2AwAAAAA=&#10;">
                  <v:fill on="f" focussize="0,0"/>
                  <v:stroke weight="1pt" color="#000000" miterlimit="8" joinstyle="miter" endarrow="block" endarrowlength="long"/>
                  <v:imagedata o:title=""/>
                  <o:lock v:ext="edit" aspectratio="f"/>
                </v:shape>
                <v:shape id="直接箭头连接符 10" o:spid="_x0000_s1026" o:spt="32" type="#_x0000_t32" style="position:absolute;left:6427;top:10129;height:5;width:478;" filled="f" stroked="t" coordsize="21600,21600" o:gfxdata="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JLZovQAA&#10;ANsAAAAPAAAAAAAAAAEAIAAAACIAAABkcnMvZG93bnJldi54bWxQSwECFAAUAAAACACHTuJAMy8F&#10;njsAAAA5AAAAEAAAAAAAAAABACAAAAAMAQAAZHJzL3NoYXBleG1sLnhtbFBLBQYAAAAABgAGAFsB&#10;AAC2AwAAAAA=&#10;">
                  <v:fill on="f" focussize="0,0"/>
                  <v:stroke weight="1pt" color="#000000" miterlimit="8" joinstyle="miter" endarrow="block" endarrowlength="long"/>
                  <v:imagedata o:title=""/>
                  <o:lock v:ext="edit" aspectratio="f"/>
                </v:shape>
                <v:shape id="AutoShape 52" o:spid="_x0000_s1026" o:spt="32" type="#_x0000_t32" style="position:absolute;left:6459;top:11981;height:5;width:478;" filled="f" stroked="t" coordsize="21600,21600" o:gfxdata="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aBPzvQAA&#10;ANsAAAAPAAAAAAAAAAEAIAAAACIAAABkcnMvZG93bnJldi54bWxQSwECFAAUAAAACACHTuJAMy8F&#10;njsAAAA5AAAAEAAAAAAAAAABACAAAAAMAQAAZHJzL3NoYXBleG1sLnhtbFBLBQYAAAAABgAGAFsB&#10;AAC2AwAAAAA=&#10;">
                  <v:fill on="f" focussize="0,0"/>
                  <v:stroke weight="1pt" color="#000000" miterlimit="8" joinstyle="miter" endarrow="block" endarrowlength="long"/>
                  <v:imagedata o:title=""/>
                  <o:lock v:ext="edit" aspectratio="f"/>
                </v:shape>
                <v:shape id="直接箭头连接符 12" o:spid="_x0000_s1026" o:spt="32" type="#_x0000_t32" style="position:absolute;left:3304;top:10463;height:397;width:1;" filled="f" stroked="t" coordsize="21600,21600" o:gfxdata="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S6jYS8AAAA&#10;2wAAAA8AAAAAAAAAAQAgAAAAIgAAAGRycy9kb3ducmV2LnhtbFBLAQIUABQAAAAIAIdO4kAzLwWe&#10;OwAAADkAAAAQAAAAAAAAAAEAIAAAAAsBAABkcnMvc2hhcGV4bWwueG1sUEsFBgAAAAAGAAYAWwEA&#10;ALUDAAAAAA==&#10;">
                  <v:fill on="f" focussize="0,0"/>
                  <v:stroke weight="1pt" color="#000000" miterlimit="8" joinstyle="miter" endarrow="block" endarrowlength="long"/>
                  <v:imagedata o:title=""/>
                  <o:lock v:ext="edit" aspectratio="f"/>
                </v:shape>
                <v:shape id="AutoShape 54" o:spid="_x0000_s1026" o:spt="32" type="#_x0000_t32" style="position:absolute;left:5492;top:11417;flip:x;height:397;width:9;" filled="f" stroked="t" coordsize="21600,21600" o:gfxdata="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EhTWb4A&#10;AADbAAAADwAAAAAAAAABACAAAAAiAAAAZHJzL2Rvd25yZXYueG1sUEsBAhQAFAAAAAgAh07iQDMv&#10;BZ47AAAAOQAAABAAAAAAAAAAAQAgAAAADQEAAGRycy9zaGFwZXhtbC54bWxQSwUGAAAAAAYABgBb&#10;AQAAtwMAAAAA&#10;">
                  <v:fill on="f" focussize="0,0"/>
                  <v:stroke weight="1pt" color="#000000" miterlimit="8" joinstyle="miter" endarrow="block" endarrowlength="long"/>
                  <v:imagedata o:title=""/>
                  <o:lock v:ext="edit" aspectratio="f"/>
                </v:shape>
                <v:shape id="直接箭头连接符 16" o:spid="_x0000_s1026" o:spt="32" type="#_x0000_t32" style="position:absolute;left:5485;top:9103;height:797;width:18;" filled="f" stroked="t" coordsize="21600,21600" o:gfxdata="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mm8bbgAAADbAAAA&#10;DwAAAAAAAAABACAAAAAiAAAAZHJzL2Rvd25yZXYueG1sUEsBAhQAFAAAAAgAh07iQDMvBZ47AAAA&#10;OQAAABAAAAAAAAAAAQAgAAAABwEAAGRycy9zaGFwZXhtbC54bWxQSwUGAAAAAAYABgBbAQAAsQMA&#10;AAAA&#10;">
                  <v:fill on="f" focussize="0,0"/>
                  <v:stroke weight="1pt" color="#000000" miterlimit="8" joinstyle="miter" endarrow="block" endarrowlength="long"/>
                  <v:imagedata o:title=""/>
                  <o:lock v:ext="edit" aspectratio="f"/>
                </v:shape>
                <v:shape id="AutoShape 56" o:spid="_x0000_s1026" o:spt="32" type="#_x0000_t32" style="position:absolute;left:5510;top:10393;flip:x;height:397;width:2;" filled="f" stroked="t" coordsize="21600,21600" o:gfxdata="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ptisL4A&#10;AADbAAAADwAAAAAAAAABACAAAAAiAAAAZHJzL2Rvd25yZXYueG1sUEsBAhQAFAAAAAgAh07iQDMv&#10;BZ47AAAAOQAAABAAAAAAAAAAAQAgAAAADQEAAGRycy9zaGFwZXhtbC54bWxQSwUGAAAAAAYABgBb&#10;AQAAtwMAAAAA&#10;">
                  <v:fill on="f" focussize="0,0"/>
                  <v:stroke weight="1pt" color="#000000" miterlimit="8" joinstyle="miter" endarrow="block" endarrowlength="long"/>
                  <v:imagedata o:title=""/>
                  <o:lock v:ext="edit" aspectratio="f"/>
                </v:shape>
                <v:shape id="文本框 22" o:spid="_x0000_s1026" o:spt="202" type="#_x0000_t202" style="position:absolute;left:6827;top:11830;height:504;width:1120;" filled="f" stroked="f" coordsize="21600,21600" o:gfxdata="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gyCxb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3C427B07">
                        <w:pPr>
                          <w:pStyle w:val="81"/>
                        </w:pPr>
                        <w:r>
                          <w:rPr>
                            <w:rFonts w:hint="eastAsia"/>
                          </w:rPr>
                          <w:t>结晶盐</w:t>
                        </w:r>
                      </w:p>
                    </w:txbxContent>
                  </v:textbox>
                </v:shape>
                <v:shape id="Text Box 58" o:spid="_x0000_s1026" o:spt="202" type="#_x0000_t202" style="position:absolute;left:4457;top:7809;height:552;width:1917;" filled="f" stroked="t" coordsize="21600,21600" o:gfxdata="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Pafr4A&#10;AADbAAAADwAAAAAAAAABACAAAAAiAAAAZHJzL2Rvd25yZXYueG1sUEsBAhQAFAAAAAgAh07iQDMv&#10;BZ47AAAAOQAAABAAAAAAAAAAAQAgAAAADQEAAGRycy9zaGFwZXhtbC54bWxQSwUGAAAAAAYABgBb&#10;AQAAtwMAAAAA&#10;">
                  <v:fill on="f" focussize="0,0"/>
                  <v:stroke weight="0.5pt" color="#FFFFFF" joinstyle="round"/>
                  <v:imagedata o:title=""/>
                  <o:lock v:ext="edit" aspectratio="f"/>
                  <v:textbox inset="0mm,0mm,0mm,0mm">
                    <w:txbxContent>
                      <w:p w14:paraId="15EE96B1">
                        <w:pPr>
                          <w:pStyle w:val="81"/>
                        </w:pPr>
                        <w:r>
                          <w:rPr>
                            <w:rFonts w:cs="楷体"/>
                            <w:color w:val="000000"/>
                            <w:spacing w:val="8"/>
                          </w:rPr>
                          <w:t>烫煮</w:t>
                        </w:r>
                        <w:r>
                          <w:rPr>
                            <w:rFonts w:hint="eastAsia"/>
                          </w:rPr>
                          <w:t>废水</w:t>
                        </w:r>
                      </w:p>
                    </w:txbxContent>
                  </v:textbox>
                </v:shape>
                <v:shape id="Text Box 59" o:spid="_x0000_s1026" o:spt="202" type="#_x0000_t202" style="position:absolute;left:4629;top:15441;height:588;width:1963;" filled="f" stroked="t" coordsize="21600,21600" o:gfxdata="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hGyJvQAA&#10;ANsAAAAPAAAAAAAAAAEAIAAAACIAAABkcnMvZG93bnJldi54bWxQSwECFAAUAAAACACHTuJAMy8F&#10;njsAAAA5AAAAEAAAAAAAAAABACAAAAAMAQAAZHJzL3NoYXBleG1sLnhtbFBLBQYAAAAABgAGAFsB&#10;AAC2AwAAAAA=&#10;">
                  <v:fill on="f" focussize="0,0"/>
                  <v:stroke weight="0.5pt" color="#FFFFFF" joinstyle="round"/>
                  <v:imagedata o:title=""/>
                  <o:lock v:ext="edit" aspectratio="f"/>
                  <v:textbox inset="0mm,2mm,0mm,0mm">
                    <w:txbxContent>
                      <w:p w14:paraId="3E9BA280">
                        <w:pPr>
                          <w:pStyle w:val="81"/>
                        </w:pPr>
                        <w:r>
                          <w:rPr>
                            <w:rFonts w:hint="eastAsia"/>
                          </w:rPr>
                          <w:t>达标排放</w:t>
                        </w:r>
                      </w:p>
                    </w:txbxContent>
                  </v:textbox>
                </v:shape>
                <v:shape id="文本框 25" o:spid="_x0000_s1026" o:spt="202" type="#_x0000_t202" style="position:absolute;left:6656;top:9849;height:663;width:1084;" filled="f" stroked="f" coordsize="21600,21600" o:gfxdata="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Btcq2/&#10;AAAA2wAAAA8AAAAAAAAAAQAgAAAAIgAAAGRycy9kb3ducmV2LnhtbFBLAQIUABQAAAAIAIdO4kAz&#10;LwWeOwAAADkAAAAQAAAAAAAAAAEAIAAAAA4BAABkcnMvc2hhcGV4bWwueG1sUEsFBgAAAAAGAAYA&#10;WwEAALgDAAAAAA==&#10;">
                  <v:fill on="f" focussize="0,0"/>
                  <v:stroke on="f"/>
                  <v:imagedata o:title=""/>
                  <o:lock v:ext="edit" aspectratio="f"/>
                  <v:textbox inset="0mm,2mm,0mm,0mm">
                    <w:txbxContent>
                      <w:p w14:paraId="5B5FF1FB">
                        <w:pPr>
                          <w:pStyle w:val="81"/>
                        </w:pPr>
                        <w:r>
                          <w:rPr>
                            <w:rFonts w:hint="eastAsia"/>
                          </w:rPr>
                          <w:t>滤渣</w:t>
                        </w:r>
                      </w:p>
                    </w:txbxContent>
                  </v:textbox>
                </v:shape>
                <v:shape id="Text Box 61" o:spid="_x0000_s1026" o:spt="202" type="#_x0000_t202" style="position:absolute;left:5541;top:11421;height:423;width:691;" filled="f" stroked="f" coordsize="21600,21600" o:gfxdata="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N4TG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85538C9">
                        <w:pPr>
                          <w:pStyle w:val="81"/>
                        </w:pPr>
                        <w:r>
                          <w:rPr>
                            <w:rFonts w:hint="eastAsia"/>
                          </w:rPr>
                          <w:t>泵</w:t>
                        </w:r>
                      </w:p>
                    </w:txbxContent>
                  </v:textbox>
                </v:shape>
                <v:shape id="Text Box 62" o:spid="_x0000_s1026" o:spt="202" type="#_x0000_t202" style="position:absolute;left:5150;top:9180;height:653;width:1079;" filled="f" stroked="f" coordsize="21600,21600" o:gfxdata="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MhPQr4A&#10;AADbAAAADwAAAAAAAAABACAAAAAiAAAAZHJzL2Rvd25yZXYueG1sUEsBAhQAFAAAAAgAh07iQDMv&#10;BZ47AAAAOQAAABAAAAAAAAAAAQAgAAAADQEAAGRycy9zaGFwZXhtbC54bWxQSwUGAAAAAAYABgBb&#10;AQAAtwMAAAAA&#10;">
                  <v:fill on="f" focussize="0,0"/>
                  <v:stroke on="f"/>
                  <v:imagedata o:title=""/>
                  <o:lock v:ext="edit" aspectratio="f"/>
                  <v:textbox inset="0mm,2mm,0mm,0mm">
                    <w:txbxContent>
                      <w:p w14:paraId="1B7AE7A6">
                        <w:pPr>
                          <w:pStyle w:val="81"/>
                        </w:pPr>
                        <w:r>
                          <w:rPr>
                            <w:rFonts w:hint="eastAsia"/>
                          </w:rPr>
                          <w:t>泵</w:t>
                        </w:r>
                      </w:p>
                    </w:txbxContent>
                  </v:textbox>
                </v:shape>
                <v:shape id="Text Box 63" o:spid="_x0000_s1026" o:spt="202" type="#_x0000_t202" style="position:absolute;left:2445;top:10836;height:543;width:1757;" filled="f" stroked="t" coordsize="21600,21600" o:gfxdata="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4HKWq8AAAA&#10;2wAAAA8AAAAAAAAAAQAgAAAAIgAAAGRycy9kb3ducmV2LnhtbFBLAQIUABQAAAAIAIdO4kAzLwWe&#10;OwAAADkAAAAQAAAAAAAAAAEAIAAAAAsBAABkcnMvc2hhcGV4bWwueG1sUEsFBgAAAAAGAAYAWwEA&#10;ALUDAAAAAA==&#10;">
                  <v:fill on="f" focussize="0,0"/>
                  <v:stroke weight="0.5pt" color="#000000" joinstyle="round"/>
                  <v:imagedata o:title=""/>
                  <o:lock v:ext="edit" aspectratio="f"/>
                  <v:textbox inset="0mm,2mm,0mm,0mm">
                    <w:txbxContent>
                      <w:p w14:paraId="43345D35">
                        <w:pPr>
                          <w:pStyle w:val="81"/>
                        </w:pPr>
                        <w:r>
                          <w:rPr>
                            <w:rFonts w:hint="eastAsia"/>
                          </w:rPr>
                          <w:t>软化水装置</w:t>
                        </w:r>
                      </w:p>
                    </w:txbxContent>
                  </v:textbox>
                </v:shape>
                <v:shape id="Text Box 64" o:spid="_x0000_s1026" o:spt="202" type="#_x0000_t202" style="position:absolute;left:2399;top:11776;height:528;width:1757;" filled="f" stroked="t" coordsize="21600,21600" o:gfxdata="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S4zxvQAA&#10;ANs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textbox inset="0mm,2mm,0mm,0mm">
                    <w:txbxContent>
                      <w:p w14:paraId="1BCFAA19">
                        <w:pPr>
                          <w:pStyle w:val="81"/>
                        </w:pPr>
                        <w:r>
                          <w:rPr>
                            <w:rFonts w:hint="eastAsia"/>
                          </w:rPr>
                          <w:t>热源</w:t>
                        </w:r>
                      </w:p>
                    </w:txbxContent>
                  </v:textbox>
                </v:shape>
                <v:shape id="Text Box 65" o:spid="_x0000_s1026" o:spt="202" type="#_x0000_t202" style="position:absolute;left:4649;top:13731;height:449;width:1757;" filled="f" stroked="t" coordsize="21600,21600" o:gfxdata="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e4JYugAAANs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textbox inset="0mm,2mm,0mm,0mm">
                    <w:txbxContent>
                      <w:p w14:paraId="76525201">
                        <w:pPr>
                          <w:pStyle w:val="81"/>
                        </w:pPr>
                        <w:r>
                          <w:rPr>
                            <w:rFonts w:hint="eastAsia"/>
                          </w:rPr>
                          <w:t>生化处理系统</w:t>
                        </w:r>
                      </w:p>
                    </w:txbxContent>
                  </v:textbox>
                </v:shape>
                <v:shape id="Text Box 66" o:spid="_x0000_s1026" o:spt="202" type="#_x0000_t202" style="position:absolute;left:4640;top:12783;height:564;width:1757;" filled="f" stroked="t" coordsize="21600,21600" o:gfxdata="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NyfDvQAA&#10;ANs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textbox inset="0mm,2mm,0mm,0mm">
                    <w:txbxContent>
                      <w:p w14:paraId="754C84AF">
                        <w:pPr>
                          <w:pStyle w:val="81"/>
                        </w:pPr>
                        <w:r>
                          <w:rPr>
                            <w:rFonts w:hint="eastAsia"/>
                          </w:rPr>
                          <w:t>冷凝水池</w:t>
                        </w:r>
                      </w:p>
                    </w:txbxContent>
                  </v:textbox>
                </v:shape>
                <v:shape id="AutoShape 67" o:spid="_x0000_s1026" o:spt="32" type="#_x0000_t32" style="position:absolute;left:5502;top:14174;flip:x;height:397;width:9;" filled="f" stroked="t" coordsize="21600,21600" o:gfxdata="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4qsob4A&#10;AADbAAAADwAAAAAAAAABACAAAAAiAAAAZHJzL2Rvd25yZXYueG1sUEsBAhQAFAAAAAgAh07iQDMv&#10;BZ47AAAAOQAAABAAAAAAAAAAAQAgAAAADQEAAGRycy9zaGFwZXhtbC54bWxQSwUGAAAAAAYABgBb&#10;AQAAtwMAAAAA&#10;">
                  <v:fill on="f" focussize="0,0"/>
                  <v:stroke weight="1pt" color="#000000" miterlimit="8" joinstyle="miter" endarrow="block" endarrowlength="long"/>
                  <v:imagedata o:title=""/>
                  <o:lock v:ext="edit" aspectratio="f"/>
                </v:shape>
                <v:shape id="AutoShape 68" o:spid="_x0000_s1026" o:spt="32" type="#_x0000_t32" style="position:absolute;left:5523;top:13359;height:397;width:10;" filled="f" stroked="t" coordsize="21600,21600" o:gfxdata="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eHJ8vQAA&#10;ANsAAAAPAAAAAAAAAAEAIAAAACIAAABkcnMvZG93bnJldi54bWxQSwECFAAUAAAACACHTuJAMy8F&#10;njsAAAA5AAAAEAAAAAAAAAABACAAAAAMAQAAZHJzL3NoYXBleG1sLnhtbFBLBQYAAAAABgAGAFsB&#10;AAC2AwAAAAA=&#10;">
                  <v:fill on="f" focussize="0,0"/>
                  <v:stroke weight="1pt" color="#000000" miterlimit="8" joinstyle="miter" endarrow="block" endarrowlength="long"/>
                  <v:imagedata o:title=""/>
                  <o:lock v:ext="edit" aspectratio="f"/>
                </v:shape>
                <v:shape id="AutoShape 69" o:spid="_x0000_s1026" o:spt="32" type="#_x0000_t32" style="position:absolute;left:5539;top:12381;flip:x;height:397;width:2;" filled="f" stroked="t" coordsize="21600,21600" o:gfxdata="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y+RTr4A&#10;AADbAAAADwAAAAAAAAABACAAAAAiAAAAZHJzL2Rvd25yZXYueG1sUEsBAhQAFAAAAAgAh07iQDMv&#10;BZ47AAAAOQAAABAAAAAAAAAAAQAgAAAADQEAAGRycy9zaGFwZXhtbC54bWxQSwUGAAAAAAYABgBb&#10;AQAAtwMAAAAA&#10;">
                  <v:fill on="f" focussize="0,0"/>
                  <v:stroke weight="1pt" color="#000000" miterlimit="8" joinstyle="miter" endarrow="block" endarrowlength="long"/>
                  <v:imagedata o:title=""/>
                  <o:lock v:ext="edit" aspectratio="f"/>
                </v:shape>
                <v:shape id="Text Box 70" o:spid="_x0000_s1026" o:spt="202" type="#_x0000_t202" style="position:absolute;left:4653;top:14559;height:637;width:1757;" filled="f" stroked="t" coordsize="21600,21600" o:gfxdata="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wwhwL4A&#10;AADb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textbox inset="0mm,2mm,0mm,0mm">
                    <w:txbxContent>
                      <w:p w14:paraId="461AFFE7">
                        <w:pPr>
                          <w:pStyle w:val="81"/>
                        </w:pPr>
                        <w:r>
                          <w:rPr>
                            <w:rFonts w:hint="eastAsia"/>
                          </w:rPr>
                          <w:t>混凝除磷装置</w:t>
                        </w:r>
                      </w:p>
                    </w:txbxContent>
                  </v:textbox>
                </v:shape>
                <v:shape id="AutoShape 71" o:spid="_x0000_s1026" o:spt="32" type="#_x0000_t32" style="position:absolute;left:5530;top:15192;flip:x;height:397;width:9;" filled="f" stroked="t" coordsize="21600,21600" o:gfxdata="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LGqor4A&#10;AADbAAAADwAAAAAAAAABACAAAAAiAAAAZHJzL2Rvd25yZXYueG1sUEsBAhQAFAAAAAgAh07iQDMv&#10;BZ47AAAAOQAAABAAAAAAAAAAAQAgAAAADQEAAGRycy9zaGFwZXhtbC54bWxQSwUGAAAAAAYABgBb&#10;AQAAtwMAAAAA&#10;">
                  <v:fill on="f" focussize="0,0"/>
                  <v:stroke weight="1pt" color="#000000" miterlimit="8" joinstyle="miter" endarrow="block" endarrowlength="long"/>
                  <v:imagedata o:title=""/>
                  <o:lock v:ext="edit" aspectratio="f"/>
                </v:shape>
                <v:shape id="Text Box 72" o:spid="_x0000_s1026" o:spt="202" type="#_x0000_t202" style="position:absolute;left:5179;top:13284;height:847;width:1253;" filled="f" stroked="f" coordsize="21600,21600" o:gfxdata="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o/ic74A&#10;AADbAAAADwAAAAAAAAABACAAAAAiAAAAZHJzL2Rvd25yZXYueG1sUEsBAhQAFAAAAAgAh07iQDMv&#10;BZ47AAAAOQAAABAAAAAAAAAAAQAgAAAADQEAAGRycy9zaGFwZXhtbC54bWxQSwUGAAAAAAYABgBb&#10;AQAAtwMAAAAA&#10;">
                  <v:fill on="f" focussize="0,0"/>
                  <v:stroke on="f"/>
                  <v:imagedata o:title=""/>
                  <o:lock v:ext="edit" aspectratio="f"/>
                  <v:textbox inset="0mm,2mm,0mm,0mm">
                    <w:txbxContent>
                      <w:p w14:paraId="35384849">
                        <w:pPr>
                          <w:pStyle w:val="81"/>
                        </w:pPr>
                        <w:r>
                          <w:rPr>
                            <w:rFonts w:hint="eastAsia"/>
                          </w:rPr>
                          <w:t>泵</w:t>
                        </w:r>
                      </w:p>
                    </w:txbxContent>
                  </v:textbox>
                </v:shape>
                <v:shape id="Text Box 73" o:spid="_x0000_s1026" o:spt="202" type="#_x0000_t202" style="position:absolute;left:2351;top:12789;height:602;width:1757;" filled="f" stroked="t" coordsize="21600,21600" o:gfxdata="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DY5eugAAANs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textbox inset="0mm,2mm,0mm,0mm">
                    <w:txbxContent>
                      <w:p w14:paraId="63884E0E">
                        <w:pPr>
                          <w:pStyle w:val="81"/>
                        </w:pPr>
                        <w:r>
                          <w:rPr>
                            <w:rFonts w:hint="eastAsia"/>
                          </w:rPr>
                          <w:t>冷却塔</w:t>
                        </w:r>
                      </w:p>
                    </w:txbxContent>
                  </v:textbox>
                </v:shape>
                <v:shape id="AutoShape 74" o:spid="_x0000_s1026" o:spt="34" type="#_x0000_t34" style="position:absolute;left:4127;top:12977;height:7;width:513;rotation:11796480f;" filled="f" stroked="t" coordsize="21600,21600" o:gfxdata="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rYBtL4A&#10;AADbAAAADwAAAAAAAAABACAAAAAiAAAAZHJzL2Rvd25yZXYueG1sUEsBAhQAFAAAAAgAh07iQDMv&#10;BZ47AAAAOQAAABAAAAAAAAAAAQAgAAAADQEAAGRycy9zaGFwZXhtbC54bWxQSwUGAAAAAAYABgBb&#10;AQAAtwMAAAAA&#10;" adj="10821">
                  <v:fill on="f" focussize="0,0"/>
                  <v:stroke weight="1pt" color="#000000" miterlimit="8" joinstyle="miter" endarrow="block" endarrowlength="long"/>
                  <v:imagedata o:title=""/>
                  <o:lock v:ext="edit" aspectratio="f"/>
                </v:shape>
                <v:shape id="Text Box 75" o:spid="_x0000_s1026" o:spt="202" type="#_x0000_t202" style="position:absolute;left:3977;top:12525;height:522;width:822;" filled="f" stroked="f" coordsize="21600,21600" o:gfxdata="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LMKILsAAADb&#10;AAAADwAAAAAAAAABACAAAAAiAAAAZHJzL2Rvd25yZXYueG1sUEsBAhQAFAAAAAgAh07iQDMvBZ47&#10;AAAAOQAAABAAAAAAAAAAAQAgAAAACgEAAGRycy9zaGFwZXhtbC54bWxQSwUGAAAAAAYABgBbAQAA&#10;tAMAAAAA&#10;">
                  <v:fill on="f" focussize="0,0"/>
                  <v:stroke on="f"/>
                  <v:imagedata o:title=""/>
                  <o:lock v:ext="edit" aspectratio="f"/>
                  <v:textbox inset="0mm,2mm,0mm,0mm">
                    <w:txbxContent>
                      <w:p w14:paraId="5B1AB3C5">
                        <w:pPr>
                          <w:pStyle w:val="81"/>
                        </w:pPr>
                        <w:r>
                          <w:rPr>
                            <w:rFonts w:hint="eastAsia"/>
                          </w:rPr>
                          <w:t>泵</w:t>
                        </w:r>
                      </w:p>
                    </w:txbxContent>
                  </v:textbox>
                </v:shape>
                <v:shape id="直接箭头连接符 18" o:spid="_x0000_s1026" o:spt="32" type="#_x0000_t32" style="position:absolute;left:5452;top:8149;flip:x;height:397;width:2;" filled="f" stroked="t" coordsize="21600,21600" o:gfxdata="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o1C8b4A&#10;AADbAAAADwAAAAAAAAABACAAAAAiAAAAZHJzL2Rvd25yZXYueG1sUEsBAhQAFAAAAAgAh07iQDMv&#10;BZ47AAAAOQAAABAAAAAAAAAAAQAgAAAADQEAAGRycy9zaGFwZXhtbC54bWxQSwUGAAAAAAYABgBb&#10;AQAAtwMAAAAA&#10;">
                  <v:fill on="f" focussize="0,0"/>
                  <v:stroke weight="1pt" color="#000000" miterlimit="8" joinstyle="miter" endarrow="block" endarrowlength="long"/>
                  <v:imagedata o:title=""/>
                  <o:lock v:ext="edit" aspectratio="f"/>
                </v:shape>
                <v:shape id="AutoShape 77" o:spid="_x0000_s1026" o:spt="32" type="#_x0000_t32" style="position:absolute;left:4175;top:13112;height:5;width:478;" filled="f" stroked="t" coordsize="21600,21600" o:gfxdata="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4afAvQAA&#10;ANsAAAAPAAAAAAAAAAEAIAAAACIAAABkcnMvZG93bnJldi54bWxQSwECFAAUAAAACACHTuJAMy8F&#10;njsAAAA5AAAAEAAAAAAAAAABACAAAAAMAQAAZHJzL3NoYXBleG1sLnhtbFBLBQYAAAAABgAGAFsB&#10;AAC2AwAAAAA=&#10;">
                  <v:fill on="f" focussize="0,0"/>
                  <v:stroke weight="1pt" color="#000000" miterlimit="8" joinstyle="miter" endarrow="block" endarrowlength="long"/>
                  <v:imagedata o:title=""/>
                  <o:lock v:ext="edit" aspectratio="f"/>
                </v:shape>
              </v:group>
            </w:pict>
          </mc:Fallback>
        </mc:AlternateContent>
      </w:r>
      <w:r>
        <w:t>（3）MVR与生化处理联用</w:t>
      </w:r>
    </w:p>
    <w:p w14:paraId="591848FD">
      <w:pPr>
        <w:ind w:firstLine="480"/>
        <w:rPr>
          <w:rFonts w:cs="Times New Roman"/>
        </w:rPr>
      </w:pPr>
    </w:p>
    <w:p w14:paraId="56E5440B">
      <w:pPr>
        <w:ind w:firstLine="480"/>
        <w:rPr>
          <w:rFonts w:cs="Times New Roman"/>
        </w:rPr>
      </w:pPr>
    </w:p>
    <w:p w14:paraId="58E8342C">
      <w:pPr>
        <w:ind w:firstLine="480"/>
        <w:rPr>
          <w:rFonts w:cs="Times New Roman"/>
        </w:rPr>
      </w:pPr>
    </w:p>
    <w:p w14:paraId="0832C303">
      <w:pPr>
        <w:ind w:firstLine="480"/>
        <w:rPr>
          <w:rFonts w:cs="Times New Roman"/>
        </w:rPr>
      </w:pPr>
    </w:p>
    <w:p w14:paraId="3FCBF764">
      <w:pPr>
        <w:ind w:firstLine="480"/>
        <w:rPr>
          <w:rFonts w:cs="Times New Roman"/>
        </w:rPr>
      </w:pPr>
    </w:p>
    <w:p w14:paraId="078A8002">
      <w:pPr>
        <w:ind w:firstLine="480"/>
        <w:rPr>
          <w:rFonts w:cs="Times New Roman"/>
        </w:rPr>
      </w:pPr>
    </w:p>
    <w:p w14:paraId="016D3054">
      <w:pPr>
        <w:tabs>
          <w:tab w:val="left" w:pos="5129"/>
        </w:tabs>
        <w:ind w:firstLine="480"/>
        <w:rPr>
          <w:rFonts w:cs="Times New Roman"/>
        </w:rPr>
      </w:pPr>
      <w:r>
        <w:rPr>
          <w:rFonts w:cs="Times New Roman"/>
        </w:rPr>
        <w:tab/>
      </w:r>
    </w:p>
    <w:p w14:paraId="10F7F5FE">
      <w:pPr>
        <w:tabs>
          <w:tab w:val="center" w:pos="4153"/>
        </w:tabs>
        <w:ind w:firstLine="480"/>
        <w:rPr>
          <w:rFonts w:cs="Times New Roman"/>
        </w:rPr>
      </w:pPr>
      <w:r>
        <w:rPr>
          <w:rFonts w:cs="Times New Roman"/>
        </w:rPr>
        <w:tab/>
      </w:r>
    </w:p>
    <w:p w14:paraId="3725FF00">
      <w:pPr>
        <w:ind w:firstLine="480"/>
        <w:rPr>
          <w:rFonts w:cs="Times New Roman"/>
        </w:rPr>
      </w:pPr>
    </w:p>
    <w:p w14:paraId="1247F53A">
      <w:pPr>
        <w:ind w:firstLine="480"/>
        <w:rPr>
          <w:rFonts w:cs="Times New Roman"/>
        </w:rPr>
      </w:pPr>
    </w:p>
    <w:p w14:paraId="7644FE68">
      <w:pPr>
        <w:ind w:firstLine="480"/>
        <w:rPr>
          <w:rFonts w:cs="Times New Roman"/>
        </w:rPr>
      </w:pPr>
    </w:p>
    <w:p w14:paraId="2CF80D5B">
      <w:pPr>
        <w:tabs>
          <w:tab w:val="left" w:pos="1290"/>
        </w:tabs>
        <w:ind w:firstLine="480"/>
        <w:rPr>
          <w:rFonts w:cs="Times New Roman"/>
        </w:rPr>
      </w:pPr>
      <w:r>
        <w:rPr>
          <w:rFonts w:cs="Times New Roman"/>
        </w:rPr>
        <w:tab/>
      </w:r>
    </w:p>
    <w:p w14:paraId="5745C567">
      <w:pPr>
        <w:ind w:firstLine="480"/>
        <w:rPr>
          <w:rFonts w:cs="Times New Roman"/>
        </w:rPr>
      </w:pPr>
    </w:p>
    <w:p w14:paraId="5E06ACDF">
      <w:pPr>
        <w:ind w:firstLine="480"/>
        <w:rPr>
          <w:rFonts w:cs="Times New Roman"/>
        </w:rPr>
      </w:pPr>
    </w:p>
    <w:p w14:paraId="42C8D6EA">
      <w:pPr>
        <w:pStyle w:val="61"/>
        <w:rPr>
          <w:rFonts w:cs="Times New Roman"/>
          <w:bCs/>
        </w:rPr>
      </w:pPr>
      <w:r>
        <w:rPr>
          <w:rFonts w:cs="Times New Roman"/>
        </w:rPr>
        <w:t xml:space="preserve">图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图 \* ARABIC \s 1 </w:instrText>
      </w:r>
      <w:r>
        <w:rPr>
          <w:rFonts w:cs="Times New Roman"/>
        </w:rPr>
        <w:fldChar w:fldCharType="separate"/>
      </w:r>
      <w:r>
        <w:rPr>
          <w:rFonts w:cs="Times New Roman"/>
        </w:rPr>
        <w:t>7</w:t>
      </w:r>
      <w:r>
        <w:rPr>
          <w:rFonts w:cs="Times New Roman"/>
        </w:rPr>
        <w:fldChar w:fldCharType="end"/>
      </w:r>
      <w:r>
        <w:rPr>
          <w:rFonts w:cs="Times New Roman"/>
        </w:rPr>
        <w:t xml:space="preserve">    </w:t>
      </w:r>
      <w:r>
        <w:rPr>
          <w:rFonts w:cs="Times New Roman"/>
          <w:spacing w:val="8"/>
        </w:rPr>
        <w:t>烫煮</w:t>
      </w:r>
      <w:r>
        <w:rPr>
          <w:rFonts w:cs="Times New Roman"/>
          <w:bCs/>
        </w:rPr>
        <w:t>废水处理工艺流程框图（MVR与生化处理联用）</w:t>
      </w:r>
    </w:p>
    <w:p w14:paraId="7EA142C2">
      <w:pPr>
        <w:pStyle w:val="80"/>
        <w:ind w:firstLine="482"/>
      </w:pPr>
      <w:r>
        <w:rPr>
          <w:b/>
        </w:rPr>
        <w:t>工艺说明：</w:t>
      </w:r>
      <w:r>
        <w:t>烫煮废水运输至废水储存池，通过提升泵提升至袋式过滤器内，去除废水中的SS，以保证MVR蒸发系统的稳定运行，再用泵将过滤出水泵至MVR蒸发器进行浓缩处理，浓缩液结晶盐回收利用，蒸发冷凝水流入冷凝水池，经冷却塔降温后进入后续处理系统。冷凝水中会含有挥发性有机物，COD浓度达500～1000mg/L，在生物处理系统经微生物降解，再采用混凝法去除废水中的总磷，最终达标排放。</w:t>
      </w:r>
    </w:p>
    <w:p w14:paraId="213116EF">
      <w:pPr>
        <w:pStyle w:val="80"/>
        <w:ind w:firstLine="512"/>
        <w:rPr>
          <w:spacing w:val="8"/>
          <w:szCs w:val="28"/>
        </w:rPr>
      </w:pPr>
      <w:r>
        <w:rPr>
          <w:spacing w:val="8"/>
          <w:szCs w:val="28"/>
        </w:rPr>
        <w:t>（4）气浮与组合式过滤设备联用</w:t>
      </w:r>
    </w:p>
    <w:p w14:paraId="76FD84A0">
      <w:pPr>
        <w:ind w:firstLine="480"/>
        <w:rPr>
          <w:rFonts w:cs="Times New Roman"/>
          <w:spacing w:val="8"/>
          <w:szCs w:val="28"/>
        </w:rPr>
      </w:pPr>
      <w:r>
        <w:rPr>
          <w:rFonts w:cs="Times New Roman"/>
        </w:rPr>
        <mc:AlternateContent>
          <mc:Choice Requires="wpg">
            <w:drawing>
              <wp:anchor distT="0" distB="0" distL="114300" distR="114300" simplePos="0" relativeHeight="251661312" behindDoc="0" locked="0" layoutInCell="1" allowOverlap="1">
                <wp:simplePos x="0" y="0"/>
                <wp:positionH relativeFrom="column">
                  <wp:posOffset>654685</wp:posOffset>
                </wp:positionH>
                <wp:positionV relativeFrom="paragraph">
                  <wp:posOffset>153670</wp:posOffset>
                </wp:positionV>
                <wp:extent cx="4927600" cy="4396105"/>
                <wp:effectExtent l="0" t="12700" r="0" b="1270"/>
                <wp:wrapNone/>
                <wp:docPr id="11" name="Group 111"/>
                <wp:cNvGraphicFramePr/>
                <a:graphic xmlns:a="http://schemas.openxmlformats.org/drawingml/2006/main">
                  <a:graphicData uri="http://schemas.microsoft.com/office/word/2010/wordprocessingGroup">
                    <wpg:wgp>
                      <wpg:cNvGrpSpPr/>
                      <wpg:grpSpPr>
                        <a:xfrm>
                          <a:off x="0" y="0"/>
                          <a:ext cx="4927600" cy="4396105"/>
                          <a:chOff x="2831" y="4856"/>
                          <a:chExt cx="7760" cy="6923"/>
                        </a:xfrm>
                      </wpg:grpSpPr>
                      <wps:wsp>
                        <wps:cNvPr id="12" name="Text Box 78"/>
                        <wps:cNvSpPr txBox="1">
                          <a:spLocks noChangeArrowheads="1"/>
                        </wps:cNvSpPr>
                        <wps:spPr bwMode="auto">
                          <a:xfrm>
                            <a:off x="4830" y="4856"/>
                            <a:ext cx="1943" cy="527"/>
                          </a:xfrm>
                          <a:prstGeom prst="rect">
                            <a:avLst/>
                          </a:prstGeom>
                          <a:noFill/>
                          <a:ln w="6350">
                            <a:solidFill>
                              <a:srgbClr val="000000"/>
                            </a:solidFill>
                            <a:round/>
                          </a:ln>
                        </wps:spPr>
                        <wps:txbx>
                          <w:txbxContent>
                            <w:p w14:paraId="27BEEAE8">
                              <w:pPr>
                                <w:pStyle w:val="81"/>
                              </w:pPr>
                              <w:r>
                                <w:rPr>
                                  <w:rFonts w:hint="eastAsia"/>
                                </w:rPr>
                                <w:t>过滤提升池</w:t>
                              </w:r>
                            </w:p>
                          </w:txbxContent>
                        </wps:txbx>
                        <wps:bodyPr rot="0" vert="horz" wrap="square" lIns="0" tIns="72000" rIns="0" bIns="0" anchor="t" anchorCtr="0" upright="1">
                          <a:noAutofit/>
                        </wps:bodyPr>
                      </wps:wsp>
                      <wps:wsp>
                        <wps:cNvPr id="13" name="Text Box 79"/>
                        <wps:cNvSpPr txBox="1">
                          <a:spLocks noChangeArrowheads="1"/>
                        </wps:cNvSpPr>
                        <wps:spPr bwMode="auto">
                          <a:xfrm>
                            <a:off x="4787" y="7610"/>
                            <a:ext cx="1943" cy="527"/>
                          </a:xfrm>
                          <a:prstGeom prst="rect">
                            <a:avLst/>
                          </a:prstGeom>
                          <a:noFill/>
                          <a:ln w="6350">
                            <a:solidFill>
                              <a:srgbClr val="000000"/>
                            </a:solidFill>
                            <a:round/>
                          </a:ln>
                        </wps:spPr>
                        <wps:txbx>
                          <w:txbxContent>
                            <w:p w14:paraId="73CD587F">
                              <w:pPr>
                                <w:pStyle w:val="81"/>
                              </w:pPr>
                              <w:r>
                                <w:rPr>
                                  <w:rFonts w:hint="eastAsia"/>
                                </w:rPr>
                                <w:t>缓冲池</w:t>
                              </w:r>
                            </w:p>
                          </w:txbxContent>
                        </wps:txbx>
                        <wps:bodyPr rot="0" vert="horz" wrap="square" lIns="0" tIns="72000" rIns="0" bIns="0" anchor="t" anchorCtr="0" upright="1">
                          <a:noAutofit/>
                        </wps:bodyPr>
                      </wps:wsp>
                      <wps:wsp>
                        <wps:cNvPr id="14" name="Text Box 80"/>
                        <wps:cNvSpPr txBox="1">
                          <a:spLocks noChangeArrowheads="1"/>
                        </wps:cNvSpPr>
                        <wps:spPr bwMode="auto">
                          <a:xfrm>
                            <a:off x="4398" y="6692"/>
                            <a:ext cx="2760" cy="576"/>
                          </a:xfrm>
                          <a:prstGeom prst="rect">
                            <a:avLst/>
                          </a:prstGeom>
                          <a:noFill/>
                          <a:ln w="6350">
                            <a:solidFill>
                              <a:srgbClr val="000000"/>
                            </a:solidFill>
                            <a:round/>
                          </a:ln>
                        </wps:spPr>
                        <wps:txbx>
                          <w:txbxContent>
                            <w:p w14:paraId="12CABCB9">
                              <w:pPr>
                                <w:pStyle w:val="81"/>
                              </w:pPr>
                              <w:r>
                                <w:rPr>
                                  <w:rFonts w:hint="eastAsia"/>
                                </w:rPr>
                                <w:t>氧化气浮一体化设备</w:t>
                              </w:r>
                            </w:p>
                          </w:txbxContent>
                        </wps:txbx>
                        <wps:bodyPr rot="0" vert="horz" wrap="square" lIns="0" tIns="72000" rIns="0" bIns="0" anchor="t" anchorCtr="0" upright="1">
                          <a:noAutofit/>
                        </wps:bodyPr>
                      </wps:wsp>
                      <wps:wsp>
                        <wps:cNvPr id="15" name="Text Box 81"/>
                        <wps:cNvSpPr txBox="1">
                          <a:spLocks noChangeArrowheads="1"/>
                        </wps:cNvSpPr>
                        <wps:spPr bwMode="auto">
                          <a:xfrm>
                            <a:off x="4643" y="8533"/>
                            <a:ext cx="2275" cy="527"/>
                          </a:xfrm>
                          <a:prstGeom prst="rect">
                            <a:avLst/>
                          </a:prstGeom>
                          <a:noFill/>
                          <a:ln w="6350">
                            <a:solidFill>
                              <a:srgbClr val="000000"/>
                            </a:solidFill>
                            <a:round/>
                          </a:ln>
                        </wps:spPr>
                        <wps:txbx>
                          <w:txbxContent>
                            <w:p w14:paraId="4D4BFAB7">
                              <w:pPr>
                                <w:pStyle w:val="81"/>
                              </w:pPr>
                              <w:r>
                                <w:rPr>
                                  <w:rFonts w:hint="eastAsia"/>
                                </w:rPr>
                                <w:t>组合式过滤设备</w:t>
                              </w:r>
                            </w:p>
                          </w:txbxContent>
                        </wps:txbx>
                        <wps:bodyPr rot="0" vert="horz" wrap="square" lIns="0" tIns="72000" rIns="0" bIns="0" anchor="t" anchorCtr="0" upright="1">
                          <a:noAutofit/>
                        </wps:bodyPr>
                      </wps:wsp>
                      <wps:wsp>
                        <wps:cNvPr id="16" name="Text Box 82"/>
                        <wps:cNvSpPr txBox="1">
                          <a:spLocks noChangeArrowheads="1"/>
                        </wps:cNvSpPr>
                        <wps:spPr bwMode="auto">
                          <a:xfrm>
                            <a:off x="4687" y="5769"/>
                            <a:ext cx="2243" cy="527"/>
                          </a:xfrm>
                          <a:prstGeom prst="rect">
                            <a:avLst/>
                          </a:prstGeom>
                          <a:noFill/>
                          <a:ln w="6350">
                            <a:solidFill>
                              <a:srgbClr val="000000"/>
                            </a:solidFill>
                            <a:round/>
                          </a:ln>
                        </wps:spPr>
                        <wps:txbx>
                          <w:txbxContent>
                            <w:p w14:paraId="5252417A">
                              <w:pPr>
                                <w:pStyle w:val="81"/>
                              </w:pPr>
                              <w:r>
                                <w:rPr>
                                  <w:rFonts w:hint="eastAsia"/>
                                </w:rPr>
                                <w:t>中和调节配水池</w:t>
                              </w:r>
                            </w:p>
                          </w:txbxContent>
                        </wps:txbx>
                        <wps:bodyPr rot="0" vert="horz" wrap="square" lIns="0" tIns="72000" rIns="0" bIns="0" anchor="t" anchorCtr="0" upright="1">
                          <a:noAutofit/>
                        </wps:bodyPr>
                      </wps:wsp>
                      <wps:wsp>
                        <wps:cNvPr id="17" name="Text Box 83"/>
                        <wps:cNvSpPr txBox="1">
                          <a:spLocks noChangeArrowheads="1"/>
                        </wps:cNvSpPr>
                        <wps:spPr bwMode="auto">
                          <a:xfrm>
                            <a:off x="4992" y="9449"/>
                            <a:ext cx="1610" cy="544"/>
                          </a:xfrm>
                          <a:prstGeom prst="rect">
                            <a:avLst/>
                          </a:prstGeom>
                          <a:noFill/>
                          <a:ln w="6350">
                            <a:solidFill>
                              <a:srgbClr val="000000"/>
                            </a:solidFill>
                            <a:round/>
                          </a:ln>
                        </wps:spPr>
                        <wps:txbx>
                          <w:txbxContent>
                            <w:p w14:paraId="1A5723A0">
                              <w:pPr>
                                <w:pStyle w:val="81"/>
                              </w:pPr>
                              <w:r>
                                <w:rPr>
                                  <w:rFonts w:hint="eastAsia"/>
                                </w:rPr>
                                <w:t>清水池</w:t>
                              </w:r>
                            </w:p>
                          </w:txbxContent>
                        </wps:txbx>
                        <wps:bodyPr rot="0" vert="horz" wrap="square" lIns="0" tIns="72000" rIns="0" bIns="0" anchor="t" anchorCtr="0" upright="1">
                          <a:noAutofit/>
                        </wps:bodyPr>
                      </wps:wsp>
                      <wps:wsp>
                        <wps:cNvPr id="18" name="Text Box 84"/>
                        <wps:cNvSpPr txBox="1">
                          <a:spLocks noChangeArrowheads="1"/>
                        </wps:cNvSpPr>
                        <wps:spPr bwMode="auto">
                          <a:xfrm>
                            <a:off x="4219" y="10371"/>
                            <a:ext cx="3175" cy="527"/>
                          </a:xfrm>
                          <a:prstGeom prst="rect">
                            <a:avLst/>
                          </a:prstGeom>
                          <a:noFill/>
                          <a:ln w="6350">
                            <a:solidFill>
                              <a:srgbClr val="000000"/>
                            </a:solidFill>
                            <a:round/>
                          </a:ln>
                        </wps:spPr>
                        <wps:txbx>
                          <w:txbxContent>
                            <w:p w14:paraId="1244A00B">
                              <w:pPr>
                                <w:pStyle w:val="81"/>
                              </w:pPr>
                              <w:r>
                                <w:rPr>
                                  <w:rFonts w:hint="eastAsia"/>
                                </w:rPr>
                                <w:t>超滤、一、二级反渗透</w:t>
                              </w:r>
                            </w:p>
                          </w:txbxContent>
                        </wps:txbx>
                        <wps:bodyPr rot="0" vert="horz" wrap="square" lIns="0" tIns="72000" rIns="0" bIns="0" anchor="t" anchorCtr="0" upright="1">
                          <a:noAutofit/>
                        </wps:bodyPr>
                      </wps:wsp>
                      <wps:wsp>
                        <wps:cNvPr id="19" name="Text Box 85"/>
                        <wps:cNvSpPr txBox="1">
                          <a:spLocks noChangeArrowheads="1"/>
                        </wps:cNvSpPr>
                        <wps:spPr bwMode="auto">
                          <a:xfrm>
                            <a:off x="7610" y="6726"/>
                            <a:ext cx="1943" cy="527"/>
                          </a:xfrm>
                          <a:prstGeom prst="rect">
                            <a:avLst/>
                          </a:prstGeom>
                          <a:noFill/>
                          <a:ln w="6350">
                            <a:solidFill>
                              <a:srgbClr val="000000"/>
                            </a:solidFill>
                            <a:round/>
                          </a:ln>
                        </wps:spPr>
                        <wps:txbx>
                          <w:txbxContent>
                            <w:p w14:paraId="76451D82">
                              <w:pPr>
                                <w:pStyle w:val="81"/>
                              </w:pPr>
                              <w:r>
                                <w:rPr>
                                  <w:rFonts w:hint="eastAsia"/>
                                </w:rPr>
                                <w:t>污泥压缩机</w:t>
                              </w:r>
                            </w:p>
                          </w:txbxContent>
                        </wps:txbx>
                        <wps:bodyPr rot="0" vert="horz" wrap="square" lIns="0" tIns="72000" rIns="0" bIns="0" anchor="t" anchorCtr="0" upright="1">
                          <a:noAutofit/>
                        </wps:bodyPr>
                      </wps:wsp>
                      <wps:wsp>
                        <wps:cNvPr id="21" name="AutoShape 86"/>
                        <wps:cNvCnPr>
                          <a:cxnSpLocks noChangeShapeType="1"/>
                        </wps:cNvCnPr>
                        <wps:spPr bwMode="auto">
                          <a:xfrm rot="5400000">
                            <a:off x="5573" y="5579"/>
                            <a:ext cx="378" cy="2"/>
                          </a:xfrm>
                          <a:prstGeom prst="bentConnector3">
                            <a:avLst>
                              <a:gd name="adj1" fmla="val 50000"/>
                            </a:avLst>
                          </a:prstGeom>
                          <a:noFill/>
                          <a:ln w="12700">
                            <a:solidFill>
                              <a:srgbClr val="000000"/>
                            </a:solidFill>
                            <a:miter lim="800000"/>
                            <a:tailEnd type="triangle" w="med" len="lg"/>
                          </a:ln>
                        </wps:spPr>
                        <wps:bodyPr/>
                      </wps:wsp>
                      <wps:wsp>
                        <wps:cNvPr id="22" name="AutoShape 87"/>
                        <wps:cNvCnPr>
                          <a:cxnSpLocks noChangeShapeType="1"/>
                        </wps:cNvCnPr>
                        <wps:spPr bwMode="auto">
                          <a:xfrm rot="5400000">
                            <a:off x="5596" y="6492"/>
                            <a:ext cx="378" cy="2"/>
                          </a:xfrm>
                          <a:prstGeom prst="bentConnector3">
                            <a:avLst>
                              <a:gd name="adj1" fmla="val 50000"/>
                            </a:avLst>
                          </a:prstGeom>
                          <a:noFill/>
                          <a:ln w="12700">
                            <a:solidFill>
                              <a:srgbClr val="000000"/>
                            </a:solidFill>
                            <a:miter lim="800000"/>
                            <a:tailEnd type="triangle" w="med" len="lg"/>
                          </a:ln>
                        </wps:spPr>
                        <wps:bodyPr/>
                      </wps:wsp>
                      <wps:wsp>
                        <wps:cNvPr id="23" name="AutoShape 88"/>
                        <wps:cNvCnPr>
                          <a:cxnSpLocks noChangeShapeType="1"/>
                        </wps:cNvCnPr>
                        <wps:spPr bwMode="auto">
                          <a:xfrm flipH="1">
                            <a:off x="5744" y="7288"/>
                            <a:ext cx="2" cy="378"/>
                          </a:xfrm>
                          <a:prstGeom prst="straightConnector1">
                            <a:avLst/>
                          </a:prstGeom>
                          <a:noFill/>
                          <a:ln w="12700">
                            <a:solidFill>
                              <a:srgbClr val="000000"/>
                            </a:solidFill>
                            <a:miter lim="800000"/>
                            <a:tailEnd type="triangle" w="med" len="lg"/>
                          </a:ln>
                        </wps:spPr>
                        <wps:bodyPr/>
                      </wps:wsp>
                      <wps:wsp>
                        <wps:cNvPr id="24" name="AutoShape 89"/>
                        <wps:cNvCnPr>
                          <a:cxnSpLocks noChangeShapeType="1"/>
                        </wps:cNvCnPr>
                        <wps:spPr bwMode="auto">
                          <a:xfrm flipH="1">
                            <a:off x="5764" y="8155"/>
                            <a:ext cx="2" cy="378"/>
                          </a:xfrm>
                          <a:prstGeom prst="straightConnector1">
                            <a:avLst/>
                          </a:prstGeom>
                          <a:noFill/>
                          <a:ln w="12700">
                            <a:solidFill>
                              <a:srgbClr val="000000"/>
                            </a:solidFill>
                            <a:miter lim="800000"/>
                            <a:tailEnd type="triangle" w="med" len="lg"/>
                          </a:ln>
                        </wps:spPr>
                        <wps:bodyPr/>
                      </wps:wsp>
                      <wps:wsp>
                        <wps:cNvPr id="25" name="AutoShape 90"/>
                        <wps:cNvCnPr>
                          <a:cxnSpLocks noChangeShapeType="1"/>
                        </wps:cNvCnPr>
                        <wps:spPr bwMode="auto">
                          <a:xfrm flipH="1">
                            <a:off x="5754" y="9071"/>
                            <a:ext cx="2" cy="378"/>
                          </a:xfrm>
                          <a:prstGeom prst="straightConnector1">
                            <a:avLst/>
                          </a:prstGeom>
                          <a:noFill/>
                          <a:ln w="12700">
                            <a:solidFill>
                              <a:srgbClr val="000000"/>
                            </a:solidFill>
                            <a:miter lim="800000"/>
                            <a:tailEnd type="triangle" w="med" len="lg"/>
                          </a:ln>
                        </wps:spPr>
                        <wps:bodyPr/>
                      </wps:wsp>
                      <wps:wsp>
                        <wps:cNvPr id="26" name="AutoShape 91"/>
                        <wps:cNvCnPr>
                          <a:cxnSpLocks noChangeShapeType="1"/>
                        </wps:cNvCnPr>
                        <wps:spPr bwMode="auto">
                          <a:xfrm flipH="1">
                            <a:off x="5786" y="9993"/>
                            <a:ext cx="2" cy="378"/>
                          </a:xfrm>
                          <a:prstGeom prst="straightConnector1">
                            <a:avLst/>
                          </a:prstGeom>
                          <a:noFill/>
                          <a:ln w="12700">
                            <a:solidFill>
                              <a:srgbClr val="000000"/>
                            </a:solidFill>
                            <a:miter lim="800000"/>
                            <a:tailEnd type="triangle" w="med" len="lg"/>
                          </a:ln>
                        </wps:spPr>
                        <wps:bodyPr/>
                      </wps:wsp>
                      <wps:wsp>
                        <wps:cNvPr id="27" name="AutoShape 92"/>
                        <wps:cNvCnPr>
                          <a:cxnSpLocks noChangeShapeType="1"/>
                        </wps:cNvCnPr>
                        <wps:spPr bwMode="auto">
                          <a:xfrm flipH="1">
                            <a:off x="5788" y="10898"/>
                            <a:ext cx="2" cy="510"/>
                          </a:xfrm>
                          <a:prstGeom prst="straightConnector1">
                            <a:avLst/>
                          </a:prstGeom>
                          <a:noFill/>
                          <a:ln w="12700">
                            <a:solidFill>
                              <a:srgbClr val="000000"/>
                            </a:solidFill>
                            <a:miter lim="800000"/>
                            <a:tailEnd type="triangle" w="med" len="lg"/>
                          </a:ln>
                        </wps:spPr>
                        <wps:bodyPr/>
                      </wps:wsp>
                      <wps:wsp>
                        <wps:cNvPr id="28" name="AutoShape 93"/>
                        <wps:cNvCnPr>
                          <a:cxnSpLocks noChangeShapeType="1"/>
                        </wps:cNvCnPr>
                        <wps:spPr bwMode="auto">
                          <a:xfrm>
                            <a:off x="7155" y="6980"/>
                            <a:ext cx="478" cy="5"/>
                          </a:xfrm>
                          <a:prstGeom prst="straightConnector1">
                            <a:avLst/>
                          </a:prstGeom>
                          <a:noFill/>
                          <a:ln w="12700">
                            <a:solidFill>
                              <a:srgbClr val="000000"/>
                            </a:solidFill>
                            <a:miter lim="800000"/>
                            <a:tailEnd type="triangle" w="med" len="lg"/>
                          </a:ln>
                        </wps:spPr>
                        <wps:bodyPr/>
                      </wps:wsp>
                      <wps:wsp>
                        <wps:cNvPr id="29" name="Line 94"/>
                        <wps:cNvCnPr>
                          <a:cxnSpLocks noChangeShapeType="1"/>
                        </wps:cNvCnPr>
                        <wps:spPr bwMode="auto">
                          <a:xfrm flipH="1" flipV="1">
                            <a:off x="3348" y="8786"/>
                            <a:ext cx="1229" cy="7"/>
                          </a:xfrm>
                          <a:prstGeom prst="line">
                            <a:avLst/>
                          </a:prstGeom>
                          <a:noFill/>
                          <a:ln w="9525">
                            <a:solidFill>
                              <a:srgbClr val="000000"/>
                            </a:solidFill>
                            <a:round/>
                          </a:ln>
                        </wps:spPr>
                        <wps:bodyPr/>
                      </wps:wsp>
                      <wps:wsp>
                        <wps:cNvPr id="30" name="Line 95"/>
                        <wps:cNvCnPr>
                          <a:cxnSpLocks noChangeShapeType="1"/>
                        </wps:cNvCnPr>
                        <wps:spPr bwMode="auto">
                          <a:xfrm flipV="1">
                            <a:off x="3348" y="6013"/>
                            <a:ext cx="1" cy="2778"/>
                          </a:xfrm>
                          <a:prstGeom prst="line">
                            <a:avLst/>
                          </a:prstGeom>
                          <a:noFill/>
                          <a:ln w="9525">
                            <a:solidFill>
                              <a:srgbClr val="000000"/>
                            </a:solidFill>
                            <a:round/>
                          </a:ln>
                        </wps:spPr>
                        <wps:bodyPr/>
                      </wps:wsp>
                      <wps:wsp>
                        <wps:cNvPr id="31" name="Line 96"/>
                        <wps:cNvCnPr>
                          <a:cxnSpLocks noChangeShapeType="1"/>
                        </wps:cNvCnPr>
                        <wps:spPr bwMode="auto">
                          <a:xfrm>
                            <a:off x="3360" y="6035"/>
                            <a:ext cx="1295" cy="10"/>
                          </a:xfrm>
                          <a:prstGeom prst="line">
                            <a:avLst/>
                          </a:prstGeom>
                          <a:noFill/>
                          <a:ln w="9525">
                            <a:solidFill>
                              <a:srgbClr val="000000"/>
                            </a:solidFill>
                            <a:round/>
                            <a:tailEnd type="arrow" w="med" len="med"/>
                          </a:ln>
                        </wps:spPr>
                        <wps:bodyPr/>
                      </wps:wsp>
                      <wps:wsp>
                        <wps:cNvPr id="32" name="Line 97"/>
                        <wps:cNvCnPr>
                          <a:cxnSpLocks noChangeShapeType="1"/>
                        </wps:cNvCnPr>
                        <wps:spPr bwMode="auto">
                          <a:xfrm>
                            <a:off x="6608" y="9746"/>
                            <a:ext cx="1175" cy="11"/>
                          </a:xfrm>
                          <a:prstGeom prst="line">
                            <a:avLst/>
                          </a:prstGeom>
                          <a:noFill/>
                          <a:ln w="9525">
                            <a:solidFill>
                              <a:srgbClr val="000000"/>
                            </a:solidFill>
                            <a:round/>
                          </a:ln>
                        </wps:spPr>
                        <wps:bodyPr/>
                      </wps:wsp>
                      <wps:wsp>
                        <wps:cNvPr id="33" name="Line 98"/>
                        <wps:cNvCnPr>
                          <a:cxnSpLocks noChangeShapeType="1"/>
                        </wps:cNvCnPr>
                        <wps:spPr bwMode="auto">
                          <a:xfrm flipH="1" flipV="1">
                            <a:off x="7772" y="8786"/>
                            <a:ext cx="11" cy="964"/>
                          </a:xfrm>
                          <a:prstGeom prst="line">
                            <a:avLst/>
                          </a:prstGeom>
                          <a:noFill/>
                          <a:ln w="9525">
                            <a:solidFill>
                              <a:srgbClr val="000000"/>
                            </a:solidFill>
                            <a:round/>
                          </a:ln>
                        </wps:spPr>
                        <wps:bodyPr/>
                      </wps:wsp>
                      <wps:wsp>
                        <wps:cNvPr id="34" name="Line 99"/>
                        <wps:cNvCnPr>
                          <a:cxnSpLocks noChangeShapeType="1"/>
                        </wps:cNvCnPr>
                        <wps:spPr bwMode="auto">
                          <a:xfrm flipH="1">
                            <a:off x="6924" y="8796"/>
                            <a:ext cx="854" cy="11"/>
                          </a:xfrm>
                          <a:prstGeom prst="line">
                            <a:avLst/>
                          </a:prstGeom>
                          <a:noFill/>
                          <a:ln w="9525">
                            <a:solidFill>
                              <a:srgbClr val="000000"/>
                            </a:solidFill>
                            <a:round/>
                            <a:tailEnd type="arrow" w="med" len="med"/>
                          </a:ln>
                        </wps:spPr>
                        <wps:bodyPr/>
                      </wps:wsp>
                      <wps:wsp>
                        <wps:cNvPr id="36" name="Text Box 100"/>
                        <wps:cNvSpPr txBox="1">
                          <a:spLocks noChangeArrowheads="1"/>
                        </wps:cNvSpPr>
                        <wps:spPr bwMode="auto">
                          <a:xfrm>
                            <a:off x="6884" y="8371"/>
                            <a:ext cx="1245" cy="448"/>
                          </a:xfrm>
                          <a:prstGeom prst="rect">
                            <a:avLst/>
                          </a:prstGeom>
                          <a:noFill/>
                          <a:ln>
                            <a:noFill/>
                          </a:ln>
                        </wps:spPr>
                        <wps:txbx>
                          <w:txbxContent>
                            <w:p w14:paraId="5F92A9FF">
                              <w:pPr>
                                <w:pStyle w:val="81"/>
                              </w:pPr>
                              <w:r>
                                <w:rPr>
                                  <w:rFonts w:hint="eastAsia"/>
                                </w:rPr>
                                <w:t>提升泵</w:t>
                              </w:r>
                            </w:p>
                          </w:txbxContent>
                        </wps:txbx>
                        <wps:bodyPr rot="0" vert="horz" wrap="square" lIns="91440" tIns="72000" rIns="91440" bIns="45720" anchor="t" anchorCtr="0" upright="1">
                          <a:noAutofit/>
                        </wps:bodyPr>
                      </wps:wsp>
                      <wps:wsp>
                        <wps:cNvPr id="38" name="Text Box 101"/>
                        <wps:cNvSpPr txBox="1">
                          <a:spLocks noChangeArrowheads="1"/>
                        </wps:cNvSpPr>
                        <wps:spPr bwMode="auto">
                          <a:xfrm>
                            <a:off x="5670" y="10898"/>
                            <a:ext cx="1072" cy="503"/>
                          </a:xfrm>
                          <a:prstGeom prst="rect">
                            <a:avLst/>
                          </a:prstGeom>
                          <a:noFill/>
                          <a:ln>
                            <a:noFill/>
                          </a:ln>
                        </wps:spPr>
                        <wps:txbx>
                          <w:txbxContent>
                            <w:p w14:paraId="6A0A3123">
                              <w:pPr>
                                <w:pStyle w:val="81"/>
                              </w:pPr>
                              <w:r>
                                <w:rPr>
                                  <w:rFonts w:hint="eastAsia"/>
                                </w:rPr>
                                <w:t>反洗泵</w:t>
                              </w:r>
                            </w:p>
                          </w:txbxContent>
                        </wps:txbx>
                        <wps:bodyPr rot="0" vert="horz" wrap="square" lIns="91440" tIns="72000" rIns="91440" bIns="45720" anchor="t" anchorCtr="0" upright="1">
                          <a:noAutofit/>
                        </wps:bodyPr>
                      </wps:wsp>
                      <wps:wsp>
                        <wps:cNvPr id="39" name="Text Box 102"/>
                        <wps:cNvSpPr txBox="1">
                          <a:spLocks noChangeArrowheads="1"/>
                        </wps:cNvSpPr>
                        <wps:spPr bwMode="auto">
                          <a:xfrm>
                            <a:off x="7550" y="9005"/>
                            <a:ext cx="1440" cy="503"/>
                          </a:xfrm>
                          <a:prstGeom prst="rect">
                            <a:avLst/>
                          </a:prstGeom>
                          <a:noFill/>
                          <a:ln>
                            <a:noFill/>
                          </a:ln>
                        </wps:spPr>
                        <wps:txbx>
                          <w:txbxContent>
                            <w:p w14:paraId="4B63AF3C">
                              <w:pPr>
                                <w:pStyle w:val="81"/>
                              </w:pPr>
                              <w:r>
                                <w:rPr>
                                  <w:rFonts w:hint="eastAsia"/>
                                </w:rPr>
                                <w:t>反洗进水</w:t>
                              </w:r>
                            </w:p>
                          </w:txbxContent>
                        </wps:txbx>
                        <wps:bodyPr rot="0" vert="horz" wrap="square" lIns="91440" tIns="72000" rIns="91440" bIns="45720" anchor="t" anchorCtr="0" upright="1">
                          <a:noAutofit/>
                        </wps:bodyPr>
                      </wps:wsp>
                      <wps:wsp>
                        <wps:cNvPr id="40" name="Text Box 103"/>
                        <wps:cNvSpPr txBox="1">
                          <a:spLocks noChangeArrowheads="1"/>
                        </wps:cNvSpPr>
                        <wps:spPr bwMode="auto">
                          <a:xfrm>
                            <a:off x="5703" y="6244"/>
                            <a:ext cx="971" cy="448"/>
                          </a:xfrm>
                          <a:prstGeom prst="rect">
                            <a:avLst/>
                          </a:prstGeom>
                          <a:noFill/>
                          <a:ln>
                            <a:noFill/>
                          </a:ln>
                        </wps:spPr>
                        <wps:txbx>
                          <w:txbxContent>
                            <w:p w14:paraId="25DC00A1">
                              <w:pPr>
                                <w:pStyle w:val="81"/>
                              </w:pPr>
                              <w:r>
                                <w:rPr>
                                  <w:rFonts w:hint="eastAsia"/>
                                </w:rPr>
                                <w:t>提升泵</w:t>
                              </w:r>
                            </w:p>
                          </w:txbxContent>
                        </wps:txbx>
                        <wps:bodyPr rot="0" vert="horz" wrap="square" lIns="91440" tIns="45720" rIns="91440" bIns="45720" anchor="t" anchorCtr="0" upright="1">
                          <a:noAutofit/>
                        </wps:bodyPr>
                      </wps:wsp>
                      <wps:wsp>
                        <wps:cNvPr id="41" name="Text Box 104"/>
                        <wps:cNvSpPr txBox="1">
                          <a:spLocks noChangeArrowheads="1"/>
                        </wps:cNvSpPr>
                        <wps:spPr bwMode="auto">
                          <a:xfrm>
                            <a:off x="5601" y="5331"/>
                            <a:ext cx="1245" cy="448"/>
                          </a:xfrm>
                          <a:prstGeom prst="rect">
                            <a:avLst/>
                          </a:prstGeom>
                          <a:noFill/>
                          <a:ln>
                            <a:noFill/>
                          </a:ln>
                        </wps:spPr>
                        <wps:txbx>
                          <w:txbxContent>
                            <w:p w14:paraId="4E606DCA">
                              <w:pPr>
                                <w:pStyle w:val="81"/>
                              </w:pPr>
                              <w:r>
                                <w:rPr>
                                  <w:rFonts w:hint="eastAsia"/>
                                </w:rPr>
                                <w:t>提升泵</w:t>
                              </w:r>
                            </w:p>
                          </w:txbxContent>
                        </wps:txbx>
                        <wps:bodyPr rot="0" vert="horz" wrap="square" lIns="91440" tIns="45720" rIns="91440" bIns="45720" anchor="t" anchorCtr="0" upright="1">
                          <a:noAutofit/>
                        </wps:bodyPr>
                      </wps:wsp>
                      <wps:wsp>
                        <wps:cNvPr id="42" name="Text Box 105"/>
                        <wps:cNvSpPr txBox="1">
                          <a:spLocks noChangeArrowheads="1"/>
                        </wps:cNvSpPr>
                        <wps:spPr bwMode="auto">
                          <a:xfrm>
                            <a:off x="2831" y="7147"/>
                            <a:ext cx="564" cy="1258"/>
                          </a:xfrm>
                          <a:prstGeom prst="rect">
                            <a:avLst/>
                          </a:prstGeom>
                          <a:noFill/>
                          <a:ln>
                            <a:noFill/>
                          </a:ln>
                        </wps:spPr>
                        <wps:txbx>
                          <w:txbxContent>
                            <w:p w14:paraId="08647252">
                              <w:pPr>
                                <w:pStyle w:val="81"/>
                              </w:pPr>
                              <w:r>
                                <w:rPr>
                                  <w:rFonts w:hint="eastAsia"/>
                                </w:rPr>
                                <w:t>反洗出水</w:t>
                              </w:r>
                            </w:p>
                          </w:txbxContent>
                        </wps:txbx>
                        <wps:bodyPr rot="0" vert="eaVert" wrap="square" lIns="91440" tIns="45720" rIns="91440" bIns="45720" anchor="t" anchorCtr="0" upright="1">
                          <a:noAutofit/>
                        </wps:bodyPr>
                      </wps:wsp>
                      <wps:wsp>
                        <wps:cNvPr id="43" name="Text Box 108"/>
                        <wps:cNvSpPr txBox="1">
                          <a:spLocks noChangeArrowheads="1"/>
                        </wps:cNvSpPr>
                        <wps:spPr bwMode="auto">
                          <a:xfrm>
                            <a:off x="5050" y="11276"/>
                            <a:ext cx="1472" cy="503"/>
                          </a:xfrm>
                          <a:prstGeom prst="rect">
                            <a:avLst/>
                          </a:prstGeom>
                          <a:noFill/>
                          <a:ln>
                            <a:noFill/>
                          </a:ln>
                        </wps:spPr>
                        <wps:txbx>
                          <w:txbxContent>
                            <w:p w14:paraId="36336B87">
                              <w:pPr>
                                <w:pStyle w:val="81"/>
                              </w:pPr>
                              <w:r>
                                <w:rPr>
                                  <w:rFonts w:hint="eastAsia"/>
                                </w:rPr>
                                <w:t>达标出水</w:t>
                              </w:r>
                            </w:p>
                          </w:txbxContent>
                        </wps:txbx>
                        <wps:bodyPr rot="0" vert="horz" wrap="square" lIns="91440" tIns="72000" rIns="91440" bIns="45720" anchor="t" anchorCtr="0" upright="1">
                          <a:noAutofit/>
                        </wps:bodyPr>
                      </wps:wsp>
                      <wps:wsp>
                        <wps:cNvPr id="44" name="Text Box 109"/>
                        <wps:cNvSpPr txBox="1">
                          <a:spLocks noChangeArrowheads="1"/>
                        </wps:cNvSpPr>
                        <wps:spPr bwMode="auto">
                          <a:xfrm>
                            <a:off x="7294" y="7163"/>
                            <a:ext cx="3297" cy="503"/>
                          </a:xfrm>
                          <a:prstGeom prst="rect">
                            <a:avLst/>
                          </a:prstGeom>
                          <a:noFill/>
                          <a:ln>
                            <a:noFill/>
                          </a:ln>
                        </wps:spPr>
                        <wps:txbx>
                          <w:txbxContent>
                            <w:p w14:paraId="5BE6D3E1">
                              <w:pPr>
                                <w:pStyle w:val="81"/>
                              </w:pPr>
                              <w:r>
                                <w:rPr>
                                  <w:rFonts w:hint="eastAsia"/>
                                  <w:kern w:val="0"/>
                                </w:rPr>
                                <w:t>委托第三方作为一般废物处置</w:t>
                              </w:r>
                            </w:p>
                          </w:txbxContent>
                        </wps:txbx>
                        <wps:bodyPr rot="0" vert="horz" wrap="square" lIns="0" tIns="72000" rIns="0" bIns="45720" anchor="t" anchorCtr="0" upright="1">
                          <a:noAutofit/>
                        </wps:bodyPr>
                      </wps:wsp>
                    </wpg:wgp>
                  </a:graphicData>
                </a:graphic>
              </wp:anchor>
            </w:drawing>
          </mc:Choice>
          <mc:Fallback>
            <w:pict>
              <v:group id="Group 111" o:spid="_x0000_s1026" o:spt="203" style="position:absolute;left:0pt;margin-left:51.55pt;margin-top:12.1pt;height:346.15pt;width:388pt;z-index:251661312;mso-width-relative:page;mso-height-relative:page;" coordorigin="2831,4856" coordsize="7760,6923" o:gfxdata="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">
                <o:lock v:ext="edit" aspectratio="f"/>
                <v:shape id="Text Box 78" o:spid="_x0000_s1026" o:spt="202" type="#_x0000_t202" style="position:absolute;left:4830;top:4856;height:527;width:1943;" filled="f" stroked="t" coordsize="21600,21600" o:gfxdata="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OlwUugAAANs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textbox inset="0mm,2mm,0mm,0mm">
                    <w:txbxContent>
                      <w:p w14:paraId="27BEEAE8">
                        <w:pPr>
                          <w:pStyle w:val="81"/>
                        </w:pPr>
                        <w:r>
                          <w:rPr>
                            <w:rFonts w:hint="eastAsia"/>
                          </w:rPr>
                          <w:t>过滤提升池</w:t>
                        </w:r>
                      </w:p>
                    </w:txbxContent>
                  </v:textbox>
                </v:shape>
                <v:shape id="Text Box 79" o:spid="_x0000_s1026" o:spt="202" type="#_x0000_t202" style="position:absolute;left:4787;top:7610;height:527;width:1943;" filled="f" stroked="t" coordsize="21600,21600" o:gfxdata="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nb5j7sAAADb&#10;AAAADwAAAAAAAAABACAAAAAiAAAAZHJzL2Rvd25yZXYueG1sUEsBAhQAFAAAAAgAh07iQDMvBZ47&#10;AAAAOQAAABAAAAAAAAAAAQAgAAAACgEAAGRycy9zaGFwZXhtbC54bWxQSwUGAAAAAAYABgBbAQAA&#10;tAMAAAAA&#10;">
                  <v:fill on="f" focussize="0,0"/>
                  <v:stroke weight="0.5pt" color="#000000" joinstyle="round"/>
                  <v:imagedata o:title=""/>
                  <o:lock v:ext="edit" aspectratio="f"/>
                  <v:textbox inset="0mm,2mm,0mm,0mm">
                    <w:txbxContent>
                      <w:p w14:paraId="73CD587F">
                        <w:pPr>
                          <w:pStyle w:val="81"/>
                        </w:pPr>
                        <w:r>
                          <w:rPr>
                            <w:rFonts w:hint="eastAsia"/>
                          </w:rPr>
                          <w:t>缓冲池</w:t>
                        </w:r>
                      </w:p>
                    </w:txbxContent>
                  </v:textbox>
                </v:shape>
                <v:shape id="Text Box 80" o:spid="_x0000_s1026" o:spt="202" type="#_x0000_t202" style="position:absolute;left:4398;top:6692;height:576;width:2760;" filled="f" stroked="t" coordsize="21600,21600" o:gfxdata="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Z9h+7sAAADb&#10;AAAADwAAAAAAAAABACAAAAAiAAAAZHJzL2Rvd25yZXYueG1sUEsBAhQAFAAAAAgAh07iQDMvBZ47&#10;AAAAOQAAABAAAAAAAAAAAQAgAAAACgEAAGRycy9zaGFwZXhtbC54bWxQSwUGAAAAAAYABgBbAQAA&#10;tAMAAAAA&#10;">
                  <v:fill on="f" focussize="0,0"/>
                  <v:stroke weight="0.5pt" color="#000000" joinstyle="round"/>
                  <v:imagedata o:title=""/>
                  <o:lock v:ext="edit" aspectratio="f"/>
                  <v:textbox inset="0mm,2mm,0mm,0mm">
                    <w:txbxContent>
                      <w:p w14:paraId="12CABCB9">
                        <w:pPr>
                          <w:pStyle w:val="81"/>
                        </w:pPr>
                        <w:r>
                          <w:rPr>
                            <w:rFonts w:hint="eastAsia"/>
                          </w:rPr>
                          <w:t>氧化气浮一体化设备</w:t>
                        </w:r>
                      </w:p>
                    </w:txbxContent>
                  </v:textbox>
                </v:shape>
                <v:shape id="Text Box 81" o:spid="_x0000_s1026" o:spt="202" type="#_x0000_t202" style="position:absolute;left:4643;top:8533;height:527;width:2275;" filled="f" stroked="t" coordsize="21600,21600" o:gfxdata="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tPEYLsAAADb&#10;AAAADwAAAAAAAAABACAAAAAiAAAAZHJzL2Rvd25yZXYueG1sUEsBAhQAFAAAAAgAh07iQDMvBZ47&#10;AAAAOQAAABAAAAAAAAAAAQAgAAAACgEAAGRycy9zaGFwZXhtbC54bWxQSwUGAAAAAAYABgBbAQAA&#10;tAMAAAAA&#10;">
                  <v:fill on="f" focussize="0,0"/>
                  <v:stroke weight="0.5pt" color="#000000" joinstyle="round"/>
                  <v:imagedata o:title=""/>
                  <o:lock v:ext="edit" aspectratio="f"/>
                  <v:textbox inset="0mm,2mm,0mm,0mm">
                    <w:txbxContent>
                      <w:p w14:paraId="4D4BFAB7">
                        <w:pPr>
                          <w:pStyle w:val="81"/>
                        </w:pPr>
                        <w:r>
                          <w:rPr>
                            <w:rFonts w:hint="eastAsia"/>
                          </w:rPr>
                          <w:t>组合式过滤设备</w:t>
                        </w:r>
                      </w:p>
                    </w:txbxContent>
                  </v:textbox>
                </v:shape>
                <v:shape id="Text Box 82" o:spid="_x0000_s1026" o:spt="202" type="#_x0000_t202" style="position:absolute;left:4687;top:5769;height:527;width:2243;" filled="f" stroked="t" coordsize="21600,21600" o:gfxdata="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AVoXugAAANs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textbox inset="0mm,2mm,0mm,0mm">
                    <w:txbxContent>
                      <w:p w14:paraId="5252417A">
                        <w:pPr>
                          <w:pStyle w:val="81"/>
                        </w:pPr>
                        <w:r>
                          <w:rPr>
                            <w:rFonts w:hint="eastAsia"/>
                          </w:rPr>
                          <w:t>中和调节配水池</w:t>
                        </w:r>
                      </w:p>
                    </w:txbxContent>
                  </v:textbox>
                </v:shape>
                <v:shape id="Text Box 83" o:spid="_x0000_s1026" o:spt="202" type="#_x0000_t202" style="position:absolute;left:4992;top:9449;height:544;width:1610;" filled="f" stroked="t" coordsize="21600,21600" o:gfxdata="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U3/jLsAAADb&#10;AAAADwAAAAAAAAABACAAAAAiAAAAZHJzL2Rvd25yZXYueG1sUEsBAhQAFAAAAAgAh07iQDMvBZ47&#10;AAAAOQAAABAAAAAAAAAAAQAgAAAACgEAAGRycy9zaGFwZXhtbC54bWxQSwUGAAAAAAYABgBbAQAA&#10;tAMAAAAA&#10;">
                  <v:fill on="f" focussize="0,0"/>
                  <v:stroke weight="0.5pt" color="#000000" joinstyle="round"/>
                  <v:imagedata o:title=""/>
                  <o:lock v:ext="edit" aspectratio="f"/>
                  <v:textbox inset="0mm,2mm,0mm,0mm">
                    <w:txbxContent>
                      <w:p w14:paraId="1A5723A0">
                        <w:pPr>
                          <w:pStyle w:val="81"/>
                        </w:pPr>
                        <w:r>
                          <w:rPr>
                            <w:rFonts w:hint="eastAsia"/>
                          </w:rPr>
                          <w:t>清水池</w:t>
                        </w:r>
                      </w:p>
                    </w:txbxContent>
                  </v:textbox>
                </v:shape>
                <v:shape id="Text Box 84" o:spid="_x0000_s1026" o:spt="202" type="#_x0000_t202" style="position:absolute;left:4219;top:10371;height:527;width:3175;" filled="f" stroked="t" coordsize="21600,21600" o:gfxdata="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jSa/68AAAA&#10;2wAAAA8AAAAAAAAAAQAgAAAAIgAAAGRycy9kb3ducmV2LnhtbFBLAQIUABQAAAAIAIdO4kAzLwWe&#10;OwAAADkAAAAQAAAAAAAAAAEAIAAAAAsBAABkcnMvc2hhcGV4bWwueG1sUEsFBgAAAAAGAAYAWwEA&#10;ALUDAAAAAA==&#10;">
                  <v:fill on="f" focussize="0,0"/>
                  <v:stroke weight="0.5pt" color="#000000" joinstyle="round"/>
                  <v:imagedata o:title=""/>
                  <o:lock v:ext="edit" aspectratio="f"/>
                  <v:textbox inset="0mm,2mm,0mm,0mm">
                    <w:txbxContent>
                      <w:p w14:paraId="1244A00B">
                        <w:pPr>
                          <w:pStyle w:val="81"/>
                        </w:pPr>
                        <w:r>
                          <w:rPr>
                            <w:rFonts w:hint="eastAsia"/>
                          </w:rPr>
                          <w:t>超滤、一、二级反渗透</w:t>
                        </w:r>
                      </w:p>
                    </w:txbxContent>
                  </v:textbox>
                </v:shape>
                <v:shape id="Text Box 85" o:spid="_x0000_s1026" o:spt="202" type="#_x0000_t202" style="position:absolute;left:7610;top:6726;height:527;width:1943;" filled="f" stroked="t" coordsize="21600,21600" o:gfxdata="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57OZbsAAADb&#10;AAAADwAAAAAAAAABACAAAAAiAAAAZHJzL2Rvd25yZXYueG1sUEsBAhQAFAAAAAgAh07iQDMvBZ47&#10;AAAAOQAAABAAAAAAAAAAAQAgAAAACgEAAGRycy9zaGFwZXhtbC54bWxQSwUGAAAAAAYABgBbAQAA&#10;tAMAAAAA&#10;">
                  <v:fill on="f" focussize="0,0"/>
                  <v:stroke weight="0.5pt" color="#000000" joinstyle="round"/>
                  <v:imagedata o:title=""/>
                  <o:lock v:ext="edit" aspectratio="f"/>
                  <v:textbox inset="0mm,2mm,0mm,0mm">
                    <w:txbxContent>
                      <w:p w14:paraId="76451D82">
                        <w:pPr>
                          <w:pStyle w:val="81"/>
                        </w:pPr>
                        <w:r>
                          <w:rPr>
                            <w:rFonts w:hint="eastAsia"/>
                          </w:rPr>
                          <w:t>污泥压缩机</w:t>
                        </w:r>
                      </w:p>
                    </w:txbxContent>
                  </v:textbox>
                </v:shape>
                <v:shape id="AutoShape 86" o:spid="_x0000_s1026" o:spt="34" type="#_x0000_t34" style="position:absolute;left:5573;top:5579;height:2;width:378;rotation:5898240f;" filled="f" stroked="t" coordsize="21600,21600" o:gfxdata="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8Phx74A&#10;AADbAAAADwAAAAAAAAABACAAAAAiAAAAZHJzL2Rvd25yZXYueG1sUEsBAhQAFAAAAAgAh07iQDMv&#10;BZ47AAAAOQAAABAAAAAAAAAAAQAgAAAADQEAAGRycy9zaGFwZXhtbC54bWxQSwUGAAAAAAYABgBb&#10;AQAAtwMAAAAA&#10;" adj="10800">
                  <v:fill on="f" focussize="0,0"/>
                  <v:stroke weight="1pt" color="#000000" miterlimit="8" joinstyle="miter" endarrow="block" endarrowlength="long"/>
                  <v:imagedata o:title=""/>
                  <o:lock v:ext="edit" aspectratio="f"/>
                </v:shape>
                <v:shape id="AutoShape 87" o:spid="_x0000_s1026" o:spt="34" type="#_x0000_t34" style="position:absolute;left:5596;top:6492;height:2;width:378;rotation:5898240f;" filled="f" stroked="t" coordsize="21600,21600" o:gfxdata="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EX+wvQAA&#10;ANsAAAAPAAAAAAAAAAEAIAAAACIAAABkcnMvZG93bnJldi54bWxQSwECFAAUAAAACACHTuJAMy8F&#10;njsAAAA5AAAAEAAAAAAAAAABACAAAAAMAQAAZHJzL3NoYXBleG1sLnhtbFBLBQYAAAAABgAGAFsB&#10;AAC2AwAAAAA=&#10;" adj="10800">
                  <v:fill on="f" focussize="0,0"/>
                  <v:stroke weight="1pt" color="#000000" miterlimit="8" joinstyle="miter" endarrow="block" endarrowlength="long"/>
                  <v:imagedata o:title=""/>
                  <o:lock v:ext="edit" aspectratio="f"/>
                </v:shape>
                <v:shape id="AutoShape 88" o:spid="_x0000_s1026" o:spt="32" type="#_x0000_t32" style="position:absolute;left:5744;top:7288;flip:x;height:378;width:2;" filled="f" stroked="t" coordsize="21600,21600" o:gfxdata="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3UmJ74A&#10;AADbAAAADwAAAAAAAAABACAAAAAiAAAAZHJzL2Rvd25yZXYueG1sUEsBAhQAFAAAAAgAh07iQDMv&#10;BZ47AAAAOQAAABAAAAAAAAAAAQAgAAAADQEAAGRycy9zaGFwZXhtbC54bWxQSwUGAAAAAAYABgBb&#10;AQAAtwMAAAAA&#10;">
                  <v:fill on="f" focussize="0,0"/>
                  <v:stroke weight="1pt" color="#000000" miterlimit="8" joinstyle="miter" endarrow="block" endarrowlength="long"/>
                  <v:imagedata o:title=""/>
                  <o:lock v:ext="edit" aspectratio="f"/>
                </v:shape>
                <v:shape id="AutoShape 89" o:spid="_x0000_s1026" o:spt="32" type="#_x0000_t32" style="position:absolute;left:5764;top:8155;flip:x;height:378;width:2;" filled="f" stroked="t" coordsize="21600,21600" o:gfxdata="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Jy+U74A&#10;AADbAAAADwAAAAAAAAABACAAAAAiAAAAZHJzL2Rvd25yZXYueG1sUEsBAhQAFAAAAAgAh07iQDMv&#10;BZ47AAAAOQAAABAAAAAAAAAAAQAgAAAADQEAAGRycy9zaGFwZXhtbC54bWxQSwUGAAAAAAYABgBb&#10;AQAAtwMAAAAA&#10;">
                  <v:fill on="f" focussize="0,0"/>
                  <v:stroke weight="1pt" color="#000000" miterlimit="8" joinstyle="miter" endarrow="block" endarrowlength="long"/>
                  <v:imagedata o:title=""/>
                  <o:lock v:ext="edit" aspectratio="f"/>
                </v:shape>
                <v:shape id="AutoShape 90" o:spid="_x0000_s1026" o:spt="32" type="#_x0000_t32" style="position:absolute;left:5754;top:9071;flip:x;height:378;width:2;" filled="f" stroked="t" coordsize="21600,21600" o:gfxdata="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9AbyL4A&#10;AADbAAAADwAAAAAAAAABACAAAAAiAAAAZHJzL2Rvd25yZXYueG1sUEsBAhQAFAAAAAgAh07iQDMv&#10;BZ47AAAAOQAAABAAAAAAAAAAAQAgAAAADQEAAGRycy9zaGFwZXhtbC54bWxQSwUGAAAAAAYABgBb&#10;AQAAtwMAAAAA&#10;">
                  <v:fill on="f" focussize="0,0"/>
                  <v:stroke weight="1pt" color="#000000" miterlimit="8" joinstyle="miter" endarrow="block" endarrowlength="long"/>
                  <v:imagedata o:title=""/>
                  <o:lock v:ext="edit" aspectratio="f"/>
                </v:shape>
                <v:shape id="AutoShape 91" o:spid="_x0000_s1026" o:spt="32" type="#_x0000_t32" style="position:absolute;left:5786;top:9993;flip:x;height:378;width:2;" filled="f" stroked="t" coordsize="21600,21600" o:gfxdata="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wKFv74A&#10;AADbAAAADwAAAAAAAAABACAAAAAiAAAAZHJzL2Rvd25yZXYueG1sUEsBAhQAFAAAAAgAh07iQDMv&#10;BZ47AAAAOQAAABAAAAAAAAAAAQAgAAAADQEAAGRycy9zaGFwZXhtbC54bWxQSwUGAAAAAAYABgBb&#10;AQAAtwMAAAAA&#10;">
                  <v:fill on="f" focussize="0,0"/>
                  <v:stroke weight="1pt" color="#000000" miterlimit="8" joinstyle="miter" endarrow="block" endarrowlength="long"/>
                  <v:imagedata o:title=""/>
                  <o:lock v:ext="edit" aspectratio="f"/>
                </v:shape>
                <v:shape id="AutoShape 92" o:spid="_x0000_s1026" o:spt="32" type="#_x0000_t32" style="position:absolute;left:5788;top:10898;flip:x;height:510;width:2;" filled="f" stroked="t" coordsize="21600,21600" o:gfxdata="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E4gJL4A&#10;AADbAAAADwAAAAAAAAABACAAAAAiAAAAZHJzL2Rvd25yZXYueG1sUEsBAhQAFAAAAAgAh07iQDMv&#10;BZ47AAAAOQAAABAAAAAAAAAAAQAgAAAADQEAAGRycy9zaGFwZXhtbC54bWxQSwUGAAAAAAYABgBb&#10;AQAAtwMAAAAA&#10;">
                  <v:fill on="f" focussize="0,0"/>
                  <v:stroke weight="1pt" color="#000000" miterlimit="8" joinstyle="miter" endarrow="block" endarrowlength="long"/>
                  <v:imagedata o:title=""/>
                  <o:lock v:ext="edit" aspectratio="f"/>
                </v:shape>
                <v:shape id="AutoShape 93" o:spid="_x0000_s1026" o:spt="32" type="#_x0000_t32" style="position:absolute;left:7155;top:6980;height:5;width:478;" filled="f" stroked="t" coordsize="21600,21600" o:gfxdata="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Cb88QtwAAANsAAAAP&#10;AAAAAAAAAAEAIAAAACIAAABkcnMvZG93bnJldi54bWxQSwECFAAUAAAACACHTuJAMy8FnjsAAAA5&#10;AAAAEAAAAAAAAAABACAAAAAGAQAAZHJzL3NoYXBleG1sLnhtbFBLBQYAAAAABgAGAFsBAACwAwAA&#10;AAA=&#10;">
                  <v:fill on="f" focussize="0,0"/>
                  <v:stroke weight="1pt" color="#000000" miterlimit="8" joinstyle="miter" endarrow="block" endarrowlength="long"/>
                  <v:imagedata o:title=""/>
                  <o:lock v:ext="edit" aspectratio="f"/>
                </v:shape>
                <v:line id="Line 94" o:spid="_x0000_s1026" o:spt="20" style="position:absolute;left:3348;top:8786;flip:x y;height:7;width:1229;" filled="f" stroked="t" coordsize="21600,21600" o:gfxdata="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yPJUa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line>
                <v:line id="Line 95" o:spid="_x0000_s1026" o:spt="20" style="position:absolute;left:3348;top:6013;flip:y;height:2778;width:1;" filled="f" stroked="t" coordsize="21600,21600" o:gfxdata="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h7Li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Line 96" o:spid="_x0000_s1026" o:spt="20" style="position:absolute;left:3360;top:6035;height:10;width:1295;" filled="f" stroked="t" coordsize="21600,21600" o:gfxdata="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Y0/74A&#10;AADbAAAADwAAAAAAAAABACAAAAAiAAAAZHJzL2Rvd25yZXYueG1sUEsBAhQAFAAAAAgAh07iQDMv&#10;BZ47AAAAOQAAABAAAAAAAAAAAQAgAAAADQEAAGRycy9zaGFwZXhtbC54bWxQSwUGAAAAAAYABgBb&#10;AQAAtwMAAAAA&#10;">
                  <v:fill on="f" focussize="0,0"/>
                  <v:stroke color="#000000" joinstyle="round" endarrow="open"/>
                  <v:imagedata o:title=""/>
                  <o:lock v:ext="edit" aspectratio="f"/>
                </v:line>
                <v:line id="Line 97" o:spid="_x0000_s1026" o:spt="20" style="position:absolute;left:6608;top:9746;height:11;width:1175;" filled="f" stroked="t" coordsize="21600,21600" o:gfxdata="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XtyS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98" o:spid="_x0000_s1026" o:spt="20" style="position:absolute;left:7772;top:8786;flip:x y;height:964;width:11;" filled="f" stroked="t" coordsize="21600,21600" o:gfxdata="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i+hHG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line>
                <v:line id="Line 99" o:spid="_x0000_s1026" o:spt="20" style="position:absolute;left:6924;top:8796;flip:x;height:11;width:854;" filled="f" stroked="t" coordsize="21600,21600" o:gfxdata="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xnwMvQAA&#10;ANsAAAAPAAAAAAAAAAEAIAAAACIAAABkcnMvZG93bnJldi54bWxQSwECFAAUAAAACACHTuJAMy8F&#10;njsAAAA5AAAAEAAAAAAAAAABACAAAAAMAQAAZHJzL3NoYXBleG1sLnhtbFBLBQYAAAAABgAGAFsB&#10;AAC2AwAAAAA=&#10;">
                  <v:fill on="f" focussize="0,0"/>
                  <v:stroke color="#000000" joinstyle="round" endarrow="open"/>
                  <v:imagedata o:title=""/>
                  <o:lock v:ext="edit" aspectratio="f"/>
                </v:line>
                <v:shape id="Text Box 100" o:spid="_x0000_s1026" o:spt="202" type="#_x0000_t202" style="position:absolute;left:6884;top:8371;height:448;width:1245;" filled="f" stroked="f" coordsize="21600,21600" o:gfxdata="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4snRu/&#10;AAAA2wAAAA8AAAAAAAAAAQAgAAAAIgAAAGRycy9kb3ducmV2LnhtbFBLAQIUABQAAAAIAIdO4kAz&#10;LwWeOwAAADkAAAAQAAAAAAAAAAEAIAAAAA4BAABkcnMvc2hhcGV4bWwueG1sUEsFBgAAAAAGAAYA&#10;WwEAALgDAAAAAA==&#10;">
                  <v:fill on="f" focussize="0,0"/>
                  <v:stroke on="f"/>
                  <v:imagedata o:title=""/>
                  <o:lock v:ext="edit" aspectratio="f"/>
                  <v:textbox inset="2.54mm,2mm,2.54mm,1.27mm">
                    <w:txbxContent>
                      <w:p w14:paraId="5F92A9FF">
                        <w:pPr>
                          <w:pStyle w:val="81"/>
                        </w:pPr>
                        <w:r>
                          <w:rPr>
                            <w:rFonts w:hint="eastAsia"/>
                          </w:rPr>
                          <w:t>提升泵</w:t>
                        </w:r>
                      </w:p>
                    </w:txbxContent>
                  </v:textbox>
                </v:shape>
                <v:shape id="Text Box 101" o:spid="_x0000_s1026" o:spt="202" type="#_x0000_t202" style="position:absolute;left:5670;top:10898;height:503;width:1072;" filled="f" stroked="f" coordsize="21600,21600" o:gfxdata="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s8rsAAADb&#10;AAAADwAAAAAAAAABACAAAAAiAAAAZHJzL2Rvd25yZXYueG1sUEsBAhQAFAAAAAgAh07iQDMvBZ47&#10;AAAAOQAAABAAAAAAAAAAAQAgAAAACgEAAGRycy9zaGFwZXhtbC54bWxQSwUGAAAAAAYABgBbAQAA&#10;tAMAAAAA&#10;">
                  <v:fill on="f" focussize="0,0"/>
                  <v:stroke on="f"/>
                  <v:imagedata o:title=""/>
                  <o:lock v:ext="edit" aspectratio="f"/>
                  <v:textbox inset="2.54mm,2mm,2.54mm,1.27mm">
                    <w:txbxContent>
                      <w:p w14:paraId="6A0A3123">
                        <w:pPr>
                          <w:pStyle w:val="81"/>
                        </w:pPr>
                        <w:r>
                          <w:rPr>
                            <w:rFonts w:hint="eastAsia"/>
                          </w:rPr>
                          <w:t>反洗泵</w:t>
                        </w:r>
                      </w:p>
                    </w:txbxContent>
                  </v:textbox>
                </v:shape>
                <v:shape id="Text Box 102" o:spid="_x0000_s1026" o:spt="202" type="#_x0000_t202" style="position:absolute;left:7550;top:9005;height:503;width:1440;" filled="f" stroked="f" coordsize="21600,21600" o:gfxdata="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7MJab4A&#10;AADbAAAADwAAAAAAAAABACAAAAAiAAAAZHJzL2Rvd25yZXYueG1sUEsBAhQAFAAAAAgAh07iQDMv&#10;BZ47AAAAOQAAABAAAAAAAAAAAQAgAAAADQEAAGRycy9zaGFwZXhtbC54bWxQSwUGAAAAAAYABgBb&#10;AQAAtwMAAAAA&#10;">
                  <v:fill on="f" focussize="0,0"/>
                  <v:stroke on="f"/>
                  <v:imagedata o:title=""/>
                  <o:lock v:ext="edit" aspectratio="f"/>
                  <v:textbox inset="2.54mm,2mm,2.54mm,1.27mm">
                    <w:txbxContent>
                      <w:p w14:paraId="4B63AF3C">
                        <w:pPr>
                          <w:pStyle w:val="81"/>
                        </w:pPr>
                        <w:r>
                          <w:rPr>
                            <w:rFonts w:hint="eastAsia"/>
                          </w:rPr>
                          <w:t>反洗进水</w:t>
                        </w:r>
                      </w:p>
                    </w:txbxContent>
                  </v:textbox>
                </v:shape>
                <v:shape id="Text Box 103" o:spid="_x0000_s1026" o:spt="202" type="#_x0000_t202" style="position:absolute;left:5703;top:6244;height:448;width:971;" filled="f" stroked="f" coordsize="21600,21600" o:gfxdata="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ACp67gAAADbAAAA&#10;DwAAAAAAAAABACAAAAAiAAAAZHJzL2Rvd25yZXYueG1sUEsBAhQAFAAAAAgAh07iQDMvBZ47AAAA&#10;OQAAABAAAAAAAAAAAQAgAAAABwEAAGRycy9zaGFwZXhtbC54bWxQSwUGAAAAAAYABgBbAQAAsQMA&#10;AAAA&#10;">
                  <v:fill on="f" focussize="0,0"/>
                  <v:stroke on="f"/>
                  <v:imagedata o:title=""/>
                  <o:lock v:ext="edit" aspectratio="f"/>
                  <v:textbox>
                    <w:txbxContent>
                      <w:p w14:paraId="25DC00A1">
                        <w:pPr>
                          <w:pStyle w:val="81"/>
                        </w:pPr>
                        <w:r>
                          <w:rPr>
                            <w:rFonts w:hint="eastAsia"/>
                          </w:rPr>
                          <w:t>提升泵</w:t>
                        </w:r>
                      </w:p>
                    </w:txbxContent>
                  </v:textbox>
                </v:shape>
                <v:shape id="Text Box 104" o:spid="_x0000_s1026" o:spt="202" type="#_x0000_t202" style="position:absolute;left:5601;top:5331;height:448;width:1245;" filled="f" stroked="f" coordsize="21600,21600" o:gfxdata="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Axw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4E606DCA">
                        <w:pPr>
                          <w:pStyle w:val="81"/>
                        </w:pPr>
                        <w:r>
                          <w:rPr>
                            <w:rFonts w:hint="eastAsia"/>
                          </w:rPr>
                          <w:t>提升泵</w:t>
                        </w:r>
                      </w:p>
                    </w:txbxContent>
                  </v:textbox>
                </v:shape>
                <v:shape id="Text Box 105" o:spid="_x0000_s1026" o:spt="202" type="#_x0000_t202" style="position:absolute;left:2831;top:7147;height:1258;width:564;" filled="f" stroked="f" coordsize="21600,21600" o:gfxdata="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EueO/&#10;AAAA2wAAAA8AAAAAAAAAAQAgAAAAIgAAAGRycy9kb3ducmV2LnhtbFBLAQIUABQAAAAIAIdO4kAz&#10;LwWeOwAAADkAAAAQAAAAAAAAAAEAIAAAAA4BAABkcnMvc2hhcGV4bWwueG1sUEsFBgAAAAAGAAYA&#10;WwEAALgDAAAAAA==&#10;">
                  <v:fill on="f" focussize="0,0"/>
                  <v:stroke on="f"/>
                  <v:imagedata o:title=""/>
                  <o:lock v:ext="edit" aspectratio="f"/>
                  <v:textbox style="layout-flow:vertical-ideographic;">
                    <w:txbxContent>
                      <w:p w14:paraId="08647252">
                        <w:pPr>
                          <w:pStyle w:val="81"/>
                        </w:pPr>
                        <w:r>
                          <w:rPr>
                            <w:rFonts w:hint="eastAsia"/>
                          </w:rPr>
                          <w:t>反洗出水</w:t>
                        </w:r>
                      </w:p>
                    </w:txbxContent>
                  </v:textbox>
                </v:shape>
                <v:shape id="Text Box 108" o:spid="_x0000_s1026" o:spt="202" type="#_x0000_t202" style="position:absolute;left:5050;top:11276;height:503;width:1472;" filled="f" stroked="f" coordsize="21600,21600" o:gfxdata="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l1N/r4A&#10;AADbAAAADwAAAAAAAAABACAAAAAiAAAAZHJzL2Rvd25yZXYueG1sUEsBAhQAFAAAAAgAh07iQDMv&#10;BZ47AAAAOQAAABAAAAAAAAAAAQAgAAAADQEAAGRycy9zaGFwZXhtbC54bWxQSwUGAAAAAAYABgBb&#10;AQAAtwMAAAAA&#10;">
                  <v:fill on="f" focussize="0,0"/>
                  <v:stroke on="f"/>
                  <v:imagedata o:title=""/>
                  <o:lock v:ext="edit" aspectratio="f"/>
                  <v:textbox inset="2.54mm,2mm,2.54mm,1.27mm">
                    <w:txbxContent>
                      <w:p w14:paraId="36336B87">
                        <w:pPr>
                          <w:pStyle w:val="81"/>
                        </w:pPr>
                        <w:r>
                          <w:rPr>
                            <w:rFonts w:hint="eastAsia"/>
                          </w:rPr>
                          <w:t>达标出水</w:t>
                        </w:r>
                      </w:p>
                    </w:txbxContent>
                  </v:textbox>
                </v:shape>
                <v:shape id="Text Box 109" o:spid="_x0000_s1026" o:spt="202" type="#_x0000_t202" style="position:absolute;left:7294;top:7163;height:503;width:3297;" filled="f" stroked="f" coordsize="21600,21600" o:gfxdata="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7bcDLsAAADb&#10;AAAADwAAAAAAAAABACAAAAAiAAAAZHJzL2Rvd25yZXYueG1sUEsBAhQAFAAAAAgAh07iQDMvBZ47&#10;AAAAOQAAABAAAAAAAAAAAQAgAAAACgEAAGRycy9zaGFwZXhtbC54bWxQSwUGAAAAAAYABgBbAQAA&#10;tAMAAAAA&#10;">
                  <v:fill on="f" focussize="0,0"/>
                  <v:stroke on="f"/>
                  <v:imagedata o:title=""/>
                  <o:lock v:ext="edit" aspectratio="f"/>
                  <v:textbox inset="0mm,2mm,0mm,1.27mm">
                    <w:txbxContent>
                      <w:p w14:paraId="5BE6D3E1">
                        <w:pPr>
                          <w:pStyle w:val="81"/>
                        </w:pPr>
                        <w:r>
                          <w:rPr>
                            <w:rFonts w:hint="eastAsia"/>
                            <w:kern w:val="0"/>
                          </w:rPr>
                          <w:t>委托第三方作为一般废物处置</w:t>
                        </w:r>
                      </w:p>
                    </w:txbxContent>
                  </v:textbox>
                </v:shape>
              </v:group>
            </w:pict>
          </mc:Fallback>
        </mc:AlternateContent>
      </w:r>
    </w:p>
    <w:p w14:paraId="4F24CB7C">
      <w:pPr>
        <w:ind w:firstLine="512"/>
        <w:rPr>
          <w:rFonts w:cs="Times New Roman"/>
          <w:spacing w:val="8"/>
          <w:szCs w:val="28"/>
        </w:rPr>
      </w:pPr>
    </w:p>
    <w:p w14:paraId="5D6D5201">
      <w:pPr>
        <w:ind w:firstLine="512"/>
        <w:rPr>
          <w:rFonts w:cs="Times New Roman"/>
          <w:spacing w:val="8"/>
          <w:szCs w:val="28"/>
        </w:rPr>
      </w:pPr>
    </w:p>
    <w:p w14:paraId="51D61D9C">
      <w:pPr>
        <w:ind w:firstLine="480"/>
        <w:rPr>
          <w:rFonts w:cs="Times New Roman"/>
        </w:rPr>
      </w:pPr>
    </w:p>
    <w:p w14:paraId="363ECD8F">
      <w:pPr>
        <w:ind w:firstLine="480"/>
        <w:rPr>
          <w:rFonts w:cs="Times New Roman"/>
        </w:rPr>
      </w:pPr>
    </w:p>
    <w:p w14:paraId="041D1904">
      <w:pPr>
        <w:adjustRightInd w:val="0"/>
        <w:snapToGrid w:val="0"/>
        <w:spacing w:line="240" w:lineRule="atLeast"/>
        <w:ind w:left="6720" w:leftChars="2600" w:hanging="480" w:hangingChars="200"/>
        <w:rPr>
          <w:rFonts w:cs="Times New Roman"/>
        </w:rPr>
      </w:pPr>
      <w:bookmarkStart w:id="262" w:name="OLE_LINK73"/>
      <w:bookmarkStart w:id="263" w:name="OLE_LINK74"/>
    </w:p>
    <w:bookmarkEnd w:id="262"/>
    <w:bookmarkEnd w:id="263"/>
    <w:p w14:paraId="78727172">
      <w:pPr>
        <w:adjustRightInd w:val="0"/>
        <w:snapToGrid w:val="0"/>
        <w:spacing w:line="240" w:lineRule="atLeast"/>
        <w:ind w:left="6720" w:leftChars="200" w:hanging="6240" w:hangingChars="2600"/>
        <w:rPr>
          <w:rFonts w:cs="Times New Roman"/>
        </w:rPr>
      </w:pPr>
    </w:p>
    <w:p w14:paraId="50EDB66A">
      <w:pPr>
        <w:adjustRightInd w:val="0"/>
        <w:snapToGrid w:val="0"/>
        <w:spacing w:line="240" w:lineRule="atLeast"/>
        <w:ind w:firstLine="480"/>
        <w:rPr>
          <w:rFonts w:cs="Times New Roman"/>
        </w:rPr>
      </w:pPr>
    </w:p>
    <w:p w14:paraId="722EA577">
      <w:pPr>
        <w:adjustRightInd w:val="0"/>
        <w:snapToGrid w:val="0"/>
        <w:spacing w:line="240" w:lineRule="atLeast"/>
        <w:ind w:left="6720" w:leftChars="200" w:hanging="6240" w:hangingChars="2600"/>
        <w:rPr>
          <w:rFonts w:cs="Times New Roman"/>
        </w:rPr>
      </w:pPr>
    </w:p>
    <w:p w14:paraId="516538B6">
      <w:pPr>
        <w:adjustRightInd w:val="0"/>
        <w:snapToGrid w:val="0"/>
        <w:spacing w:line="240" w:lineRule="atLeast"/>
        <w:ind w:left="6720" w:leftChars="200" w:hanging="6240" w:hangingChars="2600"/>
        <w:rPr>
          <w:rFonts w:cs="Times New Roman"/>
        </w:rPr>
      </w:pPr>
    </w:p>
    <w:p w14:paraId="2CDF38C1">
      <w:pPr>
        <w:ind w:firstLine="480"/>
        <w:rPr>
          <w:rFonts w:cs="Times New Roman"/>
        </w:rPr>
      </w:pPr>
    </w:p>
    <w:p w14:paraId="105CADD0">
      <w:pPr>
        <w:ind w:firstLine="0" w:firstLineChars="0"/>
        <w:rPr>
          <w:rFonts w:cs="Times New Roman"/>
        </w:rPr>
      </w:pPr>
    </w:p>
    <w:p w14:paraId="3B385EFC">
      <w:pPr>
        <w:ind w:firstLine="0" w:firstLineChars="0"/>
        <w:rPr>
          <w:rFonts w:cs="Times New Roman"/>
        </w:rPr>
      </w:pPr>
    </w:p>
    <w:p w14:paraId="1B70BCE3">
      <w:pPr>
        <w:ind w:firstLine="480"/>
        <w:rPr>
          <w:rFonts w:cs="Times New Roman"/>
        </w:rPr>
      </w:pPr>
    </w:p>
    <w:p w14:paraId="18C6AF10">
      <w:pPr>
        <w:ind w:firstLine="480"/>
        <w:rPr>
          <w:rFonts w:cs="Times New Roman"/>
        </w:rPr>
      </w:pPr>
    </w:p>
    <w:p w14:paraId="6DEDBDEF">
      <w:pPr>
        <w:pStyle w:val="61"/>
        <w:rPr>
          <w:rFonts w:cs="Times New Roman"/>
          <w:bCs/>
        </w:rPr>
      </w:pPr>
      <w:r>
        <w:rPr>
          <w:rFonts w:cs="Times New Roman"/>
        </w:rPr>
        <w:t xml:space="preserve">图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t xml:space="preserve">8    </w:t>
      </w:r>
      <w:r>
        <w:rPr>
          <w:rFonts w:cs="Times New Roman"/>
          <w:spacing w:val="8"/>
        </w:rPr>
        <w:t>烫煮</w:t>
      </w:r>
      <w:r>
        <w:rPr>
          <w:rFonts w:cs="Times New Roman"/>
          <w:bCs/>
        </w:rPr>
        <w:t>废水处理工艺流程框图（气浮与组合式过滤设备联用）</w:t>
      </w:r>
    </w:p>
    <w:p w14:paraId="350BD5CD">
      <w:pPr>
        <w:ind w:firstLine="480"/>
        <w:rPr>
          <w:rFonts w:cs="Times New Roman"/>
        </w:rPr>
      </w:pPr>
    </w:p>
    <w:p w14:paraId="35DE26F7">
      <w:pPr>
        <w:pStyle w:val="80"/>
        <w:ind w:firstLine="480"/>
      </w:pPr>
      <w:r>
        <w:t>将当日蒸煮锅内的污染程度较高的蒸煮废水，经人工格栅过滤后排放至过滤提升池，再通过池内设置的污水泵，将污水提升至中和调节配水池。</w:t>
      </w:r>
    </w:p>
    <w:p w14:paraId="67F9382F">
      <w:pPr>
        <w:pStyle w:val="80"/>
        <w:ind w:firstLine="480"/>
      </w:pPr>
      <w:r>
        <w:t>蒸煮废水污染物浓度高，按照1比3-6的比例用淡水（自来水最佳）进行配水后再处理。考虑到混合废水的pH较低，加入一定量的生石灰（Ca0），在池内循环泵（或曝气）的作用下，将池内废水pH中和至8-9，并协同去除废水中的大部分磷酸根。中和后的废水，再通过污水泵提升进入氧化气浮一体化设备，依次加入过硫酸钠、混凝剂 (PAC)、助凝剂（APAM）进行机械混合，通过过硫酸钠的强氧化作用（氧化还原电位2.2V），氧化去除废水中的大部分COD，再通过混凝气浮作用，去除水中的大部分SS及胶体。同时加入脱氮剂（次氯酸钠），降低废水中的总氮浓度。氧化气浮一体化设备产生的污泥进入污泥压滤机脱水，泥饼定期外送第三方，作为一般废物进行处置。一体化设备的出水自流进入缓冲池进行水质缓冲。缓冲池内的废水再通过泵提升进入2级串联的组合式过滤设备。预处理后的污水，通过滤料的过滤与吸附作用，进一步降低水中的溶解性COD、TP、SS 等污染指标。组合式过滤设备采用：前石英砂过滤，后1300碘值椰壳活性炭过滤的组合形式。处理系统最终出水进入清水池，同时，清水池设置反洗水泵1台，用于组合式过滤设备的定时反冲洗，处理后的清水通过反冲洗返回到中和调节配水池经过至少3次以上的循环处理，清水池连接管网至超滤设施，经过超滤系统对清水池水质处理，处理后再进入一、二级反渗透系统进行有效处理，最终产生的达标水质通过管网排放。同时超滤和反渗透产生的少量废水通过管网直接回到污水收集池中再进行整套工艺处理。</w:t>
      </w:r>
    </w:p>
    <w:p w14:paraId="3415DB6C">
      <w:pPr>
        <w:pStyle w:val="4"/>
        <w:numPr>
          <w:ilvl w:val="2"/>
          <w:numId w:val="2"/>
        </w:numPr>
        <w:ind w:left="0" w:firstLine="0"/>
        <w:rPr>
          <w:rFonts w:ascii="Times New Roman" w:cs="Times New Roman"/>
        </w:rPr>
      </w:pPr>
      <w:bookmarkStart w:id="264" w:name="_Toc198291936"/>
      <w:bookmarkStart w:id="265" w:name="_Toc196224435"/>
      <w:bookmarkStart w:id="266" w:name="_Toc198292158"/>
      <w:bookmarkStart w:id="267" w:name="_Toc196224186"/>
      <w:r>
        <w:rPr>
          <w:rFonts w:ascii="Times New Roman" w:cs="Times New Roman"/>
        </w:rPr>
        <w:t>经济可行性分析</w:t>
      </w:r>
      <w:bookmarkEnd w:id="256"/>
      <w:bookmarkEnd w:id="264"/>
      <w:bookmarkEnd w:id="265"/>
      <w:bookmarkEnd w:id="266"/>
      <w:bookmarkEnd w:id="267"/>
    </w:p>
    <w:p w14:paraId="5744CCFB">
      <w:pPr>
        <w:pStyle w:val="80"/>
        <w:ind w:firstLine="480"/>
      </w:pPr>
      <w:r>
        <w:t>由于海菜类产品加工企业的处理规模、处理工艺及企业生产规模的不同，其投资占企业总投资的比例也不尽相同。从调研结果来看，处理设施投资占总投资比例1%左右，相对较小。同样，各企业由于废水处理规模、工艺、排放去向以及管理水平的不同，其废水处理成本也有一定的差异，处理成本一般在5元/吨到10元/吨之间，另外，还有电费、人工费等各种费用。</w:t>
      </w:r>
    </w:p>
    <w:p w14:paraId="1B92A822">
      <w:pPr>
        <w:pStyle w:val="80"/>
        <w:ind w:firstLine="480"/>
      </w:pPr>
      <w:r>
        <w:t>此前海菜类产品加工行业由于没有统一的行业标准，各企业对环保的投入力度有一定的差异。本标准实施后，可使企业在现有的基础上，达到自觉规范、定向提高的目的，将推动行业的技术升级和废水治理设施的改造。为实现达标排放，各生产企业需要积极推行清洁生产，以减少生产废水及各污染物的产生量。同时采用各种有效的污染治理技术及措施，提高废水中各污染物的去除效果，并有效提高行业的经济产值。</w:t>
      </w:r>
    </w:p>
    <w:p w14:paraId="66D6F062">
      <w:pPr>
        <w:pStyle w:val="2"/>
        <w:numPr>
          <w:ilvl w:val="0"/>
          <w:numId w:val="2"/>
        </w:numPr>
        <w:ind w:left="0" w:firstLine="0"/>
        <w:rPr>
          <w:rFonts w:cs="Times New Roman"/>
        </w:rPr>
      </w:pPr>
      <w:bookmarkStart w:id="268" w:name="_Toc196224187"/>
      <w:bookmarkStart w:id="269" w:name="_Toc198292159"/>
      <w:bookmarkStart w:id="270" w:name="_Toc196224436"/>
      <w:r>
        <w:rPr>
          <w:rFonts w:cs="Times New Roman"/>
        </w:rPr>
        <w:t>与现行相关法律、行政法规和其他标准的关系</w:t>
      </w:r>
      <w:bookmarkEnd w:id="268"/>
      <w:bookmarkEnd w:id="269"/>
      <w:bookmarkEnd w:id="270"/>
    </w:p>
    <w:p w14:paraId="0A9C06F7">
      <w:pPr>
        <w:pStyle w:val="3"/>
        <w:numPr>
          <w:ilvl w:val="1"/>
          <w:numId w:val="2"/>
        </w:numPr>
        <w:ind w:left="0" w:firstLine="0"/>
        <w:rPr>
          <w:rFonts w:ascii="Times New Roman" w:hAnsi="Times New Roman" w:cs="Times New Roman"/>
        </w:rPr>
      </w:pPr>
      <w:bookmarkStart w:id="271" w:name="_Toc198291938"/>
      <w:bookmarkStart w:id="272" w:name="_Toc198292160"/>
      <w:r>
        <w:rPr>
          <w:rFonts w:ascii="Times New Roman" w:hAnsi="Times New Roman" w:cs="Times New Roman"/>
        </w:rPr>
        <w:t>与现行相关法律、行政法规的关系</w:t>
      </w:r>
      <w:bookmarkEnd w:id="271"/>
      <w:bookmarkEnd w:id="272"/>
    </w:p>
    <w:p w14:paraId="2D195EA2">
      <w:pPr>
        <w:pStyle w:val="80"/>
        <w:ind w:firstLine="480"/>
      </w:pPr>
      <w:r>
        <w:t>与本标准密切相关的法律及政策文件有：《中华人民共和国环境保护法》2015.1.1）、《中华人民共和国海洋环境保护法》2024.1.1 ）、《中华人民共和国标准化法》和《辽宁省水污染防治条例》等。本标准与上述文件均没有矛盾冲突，符合现行法律法规和政策文件的要求。</w:t>
      </w:r>
    </w:p>
    <w:p w14:paraId="6B2B8106">
      <w:pPr>
        <w:pStyle w:val="3"/>
        <w:numPr>
          <w:ilvl w:val="1"/>
          <w:numId w:val="2"/>
        </w:numPr>
        <w:ind w:left="0" w:firstLine="0"/>
        <w:rPr>
          <w:rFonts w:ascii="Times New Roman" w:hAnsi="Times New Roman" w:cs="Times New Roman"/>
        </w:rPr>
      </w:pPr>
      <w:bookmarkStart w:id="273" w:name="_Toc198292161"/>
      <w:bookmarkStart w:id="274" w:name="_Toc198291939"/>
      <w:r>
        <w:rPr>
          <w:rFonts w:ascii="Times New Roman" w:hAnsi="Times New Roman" w:cs="Times New Roman"/>
        </w:rPr>
        <w:t>与其他标准的比较</w:t>
      </w:r>
      <w:bookmarkEnd w:id="273"/>
      <w:bookmarkEnd w:id="274"/>
    </w:p>
    <w:p w14:paraId="4E4EB678">
      <w:pPr>
        <w:pStyle w:val="80"/>
        <w:ind w:firstLine="480"/>
      </w:pPr>
      <w:r>
        <w:t>与现行标准《污水综合排放标准》（GB 8978-1996）、辽宁省《污水综合排放标准》（DB 21/1627-2008）、《海水冷却水排放要求》以及两个处于征求意见阶段的《食品加工制造业水污染物排放标准（征求意见稿）》、《水产品加工业水污染物排放标准（征求意见稿）》进行比较，见表4-1。</w:t>
      </w:r>
    </w:p>
    <w:p w14:paraId="680F5EF6">
      <w:pPr>
        <w:pStyle w:val="80"/>
        <w:ind w:firstLine="480"/>
      </w:pPr>
      <w:r>
        <w:t>对于直接排放控制要求而言，本标准对悬浮物以及总氮、总磷的控制要求与现行辽宁省污水综合排放标准保持了一致，COD指标的限值比现行地方标准有所放宽，但与食品加工业和水产品加工业水污染物排放标准的征求意见稿的控制要求一致，悬浮物、总氮和总磷的控制要求则比上述两个征求意见的标准更严格。</w:t>
      </w:r>
    </w:p>
    <w:p w14:paraId="48E4B08D">
      <w:pPr>
        <w:pStyle w:val="80"/>
        <w:ind w:firstLine="480"/>
      </w:pPr>
      <w:r>
        <w:t>对于间接排放控制要求，本标准基本与辽宁省《污水综合排放标准》保持了一致，总氮的排放限值略有放宽。</w:t>
      </w:r>
    </w:p>
    <w:p w14:paraId="0C5AC4EB">
      <w:pPr>
        <w:pStyle w:val="61"/>
        <w:ind w:firstLine="480"/>
        <w:rPr>
          <w:rFonts w:cs="Times New Roman"/>
        </w:rPr>
      </w:pPr>
      <w:r>
        <w:rPr>
          <w:rFonts w:cs="Times New Roman"/>
        </w:rPr>
        <w:t>表4-1 本标准与其他标准对比</w:t>
      </w:r>
    </w:p>
    <w:tbl>
      <w:tblPr>
        <w:tblStyle w:val="33"/>
        <w:tblW w:w="86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4"/>
        <w:gridCol w:w="765"/>
        <w:gridCol w:w="1114"/>
        <w:gridCol w:w="839"/>
        <w:gridCol w:w="1535"/>
        <w:gridCol w:w="1267"/>
        <w:gridCol w:w="1267"/>
        <w:gridCol w:w="1091"/>
      </w:tblGrid>
      <w:tr w14:paraId="5AFCE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trPr>
        <w:tc>
          <w:tcPr>
            <w:tcW w:w="1529" w:type="dxa"/>
            <w:gridSpan w:val="2"/>
            <w:shd w:val="clear" w:color="auto" w:fill="auto"/>
            <w:vAlign w:val="center"/>
          </w:tcPr>
          <w:p w14:paraId="2F7D7BEE">
            <w:pPr>
              <w:widowControl/>
              <w:spacing w:before="0" w:after="0" w:line="240" w:lineRule="auto"/>
              <w:ind w:firstLine="0" w:firstLineChars="0"/>
              <w:jc w:val="center"/>
              <w:rPr>
                <w:rFonts w:cs="Times New Roman"/>
                <w:kern w:val="0"/>
                <w:sz w:val="21"/>
                <w:szCs w:val="21"/>
              </w:rPr>
            </w:pPr>
            <w:r>
              <w:rPr>
                <w:rFonts w:cs="Times New Roman"/>
                <w:kern w:val="0"/>
                <w:sz w:val="21"/>
                <w:szCs w:val="21"/>
              </w:rPr>
              <w:t>相关标准</w:t>
            </w:r>
          </w:p>
        </w:tc>
        <w:tc>
          <w:tcPr>
            <w:tcW w:w="1114" w:type="dxa"/>
            <w:shd w:val="clear" w:color="auto" w:fill="auto"/>
            <w:vAlign w:val="center"/>
          </w:tcPr>
          <w:p w14:paraId="00BFF1C4">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pH</w:t>
            </w:r>
          </w:p>
        </w:tc>
        <w:tc>
          <w:tcPr>
            <w:tcW w:w="839" w:type="dxa"/>
            <w:shd w:val="clear" w:color="auto" w:fill="auto"/>
            <w:vAlign w:val="center"/>
          </w:tcPr>
          <w:p w14:paraId="57333262">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温度</w:t>
            </w:r>
          </w:p>
        </w:tc>
        <w:tc>
          <w:tcPr>
            <w:tcW w:w="1535" w:type="dxa"/>
            <w:shd w:val="clear" w:color="auto" w:fill="auto"/>
            <w:vAlign w:val="center"/>
          </w:tcPr>
          <w:p w14:paraId="0BE0104B">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SS</w:t>
            </w:r>
          </w:p>
          <w:p w14:paraId="1AF87083">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（mg/L）</w:t>
            </w:r>
          </w:p>
        </w:tc>
        <w:tc>
          <w:tcPr>
            <w:tcW w:w="1267" w:type="dxa"/>
            <w:shd w:val="clear" w:color="auto" w:fill="auto"/>
            <w:vAlign w:val="center"/>
          </w:tcPr>
          <w:p w14:paraId="103DA408">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COD（mg/L）</w:t>
            </w:r>
          </w:p>
        </w:tc>
        <w:tc>
          <w:tcPr>
            <w:tcW w:w="1267" w:type="dxa"/>
            <w:shd w:val="clear" w:color="auto" w:fill="auto"/>
            <w:vAlign w:val="center"/>
          </w:tcPr>
          <w:p w14:paraId="25EAF1EF">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总氮（mg/L）</w:t>
            </w:r>
          </w:p>
        </w:tc>
        <w:tc>
          <w:tcPr>
            <w:tcW w:w="1091" w:type="dxa"/>
            <w:shd w:val="clear" w:color="auto" w:fill="auto"/>
            <w:vAlign w:val="center"/>
          </w:tcPr>
          <w:p w14:paraId="7526359C">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总磷（mg/L）</w:t>
            </w:r>
          </w:p>
        </w:tc>
      </w:tr>
      <w:tr w14:paraId="2B0B5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6" w:hRule="atLeast"/>
        </w:trPr>
        <w:tc>
          <w:tcPr>
            <w:tcW w:w="1529" w:type="dxa"/>
            <w:gridSpan w:val="2"/>
            <w:shd w:val="clear" w:color="auto" w:fill="auto"/>
            <w:vAlign w:val="center"/>
          </w:tcPr>
          <w:p w14:paraId="508E7B05">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《污水综合排放标准》</w:t>
            </w:r>
          </w:p>
        </w:tc>
        <w:tc>
          <w:tcPr>
            <w:tcW w:w="1114" w:type="dxa"/>
            <w:shd w:val="clear" w:color="auto" w:fill="auto"/>
            <w:vAlign w:val="center"/>
          </w:tcPr>
          <w:p w14:paraId="48F5A6A7">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6~9</w:t>
            </w:r>
          </w:p>
        </w:tc>
        <w:tc>
          <w:tcPr>
            <w:tcW w:w="839" w:type="dxa"/>
            <w:shd w:val="clear" w:color="auto" w:fill="auto"/>
            <w:vAlign w:val="center"/>
          </w:tcPr>
          <w:p w14:paraId="10071AE0">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w:t>
            </w:r>
          </w:p>
        </w:tc>
        <w:tc>
          <w:tcPr>
            <w:tcW w:w="1535" w:type="dxa"/>
            <w:shd w:val="clear" w:color="auto" w:fill="auto"/>
            <w:vAlign w:val="center"/>
          </w:tcPr>
          <w:p w14:paraId="729CEC95">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一级70，二级200，三级400</w:t>
            </w:r>
          </w:p>
        </w:tc>
        <w:tc>
          <w:tcPr>
            <w:tcW w:w="1267" w:type="dxa"/>
            <w:shd w:val="clear" w:color="auto" w:fill="auto"/>
            <w:vAlign w:val="center"/>
          </w:tcPr>
          <w:p w14:paraId="36CD9DD6">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一级100，二级150，三级500</w:t>
            </w:r>
          </w:p>
        </w:tc>
        <w:tc>
          <w:tcPr>
            <w:tcW w:w="1267" w:type="dxa"/>
            <w:shd w:val="clear" w:color="auto" w:fill="auto"/>
            <w:vAlign w:val="center"/>
          </w:tcPr>
          <w:p w14:paraId="71A69C35">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w:t>
            </w:r>
          </w:p>
        </w:tc>
        <w:tc>
          <w:tcPr>
            <w:tcW w:w="1091" w:type="dxa"/>
            <w:shd w:val="clear" w:color="auto" w:fill="auto"/>
            <w:vAlign w:val="center"/>
          </w:tcPr>
          <w:p w14:paraId="79A962DF">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一级0.5二级1.0</w:t>
            </w:r>
          </w:p>
        </w:tc>
      </w:tr>
      <w:tr w14:paraId="30ABE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2" w:hRule="atLeast"/>
        </w:trPr>
        <w:tc>
          <w:tcPr>
            <w:tcW w:w="1529" w:type="dxa"/>
            <w:gridSpan w:val="2"/>
            <w:shd w:val="clear" w:color="auto" w:fill="auto"/>
            <w:vAlign w:val="center"/>
          </w:tcPr>
          <w:p w14:paraId="2F68A6C6">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《辽宁省污水综合排放标准》</w:t>
            </w:r>
          </w:p>
        </w:tc>
        <w:tc>
          <w:tcPr>
            <w:tcW w:w="1114" w:type="dxa"/>
            <w:shd w:val="clear" w:color="auto" w:fill="auto"/>
            <w:vAlign w:val="center"/>
          </w:tcPr>
          <w:p w14:paraId="6AB545C0">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w:t>
            </w:r>
          </w:p>
        </w:tc>
        <w:tc>
          <w:tcPr>
            <w:tcW w:w="839" w:type="dxa"/>
            <w:shd w:val="clear" w:color="auto" w:fill="auto"/>
            <w:vAlign w:val="center"/>
          </w:tcPr>
          <w:p w14:paraId="735DA539">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w:t>
            </w:r>
          </w:p>
        </w:tc>
        <w:tc>
          <w:tcPr>
            <w:tcW w:w="1535" w:type="dxa"/>
            <w:shd w:val="clear" w:color="auto" w:fill="auto"/>
            <w:vAlign w:val="center"/>
          </w:tcPr>
          <w:p w14:paraId="349C9BC6">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直排排放20，间接排放300</w:t>
            </w:r>
          </w:p>
        </w:tc>
        <w:tc>
          <w:tcPr>
            <w:tcW w:w="1267" w:type="dxa"/>
            <w:shd w:val="clear" w:color="auto" w:fill="auto"/>
            <w:vAlign w:val="center"/>
          </w:tcPr>
          <w:p w14:paraId="42D26657">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直接排放50，间接排放450</w:t>
            </w:r>
          </w:p>
        </w:tc>
        <w:tc>
          <w:tcPr>
            <w:tcW w:w="1267" w:type="dxa"/>
            <w:shd w:val="clear" w:color="auto" w:fill="auto"/>
            <w:vAlign w:val="center"/>
          </w:tcPr>
          <w:p w14:paraId="0C959D0C">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直接排放15，间接排放30</w:t>
            </w:r>
          </w:p>
        </w:tc>
        <w:tc>
          <w:tcPr>
            <w:tcW w:w="1091" w:type="dxa"/>
            <w:shd w:val="clear" w:color="auto" w:fill="auto"/>
            <w:vAlign w:val="center"/>
          </w:tcPr>
          <w:p w14:paraId="7491A010">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直接排放0.5间接排放5.0</w:t>
            </w:r>
          </w:p>
        </w:tc>
      </w:tr>
      <w:tr w14:paraId="272DD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2" w:hRule="atLeast"/>
        </w:trPr>
        <w:tc>
          <w:tcPr>
            <w:tcW w:w="1529" w:type="dxa"/>
            <w:gridSpan w:val="2"/>
            <w:shd w:val="clear" w:color="auto" w:fill="auto"/>
            <w:vAlign w:val="center"/>
          </w:tcPr>
          <w:p w14:paraId="516F9CB6">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《海水冷却水排放要求》</w:t>
            </w:r>
          </w:p>
        </w:tc>
        <w:tc>
          <w:tcPr>
            <w:tcW w:w="1114" w:type="dxa"/>
            <w:shd w:val="clear" w:color="auto" w:fill="auto"/>
            <w:vAlign w:val="center"/>
          </w:tcPr>
          <w:p w14:paraId="3FAB7293">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6.0～9.0，同时不超出该水域正常变动范围的0.5pH单位</w:t>
            </w:r>
          </w:p>
        </w:tc>
        <w:tc>
          <w:tcPr>
            <w:tcW w:w="839" w:type="dxa"/>
            <w:shd w:val="clear" w:color="auto" w:fill="auto"/>
            <w:vAlign w:val="center"/>
          </w:tcPr>
          <w:p w14:paraId="6F5B2209">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人为造成的海水温升夏季不超过当时当地９℃</w:t>
            </w:r>
          </w:p>
        </w:tc>
        <w:tc>
          <w:tcPr>
            <w:tcW w:w="1535" w:type="dxa"/>
            <w:shd w:val="clear" w:color="auto" w:fill="auto"/>
            <w:vAlign w:val="center"/>
          </w:tcPr>
          <w:p w14:paraId="0CDAE53E">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≤30；人为增加量≤20（有本底值的情况下执行）</w:t>
            </w:r>
          </w:p>
        </w:tc>
        <w:tc>
          <w:tcPr>
            <w:tcW w:w="1267" w:type="dxa"/>
            <w:shd w:val="clear" w:color="auto" w:fill="auto"/>
            <w:vAlign w:val="center"/>
          </w:tcPr>
          <w:p w14:paraId="5F7FA061">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w:t>
            </w:r>
          </w:p>
        </w:tc>
        <w:tc>
          <w:tcPr>
            <w:tcW w:w="1267" w:type="dxa"/>
            <w:shd w:val="clear" w:color="auto" w:fill="auto"/>
            <w:vAlign w:val="center"/>
          </w:tcPr>
          <w:p w14:paraId="139415D1">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直接排放15，间接排放50</w:t>
            </w:r>
          </w:p>
        </w:tc>
        <w:tc>
          <w:tcPr>
            <w:tcW w:w="1091" w:type="dxa"/>
            <w:shd w:val="clear" w:color="auto" w:fill="auto"/>
            <w:vAlign w:val="center"/>
          </w:tcPr>
          <w:p w14:paraId="776F5DA0">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0.5</w:t>
            </w:r>
          </w:p>
        </w:tc>
      </w:tr>
      <w:tr w14:paraId="14AF2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1529" w:type="dxa"/>
            <w:gridSpan w:val="2"/>
            <w:shd w:val="clear" w:color="auto" w:fill="auto"/>
            <w:vAlign w:val="center"/>
          </w:tcPr>
          <w:p w14:paraId="53A77F46">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《食品加工制造业水污染物排放标准（征求意见稿）》</w:t>
            </w:r>
          </w:p>
        </w:tc>
        <w:tc>
          <w:tcPr>
            <w:tcW w:w="1114" w:type="dxa"/>
            <w:shd w:val="clear" w:color="auto" w:fill="auto"/>
            <w:vAlign w:val="center"/>
          </w:tcPr>
          <w:p w14:paraId="24FEB04F">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6~9</w:t>
            </w:r>
          </w:p>
        </w:tc>
        <w:tc>
          <w:tcPr>
            <w:tcW w:w="839" w:type="dxa"/>
            <w:shd w:val="clear" w:color="auto" w:fill="auto"/>
            <w:vAlign w:val="center"/>
          </w:tcPr>
          <w:p w14:paraId="09BBCB34">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w:t>
            </w:r>
          </w:p>
        </w:tc>
        <w:tc>
          <w:tcPr>
            <w:tcW w:w="1535" w:type="dxa"/>
            <w:shd w:val="clear" w:color="auto" w:fill="auto"/>
            <w:vAlign w:val="center"/>
          </w:tcPr>
          <w:p w14:paraId="4B4604CC">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30</w:t>
            </w:r>
          </w:p>
        </w:tc>
        <w:tc>
          <w:tcPr>
            <w:tcW w:w="1267" w:type="dxa"/>
            <w:shd w:val="clear" w:color="auto" w:fill="auto"/>
            <w:vAlign w:val="center"/>
          </w:tcPr>
          <w:p w14:paraId="205EA3AA">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100</w:t>
            </w:r>
          </w:p>
        </w:tc>
        <w:tc>
          <w:tcPr>
            <w:tcW w:w="1267" w:type="dxa"/>
            <w:shd w:val="clear" w:color="auto" w:fill="auto"/>
            <w:vAlign w:val="center"/>
          </w:tcPr>
          <w:p w14:paraId="609D6E44">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25</w:t>
            </w:r>
          </w:p>
        </w:tc>
        <w:tc>
          <w:tcPr>
            <w:tcW w:w="1091" w:type="dxa"/>
            <w:shd w:val="clear" w:color="auto" w:fill="auto"/>
            <w:vAlign w:val="center"/>
          </w:tcPr>
          <w:p w14:paraId="776DC398">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2</w:t>
            </w:r>
          </w:p>
        </w:tc>
      </w:tr>
      <w:tr w14:paraId="3DFF5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529" w:type="dxa"/>
            <w:gridSpan w:val="2"/>
            <w:shd w:val="clear" w:color="auto" w:fill="auto"/>
            <w:vAlign w:val="center"/>
          </w:tcPr>
          <w:p w14:paraId="6AB9AC9F">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《水产品加工业水污染物排放标准（征求意见稿）》</w:t>
            </w:r>
          </w:p>
        </w:tc>
        <w:tc>
          <w:tcPr>
            <w:tcW w:w="1114" w:type="dxa"/>
            <w:shd w:val="clear" w:color="auto" w:fill="auto"/>
            <w:vAlign w:val="center"/>
          </w:tcPr>
          <w:p w14:paraId="14B5BFE5">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6~9</w:t>
            </w:r>
          </w:p>
        </w:tc>
        <w:tc>
          <w:tcPr>
            <w:tcW w:w="839" w:type="dxa"/>
            <w:shd w:val="clear" w:color="auto" w:fill="auto"/>
            <w:vAlign w:val="center"/>
          </w:tcPr>
          <w:p w14:paraId="71EA5F4F">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w:t>
            </w:r>
          </w:p>
        </w:tc>
        <w:tc>
          <w:tcPr>
            <w:tcW w:w="1535" w:type="dxa"/>
            <w:shd w:val="clear" w:color="auto" w:fill="auto"/>
            <w:vAlign w:val="center"/>
          </w:tcPr>
          <w:p w14:paraId="47574E2B">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70</w:t>
            </w:r>
          </w:p>
        </w:tc>
        <w:tc>
          <w:tcPr>
            <w:tcW w:w="1267" w:type="dxa"/>
            <w:shd w:val="clear" w:color="auto" w:fill="auto"/>
            <w:vAlign w:val="center"/>
          </w:tcPr>
          <w:p w14:paraId="1D965B20">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100</w:t>
            </w:r>
          </w:p>
        </w:tc>
        <w:tc>
          <w:tcPr>
            <w:tcW w:w="1267" w:type="dxa"/>
            <w:shd w:val="clear" w:color="auto" w:fill="auto"/>
            <w:vAlign w:val="center"/>
          </w:tcPr>
          <w:p w14:paraId="60A86605">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30</w:t>
            </w:r>
          </w:p>
        </w:tc>
        <w:tc>
          <w:tcPr>
            <w:tcW w:w="1091" w:type="dxa"/>
            <w:shd w:val="clear" w:color="auto" w:fill="auto"/>
            <w:vAlign w:val="center"/>
          </w:tcPr>
          <w:p w14:paraId="03E7BDF2">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2</w:t>
            </w:r>
          </w:p>
        </w:tc>
      </w:tr>
      <w:tr w14:paraId="73D3E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764" w:type="dxa"/>
            <w:vMerge w:val="restart"/>
            <w:shd w:val="clear" w:color="auto" w:fill="auto"/>
            <w:vAlign w:val="center"/>
          </w:tcPr>
          <w:p w14:paraId="0739FAFC">
            <w:pPr>
              <w:widowControl/>
              <w:spacing w:before="0" w:after="0" w:line="240" w:lineRule="auto"/>
              <w:ind w:firstLine="0" w:firstLineChars="0"/>
              <w:jc w:val="center"/>
              <w:rPr>
                <w:rFonts w:cs="Times New Roman"/>
                <w:color w:val="000000"/>
                <w:kern w:val="0"/>
                <w:sz w:val="21"/>
                <w:szCs w:val="21"/>
              </w:rPr>
            </w:pPr>
            <w:bookmarkStart w:id="275" w:name="_Hlk198290547"/>
            <w:r>
              <w:rPr>
                <w:rFonts w:cs="Times New Roman"/>
                <w:color w:val="000000"/>
                <w:kern w:val="0"/>
                <w:sz w:val="21"/>
                <w:szCs w:val="21"/>
              </w:rPr>
              <w:t>本标准</w:t>
            </w:r>
          </w:p>
        </w:tc>
        <w:tc>
          <w:tcPr>
            <w:tcW w:w="765" w:type="dxa"/>
            <w:shd w:val="clear" w:color="auto" w:fill="auto"/>
            <w:vAlign w:val="center"/>
          </w:tcPr>
          <w:p w14:paraId="1B3E2142">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冷却水</w:t>
            </w:r>
          </w:p>
        </w:tc>
        <w:tc>
          <w:tcPr>
            <w:tcW w:w="1114" w:type="dxa"/>
            <w:shd w:val="clear" w:color="auto" w:fill="auto"/>
            <w:vAlign w:val="center"/>
          </w:tcPr>
          <w:p w14:paraId="374341B1">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6~9</w:t>
            </w:r>
          </w:p>
        </w:tc>
        <w:tc>
          <w:tcPr>
            <w:tcW w:w="839" w:type="dxa"/>
            <w:shd w:val="clear" w:color="auto" w:fill="auto"/>
            <w:vAlign w:val="center"/>
          </w:tcPr>
          <w:p w14:paraId="75E1419E">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人为造成的海水温升不超过当时当地9℃</w:t>
            </w:r>
          </w:p>
        </w:tc>
        <w:tc>
          <w:tcPr>
            <w:tcW w:w="1535" w:type="dxa"/>
            <w:shd w:val="clear" w:color="auto" w:fill="auto"/>
            <w:vAlign w:val="center"/>
          </w:tcPr>
          <w:p w14:paraId="2506C604">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30</w:t>
            </w:r>
          </w:p>
        </w:tc>
        <w:tc>
          <w:tcPr>
            <w:tcW w:w="1267" w:type="dxa"/>
            <w:shd w:val="clear" w:color="auto" w:fill="auto"/>
            <w:vAlign w:val="center"/>
          </w:tcPr>
          <w:p w14:paraId="2A499374">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100</w:t>
            </w:r>
          </w:p>
        </w:tc>
        <w:tc>
          <w:tcPr>
            <w:tcW w:w="1267" w:type="dxa"/>
            <w:shd w:val="clear" w:color="auto" w:fill="auto"/>
            <w:vAlign w:val="center"/>
          </w:tcPr>
          <w:p w14:paraId="77A896CB">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w:t>
            </w:r>
          </w:p>
        </w:tc>
        <w:tc>
          <w:tcPr>
            <w:tcW w:w="1091" w:type="dxa"/>
            <w:shd w:val="clear" w:color="auto" w:fill="auto"/>
            <w:vAlign w:val="center"/>
          </w:tcPr>
          <w:p w14:paraId="457F4D8A">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w:t>
            </w:r>
          </w:p>
        </w:tc>
      </w:tr>
      <w:tr w14:paraId="7F3A8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764" w:type="dxa"/>
            <w:vMerge w:val="continue"/>
            <w:shd w:val="clear" w:color="auto" w:fill="auto"/>
            <w:vAlign w:val="center"/>
          </w:tcPr>
          <w:p w14:paraId="612574D3">
            <w:pPr>
              <w:widowControl/>
              <w:spacing w:before="0" w:after="0" w:line="240" w:lineRule="auto"/>
              <w:ind w:firstLine="0" w:firstLineChars="0"/>
              <w:jc w:val="center"/>
              <w:rPr>
                <w:rFonts w:cs="Times New Roman"/>
                <w:color w:val="000000"/>
                <w:kern w:val="0"/>
                <w:sz w:val="21"/>
                <w:szCs w:val="21"/>
              </w:rPr>
            </w:pPr>
          </w:p>
        </w:tc>
        <w:tc>
          <w:tcPr>
            <w:tcW w:w="765" w:type="dxa"/>
            <w:shd w:val="clear" w:color="auto" w:fill="auto"/>
            <w:vAlign w:val="center"/>
          </w:tcPr>
          <w:p w14:paraId="6E6DC567">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漂烫盐渍水</w:t>
            </w:r>
          </w:p>
        </w:tc>
        <w:tc>
          <w:tcPr>
            <w:tcW w:w="1114" w:type="dxa"/>
            <w:shd w:val="clear" w:color="auto" w:fill="auto"/>
            <w:vAlign w:val="center"/>
          </w:tcPr>
          <w:p w14:paraId="1B54771B">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6~9</w:t>
            </w:r>
          </w:p>
        </w:tc>
        <w:tc>
          <w:tcPr>
            <w:tcW w:w="839" w:type="dxa"/>
            <w:shd w:val="clear" w:color="auto" w:fill="auto"/>
            <w:vAlign w:val="center"/>
          </w:tcPr>
          <w:p w14:paraId="2C818D24">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w:t>
            </w:r>
          </w:p>
        </w:tc>
        <w:tc>
          <w:tcPr>
            <w:tcW w:w="1535" w:type="dxa"/>
            <w:shd w:val="clear" w:color="auto" w:fill="auto"/>
            <w:vAlign w:val="center"/>
          </w:tcPr>
          <w:p w14:paraId="231339E9">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直接排放：20</w:t>
            </w:r>
          </w:p>
          <w:p w14:paraId="4BADC1AA">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间接排放：300</w:t>
            </w:r>
          </w:p>
        </w:tc>
        <w:tc>
          <w:tcPr>
            <w:tcW w:w="1267" w:type="dxa"/>
            <w:shd w:val="clear" w:color="auto" w:fill="auto"/>
            <w:vAlign w:val="center"/>
          </w:tcPr>
          <w:p w14:paraId="261771C8">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直接排放：100</w:t>
            </w:r>
          </w:p>
          <w:p w14:paraId="5F6A9536">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间接排放：450</w:t>
            </w:r>
          </w:p>
        </w:tc>
        <w:tc>
          <w:tcPr>
            <w:tcW w:w="1267" w:type="dxa"/>
            <w:shd w:val="clear" w:color="auto" w:fill="auto"/>
            <w:vAlign w:val="center"/>
          </w:tcPr>
          <w:p w14:paraId="09EAB9FA">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直接排放：15</w:t>
            </w:r>
          </w:p>
          <w:p w14:paraId="5B0DABD2">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间接排放：50</w:t>
            </w:r>
          </w:p>
        </w:tc>
        <w:tc>
          <w:tcPr>
            <w:tcW w:w="1091" w:type="dxa"/>
            <w:shd w:val="clear" w:color="auto" w:fill="auto"/>
            <w:vAlign w:val="center"/>
          </w:tcPr>
          <w:p w14:paraId="084C15AA">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直接排放：0.5</w:t>
            </w:r>
          </w:p>
          <w:p w14:paraId="1BB71A1E">
            <w:pPr>
              <w:widowControl/>
              <w:spacing w:before="0" w:after="0" w:line="240" w:lineRule="auto"/>
              <w:ind w:firstLine="0" w:firstLineChars="0"/>
              <w:jc w:val="center"/>
              <w:rPr>
                <w:rFonts w:cs="Times New Roman"/>
                <w:color w:val="000000"/>
                <w:kern w:val="0"/>
                <w:sz w:val="21"/>
                <w:szCs w:val="21"/>
              </w:rPr>
            </w:pPr>
            <w:r>
              <w:rPr>
                <w:rFonts w:cs="Times New Roman"/>
                <w:color w:val="000000"/>
                <w:kern w:val="0"/>
                <w:sz w:val="21"/>
                <w:szCs w:val="21"/>
              </w:rPr>
              <w:t>间接排放：5</w:t>
            </w:r>
          </w:p>
        </w:tc>
      </w:tr>
      <w:bookmarkEnd w:id="275"/>
    </w:tbl>
    <w:p w14:paraId="3D794CF8">
      <w:pPr>
        <w:pStyle w:val="80"/>
        <w:ind w:firstLine="480"/>
      </w:pPr>
    </w:p>
    <w:p w14:paraId="1078E717">
      <w:pPr>
        <w:pStyle w:val="2"/>
        <w:numPr>
          <w:ilvl w:val="0"/>
          <w:numId w:val="2"/>
        </w:numPr>
        <w:ind w:left="0" w:firstLine="0"/>
        <w:rPr>
          <w:rFonts w:cs="Times New Roman"/>
        </w:rPr>
      </w:pPr>
      <w:bookmarkStart w:id="276" w:name="_Toc198292162"/>
      <w:bookmarkStart w:id="277" w:name="_Toc196224440"/>
      <w:bookmarkStart w:id="278" w:name="_Toc196224191"/>
      <w:r>
        <w:rPr>
          <w:rFonts w:cs="Times New Roman"/>
        </w:rPr>
        <w:t>推动标准实施的措施建议</w:t>
      </w:r>
      <w:bookmarkEnd w:id="276"/>
      <w:bookmarkEnd w:id="277"/>
      <w:bookmarkEnd w:id="278"/>
    </w:p>
    <w:p w14:paraId="15A6D340">
      <w:pPr>
        <w:pStyle w:val="80"/>
        <w:ind w:firstLine="480"/>
      </w:pPr>
      <w:r>
        <w:t>（1）本标准实施配套的管理措施、实施方案建议</w:t>
      </w:r>
    </w:p>
    <w:p w14:paraId="402A4E4B">
      <w:pPr>
        <w:pStyle w:val="80"/>
        <w:ind w:firstLine="480"/>
      </w:pPr>
      <w:r>
        <w:t>1）根据《生态环境标准管理办法》，本标准发布后，省级人民政府或者其委托的省级生态环境主管部门应当依法报国务院生态环境主管部门备案。</w:t>
      </w:r>
    </w:p>
    <w:p w14:paraId="7A0656E7">
      <w:pPr>
        <w:pStyle w:val="80"/>
        <w:ind w:firstLine="480"/>
      </w:pPr>
      <w:r>
        <w:t>2）根据《国家生态环境标准制修订工作规则》要求，省级生态环境主管部门组织开展本标准的宣传与培训工作，统筹推动海菜行业健康发展</w:t>
      </w:r>
    </w:p>
    <w:p w14:paraId="4374BFF2">
      <w:pPr>
        <w:pStyle w:val="80"/>
        <w:ind w:firstLine="480"/>
      </w:pPr>
      <w:r>
        <w:t>3）根据本标准“实施与监督”要求，本地标由县级以上人民政府生态环境行政主管部门具体负责监督实施。</w:t>
      </w:r>
    </w:p>
    <w:p w14:paraId="1FBBBE6B">
      <w:pPr>
        <w:pStyle w:val="80"/>
        <w:ind w:firstLine="480"/>
      </w:pPr>
      <w:r>
        <w:t>4）根据本标准“实施与监督”要求，在任何情况下，企业均须遵守本标准的污染物排放控制要求，采取必要措施保证污染防治设施正常运行。</w:t>
      </w:r>
    </w:p>
    <w:p w14:paraId="7EEBB15B">
      <w:pPr>
        <w:pStyle w:val="80"/>
        <w:ind w:firstLine="480"/>
      </w:pPr>
      <w:r>
        <w:t>5）根据本标准“实施与监督”要求，企业未遵守本标准规定的措施性控制要求，构成违法行为的，依照法律法规等有关规定予以处理。</w:t>
      </w:r>
    </w:p>
    <w:p w14:paraId="3E199400">
      <w:pPr>
        <w:pStyle w:val="80"/>
        <w:ind w:firstLine="480"/>
      </w:pPr>
      <w:r>
        <w:t>6）根据本标准“实施与监督”要求，本标准实施后，企业排污许可证规定要求宽于本文件的，应当在文件实施之日前依法变更排污许可证。</w:t>
      </w:r>
    </w:p>
    <w:p w14:paraId="639AB24F">
      <w:pPr>
        <w:pStyle w:val="2"/>
        <w:numPr>
          <w:ilvl w:val="0"/>
          <w:numId w:val="2"/>
        </w:numPr>
        <w:ind w:left="0" w:firstLine="0"/>
        <w:rPr>
          <w:rFonts w:cs="Times New Roman"/>
        </w:rPr>
      </w:pPr>
      <w:bookmarkStart w:id="279" w:name="_Toc149209687"/>
      <w:bookmarkStart w:id="280" w:name="_Toc196224192"/>
      <w:bookmarkStart w:id="281" w:name="_Toc196224441"/>
      <w:bookmarkStart w:id="282" w:name="_Toc198292163"/>
      <w:r>
        <w:rPr>
          <w:rFonts w:cs="Times New Roman"/>
        </w:rPr>
        <w:t>法律法规</w:t>
      </w:r>
      <w:bookmarkEnd w:id="279"/>
      <w:r>
        <w:rPr>
          <w:rFonts w:cs="Times New Roman"/>
        </w:rPr>
        <w:t>依据</w:t>
      </w:r>
      <w:bookmarkEnd w:id="280"/>
      <w:bookmarkEnd w:id="281"/>
      <w:bookmarkEnd w:id="282"/>
    </w:p>
    <w:p w14:paraId="0A4A4124">
      <w:pPr>
        <w:ind w:firstLine="480"/>
        <w:rPr>
          <w:rFonts w:cs="Times New Roman"/>
        </w:rPr>
      </w:pPr>
      <w:r>
        <w:rPr>
          <w:rFonts w:cs="Times New Roman"/>
        </w:rPr>
        <w:t>本地方标准制定，既要遵守《中华人民共和国环境保护法》《中华人民共和国水污染防治法》《中华人民共和国海洋环境保护法》和《辽宁省水污染防治条例》等上位法，又要遵守生态环境部的相关法律法规，还须依据环境标准制定方法的系列文件。具体参见下表。</w:t>
      </w:r>
    </w:p>
    <w:p w14:paraId="7DEAFBB6">
      <w:pPr>
        <w:pStyle w:val="61"/>
        <w:rPr>
          <w:rFonts w:cs="Times New Roman"/>
        </w:rPr>
      </w:pPr>
      <w:r>
        <w:rPr>
          <w:rFonts w:cs="Times New Roman"/>
        </w:rPr>
        <w:t>表 6</w:t>
      </w:r>
      <w:r>
        <w:rPr>
          <w:rFonts w:cs="Times New Roman"/>
        </w:rPr>
        <w:noBreakHyphen/>
      </w:r>
      <w:r>
        <w:rPr>
          <w:rFonts w:cs="Times New Roman"/>
        </w:rPr>
        <w:fldChar w:fldCharType="begin"/>
      </w:r>
      <w:r>
        <w:rPr>
          <w:rFonts w:cs="Times New Roman"/>
        </w:rPr>
        <w:instrText xml:space="preserve"> SEQ 表 \* ARABIC \s 1 </w:instrText>
      </w:r>
      <w:r>
        <w:rPr>
          <w:rFonts w:cs="Times New Roman"/>
        </w:rPr>
        <w:fldChar w:fldCharType="separate"/>
      </w:r>
      <w:r>
        <w:rPr>
          <w:rFonts w:cs="Times New Roman"/>
        </w:rPr>
        <w:t>1</w:t>
      </w:r>
      <w:r>
        <w:rPr>
          <w:rFonts w:cs="Times New Roman"/>
        </w:rPr>
        <w:fldChar w:fldCharType="end"/>
      </w:r>
      <w:r>
        <w:rPr>
          <w:rFonts w:cs="Times New Roman"/>
        </w:rPr>
        <w:t xml:space="preserve">    本地标的法律法规依据汇总表</w:t>
      </w:r>
    </w:p>
    <w:tbl>
      <w:tblPr>
        <w:tblStyle w:val="34"/>
        <w:tblW w:w="8969" w:type="dxa"/>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
        <w:gridCol w:w="5582"/>
        <w:gridCol w:w="1751"/>
        <w:gridCol w:w="674"/>
      </w:tblGrid>
      <w:tr w14:paraId="7F77C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tblHeader/>
        </w:trPr>
        <w:tc>
          <w:tcPr>
            <w:tcW w:w="962" w:type="dxa"/>
            <w:vAlign w:val="center"/>
          </w:tcPr>
          <w:p w14:paraId="0367A290">
            <w:pPr>
              <w:pStyle w:val="81"/>
              <w:rPr>
                <w:rFonts w:cs="Times New Roman"/>
                <w:kern w:val="0"/>
                <w:sz w:val="21"/>
                <w:szCs w:val="21"/>
              </w:rPr>
            </w:pPr>
          </w:p>
        </w:tc>
        <w:tc>
          <w:tcPr>
            <w:tcW w:w="5582" w:type="dxa"/>
            <w:vAlign w:val="center"/>
          </w:tcPr>
          <w:p w14:paraId="4947EE87">
            <w:pPr>
              <w:pStyle w:val="81"/>
              <w:rPr>
                <w:rFonts w:cs="Times New Roman"/>
                <w:kern w:val="0"/>
                <w:sz w:val="21"/>
                <w:szCs w:val="21"/>
              </w:rPr>
            </w:pPr>
            <w:r>
              <w:rPr>
                <w:rFonts w:cs="Times New Roman"/>
                <w:kern w:val="0"/>
                <w:sz w:val="21"/>
                <w:szCs w:val="21"/>
              </w:rPr>
              <w:t>法律法规名称</w:t>
            </w:r>
          </w:p>
        </w:tc>
        <w:tc>
          <w:tcPr>
            <w:tcW w:w="1751" w:type="dxa"/>
            <w:vAlign w:val="center"/>
          </w:tcPr>
          <w:p w14:paraId="586920F8">
            <w:pPr>
              <w:pStyle w:val="81"/>
              <w:rPr>
                <w:rFonts w:cs="Times New Roman"/>
                <w:kern w:val="0"/>
                <w:sz w:val="21"/>
                <w:szCs w:val="21"/>
              </w:rPr>
            </w:pPr>
            <w:r>
              <w:rPr>
                <w:rFonts w:cs="Times New Roman"/>
                <w:kern w:val="0"/>
                <w:sz w:val="21"/>
                <w:szCs w:val="21"/>
              </w:rPr>
              <w:t>本地标的关联性</w:t>
            </w:r>
          </w:p>
        </w:tc>
        <w:tc>
          <w:tcPr>
            <w:tcW w:w="674" w:type="dxa"/>
            <w:vAlign w:val="center"/>
          </w:tcPr>
          <w:p w14:paraId="01A3DF3C">
            <w:pPr>
              <w:pStyle w:val="81"/>
              <w:rPr>
                <w:rFonts w:cs="Times New Roman"/>
                <w:kern w:val="0"/>
                <w:sz w:val="21"/>
                <w:szCs w:val="21"/>
              </w:rPr>
            </w:pPr>
            <w:r>
              <w:rPr>
                <w:rFonts w:cs="Times New Roman"/>
                <w:kern w:val="0"/>
                <w:sz w:val="21"/>
                <w:szCs w:val="21"/>
              </w:rPr>
              <w:t>备注</w:t>
            </w:r>
          </w:p>
        </w:tc>
      </w:tr>
      <w:tr w14:paraId="26545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restart"/>
            <w:vAlign w:val="center"/>
          </w:tcPr>
          <w:p w14:paraId="12712B90">
            <w:pPr>
              <w:pStyle w:val="81"/>
              <w:rPr>
                <w:rFonts w:cs="Times New Roman"/>
                <w:kern w:val="0"/>
                <w:sz w:val="21"/>
                <w:szCs w:val="21"/>
              </w:rPr>
            </w:pPr>
            <w:r>
              <w:rPr>
                <w:rFonts w:cs="Times New Roman"/>
                <w:kern w:val="0"/>
                <w:sz w:val="21"/>
                <w:szCs w:val="21"/>
              </w:rPr>
              <w:t>本地标的上位法</w:t>
            </w:r>
          </w:p>
        </w:tc>
        <w:tc>
          <w:tcPr>
            <w:tcW w:w="5582" w:type="dxa"/>
            <w:vAlign w:val="center"/>
          </w:tcPr>
          <w:p w14:paraId="5BEA247E">
            <w:pPr>
              <w:pStyle w:val="81"/>
              <w:rPr>
                <w:rFonts w:cs="Times New Roman"/>
                <w:kern w:val="0"/>
                <w:sz w:val="21"/>
                <w:szCs w:val="21"/>
              </w:rPr>
            </w:pPr>
            <w:r>
              <w:rPr>
                <w:rFonts w:cs="Times New Roman"/>
                <w:kern w:val="0"/>
                <w:sz w:val="21"/>
                <w:szCs w:val="21"/>
              </w:rPr>
              <w:t>《中华人民共和国环境保护法》</w:t>
            </w:r>
          </w:p>
        </w:tc>
        <w:tc>
          <w:tcPr>
            <w:tcW w:w="1751" w:type="dxa"/>
            <w:vMerge w:val="restart"/>
            <w:vAlign w:val="center"/>
          </w:tcPr>
          <w:p w14:paraId="327BC6EE">
            <w:pPr>
              <w:pStyle w:val="81"/>
              <w:rPr>
                <w:rFonts w:cs="Times New Roman"/>
                <w:kern w:val="0"/>
                <w:sz w:val="21"/>
                <w:szCs w:val="21"/>
              </w:rPr>
            </w:pPr>
            <w:r>
              <w:rPr>
                <w:rFonts w:cs="Times New Roman"/>
                <w:kern w:val="0"/>
                <w:sz w:val="21"/>
                <w:szCs w:val="21"/>
              </w:rPr>
              <w:t>上位法，必须执行。</w:t>
            </w:r>
          </w:p>
        </w:tc>
        <w:tc>
          <w:tcPr>
            <w:tcW w:w="674" w:type="dxa"/>
            <w:vAlign w:val="center"/>
          </w:tcPr>
          <w:p w14:paraId="435391C6">
            <w:pPr>
              <w:pStyle w:val="81"/>
              <w:rPr>
                <w:rFonts w:cs="Times New Roman"/>
                <w:kern w:val="0"/>
                <w:sz w:val="21"/>
                <w:szCs w:val="21"/>
              </w:rPr>
            </w:pPr>
          </w:p>
        </w:tc>
      </w:tr>
      <w:tr w14:paraId="336AF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continue"/>
            <w:vAlign w:val="center"/>
          </w:tcPr>
          <w:p w14:paraId="3F5F7081">
            <w:pPr>
              <w:pStyle w:val="81"/>
              <w:rPr>
                <w:rFonts w:cs="Times New Roman"/>
                <w:kern w:val="0"/>
                <w:sz w:val="21"/>
                <w:szCs w:val="21"/>
              </w:rPr>
            </w:pPr>
          </w:p>
        </w:tc>
        <w:tc>
          <w:tcPr>
            <w:tcW w:w="5582" w:type="dxa"/>
            <w:vAlign w:val="center"/>
          </w:tcPr>
          <w:p w14:paraId="0B319307">
            <w:pPr>
              <w:pStyle w:val="81"/>
              <w:rPr>
                <w:rFonts w:cs="Times New Roman"/>
                <w:kern w:val="0"/>
                <w:sz w:val="21"/>
                <w:szCs w:val="21"/>
              </w:rPr>
            </w:pPr>
            <w:r>
              <w:rPr>
                <w:rFonts w:cs="Times New Roman"/>
                <w:kern w:val="0"/>
                <w:sz w:val="21"/>
                <w:szCs w:val="21"/>
              </w:rPr>
              <w:t>《中华人民共和国水污染防治法》</w:t>
            </w:r>
          </w:p>
        </w:tc>
        <w:tc>
          <w:tcPr>
            <w:tcW w:w="1751" w:type="dxa"/>
            <w:vMerge w:val="continue"/>
            <w:vAlign w:val="center"/>
          </w:tcPr>
          <w:p w14:paraId="52D5CE20">
            <w:pPr>
              <w:pStyle w:val="81"/>
              <w:rPr>
                <w:rFonts w:cs="Times New Roman"/>
                <w:kern w:val="0"/>
                <w:sz w:val="21"/>
                <w:szCs w:val="21"/>
              </w:rPr>
            </w:pPr>
          </w:p>
        </w:tc>
        <w:tc>
          <w:tcPr>
            <w:tcW w:w="674" w:type="dxa"/>
            <w:vAlign w:val="center"/>
          </w:tcPr>
          <w:p w14:paraId="5E3FD737">
            <w:pPr>
              <w:pStyle w:val="81"/>
              <w:rPr>
                <w:rFonts w:cs="Times New Roman"/>
                <w:kern w:val="0"/>
                <w:sz w:val="21"/>
                <w:szCs w:val="21"/>
              </w:rPr>
            </w:pPr>
          </w:p>
        </w:tc>
      </w:tr>
      <w:tr w14:paraId="3467A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continue"/>
            <w:vAlign w:val="center"/>
          </w:tcPr>
          <w:p w14:paraId="5A013A45">
            <w:pPr>
              <w:pStyle w:val="81"/>
              <w:rPr>
                <w:rFonts w:cs="Times New Roman"/>
                <w:kern w:val="0"/>
                <w:sz w:val="21"/>
                <w:szCs w:val="21"/>
              </w:rPr>
            </w:pPr>
          </w:p>
        </w:tc>
        <w:tc>
          <w:tcPr>
            <w:tcW w:w="5582" w:type="dxa"/>
            <w:vAlign w:val="center"/>
          </w:tcPr>
          <w:p w14:paraId="212ACB47">
            <w:pPr>
              <w:pStyle w:val="81"/>
              <w:rPr>
                <w:rFonts w:cs="Times New Roman"/>
                <w:kern w:val="0"/>
                <w:sz w:val="21"/>
                <w:szCs w:val="21"/>
              </w:rPr>
            </w:pPr>
            <w:r>
              <w:rPr>
                <w:rFonts w:cs="Times New Roman"/>
                <w:kern w:val="0"/>
                <w:sz w:val="21"/>
                <w:szCs w:val="21"/>
              </w:rPr>
              <w:t>《中华人民共和国海洋环境保护法》</w:t>
            </w:r>
          </w:p>
        </w:tc>
        <w:tc>
          <w:tcPr>
            <w:tcW w:w="1751" w:type="dxa"/>
            <w:vMerge w:val="continue"/>
            <w:vAlign w:val="center"/>
          </w:tcPr>
          <w:p w14:paraId="2AB07A9D">
            <w:pPr>
              <w:pStyle w:val="81"/>
              <w:rPr>
                <w:rFonts w:cs="Times New Roman"/>
                <w:kern w:val="0"/>
                <w:sz w:val="21"/>
                <w:szCs w:val="21"/>
              </w:rPr>
            </w:pPr>
          </w:p>
        </w:tc>
        <w:tc>
          <w:tcPr>
            <w:tcW w:w="674" w:type="dxa"/>
            <w:vAlign w:val="center"/>
          </w:tcPr>
          <w:p w14:paraId="243525C2">
            <w:pPr>
              <w:pStyle w:val="81"/>
              <w:rPr>
                <w:rFonts w:cs="Times New Roman"/>
                <w:kern w:val="0"/>
                <w:sz w:val="21"/>
                <w:szCs w:val="21"/>
              </w:rPr>
            </w:pPr>
          </w:p>
        </w:tc>
      </w:tr>
      <w:tr w14:paraId="0ED24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continue"/>
            <w:vAlign w:val="center"/>
          </w:tcPr>
          <w:p w14:paraId="7ABF51C4">
            <w:pPr>
              <w:pStyle w:val="81"/>
              <w:rPr>
                <w:rFonts w:cs="Times New Roman"/>
                <w:kern w:val="0"/>
                <w:sz w:val="21"/>
                <w:szCs w:val="21"/>
              </w:rPr>
            </w:pPr>
          </w:p>
        </w:tc>
        <w:tc>
          <w:tcPr>
            <w:tcW w:w="5582" w:type="dxa"/>
            <w:vAlign w:val="center"/>
          </w:tcPr>
          <w:p w14:paraId="69E49176">
            <w:pPr>
              <w:pStyle w:val="81"/>
              <w:rPr>
                <w:rFonts w:cs="Times New Roman"/>
                <w:kern w:val="0"/>
                <w:sz w:val="21"/>
                <w:szCs w:val="21"/>
              </w:rPr>
            </w:pPr>
            <w:r>
              <w:rPr>
                <w:rFonts w:cs="Times New Roman"/>
                <w:kern w:val="0"/>
                <w:sz w:val="21"/>
                <w:szCs w:val="21"/>
              </w:rPr>
              <w:t>《中华人民共和国标准化法》</w:t>
            </w:r>
          </w:p>
        </w:tc>
        <w:tc>
          <w:tcPr>
            <w:tcW w:w="1751" w:type="dxa"/>
            <w:vMerge w:val="continue"/>
            <w:vAlign w:val="center"/>
          </w:tcPr>
          <w:p w14:paraId="20754AFE">
            <w:pPr>
              <w:pStyle w:val="81"/>
              <w:rPr>
                <w:rFonts w:cs="Times New Roman"/>
                <w:kern w:val="0"/>
                <w:sz w:val="21"/>
                <w:szCs w:val="21"/>
              </w:rPr>
            </w:pPr>
          </w:p>
        </w:tc>
        <w:tc>
          <w:tcPr>
            <w:tcW w:w="674" w:type="dxa"/>
            <w:vAlign w:val="center"/>
          </w:tcPr>
          <w:p w14:paraId="3EDE0594">
            <w:pPr>
              <w:pStyle w:val="81"/>
              <w:rPr>
                <w:rFonts w:cs="Times New Roman"/>
                <w:kern w:val="0"/>
                <w:sz w:val="21"/>
                <w:szCs w:val="21"/>
              </w:rPr>
            </w:pPr>
          </w:p>
        </w:tc>
      </w:tr>
      <w:tr w14:paraId="47342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continue"/>
            <w:vAlign w:val="center"/>
          </w:tcPr>
          <w:p w14:paraId="7F48E29F">
            <w:pPr>
              <w:pStyle w:val="81"/>
              <w:rPr>
                <w:rFonts w:cs="Times New Roman"/>
                <w:kern w:val="0"/>
                <w:sz w:val="21"/>
                <w:szCs w:val="21"/>
              </w:rPr>
            </w:pPr>
          </w:p>
        </w:tc>
        <w:tc>
          <w:tcPr>
            <w:tcW w:w="5582" w:type="dxa"/>
            <w:vAlign w:val="center"/>
          </w:tcPr>
          <w:p w14:paraId="45169B1E">
            <w:pPr>
              <w:pStyle w:val="81"/>
              <w:rPr>
                <w:rFonts w:cs="Times New Roman"/>
                <w:kern w:val="0"/>
                <w:sz w:val="21"/>
                <w:szCs w:val="21"/>
              </w:rPr>
            </w:pPr>
            <w:r>
              <w:rPr>
                <w:rFonts w:cs="Times New Roman"/>
                <w:kern w:val="0"/>
                <w:sz w:val="21"/>
                <w:szCs w:val="21"/>
              </w:rPr>
              <w:t>《辽宁省水污染防治条例》</w:t>
            </w:r>
          </w:p>
        </w:tc>
        <w:tc>
          <w:tcPr>
            <w:tcW w:w="1751" w:type="dxa"/>
            <w:vMerge w:val="continue"/>
            <w:vAlign w:val="center"/>
          </w:tcPr>
          <w:p w14:paraId="289A8FCA">
            <w:pPr>
              <w:pStyle w:val="81"/>
              <w:rPr>
                <w:rFonts w:cs="Times New Roman"/>
                <w:kern w:val="0"/>
                <w:sz w:val="21"/>
                <w:szCs w:val="21"/>
              </w:rPr>
            </w:pPr>
          </w:p>
        </w:tc>
        <w:tc>
          <w:tcPr>
            <w:tcW w:w="674" w:type="dxa"/>
            <w:vAlign w:val="center"/>
          </w:tcPr>
          <w:p w14:paraId="032039EF">
            <w:pPr>
              <w:pStyle w:val="81"/>
              <w:rPr>
                <w:rFonts w:cs="Times New Roman"/>
                <w:kern w:val="0"/>
                <w:sz w:val="21"/>
                <w:szCs w:val="21"/>
              </w:rPr>
            </w:pPr>
          </w:p>
        </w:tc>
      </w:tr>
      <w:tr w14:paraId="09B52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962" w:type="dxa"/>
            <w:vMerge w:val="restart"/>
            <w:vAlign w:val="center"/>
          </w:tcPr>
          <w:p w14:paraId="0CEF53BC">
            <w:pPr>
              <w:pStyle w:val="81"/>
              <w:rPr>
                <w:rFonts w:cs="Times New Roman"/>
                <w:kern w:val="0"/>
                <w:sz w:val="21"/>
                <w:szCs w:val="21"/>
              </w:rPr>
            </w:pPr>
            <w:r>
              <w:rPr>
                <w:rFonts w:cs="Times New Roman"/>
                <w:kern w:val="0"/>
                <w:sz w:val="21"/>
                <w:szCs w:val="21"/>
              </w:rPr>
              <w:t>本地标引用的法律法规</w:t>
            </w:r>
          </w:p>
        </w:tc>
        <w:tc>
          <w:tcPr>
            <w:tcW w:w="5582" w:type="dxa"/>
            <w:vAlign w:val="center"/>
          </w:tcPr>
          <w:p w14:paraId="2A6A3DCC">
            <w:pPr>
              <w:pStyle w:val="81"/>
              <w:rPr>
                <w:rFonts w:cs="Times New Roman"/>
                <w:kern w:val="0"/>
                <w:sz w:val="21"/>
                <w:szCs w:val="21"/>
              </w:rPr>
            </w:pPr>
            <w:r>
              <w:rPr>
                <w:rFonts w:cs="Times New Roman"/>
                <w:kern w:val="0"/>
                <w:sz w:val="21"/>
                <w:szCs w:val="21"/>
              </w:rPr>
              <w:t>《污染源自动监控管理办法》</w:t>
            </w:r>
          </w:p>
          <w:p w14:paraId="4ABF0D36">
            <w:pPr>
              <w:pStyle w:val="81"/>
              <w:rPr>
                <w:rFonts w:cs="Times New Roman"/>
                <w:kern w:val="0"/>
                <w:sz w:val="21"/>
                <w:szCs w:val="21"/>
              </w:rPr>
            </w:pPr>
            <w:r>
              <w:rPr>
                <w:rFonts w:cs="Times New Roman"/>
                <w:kern w:val="0"/>
                <w:sz w:val="21"/>
                <w:szCs w:val="21"/>
              </w:rPr>
              <w:t>（国家环境保护总局令第28号）</w:t>
            </w:r>
          </w:p>
        </w:tc>
        <w:tc>
          <w:tcPr>
            <w:tcW w:w="1751" w:type="dxa"/>
            <w:vAlign w:val="center"/>
          </w:tcPr>
          <w:p w14:paraId="44F123B5">
            <w:pPr>
              <w:pStyle w:val="81"/>
              <w:rPr>
                <w:rFonts w:cs="Times New Roman"/>
                <w:kern w:val="0"/>
                <w:sz w:val="21"/>
                <w:szCs w:val="21"/>
              </w:rPr>
            </w:pPr>
          </w:p>
        </w:tc>
        <w:tc>
          <w:tcPr>
            <w:tcW w:w="674" w:type="dxa"/>
            <w:vAlign w:val="center"/>
          </w:tcPr>
          <w:p w14:paraId="4FB9B2D4">
            <w:pPr>
              <w:pStyle w:val="81"/>
              <w:rPr>
                <w:rFonts w:cs="Times New Roman"/>
                <w:kern w:val="0"/>
                <w:sz w:val="21"/>
                <w:szCs w:val="21"/>
              </w:rPr>
            </w:pPr>
          </w:p>
        </w:tc>
      </w:tr>
      <w:tr w14:paraId="510CA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continue"/>
            <w:vAlign w:val="center"/>
          </w:tcPr>
          <w:p w14:paraId="689D007B">
            <w:pPr>
              <w:pStyle w:val="81"/>
              <w:rPr>
                <w:rFonts w:cs="Times New Roman"/>
                <w:kern w:val="0"/>
                <w:sz w:val="21"/>
                <w:szCs w:val="21"/>
              </w:rPr>
            </w:pPr>
          </w:p>
        </w:tc>
        <w:tc>
          <w:tcPr>
            <w:tcW w:w="5582" w:type="dxa"/>
            <w:vAlign w:val="center"/>
          </w:tcPr>
          <w:p w14:paraId="6C5EB94C">
            <w:pPr>
              <w:pStyle w:val="81"/>
              <w:rPr>
                <w:rFonts w:cs="Times New Roman"/>
                <w:kern w:val="0"/>
                <w:sz w:val="21"/>
                <w:szCs w:val="21"/>
              </w:rPr>
            </w:pPr>
            <w:r>
              <w:rPr>
                <w:rFonts w:cs="Times New Roman"/>
                <w:kern w:val="0"/>
                <w:sz w:val="21"/>
                <w:szCs w:val="21"/>
              </w:rPr>
              <w:t>《环境监测管理办法》</w:t>
            </w:r>
          </w:p>
          <w:p w14:paraId="23064C32">
            <w:pPr>
              <w:pStyle w:val="81"/>
              <w:rPr>
                <w:rFonts w:cs="Times New Roman"/>
                <w:kern w:val="0"/>
                <w:sz w:val="21"/>
                <w:szCs w:val="21"/>
              </w:rPr>
            </w:pPr>
            <w:r>
              <w:rPr>
                <w:rFonts w:cs="Times New Roman"/>
                <w:kern w:val="0"/>
                <w:sz w:val="21"/>
                <w:szCs w:val="21"/>
              </w:rPr>
              <w:t>（国家环境保护总局令 第 39 号）</w:t>
            </w:r>
          </w:p>
        </w:tc>
        <w:tc>
          <w:tcPr>
            <w:tcW w:w="1751" w:type="dxa"/>
            <w:vAlign w:val="center"/>
          </w:tcPr>
          <w:p w14:paraId="4F8928A8">
            <w:pPr>
              <w:pStyle w:val="81"/>
              <w:rPr>
                <w:rFonts w:cs="Times New Roman"/>
                <w:kern w:val="0"/>
                <w:sz w:val="21"/>
                <w:szCs w:val="21"/>
              </w:rPr>
            </w:pPr>
          </w:p>
        </w:tc>
        <w:tc>
          <w:tcPr>
            <w:tcW w:w="674" w:type="dxa"/>
            <w:vAlign w:val="center"/>
          </w:tcPr>
          <w:p w14:paraId="6B57D695">
            <w:pPr>
              <w:pStyle w:val="81"/>
              <w:rPr>
                <w:rFonts w:cs="Times New Roman"/>
                <w:kern w:val="0"/>
                <w:sz w:val="21"/>
                <w:szCs w:val="21"/>
              </w:rPr>
            </w:pPr>
          </w:p>
        </w:tc>
      </w:tr>
      <w:tr w14:paraId="6C25B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restart"/>
            <w:vAlign w:val="center"/>
          </w:tcPr>
          <w:p w14:paraId="6C47557B">
            <w:pPr>
              <w:pStyle w:val="81"/>
              <w:rPr>
                <w:rFonts w:cs="Times New Roman"/>
                <w:kern w:val="0"/>
                <w:sz w:val="21"/>
                <w:szCs w:val="21"/>
              </w:rPr>
            </w:pPr>
            <w:r>
              <w:rPr>
                <w:rFonts w:cs="Times New Roman"/>
                <w:kern w:val="0"/>
                <w:sz w:val="21"/>
                <w:szCs w:val="21"/>
              </w:rPr>
              <w:t>本标准编制所依据的标准和政策性文件</w:t>
            </w:r>
          </w:p>
        </w:tc>
        <w:tc>
          <w:tcPr>
            <w:tcW w:w="5582" w:type="dxa"/>
            <w:vAlign w:val="center"/>
          </w:tcPr>
          <w:p w14:paraId="04D9BAAC">
            <w:pPr>
              <w:pStyle w:val="81"/>
              <w:rPr>
                <w:rFonts w:cs="Times New Roman"/>
                <w:kern w:val="0"/>
                <w:sz w:val="21"/>
                <w:szCs w:val="21"/>
              </w:rPr>
            </w:pPr>
            <w:r>
              <w:rPr>
                <w:rFonts w:cs="Times New Roman"/>
                <w:kern w:val="0"/>
                <w:sz w:val="21"/>
                <w:szCs w:val="21"/>
              </w:rPr>
              <w:t>《标准化工作导则 第1部分：标准化文件的结构和起草规则》（GB/T 1.1-2020）</w:t>
            </w:r>
          </w:p>
        </w:tc>
        <w:tc>
          <w:tcPr>
            <w:tcW w:w="1751" w:type="dxa"/>
            <w:vAlign w:val="center"/>
          </w:tcPr>
          <w:p w14:paraId="761FBC9C">
            <w:pPr>
              <w:pStyle w:val="81"/>
              <w:rPr>
                <w:rFonts w:cs="Times New Roman"/>
                <w:kern w:val="0"/>
                <w:sz w:val="21"/>
                <w:szCs w:val="21"/>
              </w:rPr>
            </w:pPr>
          </w:p>
        </w:tc>
        <w:tc>
          <w:tcPr>
            <w:tcW w:w="674" w:type="dxa"/>
            <w:vAlign w:val="center"/>
          </w:tcPr>
          <w:p w14:paraId="56A17334">
            <w:pPr>
              <w:pStyle w:val="81"/>
              <w:rPr>
                <w:rFonts w:cs="Times New Roman"/>
                <w:kern w:val="0"/>
                <w:sz w:val="21"/>
                <w:szCs w:val="21"/>
              </w:rPr>
            </w:pPr>
          </w:p>
        </w:tc>
      </w:tr>
      <w:tr w14:paraId="77EDC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continue"/>
            <w:vAlign w:val="center"/>
          </w:tcPr>
          <w:p w14:paraId="276D3F30">
            <w:pPr>
              <w:pStyle w:val="81"/>
              <w:rPr>
                <w:rFonts w:cs="Times New Roman"/>
                <w:kern w:val="0"/>
                <w:sz w:val="21"/>
                <w:szCs w:val="21"/>
              </w:rPr>
            </w:pPr>
          </w:p>
        </w:tc>
        <w:tc>
          <w:tcPr>
            <w:tcW w:w="5582" w:type="dxa"/>
            <w:vAlign w:val="center"/>
          </w:tcPr>
          <w:p w14:paraId="0C192A18">
            <w:pPr>
              <w:pStyle w:val="81"/>
              <w:rPr>
                <w:rFonts w:cs="Times New Roman"/>
                <w:kern w:val="0"/>
                <w:sz w:val="21"/>
                <w:szCs w:val="21"/>
              </w:rPr>
            </w:pPr>
            <w:r>
              <w:rPr>
                <w:rFonts w:cs="Times New Roman"/>
                <w:kern w:val="0"/>
                <w:sz w:val="21"/>
                <w:szCs w:val="21"/>
              </w:rPr>
              <w:t>GB 3838－2002《地表水环境质量标准》</w:t>
            </w:r>
          </w:p>
        </w:tc>
        <w:tc>
          <w:tcPr>
            <w:tcW w:w="1751" w:type="dxa"/>
            <w:vAlign w:val="center"/>
          </w:tcPr>
          <w:p w14:paraId="219ED4E2">
            <w:pPr>
              <w:pStyle w:val="81"/>
              <w:rPr>
                <w:rFonts w:cs="Times New Roman"/>
                <w:kern w:val="0"/>
                <w:sz w:val="21"/>
                <w:szCs w:val="21"/>
              </w:rPr>
            </w:pPr>
          </w:p>
        </w:tc>
        <w:tc>
          <w:tcPr>
            <w:tcW w:w="674" w:type="dxa"/>
            <w:vAlign w:val="center"/>
          </w:tcPr>
          <w:p w14:paraId="18441DA6">
            <w:pPr>
              <w:pStyle w:val="81"/>
              <w:rPr>
                <w:rFonts w:cs="Times New Roman"/>
                <w:kern w:val="0"/>
                <w:sz w:val="21"/>
                <w:szCs w:val="21"/>
              </w:rPr>
            </w:pPr>
          </w:p>
        </w:tc>
      </w:tr>
      <w:tr w14:paraId="3F673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continue"/>
            <w:vAlign w:val="center"/>
          </w:tcPr>
          <w:p w14:paraId="5174F686">
            <w:pPr>
              <w:pStyle w:val="81"/>
              <w:rPr>
                <w:rFonts w:cs="Times New Roman"/>
                <w:kern w:val="0"/>
                <w:sz w:val="21"/>
                <w:szCs w:val="21"/>
              </w:rPr>
            </w:pPr>
          </w:p>
        </w:tc>
        <w:tc>
          <w:tcPr>
            <w:tcW w:w="5582" w:type="dxa"/>
            <w:vAlign w:val="center"/>
          </w:tcPr>
          <w:p w14:paraId="146D5959">
            <w:pPr>
              <w:pStyle w:val="81"/>
              <w:rPr>
                <w:rFonts w:cs="Times New Roman"/>
                <w:kern w:val="0"/>
                <w:sz w:val="21"/>
                <w:szCs w:val="21"/>
              </w:rPr>
            </w:pPr>
            <w:r>
              <w:rPr>
                <w:rFonts w:cs="Times New Roman"/>
                <w:kern w:val="0"/>
                <w:sz w:val="21"/>
                <w:szCs w:val="21"/>
              </w:rPr>
              <w:t>DB21 1627-2008《辽宁省污水综合排放标准》</w:t>
            </w:r>
          </w:p>
        </w:tc>
        <w:tc>
          <w:tcPr>
            <w:tcW w:w="1751" w:type="dxa"/>
            <w:vAlign w:val="center"/>
          </w:tcPr>
          <w:p w14:paraId="6736F5D3">
            <w:pPr>
              <w:pStyle w:val="81"/>
              <w:rPr>
                <w:rFonts w:cs="Times New Roman"/>
                <w:kern w:val="0"/>
                <w:sz w:val="21"/>
                <w:szCs w:val="21"/>
              </w:rPr>
            </w:pPr>
          </w:p>
        </w:tc>
        <w:tc>
          <w:tcPr>
            <w:tcW w:w="674" w:type="dxa"/>
            <w:vAlign w:val="center"/>
          </w:tcPr>
          <w:p w14:paraId="710EE827">
            <w:pPr>
              <w:pStyle w:val="81"/>
              <w:rPr>
                <w:rFonts w:cs="Times New Roman"/>
                <w:kern w:val="0"/>
                <w:sz w:val="21"/>
                <w:szCs w:val="21"/>
              </w:rPr>
            </w:pPr>
          </w:p>
        </w:tc>
      </w:tr>
      <w:tr w14:paraId="26C1F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continue"/>
            <w:vAlign w:val="center"/>
          </w:tcPr>
          <w:p w14:paraId="7CB045F2">
            <w:pPr>
              <w:pStyle w:val="81"/>
              <w:rPr>
                <w:rFonts w:cs="Times New Roman"/>
                <w:kern w:val="0"/>
                <w:sz w:val="21"/>
                <w:szCs w:val="21"/>
              </w:rPr>
            </w:pPr>
          </w:p>
        </w:tc>
        <w:tc>
          <w:tcPr>
            <w:tcW w:w="5582" w:type="dxa"/>
            <w:vAlign w:val="center"/>
          </w:tcPr>
          <w:p w14:paraId="7A2E536A">
            <w:pPr>
              <w:pStyle w:val="81"/>
              <w:rPr>
                <w:rFonts w:cs="Times New Roman"/>
                <w:kern w:val="0"/>
                <w:sz w:val="21"/>
                <w:szCs w:val="21"/>
              </w:rPr>
            </w:pPr>
            <w:r>
              <w:rPr>
                <w:rFonts w:cs="Times New Roman"/>
                <w:kern w:val="0"/>
                <w:sz w:val="21"/>
                <w:szCs w:val="21"/>
              </w:rPr>
              <w:t>GB 3097－1997《海水水质标准》</w:t>
            </w:r>
          </w:p>
        </w:tc>
        <w:tc>
          <w:tcPr>
            <w:tcW w:w="1751" w:type="dxa"/>
            <w:vAlign w:val="center"/>
          </w:tcPr>
          <w:p w14:paraId="35559EDB">
            <w:pPr>
              <w:pStyle w:val="81"/>
              <w:rPr>
                <w:rFonts w:cs="Times New Roman"/>
                <w:kern w:val="0"/>
                <w:sz w:val="21"/>
                <w:szCs w:val="21"/>
              </w:rPr>
            </w:pPr>
          </w:p>
        </w:tc>
        <w:tc>
          <w:tcPr>
            <w:tcW w:w="674" w:type="dxa"/>
            <w:vAlign w:val="center"/>
          </w:tcPr>
          <w:p w14:paraId="0424DB32">
            <w:pPr>
              <w:pStyle w:val="81"/>
              <w:rPr>
                <w:rFonts w:cs="Times New Roman"/>
                <w:kern w:val="0"/>
                <w:sz w:val="21"/>
                <w:szCs w:val="21"/>
              </w:rPr>
            </w:pPr>
          </w:p>
        </w:tc>
      </w:tr>
      <w:tr w14:paraId="23EB6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continue"/>
            <w:vAlign w:val="center"/>
          </w:tcPr>
          <w:p w14:paraId="202792F7">
            <w:pPr>
              <w:pStyle w:val="81"/>
              <w:rPr>
                <w:rFonts w:cs="Times New Roman"/>
                <w:kern w:val="0"/>
                <w:sz w:val="21"/>
                <w:szCs w:val="21"/>
              </w:rPr>
            </w:pPr>
          </w:p>
        </w:tc>
        <w:tc>
          <w:tcPr>
            <w:tcW w:w="5582" w:type="dxa"/>
            <w:vAlign w:val="center"/>
          </w:tcPr>
          <w:p w14:paraId="6BCFC0CC">
            <w:pPr>
              <w:pStyle w:val="81"/>
              <w:rPr>
                <w:rFonts w:cs="Times New Roman"/>
                <w:kern w:val="0"/>
                <w:sz w:val="21"/>
                <w:szCs w:val="21"/>
              </w:rPr>
            </w:pPr>
            <w:r>
              <w:rPr>
                <w:rFonts w:cs="Times New Roman"/>
                <w:kern w:val="0"/>
                <w:sz w:val="21"/>
                <w:szCs w:val="21"/>
              </w:rPr>
              <w:t>GB 8978-1996《污水综合排放标准》</w:t>
            </w:r>
          </w:p>
        </w:tc>
        <w:tc>
          <w:tcPr>
            <w:tcW w:w="1751" w:type="dxa"/>
            <w:vAlign w:val="center"/>
          </w:tcPr>
          <w:p w14:paraId="665CEA3F">
            <w:pPr>
              <w:pStyle w:val="81"/>
              <w:rPr>
                <w:rFonts w:cs="Times New Roman"/>
                <w:kern w:val="0"/>
                <w:sz w:val="21"/>
                <w:szCs w:val="21"/>
              </w:rPr>
            </w:pPr>
          </w:p>
        </w:tc>
        <w:tc>
          <w:tcPr>
            <w:tcW w:w="674" w:type="dxa"/>
            <w:vAlign w:val="center"/>
          </w:tcPr>
          <w:p w14:paraId="54E2C33F">
            <w:pPr>
              <w:pStyle w:val="81"/>
              <w:rPr>
                <w:rFonts w:cs="Times New Roman"/>
                <w:kern w:val="0"/>
                <w:sz w:val="21"/>
                <w:szCs w:val="21"/>
              </w:rPr>
            </w:pPr>
          </w:p>
        </w:tc>
      </w:tr>
      <w:tr w14:paraId="7619C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continue"/>
            <w:vAlign w:val="center"/>
          </w:tcPr>
          <w:p w14:paraId="6DD729BC">
            <w:pPr>
              <w:pStyle w:val="81"/>
              <w:rPr>
                <w:rFonts w:cs="Times New Roman"/>
                <w:kern w:val="0"/>
                <w:sz w:val="21"/>
                <w:szCs w:val="21"/>
              </w:rPr>
            </w:pPr>
          </w:p>
        </w:tc>
        <w:tc>
          <w:tcPr>
            <w:tcW w:w="5582" w:type="dxa"/>
            <w:vAlign w:val="center"/>
          </w:tcPr>
          <w:p w14:paraId="36B77B0B">
            <w:pPr>
              <w:pStyle w:val="81"/>
              <w:rPr>
                <w:rFonts w:cs="Times New Roman"/>
                <w:kern w:val="0"/>
                <w:sz w:val="21"/>
                <w:szCs w:val="21"/>
              </w:rPr>
            </w:pPr>
            <w:r>
              <w:rPr>
                <w:rFonts w:cs="Times New Roman"/>
                <w:kern w:val="0"/>
                <w:sz w:val="21"/>
                <w:szCs w:val="21"/>
              </w:rPr>
              <w:t>《关于促进食品工业健康发展的指导意见》</w:t>
            </w:r>
          </w:p>
          <w:p w14:paraId="1A462F17">
            <w:pPr>
              <w:pStyle w:val="81"/>
              <w:rPr>
                <w:rFonts w:cs="Times New Roman"/>
                <w:kern w:val="0"/>
                <w:sz w:val="21"/>
                <w:szCs w:val="21"/>
              </w:rPr>
            </w:pPr>
            <w:r>
              <w:rPr>
                <w:rFonts w:cs="Times New Roman"/>
                <w:kern w:val="0"/>
                <w:sz w:val="21"/>
                <w:szCs w:val="21"/>
              </w:rPr>
              <w:t>（发改产业〔2017〕19号）</w:t>
            </w:r>
          </w:p>
        </w:tc>
        <w:tc>
          <w:tcPr>
            <w:tcW w:w="1751" w:type="dxa"/>
            <w:vAlign w:val="center"/>
          </w:tcPr>
          <w:p w14:paraId="7DF96EBE">
            <w:pPr>
              <w:pStyle w:val="81"/>
              <w:rPr>
                <w:rFonts w:cs="Times New Roman"/>
                <w:kern w:val="0"/>
                <w:sz w:val="21"/>
                <w:szCs w:val="21"/>
              </w:rPr>
            </w:pPr>
          </w:p>
        </w:tc>
        <w:tc>
          <w:tcPr>
            <w:tcW w:w="674" w:type="dxa"/>
            <w:vAlign w:val="center"/>
          </w:tcPr>
          <w:p w14:paraId="2C0DAC3E">
            <w:pPr>
              <w:pStyle w:val="81"/>
              <w:rPr>
                <w:rFonts w:cs="Times New Roman"/>
                <w:kern w:val="0"/>
                <w:sz w:val="21"/>
                <w:szCs w:val="21"/>
              </w:rPr>
            </w:pPr>
          </w:p>
        </w:tc>
      </w:tr>
      <w:tr w14:paraId="79656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continue"/>
            <w:vAlign w:val="center"/>
          </w:tcPr>
          <w:p w14:paraId="5DD464C1">
            <w:pPr>
              <w:pStyle w:val="81"/>
              <w:rPr>
                <w:rFonts w:cs="Times New Roman"/>
                <w:kern w:val="0"/>
                <w:sz w:val="21"/>
                <w:szCs w:val="21"/>
              </w:rPr>
            </w:pPr>
          </w:p>
        </w:tc>
        <w:tc>
          <w:tcPr>
            <w:tcW w:w="5582" w:type="dxa"/>
            <w:vAlign w:val="center"/>
          </w:tcPr>
          <w:p w14:paraId="54DC505D">
            <w:pPr>
              <w:pStyle w:val="81"/>
              <w:rPr>
                <w:rFonts w:cs="Times New Roman"/>
                <w:kern w:val="0"/>
                <w:sz w:val="21"/>
                <w:szCs w:val="21"/>
              </w:rPr>
            </w:pPr>
            <w:r>
              <w:rPr>
                <w:rFonts w:cs="Times New Roman"/>
                <w:kern w:val="0"/>
                <w:sz w:val="21"/>
                <w:szCs w:val="21"/>
              </w:rPr>
              <w:t>《深化渤海（辽宁段）综合治理攻坚战实施方案》</w:t>
            </w:r>
          </w:p>
          <w:p w14:paraId="6B6F7F37">
            <w:pPr>
              <w:pStyle w:val="81"/>
              <w:rPr>
                <w:rFonts w:cs="Times New Roman"/>
                <w:kern w:val="0"/>
                <w:sz w:val="21"/>
                <w:szCs w:val="21"/>
              </w:rPr>
            </w:pPr>
            <w:r>
              <w:rPr>
                <w:rFonts w:cs="Times New Roman"/>
                <w:kern w:val="0"/>
                <w:sz w:val="21"/>
                <w:szCs w:val="21"/>
              </w:rPr>
              <w:t>（辽环发〔2022〕13 号）</w:t>
            </w:r>
          </w:p>
        </w:tc>
        <w:tc>
          <w:tcPr>
            <w:tcW w:w="1751" w:type="dxa"/>
            <w:vAlign w:val="center"/>
          </w:tcPr>
          <w:p w14:paraId="562B7831">
            <w:pPr>
              <w:pStyle w:val="81"/>
              <w:rPr>
                <w:rFonts w:cs="Times New Roman"/>
                <w:kern w:val="0"/>
                <w:sz w:val="21"/>
                <w:szCs w:val="21"/>
              </w:rPr>
            </w:pPr>
          </w:p>
        </w:tc>
        <w:tc>
          <w:tcPr>
            <w:tcW w:w="674" w:type="dxa"/>
            <w:vAlign w:val="center"/>
          </w:tcPr>
          <w:p w14:paraId="76BE9B76">
            <w:pPr>
              <w:pStyle w:val="81"/>
              <w:rPr>
                <w:rFonts w:cs="Times New Roman"/>
                <w:kern w:val="0"/>
                <w:sz w:val="21"/>
                <w:szCs w:val="21"/>
              </w:rPr>
            </w:pPr>
          </w:p>
        </w:tc>
      </w:tr>
      <w:tr w14:paraId="0A464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 w:type="dxa"/>
            <w:vMerge w:val="continue"/>
            <w:vAlign w:val="center"/>
          </w:tcPr>
          <w:p w14:paraId="1399389F">
            <w:pPr>
              <w:pStyle w:val="81"/>
              <w:rPr>
                <w:rFonts w:cs="Times New Roman"/>
                <w:kern w:val="0"/>
                <w:sz w:val="21"/>
                <w:szCs w:val="21"/>
              </w:rPr>
            </w:pPr>
          </w:p>
        </w:tc>
        <w:tc>
          <w:tcPr>
            <w:tcW w:w="5582" w:type="dxa"/>
            <w:vAlign w:val="center"/>
          </w:tcPr>
          <w:p w14:paraId="004BC855">
            <w:pPr>
              <w:pStyle w:val="81"/>
              <w:rPr>
                <w:rFonts w:cs="Times New Roman"/>
                <w:kern w:val="0"/>
                <w:sz w:val="21"/>
                <w:szCs w:val="21"/>
              </w:rPr>
            </w:pPr>
            <w:r>
              <w:rPr>
                <w:rFonts w:cs="Times New Roman"/>
                <w:kern w:val="0"/>
                <w:sz w:val="21"/>
                <w:szCs w:val="21"/>
              </w:rPr>
              <w:t>《辽宁省“十四五”海洋生态环境保护规划》</w:t>
            </w:r>
          </w:p>
          <w:p w14:paraId="7405D8AA">
            <w:pPr>
              <w:pStyle w:val="81"/>
              <w:rPr>
                <w:rFonts w:cs="Times New Roman"/>
                <w:kern w:val="0"/>
                <w:sz w:val="21"/>
                <w:szCs w:val="21"/>
              </w:rPr>
            </w:pPr>
            <w:r>
              <w:rPr>
                <w:rFonts w:cs="Times New Roman"/>
                <w:kern w:val="0"/>
                <w:sz w:val="21"/>
                <w:szCs w:val="21"/>
              </w:rPr>
              <w:t>（辽环发〔2022〕8 号）</w:t>
            </w:r>
          </w:p>
        </w:tc>
        <w:tc>
          <w:tcPr>
            <w:tcW w:w="1751" w:type="dxa"/>
            <w:vAlign w:val="center"/>
          </w:tcPr>
          <w:p w14:paraId="4FFC569A">
            <w:pPr>
              <w:pStyle w:val="81"/>
              <w:rPr>
                <w:rFonts w:cs="Times New Roman"/>
                <w:kern w:val="0"/>
                <w:sz w:val="21"/>
                <w:szCs w:val="21"/>
              </w:rPr>
            </w:pPr>
          </w:p>
        </w:tc>
        <w:tc>
          <w:tcPr>
            <w:tcW w:w="674" w:type="dxa"/>
            <w:vAlign w:val="center"/>
          </w:tcPr>
          <w:p w14:paraId="70C2BF48">
            <w:pPr>
              <w:pStyle w:val="81"/>
              <w:rPr>
                <w:rFonts w:cs="Times New Roman"/>
                <w:kern w:val="0"/>
                <w:sz w:val="21"/>
                <w:szCs w:val="21"/>
              </w:rPr>
            </w:pPr>
          </w:p>
        </w:tc>
      </w:tr>
    </w:tbl>
    <w:p w14:paraId="1EBEB502">
      <w:pPr>
        <w:pStyle w:val="79"/>
        <w:ind w:firstLine="420"/>
        <w:rPr>
          <w:rFonts w:cs="Times New Roman"/>
        </w:rPr>
      </w:pPr>
    </w:p>
    <w:p w14:paraId="1831272A">
      <w:pPr>
        <w:pStyle w:val="80"/>
        <w:ind w:firstLine="480"/>
      </w:pPr>
      <w:r>
        <w:t>本标准属于地方行业型生态环境标准。地方污染物排放标准是地方为进一步改善生态环境质量和优化经济社会发展，对本行政区域提出的国家污染物排放标准补充规定或者更加严格的规定。</w:t>
      </w:r>
    </w:p>
    <w:p w14:paraId="7233412A">
      <w:pPr>
        <w:pStyle w:val="80"/>
        <w:ind w:firstLine="480"/>
      </w:pPr>
      <w:r>
        <w:t>本标准是地方环境政策在技术方面的具体体现，是行使环境监督管理的主要技术依据。</w:t>
      </w:r>
    </w:p>
    <w:sectPr>
      <w:pgSz w:w="11906" w:h="16838"/>
      <w:pgMar w:top="1440" w:right="1797" w:bottom="1440" w:left="1797" w:header="851" w:footer="992" w:gutter="0"/>
      <w:cols w:space="425" w:num="1"/>
      <w:titlePg/>
      <w:docGrid w:linePitch="38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2EBB176-1827-4147-8359-93F1066B561A}"/>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2" w:fontKey="{347974B6-74C4-4CCF-9745-F267BA9952F6}"/>
  </w:font>
  <w:font w:name="Cambria">
    <w:panose1 w:val="02040503050406030204"/>
    <w:charset w:val="00"/>
    <w:family w:val="roman"/>
    <w:pitch w:val="default"/>
    <w:sig w:usb0="E00002FF" w:usb1="400004FF" w:usb2="00000000" w:usb3="00000000" w:csb0="2000019F" w:csb1="00000000"/>
  </w:font>
  <w:font w:name="仿宋_GB2312">
    <w:panose1 w:val="02010609030101010101"/>
    <w:charset w:val="86"/>
    <w:family w:val="modern"/>
    <w:pitch w:val="default"/>
    <w:sig w:usb0="00000001" w:usb1="080E0000" w:usb2="00000000" w:usb3="00000000" w:csb0="00040000" w:csb1="00000000"/>
    <w:embedRegular r:id="rId3" w:fontKey="{83982986-2002-494B-8F81-D30A7179021F}"/>
  </w:font>
  <w:font w:name="仿宋">
    <w:panose1 w:val="02010609060101010101"/>
    <w:charset w:val="86"/>
    <w:family w:val="modern"/>
    <w:pitch w:val="default"/>
    <w:sig w:usb0="800002BF" w:usb1="38CF7CFA" w:usb2="00000016" w:usb3="00000000" w:csb0="00040001" w:csb1="00000000"/>
  </w:font>
  <w:font w:name="方正小标宋简体">
    <w:panose1 w:val="02000000000000000000"/>
    <w:charset w:val="86"/>
    <w:family w:val="script"/>
    <w:pitch w:val="default"/>
    <w:sig w:usb0="00000001" w:usb1="080E0000" w:usb2="00000000" w:usb3="00000000" w:csb0="00040000" w:csb1="00000000"/>
    <w:embedRegular r:id="rId4" w:fontKey="{A89675C6-928F-4BDF-BA93-BA8548436849}"/>
  </w:font>
  <w:font w:name="等线">
    <w:altName w:val="Arial Unicode MS"/>
    <w:panose1 w:val="02010600030101010101"/>
    <w:charset w:val="86"/>
    <w:family w:val="auto"/>
    <w:pitch w:val="default"/>
    <w:sig w:usb0="00000000" w:usb1="00000000" w:usb2="00000016" w:usb3="00000000" w:csb0="0004000F" w:csb1="00000000"/>
    <w:embedRegular r:id="rId5" w:fontKey="{4CF67AD2-E54B-41C8-B01C-89118F7321A2}"/>
  </w:font>
  <w:font w:name="楷体">
    <w:panose1 w:val="02010609060101010101"/>
    <w:charset w:val="86"/>
    <w:family w:val="modern"/>
    <w:pitch w:val="default"/>
    <w:sig w:usb0="800002BF" w:usb1="38CF7CFA" w:usb2="00000016" w:usb3="00000000" w:csb0="00040001" w:csb1="00000000"/>
    <w:embedRegular r:id="rId6" w:fontKey="{DF6F7AA1-1DB5-46E6-8CF5-3AA74C2554A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3249689"/>
    </w:sdtPr>
    <w:sdtContent>
      <w:p w14:paraId="7473F6B2">
        <w:pPr>
          <w:pStyle w:val="22"/>
          <w:ind w:firstLine="360"/>
          <w:jc w:val="center"/>
        </w:pPr>
        <w:r>
          <w:fldChar w:fldCharType="begin"/>
        </w:r>
        <w:r>
          <w:instrText xml:space="preserve">PAGE   \* MERGEFORMAT</w:instrText>
        </w:r>
        <w:r>
          <w:fldChar w:fldCharType="separate"/>
        </w:r>
        <w:r>
          <w:rPr>
            <w:lang w:val="zh-CN"/>
          </w:rPr>
          <w:t>2</w:t>
        </w:r>
        <w:r>
          <w:fldChar w:fldCharType="end"/>
        </w:r>
      </w:p>
    </w:sdtContent>
  </w:sdt>
  <w:p w14:paraId="65E050EC">
    <w:pPr>
      <w:pStyle w:val="22"/>
      <w:ind w:firstLine="0" w:firstLineChars="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D1C60F">
    <w:pPr>
      <w:pStyle w:val="2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34988845"/>
    </w:sdtPr>
    <w:sdtContent>
      <w:p w14:paraId="52023102">
        <w:pPr>
          <w:pStyle w:val="22"/>
          <w:ind w:firstLine="360"/>
          <w:jc w:val="center"/>
        </w:pPr>
        <w:r>
          <w:fldChar w:fldCharType="begin"/>
        </w:r>
        <w:r>
          <w:instrText xml:space="preserve">PAGE   \* MERGEFORMAT</w:instrText>
        </w:r>
        <w:r>
          <w:fldChar w:fldCharType="separate"/>
        </w:r>
        <w:r>
          <w:rPr>
            <w:lang w:val="zh-CN"/>
          </w:rPr>
          <w:t>2</w:t>
        </w:r>
        <w:r>
          <w:fldChar w:fldCharType="end"/>
        </w:r>
      </w:p>
    </w:sdtContent>
  </w:sdt>
  <w:p w14:paraId="248DC175">
    <w:pPr>
      <w:pStyle w:val="22"/>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ind w:firstLine="480"/>
      </w:pPr>
      <w:r>
        <w:separator/>
      </w:r>
    </w:p>
  </w:footnote>
  <w:footnote w:type="continuationSeparator" w:id="1">
    <w:p>
      <w:pPr>
        <w:spacing w:before="0" w:after="0"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E75BC0">
    <w:pPr>
      <w:pStyle w:val="23"/>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18955">
    <w:pPr>
      <w:pStyle w:val="2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9170FF">
    <w:pPr>
      <w:ind w:firstLine="48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DD4CFBF"/>
    <w:multiLevelType w:val="singleLevel"/>
    <w:tmpl w:val="DDD4CFBF"/>
    <w:lvl w:ilvl="0" w:tentative="0">
      <w:start w:val="1"/>
      <w:numFmt w:val="decimalEnclosedCircleChinese"/>
      <w:suff w:val="nothing"/>
      <w:lvlText w:val="%1　"/>
      <w:lvlJc w:val="left"/>
      <w:pPr>
        <w:ind w:left="0" w:firstLine="400"/>
      </w:pPr>
      <w:rPr>
        <w:rFonts w:hint="eastAsia"/>
      </w:rPr>
    </w:lvl>
  </w:abstractNum>
  <w:abstractNum w:abstractNumId="1">
    <w:nsid w:val="5EF51A55"/>
    <w:multiLevelType w:val="multilevel"/>
    <w:tmpl w:val="5EF51A55"/>
    <w:lvl w:ilvl="0" w:tentative="0">
      <w:start w:val="1"/>
      <w:numFmt w:val="decimal"/>
      <w:pStyle w:val="2"/>
      <w:lvlText w:val="%1"/>
      <w:lvlJc w:val="left"/>
      <w:pPr>
        <w:tabs>
          <w:tab w:val="left" w:pos="425"/>
        </w:tabs>
        <w:ind w:left="425" w:hanging="425"/>
      </w:pPr>
      <w:rPr>
        <w:rFonts w:ascii="Times New Roman" w:hAnsi="Times New Roman" w:eastAsia="黑体" w:cstheme="minorBidi"/>
      </w:rPr>
    </w:lvl>
    <w:lvl w:ilvl="1" w:tentative="0">
      <w:start w:val="1"/>
      <w:numFmt w:val="decimal"/>
      <w:pStyle w:val="3"/>
      <w:lvlText w:val="%1.%2."/>
      <w:lvlJc w:val="left"/>
      <w:pPr>
        <w:tabs>
          <w:tab w:val="left" w:pos="567"/>
        </w:tabs>
        <w:ind w:left="567" w:hanging="567"/>
      </w:pPr>
      <w:rPr>
        <w:rFonts w:hint="eastAsia"/>
      </w:rPr>
    </w:lvl>
    <w:lvl w:ilvl="2" w:tentative="0">
      <w:start w:val="1"/>
      <w:numFmt w:val="decimal"/>
      <w:pStyle w:val="4"/>
      <w:lvlText w:val="%1.%2.%3."/>
      <w:lvlJc w:val="left"/>
      <w:pPr>
        <w:tabs>
          <w:tab w:val="left" w:pos="709"/>
        </w:tabs>
        <w:ind w:left="709" w:hanging="709"/>
      </w:pPr>
      <w:rPr>
        <w:rFonts w:hint="eastAsia"/>
        <w:color w:val="000000"/>
      </w:rPr>
    </w:lvl>
    <w:lvl w:ilvl="3" w:tentative="0">
      <w:start w:val="1"/>
      <w:numFmt w:val="decimal"/>
      <w:pStyle w:val="5"/>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2">
    <w:nsid w:val="736B150C"/>
    <w:multiLevelType w:val="multilevel"/>
    <w:tmpl w:val="736B150C"/>
    <w:lvl w:ilvl="0" w:tentative="0">
      <w:start w:val="1"/>
      <w:numFmt w:val="decimal"/>
      <w:lvlText w:val="%1"/>
      <w:lvlJc w:val="left"/>
      <w:pPr>
        <w:ind w:left="468" w:hanging="468"/>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1080" w:hanging="108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800" w:hanging="1800"/>
      </w:pPr>
      <w:rPr>
        <w:rFonts w:hint="default"/>
      </w:rPr>
    </w:lvl>
    <w:lvl w:ilvl="6" w:tentative="0">
      <w:start w:val="1"/>
      <w:numFmt w:val="decimal"/>
      <w:lvlText w:val="%1.%2.%3.%4.%5.%6.%7"/>
      <w:lvlJc w:val="left"/>
      <w:pPr>
        <w:ind w:left="2160" w:hanging="2160"/>
      </w:pPr>
      <w:rPr>
        <w:rFonts w:hint="default"/>
      </w:rPr>
    </w:lvl>
    <w:lvl w:ilvl="7" w:tentative="0">
      <w:start w:val="1"/>
      <w:numFmt w:val="decimal"/>
      <w:lvlText w:val="%1.%2.%3.%4.%5.%6.%7.%8"/>
      <w:lvlJc w:val="left"/>
      <w:pPr>
        <w:ind w:left="2520" w:hanging="2520"/>
      </w:pPr>
      <w:rPr>
        <w:rFonts w:hint="default"/>
      </w:rPr>
    </w:lvl>
    <w:lvl w:ilvl="8" w:tentative="0">
      <w:start w:val="1"/>
      <w:numFmt w:val="decimal"/>
      <w:lvlText w:val="%1.%2.%3.%4.%5.%6.%7.%8.%9"/>
      <w:lvlJc w:val="left"/>
      <w:pPr>
        <w:ind w:left="2880" w:hanging="2880"/>
      </w:pPr>
      <w:rPr>
        <w:rFont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00B2"/>
    <w:rsid w:val="0000751B"/>
    <w:rsid w:val="0008763F"/>
    <w:rsid w:val="000B39DF"/>
    <w:rsid w:val="000C68B8"/>
    <w:rsid w:val="000F3302"/>
    <w:rsid w:val="0010189C"/>
    <w:rsid w:val="0011371A"/>
    <w:rsid w:val="0014559A"/>
    <w:rsid w:val="00166256"/>
    <w:rsid w:val="001851E3"/>
    <w:rsid w:val="00197AB7"/>
    <w:rsid w:val="001C29E7"/>
    <w:rsid w:val="00205DA7"/>
    <w:rsid w:val="002200AF"/>
    <w:rsid w:val="0025456C"/>
    <w:rsid w:val="00256747"/>
    <w:rsid w:val="002F7938"/>
    <w:rsid w:val="003315FA"/>
    <w:rsid w:val="0033725A"/>
    <w:rsid w:val="00344788"/>
    <w:rsid w:val="00346FE1"/>
    <w:rsid w:val="003D0C8B"/>
    <w:rsid w:val="003E3E06"/>
    <w:rsid w:val="003F1BEF"/>
    <w:rsid w:val="004346D2"/>
    <w:rsid w:val="00480DB6"/>
    <w:rsid w:val="0048571B"/>
    <w:rsid w:val="00485D2A"/>
    <w:rsid w:val="004B0607"/>
    <w:rsid w:val="004C1E15"/>
    <w:rsid w:val="004E522E"/>
    <w:rsid w:val="004F2AEE"/>
    <w:rsid w:val="00532F62"/>
    <w:rsid w:val="005A1CB3"/>
    <w:rsid w:val="005A5A5A"/>
    <w:rsid w:val="005A6881"/>
    <w:rsid w:val="005B4AE0"/>
    <w:rsid w:val="005E27A7"/>
    <w:rsid w:val="005F6C1B"/>
    <w:rsid w:val="00625E36"/>
    <w:rsid w:val="00642225"/>
    <w:rsid w:val="00642FE9"/>
    <w:rsid w:val="0067338B"/>
    <w:rsid w:val="00677169"/>
    <w:rsid w:val="006842C5"/>
    <w:rsid w:val="00692F7C"/>
    <w:rsid w:val="006A45C7"/>
    <w:rsid w:val="006C331C"/>
    <w:rsid w:val="006F628D"/>
    <w:rsid w:val="00711D55"/>
    <w:rsid w:val="0072678D"/>
    <w:rsid w:val="00757971"/>
    <w:rsid w:val="00761798"/>
    <w:rsid w:val="00766927"/>
    <w:rsid w:val="00786928"/>
    <w:rsid w:val="007B765E"/>
    <w:rsid w:val="007D2413"/>
    <w:rsid w:val="008148FF"/>
    <w:rsid w:val="00835994"/>
    <w:rsid w:val="008533C1"/>
    <w:rsid w:val="008767DB"/>
    <w:rsid w:val="00894FD4"/>
    <w:rsid w:val="00895DD1"/>
    <w:rsid w:val="009065A6"/>
    <w:rsid w:val="00923051"/>
    <w:rsid w:val="009C5AE5"/>
    <w:rsid w:val="009D6D27"/>
    <w:rsid w:val="009F4DE4"/>
    <w:rsid w:val="00A27FD1"/>
    <w:rsid w:val="00A311D4"/>
    <w:rsid w:val="00A31B54"/>
    <w:rsid w:val="00A368EA"/>
    <w:rsid w:val="00A750E7"/>
    <w:rsid w:val="00A91205"/>
    <w:rsid w:val="00A9711D"/>
    <w:rsid w:val="00A97A7B"/>
    <w:rsid w:val="00B42BCF"/>
    <w:rsid w:val="00B629B2"/>
    <w:rsid w:val="00B86FF2"/>
    <w:rsid w:val="00C02FCD"/>
    <w:rsid w:val="00CC5170"/>
    <w:rsid w:val="00D035D6"/>
    <w:rsid w:val="00D300DE"/>
    <w:rsid w:val="00D51E56"/>
    <w:rsid w:val="00D900B2"/>
    <w:rsid w:val="00DC10B2"/>
    <w:rsid w:val="00DD1ACB"/>
    <w:rsid w:val="00DD307E"/>
    <w:rsid w:val="00DE72A4"/>
    <w:rsid w:val="00E61A25"/>
    <w:rsid w:val="00E93E88"/>
    <w:rsid w:val="00ED3D3A"/>
    <w:rsid w:val="00EF46E3"/>
    <w:rsid w:val="00F276FF"/>
    <w:rsid w:val="00F41A11"/>
    <w:rsid w:val="00F6253C"/>
    <w:rsid w:val="00F931F2"/>
    <w:rsid w:val="00FA2A83"/>
    <w:rsid w:val="00FA786F"/>
    <w:rsid w:val="00FC1EE9"/>
    <w:rsid w:val="00FC511E"/>
    <w:rsid w:val="00FC58B3"/>
    <w:rsid w:val="0E513048"/>
    <w:rsid w:val="5CC06574"/>
    <w:rsid w:val="6E603C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qFormat="1" w:uiPriority="99" w:semiHidden="0" w:name="endnote reference"/>
    <w:lsdException w:qFormat="1" w:uiPriority="99" w:semiHidden="0" w:name="endnote text"/>
    <w:lsdException w:qFormat="1" w:unhideWhenUsed="0" w:uiPriority="99" w:semiHidden="0"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99" w:semiHidden="0" w:name="Body Text"/>
    <w:lsdException w:qFormat="1" w:unhideWhenUsed="0"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name="Body Text Indent 2"/>
    <w:lsdException w:qFormat="1" w:unhideWhenUsed="0" w:uiPriority="0"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qFormat="1" w:unhideWhenUsed="0" w:uiPriority="0"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before="120" w:after="120" w:line="360" w:lineRule="auto"/>
      <w:ind w:firstLine="200" w:firstLineChars="200"/>
      <w:jc w:val="both"/>
    </w:pPr>
    <w:rPr>
      <w:rFonts w:ascii="Times New Roman" w:hAnsi="Times New Roman" w:eastAsia="宋体" w:cstheme="minorBidi"/>
      <w:kern w:val="2"/>
      <w:sz w:val="24"/>
      <w:szCs w:val="22"/>
      <w:lang w:val="en-US" w:eastAsia="zh-CN" w:bidi="ar-SA"/>
    </w:rPr>
  </w:style>
  <w:style w:type="paragraph" w:styleId="2">
    <w:name w:val="heading 1"/>
    <w:basedOn w:val="1"/>
    <w:next w:val="1"/>
    <w:link w:val="41"/>
    <w:qFormat/>
    <w:uiPriority w:val="0"/>
    <w:pPr>
      <w:pageBreakBefore/>
      <w:numPr>
        <w:ilvl w:val="0"/>
        <w:numId w:val="1"/>
      </w:numPr>
      <w:ind w:left="0" w:firstLine="0" w:firstLineChars="0"/>
      <w:jc w:val="left"/>
      <w:outlineLvl w:val="0"/>
    </w:pPr>
    <w:rPr>
      <w:rFonts w:eastAsia="黑体"/>
      <w:b/>
      <w:bCs/>
      <w:kern w:val="44"/>
      <w:sz w:val="36"/>
      <w:szCs w:val="44"/>
    </w:rPr>
  </w:style>
  <w:style w:type="paragraph" w:styleId="3">
    <w:name w:val="heading 2"/>
    <w:basedOn w:val="1"/>
    <w:next w:val="1"/>
    <w:link w:val="42"/>
    <w:unhideWhenUsed/>
    <w:qFormat/>
    <w:uiPriority w:val="0"/>
    <w:pPr>
      <w:keepNext/>
      <w:keepLines/>
      <w:numPr>
        <w:ilvl w:val="1"/>
        <w:numId w:val="1"/>
      </w:numPr>
      <w:tabs>
        <w:tab w:val="left" w:pos="425"/>
      </w:tabs>
      <w:spacing w:before="260" w:after="260"/>
      <w:ind w:firstLineChars="0"/>
      <w:outlineLvl w:val="1"/>
    </w:pPr>
    <w:rPr>
      <w:rFonts w:ascii="黑体" w:eastAsia="黑体" w:hAnsiTheme="majorHAnsi" w:cstheme="majorBidi"/>
      <w:bCs/>
      <w:sz w:val="30"/>
      <w:szCs w:val="32"/>
    </w:rPr>
  </w:style>
  <w:style w:type="paragraph" w:styleId="4">
    <w:name w:val="heading 3"/>
    <w:basedOn w:val="1"/>
    <w:next w:val="1"/>
    <w:link w:val="43"/>
    <w:unhideWhenUsed/>
    <w:qFormat/>
    <w:uiPriority w:val="9"/>
    <w:pPr>
      <w:keepNext/>
      <w:keepLines/>
      <w:numPr>
        <w:ilvl w:val="2"/>
        <w:numId w:val="1"/>
      </w:numPr>
      <w:tabs>
        <w:tab w:val="clear" w:pos="709"/>
      </w:tabs>
      <w:ind w:left="0" w:firstLine="0" w:firstLineChars="0"/>
      <w:jc w:val="left"/>
      <w:outlineLvl w:val="2"/>
    </w:pPr>
    <w:rPr>
      <w:rFonts w:ascii="黑体" w:eastAsia="黑体"/>
      <w:bCs/>
      <w:sz w:val="28"/>
      <w:szCs w:val="32"/>
    </w:rPr>
  </w:style>
  <w:style w:type="paragraph" w:styleId="5">
    <w:name w:val="heading 4"/>
    <w:basedOn w:val="1"/>
    <w:next w:val="1"/>
    <w:link w:val="44"/>
    <w:unhideWhenUsed/>
    <w:qFormat/>
    <w:uiPriority w:val="9"/>
    <w:pPr>
      <w:keepNext/>
      <w:keepLines/>
      <w:numPr>
        <w:ilvl w:val="3"/>
        <w:numId w:val="1"/>
      </w:numPr>
      <w:spacing w:before="280" w:after="290" w:line="376" w:lineRule="atLeast"/>
      <w:ind w:left="0" w:firstLine="0" w:firstLineChars="0"/>
      <w:outlineLvl w:val="3"/>
    </w:pPr>
    <w:rPr>
      <w:rFonts w:eastAsia="黑体" w:cstheme="majorBidi"/>
      <w:bCs/>
      <w:sz w:val="28"/>
      <w:szCs w:val="28"/>
    </w:rPr>
  </w:style>
  <w:style w:type="paragraph" w:styleId="6">
    <w:name w:val="heading 5"/>
    <w:basedOn w:val="1"/>
    <w:next w:val="1"/>
    <w:link w:val="45"/>
    <w:unhideWhenUsed/>
    <w:qFormat/>
    <w:uiPriority w:val="9"/>
    <w:pPr>
      <w:keepNext/>
      <w:keepLines/>
      <w:spacing w:before="280" w:after="290" w:line="376" w:lineRule="auto"/>
      <w:outlineLvl w:val="4"/>
    </w:pPr>
    <w:rPr>
      <w:bCs/>
      <w:szCs w:val="28"/>
    </w:rPr>
  </w:style>
  <w:style w:type="character" w:default="1" w:styleId="35">
    <w:name w:val="Default Paragraph Font"/>
    <w:unhideWhenUsed/>
    <w:qFormat/>
    <w:uiPriority w:val="1"/>
  </w:style>
  <w:style w:type="table" w:default="1" w:styleId="33">
    <w:name w:val="Normal Table"/>
    <w:unhideWhenUsed/>
    <w:qFormat/>
    <w:uiPriority w:val="99"/>
    <w:tblPr>
      <w:tblCellMar>
        <w:top w:w="0" w:type="dxa"/>
        <w:left w:w="108" w:type="dxa"/>
        <w:bottom w:w="0" w:type="dxa"/>
        <w:right w:w="108" w:type="dxa"/>
      </w:tblCellMar>
    </w:tblPr>
  </w:style>
  <w:style w:type="paragraph" w:styleId="7">
    <w:name w:val="toc 7"/>
    <w:basedOn w:val="1"/>
    <w:next w:val="1"/>
    <w:unhideWhenUsed/>
    <w:qFormat/>
    <w:uiPriority w:val="39"/>
    <w:pPr>
      <w:spacing w:before="0" w:after="0"/>
      <w:ind w:left="1440"/>
      <w:jc w:val="left"/>
    </w:pPr>
    <w:rPr>
      <w:rFonts w:asciiTheme="minorHAnsi" w:hAnsiTheme="minorHAnsi" w:cstheme="minorHAnsi"/>
      <w:sz w:val="20"/>
      <w:szCs w:val="20"/>
    </w:rPr>
  </w:style>
  <w:style w:type="paragraph" w:styleId="8">
    <w:name w:val="table of authorities"/>
    <w:basedOn w:val="1"/>
    <w:next w:val="1"/>
    <w:qFormat/>
    <w:uiPriority w:val="99"/>
    <w:pPr>
      <w:ind w:left="420" w:leftChars="200"/>
    </w:pPr>
  </w:style>
  <w:style w:type="paragraph" w:styleId="9">
    <w:name w:val="caption"/>
    <w:basedOn w:val="1"/>
    <w:next w:val="1"/>
    <w:qFormat/>
    <w:uiPriority w:val="35"/>
    <w:pPr>
      <w:spacing w:line="240" w:lineRule="auto"/>
      <w:ind w:firstLine="0" w:firstLineChars="0"/>
    </w:pPr>
    <w:rPr>
      <w:rFonts w:ascii="Cambria" w:hAnsi="Cambria" w:eastAsia="黑体" w:cs="Times New Roman"/>
      <w:sz w:val="20"/>
      <w:szCs w:val="20"/>
    </w:rPr>
  </w:style>
  <w:style w:type="paragraph" w:styleId="10">
    <w:name w:val="Document Map"/>
    <w:basedOn w:val="1"/>
    <w:link w:val="46"/>
    <w:unhideWhenUsed/>
    <w:qFormat/>
    <w:uiPriority w:val="99"/>
    <w:rPr>
      <w:rFonts w:ascii="宋体"/>
      <w:sz w:val="18"/>
      <w:szCs w:val="18"/>
    </w:rPr>
  </w:style>
  <w:style w:type="paragraph" w:styleId="11">
    <w:name w:val="annotation text"/>
    <w:basedOn w:val="1"/>
    <w:link w:val="47"/>
    <w:unhideWhenUsed/>
    <w:qFormat/>
    <w:uiPriority w:val="99"/>
    <w:pPr>
      <w:jc w:val="left"/>
    </w:pPr>
  </w:style>
  <w:style w:type="paragraph" w:styleId="12">
    <w:name w:val="Body Text"/>
    <w:basedOn w:val="1"/>
    <w:link w:val="48"/>
    <w:unhideWhenUsed/>
    <w:qFormat/>
    <w:uiPriority w:val="99"/>
  </w:style>
  <w:style w:type="paragraph" w:styleId="13">
    <w:name w:val="Body Text Indent"/>
    <w:basedOn w:val="1"/>
    <w:link w:val="49"/>
    <w:semiHidden/>
    <w:qFormat/>
    <w:uiPriority w:val="0"/>
    <w:pPr>
      <w:spacing w:line="240" w:lineRule="auto"/>
      <w:ind w:firstLine="427" w:firstLineChars="221"/>
    </w:pPr>
    <w:rPr>
      <w:rFonts w:ascii="宋体" w:hAnsi="宋体" w:cs="Times New Roman"/>
      <w:color w:val="000000"/>
      <w:sz w:val="21"/>
      <w:szCs w:val="24"/>
    </w:rPr>
  </w:style>
  <w:style w:type="paragraph" w:styleId="14">
    <w:name w:val="HTML Address"/>
    <w:basedOn w:val="1"/>
    <w:link w:val="50"/>
    <w:semiHidden/>
    <w:qFormat/>
    <w:uiPriority w:val="0"/>
    <w:pPr>
      <w:spacing w:line="240" w:lineRule="auto"/>
      <w:ind w:firstLine="0" w:firstLineChars="0"/>
    </w:pPr>
    <w:rPr>
      <w:rFonts w:cs="Times New Roman"/>
      <w:i/>
      <w:iCs/>
      <w:sz w:val="21"/>
      <w:szCs w:val="24"/>
    </w:rPr>
  </w:style>
  <w:style w:type="paragraph" w:styleId="15">
    <w:name w:val="toc 5"/>
    <w:basedOn w:val="1"/>
    <w:next w:val="1"/>
    <w:unhideWhenUsed/>
    <w:qFormat/>
    <w:uiPriority w:val="39"/>
    <w:pPr>
      <w:spacing w:before="0" w:after="0"/>
      <w:ind w:left="960"/>
      <w:jc w:val="left"/>
    </w:pPr>
    <w:rPr>
      <w:rFonts w:asciiTheme="minorHAnsi" w:hAnsiTheme="minorHAnsi" w:cstheme="minorHAnsi"/>
      <w:sz w:val="20"/>
      <w:szCs w:val="20"/>
    </w:rPr>
  </w:style>
  <w:style w:type="paragraph" w:styleId="16">
    <w:name w:val="toc 3"/>
    <w:basedOn w:val="1"/>
    <w:next w:val="1"/>
    <w:unhideWhenUsed/>
    <w:qFormat/>
    <w:uiPriority w:val="39"/>
    <w:pPr>
      <w:spacing w:before="0" w:after="0"/>
      <w:ind w:left="480"/>
      <w:jc w:val="left"/>
    </w:pPr>
    <w:rPr>
      <w:rFonts w:asciiTheme="minorHAnsi" w:hAnsiTheme="minorHAnsi" w:cstheme="minorHAnsi"/>
      <w:sz w:val="20"/>
      <w:szCs w:val="20"/>
    </w:rPr>
  </w:style>
  <w:style w:type="paragraph" w:styleId="17">
    <w:name w:val="toc 8"/>
    <w:basedOn w:val="1"/>
    <w:next w:val="1"/>
    <w:unhideWhenUsed/>
    <w:qFormat/>
    <w:uiPriority w:val="39"/>
    <w:pPr>
      <w:spacing w:before="0" w:after="0"/>
      <w:ind w:left="1680"/>
      <w:jc w:val="left"/>
    </w:pPr>
    <w:rPr>
      <w:rFonts w:asciiTheme="minorHAnsi" w:hAnsiTheme="minorHAnsi" w:cstheme="minorHAnsi"/>
      <w:sz w:val="20"/>
      <w:szCs w:val="20"/>
    </w:rPr>
  </w:style>
  <w:style w:type="paragraph" w:styleId="18">
    <w:name w:val="Date"/>
    <w:basedOn w:val="1"/>
    <w:next w:val="1"/>
    <w:link w:val="51"/>
    <w:semiHidden/>
    <w:qFormat/>
    <w:uiPriority w:val="0"/>
    <w:pPr>
      <w:spacing w:line="240" w:lineRule="auto"/>
      <w:ind w:left="100" w:leftChars="2500" w:firstLine="0" w:firstLineChars="0"/>
    </w:pPr>
    <w:rPr>
      <w:rFonts w:ascii="宋体" w:hAnsi="宋体" w:cs="Times New Roman"/>
      <w:color w:val="000000"/>
      <w:sz w:val="28"/>
      <w:szCs w:val="20"/>
    </w:rPr>
  </w:style>
  <w:style w:type="paragraph" w:styleId="19">
    <w:name w:val="Body Text Indent 2"/>
    <w:basedOn w:val="1"/>
    <w:link w:val="52"/>
    <w:semiHidden/>
    <w:qFormat/>
    <w:uiPriority w:val="0"/>
    <w:pPr>
      <w:tabs>
        <w:tab w:val="left" w:pos="0"/>
      </w:tabs>
      <w:ind w:firstLine="390" w:firstLineChars="0"/>
    </w:pPr>
    <w:rPr>
      <w:rFonts w:ascii="宋体" w:hAnsi="宋体" w:cs="Times New Roman"/>
      <w:color w:val="000000"/>
      <w:szCs w:val="20"/>
    </w:rPr>
  </w:style>
  <w:style w:type="paragraph" w:styleId="20">
    <w:name w:val="endnote text"/>
    <w:basedOn w:val="1"/>
    <w:link w:val="53"/>
    <w:unhideWhenUsed/>
    <w:qFormat/>
    <w:uiPriority w:val="99"/>
    <w:pPr>
      <w:snapToGrid w:val="0"/>
      <w:spacing w:line="560" w:lineRule="exact"/>
      <w:jc w:val="left"/>
    </w:pPr>
    <w:rPr>
      <w:rFonts w:eastAsia="仿宋_GB2312" w:asciiTheme="minorHAnsi" w:hAnsiTheme="minorHAnsi"/>
      <w:sz w:val="32"/>
    </w:rPr>
  </w:style>
  <w:style w:type="paragraph" w:styleId="21">
    <w:name w:val="Balloon Text"/>
    <w:basedOn w:val="1"/>
    <w:link w:val="54"/>
    <w:unhideWhenUsed/>
    <w:qFormat/>
    <w:uiPriority w:val="99"/>
    <w:pPr>
      <w:spacing w:line="240" w:lineRule="auto"/>
    </w:pPr>
    <w:rPr>
      <w:sz w:val="18"/>
      <w:szCs w:val="18"/>
    </w:rPr>
  </w:style>
  <w:style w:type="paragraph" w:styleId="22">
    <w:name w:val="footer"/>
    <w:basedOn w:val="1"/>
    <w:link w:val="55"/>
    <w:unhideWhenUsed/>
    <w:qFormat/>
    <w:uiPriority w:val="99"/>
    <w:pPr>
      <w:tabs>
        <w:tab w:val="center" w:pos="4153"/>
        <w:tab w:val="right" w:pos="8306"/>
      </w:tabs>
      <w:snapToGrid w:val="0"/>
      <w:spacing w:line="240" w:lineRule="atLeast"/>
      <w:jc w:val="left"/>
    </w:pPr>
    <w:rPr>
      <w:sz w:val="18"/>
      <w:szCs w:val="18"/>
    </w:rPr>
  </w:style>
  <w:style w:type="paragraph" w:styleId="23">
    <w:name w:val="header"/>
    <w:basedOn w:val="1"/>
    <w:link w:val="56"/>
    <w:unhideWhenUsed/>
    <w:qFormat/>
    <w:uiPriority w:val="99"/>
    <w:pPr>
      <w:pBdr>
        <w:bottom w:val="single" w:color="auto" w:sz="6" w:space="1"/>
      </w:pBdr>
      <w:tabs>
        <w:tab w:val="center" w:pos="4153"/>
        <w:tab w:val="right" w:pos="8306"/>
      </w:tabs>
      <w:snapToGrid w:val="0"/>
      <w:spacing w:line="240" w:lineRule="atLeast"/>
      <w:jc w:val="center"/>
    </w:pPr>
    <w:rPr>
      <w:sz w:val="18"/>
      <w:szCs w:val="18"/>
    </w:rPr>
  </w:style>
  <w:style w:type="paragraph" w:styleId="24">
    <w:name w:val="toc 1"/>
    <w:basedOn w:val="1"/>
    <w:next w:val="1"/>
    <w:unhideWhenUsed/>
    <w:qFormat/>
    <w:uiPriority w:val="39"/>
    <w:pPr>
      <w:spacing w:before="240"/>
      <w:jc w:val="left"/>
    </w:pPr>
    <w:rPr>
      <w:rFonts w:asciiTheme="minorHAnsi" w:hAnsiTheme="minorHAnsi" w:cstheme="minorHAnsi"/>
      <w:b/>
      <w:bCs/>
      <w:sz w:val="20"/>
      <w:szCs w:val="20"/>
    </w:rPr>
  </w:style>
  <w:style w:type="paragraph" w:styleId="25">
    <w:name w:val="toc 4"/>
    <w:basedOn w:val="1"/>
    <w:next w:val="1"/>
    <w:unhideWhenUsed/>
    <w:qFormat/>
    <w:uiPriority w:val="39"/>
    <w:pPr>
      <w:spacing w:before="0" w:after="0"/>
      <w:ind w:left="720"/>
      <w:jc w:val="left"/>
    </w:pPr>
    <w:rPr>
      <w:rFonts w:asciiTheme="minorHAnsi" w:hAnsiTheme="minorHAnsi" w:cstheme="minorHAnsi"/>
      <w:sz w:val="20"/>
      <w:szCs w:val="20"/>
    </w:rPr>
  </w:style>
  <w:style w:type="paragraph" w:styleId="26">
    <w:name w:val="toc 6"/>
    <w:basedOn w:val="1"/>
    <w:next w:val="1"/>
    <w:unhideWhenUsed/>
    <w:qFormat/>
    <w:uiPriority w:val="39"/>
    <w:pPr>
      <w:spacing w:before="0" w:after="0"/>
      <w:ind w:left="1200"/>
      <w:jc w:val="left"/>
    </w:pPr>
    <w:rPr>
      <w:rFonts w:asciiTheme="minorHAnsi" w:hAnsiTheme="minorHAnsi" w:cstheme="minorHAnsi"/>
      <w:sz w:val="20"/>
      <w:szCs w:val="20"/>
    </w:rPr>
  </w:style>
  <w:style w:type="paragraph" w:styleId="27">
    <w:name w:val="Body Text Indent 3"/>
    <w:basedOn w:val="1"/>
    <w:link w:val="57"/>
    <w:semiHidden/>
    <w:qFormat/>
    <w:uiPriority w:val="0"/>
    <w:pPr>
      <w:tabs>
        <w:tab w:val="left" w:pos="0"/>
      </w:tabs>
      <w:ind w:firstLine="387"/>
    </w:pPr>
    <w:rPr>
      <w:rFonts w:ascii="宋体" w:hAnsi="宋体" w:cs="Times New Roman"/>
      <w:color w:val="000000"/>
      <w:sz w:val="21"/>
      <w:szCs w:val="20"/>
    </w:rPr>
  </w:style>
  <w:style w:type="paragraph" w:styleId="28">
    <w:name w:val="toc 2"/>
    <w:basedOn w:val="1"/>
    <w:next w:val="1"/>
    <w:unhideWhenUsed/>
    <w:qFormat/>
    <w:uiPriority w:val="39"/>
    <w:pPr>
      <w:spacing w:after="0"/>
      <w:ind w:left="240"/>
      <w:jc w:val="left"/>
    </w:pPr>
    <w:rPr>
      <w:rFonts w:asciiTheme="minorHAnsi" w:hAnsiTheme="minorHAnsi" w:cstheme="minorHAnsi"/>
      <w:i/>
      <w:iCs/>
      <w:sz w:val="20"/>
      <w:szCs w:val="20"/>
    </w:rPr>
  </w:style>
  <w:style w:type="paragraph" w:styleId="29">
    <w:name w:val="toc 9"/>
    <w:basedOn w:val="1"/>
    <w:next w:val="1"/>
    <w:unhideWhenUsed/>
    <w:qFormat/>
    <w:uiPriority w:val="39"/>
    <w:pPr>
      <w:spacing w:before="0" w:after="0"/>
      <w:ind w:left="1920"/>
      <w:jc w:val="left"/>
    </w:pPr>
    <w:rPr>
      <w:rFonts w:asciiTheme="minorHAnsi" w:hAnsiTheme="minorHAnsi" w:cstheme="minorHAnsi"/>
      <w:sz w:val="20"/>
      <w:szCs w:val="20"/>
    </w:rPr>
  </w:style>
  <w:style w:type="paragraph" w:styleId="30">
    <w:name w:val="Normal (Web)"/>
    <w:basedOn w:val="1"/>
    <w:unhideWhenUsed/>
    <w:qFormat/>
    <w:uiPriority w:val="99"/>
    <w:pPr>
      <w:widowControl/>
      <w:spacing w:before="100" w:beforeAutospacing="1" w:after="100" w:afterAutospacing="1" w:line="240" w:lineRule="auto"/>
      <w:ind w:firstLine="0" w:firstLineChars="0"/>
      <w:jc w:val="left"/>
    </w:pPr>
    <w:rPr>
      <w:rFonts w:ascii="宋体" w:hAnsi="宋体" w:cs="宋体"/>
      <w:kern w:val="0"/>
      <w:szCs w:val="24"/>
    </w:rPr>
  </w:style>
  <w:style w:type="paragraph" w:styleId="31">
    <w:name w:val="Title"/>
    <w:basedOn w:val="12"/>
    <w:next w:val="1"/>
    <w:link w:val="58"/>
    <w:qFormat/>
    <w:uiPriority w:val="10"/>
    <w:pPr>
      <w:autoSpaceDE w:val="0"/>
      <w:autoSpaceDN w:val="0"/>
      <w:spacing w:before="240" w:after="60" w:line="240" w:lineRule="auto"/>
      <w:ind w:firstLine="0" w:firstLineChars="0"/>
      <w:jc w:val="center"/>
      <w:outlineLvl w:val="0"/>
    </w:pPr>
    <w:rPr>
      <w:rFonts w:ascii="黑体" w:eastAsia="黑体" w:hAnsiTheme="majorHAnsi" w:cstheme="majorBidi"/>
      <w:bCs/>
      <w:kern w:val="0"/>
      <w:sz w:val="21"/>
      <w:szCs w:val="32"/>
      <w:lang w:val="ca-ES" w:eastAsia="ca-ES" w:bidi="ca-ES"/>
    </w:rPr>
  </w:style>
  <w:style w:type="paragraph" w:styleId="32">
    <w:name w:val="annotation subject"/>
    <w:basedOn w:val="11"/>
    <w:next w:val="11"/>
    <w:link w:val="59"/>
    <w:unhideWhenUsed/>
    <w:qFormat/>
    <w:uiPriority w:val="99"/>
    <w:rPr>
      <w:b/>
      <w:bCs/>
    </w:rPr>
  </w:style>
  <w:style w:type="table" w:styleId="34">
    <w:name w:val="Table Grid"/>
    <w:basedOn w:val="33"/>
    <w:qFormat/>
    <w:uiPriority w:val="39"/>
    <w:pPr>
      <w:jc w:val="left"/>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6">
    <w:name w:val="endnote reference"/>
    <w:basedOn w:val="35"/>
    <w:unhideWhenUsed/>
    <w:qFormat/>
    <w:uiPriority w:val="99"/>
    <w:rPr>
      <w:vertAlign w:val="superscript"/>
    </w:rPr>
  </w:style>
  <w:style w:type="character" w:styleId="37">
    <w:name w:val="page number"/>
    <w:semiHidden/>
    <w:qFormat/>
    <w:uiPriority w:val="0"/>
  </w:style>
  <w:style w:type="character" w:styleId="38">
    <w:name w:val="FollowedHyperlink"/>
    <w:basedOn w:val="35"/>
    <w:unhideWhenUsed/>
    <w:qFormat/>
    <w:uiPriority w:val="99"/>
    <w:rPr>
      <w:color w:val="800080" w:themeColor="followedHyperlink"/>
      <w:u w:val="single"/>
      <w14:textFill>
        <w14:solidFill>
          <w14:schemeClr w14:val="folHlink"/>
        </w14:solidFill>
      </w14:textFill>
    </w:rPr>
  </w:style>
  <w:style w:type="character" w:styleId="39">
    <w:name w:val="Hyperlink"/>
    <w:basedOn w:val="35"/>
    <w:unhideWhenUsed/>
    <w:qFormat/>
    <w:uiPriority w:val="99"/>
    <w:rPr>
      <w:color w:val="0000FF" w:themeColor="hyperlink"/>
      <w:u w:val="single"/>
      <w14:textFill>
        <w14:solidFill>
          <w14:schemeClr w14:val="hlink"/>
        </w14:solidFill>
      </w14:textFill>
    </w:rPr>
  </w:style>
  <w:style w:type="character" w:styleId="40">
    <w:name w:val="annotation reference"/>
    <w:basedOn w:val="35"/>
    <w:unhideWhenUsed/>
    <w:qFormat/>
    <w:uiPriority w:val="99"/>
    <w:rPr>
      <w:sz w:val="21"/>
      <w:szCs w:val="21"/>
    </w:rPr>
  </w:style>
  <w:style w:type="character" w:customStyle="1" w:styleId="41">
    <w:name w:val="标题 1 字符"/>
    <w:basedOn w:val="35"/>
    <w:link w:val="2"/>
    <w:qFormat/>
    <w:uiPriority w:val="0"/>
    <w:rPr>
      <w:rFonts w:ascii="Times New Roman" w:hAnsi="Times New Roman" w:eastAsia="黑体"/>
      <w:b/>
      <w:bCs/>
      <w:kern w:val="44"/>
      <w:sz w:val="36"/>
      <w:szCs w:val="44"/>
    </w:rPr>
  </w:style>
  <w:style w:type="character" w:customStyle="1" w:styleId="42">
    <w:name w:val="标题 2 字符"/>
    <w:basedOn w:val="35"/>
    <w:link w:val="3"/>
    <w:qFormat/>
    <w:uiPriority w:val="0"/>
    <w:rPr>
      <w:rFonts w:ascii="黑体" w:eastAsia="黑体" w:hAnsiTheme="majorHAnsi" w:cstheme="majorBidi"/>
      <w:bCs/>
      <w:sz w:val="30"/>
      <w:szCs w:val="32"/>
    </w:rPr>
  </w:style>
  <w:style w:type="character" w:customStyle="1" w:styleId="43">
    <w:name w:val="标题 3 字符"/>
    <w:basedOn w:val="35"/>
    <w:link w:val="4"/>
    <w:qFormat/>
    <w:uiPriority w:val="9"/>
    <w:rPr>
      <w:rFonts w:ascii="黑体" w:hAnsi="Times New Roman" w:eastAsia="黑体"/>
      <w:bCs/>
      <w:sz w:val="28"/>
      <w:szCs w:val="32"/>
    </w:rPr>
  </w:style>
  <w:style w:type="character" w:customStyle="1" w:styleId="44">
    <w:name w:val="标题 4 字符"/>
    <w:basedOn w:val="35"/>
    <w:link w:val="5"/>
    <w:qFormat/>
    <w:uiPriority w:val="9"/>
    <w:rPr>
      <w:rFonts w:ascii="Times New Roman" w:hAnsi="Times New Roman" w:eastAsia="黑体" w:cstheme="majorBidi"/>
      <w:bCs/>
      <w:sz w:val="28"/>
      <w:szCs w:val="28"/>
    </w:rPr>
  </w:style>
  <w:style w:type="character" w:customStyle="1" w:styleId="45">
    <w:name w:val="标题 5 字符"/>
    <w:basedOn w:val="35"/>
    <w:link w:val="6"/>
    <w:qFormat/>
    <w:uiPriority w:val="9"/>
    <w:rPr>
      <w:rFonts w:ascii="Times New Roman" w:hAnsi="Times New Roman" w:eastAsia="宋体"/>
      <w:bCs/>
      <w:sz w:val="24"/>
      <w:szCs w:val="28"/>
    </w:rPr>
  </w:style>
  <w:style w:type="character" w:customStyle="1" w:styleId="46">
    <w:name w:val="文档结构图 字符"/>
    <w:basedOn w:val="35"/>
    <w:link w:val="10"/>
    <w:semiHidden/>
    <w:qFormat/>
    <w:uiPriority w:val="99"/>
    <w:rPr>
      <w:rFonts w:ascii="宋体" w:hAnsi="Times New Roman" w:eastAsia="宋体"/>
      <w:sz w:val="18"/>
      <w:szCs w:val="18"/>
    </w:rPr>
  </w:style>
  <w:style w:type="character" w:customStyle="1" w:styleId="47">
    <w:name w:val="批注文字 字符"/>
    <w:basedOn w:val="35"/>
    <w:link w:val="11"/>
    <w:semiHidden/>
    <w:qFormat/>
    <w:uiPriority w:val="99"/>
    <w:rPr>
      <w:rFonts w:ascii="Times New Roman" w:hAnsi="Times New Roman" w:eastAsia="宋体"/>
      <w:sz w:val="24"/>
    </w:rPr>
  </w:style>
  <w:style w:type="character" w:customStyle="1" w:styleId="48">
    <w:name w:val="正文文本 字符"/>
    <w:basedOn w:val="35"/>
    <w:link w:val="12"/>
    <w:semiHidden/>
    <w:qFormat/>
    <w:uiPriority w:val="99"/>
    <w:rPr>
      <w:rFonts w:ascii="Times New Roman" w:hAnsi="Times New Roman" w:eastAsia="宋体"/>
      <w:sz w:val="24"/>
    </w:rPr>
  </w:style>
  <w:style w:type="character" w:customStyle="1" w:styleId="49">
    <w:name w:val="正文文本缩进 字符"/>
    <w:basedOn w:val="35"/>
    <w:link w:val="13"/>
    <w:semiHidden/>
    <w:qFormat/>
    <w:uiPriority w:val="0"/>
    <w:rPr>
      <w:rFonts w:ascii="宋体" w:hAnsi="宋体" w:eastAsia="宋体" w:cs="Times New Roman"/>
      <w:color w:val="000000"/>
      <w:szCs w:val="24"/>
    </w:rPr>
  </w:style>
  <w:style w:type="character" w:customStyle="1" w:styleId="50">
    <w:name w:val="HTML 地址 字符"/>
    <w:basedOn w:val="35"/>
    <w:link w:val="14"/>
    <w:semiHidden/>
    <w:qFormat/>
    <w:uiPriority w:val="0"/>
    <w:rPr>
      <w:rFonts w:ascii="Times New Roman" w:hAnsi="Times New Roman" w:eastAsia="宋体" w:cs="Times New Roman"/>
      <w:i/>
      <w:iCs/>
      <w:szCs w:val="24"/>
    </w:rPr>
  </w:style>
  <w:style w:type="character" w:customStyle="1" w:styleId="51">
    <w:name w:val="日期 字符"/>
    <w:basedOn w:val="35"/>
    <w:link w:val="18"/>
    <w:semiHidden/>
    <w:qFormat/>
    <w:uiPriority w:val="0"/>
    <w:rPr>
      <w:rFonts w:ascii="宋体" w:hAnsi="宋体" w:eastAsia="宋体" w:cs="Times New Roman"/>
      <w:color w:val="000000"/>
      <w:sz w:val="28"/>
      <w:szCs w:val="20"/>
    </w:rPr>
  </w:style>
  <w:style w:type="character" w:customStyle="1" w:styleId="52">
    <w:name w:val="正文文本缩进 2 字符"/>
    <w:basedOn w:val="35"/>
    <w:link w:val="19"/>
    <w:semiHidden/>
    <w:qFormat/>
    <w:uiPriority w:val="0"/>
    <w:rPr>
      <w:rFonts w:ascii="宋体" w:hAnsi="宋体" w:eastAsia="宋体" w:cs="Times New Roman"/>
      <w:color w:val="000000"/>
      <w:sz w:val="24"/>
      <w:szCs w:val="20"/>
    </w:rPr>
  </w:style>
  <w:style w:type="character" w:customStyle="1" w:styleId="53">
    <w:name w:val="尾注文本 字符"/>
    <w:basedOn w:val="35"/>
    <w:link w:val="20"/>
    <w:semiHidden/>
    <w:qFormat/>
    <w:uiPriority w:val="99"/>
    <w:rPr>
      <w:rFonts w:eastAsia="仿宋_GB2312"/>
      <w:sz w:val="32"/>
    </w:rPr>
  </w:style>
  <w:style w:type="character" w:customStyle="1" w:styleId="54">
    <w:name w:val="批注框文本 字符"/>
    <w:basedOn w:val="35"/>
    <w:link w:val="21"/>
    <w:qFormat/>
    <w:uiPriority w:val="99"/>
    <w:rPr>
      <w:rFonts w:ascii="Times New Roman" w:hAnsi="Times New Roman" w:eastAsia="宋体"/>
      <w:sz w:val="18"/>
      <w:szCs w:val="18"/>
    </w:rPr>
  </w:style>
  <w:style w:type="character" w:customStyle="1" w:styleId="55">
    <w:name w:val="页脚 字符"/>
    <w:basedOn w:val="35"/>
    <w:link w:val="22"/>
    <w:qFormat/>
    <w:uiPriority w:val="99"/>
    <w:rPr>
      <w:rFonts w:ascii="Times New Roman" w:hAnsi="Times New Roman" w:eastAsia="宋体"/>
      <w:sz w:val="18"/>
      <w:szCs w:val="18"/>
    </w:rPr>
  </w:style>
  <w:style w:type="character" w:customStyle="1" w:styleId="56">
    <w:name w:val="页眉 字符"/>
    <w:basedOn w:val="35"/>
    <w:link w:val="23"/>
    <w:qFormat/>
    <w:uiPriority w:val="99"/>
    <w:rPr>
      <w:rFonts w:ascii="Times New Roman" w:hAnsi="Times New Roman" w:eastAsia="宋体"/>
      <w:sz w:val="18"/>
      <w:szCs w:val="18"/>
    </w:rPr>
  </w:style>
  <w:style w:type="character" w:customStyle="1" w:styleId="57">
    <w:name w:val="正文文本缩进 3 字符"/>
    <w:basedOn w:val="35"/>
    <w:link w:val="27"/>
    <w:semiHidden/>
    <w:qFormat/>
    <w:uiPriority w:val="0"/>
    <w:rPr>
      <w:rFonts w:ascii="宋体" w:hAnsi="宋体" w:eastAsia="宋体" w:cs="Times New Roman"/>
      <w:color w:val="000000"/>
      <w:szCs w:val="20"/>
    </w:rPr>
  </w:style>
  <w:style w:type="character" w:customStyle="1" w:styleId="58">
    <w:name w:val="标题 字符"/>
    <w:basedOn w:val="35"/>
    <w:link w:val="31"/>
    <w:qFormat/>
    <w:uiPriority w:val="10"/>
    <w:rPr>
      <w:rFonts w:ascii="黑体" w:eastAsia="黑体" w:hAnsiTheme="majorHAnsi" w:cstheme="majorBidi"/>
      <w:bCs/>
      <w:kern w:val="0"/>
      <w:szCs w:val="32"/>
      <w:lang w:val="ca-ES" w:eastAsia="ca-ES" w:bidi="ca-ES"/>
    </w:rPr>
  </w:style>
  <w:style w:type="character" w:customStyle="1" w:styleId="59">
    <w:name w:val="批注主题 字符"/>
    <w:basedOn w:val="47"/>
    <w:link w:val="32"/>
    <w:semiHidden/>
    <w:qFormat/>
    <w:uiPriority w:val="99"/>
    <w:rPr>
      <w:rFonts w:ascii="Times New Roman" w:hAnsi="Times New Roman" w:eastAsia="宋体"/>
      <w:b/>
      <w:bCs/>
      <w:sz w:val="24"/>
    </w:rPr>
  </w:style>
  <w:style w:type="paragraph" w:customStyle="1" w:styleId="60">
    <w:name w:val="List Paragraph"/>
    <w:basedOn w:val="1"/>
    <w:qFormat/>
    <w:uiPriority w:val="34"/>
    <w:pPr>
      <w:ind w:firstLine="420"/>
    </w:pPr>
  </w:style>
  <w:style w:type="paragraph" w:customStyle="1" w:styleId="61">
    <w:name w:val="00表头"/>
    <w:basedOn w:val="1"/>
    <w:link w:val="62"/>
    <w:qFormat/>
    <w:uiPriority w:val="0"/>
    <w:pPr>
      <w:spacing w:beforeLines="50" w:afterLines="50"/>
      <w:ind w:firstLine="0" w:firstLineChars="0"/>
      <w:jc w:val="center"/>
    </w:pPr>
    <w:rPr>
      <w:b/>
    </w:rPr>
  </w:style>
  <w:style w:type="character" w:customStyle="1" w:styleId="62">
    <w:name w:val="00表头 Char"/>
    <w:basedOn w:val="35"/>
    <w:link w:val="61"/>
    <w:qFormat/>
    <w:uiPriority w:val="0"/>
    <w:rPr>
      <w:rFonts w:ascii="Times New Roman" w:hAnsi="Times New Roman" w:eastAsia="宋体"/>
      <w:b/>
      <w:sz w:val="24"/>
    </w:rPr>
  </w:style>
  <w:style w:type="paragraph" w:customStyle="1" w:styleId="63">
    <w:name w:val="TOC 标题1"/>
    <w:basedOn w:val="2"/>
    <w:next w:val="1"/>
    <w:unhideWhenUsed/>
    <w:qFormat/>
    <w:uiPriority w:val="39"/>
    <w:pPr>
      <w:widowControl/>
      <w:spacing w:before="240" w:after="0" w:line="259" w:lineRule="auto"/>
      <w:outlineLvl w:val="9"/>
    </w:pPr>
    <w:rPr>
      <w:rFonts w:asciiTheme="majorHAnsi" w:hAnsiTheme="majorHAnsi" w:eastAsiaTheme="majorEastAsia" w:cstheme="majorBidi"/>
      <w:b w:val="0"/>
      <w:bCs w:val="0"/>
      <w:color w:val="376092" w:themeColor="accent1" w:themeShade="BF"/>
      <w:kern w:val="0"/>
      <w:sz w:val="32"/>
      <w:szCs w:val="32"/>
    </w:rPr>
  </w:style>
  <w:style w:type="character" w:customStyle="1" w:styleId="64">
    <w:name w:val="未处理的提及1"/>
    <w:basedOn w:val="35"/>
    <w:unhideWhenUsed/>
    <w:qFormat/>
    <w:uiPriority w:val="99"/>
    <w:rPr>
      <w:color w:val="605E5C"/>
      <w:shd w:val="clear" w:color="auto" w:fill="E1DFDD"/>
    </w:rPr>
  </w:style>
  <w:style w:type="paragraph" w:customStyle="1" w:styleId="65">
    <w:name w:val="00表上注"/>
    <w:basedOn w:val="61"/>
    <w:link w:val="66"/>
    <w:qFormat/>
    <w:uiPriority w:val="0"/>
    <w:pPr>
      <w:spacing w:beforeLines="0" w:afterLines="0" w:line="240" w:lineRule="atLeast"/>
      <w:jc w:val="right"/>
    </w:pPr>
    <w:rPr>
      <w:sz w:val="21"/>
    </w:rPr>
  </w:style>
  <w:style w:type="character" w:customStyle="1" w:styleId="66">
    <w:name w:val="00表上注 Char"/>
    <w:basedOn w:val="62"/>
    <w:link w:val="65"/>
    <w:qFormat/>
    <w:uiPriority w:val="0"/>
    <w:rPr>
      <w:rFonts w:ascii="Times New Roman" w:hAnsi="Times New Roman" w:eastAsia="宋体"/>
      <w:sz w:val="24"/>
    </w:rPr>
  </w:style>
  <w:style w:type="character" w:customStyle="1" w:styleId="67">
    <w:name w:val="未处理的提及2"/>
    <w:basedOn w:val="35"/>
    <w:unhideWhenUsed/>
    <w:qFormat/>
    <w:uiPriority w:val="99"/>
    <w:rPr>
      <w:color w:val="605E5C"/>
      <w:shd w:val="clear" w:color="auto" w:fill="E1DFDD"/>
    </w:rPr>
  </w:style>
  <w:style w:type="table" w:customStyle="1" w:styleId="68">
    <w:name w:val="网格型1"/>
    <w:basedOn w:val="33"/>
    <w:qFormat/>
    <w:uiPriority w:val="39"/>
    <w:pPr>
      <w:jc w:val="left"/>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
    <w:name w:val="网格型2"/>
    <w:basedOn w:val="33"/>
    <w:qFormat/>
    <w:uiPriority w:val="39"/>
    <w:pPr>
      <w:jc w:val="left"/>
    </w:pPr>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
    <w:name w:val="网格型3"/>
    <w:basedOn w:val="33"/>
    <w:qFormat/>
    <w:uiPriority w:val="39"/>
    <w:pPr>
      <w:jc w:val="left"/>
    </w:pPr>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
    <w:name w:val="网格型4"/>
    <w:basedOn w:val="33"/>
    <w:qFormat/>
    <w:uiPriority w:val="39"/>
    <w:pPr>
      <w:jc w:val="left"/>
    </w:pPr>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
    <w:name w:val="网格型5"/>
    <w:basedOn w:val="33"/>
    <w:qFormat/>
    <w:uiPriority w:val="39"/>
    <w:pPr>
      <w:jc w:val="left"/>
    </w:pPr>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
    <w:name w:val="网格型6"/>
    <w:basedOn w:val="33"/>
    <w:qFormat/>
    <w:uiPriority w:val="39"/>
    <w:pPr>
      <w:jc w:val="left"/>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
    <w:name w:val="网格型11"/>
    <w:basedOn w:val="33"/>
    <w:qFormat/>
    <w:uiPriority w:val="39"/>
    <w:pPr>
      <w:jc w:val="left"/>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
    <w:name w:val="网格型7"/>
    <w:basedOn w:val="33"/>
    <w:qFormat/>
    <w:uiPriority w:val="39"/>
    <w:pPr>
      <w:jc w:val="left"/>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
    <w:name w:val="网格型12"/>
    <w:basedOn w:val="33"/>
    <w:qFormat/>
    <w:uiPriority w:val="39"/>
    <w:pPr>
      <w:jc w:val="left"/>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7">
    <w:name w:val="Table Text"/>
    <w:basedOn w:val="1"/>
    <w:semiHidden/>
    <w:qFormat/>
    <w:uiPriority w:val="0"/>
    <w:rPr>
      <w:rFonts w:ascii="仿宋" w:hAnsi="仿宋" w:eastAsia="仿宋" w:cs="仿宋"/>
      <w:szCs w:val="24"/>
      <w:lang w:eastAsia="en-US"/>
    </w:rPr>
  </w:style>
  <w:style w:type="table" w:customStyle="1" w:styleId="78">
    <w:name w:val="Table Normal"/>
    <w:unhideWhenUsed/>
    <w:qFormat/>
    <w:uiPriority w:val="0"/>
    <w:pPr>
      <w:jc w:val="left"/>
    </w:pPr>
    <w:rPr>
      <w:rFonts w:ascii="Times New Roman" w:hAnsi="Times New Roman" w:eastAsia="宋体" w:cs="Times New Roman"/>
      <w:kern w:val="0"/>
      <w:sz w:val="20"/>
      <w:szCs w:val="20"/>
    </w:rPr>
    <w:tblPr>
      <w:tblCellMar>
        <w:top w:w="0" w:type="dxa"/>
        <w:left w:w="0" w:type="dxa"/>
        <w:bottom w:w="0" w:type="dxa"/>
        <w:right w:w="0" w:type="dxa"/>
      </w:tblCellMar>
    </w:tblPr>
  </w:style>
  <w:style w:type="paragraph" w:customStyle="1" w:styleId="79">
    <w:name w:val="00表下注"/>
    <w:basedOn w:val="1"/>
    <w:qFormat/>
    <w:uiPriority w:val="0"/>
    <w:pPr>
      <w:adjustRightInd w:val="0"/>
      <w:snapToGrid w:val="0"/>
      <w:spacing w:line="0" w:lineRule="atLeast"/>
      <w:jc w:val="left"/>
    </w:pPr>
    <w:rPr>
      <w:rFonts w:cs="Courier New"/>
      <w:sz w:val="21"/>
      <w:szCs w:val="21"/>
    </w:rPr>
  </w:style>
  <w:style w:type="paragraph" w:customStyle="1" w:styleId="80">
    <w:name w:val="00报告书正文"/>
    <w:basedOn w:val="1"/>
    <w:qFormat/>
    <w:uiPriority w:val="0"/>
    <w:rPr>
      <w:rFonts w:cs="Times New Roman"/>
    </w:rPr>
  </w:style>
  <w:style w:type="paragraph" w:customStyle="1" w:styleId="81">
    <w:name w:val="00表正文"/>
    <w:qFormat/>
    <w:uiPriority w:val="0"/>
    <w:pPr>
      <w:spacing w:before="0" w:after="0" w:line="240" w:lineRule="auto"/>
      <w:jc w:val="center"/>
    </w:pPr>
    <w:rPr>
      <w:rFonts w:ascii="Times New Roman" w:hAnsi="Times New Roman" w:eastAsia="宋体" w:cstheme="minorBidi"/>
      <w:kern w:val="2"/>
      <w:sz w:val="21"/>
      <w:szCs w:val="24"/>
      <w:lang w:val="en-US" w:eastAsia="zh-CN" w:bidi="ar-SA"/>
    </w:rPr>
  </w:style>
  <w:style w:type="paragraph" w:customStyle="1" w:styleId="82">
    <w:name w:val="TOC Heading"/>
    <w:basedOn w:val="2"/>
    <w:next w:val="1"/>
    <w:unhideWhenUsed/>
    <w:qFormat/>
    <w:uiPriority w:val="39"/>
    <w:pPr>
      <w:keepNext/>
      <w:keepLines/>
      <w:pageBreakBefore w:val="0"/>
      <w:widowControl/>
      <w:numPr>
        <w:numId w:val="0"/>
      </w:numPr>
      <w:tabs>
        <w:tab w:val="clear" w:pos="425"/>
      </w:tabs>
      <w:spacing w:before="480" w:after="0" w:line="276" w:lineRule="auto"/>
      <w:outlineLvl w:val="9"/>
    </w:pPr>
    <w:rPr>
      <w:rFonts w:asciiTheme="majorHAnsi" w:hAnsiTheme="majorHAnsi" w:eastAsiaTheme="majorEastAsia" w:cstheme="majorBidi"/>
      <w:color w:val="376092"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5.png"/><Relationship Id="rId16" Type="http://schemas.openxmlformats.org/officeDocument/2006/relationships/image" Target="media/image4.jpeg"/><Relationship Id="rId15" Type="http://schemas.openxmlformats.org/officeDocument/2006/relationships/image" Target="media/image3.png"/><Relationship Id="rId14" Type="http://schemas.openxmlformats.org/officeDocument/2006/relationships/chart" Target="charts/chart1.xml"/><Relationship Id="rId13" Type="http://schemas.openxmlformats.org/officeDocument/2006/relationships/image" Target="media/image2.jpe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1" Type="http://schemas.openxmlformats.org/officeDocument/2006/relationships/oleObject" Target="/home/dl/&#26700;&#38754;/WPS&#34920;&#26684;&#24037;&#20316;&#34920;%20(&#31532;3&#20010;&#22797;&#20214;).et"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lang="zh-CN" altLang="en-US"/>
              <a:t>辽宁省水产品出口数量及金额</a:t>
            </a:r>
            <a:endParaRPr lang="zh-CN" altLang="en-US"/>
          </a:p>
        </c:rich>
      </c:tx>
      <c:layout/>
      <c:overlay val="0"/>
      <c:spPr>
        <a:noFill/>
        <a:ln>
          <a:noFill/>
        </a:ln>
        <a:effectLst/>
      </c:spPr>
    </c:title>
    <c:autoTitleDeleted val="0"/>
    <c:plotArea>
      <c:layout/>
      <c:barChart>
        <c:barDir val="col"/>
        <c:grouping val="clustered"/>
        <c:varyColors val="0"/>
        <c:ser>
          <c:idx val="0"/>
          <c:order val="0"/>
          <c:tx>
            <c:strRef>
              <c:f>'[WPS表格工作表 (第3个复件).et]Sheet1'!$B$2</c:f>
              <c:strCache>
                <c:ptCount val="1"/>
                <c:pt idx="0">
                  <c:v>数量（万吨）</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numRef>
              <c:f>'[WPS表格工作表 (第3个复件).et]Sheet1'!$A$3:$A$7</c:f>
              <c:numCache>
                <c:formatCode>General</c:formatCode>
                <c:ptCount val="5"/>
                <c:pt idx="0">
                  <c:v>2019</c:v>
                </c:pt>
                <c:pt idx="1">
                  <c:v>2020</c:v>
                </c:pt>
                <c:pt idx="2">
                  <c:v>2021</c:v>
                </c:pt>
                <c:pt idx="3">
                  <c:v>2022</c:v>
                </c:pt>
                <c:pt idx="4">
                  <c:v>2023</c:v>
                </c:pt>
              </c:numCache>
            </c:numRef>
          </c:cat>
          <c:val>
            <c:numRef>
              <c:f>'[WPS表格工作表 (第3个复件).et]Sheet1'!$B$3:$B$7</c:f>
              <c:numCache>
                <c:formatCode>General</c:formatCode>
                <c:ptCount val="5"/>
                <c:pt idx="0">
                  <c:v>80.32637</c:v>
                </c:pt>
                <c:pt idx="1">
                  <c:v>69.9119100000002</c:v>
                </c:pt>
                <c:pt idx="2">
                  <c:v>52.94732</c:v>
                </c:pt>
                <c:pt idx="3">
                  <c:v>48.05327</c:v>
                </c:pt>
                <c:pt idx="4">
                  <c:v>56.54628</c:v>
                </c:pt>
              </c:numCache>
            </c:numRef>
          </c:val>
        </c:ser>
        <c:dLbls>
          <c:showLegendKey val="0"/>
          <c:showVal val="0"/>
          <c:showCatName val="0"/>
          <c:showSerName val="0"/>
          <c:showPercent val="0"/>
          <c:showBubbleSize val="0"/>
        </c:dLbls>
        <c:gapWidth val="150"/>
        <c:axId val="244848896"/>
        <c:axId val="266802304"/>
        <c:extLst>
          <c:ext xmlns:c15="http://schemas.microsoft.com/office/drawing/2012/chart" uri="{02D57815-91ED-43cb-92C2-25804820EDAC}">
            <c15:filteredBarSeries>
              <c15:ser>
                <c:idx val="2"/>
                <c:order val="2"/>
                <c:tx>
                  <c:strRef>
                    <c:extLst>
                      <c:ext uri="{02D57815-91ED-43cb-92C2-25804820EDAC}">
                        <c15:formulaRef>
                          <c15:sqref>'[WPS表格工作表 (第3个复件).et]Sheet1'!$A$3:$A$7</c15:sqref>
                        </c15:formulaRef>
                      </c:ext>
                    </c:extLst>
                    <c:strCache>
                      <c:ptCount val="1"/>
                      <c:pt idx="0">
                        <c:v>2019 2020 2021 2022 2023</c:v>
                      </c:pt>
                    </c:strCache>
                  </c:strRef>
                </c:tx>
                <c:spPr>
                  <a:solidFill>
                    <a:schemeClr val="accent3"/>
                  </a:solidFill>
                  <a:ln>
                    <a:noFill/>
                  </a:ln>
                  <a:effectLst/>
                </c:spPr>
                <c:invertIfNegative val="0"/>
                <c:dLbls>
                  <c:delete val="1"/>
                </c:dLbls>
                <c:val>
                  <c:numRef>
                    <c:extLst>
                      <c:ext uri="{02D57815-91ED-43cb-92C2-25804820EDAC}">
                        <c15:formulaRef>
                          <c15:sqref>{1}</c15:sqref>
                        </c15:formulaRef>
                      </c:ext>
                    </c:extLst>
                    <c:numCache>
                      <c:formatCode>General</c:formatCode>
                      <c:ptCount val="1"/>
                      <c:pt idx="0">
                        <c:v>1</c:v>
                      </c:pt>
                    </c:numCache>
                  </c:numRef>
                </c:val>
              </c15:ser>
            </c15:filteredBarSeries>
          </c:ext>
        </c:extLst>
      </c:barChart>
      <c:lineChart>
        <c:grouping val="standard"/>
        <c:varyColors val="0"/>
        <c:ser>
          <c:idx val="1"/>
          <c:order val="1"/>
          <c:tx>
            <c:strRef>
              <c:f>'[WPS表格工作表 (第3个复件).et]Sheet1'!$C$2</c:f>
              <c:strCache>
                <c:ptCount val="1"/>
                <c:pt idx="0">
                  <c:v>金额（亿元）</c:v>
                </c:pt>
              </c:strCache>
            </c:strRef>
          </c:tx>
          <c:spPr>
            <a:ln w="28575" cap="rnd" cmpd="sng" algn="ctr">
              <a:solidFill>
                <a:schemeClr val="accent2"/>
              </a:solidFill>
              <a:prstDash val="solid"/>
              <a:round/>
            </a:ln>
            <a:effectLst/>
          </c:spPr>
          <c:marker>
            <c:symbol val="none"/>
          </c:marker>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val>
            <c:numRef>
              <c:f>'[WPS表格工作表 (第3个复件).et]Sheet1'!$C$3:$C$7</c:f>
              <c:numCache>
                <c:formatCode>0.0_ </c:formatCode>
                <c:ptCount val="5"/>
                <c:pt idx="0">
                  <c:v>199.1</c:v>
                </c:pt>
                <c:pt idx="1">
                  <c:v>169</c:v>
                </c:pt>
                <c:pt idx="2">
                  <c:v>140.593</c:v>
                </c:pt>
                <c:pt idx="3">
                  <c:v>156.371</c:v>
                </c:pt>
                <c:pt idx="4">
                  <c:v>156.1056</c:v>
                </c:pt>
              </c:numCache>
            </c:numRef>
          </c:val>
          <c:smooth val="0"/>
        </c:ser>
        <c:dLbls>
          <c:showLegendKey val="0"/>
          <c:showVal val="1"/>
          <c:showCatName val="0"/>
          <c:showSerName val="0"/>
          <c:showPercent val="0"/>
          <c:showBubbleSize val="0"/>
        </c:dLbls>
        <c:marker val="0"/>
        <c:smooth val="0"/>
        <c:axId val="244848896"/>
        <c:axId val="266802304"/>
      </c:lineChart>
      <c:catAx>
        <c:axId val="24484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66802304"/>
        <c:crosses val="autoZero"/>
        <c:auto val="1"/>
        <c:lblAlgn val="ctr"/>
        <c:lblOffset val="100"/>
        <c:noMultiLvlLbl val="0"/>
      </c:catAx>
      <c:valAx>
        <c:axId val="26680230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44848896"/>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9833a773-58de-4fa0-8ca1-0e3c27e8d6e2}"/>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AD04D2B-074E-4EA1-9B2D-CE9442D59AA4}">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46</Pages>
  <Words>9892</Words>
  <Characters>10716</Characters>
  <Lines>229</Lines>
  <Paragraphs>64</Paragraphs>
  <TotalTime>0</TotalTime>
  <ScaleCrop>false</ScaleCrop>
  <LinksUpToDate>false</LinksUpToDate>
  <CharactersWithSpaces>10875</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2025-05-16T05:08:00Z</dcterms:created>
  <dc:creator>PC</dc:creator>
  <cp:lastModifiedBy>齐宜光</cp:lastModifiedBy>
  <dcterms:modified xsi:type="dcterms:W3CDTF">2025-05-26T01:32:05Z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KSOTemplateDocerSaveRecord">
    <vt:lpwstr>eyJoZGlkIjoiYTU0ZTRmOWMwYTlmODE3ZmU0OGMxODdhMzY4NDExOTAiLCJ1c2VySWQiOiIyMzYyNjQ1MDYifQ==</vt:lpwstr>
  </property>
  <property fmtid="{D5CDD505-2E9C-101B-9397-08002B2CF9AE}" pid="4" name="ICV">
    <vt:lpwstr>55B14002CEB2491783553B373041FDA7_12</vt:lpwstr>
  </property>
</Properties>
</file>