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37C5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9C8C489">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418F13C">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32432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D653B8C">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AE45CD1">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F10AAF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2E20847">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4404</w:t>
            </w:r>
            <w:r>
              <w:fldChar w:fldCharType="end"/>
            </w:r>
            <w:bookmarkEnd w:id="3"/>
          </w:p>
        </w:tc>
      </w:tr>
    </w:tbl>
    <w:p w14:paraId="474D1F5D">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珠</w:t>
      </w:r>
      <w:r>
        <w:rPr>
          <w:rFonts w:hint="eastAsia" w:ascii="黑体" w:eastAsia="黑体"/>
          <w:b w:val="0"/>
          <w:w w:val="100"/>
          <w:sz w:val="48"/>
        </w:rPr>
        <w:t>海市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AAC0481">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4404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36A7242">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36677A6">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0008886">
      <w:pPr>
        <w:pStyle w:val="50"/>
        <w:framePr w:w="9639" w:h="6976" w:hRule="exact" w:hSpace="0" w:vSpace="0" w:wrap="around" w:hAnchor="page" w:y="6408"/>
        <w:jc w:val="center"/>
        <w:rPr>
          <w:rFonts w:ascii="黑体" w:hAnsi="黑体" w:eastAsia="黑体"/>
          <w:b w:val="0"/>
          <w:bCs w:val="0"/>
          <w:w w:val="100"/>
        </w:rPr>
      </w:pPr>
    </w:p>
    <w:p w14:paraId="4732C25C">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海产品预制菜冷链配送规范</w:t>
      </w:r>
      <w:r>
        <w:fldChar w:fldCharType="end"/>
      </w:r>
      <w:bookmarkEnd w:id="9"/>
    </w:p>
    <w:p w14:paraId="486EBC31">
      <w:pPr>
        <w:framePr w:w="9639" w:h="6974" w:hRule="exact" w:wrap="around" w:vAnchor="page" w:hAnchor="page" w:x="1419" w:y="6408" w:anchorLock="1"/>
        <w:ind w:left="-1418"/>
      </w:pPr>
    </w:p>
    <w:p w14:paraId="618D317B">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Specification of seafood prepared dishes coid chain distribution</w:t>
      </w:r>
      <w:r>
        <w:rPr>
          <w:rFonts w:ascii="黑体" w:hAnsi="黑体" w:eastAsia="黑体"/>
          <w:szCs w:val="28"/>
        </w:rPr>
        <w:fldChar w:fldCharType="end"/>
      </w:r>
      <w:bookmarkEnd w:id="10"/>
    </w:p>
    <w:p w14:paraId="709F15EF">
      <w:pPr>
        <w:framePr w:w="9639" w:h="6974" w:hRule="exact" w:wrap="around" w:vAnchor="page" w:hAnchor="page" w:x="1419" w:y="6408" w:anchorLock="1"/>
        <w:spacing w:line="760" w:lineRule="exact"/>
        <w:ind w:left="-1418"/>
      </w:pPr>
    </w:p>
    <w:p w14:paraId="43838342">
      <w:pPr>
        <w:pStyle w:val="125"/>
        <w:framePr w:w="9639" w:h="6974" w:hRule="exact" w:wrap="around" w:vAnchor="page" w:hAnchor="page" w:x="1419" w:y="6408" w:anchorLock="1"/>
        <w:textAlignment w:val="bottom"/>
        <w:rPr>
          <w:rFonts w:eastAsia="黑体"/>
          <w:szCs w:val="28"/>
        </w:rPr>
      </w:pPr>
    </w:p>
    <w:p w14:paraId="78E854E2">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16792D2">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4EC330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3CE8645">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91372EB">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4BCDD29">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珠海市市场监督管理局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3B0B82F">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8FBE3BB">
      <w:pPr>
        <w:pStyle w:val="89"/>
        <w:spacing w:before="900" w:after="468"/>
      </w:pPr>
      <w:bookmarkStart w:id="21" w:name="BookMark2"/>
      <w:r>
        <w:rPr>
          <w:spacing w:val="320"/>
        </w:rPr>
        <w:t>前</w:t>
      </w:r>
      <w:r>
        <w:t>言</w:t>
      </w:r>
    </w:p>
    <w:p w14:paraId="0A1269B3">
      <w:pPr>
        <w:pStyle w:val="56"/>
        <w:ind w:firstLine="420"/>
      </w:pPr>
      <w:r>
        <w:rPr>
          <w:rFonts w:hint="eastAsia"/>
        </w:rPr>
        <w:t>本文件按照GB/T 1.1—2020《标准化工作导则  第1部分：标准化文件的结构和起草规则》的规定起草。</w:t>
      </w:r>
    </w:p>
    <w:p w14:paraId="7C2ED468">
      <w:pPr>
        <w:pStyle w:val="56"/>
        <w:ind w:firstLine="420"/>
      </w:pPr>
      <w:r>
        <w:rPr>
          <w:rFonts w:hint="eastAsia"/>
        </w:rPr>
        <w:t>请注意本文件的某些内容可能涉及专利。本文件的发布机构不承担识别专利的责任。</w:t>
      </w:r>
    </w:p>
    <w:p w14:paraId="648435B1">
      <w:pPr>
        <w:pStyle w:val="56"/>
        <w:ind w:firstLine="420"/>
      </w:pPr>
      <w:r>
        <w:rPr>
          <w:rFonts w:hint="eastAsia"/>
        </w:rPr>
        <w:t>本文件由珠海万山海洋开发试验区市场监督管理局提出。</w:t>
      </w:r>
    </w:p>
    <w:p w14:paraId="6AB36F74">
      <w:pPr>
        <w:pStyle w:val="56"/>
        <w:ind w:firstLine="420"/>
      </w:pPr>
      <w:r>
        <w:rPr>
          <w:rFonts w:hint="eastAsia"/>
        </w:rPr>
        <w:t>本文件由珠海市市场监督管理局归口。</w:t>
      </w:r>
    </w:p>
    <w:p w14:paraId="36114CE4">
      <w:pPr>
        <w:pStyle w:val="56"/>
        <w:ind w:firstLine="420"/>
      </w:pPr>
      <w:r>
        <w:rPr>
          <w:rFonts w:hint="eastAsia"/>
        </w:rPr>
        <w:t>本文件起草单位：</w:t>
      </w:r>
    </w:p>
    <w:p w14:paraId="33AC3132">
      <w:pPr>
        <w:pStyle w:val="56"/>
        <w:ind w:firstLine="420"/>
      </w:pPr>
      <w:r>
        <w:rPr>
          <w:rFonts w:hint="eastAsia"/>
        </w:rPr>
        <w:t>本文件主要起草人：</w:t>
      </w:r>
    </w:p>
    <w:p w14:paraId="4D9EE8D5">
      <w:pPr>
        <w:pStyle w:val="56"/>
        <w:ind w:firstLine="420"/>
      </w:pPr>
    </w:p>
    <w:p w14:paraId="38263B20">
      <w:pPr>
        <w:pStyle w:val="56"/>
        <w:ind w:firstLine="42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01DF2F7C">
      <w:pPr>
        <w:spacing w:line="20" w:lineRule="exact"/>
        <w:jc w:val="center"/>
        <w:rPr>
          <w:rFonts w:ascii="黑体" w:hAnsi="黑体" w:eastAsia="黑体"/>
          <w:sz w:val="32"/>
          <w:szCs w:val="32"/>
        </w:rPr>
      </w:pPr>
      <w:bookmarkStart w:id="22" w:name="BookMark4"/>
    </w:p>
    <w:p w14:paraId="646CE316">
      <w:pPr>
        <w:spacing w:line="20" w:lineRule="exact"/>
        <w:jc w:val="center"/>
        <w:rPr>
          <w:rFonts w:ascii="黑体" w:hAnsi="黑体" w:eastAsia="黑体"/>
          <w:sz w:val="32"/>
          <w:szCs w:val="32"/>
        </w:rPr>
      </w:pPr>
    </w:p>
    <w:sdt>
      <w:sdtPr>
        <w:tag w:val="NEW_STAND_NAME"/>
        <w:id w:val="595910757"/>
        <w:lock w:val="sdtLocked"/>
        <w:placeholder>
          <w:docPart w:val="7F95B5F20C54406FAEE79FEF7672C127"/>
        </w:placeholder>
      </w:sdtPr>
      <w:sdtContent>
        <w:p w14:paraId="1C65330B">
          <w:pPr>
            <w:pStyle w:val="177"/>
            <w:spacing w:before="312" w:beforeLines="100" w:after="686" w:afterLines="220"/>
          </w:pPr>
          <w:bookmarkStart w:id="23" w:name="NEW_STAND_NAME"/>
          <w:r>
            <w:rPr>
              <w:rFonts w:hint="eastAsia"/>
            </w:rPr>
            <w:t>海产品预制菜冷链配送规范</w:t>
          </w:r>
        </w:p>
      </w:sdtContent>
    </w:sdt>
    <w:bookmarkEnd w:id="23"/>
    <w:p w14:paraId="46DF642D">
      <w:pPr>
        <w:pStyle w:val="104"/>
        <w:spacing w:before="312" w:after="312"/>
      </w:pPr>
      <w:bookmarkStart w:id="24" w:name="_Toc17233325"/>
      <w:bookmarkStart w:id="25" w:name="_Toc17233333"/>
      <w:bookmarkStart w:id="26" w:name="_Toc24884211"/>
      <w:bookmarkStart w:id="27" w:name="_Toc24884218"/>
      <w:bookmarkStart w:id="28" w:name="_Toc26986530"/>
      <w:bookmarkStart w:id="29" w:name="_Toc97191423"/>
      <w:bookmarkStart w:id="30" w:name="_Toc26986771"/>
      <w:bookmarkStart w:id="31" w:name="_Toc26648465"/>
      <w:bookmarkStart w:id="32" w:name="_Toc26718930"/>
      <w:r>
        <w:rPr>
          <w:rFonts w:hint="eastAsia"/>
        </w:rPr>
        <w:t>范围</w:t>
      </w:r>
      <w:bookmarkEnd w:id="24"/>
      <w:bookmarkEnd w:id="25"/>
      <w:bookmarkEnd w:id="26"/>
      <w:bookmarkEnd w:id="27"/>
      <w:bookmarkEnd w:id="28"/>
      <w:bookmarkEnd w:id="29"/>
      <w:bookmarkEnd w:id="30"/>
      <w:bookmarkEnd w:id="31"/>
      <w:bookmarkEnd w:id="32"/>
    </w:p>
    <w:p w14:paraId="3B38B52E">
      <w:pPr>
        <w:pStyle w:val="56"/>
        <w:ind w:firstLine="420"/>
      </w:pPr>
      <w:bookmarkStart w:id="33" w:name="_Toc17233334"/>
      <w:bookmarkStart w:id="34" w:name="_Toc24884212"/>
      <w:bookmarkStart w:id="35" w:name="_Toc17233326"/>
      <w:bookmarkStart w:id="36" w:name="_Toc26648466"/>
      <w:bookmarkStart w:id="37" w:name="_Toc24884219"/>
      <w:r>
        <w:rPr>
          <w:rFonts w:hint="eastAsia"/>
        </w:rPr>
        <w:t>本文件规定了海产品预制菜冷链配送的术语和定义、基本要求、管理要求、配送过程控制、销售终端、质量管理、产品追溯与召回等要求。</w:t>
      </w:r>
    </w:p>
    <w:p w14:paraId="5560050B">
      <w:pPr>
        <w:pStyle w:val="56"/>
        <w:ind w:firstLine="420"/>
      </w:pPr>
      <w:r>
        <w:rPr>
          <w:rFonts w:hint="eastAsia"/>
        </w:rPr>
        <w:t>本文件适用于海产品预制菜冷链配送的过程管理，其他预制菜的冷链配送可参照执行。</w:t>
      </w:r>
    </w:p>
    <w:p w14:paraId="2E07095F">
      <w:pPr>
        <w:pStyle w:val="104"/>
        <w:spacing w:before="312" w:after="312"/>
      </w:pPr>
      <w:bookmarkStart w:id="38" w:name="_Toc26718931"/>
      <w:bookmarkStart w:id="39" w:name="_Toc269865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90AD25A2C05B4BB09E71951A2F4F06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CE727D8">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F6E0AE7">
      <w:pPr>
        <w:pStyle w:val="56"/>
        <w:ind w:firstLine="420"/>
      </w:pPr>
      <w:r>
        <w:rPr>
          <w:rFonts w:hint="eastAsia"/>
        </w:rPr>
        <w:t>GB 4806.7</w:t>
      </w:r>
      <w:r>
        <w:t xml:space="preserve">  </w:t>
      </w:r>
      <w:r>
        <w:rPr>
          <w:rFonts w:hint="eastAsia"/>
        </w:rPr>
        <w:t>食品安全国家标准 食品接触用塑料材料及制品</w:t>
      </w:r>
    </w:p>
    <w:p w14:paraId="1EA5211C">
      <w:pPr>
        <w:pStyle w:val="56"/>
        <w:ind w:firstLine="420"/>
      </w:pPr>
      <w:r>
        <w:rPr>
          <w:rFonts w:hint="eastAsia"/>
        </w:rPr>
        <w:t>GB/T 6543</w:t>
      </w:r>
      <w:r>
        <w:t xml:space="preserve">  </w:t>
      </w:r>
      <w:r>
        <w:rPr>
          <w:rFonts w:hint="eastAsia"/>
        </w:rPr>
        <w:t>运输包装用单瓦楞纸箱和双瓦楞纸箱</w:t>
      </w:r>
    </w:p>
    <w:p w14:paraId="28B5C890">
      <w:pPr>
        <w:pStyle w:val="56"/>
        <w:ind w:firstLine="420"/>
      </w:pPr>
      <w:r>
        <w:rPr>
          <w:rFonts w:hint="eastAsia"/>
        </w:rPr>
        <w:t>GB 7718</w:t>
      </w:r>
      <w:r>
        <w:t xml:space="preserve">  </w:t>
      </w:r>
      <w:r>
        <w:rPr>
          <w:rFonts w:hint="eastAsia"/>
        </w:rPr>
        <w:t>食品安全国家标准 预包装食品标签通则</w:t>
      </w:r>
    </w:p>
    <w:p w14:paraId="6BE952AC">
      <w:pPr>
        <w:pStyle w:val="56"/>
        <w:ind w:firstLine="420"/>
      </w:pPr>
      <w:r>
        <w:rPr>
          <w:rFonts w:hint="eastAsia"/>
        </w:rPr>
        <w:t>GB 14881</w:t>
      </w:r>
      <w:r>
        <w:t xml:space="preserve">  </w:t>
      </w:r>
      <w:r>
        <w:rPr>
          <w:rFonts w:hint="eastAsia"/>
        </w:rPr>
        <w:t>食品安全国家标准 食品生产通用卫生规范</w:t>
      </w:r>
    </w:p>
    <w:p w14:paraId="3C854B9A">
      <w:pPr>
        <w:pStyle w:val="56"/>
        <w:ind w:firstLine="420"/>
      </w:pPr>
      <w:r>
        <w:rPr>
          <w:rFonts w:hint="eastAsia"/>
        </w:rPr>
        <w:t>GB/T 22005</w:t>
      </w:r>
      <w:r>
        <w:t xml:space="preserve">  </w:t>
      </w:r>
      <w:r>
        <w:rPr>
          <w:rFonts w:hint="eastAsia"/>
        </w:rPr>
        <w:t>饲料和食品链的可追溯性、体系设计与实施的通用原则和基本要求</w:t>
      </w:r>
    </w:p>
    <w:p w14:paraId="77695B7C">
      <w:pPr>
        <w:pStyle w:val="56"/>
        <w:ind w:firstLine="420"/>
      </w:pPr>
      <w:r>
        <w:rPr>
          <w:rFonts w:hint="eastAsia"/>
        </w:rPr>
        <w:t>GB 31605</w:t>
      </w:r>
      <w:r>
        <w:t xml:space="preserve">  </w:t>
      </w:r>
      <w:r>
        <w:rPr>
          <w:rFonts w:hint="eastAsia"/>
        </w:rPr>
        <w:t>食品安全国家标准 食品冷链物流卫生规范</w:t>
      </w:r>
    </w:p>
    <w:p w14:paraId="682CB7EA">
      <w:pPr>
        <w:pStyle w:val="56"/>
        <w:ind w:firstLine="420"/>
      </w:pPr>
      <w:r>
        <w:rPr>
          <w:rFonts w:hint="eastAsia"/>
        </w:rPr>
        <w:t>GB 31621</w:t>
      </w:r>
      <w:r>
        <w:t xml:space="preserve">  </w:t>
      </w:r>
      <w:r>
        <w:rPr>
          <w:rFonts w:hint="eastAsia"/>
        </w:rPr>
        <w:t>食品安全国家标准 食品经营过程卫生规范</w:t>
      </w:r>
    </w:p>
    <w:p w14:paraId="5601B5C3">
      <w:pPr>
        <w:pStyle w:val="56"/>
        <w:ind w:firstLine="420"/>
      </w:pPr>
      <w:r>
        <w:rPr>
          <w:rFonts w:hint="eastAsia"/>
        </w:rPr>
        <w:t>GB/T 40956</w:t>
      </w:r>
      <w:r>
        <w:t xml:space="preserve">  </w:t>
      </w:r>
      <w:r>
        <w:rPr>
          <w:rFonts w:hint="eastAsia"/>
        </w:rPr>
        <w:t>食品冷链物流交接规范</w:t>
      </w:r>
    </w:p>
    <w:p w14:paraId="418584E6">
      <w:pPr>
        <w:pStyle w:val="104"/>
        <w:spacing w:before="312" w:after="312"/>
      </w:pPr>
      <w:bookmarkStart w:id="42" w:name="_Toc97191425"/>
      <w:r>
        <w:rPr>
          <w:rFonts w:hint="eastAsia"/>
          <w:szCs w:val="21"/>
        </w:rPr>
        <w:t>术语和定义</w:t>
      </w:r>
      <w:bookmarkEnd w:id="42"/>
    </w:p>
    <w:sdt>
      <w:sdtPr>
        <w:id w:val="-1909835108"/>
        <w:placeholder>
          <w:docPart w:val="4B44B591AAB04341AA3D808426470F7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CE8063F">
          <w:pPr>
            <w:pStyle w:val="56"/>
            <w:ind w:firstLine="420"/>
          </w:pPr>
          <w:bookmarkStart w:id="43" w:name="_Toc26986532"/>
          <w:bookmarkEnd w:id="43"/>
          <w:r>
            <w:t>下列术语和定义适用于本文件。</w:t>
          </w:r>
        </w:p>
      </w:sdtContent>
    </w:sdt>
    <w:p w14:paraId="1377D83D">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海产品预制菜  prepared dishes</w:t>
      </w:r>
    </w:p>
    <w:p w14:paraId="5FBD2E9A">
      <w:pPr>
        <w:pStyle w:val="56"/>
        <w:ind w:firstLine="420"/>
      </w:pPr>
      <w:r>
        <w:rPr>
          <w:rFonts w:hint="eastAsia"/>
        </w:rPr>
        <w:t>以海产品及其制品为原料，使用或不使用调味料等辅料，不添加防腐剂，经工业化预加工（如搅拌、腌制、滚揉、成型、炒、炸、烤、煮、蒸等）制成，配以或不配以调味料包，符合产品标签标明的贮存、运输及销售条件，加热或熟制后方可食用的预制菜。</w:t>
      </w:r>
    </w:p>
    <w:p w14:paraId="4C7403A9">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冷链配送</w:t>
      </w:r>
      <w:r>
        <w:rPr>
          <w:rFonts w:ascii="黑体" w:hAnsi="黑体" w:eastAsia="黑体"/>
        </w:rPr>
        <w:t xml:space="preserve">  </w:t>
      </w:r>
      <w:r>
        <w:rPr>
          <w:rFonts w:hint="eastAsia" w:ascii="黑体" w:hAnsi="黑体" w:eastAsia="黑体"/>
        </w:rPr>
        <w:t>cold chain distribution</w:t>
      </w:r>
    </w:p>
    <w:p w14:paraId="61FE0564">
      <w:pPr>
        <w:pStyle w:val="56"/>
        <w:ind w:firstLine="420"/>
      </w:pPr>
      <w:r>
        <w:rPr>
          <w:rFonts w:hint="eastAsia"/>
        </w:rPr>
        <w:t>根据用户要求和物品特性，从生产到消费的过程中使物品始终处于保持其品质所需温度、环境的实体流动过程。</w:t>
      </w:r>
    </w:p>
    <w:p w14:paraId="54B71EE5">
      <w:pPr>
        <w:pStyle w:val="104"/>
        <w:spacing w:before="312" w:after="312"/>
      </w:pPr>
      <w:r>
        <w:rPr>
          <w:rFonts w:hint="eastAsia"/>
        </w:rPr>
        <w:t>基本要求</w:t>
      </w:r>
    </w:p>
    <w:p w14:paraId="05288BCF">
      <w:pPr>
        <w:pStyle w:val="162"/>
      </w:pPr>
      <w:r>
        <w:rPr>
          <w:rFonts w:hint="eastAsia"/>
        </w:rPr>
        <w:t>海产品预制菜生产企业应符合GB 14881及相应类别产品卫生规范的规定。</w:t>
      </w:r>
    </w:p>
    <w:p w14:paraId="452B44AF">
      <w:pPr>
        <w:pStyle w:val="162"/>
      </w:pPr>
      <w:r>
        <w:rPr>
          <w:rFonts w:hint="eastAsia"/>
        </w:rPr>
        <w:t>海产品预制菜冷链物流卫生应符合 GB 31605的要求。</w:t>
      </w:r>
    </w:p>
    <w:p w14:paraId="753C9CD7">
      <w:pPr>
        <w:pStyle w:val="162"/>
      </w:pPr>
      <w:r>
        <w:rPr>
          <w:rFonts w:hint="eastAsia"/>
        </w:rPr>
        <w:t>海产品预制菜冷链配送过程中所有交接活动应符合GB/T 40956的要求。</w:t>
      </w:r>
    </w:p>
    <w:p w14:paraId="4EB3641A">
      <w:pPr>
        <w:pStyle w:val="104"/>
        <w:spacing w:before="312" w:after="312"/>
      </w:pPr>
      <w:r>
        <w:rPr>
          <w:rFonts w:hint="eastAsia"/>
        </w:rPr>
        <w:t>管理要求</w:t>
      </w:r>
    </w:p>
    <w:p w14:paraId="34922330">
      <w:pPr>
        <w:pStyle w:val="105"/>
        <w:spacing w:before="156" w:after="156"/>
      </w:pPr>
      <w:r>
        <w:rPr>
          <w:rFonts w:hint="eastAsia"/>
        </w:rPr>
        <w:t>设施设备要求</w:t>
      </w:r>
    </w:p>
    <w:p w14:paraId="28CADE8B">
      <w:pPr>
        <w:pStyle w:val="165"/>
      </w:pPr>
      <w:r>
        <w:rPr>
          <w:rFonts w:hint="eastAsia"/>
        </w:rPr>
        <w:t>海产品预制菜生产企业的厂房建设、布局和环境卫生要求应满足GB 14881的相关规定。</w:t>
      </w:r>
    </w:p>
    <w:p w14:paraId="3010FA87">
      <w:pPr>
        <w:pStyle w:val="165"/>
      </w:pPr>
      <w:r>
        <w:rPr>
          <w:rFonts w:hint="eastAsia"/>
        </w:rPr>
        <w:t>应根据海产品预制菜产品特性配备原辅料及成品的常温、冷藏、冷冻库，并具有温、湿度显示和记录装置。</w:t>
      </w:r>
    </w:p>
    <w:p w14:paraId="7192169C">
      <w:pPr>
        <w:pStyle w:val="165"/>
      </w:pPr>
      <w:r>
        <w:rPr>
          <w:rFonts w:hint="eastAsia"/>
        </w:rPr>
        <w:t>应配有封闭的保温和冷藏配送车辆,车厢外部应设有能直接观察的测温仪或监控运输途中厢体内温度的自动测温仪。</w:t>
      </w:r>
    </w:p>
    <w:p w14:paraId="71BA6C7D">
      <w:pPr>
        <w:pStyle w:val="105"/>
        <w:spacing w:before="156" w:after="156"/>
      </w:pPr>
      <w:r>
        <w:rPr>
          <w:rFonts w:hint="eastAsia"/>
        </w:rPr>
        <w:t>人员要求</w:t>
      </w:r>
    </w:p>
    <w:p w14:paraId="78A6BD38">
      <w:pPr>
        <w:pStyle w:val="165"/>
      </w:pPr>
      <w:r>
        <w:rPr>
          <w:rFonts w:hint="eastAsia"/>
        </w:rPr>
        <w:t>应配备满足冷链配送服务的相关从业人员，包括管理人员、仓管人员、配送人员等。</w:t>
      </w:r>
    </w:p>
    <w:p w14:paraId="78BA1C1B">
      <w:pPr>
        <w:pStyle w:val="165"/>
      </w:pPr>
      <w:r>
        <w:rPr>
          <w:rFonts w:hint="eastAsia"/>
        </w:rPr>
        <w:t>从业人员应接受运输、贮存、配送、交接及突发状况应急处理等相关知识和技能培训，具备相应的能力。</w:t>
      </w:r>
    </w:p>
    <w:p w14:paraId="1248514D">
      <w:pPr>
        <w:pStyle w:val="165"/>
      </w:pPr>
      <w:r>
        <w:rPr>
          <w:rFonts w:hint="eastAsia"/>
        </w:rPr>
        <w:t>直接接触食品的从业人员应有健康合格证明。</w:t>
      </w:r>
    </w:p>
    <w:p w14:paraId="3ABFEB77">
      <w:pPr>
        <w:pStyle w:val="105"/>
        <w:spacing w:before="156" w:after="156"/>
      </w:pPr>
      <w:r>
        <w:rPr>
          <w:rFonts w:hint="eastAsia"/>
        </w:rPr>
        <w:t>包装要求</w:t>
      </w:r>
    </w:p>
    <w:p w14:paraId="17D52898">
      <w:pPr>
        <w:pStyle w:val="165"/>
      </w:pPr>
      <w:r>
        <w:rPr>
          <w:rFonts w:hint="eastAsia"/>
        </w:rPr>
        <w:t>海产品预制菜的内包装材料应符合GB 4806.7的规定，外包装材料应符合GB/T 6543的规定。</w:t>
      </w:r>
    </w:p>
    <w:p w14:paraId="3D1E641C">
      <w:pPr>
        <w:pStyle w:val="165"/>
      </w:pPr>
      <w:r>
        <w:rPr>
          <w:rFonts w:hint="eastAsia"/>
        </w:rPr>
        <w:t>海产品预制菜的标签应符合GB 7718的规定。</w:t>
      </w:r>
    </w:p>
    <w:p w14:paraId="5BB5008A">
      <w:pPr>
        <w:pStyle w:val="165"/>
      </w:pPr>
      <w:r>
        <w:rPr>
          <w:rFonts w:hint="eastAsia"/>
        </w:rPr>
        <w:t>包装材料及包装方式应确保海产品预制菜在正常储存、运输、销售过程中不产生变质或遭受外界污染。</w:t>
      </w:r>
    </w:p>
    <w:p w14:paraId="3E8A1DD5">
      <w:pPr>
        <w:pStyle w:val="104"/>
        <w:spacing w:before="312" w:after="312"/>
      </w:pPr>
      <w:r>
        <w:rPr>
          <w:rFonts w:hint="eastAsia"/>
        </w:rPr>
        <w:t>配送过程控制</w:t>
      </w:r>
    </w:p>
    <w:p w14:paraId="790F8E6A">
      <w:pPr>
        <w:pStyle w:val="105"/>
        <w:spacing w:before="156" w:after="156"/>
      </w:pPr>
      <w:r>
        <w:rPr>
          <w:rFonts w:hint="eastAsia"/>
        </w:rPr>
        <w:t>配送前管理</w:t>
      </w:r>
    </w:p>
    <w:p w14:paraId="4FAB9D5C">
      <w:pPr>
        <w:pStyle w:val="165"/>
      </w:pPr>
      <w:r>
        <w:rPr>
          <w:rFonts w:hint="eastAsia"/>
        </w:rPr>
        <w:t>海产品预制菜经加工后，根据温控要求进行分类贮存和发货，并做好记录便于追溯。</w:t>
      </w:r>
    </w:p>
    <w:p w14:paraId="0B915B62">
      <w:pPr>
        <w:pStyle w:val="165"/>
      </w:pPr>
      <w:r>
        <w:rPr>
          <w:rFonts w:hint="eastAsia"/>
        </w:rPr>
        <w:t>每次配送前应对冷链车车厢进行清洗消毒。</w:t>
      </w:r>
    </w:p>
    <w:p w14:paraId="143A6D9F">
      <w:pPr>
        <w:pStyle w:val="165"/>
      </w:pPr>
      <w:r>
        <w:rPr>
          <w:rFonts w:hint="eastAsia"/>
        </w:rPr>
        <w:t>车辆货物装载前应进行冷链车预冷。</w:t>
      </w:r>
    </w:p>
    <w:p w14:paraId="23912739">
      <w:pPr>
        <w:pStyle w:val="105"/>
        <w:spacing w:before="156" w:after="156"/>
      </w:pPr>
      <w:r>
        <w:rPr>
          <w:rFonts w:hint="eastAsia"/>
        </w:rPr>
        <w:t>运输过程与记录</w:t>
      </w:r>
    </w:p>
    <w:p w14:paraId="4AF87D54">
      <w:pPr>
        <w:pStyle w:val="165"/>
      </w:pPr>
      <w:r>
        <w:rPr>
          <w:rFonts w:hint="eastAsia"/>
        </w:rPr>
        <w:t>按规定时间发车，合理安排配送路线，配送途中对车辆运行轨迹进行实时监测。</w:t>
      </w:r>
    </w:p>
    <w:p w14:paraId="5019DA69">
      <w:pPr>
        <w:pStyle w:val="165"/>
      </w:pPr>
      <w:r>
        <w:rPr>
          <w:rFonts w:hint="eastAsia"/>
        </w:rPr>
        <w:t>运输过程中车厢保持均衡制冷并对温湿度变化进行实时动态数据监测。</w:t>
      </w:r>
    </w:p>
    <w:p w14:paraId="1F5EE4F2">
      <w:pPr>
        <w:pStyle w:val="165"/>
      </w:pPr>
      <w:r>
        <w:rPr>
          <w:rFonts w:hint="eastAsia"/>
        </w:rPr>
        <w:t>配送期间，减少车厢门的开启次数和时间。</w:t>
      </w:r>
    </w:p>
    <w:p w14:paraId="79BAF002">
      <w:pPr>
        <w:pStyle w:val="165"/>
      </w:pPr>
      <w:r>
        <w:rPr>
          <w:rFonts w:hint="eastAsia"/>
        </w:rPr>
        <w:t>保留装卸货的时间记录、车厢温度记录、运输配送期间制冷系统的运转时间记录。</w:t>
      </w:r>
    </w:p>
    <w:p w14:paraId="1816304B">
      <w:pPr>
        <w:pStyle w:val="165"/>
      </w:pPr>
      <w:r>
        <w:rPr>
          <w:rFonts w:hint="eastAsia"/>
        </w:rPr>
        <w:t>记录做好分类存档，记录保存期限根据需求12个月～36个月。</w:t>
      </w:r>
    </w:p>
    <w:p w14:paraId="203C5B99">
      <w:pPr>
        <w:pStyle w:val="105"/>
        <w:spacing w:before="156" w:after="156"/>
      </w:pPr>
      <w:r>
        <w:rPr>
          <w:rFonts w:hint="eastAsia"/>
        </w:rPr>
        <w:t>卸货与交接验收</w:t>
      </w:r>
    </w:p>
    <w:p w14:paraId="0A96011A">
      <w:pPr>
        <w:pStyle w:val="165"/>
      </w:pPr>
      <w:r>
        <w:rPr>
          <w:rFonts w:hint="eastAsia"/>
        </w:rPr>
        <w:t>按照送货合同在规定的时间、地点交货，在海产品预制菜送达前，提前联系收货人，做好收货准备。</w:t>
      </w:r>
    </w:p>
    <w:p w14:paraId="3590191A">
      <w:pPr>
        <w:pStyle w:val="165"/>
      </w:pPr>
      <w:r>
        <w:rPr>
          <w:rFonts w:hint="eastAsia"/>
        </w:rPr>
        <w:t>交接时当面确认海产品预制菜产品种类、数量、温度等信息，确认无误后由收货方签字确认。</w:t>
      </w:r>
    </w:p>
    <w:p w14:paraId="416CA1BB">
      <w:pPr>
        <w:pStyle w:val="165"/>
      </w:pPr>
      <w:r>
        <w:rPr>
          <w:rFonts w:hint="eastAsia"/>
        </w:rPr>
        <w:t>查验海产品预制菜产品温度、外观并记录，当温度或食品状态异常时，应不予接收。</w:t>
      </w:r>
    </w:p>
    <w:p w14:paraId="318AD0F7">
      <w:pPr>
        <w:pStyle w:val="104"/>
        <w:spacing w:before="312" w:after="312"/>
      </w:pPr>
      <w:r>
        <w:rPr>
          <w:rFonts w:hint="eastAsia"/>
        </w:rPr>
        <w:t>销售终端</w:t>
      </w:r>
    </w:p>
    <w:p w14:paraId="7477238A">
      <w:pPr>
        <w:pStyle w:val="162"/>
      </w:pPr>
      <w:r>
        <w:rPr>
          <w:rFonts w:hint="eastAsia"/>
        </w:rPr>
        <w:t>配具备能够控制温度、湿度的装置及除霜功能，且具备实时温湿度监测的展售柜。</w:t>
      </w:r>
    </w:p>
    <w:p w14:paraId="3A21BF31">
      <w:pPr>
        <w:pStyle w:val="162"/>
      </w:pPr>
      <w:r>
        <w:rPr>
          <w:rFonts w:hint="eastAsia"/>
        </w:rPr>
        <w:t>展售柜保持清洁，定期对展售柜进行清洗消毒。</w:t>
      </w:r>
    </w:p>
    <w:p w14:paraId="6FF19FC8">
      <w:pPr>
        <w:pStyle w:val="162"/>
      </w:pPr>
      <w:r>
        <w:rPr>
          <w:rFonts w:hint="eastAsia"/>
        </w:rPr>
        <w:t>与有异味、有腐蚀性、易污染的货品分开码放。</w:t>
      </w:r>
    </w:p>
    <w:p w14:paraId="4C371D8F">
      <w:pPr>
        <w:pStyle w:val="104"/>
        <w:spacing w:before="312" w:after="312"/>
      </w:pPr>
      <w:bookmarkStart w:id="45" w:name="_GoBack"/>
      <w:bookmarkEnd w:id="45"/>
      <w:r>
        <w:rPr>
          <w:rFonts w:hint="eastAsia"/>
        </w:rPr>
        <w:t>质量管理</w:t>
      </w:r>
    </w:p>
    <w:p w14:paraId="00FFE97A">
      <w:pPr>
        <w:pStyle w:val="105"/>
        <w:spacing w:before="156" w:after="156"/>
      </w:pPr>
      <w:r>
        <w:rPr>
          <w:rFonts w:hint="eastAsia"/>
        </w:rPr>
        <w:t>文件管理要求</w:t>
      </w:r>
    </w:p>
    <w:p w14:paraId="1A1EF462">
      <w:pPr>
        <w:pStyle w:val="165"/>
      </w:pPr>
      <w:r>
        <w:rPr>
          <w:rFonts w:hint="eastAsia"/>
        </w:rPr>
        <w:t>应符合 GB 31621 的相关规定，建立但不限于以下文件:</w:t>
      </w:r>
    </w:p>
    <w:p w14:paraId="5377014D">
      <w:pPr>
        <w:pStyle w:val="174"/>
      </w:pPr>
      <w:r>
        <w:rPr>
          <w:rFonts w:hint="eastAsia"/>
        </w:rPr>
        <w:t>产品标准；</w:t>
      </w:r>
    </w:p>
    <w:p w14:paraId="6516C199">
      <w:pPr>
        <w:pStyle w:val="174"/>
      </w:pPr>
      <w:r>
        <w:rPr>
          <w:rFonts w:hint="eastAsia"/>
        </w:rPr>
        <w:t>岗位责任制；</w:t>
      </w:r>
    </w:p>
    <w:p w14:paraId="71B96BBF">
      <w:pPr>
        <w:pStyle w:val="174"/>
      </w:pPr>
      <w:r>
        <w:rPr>
          <w:rFonts w:hint="eastAsia"/>
        </w:rPr>
        <w:t>突发事件应急预案；</w:t>
      </w:r>
    </w:p>
    <w:p w14:paraId="49253581">
      <w:pPr>
        <w:pStyle w:val="174"/>
      </w:pPr>
      <w:r>
        <w:rPr>
          <w:rFonts w:hint="eastAsia"/>
        </w:rPr>
        <w:t>人员培训制度；</w:t>
      </w:r>
    </w:p>
    <w:p w14:paraId="5AFF76EA">
      <w:pPr>
        <w:pStyle w:val="174"/>
      </w:pPr>
      <w:r>
        <w:rPr>
          <w:rFonts w:hint="eastAsia"/>
        </w:rPr>
        <w:t>卫生管理规定；</w:t>
      </w:r>
    </w:p>
    <w:p w14:paraId="7A8F1FBA">
      <w:pPr>
        <w:pStyle w:val="174"/>
      </w:pPr>
      <w:r>
        <w:rPr>
          <w:rFonts w:hint="eastAsia"/>
        </w:rPr>
        <w:t>冷链配送操作规程；</w:t>
      </w:r>
    </w:p>
    <w:p w14:paraId="302E3A20">
      <w:pPr>
        <w:pStyle w:val="174"/>
      </w:pPr>
      <w:r>
        <w:rPr>
          <w:rFonts w:hint="eastAsia"/>
        </w:rPr>
        <w:t>产品标识、产品可追溯和召回制度；</w:t>
      </w:r>
    </w:p>
    <w:p w14:paraId="61DD5557">
      <w:pPr>
        <w:pStyle w:val="174"/>
      </w:pPr>
      <w:r>
        <w:rPr>
          <w:rFonts w:hint="eastAsia"/>
        </w:rPr>
        <w:t>不合格食品处理程序；</w:t>
      </w:r>
    </w:p>
    <w:p w14:paraId="7FDEFCA0">
      <w:pPr>
        <w:pStyle w:val="174"/>
      </w:pPr>
      <w:r>
        <w:rPr>
          <w:rFonts w:hint="eastAsia"/>
        </w:rPr>
        <w:t>实验室管理制度，或委托社会实验室检测的合同或协议:</w:t>
      </w:r>
    </w:p>
    <w:p w14:paraId="64F0DBA5">
      <w:pPr>
        <w:pStyle w:val="174"/>
      </w:pPr>
      <w:r>
        <w:rPr>
          <w:rFonts w:hint="eastAsia"/>
        </w:rPr>
        <w:t>与产品安全有关的检验设备的校验制度。</w:t>
      </w:r>
    </w:p>
    <w:p w14:paraId="2AB8B484">
      <w:pPr>
        <w:pStyle w:val="165"/>
      </w:pPr>
      <w:r>
        <w:rPr>
          <w:rFonts w:hint="eastAsia"/>
        </w:rPr>
        <w:t>文件保存期限应不少于海产品预制菜保质期满后6个月。</w:t>
      </w:r>
    </w:p>
    <w:p w14:paraId="500EC6D0">
      <w:pPr>
        <w:pStyle w:val="105"/>
        <w:spacing w:before="156" w:after="156"/>
      </w:pPr>
      <w:r>
        <w:rPr>
          <w:rFonts w:hint="eastAsia"/>
        </w:rPr>
        <w:t>人员管理要求</w:t>
      </w:r>
    </w:p>
    <w:p w14:paraId="0CC84D9A">
      <w:pPr>
        <w:pStyle w:val="165"/>
      </w:pPr>
      <w:r>
        <w:rPr>
          <w:rFonts w:hint="eastAsia"/>
        </w:rPr>
        <w:t>应配备专门的仓管人员和配送人员。</w:t>
      </w:r>
    </w:p>
    <w:p w14:paraId="21BEADDC">
      <w:pPr>
        <w:pStyle w:val="165"/>
      </w:pPr>
      <w:r>
        <w:rPr>
          <w:rFonts w:hint="eastAsia"/>
        </w:rPr>
        <w:t>人员应接受运输、储存、配送、交接及突发状况应急处理等相关知识和技能培训。</w:t>
      </w:r>
    </w:p>
    <w:p w14:paraId="501F909B">
      <w:pPr>
        <w:pStyle w:val="104"/>
        <w:spacing w:before="312" w:after="312"/>
      </w:pPr>
      <w:r>
        <w:rPr>
          <w:rFonts w:hint="eastAsia"/>
        </w:rPr>
        <w:t>产品追溯与召回</w:t>
      </w:r>
    </w:p>
    <w:p w14:paraId="11CA8424">
      <w:pPr>
        <w:pStyle w:val="162"/>
      </w:pPr>
      <w:r>
        <w:rPr>
          <w:rFonts w:hint="eastAsia"/>
        </w:rPr>
        <w:t>追溯体系的设计和实施应符合GB/T 22005的规定，并能满足客户需求。</w:t>
      </w:r>
    </w:p>
    <w:p w14:paraId="0D6365BE">
      <w:pPr>
        <w:pStyle w:val="162"/>
      </w:pPr>
      <w:r>
        <w:rPr>
          <w:rFonts w:hint="eastAsia"/>
        </w:rPr>
        <w:t xml:space="preserve">宜建立与冷链配送作业相关的信息管理平台。 </w:t>
      </w:r>
    </w:p>
    <w:p w14:paraId="50230ACD">
      <w:pPr>
        <w:pStyle w:val="162"/>
      </w:pPr>
      <w:r>
        <w:rPr>
          <w:rFonts w:hint="eastAsia"/>
        </w:rPr>
        <w:t>建立可追溯体系，保存过程性的冷链配送信息及采购与销售记录。</w:t>
      </w:r>
    </w:p>
    <w:p w14:paraId="698A6BC1">
      <w:pPr>
        <w:pStyle w:val="162"/>
      </w:pPr>
      <w:r>
        <w:rPr>
          <w:rFonts w:hint="eastAsia"/>
        </w:rPr>
        <w:t>建立召回制度应符合GB 31621的相关规定，确保存在或可能存在质量安全问题的预制菜能够及时召回并处理。</w:t>
      </w:r>
    </w:p>
    <w:bookmarkEnd w:id="22"/>
    <w:p w14:paraId="766C0C77">
      <w:pPr>
        <w:pStyle w:val="56"/>
        <w:ind w:firstLine="0" w:firstLineChars="0"/>
        <w:jc w:val="center"/>
      </w:pPr>
      <w:bookmarkStart w:id="44"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headerReference r:id="rId13" w:type="default"/>
      <w:footerReference r:id="rId15" w:type="default"/>
      <w:headerReference r:id="rId14" w:type="even"/>
      <w:footerReference r:id="rId16"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604E5">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FCBFD">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38CEA">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147BC">
    <w:pPr>
      <w:pStyle w:val="51"/>
    </w:pPr>
    <w:r>
      <w:fldChar w:fldCharType="begin"/>
    </w:r>
    <w:r>
      <w:instrText xml:space="preserve"> PAGE   \* MERGEFORMAT \* MERGEFORMAT </w:instrText>
    </w:r>
    <w:r>
      <w:fldChar w:fldCharType="separate"/>
    </w:r>
    <w: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FAEEA">
    <w:pPr>
      <w:pStyle w:val="52"/>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96351">
    <w:pPr>
      <w:pStyle w:val="51"/>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52744">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924F1">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C34EF">
    <w:pPr>
      <w:pStyle w:val="61"/>
    </w:pPr>
    <w:r>
      <w:fldChar w:fldCharType="begin"/>
    </w:r>
    <w:r>
      <w:instrText xml:space="preserve"> STYLEREF  标准文件_文件编号  \* MERGEFORMAT </w:instrText>
    </w:r>
    <w:r>
      <w:fldChar w:fldCharType="separate"/>
    </w:r>
    <w:r>
      <w:t>DB 4404/T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773C6">
    <w:pPr>
      <w:pStyle w:val="62"/>
    </w:pPr>
    <w:r>
      <w:fldChar w:fldCharType="begin"/>
    </w:r>
    <w:r>
      <w:instrText xml:space="preserve"> STYLEREF  标准文件_文件编号 \* MERGEFORMAT </w:instrText>
    </w:r>
    <w:r>
      <w:fldChar w:fldCharType="separate"/>
    </w:r>
    <w:r>
      <w:t>DB 4404/T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6188">
    <w:pPr>
      <w:pStyle w:val="61"/>
    </w:pPr>
    <w:r>
      <w:fldChar w:fldCharType="begin"/>
    </w:r>
    <w:r>
      <w:instrText xml:space="preserve"> STYLEREF  标准文件_文件编号  \* MERGEFORMAT </w:instrText>
    </w:r>
    <w:r>
      <w:fldChar w:fldCharType="separate"/>
    </w:r>
    <w:r>
      <w:t>DB 4404/T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05869">
    <w:pPr>
      <w:pStyle w:val="62"/>
    </w:pPr>
    <w:r>
      <w:fldChar w:fldCharType="begin"/>
    </w:r>
    <w:r>
      <w:instrText xml:space="preserve"> STYLEREF  标准文件_文件编号 \* MERGEFORMAT </w:instrText>
    </w:r>
    <w:r>
      <w:fldChar w:fldCharType="separate"/>
    </w:r>
    <w:r>
      <w:t>DB 4404/T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cryptProviderType="rsaAES" w:cryptAlgorithmClass="hash" w:cryptAlgorithmType="typeAny" w:cryptAlgorithmSid="14" w:cryptSpinCount="100000" w:hash="gHoS2620s8duvCVUt1oi4IFCbcLkgxi7Dpgr/hp8qb1EFBuyKc3ceIAZ+BIcYrAt4QYFV2qWuZ2upWGDoaFlBQ==" w:salt="3Lf60bavpuqVtkLTplLRxQ=="/>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76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236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61A"/>
    <w:rsid w:val="003B6BE3"/>
    <w:rsid w:val="003C010C"/>
    <w:rsid w:val="003C0A6C"/>
    <w:rsid w:val="003C14F8"/>
    <w:rsid w:val="003C5A43"/>
    <w:rsid w:val="003D0519"/>
    <w:rsid w:val="003D0FF6"/>
    <w:rsid w:val="003D262C"/>
    <w:rsid w:val="003D6D61"/>
    <w:rsid w:val="003D79C6"/>
    <w:rsid w:val="003E091D"/>
    <w:rsid w:val="003E1C53"/>
    <w:rsid w:val="003E2A69"/>
    <w:rsid w:val="003E2AD4"/>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476D"/>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2DFF"/>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625B"/>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4C24"/>
    <w:rsid w:val="00A55BD6"/>
    <w:rsid w:val="00A55D50"/>
    <w:rsid w:val="00A57142"/>
    <w:rsid w:val="00A61305"/>
    <w:rsid w:val="00A64376"/>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36A"/>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5FF3"/>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3A97"/>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2465"/>
    <w:rsid w:val="00F06D37"/>
    <w:rsid w:val="00F07B9D"/>
    <w:rsid w:val="00F11586"/>
    <w:rsid w:val="00F1183B"/>
    <w:rsid w:val="00F11C9F"/>
    <w:rsid w:val="00F12263"/>
    <w:rsid w:val="00F1409D"/>
    <w:rsid w:val="00F14214"/>
    <w:rsid w:val="00F157A9"/>
    <w:rsid w:val="00F25BB6"/>
    <w:rsid w:val="00F26B7E"/>
    <w:rsid w:val="00F27A3B"/>
    <w:rsid w:val="00F31872"/>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E570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2.jpeg"/><Relationship Id="rId18" Type="http://schemas.openxmlformats.org/officeDocument/2006/relationships/image" Target="media/image1.tiff"/><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F95B5F20C54406FAEE79FEF7672C127"/>
        <w:style w:val=""/>
        <w:category>
          <w:name w:val="常规"/>
          <w:gallery w:val="placeholder"/>
        </w:category>
        <w:types>
          <w:type w:val="bbPlcHdr"/>
        </w:types>
        <w:behaviors>
          <w:behavior w:val="content"/>
        </w:behaviors>
        <w:description w:val=""/>
        <w:guid w:val="{E5FB3106-BF23-4BDE-89BF-DF122EEDE837}"/>
      </w:docPartPr>
      <w:docPartBody>
        <w:p w14:paraId="7E0344E6">
          <w:pPr>
            <w:pStyle w:val="5"/>
          </w:pPr>
          <w:r>
            <w:rPr>
              <w:rStyle w:val="4"/>
              <w:rFonts w:hint="eastAsia"/>
            </w:rPr>
            <w:t>单击或点击此处输入文字。</w:t>
          </w:r>
        </w:p>
      </w:docPartBody>
    </w:docPart>
    <w:docPart>
      <w:docPartPr>
        <w:name w:val="90AD25A2C05B4BB09E71951A2F4F0609"/>
        <w:style w:val=""/>
        <w:category>
          <w:name w:val="常规"/>
          <w:gallery w:val="placeholder"/>
        </w:category>
        <w:types>
          <w:type w:val="bbPlcHdr"/>
        </w:types>
        <w:behaviors>
          <w:behavior w:val="content"/>
        </w:behaviors>
        <w:description w:val=""/>
        <w:guid w:val="{B64E01B8-8CBC-4C80-8B5F-B009DF0E95B5}"/>
      </w:docPartPr>
      <w:docPartBody>
        <w:p w14:paraId="28F131C0">
          <w:pPr>
            <w:pStyle w:val="6"/>
          </w:pPr>
          <w:r>
            <w:rPr>
              <w:rStyle w:val="4"/>
              <w:rFonts w:hint="eastAsia"/>
            </w:rPr>
            <w:t>选择一项。</w:t>
          </w:r>
        </w:p>
      </w:docPartBody>
    </w:docPart>
    <w:docPart>
      <w:docPartPr>
        <w:name w:val="4B44B591AAB04341AA3D808426470F72"/>
        <w:style w:val=""/>
        <w:category>
          <w:name w:val="常规"/>
          <w:gallery w:val="placeholder"/>
        </w:category>
        <w:types>
          <w:type w:val="bbPlcHdr"/>
        </w:types>
        <w:behaviors>
          <w:behavior w:val="content"/>
        </w:behaviors>
        <w:description w:val=""/>
        <w:guid w:val="{7113599F-44BE-4B8A-9691-35B4E68C7540}"/>
      </w:docPartPr>
      <w:docPartBody>
        <w:p w14:paraId="5FBD31C0">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74E"/>
    <w:rsid w:val="000732C0"/>
    <w:rsid w:val="00A401D0"/>
    <w:rsid w:val="00D11F1E"/>
    <w:rsid w:val="00F47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7F95B5F20C54406FAEE79FEF7672C12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0AD25A2C05B4BB09E71951A2F4F06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B44B591AAB04341AA3D808426470F7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0BCD6A-25A7-4BC6-8B02-B508F713E439}">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2026</Words>
  <Characters>2255</Characters>
  <Lines>19</Lines>
  <Paragraphs>5</Paragraphs>
  <TotalTime>12</TotalTime>
  <ScaleCrop>false</ScaleCrop>
  <LinksUpToDate>false</LinksUpToDate>
  <CharactersWithSpaces>2333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2025-05-06T02:45:00Z</dcterms:created>
  <dc:creator>W X</dc:creator>
  <dc:description>&lt;config cover="true" show_menu="true" version="1.0.0" doctype="SDKXY"&gt;_x000d_
&lt;/config&gt;</dc:description>
  <cp:lastModifiedBy>珠海标准与编码</cp:lastModifiedBy>
  <cp:lastPrinted>2020-08-30T10:00:00Z</cp:lastPrinted>
  <dcterms:modified xsi:type="dcterms:W3CDTF">2025-05-07T07:35:59Z</dcterms:modified>
  <dc:title>地方标准</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eyJoZGlkIjoiZjc4NGZhNTVhZTFjNzA2MmM0M2NkZDNjYWRhMDIwNGUiLCJ1c2VySWQiOiIzNTYxNDk4NDAifQ==</vt:lpwstr>
  </property>
  <property fmtid="{D5CDD505-2E9C-101B-9397-08002B2CF9AE}" pid="16" name="KSOProductBuildVer">
    <vt:lpwstr>2052-12.1.0.20784</vt:lpwstr>
  </property>
  <property fmtid="{D5CDD505-2E9C-101B-9397-08002B2CF9AE}" pid="17" name="ICV">
    <vt:lpwstr>BC080EF863A94C1B82FDC3155A9240E2_12</vt:lpwstr>
  </property>
</Properties>
</file>