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0"/>
        <w:rPr>
          <w:rFonts w:hint="default" w:eastAsia="黑体"/>
          <w:color w:val="auto"/>
          <w:lang w:val="en-US" w:eastAsia="zh-CN"/>
        </w:rPr>
      </w:pPr>
      <w:r>
        <w:rPr>
          <w:rFonts w:hAnsi="黑体"/>
          <w:color w:val="auto"/>
        </w:rPr>
        <w:t xml:space="preserve">ICS </w:t>
      </w:r>
      <w:r>
        <w:rPr>
          <w:rFonts w:hint="eastAsia" w:hAnsi="黑体"/>
          <w:color w:val="auto"/>
          <w:lang w:val="en-US" w:eastAsia="zh-CN"/>
        </w:rPr>
        <w:t>XX</w:t>
      </w:r>
      <w:r>
        <w:rPr>
          <w:rFonts w:hint="eastAsia" w:hAnsi="黑体"/>
          <w:color w:val="auto"/>
        </w:rPr>
        <w:t xml:space="preserve">. </w:t>
      </w:r>
      <w:r>
        <w:rPr>
          <w:rFonts w:hint="eastAsia" w:hAnsi="黑体"/>
          <w:color w:val="auto"/>
          <w:lang w:val="en-US" w:eastAsia="zh-CN"/>
        </w:rPr>
        <w:t>XXX</w:t>
      </w:r>
    </w:p>
    <w:p>
      <w:pPr>
        <w:pStyle w:val="120"/>
        <w:rPr>
          <w:rFonts w:hint="default" w:eastAsia="黑体"/>
          <w:color w:val="auto"/>
          <w:lang w:val="en-US" w:eastAsia="zh-CN"/>
        </w:rPr>
      </w:pPr>
      <w:r>
        <w:rPr>
          <w:color w:val="auto"/>
        </w:rP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CCS X XX"/>
            </w:textInput>
          </w:ffData>
        </w:fldChar>
      </w:r>
      <w:bookmarkStart w:id="0" w:name="WXFLH"/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color w:val="auto"/>
        </w:rPr>
        <w:t xml:space="preserve">CCS </w:t>
      </w:r>
      <w:r>
        <w:rPr>
          <w:rFonts w:hint="eastAsia"/>
          <w:color w:val="auto"/>
          <w:lang w:val="en-US" w:eastAsia="zh-CN"/>
        </w:rPr>
        <w:t>B</w:t>
      </w:r>
      <w:r>
        <w:rPr>
          <w:color w:val="auto"/>
        </w:rPr>
        <w:t xml:space="preserve"> </w:t>
      </w:r>
      <w:r>
        <w:rPr>
          <w:color w:val="auto"/>
        </w:rPr>
        <w:fldChar w:fldCharType="end"/>
      </w:r>
      <w:bookmarkEnd w:id="0"/>
      <w:r>
        <w:rPr>
          <w:rFonts w:hint="eastAsia"/>
          <w:color w:val="auto"/>
          <w:lang w:val="en-US" w:eastAsia="zh-CN"/>
        </w:rPr>
        <w:t>XX</w:t>
      </w:r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120"/>
              <w:rPr>
                <w:color w:val="auto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3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true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6192;mso-width-relative:page;mso-height-relative:page;" fillcolor="#FFFFFF" filled="t" stroked="f" coordsize="21600,21600" o:gfxdata="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WAAAAZHJzL1BLAQIUABQAAAAIAIdO4kDIri/s1QAAAAcB&#10;AAAPAAAAAAAAAAEAIAAAADgAAABkcnMvZG93bnJldi54bWxQSwECFAAUAAAACACHTuJA09UaTpYB&#10;AAAcAwAADgAAAAAAAAABACAAAAA6AQAAZHJzL2Uyb0RvYy54bWxQSwUGAAAAAAYABgBZAQAAQgUA&#10;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pStyle w:val="107"/>
        <w:rPr>
          <w:rFonts w:ascii="Times New Roman" w:hAnsi="Times New Roman"/>
          <w:color w:val="auto"/>
          <w:sz w:val="52"/>
          <w:szCs w:val="52"/>
        </w:rPr>
      </w:pPr>
      <w:r>
        <w:rPr>
          <w:rFonts w:hint="eastAsia"/>
          <w:color w:val="auto"/>
          <w:sz w:val="52"/>
          <w:szCs w:val="52"/>
          <w:lang w:eastAsia="zh-CN"/>
        </w:rPr>
        <w:t>团体</w:t>
      </w:r>
      <w:r>
        <w:rPr>
          <w:rFonts w:hint="eastAsia"/>
          <w:color w:val="auto"/>
          <w:sz w:val="52"/>
          <w:szCs w:val="52"/>
        </w:rPr>
        <w:t>标</w:t>
      </w:r>
      <w:r>
        <w:rPr>
          <w:rFonts w:hint="eastAsia" w:ascii="Times New Roman" w:hAnsi="Times New Roman"/>
          <w:color w:val="auto"/>
          <w:sz w:val="52"/>
          <w:szCs w:val="52"/>
        </w:rPr>
        <w:t>准</w:t>
      </w:r>
    </w:p>
    <w:p>
      <w:pPr>
        <w:pStyle w:val="134"/>
        <w:framePr w:w="9627" w:x="1396" w:y="3165"/>
        <w:rPr>
          <w:color w:val="auto"/>
          <w:lang w:val="fr-FR"/>
        </w:rPr>
      </w:pPr>
      <w:r>
        <w:rPr>
          <w:rFonts w:hint="eastAsia"/>
          <w:color w:val="auto"/>
          <w:lang w:val="en-US" w:eastAsia="zh-CN"/>
        </w:rPr>
        <w:t>T/SZNB</w:t>
      </w:r>
      <w:r>
        <w:rPr>
          <w:color w:val="auto"/>
          <w:lang w:val="fr-FR"/>
        </w:rPr>
        <w:t xml:space="preserve"> </w:t>
      </w:r>
      <w:r>
        <w:rPr>
          <w:rFonts w:hint="eastAsia"/>
          <w:color w:val="auto"/>
          <w:lang w:val="en-US" w:eastAsia="zh-CN"/>
        </w:rPr>
        <w:t>XXX</w:t>
      </w:r>
      <w:r>
        <w:rPr>
          <w:rFonts w:hAnsi="黑体"/>
          <w:color w:val="auto"/>
          <w:lang w:val="fr-FR"/>
        </w:rPr>
        <w:t>—</w:t>
      </w:r>
      <w:r>
        <w:rPr>
          <w:color w:val="auto"/>
        </w:rPr>
        <w:t>XXXX</w:t>
      </w:r>
    </w:p>
    <w:p>
      <w:pPr>
        <w:pStyle w:val="136"/>
        <w:framePr w:w="9627" w:x="1396" w:y="3165"/>
        <w:rPr>
          <w:rFonts w:hAnsi="黑体"/>
          <w:color w:val="auto"/>
        </w:rPr>
      </w:pPr>
    </w:p>
    <w:p>
      <w:pPr>
        <w:pStyle w:val="75"/>
        <w:rPr>
          <w:color w:val="auto"/>
        </w:rPr>
      </w:pPr>
      <w:r>
        <w:rPr>
          <w:rFonts w:hint="eastAsia" w:hAnsi="宋体"/>
          <w:color w:val="auto"/>
        </w:rPr>
        <w:t>优质</w:t>
      </w:r>
      <w:r>
        <w:rPr>
          <w:rFonts w:hint="eastAsia" w:hAnsi="宋体"/>
          <w:color w:val="auto"/>
          <w:lang w:eastAsia="zh-CN"/>
        </w:rPr>
        <w:t>黄桃</w:t>
      </w:r>
      <w:r>
        <w:rPr>
          <w:rFonts w:hint="eastAsia" w:hAnsi="宋体"/>
          <w:color w:val="auto"/>
        </w:rPr>
        <w:t>生产技术规程</w:t>
      </w:r>
    </w:p>
    <w:p>
      <w:pPr>
        <w:pStyle w:val="76"/>
        <w:rPr>
          <w:color w:val="auto"/>
        </w:rPr>
      </w:pPr>
      <w:r>
        <w:rPr>
          <w:rFonts w:hint="eastAsia" w:ascii="黑体" w:hAnsi="黑体" w:cs="Times New Roman"/>
          <w:color w:val="auto"/>
          <w:highlight w:val="none"/>
          <w:lang w:val="en-US" w:eastAsia="zh-CN"/>
        </w:rPr>
        <w:t>Code of practice for high quality yellow peach production</w:t>
      </w:r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78"/>
              <w:rPr>
                <w:color w:val="auto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2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true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7216;mso-width-relative:page;mso-height-relative:page;" fillcolor="#FFFFFF" filled="t" stroked="f" coordsize="21600,21600" o:gfxdata="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WAAAAZHJzL1BLAQIUABQAAAAIAIdO4kAFia6S1QAAAAoBAAAPAAAA&#10;AAAAAAEAIAAAADgAAABkcnMvZG93bnJldi54bWxQSwECFAAUAAAACACHTuJAvcf8+JABAAAcAwAA&#10;DgAAAAAAAAABACAAAAA6AQAAZHJzL2Uyb0RvYy54bWxQSwUGAAAAAAYABgBZAQAAPA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1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true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8240;mso-width-relative:page;mso-height-relative:page;" fillcolor="#FFFFFF" filled="t" stroked="f" coordsize="21600,21600" o:gfxdata="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FgAAAGRycy9QSwECFAAUAAAACACHTuJAA+GL5dYAAAAJAQAADwAA&#10;AAAAAAABACAAAAA4AAAAZHJzL2Rvd25yZXYueG1sUEsBAhQAFAAAAAgAh07iQG2xGaiQAQAAHAMA&#10;AA4AAAAAAAAAAQAgAAAAOwEAAGRycy9lMm9Eb2MueG1sUEsFBgAAAAAGAAYAWQEAAD0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79"/>
              <w:rPr>
                <w:color w:val="auto"/>
              </w:rPr>
            </w:pPr>
          </w:p>
        </w:tc>
      </w:tr>
    </w:tbl>
    <w:p>
      <w:pPr>
        <w:pStyle w:val="127"/>
        <w:rPr>
          <w:color w:val="auto"/>
        </w:rPr>
      </w:pPr>
      <w:r>
        <w:rPr>
          <w:rFonts w:ascii="黑体"/>
          <w:color w:val="auto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FY"/>
      <w:r>
        <w:rPr>
          <w:rFonts w:ascii="黑体"/>
          <w:color w:val="auto"/>
        </w:rPr>
        <w:instrText xml:space="preserve"> FORMTEXT </w:instrText>
      </w:r>
      <w:r>
        <w:rPr>
          <w:rFonts w:ascii="黑体"/>
          <w:color w:val="auto"/>
        </w:rPr>
        <w:fldChar w:fldCharType="separate"/>
      </w:r>
      <w:r>
        <w:rPr>
          <w:rFonts w:ascii="黑体"/>
          <w:color w:val="auto"/>
        </w:rPr>
        <w:t>XXXX</w:t>
      </w:r>
      <w:r>
        <w:rPr>
          <w:rFonts w:ascii="黑体"/>
          <w:color w:val="auto"/>
        </w:rPr>
        <w:fldChar w:fldCharType="end"/>
      </w:r>
      <w:bookmarkEnd w:id="1"/>
      <w:r>
        <w:rPr>
          <w:rFonts w:ascii="黑体"/>
          <w:color w:val="auto"/>
        </w:rPr>
        <w:t>-</w:t>
      </w:r>
      <w:r>
        <w:rPr>
          <w:rFonts w:ascii="黑体"/>
          <w:color w:val="auto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  <w:color w:val="auto"/>
        </w:rPr>
        <w:instrText xml:space="preserve"> FORMTEXT </w:instrText>
      </w:r>
      <w:r>
        <w:rPr>
          <w:rFonts w:ascii="黑体"/>
          <w:color w:val="auto"/>
        </w:rPr>
        <w:fldChar w:fldCharType="separate"/>
      </w:r>
      <w:r>
        <w:rPr>
          <w:rFonts w:ascii="黑体"/>
          <w:color w:val="auto"/>
        </w:rPr>
        <w:t>XX</w:t>
      </w:r>
      <w:r>
        <w:rPr>
          <w:rFonts w:ascii="黑体"/>
          <w:color w:val="auto"/>
        </w:rPr>
        <w:fldChar w:fldCharType="end"/>
      </w:r>
      <w:r>
        <w:rPr>
          <w:rFonts w:ascii="黑体"/>
          <w:color w:val="auto"/>
        </w:rPr>
        <w:t>-</w:t>
      </w:r>
      <w:r>
        <w:rPr>
          <w:rFonts w:ascii="黑体"/>
          <w:color w:val="auto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2" w:name="FD"/>
      <w:r>
        <w:rPr>
          <w:rFonts w:ascii="黑体"/>
          <w:color w:val="auto"/>
        </w:rPr>
        <w:instrText xml:space="preserve"> FORMTEXT </w:instrText>
      </w:r>
      <w:r>
        <w:rPr>
          <w:rFonts w:ascii="黑体"/>
          <w:color w:val="auto"/>
        </w:rPr>
        <w:fldChar w:fldCharType="separate"/>
      </w:r>
      <w:r>
        <w:rPr>
          <w:rFonts w:ascii="黑体"/>
          <w:color w:val="auto"/>
        </w:rPr>
        <w:t>XX</w:t>
      </w:r>
      <w:r>
        <w:rPr>
          <w:rFonts w:ascii="黑体"/>
          <w:color w:val="auto"/>
        </w:rPr>
        <w:fldChar w:fldCharType="end"/>
      </w:r>
      <w:bookmarkEnd w:id="2"/>
      <w:r>
        <w:rPr>
          <w:rFonts w:hint="eastAsia"/>
          <w:color w:val="auto"/>
        </w:rPr>
        <w:t>发布</w: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-0.05pt;margin-top:728.5pt;height:0pt;width:481.9pt;mso-position-vertical-relative:page;z-index:251661312;mso-width-relative:page;mso-height-relative:page;" filled="f" stroked="t" coordsize="21600,21600" o:gfxdata="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WAAAAZHJzL1BLAQIUABQAAAAIAIdO4kAlh2s81gAAAAsB&#10;AAAPAAAAAAAAAAEAIAAAADgAAABkcnMvZG93bnJldi54bWxQSwECFAAUAAAACACHTuJA53jqTM4B&#10;AACRAwAADgAAAAAAAAABACAAAAA7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28"/>
        <w:rPr>
          <w:color w:val="auto"/>
        </w:rPr>
      </w:pPr>
      <w:r>
        <w:rPr>
          <w:rFonts w:ascii="黑体"/>
          <w:color w:val="auto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3" w:name="SY"/>
      <w:r>
        <w:rPr>
          <w:rFonts w:ascii="黑体"/>
          <w:color w:val="auto"/>
        </w:rPr>
        <w:instrText xml:space="preserve"> FORMTEXT </w:instrText>
      </w:r>
      <w:r>
        <w:rPr>
          <w:rFonts w:ascii="黑体"/>
          <w:color w:val="auto"/>
        </w:rPr>
        <w:fldChar w:fldCharType="separate"/>
      </w:r>
      <w:r>
        <w:rPr>
          <w:rFonts w:ascii="黑体"/>
          <w:color w:val="auto"/>
        </w:rPr>
        <w:t>XXXX</w:t>
      </w:r>
      <w:r>
        <w:rPr>
          <w:rFonts w:ascii="黑体"/>
          <w:color w:val="auto"/>
        </w:rPr>
        <w:fldChar w:fldCharType="end"/>
      </w:r>
      <w:bookmarkEnd w:id="3"/>
      <w:r>
        <w:rPr>
          <w:rFonts w:ascii="黑体"/>
          <w:color w:val="auto"/>
        </w:rPr>
        <w:t>-</w:t>
      </w:r>
      <w:r>
        <w:rPr>
          <w:rFonts w:ascii="黑体"/>
          <w:color w:val="auto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4" w:name="SM"/>
      <w:r>
        <w:rPr>
          <w:rFonts w:ascii="黑体"/>
          <w:color w:val="auto"/>
        </w:rPr>
        <w:instrText xml:space="preserve"> FORMTEXT </w:instrText>
      </w:r>
      <w:r>
        <w:rPr>
          <w:rFonts w:ascii="黑体"/>
          <w:color w:val="auto"/>
        </w:rPr>
        <w:fldChar w:fldCharType="separate"/>
      </w:r>
      <w:r>
        <w:rPr>
          <w:rFonts w:ascii="黑体"/>
          <w:color w:val="auto"/>
        </w:rPr>
        <w:t>XX</w:t>
      </w:r>
      <w:r>
        <w:rPr>
          <w:rFonts w:ascii="黑体"/>
          <w:color w:val="auto"/>
        </w:rPr>
        <w:fldChar w:fldCharType="end"/>
      </w:r>
      <w:bookmarkEnd w:id="4"/>
      <w:r>
        <w:rPr>
          <w:rFonts w:ascii="黑体"/>
          <w:color w:val="auto"/>
        </w:rPr>
        <w:t>-</w:t>
      </w:r>
      <w:r>
        <w:rPr>
          <w:rFonts w:ascii="黑体"/>
          <w:color w:val="auto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5" w:name="SD"/>
      <w:r>
        <w:rPr>
          <w:rFonts w:ascii="黑体"/>
          <w:color w:val="auto"/>
        </w:rPr>
        <w:instrText xml:space="preserve"> FORMTEXT </w:instrText>
      </w:r>
      <w:r>
        <w:rPr>
          <w:rFonts w:ascii="黑体"/>
          <w:color w:val="auto"/>
        </w:rPr>
        <w:fldChar w:fldCharType="separate"/>
      </w:r>
      <w:r>
        <w:rPr>
          <w:rFonts w:ascii="黑体"/>
          <w:color w:val="auto"/>
        </w:rPr>
        <w:t>XX</w:t>
      </w:r>
      <w:r>
        <w:rPr>
          <w:rFonts w:ascii="黑体"/>
          <w:color w:val="auto"/>
        </w:rPr>
        <w:fldChar w:fldCharType="end"/>
      </w:r>
      <w:bookmarkEnd w:id="5"/>
      <w:r>
        <w:rPr>
          <w:rFonts w:hint="eastAsia"/>
          <w:color w:val="auto"/>
        </w:rPr>
        <w:t>实施</w:t>
      </w:r>
    </w:p>
    <w:p>
      <w:pPr>
        <w:pStyle w:val="108"/>
        <w:rPr>
          <w:color w:val="auto"/>
        </w:rPr>
      </w:pPr>
      <w:r>
        <w:rPr>
          <w:rFonts w:hint="eastAsia"/>
          <w:b w:val="0"/>
          <w:color w:val="auto"/>
          <w:spacing w:val="20"/>
          <w:w w:val="135"/>
          <w:sz w:val="28"/>
          <w:lang w:eastAsia="zh-CN" w:bidi="ar-SA"/>
        </w:rPr>
        <w:t>深圳市农业产业化龙头企业协会</w:t>
      </w:r>
      <w:r>
        <w:rPr>
          <w:rFonts w:hAnsi="黑体"/>
          <w:color w:val="auto"/>
        </w:rPr>
        <w:t>   </w:t>
      </w:r>
      <w:r>
        <w:rPr>
          <w:rStyle w:val="70"/>
          <w:rFonts w:hint="eastAsia"/>
          <w:color w:val="auto"/>
        </w:rPr>
        <w:t>发布</w:t>
      </w:r>
    </w:p>
    <w:p>
      <w:pPr>
        <w:pStyle w:val="21"/>
        <w:rPr>
          <w:color w:val="auto"/>
        </w:rPr>
        <w:sectPr>
          <w:pgSz w:w="11850" w:h="16838"/>
          <w:pgMar w:top="567" w:right="850" w:bottom="1134" w:left="1418" w:header="0" w:footer="0" w:gutter="0"/>
          <w:pgNumType w:start="1"/>
          <w:cols w:space="720" w:num="1"/>
          <w:rtlGutter w:val="0"/>
          <w:docGrid w:type="lines" w:linePitch="312" w:charSpace="0"/>
        </w:sect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5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-0.05pt;margin-top:184.25pt;height:0pt;width:481.9pt;z-index:251662336;mso-width-relative:page;mso-height-relative:page;" filled="f" stroked="t" coordsize="21600,21600" o:gfxdata="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BYAAABkcnMvUEsBAhQAFAAAAAgAh07iQEJB4l/XAAAA&#10;CQEAAA8AAAAAAAAAAQAgAAAAOAAAAGRycy9kb3ducmV2LnhtbFBLAQIUABQAAAAIAIdO4kBpcTtm&#10;zwEAAJEDAAAOAAAAAAAAAAEAIAAAADw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7" w:after="680" w:line="360" w:lineRule="auto"/>
        <w:jc w:val="center"/>
        <w:textAlignment w:val="auto"/>
        <w:rPr>
          <w:color w:val="auto"/>
          <w:sz w:val="32"/>
          <w:szCs w:val="32"/>
        </w:rPr>
      </w:pPr>
      <w:r>
        <w:rPr>
          <w:rFonts w:hint="eastAsia" w:eastAsia="黑体"/>
          <w:color w:val="auto"/>
          <w:spacing w:val="20"/>
          <w:sz w:val="32"/>
          <w:szCs w:val="32"/>
        </w:rPr>
        <w:t>目    次</w:t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"_Toc1874933468_WPSOffice_Level1"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</w:rPr>
        <w:t>前言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Ⅱ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"_Toc1760373248_WPSOffice_Level1"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</w:rPr>
        <w:t>1  范围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"_Toc1194504409_WPSOffice_Level1"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</w:rPr>
        <w:t>2  规范性引用文件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"_Toc1107861666_WPSOffice_Level1"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</w:rPr>
        <w:t>3  术语和定义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4  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建园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"_Toc2129448254_WPSOffice_Level1"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5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土肥水管理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花果管理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整形修剪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病虫害防治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</w:t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果实采收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采后处理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</w:t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贮藏与运输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</w:t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12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产品质量追溯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附录A（资料性）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黄桃主要病虫害防治措施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7</w:t>
      </w:r>
    </w:p>
    <w:p>
      <w:pPr>
        <w:pStyle w:val="137"/>
        <w:tabs>
          <w:tab w:val="right" w:leader="dot" w:pos="9354"/>
        </w:tabs>
        <w:spacing w:before="78" w:beforeLines="25" w:after="78" w:afterLines="25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</w:p>
    <w:p>
      <w:pPr>
        <w:spacing w:before="78" w:beforeLines="25" w:after="78" w:afterLines="25"/>
        <w:rPr>
          <w:rFonts w:ascii="宋体" w:hAnsi="宋体" w:eastAsia="宋体" w:cs="宋体"/>
          <w:color w:val="auto"/>
          <w:szCs w:val="21"/>
        </w:rPr>
      </w:pPr>
    </w:p>
    <w:p>
      <w:pPr>
        <w:spacing w:before="78" w:beforeLines="25" w:after="78" w:afterLines="25"/>
        <w:jc w:val="left"/>
        <w:rPr>
          <w:rFonts w:ascii="宋体" w:hAnsi="宋体" w:eastAsia="宋体" w:cs="宋体"/>
          <w:color w:val="auto"/>
          <w:spacing w:val="20"/>
          <w:szCs w:val="21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17" w:right="1134" w:bottom="1134" w:left="1417" w:header="1417" w:footer="1134" w:gutter="0"/>
          <w:pgNumType w:fmt="upperRoman" w:start="1"/>
          <w:cols w:space="72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7" w:after="680" w:line="360" w:lineRule="auto"/>
        <w:jc w:val="center"/>
        <w:textAlignment w:val="auto"/>
        <w:rPr>
          <w:rFonts w:eastAsia="黑体"/>
          <w:color w:val="auto"/>
          <w:spacing w:val="20"/>
          <w:sz w:val="32"/>
          <w:szCs w:val="32"/>
        </w:rPr>
      </w:pPr>
      <w:bookmarkStart w:id="6" w:name="_Toc1874933468_WPSOffice_Level1"/>
      <w:r>
        <w:rPr>
          <w:rFonts w:eastAsia="黑体"/>
          <w:color w:val="auto"/>
          <w:spacing w:val="20"/>
          <w:sz w:val="32"/>
          <w:szCs w:val="32"/>
        </w:rPr>
        <w:t>前  言</w:t>
      </w:r>
      <w:bookmarkEnd w:id="6"/>
    </w:p>
    <w:p>
      <w:pPr>
        <w:ind w:firstLine="420" w:firstLineChars="200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本文件按照GB/T 1.1</w:t>
      </w:r>
      <w:r>
        <w:rPr>
          <w:rFonts w:hint="eastAsia" w:ascii="宋体" w:hAnsi="宋体" w:cs="宋体"/>
          <w:color w:val="auto"/>
        </w:rPr>
        <w:t>—</w:t>
      </w:r>
      <w:r>
        <w:rPr>
          <w:rFonts w:hint="eastAsia" w:ascii="宋体" w:hAnsi="宋体" w:eastAsia="宋体" w:cs="宋体"/>
          <w:color w:val="auto"/>
        </w:rPr>
        <w:t>2020《标准化工作导则 第1部分：标准化文件的结构和起草规则》的规定起草。</w:t>
      </w:r>
    </w:p>
    <w:p>
      <w:pPr>
        <w:ind w:firstLine="420" w:firstLineChars="20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</w:rPr>
        <w:t>本文件由深圳农产品质量提升联盟提出</w:t>
      </w:r>
      <w:r>
        <w:rPr>
          <w:rFonts w:hint="eastAsia" w:ascii="宋体" w:hAnsi="宋体" w:eastAsia="宋体" w:cs="宋体"/>
          <w:color w:val="auto"/>
          <w:lang w:eastAsia="zh-CN"/>
        </w:rPr>
        <w:t>。</w:t>
      </w:r>
    </w:p>
    <w:p>
      <w:pPr>
        <w:ind w:firstLine="420" w:firstLineChars="200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本文件由深圳市农业产业化龙头企业协会归口。</w:t>
      </w:r>
    </w:p>
    <w:p>
      <w:pPr>
        <w:ind w:firstLine="420" w:firstLineChars="200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本文件起草单位：深圳市</w:t>
      </w:r>
      <w:r>
        <w:rPr>
          <w:rFonts w:hint="eastAsia" w:ascii="宋体" w:hAnsi="宋体" w:eastAsia="宋体" w:cs="宋体"/>
          <w:color w:val="auto"/>
          <w:lang w:eastAsia="zh-CN"/>
        </w:rPr>
        <w:t>农产品质量安全检验检测中心</w:t>
      </w:r>
      <w:r>
        <w:rPr>
          <w:rFonts w:hint="eastAsia" w:ascii="宋体" w:hAnsi="宋体" w:eastAsia="宋体" w:cs="宋体"/>
          <w:color w:val="auto"/>
        </w:rPr>
        <w:t>、</w:t>
      </w:r>
      <w:r>
        <w:rPr>
          <w:rFonts w:hint="eastAsia" w:ascii="Times New Roman" w:hAnsi="Times New Roman" w:eastAsia="宋体" w:cs="Times New Roman"/>
          <w:color w:val="auto"/>
          <w:sz w:val="21"/>
          <w:szCs w:val="32"/>
          <w:lang w:val="en-US" w:eastAsia="zh-CN"/>
        </w:rPr>
        <w:t>深圳市农业产业化龙头企业协会</w:t>
      </w:r>
      <w:r>
        <w:rPr>
          <w:rFonts w:hint="eastAsia" w:ascii="宋体" w:hAnsi="宋体" w:eastAsia="宋体" w:cs="宋体"/>
          <w:color w:val="auto"/>
        </w:rPr>
        <w:t>。</w:t>
      </w:r>
    </w:p>
    <w:p>
      <w:pPr>
        <w:ind w:firstLine="420" w:firstLineChars="200"/>
        <w:rPr>
          <w:rFonts w:hint="eastAsia" w:eastAsia="宋体"/>
          <w:b/>
          <w:color w:val="auto"/>
          <w:spacing w:val="2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</w:rPr>
        <w:t>本文件主要起草人：</w:t>
      </w:r>
      <w:r>
        <w:rPr>
          <w:rFonts w:hint="eastAsia" w:ascii="宋体" w:hAnsi="宋体" w:eastAsia="宋体" w:cs="宋体"/>
          <w:color w:val="auto"/>
          <w:sz w:val="21"/>
          <w:szCs w:val="24"/>
          <w:lang w:val="en-US" w:eastAsia="zh-CN"/>
        </w:rPr>
        <w:t>李平东、陈敏、袁文静、李永红、李志强</w:t>
      </w:r>
      <w:r>
        <w:rPr>
          <w:rFonts w:hint="eastAsia" w:ascii="宋体" w:hAnsi="宋体" w:eastAsia="宋体" w:cs="宋体"/>
          <w:color w:val="auto"/>
          <w:lang w:eastAsia="zh-CN"/>
        </w:rPr>
        <w:t>。</w:t>
      </w:r>
    </w:p>
    <w:p>
      <w:pPr>
        <w:spacing w:line="360" w:lineRule="auto"/>
        <w:ind w:firstLine="501" w:firstLineChars="200"/>
        <w:rPr>
          <w:b/>
          <w:color w:val="auto"/>
          <w:spacing w:val="20"/>
          <w:szCs w:val="21"/>
        </w:rPr>
      </w:pPr>
    </w:p>
    <w:p>
      <w:pPr>
        <w:spacing w:line="360" w:lineRule="auto"/>
        <w:rPr>
          <w:b/>
          <w:color w:val="auto"/>
          <w:spacing w:val="20"/>
          <w:szCs w:val="21"/>
        </w:rPr>
        <w:sectPr>
          <w:footerReference r:id="rId7" w:type="default"/>
          <w:footerReference r:id="rId8" w:type="even"/>
          <w:pgSz w:w="11906" w:h="16838"/>
          <w:pgMar w:top="1417" w:right="1134" w:bottom="1134" w:left="1417" w:header="1417" w:footer="1134" w:gutter="0"/>
          <w:pgNumType w:fmt="upperRoman"/>
          <w:cols w:space="72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7" w:after="680" w:line="360" w:lineRule="auto"/>
        <w:jc w:val="center"/>
        <w:textAlignment w:val="auto"/>
        <w:rPr>
          <w:rFonts w:eastAsia="黑体"/>
          <w:color w:val="auto"/>
          <w:spacing w:val="0"/>
          <w:w w:val="100"/>
          <w:sz w:val="32"/>
          <w:szCs w:val="32"/>
        </w:rPr>
      </w:pPr>
      <w:r>
        <w:rPr>
          <w:rFonts w:hint="eastAsia" w:eastAsia="黑体"/>
          <w:color w:val="auto"/>
          <w:spacing w:val="0"/>
          <w:w w:val="100"/>
          <w:sz w:val="32"/>
          <w:szCs w:val="32"/>
        </w:rPr>
        <w:t>优质黄桃生产技术规程</w:t>
      </w:r>
    </w:p>
    <w:p>
      <w:pPr>
        <w:spacing w:before="317" w:beforeLines="100" w:after="317" w:afterLines="100"/>
        <w:rPr>
          <w:i/>
          <w:color w:val="auto"/>
          <w:spacing w:val="0"/>
          <w:w w:val="100"/>
          <w:szCs w:val="21"/>
        </w:rPr>
      </w:pPr>
      <w:bookmarkStart w:id="7" w:name="_Toc1760373248_WPSOffice_Level1"/>
      <w:r>
        <w:rPr>
          <w:rFonts w:ascii="黑体" w:hAnsi="黑体" w:eastAsia="黑体"/>
          <w:color w:val="auto"/>
          <w:spacing w:val="0"/>
          <w:w w:val="100"/>
          <w:szCs w:val="21"/>
        </w:rPr>
        <w:t>1</w:t>
      </w:r>
      <w:r>
        <w:rPr>
          <w:rFonts w:eastAsia="黑体"/>
          <w:color w:val="auto"/>
          <w:spacing w:val="0"/>
          <w:w w:val="100"/>
          <w:szCs w:val="21"/>
        </w:rPr>
        <w:t xml:space="preserve"> </w:t>
      </w:r>
      <w:r>
        <w:rPr>
          <w:rFonts w:hint="eastAsia" w:eastAsia="黑体"/>
          <w:color w:val="auto"/>
          <w:spacing w:val="0"/>
          <w:w w:val="100"/>
          <w:szCs w:val="21"/>
        </w:rPr>
        <w:t xml:space="preserve"> </w:t>
      </w:r>
      <w:r>
        <w:rPr>
          <w:rFonts w:eastAsia="黑体"/>
          <w:color w:val="auto"/>
          <w:spacing w:val="0"/>
          <w:w w:val="100"/>
          <w:szCs w:val="21"/>
        </w:rPr>
        <w:t>范围</w:t>
      </w:r>
      <w:bookmarkEnd w:id="7"/>
    </w:p>
    <w:p>
      <w:pPr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highlight w:val="none"/>
        </w:rPr>
        <w:t>本文件规定了优质黄桃生产的建园、土肥水管理、花果管理、整形修剪、病虫害</w:t>
      </w:r>
      <w:r>
        <w:rPr>
          <w:rFonts w:hint="eastAsia" w:ascii="宋体" w:hAnsi="宋体" w:cs="宋体"/>
          <w:color w:val="auto"/>
          <w:spacing w:val="0"/>
          <w:w w:val="100"/>
          <w:highlight w:val="none"/>
          <w:lang w:eastAsia="zh-CN"/>
        </w:rPr>
        <w:t>防治</w:t>
      </w:r>
      <w:r>
        <w:rPr>
          <w:rFonts w:hint="eastAsia" w:ascii="宋体" w:hAnsi="宋体" w:eastAsia="宋体" w:cs="宋体"/>
          <w:color w:val="auto"/>
          <w:spacing w:val="0"/>
          <w:w w:val="100"/>
          <w:highlight w:val="none"/>
        </w:rPr>
        <w:t>、果实采收、采后处理、贮藏与运输以及产品质量追溯</w:t>
      </w:r>
      <w:r>
        <w:rPr>
          <w:rFonts w:hint="eastAsia" w:ascii="宋体" w:hAnsi="宋体" w:eastAsia="宋体" w:cs="宋体"/>
          <w:color w:val="auto"/>
          <w:spacing w:val="0"/>
          <w:w w:val="100"/>
          <w:highlight w:val="none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pacing w:val="0"/>
          <w:w w:val="100"/>
          <w:highlight w:val="none"/>
        </w:rPr>
        <w:t>内容</w:t>
      </w:r>
      <w:r>
        <w:rPr>
          <w:rFonts w:hint="eastAsia" w:ascii="宋体" w:hAnsi="宋体" w:eastAsia="宋体" w:cs="宋体"/>
          <w:color w:val="auto"/>
          <w:spacing w:val="0"/>
          <w:w w:val="100"/>
          <w:highlight w:val="none"/>
          <w:lang w:eastAsia="zh-CN"/>
        </w:rPr>
        <w:t>。</w:t>
      </w:r>
    </w:p>
    <w:p>
      <w:pPr>
        <w:ind w:firstLine="420" w:firstLineChars="200"/>
        <w:rPr>
          <w:rFonts w:ascii="宋体" w:hAnsi="宋体" w:eastAsia="宋体" w:cs="宋体"/>
          <w:color w:val="auto"/>
          <w:spacing w:val="0"/>
          <w:w w:val="100"/>
        </w:rPr>
      </w:pPr>
      <w:r>
        <w:rPr>
          <w:rFonts w:hint="eastAsia" w:ascii="宋体" w:hAnsi="宋体" w:eastAsia="宋体" w:cs="宋体"/>
          <w:color w:val="auto"/>
          <w:spacing w:val="0"/>
          <w:w w:val="100"/>
        </w:rPr>
        <w:t>本文件适用于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江西、广东等南方地区</w:t>
      </w:r>
      <w:r>
        <w:rPr>
          <w:rFonts w:hint="eastAsia" w:ascii="宋体" w:hAnsi="宋体" w:eastAsia="宋体"/>
          <w:color w:val="auto"/>
          <w:spacing w:val="0"/>
          <w:w w:val="100"/>
          <w:sz w:val="21"/>
          <w:u w:val="none"/>
          <w:lang w:eastAsia="zh-CN"/>
        </w:rPr>
        <w:t>优质黄桃的</w:t>
      </w:r>
      <w:r>
        <w:rPr>
          <w:rFonts w:hint="eastAsia" w:ascii="宋体" w:hAnsi="宋体"/>
          <w:color w:val="auto"/>
          <w:spacing w:val="0"/>
          <w:w w:val="100"/>
          <w:sz w:val="21"/>
          <w:u w:val="none"/>
          <w:lang w:eastAsia="zh-CN"/>
        </w:rPr>
        <w:t>种植</w:t>
      </w:r>
      <w:r>
        <w:rPr>
          <w:rFonts w:hint="eastAsia" w:ascii="宋体" w:hAnsi="宋体"/>
          <w:color w:val="auto"/>
          <w:spacing w:val="0"/>
          <w:w w:val="100"/>
          <w:sz w:val="21"/>
          <w:u w:val="none"/>
        </w:rPr>
        <w:t>生产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。</w:t>
      </w:r>
    </w:p>
    <w:p>
      <w:pPr>
        <w:spacing w:before="317" w:beforeLines="100" w:after="317" w:afterLines="100"/>
        <w:rPr>
          <w:rFonts w:ascii="黑体" w:hAnsi="黑体" w:eastAsia="黑体"/>
          <w:color w:val="auto"/>
          <w:spacing w:val="0"/>
          <w:w w:val="100"/>
          <w:szCs w:val="21"/>
        </w:rPr>
      </w:pPr>
      <w:bookmarkStart w:id="8" w:name="_Toc1194504409_WPSOffice_Level1"/>
      <w:r>
        <w:rPr>
          <w:rFonts w:ascii="黑体" w:hAnsi="黑体" w:eastAsia="黑体"/>
          <w:color w:val="auto"/>
          <w:spacing w:val="0"/>
          <w:w w:val="100"/>
          <w:szCs w:val="21"/>
        </w:rPr>
        <w:t>2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 xml:space="preserve"> </w:t>
      </w:r>
      <w:r>
        <w:rPr>
          <w:rFonts w:ascii="黑体" w:hAnsi="黑体" w:eastAsia="黑体"/>
          <w:color w:val="auto"/>
          <w:spacing w:val="0"/>
          <w:w w:val="100"/>
          <w:szCs w:val="21"/>
        </w:rPr>
        <w:t xml:space="preserve"> 规范性引用文件</w:t>
      </w:r>
      <w:bookmarkEnd w:id="8"/>
    </w:p>
    <w:p>
      <w:pPr>
        <w:ind w:firstLine="420" w:firstLineChars="200"/>
        <w:rPr>
          <w:rFonts w:hint="eastAsia"/>
          <w:color w:val="auto"/>
          <w:spacing w:val="0"/>
          <w:w w:val="100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</w:rPr>
        <w:t>下列文件中的内容通过文中的规范性引用而构成必不可少的条款。其中，注日期的引用文件，仅该日期对应的版本适用于本文件。不注日期的引用文件，其最新版本（包括所有的修改单）适用于本文件。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GB 1917</w:t>
      </w:r>
      <w:r>
        <w:rPr>
          <w:rFonts w:hint="eastAsia"/>
          <w:color w:val="auto"/>
          <w:szCs w:val="22"/>
          <w:lang w:val="en-US" w:eastAsia="zh-CN"/>
        </w:rPr>
        <w:t>5</w:t>
      </w:r>
      <w:r>
        <w:rPr>
          <w:rFonts w:hint="eastAsia"/>
          <w:color w:val="auto"/>
          <w:szCs w:val="22"/>
        </w:rPr>
        <w:t xml:space="preserve">  桃苗木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GB/T 8321</w:t>
      </w:r>
      <w:r>
        <w:rPr>
          <w:rFonts w:hint="eastAsia"/>
          <w:color w:val="auto"/>
          <w:szCs w:val="22"/>
          <w:lang w:eastAsia="zh-CN"/>
        </w:rPr>
        <w:t>（</w:t>
      </w:r>
      <w:r>
        <w:rPr>
          <w:rFonts w:hint="eastAsia"/>
          <w:color w:val="auto"/>
          <w:szCs w:val="22"/>
        </w:rPr>
        <w:t>所有部分</w:t>
      </w:r>
      <w:r>
        <w:rPr>
          <w:rFonts w:hint="eastAsia"/>
          <w:color w:val="auto"/>
          <w:szCs w:val="22"/>
          <w:lang w:eastAsia="zh-CN"/>
        </w:rPr>
        <w:t>）</w:t>
      </w:r>
      <w:r>
        <w:rPr>
          <w:rFonts w:hint="eastAsia"/>
          <w:color w:val="auto"/>
          <w:szCs w:val="22"/>
        </w:rPr>
        <w:t xml:space="preserve">  农药合理使用准则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GB/T 26904  桃贮藏技术规程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 xml:space="preserve">GB/T 29373 </w:t>
      </w:r>
      <w:r>
        <w:rPr>
          <w:rFonts w:hint="eastAsia"/>
          <w:color w:val="auto"/>
          <w:szCs w:val="22"/>
          <w:lang w:val="en-US" w:eastAsia="zh-CN"/>
        </w:rPr>
        <w:t xml:space="preserve"> </w:t>
      </w:r>
      <w:r>
        <w:rPr>
          <w:rFonts w:hint="eastAsia"/>
          <w:color w:val="auto"/>
          <w:szCs w:val="22"/>
        </w:rPr>
        <w:t>农产品追溯要求 果蔬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GB/T 40964  桃冷链流通技术操作规程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GB/T 42478  农产品生产档案记载规范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NY/T 391  绿色食品 产地环境质量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NY/T 393  绿色食品 农药使用准则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>NY/T 394  绿色食品 肥料使用准则</w:t>
      </w:r>
    </w:p>
    <w:p>
      <w:pPr>
        <w:pStyle w:val="21"/>
        <w:rPr>
          <w:rFonts w:hint="eastAsia"/>
          <w:color w:val="auto"/>
          <w:szCs w:val="22"/>
        </w:rPr>
      </w:pPr>
      <w:r>
        <w:rPr>
          <w:rFonts w:hint="eastAsia"/>
          <w:color w:val="auto"/>
          <w:szCs w:val="22"/>
        </w:rPr>
        <w:t xml:space="preserve">NY/T 586 </w:t>
      </w:r>
      <w:r>
        <w:rPr>
          <w:rFonts w:hint="eastAsia"/>
          <w:color w:val="auto"/>
          <w:szCs w:val="22"/>
          <w:lang w:val="en-US" w:eastAsia="zh-CN"/>
        </w:rPr>
        <w:t xml:space="preserve"> </w:t>
      </w:r>
      <w:r>
        <w:rPr>
          <w:rFonts w:hint="eastAsia"/>
          <w:color w:val="auto"/>
          <w:szCs w:val="22"/>
        </w:rPr>
        <w:t>鲜桃</w:t>
      </w:r>
    </w:p>
    <w:p>
      <w:pPr>
        <w:pStyle w:val="21"/>
        <w:rPr>
          <w:rFonts w:hint="eastAsia"/>
          <w:color w:val="auto"/>
          <w:spacing w:val="0"/>
          <w:w w:val="100"/>
          <w:szCs w:val="22"/>
          <w:lang w:val="en-US" w:eastAsia="zh-CN"/>
        </w:rPr>
      </w:pPr>
      <w:r>
        <w:rPr>
          <w:rFonts w:hint="eastAsia"/>
          <w:color w:val="auto"/>
          <w:szCs w:val="22"/>
        </w:rPr>
        <w:t xml:space="preserve">NY/T 1778 </w:t>
      </w:r>
      <w:r>
        <w:rPr>
          <w:rFonts w:hint="eastAsia"/>
          <w:color w:val="auto"/>
          <w:szCs w:val="22"/>
          <w:lang w:val="en-US" w:eastAsia="zh-CN"/>
        </w:rPr>
        <w:t xml:space="preserve"> </w:t>
      </w:r>
      <w:r>
        <w:rPr>
          <w:rFonts w:hint="eastAsia"/>
          <w:color w:val="auto"/>
          <w:szCs w:val="22"/>
        </w:rPr>
        <w:t>新鲜水果包装标识 通则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eastAsia="zh-CN"/>
        </w:rPr>
      </w:pPr>
      <w:bookmarkStart w:id="9" w:name="_Toc1107861666_WPSOffice_Level1"/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eastAsia="zh-CN"/>
        </w:rPr>
        <w:t>3  术语和定义</w:t>
      </w:r>
      <w:bookmarkEnd w:id="9"/>
    </w:p>
    <w:p>
      <w:pPr>
        <w:spacing w:line="360" w:lineRule="auto"/>
        <w:ind w:firstLine="420" w:firstLineChars="200"/>
        <w:jc w:val="left"/>
        <w:rPr>
          <w:color w:val="auto"/>
          <w:spacing w:val="0"/>
          <w:w w:val="100"/>
          <w:szCs w:val="21"/>
        </w:rPr>
      </w:pPr>
      <w:r>
        <w:rPr>
          <w:color w:val="auto"/>
          <w:spacing w:val="0"/>
          <w:w w:val="100"/>
        </w:rPr>
        <w:t>下列术语和定义适用于本</w:t>
      </w:r>
      <w:r>
        <w:rPr>
          <w:rFonts w:hint="eastAsia"/>
          <w:color w:val="auto"/>
          <w:spacing w:val="0"/>
          <w:w w:val="100"/>
        </w:rPr>
        <w:t>文件</w:t>
      </w:r>
      <w:r>
        <w:rPr>
          <w:color w:val="auto"/>
          <w:spacing w:val="0"/>
          <w:w w:val="10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ind w:firstLine="0" w:firstLineChars="0"/>
        <w:jc w:val="left"/>
        <w:textAlignment w:val="auto"/>
        <w:rPr>
          <w:rFonts w:ascii="黑体" w:hAnsi="黑体" w:eastAsia="黑体"/>
          <w:color w:val="auto"/>
          <w:spacing w:val="0"/>
          <w:w w:val="100"/>
          <w:szCs w:val="21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3.1  黄桃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color w:val="auto"/>
          <w:spacing w:val="0"/>
          <w:w w:val="100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1"/>
          <w:u w:val="none"/>
          <w:lang w:val="en-US" w:eastAsia="zh-CN"/>
        </w:rPr>
        <w:t>蔷薇科李属，与普通桃同种，果皮、果肉呈橙黄色至金黄色，风味浓郁，适合鲜食和加工。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ind w:firstLine="0" w:firstLineChars="0"/>
        <w:jc w:val="left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3.2  结果枝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w w:val="100"/>
          <w:sz w:val="21"/>
          <w:u w:val="none"/>
          <w:lang w:val="en-US" w:eastAsia="zh-CN"/>
        </w:rPr>
      </w:pPr>
      <w:bookmarkStart w:id="10" w:name="_Toc263804099_WPSOffice_Level1"/>
      <w:r>
        <w:rPr>
          <w:rFonts w:hint="eastAsia" w:ascii="宋体" w:hAnsi="宋体" w:eastAsia="宋体" w:cs="宋体"/>
          <w:color w:val="auto"/>
          <w:spacing w:val="0"/>
          <w:w w:val="100"/>
          <w:sz w:val="21"/>
          <w:u w:val="none"/>
          <w:lang w:val="en-US" w:eastAsia="zh-CN"/>
        </w:rPr>
        <w:t>果树上直接着生花芽并能开花结果的枝条。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eastAsia="zh-CN"/>
        </w:rPr>
        <w:t xml:space="preserve">4  </w:t>
      </w:r>
      <w:bookmarkEnd w:id="10"/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eastAsia="zh-CN"/>
        </w:rPr>
        <w:t>建园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/>
          <w:color w:val="auto"/>
          <w:spacing w:val="0"/>
          <w:w w:val="100"/>
          <w:szCs w:val="21"/>
          <w:lang w:eastAsia="zh-CN"/>
        </w:rPr>
      </w:pP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4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>.1  产地环境要求</w:t>
      </w:r>
    </w:p>
    <w:p>
      <w:pPr>
        <w:pStyle w:val="126"/>
        <w:framePr w:hSpace="0" w:vSpace="0" w:wrap="auto" w:vAnchor="margin" w:hAnchor="text" w:xAlign="left" w:yAlign="inline"/>
        <w:ind w:firstLine="435"/>
        <w:rPr>
          <w:rFonts w:hint="default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/>
          <w:color w:val="auto"/>
          <w:spacing w:val="0"/>
          <w:w w:val="100"/>
          <w:lang w:eastAsia="zh-CN"/>
        </w:rPr>
        <w:t>产地环境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应符合NY/T 391的要求。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4.1.1  温度要求</w:t>
      </w:r>
    </w:p>
    <w:p>
      <w:pPr>
        <w:pStyle w:val="21"/>
        <w:ind w:firstLine="420"/>
        <w:rPr>
          <w:rFonts w:hint="eastAsia" w:hAnsi="Times New Roman" w:eastAsia="宋体" w:cs="Times New Roman"/>
          <w:color w:val="auto"/>
          <w:spacing w:val="0"/>
          <w:w w:val="100"/>
        </w:rPr>
      </w:pPr>
      <w:r>
        <w:rPr>
          <w:rFonts w:hint="eastAsia" w:hAnsi="Times New Roman" w:eastAsia="宋体" w:cs="Times New Roman"/>
          <w:color w:val="auto"/>
          <w:spacing w:val="0"/>
          <w:w w:val="100"/>
          <w:lang w:val="en-US" w:eastAsia="zh-CN"/>
        </w:rPr>
        <w:t>喜温，生长最适温度为18</w:t>
      </w:r>
      <w:r>
        <w:rPr>
          <w:rFonts w:hint="eastAsia" w:cs="Times New Roman"/>
          <w:color w:val="auto"/>
          <w:spacing w:val="0"/>
          <w:w w:val="100"/>
          <w:lang w:val="en-US" w:eastAsia="zh-CN"/>
        </w:rPr>
        <w:t>℃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hAnsi="Times New Roman" w:eastAsia="宋体" w:cs="Times New Roman"/>
          <w:color w:val="auto"/>
          <w:spacing w:val="0"/>
          <w:w w:val="100"/>
          <w:lang w:val="en-US" w:eastAsia="zh-CN"/>
        </w:rPr>
        <w:t>25°C，果实成熟时最适温度为25°C左右。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>.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>.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eastAsia="zh-CN"/>
        </w:rPr>
        <w:t>光照要求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宜种植在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光照时间1200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1800小时/年以上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地区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。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>.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>.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eastAsia="zh-CN"/>
        </w:rPr>
        <w:t>水分要求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hAnsi="Times New Roman" w:eastAsia="宋体" w:cs="Times New Roman"/>
          <w:color w:val="auto"/>
          <w:spacing w:val="0"/>
          <w:w w:val="100"/>
          <w:lang w:val="en-US" w:eastAsia="zh-CN"/>
        </w:rPr>
      </w:pPr>
      <w:r>
        <w:rPr>
          <w:rFonts w:hint="eastAsia" w:cs="Times New Roman"/>
          <w:color w:val="auto"/>
          <w:spacing w:val="0"/>
          <w:w w:val="100"/>
          <w:lang w:val="en-US" w:eastAsia="zh-CN"/>
        </w:rPr>
        <w:t>宜种植</w:t>
      </w:r>
      <w:r>
        <w:rPr>
          <w:rFonts w:hint="eastAsia" w:hAnsi="Times New Roman" w:eastAsia="宋体" w:cs="Times New Roman"/>
          <w:color w:val="auto"/>
          <w:spacing w:val="0"/>
          <w:w w:val="100"/>
          <w:lang w:val="en-US" w:eastAsia="zh-CN"/>
        </w:rPr>
        <w:t>在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年降雨800 mm以下地区，若年降雨高于800 mm的</w:t>
      </w:r>
      <w:r>
        <w:rPr>
          <w:rFonts w:hint="eastAsia" w:hAnsi="Times New Roman" w:eastAsia="宋体" w:cs="Times New Roman"/>
          <w:color w:val="auto"/>
          <w:spacing w:val="0"/>
          <w:w w:val="100"/>
          <w:lang w:val="en-US" w:eastAsia="zh-CN"/>
        </w:rPr>
        <w:t>地区种植黄桃应加强建设果园排涝设施。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>.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>.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eastAsia="zh-CN"/>
        </w:rPr>
        <w:t>土壤要求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hAnsi="Times New Roman" w:eastAsia="宋体" w:cs="Times New Roman"/>
          <w:color w:val="auto"/>
          <w:spacing w:val="0"/>
          <w:w w:val="100"/>
          <w:lang w:val="en-US" w:eastAsia="zh-CN"/>
        </w:rPr>
        <w:t>土壤通气性能好，排水良好的沙质壤土</w:t>
      </w:r>
      <w:r>
        <w:rPr>
          <w:rFonts w:hint="eastAsia" w:cs="Times New Roman"/>
          <w:color w:val="auto"/>
          <w:spacing w:val="0"/>
          <w:w w:val="100"/>
          <w:lang w:val="en-US" w:eastAsia="zh-CN"/>
        </w:rPr>
        <w:t>为</w:t>
      </w:r>
      <w:r>
        <w:rPr>
          <w:rFonts w:hint="eastAsia" w:hAnsi="Times New Roman" w:eastAsia="宋体" w:cs="Times New Roman"/>
          <w:color w:val="auto"/>
          <w:spacing w:val="0"/>
          <w:w w:val="100"/>
          <w:lang w:val="en-US" w:eastAsia="zh-CN"/>
        </w:rPr>
        <w:t>宜</w:t>
      </w:r>
      <w:r>
        <w:rPr>
          <w:rFonts w:hint="eastAsia" w:cs="Times New Roman"/>
          <w:color w:val="auto"/>
          <w:spacing w:val="0"/>
          <w:w w:val="100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PH值在5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ascii="黑体" w:hAnsi="黑体" w:eastAsia="黑体"/>
          <w:color w:val="auto"/>
          <w:spacing w:val="0"/>
          <w:w w:val="100"/>
          <w:szCs w:val="21"/>
        </w:rPr>
      </w:pP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4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>.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2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 xml:space="preserve">  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lang w:eastAsia="zh-CN"/>
        </w:rPr>
        <w:t>选地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</w:pPr>
      <w:r>
        <w:rPr>
          <w:rFonts w:hint="eastAsia" w:ascii="宋体" w:hAnsi="宋体" w:cs="宋体"/>
          <w:color w:val="auto"/>
          <w:spacing w:val="0"/>
          <w:w w:val="100"/>
          <w:lang w:eastAsia="zh-CN"/>
        </w:rPr>
        <w:t>宜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选择地势较高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地下水位低于1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m的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平地、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丘陵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山区缓坡地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向阳南坡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，以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通透性好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排水良好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PH值5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6的沙土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沙壤土或壤土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为宜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。园地要求交通便利。</w:t>
      </w:r>
      <w:r>
        <w:rPr>
          <w:rFonts w:hint="eastAsia" w:ascii="宋体" w:hAnsi="宋体" w:cs="宋体"/>
          <w:color w:val="auto"/>
          <w:spacing w:val="0"/>
          <w:w w:val="100"/>
          <w:lang w:eastAsia="zh-CN"/>
        </w:rPr>
        <w:t>不应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在地势低洼的深山沟和涝洼地建园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ascii="黑体" w:hAnsi="黑体" w:eastAsia="黑体"/>
          <w:color w:val="auto"/>
          <w:spacing w:val="0"/>
          <w:w w:val="100"/>
          <w:szCs w:val="21"/>
          <w:u w:val="none"/>
        </w:rPr>
      </w:pP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4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>.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3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 xml:space="preserve"> 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u w:val="none"/>
        </w:rPr>
        <w:t xml:space="preserve"> 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u w:val="none"/>
          <w:lang w:eastAsia="zh-CN"/>
        </w:rPr>
        <w:t>整地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平地种植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eastAsia="zh-CN"/>
        </w:rPr>
        <w:t>宜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挖定植沟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沟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间距</w:t>
      </w:r>
      <w:r>
        <w:rPr>
          <w:rFonts w:hint="default" w:ascii="宋体" w:hAnsi="宋体" w:eastAsia="宋体" w:cs="宋体"/>
          <w:color w:val="auto"/>
          <w:spacing w:val="0"/>
          <w:w w:val="100"/>
          <w:u w:val="none"/>
          <w:lang w:val="en-US"/>
        </w:rPr>
        <w:t>4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4.5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m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沟宽70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80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cm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深度60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70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cm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山坡地种植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沿等高线由上向下挖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水平条垦带，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条垦间距宜2.5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 xml:space="preserve">3.0 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m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条垦面外高内低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 xml:space="preserve">宽2.5 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 xml:space="preserve">3.0 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m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反坡坡度3°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</w:rPr>
        <w:t>5°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4.4  种植密度规格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种植密度依地形而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异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平地适当稀植，株行距3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4 m×4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>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5 m，每亩栽种33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>株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38株；山地、坡地适当密植，按4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5 m株距呈“品”字型立植，每亩栽种35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>株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45株。定植穴规格均为长、宽、深80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u w:val="no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100 cm，挖穴时表土与心土分开堆放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，回填时先铺表土，再覆心土。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ascii="黑体" w:hAnsi="黑体" w:eastAsia="黑体"/>
          <w:color w:val="auto"/>
          <w:spacing w:val="0"/>
          <w:w w:val="100"/>
          <w:szCs w:val="21"/>
        </w:rPr>
      </w:pP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4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>.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5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 xml:space="preserve">  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lang w:eastAsia="zh-CN"/>
        </w:rPr>
        <w:t>施底肥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</w:rPr>
        <w:t>每穴施腐熟有机肥20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kg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 xml:space="preserve">30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kg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磷肥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0.75 kg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，生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石灰1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kg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底肥与表土混合后回填到下层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做到一层肥料一层土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但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磷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肥应侧重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施于穴的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中上层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根不</w:t>
      </w:r>
      <w:r>
        <w:rPr>
          <w:rFonts w:hint="eastAsia" w:ascii="宋体" w:hAnsi="宋体" w:eastAsia="宋体" w:cs="宋体"/>
          <w:color w:val="auto"/>
          <w:spacing w:val="0"/>
          <w:w w:val="100"/>
          <w:lang w:eastAsia="zh-CN"/>
        </w:rPr>
        <w:t>可</w:t>
      </w:r>
      <w:r>
        <w:rPr>
          <w:rFonts w:hint="eastAsia" w:ascii="宋体" w:hAnsi="宋体" w:eastAsia="宋体" w:cs="宋体"/>
          <w:color w:val="auto"/>
          <w:spacing w:val="0"/>
          <w:w w:val="100"/>
        </w:rPr>
        <w:t>直接接触有机肥。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4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>.</w:t>
      </w:r>
      <w:r>
        <w:rPr>
          <w:rFonts w:hint="eastAsia" w:ascii="黑体" w:hAnsi="黑体" w:eastAsia="黑体"/>
          <w:color w:val="auto"/>
          <w:spacing w:val="0"/>
          <w:w w:val="100"/>
          <w:szCs w:val="21"/>
          <w:lang w:val="en-US" w:eastAsia="zh-CN"/>
        </w:rPr>
        <w:t>6</w:t>
      </w:r>
      <w:r>
        <w:rPr>
          <w:rFonts w:hint="eastAsia" w:ascii="黑体" w:hAnsi="黑体" w:eastAsia="黑体"/>
          <w:color w:val="auto"/>
          <w:spacing w:val="0"/>
          <w:w w:val="100"/>
          <w:szCs w:val="21"/>
        </w:rPr>
        <w:t xml:space="preserve">  </w:t>
      </w: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定植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4.6.1  苗木选择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选用优质、抗逆性强的黄桃品种，如锦绣、黄金冠、黄金蜜1号、锦香等。苗木质量应符合GB 1917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规定的标准，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宜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选择1级标准。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4.6.2  定植时间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秋季落叶后至春季萌芽前定植，11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月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12月为佳，早栽成活率高。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4.6.3  定植要求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苗木栽种时，在嫁接口上方40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50 cm处定干，修剪病虫枝、伤根及过长根系。定植时嫁接口需高于土面3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4 cm，填土至一半时轻提苗木，使根系舒展并与土壤密接，再填土压实。填土应高于地面20 cm，呈龟背形。定植后无论何种天气均需及时浇足定根水。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default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5  土肥水管理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5.1  施肥原则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施肥以有机肥为主，占总施肥量80 %以上，搭配少量化肥，确保施肥种类、数量与树体需求平衡。幼树遵循“少吃多餐”原则，勤施薄肥；结果树随着树龄增长逐步增加用肥量，进入盛果期后，稳定年肥料使用量。肥料使用符合NY/T 394规定。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u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u w:val="none"/>
          <w:lang w:val="en-US" w:eastAsia="zh-CN"/>
        </w:rPr>
        <w:t>5.2  施肥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5.2.1  幼年树追肥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萌芽前，每株追施20 g氮肥促进发芽抽梢，一个月后同量追施一次。萌芽后，每15天施一次水肥，连施3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4次，保持稀肥勤浇。8月份以控梢为主，多用磷钾肥，促使枝梢老熟及形成花芽分化。冬季开沟施基肥，用量等同底肥，并额外添加0.1 kg尿素，1 kg过磷酸钙。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5.2.2  成年树追肥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萌芽前，追肥以氮肥为主，每亩穴施尿素30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kg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40 kg.果实硬核期，氮、钾肥配合施用，控氮控水，增施磷钾肥，每亩施尿素10 kg，硫酸钾7.5 kg，磷肥10 kg。果实膨大期，叶面喷施微量元素肥、磷酸二氢钾或尿素，预防流胶病。采果后，追施速效化肥恢复树势，初结果树每株0.25 kg，盛果树每株0.5 kg；秋施基肥，一般在10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月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12月进行，施肥量占全年60 %，每亩施优质农家肥约2500 kg，辅以少量化肥，开壕深施。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default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5.2.3  施肥方法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施肥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方法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包括环沟施（适用于幼年树）、条沟施（适用于成年树）、条沟施、放射状施肥（伤根少、肥料利用率高）和灌溉施肥等。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5.3  土壤管理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 xml:space="preserve">5.3.1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改土。在幼树期进行，秋季结合施基肥进行深翻改土，深40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60 cm；盛果期一般不再深翻。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 xml:space="preserve">5.3.2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中耕。深度10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20 cm，结合施肥、除草。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 xml:space="preserve">5.3.3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果园种草。通过自然生草、种植绿肥等改良土壤。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5.4  水分管理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ind w:firstLine="420" w:firstLineChars="200"/>
        <w:textAlignment w:val="auto"/>
        <w:rPr>
          <w:rFonts w:hint="default" w:ascii="宋体" w:hAnsi="宋体" w:eastAsia="宋体" w:cs="宋体"/>
          <w:color w:val="auto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kern w:val="2"/>
          <w:sz w:val="21"/>
          <w:szCs w:val="24"/>
          <w:lang w:val="en-US" w:eastAsia="zh-CN" w:bidi="ar-SA"/>
        </w:rPr>
        <w:t>萌芽至开花前、花后、硬核期、果实膨大期，当土壤含水量</w:t>
      </w:r>
      <w:r>
        <w:rPr>
          <w:rFonts w:hint="default" w:ascii="宋体" w:hAnsi="宋体" w:eastAsia="宋体" w:cs="宋体"/>
          <w:color w:val="auto"/>
          <w:spacing w:val="0"/>
          <w:w w:val="100"/>
          <w:kern w:val="2"/>
          <w:sz w:val="21"/>
          <w:szCs w:val="24"/>
          <w:lang w:val="en-US" w:eastAsia="zh-CN" w:bidi="ar-SA"/>
        </w:rPr>
        <w:t>≦</w:t>
      </w:r>
      <w:r>
        <w:rPr>
          <w:rFonts w:hint="eastAsia" w:ascii="宋体" w:hAnsi="宋体" w:eastAsia="宋体" w:cs="宋体"/>
          <w:color w:val="auto"/>
          <w:spacing w:val="0"/>
          <w:w w:val="100"/>
          <w:kern w:val="2"/>
          <w:sz w:val="21"/>
          <w:szCs w:val="24"/>
          <w:lang w:val="en-US" w:eastAsia="zh-CN" w:bidi="ar-SA"/>
        </w:rPr>
        <w:t>60 %且持续干旱，适当灌水或喷滴灌补水。土壤含水量≥80 %及时排水。梅雨季节、夏季暴雨时期，确保排水沟畅通，做到雨停沟干，忌积水。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6  花果管理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6.1  保花保果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在常规栽培条件下，黄桃自然结实率较高，通常无需采取专门保花保果措施。花期如遇倒春寒或极端低温阴雨天气等，在开花初期至果实膨大期，可喷施0.01%芸苔素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内酯2000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3000倍液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+0.2%硼肥+0.2%磷酸二氢钾溶液，每隔7天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10天喷1次，连续2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3次。无花粉或花粉量少的品种，可利用蜜蜂授粉或人工辅助授粉。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6.2  疏花疏果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6.2.1  目标产量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根据品种、树龄、树势、株行距、土壤肥力及品质要求等确定目标产量，一般每亩1000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kg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2000 kg。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6.2.2  疏花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花蕾期进行，从上而下，从里而外，从大枝到小枝，疏除过密花朵。通过人工疏花，或使用化学药剂（激素）。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a）土壤使用：9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月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10月，在距离主干50 cm以上开环状沟，每株用10 %的多效唑1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g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1.5 g加水淋于沟中，施后覆土。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b）叶面喷肥：在谢花后，新梢长至10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20 cm时，喷施15 %多效唑150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300倍液，根据新梢长势和控制效果每15天喷施一次，一般1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2次。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6.2.3  疏果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疏果分两次进行，第一次在花后20天左右，第二次于生理落果后，即花后40天左右。疏果时遵循先里后外、先上后下的原则，将小果、畸形果、病虫果、密集果、朝天果、无叶果疏除。同时，依据产量指标要求确定预留总数，一般果距保持在10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15 cm。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6.3  果品套袋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6.3.1  套袋时期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第二次生理落果结束，硬核期后定果，喷药后立即套袋，一般在5月底至6月初进行。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6.3.2  套袋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选用内黑外黄（灰）双层果袋，将着生果实、果柄的枝段一并套入，再扎紧绑牢，避免雨天和有露水时套袋。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7  整形修剪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7.1  常用树形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推荐使用自然开心形，树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形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为：主干高30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～50 cm，三个主枝，每个主枝上培养2～3个侧枝（副主枝），树高3.5 m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以下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7.2  定干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定植后，在距地面40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50 cm处短截，剪口下方保留7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10个饱满芽作为整形带。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7.3  幼树期修剪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textAlignment w:val="auto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 xml:space="preserve">7.3.1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春季发芽后，待最长分枝达15 cm，选3个不同方位的健壮枝作主枝，其余枝条抹去，主枝开张角度保持45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°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60°。保留主枝两侧芽培养第一侧枝，呈鱼刺状均匀分布；主枝长至30 cm时摘心促分枝，7月中旬停止。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 xml:space="preserve">7.3.2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冬季对主枝延长枝短截，留50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60 cm，剪口朝外；选留鱼刺状分布的侧枝，侧枝间隔约15 cm，距主干50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～60 cm处留另一侧枝。​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 xml:space="preserve">7.3.3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第三年5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～6月，对主枝、侧枝延长枝新梢摘心或2次换头扩大树冠，在另一侧枝对侧选留第二侧枝；冬季将主枝延长枝剪去全长1/3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1/2。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7.4  成年树修剪</w:t>
      </w:r>
    </w:p>
    <w:p>
      <w:pPr>
        <w:spacing w:before="160" w:beforeLines="50" w:after="160" w:afterLines="50" w:line="240" w:lineRule="auto"/>
        <w:ind w:firstLine="420" w:firstLineChars="200"/>
        <w:rPr>
          <w:rFonts w:hint="default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黄桃结果枝分为长果枝（30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70 cm）、中果枝（10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30 cm）、短果枝（5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10 cm）、花束状果枝（5 cm以下），超过70 cm枝条为徒长枝。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7.4.1  成年树夏季修剪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需尽早抹芽、除萌，减少养分消耗；在最后一次疏果套袋前，对有果枝进行摘心促果，无果枝进行扭梢控旺，并疏除交替枝、过密枝、直立枝和病虫枝，保持枝间距15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20 cm。</w:t>
      </w:r>
    </w:p>
    <w:p>
      <w:pPr>
        <w:spacing w:before="160" w:beforeLines="50" w:after="160" w:afterLines="50" w:line="240" w:lineRule="auto"/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21"/>
          <w:u w:val="none"/>
          <w:lang w:val="en-US" w:eastAsia="zh-CN"/>
        </w:rPr>
        <w:t>7.4.2  成年树冬季修剪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延长枝剪口留30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cm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40 cm，调整主侧枝开张度。上部侧枝重短切，促发新的结果枝；下部侧枝轻短切，便于来年回缩更新。结果枝按长、中、短分别留6～8节、3～4节、2～3节花芽短切，花束状果枝只疏不切。徒长枝适度短切培养结果枝组，每隔30 cm留一个长果枝，多留预备枝延长结果寿命。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8  病虫害防治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8.1 </w:t>
      </w: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u w:val="none"/>
          <w:lang w:val="en-US" w:eastAsia="zh-CN" w:bidi="ar-SA"/>
        </w:rPr>
        <w:t xml:space="preserve"> 病虫害种类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黄桃的病害有18种，虫害24种。常见病害：桃树流胶病、桃缩叶病、细菌性穿孔病、褐腐病、桃炭疽病、桃疮痂病。常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见虫害：桃粉蚜、桃蛀螟、桃小食心虫、桃红颈天牛。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8.2  防治原则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default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预防为主，综合防治，以农业防治为前提，物理防治为基础，生物防治为核心，减少化学合成的药剂。宏观把控桃园病虫害种类、数量的发生。主要病虫害防治措施见附录A。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8.3  农业防治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做好冬季清园，通过合理修剪合理负载，保持果园通风透光，科学进行土肥水的管理，保持树体强壮，提高树体自身的抗病虫能力。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8.4  物理防治</w:t>
      </w:r>
    </w:p>
    <w:p>
      <w:pPr>
        <w:pStyle w:val="126"/>
        <w:framePr w:hSpace="0" w:vSpace="0" w:wrap="auto" w:vAnchor="margin" w:hAnchor="text" w:xAlign="left" w:yAlign="inline"/>
        <w:ind w:firstLine="0" w:firstLineChars="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8.4.1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 利用害虫趋光性，在园内设置杀虫板，频振式杀虫灯，诱杀蛾类成虫，如桃小食心虫、桃蛀螟。</w:t>
      </w:r>
    </w:p>
    <w:p>
      <w:pPr>
        <w:pStyle w:val="126"/>
        <w:framePr w:hSpace="0" w:vSpace="0" w:wrap="auto" w:vAnchor="margin" w:hAnchor="text" w:xAlign="left" w:yAlign="inline"/>
        <w:ind w:firstLine="0" w:firstLineChars="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 xml:space="preserve">8.4.2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利用害虫趋化性，采用树干缠草把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、糖醋液等方法扑杀害虫，糖醋液配制比例为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糖:醋:酒:水=1:4:1:16，并在糖醋液中添加适量90 %敌百虫</w:t>
      </w:r>
      <w:r>
        <w:rPr>
          <w:rFonts w:hint="eastAsia" w:ascii="宋体" w:hAnsi="宋体" w:cs="宋体"/>
          <w:color w:val="auto"/>
          <w:spacing w:val="0"/>
          <w:w w:val="100"/>
          <w:u w:val="none"/>
          <w:lang w:val="en-US" w:eastAsia="zh-CN"/>
        </w:rPr>
        <w:t>晶体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诱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杀蛾类成虫。</w:t>
      </w:r>
    </w:p>
    <w:p>
      <w:pPr>
        <w:pStyle w:val="126"/>
        <w:framePr w:hSpace="0" w:vSpace="0" w:wrap="auto" w:vAnchor="margin" w:hAnchor="text" w:xAlign="left" w:yAlign="inline"/>
        <w:ind w:firstLine="0" w:firstLineChars="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8.4.3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 运用果品套袋，阻隔害虫危害，套袋对桃蛀螟、夜蛾等蛀果性害虫防效较好。</w:t>
      </w:r>
    </w:p>
    <w:p>
      <w:pPr>
        <w:pStyle w:val="126"/>
        <w:framePr w:hSpace="0" w:vSpace="0" w:wrap="auto" w:vAnchor="margin" w:hAnchor="text" w:xAlign="left" w:yAlign="inline"/>
        <w:ind w:firstLine="0" w:firstLineChars="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kern w:val="2"/>
          <w:sz w:val="21"/>
          <w:szCs w:val="24"/>
          <w:u w:val="none"/>
          <w:lang w:val="en-US" w:eastAsia="zh-CN" w:bidi="ar-SA"/>
        </w:rPr>
        <w:t>8.4.4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 利用装有性诱剂的诱捕器，对桃小食心虫进行监测、诱捕，减少成虫产卵。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8.5  生物防治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利用生物源农药，植物源农药，保护果园生态环境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，利用果园中的有效微生物或释放天敌杀死病虫。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lang w:val="en-US" w:eastAsia="zh-CN"/>
        </w:rPr>
        <w:t>8.6  化学防治</w:t>
      </w:r>
    </w:p>
    <w:p>
      <w:pPr>
        <w:pStyle w:val="126"/>
        <w:framePr w:hSpace="0" w:vSpace="0" w:wrap="auto" w:vAnchor="margin" w:hAnchor="text" w:xAlign="left" w:yAlign="inline"/>
        <w:ind w:firstLine="420" w:firstLineChars="200"/>
        <w:rPr>
          <w:rFonts w:hint="default" w:ascii="宋体" w:hAnsi="宋体" w:eastAsia="宋体" w:cs="宋体"/>
          <w:color w:val="auto"/>
          <w:spacing w:val="0"/>
          <w:w w:val="10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黄桃病虫害防治的主要时期集中在4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月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7月。选用符合国家规定，高效、低毒、低残留、环境友好型农药，不同作用机理农药应轮换、交替使用，</w:t>
      </w:r>
      <w:r>
        <w:rPr>
          <w:rFonts w:hint="eastAsia" w:ascii="宋体" w:hAnsi="宋体" w:eastAsia="宋体" w:cs="宋体"/>
          <w:color w:val="auto"/>
          <w:spacing w:val="0"/>
          <w:w w:val="100"/>
          <w:highlight w:val="none"/>
          <w:lang w:val="en-US" w:eastAsia="zh-CN"/>
        </w:rPr>
        <w:t>农药使用准则按GB/T 8321（所有部分）、NY/T 393的规定执行。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9  果实采收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9.1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根据需求、用途、耐贮运性和销售距离，综合确定采收适期。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>9.2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 采收在晴天气温较低时或阴天进行，避开雨天、露（雨）水未干和高温时段。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>9.3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 采摘时轻摘轻放，并逐个放入垫有软物的采摘筐内，避免果实机械损伤。采摘筐不宜过大，堆放不宜过高，以免压伤果实。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10  采后处理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>10.1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 采收后应及时入库进行预冷，库内温度0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℃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2°C，相对湿度90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%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95 %。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eastAsia="宋体" w:cs="宋体"/>
          <w:color w:val="auto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>10.2</w:t>
      </w:r>
      <w:r>
        <w:rPr>
          <w:rFonts w:hint="eastAsia" w:ascii="宋体" w:hAnsi="宋体" w:eastAsia="宋体" w:cs="宋体"/>
          <w:color w:val="auto"/>
          <w:spacing w:val="0"/>
          <w:w w:val="100"/>
          <w:kern w:val="2"/>
          <w:sz w:val="21"/>
          <w:szCs w:val="24"/>
          <w:lang w:val="en-US" w:eastAsia="zh-CN" w:bidi="ar-SA"/>
        </w:rPr>
        <w:t xml:space="preserve">  包装与标识应符合 NY/T 1778 有关规定。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7" w:beforeLines="100" w:after="317" w:afterLines="100"/>
        <w:textAlignment w:val="auto"/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11贮藏与运输</w:t>
      </w:r>
    </w:p>
    <w:p>
      <w:pPr>
        <w:pStyle w:val="126"/>
        <w:framePr w:hSpace="0" w:vSpace="0" w:wrap="auto" w:vAnchor="margin" w:hAnchor="text" w:xAlign="left" w:yAlign="inline"/>
        <w:rPr>
          <w:rFonts w:hint="default" w:ascii="宋体" w:hAnsi="宋体" w:eastAsia="宋体" w:cs="宋体"/>
          <w:color w:val="auto"/>
          <w:spacing w:val="0"/>
          <w:w w:val="100"/>
          <w:vertAlign w:val="baseli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11.1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贮藏采用冷藏或气调贮藏，两种方式温度宜0°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>℃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2°C，相对湿度宜90</w:t>
      </w:r>
      <w:r>
        <w:rPr>
          <w:rFonts w:hint="eastAsia" w:ascii="宋体" w:hAnsi="宋体" w:cs="宋体"/>
          <w:color w:val="auto"/>
          <w:spacing w:val="0"/>
          <w:w w:val="100"/>
          <w:lang w:val="en-US" w:eastAsia="zh-CN"/>
        </w:rPr>
        <w:t xml:space="preserve"> %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95 %。气调气体成分O</w:t>
      </w:r>
      <w:r>
        <w:rPr>
          <w:rFonts w:hint="eastAsia" w:ascii="宋体" w:hAnsi="宋体" w:eastAsia="宋体" w:cs="宋体"/>
          <w:color w:val="auto"/>
          <w:spacing w:val="0"/>
          <w:w w:val="100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color w:val="auto"/>
          <w:spacing w:val="0"/>
          <w:w w:val="100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w w:val="100"/>
          <w:vertAlign w:val="baseline"/>
          <w:lang w:val="en-US" w:eastAsia="zh-CN"/>
        </w:rPr>
        <w:t>1</w:t>
      </w:r>
      <w:r>
        <w:rPr>
          <w:rFonts w:hint="eastAsia" w:ascii="宋体" w:hAnsi="宋体" w:cs="宋体"/>
          <w:color w:val="auto"/>
          <w:spacing w:val="0"/>
          <w:w w:val="100"/>
          <w:vertAlign w:val="baseline"/>
          <w:lang w:val="en-US" w:eastAsia="zh-CN"/>
        </w:rPr>
        <w:t xml:space="preserve"> %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vertAlign w:val="baseli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vertAlign w:val="baseline"/>
          <w:lang w:val="en-US" w:eastAsia="zh-CN"/>
        </w:rPr>
        <w:t>2 %，CO</w:t>
      </w:r>
      <w:r>
        <w:rPr>
          <w:rFonts w:hint="eastAsia" w:ascii="宋体" w:hAnsi="宋体" w:eastAsia="宋体" w:cs="宋体"/>
          <w:color w:val="auto"/>
          <w:spacing w:val="0"/>
          <w:w w:val="100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w w:val="100"/>
          <w:vertAlign w:val="baseline"/>
          <w:lang w:val="en-US" w:eastAsia="zh-CN"/>
        </w:rPr>
        <w:t xml:space="preserve"> 3</w:t>
      </w:r>
      <w:r>
        <w:rPr>
          <w:rFonts w:hint="eastAsia" w:ascii="宋体" w:hAnsi="宋体" w:cs="宋体"/>
          <w:color w:val="auto"/>
          <w:spacing w:val="0"/>
          <w:w w:val="100"/>
          <w:vertAlign w:val="baseline"/>
          <w:lang w:val="en-US" w:eastAsia="zh-CN"/>
        </w:rPr>
        <w:t xml:space="preserve"> %</w:t>
      </w:r>
      <w:r>
        <w:rPr>
          <w:rFonts w:hint="eastAsia" w:ascii="华文仿宋" w:hAnsi="华文仿宋" w:eastAsia="华文仿宋" w:cs="华文仿宋"/>
          <w:color w:val="auto"/>
          <w:spacing w:val="0"/>
          <w:w w:val="100"/>
          <w:vertAlign w:val="baseline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spacing w:val="0"/>
          <w:w w:val="100"/>
          <w:vertAlign w:val="baseline"/>
          <w:lang w:val="en-US" w:eastAsia="zh-CN"/>
        </w:rPr>
        <w:t>5 %。</w:t>
      </w:r>
    </w:p>
    <w:p>
      <w:pPr>
        <w:pStyle w:val="126"/>
        <w:framePr w:hSpace="0" w:vSpace="0" w:wrap="auto" w:vAnchor="margin" w:hAnchor="text" w:xAlign="left" w:yAlign="inline"/>
        <w:rPr>
          <w:rFonts w:hint="default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11.2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应按品种、采收时间和分级进行分库或分堆标码贮藏。宜采用塑料箱、木箱或硬质纸箱，每箱不超过15 kg。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11.3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黄桃的贮藏与运输按照GB/T 26904、GB/T 40964的规定执行。</w:t>
      </w:r>
    </w:p>
    <w:p>
      <w:pPr>
        <w:spacing w:before="317" w:beforeLines="100" w:after="317" w:afterLines="100"/>
        <w:rPr>
          <w:rFonts w:hint="default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szCs w:val="21"/>
          <w:highlight w:val="none"/>
          <w:lang w:val="en-US" w:eastAsia="zh-CN"/>
        </w:rPr>
        <w:t>12  产品质量追溯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12.1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生产主体应承诺产品合格，并有产品自检记录或产品检验报告。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12.2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 xml:space="preserve"> 应建立并保存各环节的生产记录和档案，所有记录档案应保存3年以上，具体按照GB/T 42478。</w:t>
      </w:r>
    </w:p>
    <w:p>
      <w:pPr>
        <w:pStyle w:val="126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pacing w:val="0"/>
          <w:w w:val="100"/>
          <w:kern w:val="2"/>
          <w:sz w:val="21"/>
          <w:szCs w:val="21"/>
          <w:lang w:val="en-US" w:eastAsia="zh-CN" w:bidi="ar-SA"/>
        </w:rPr>
        <w:t xml:space="preserve">12.3  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根据 G</w:t>
      </w:r>
      <w:r>
        <w:rPr>
          <w:rFonts w:hint="eastAsia" w:ascii="宋体" w:hAnsi="宋体" w:eastAsia="宋体" w:cs="宋体"/>
          <w:color w:val="auto"/>
          <w:spacing w:val="0"/>
          <w:w w:val="100"/>
          <w:u w:val="none"/>
          <w:lang w:val="en-US" w:eastAsia="zh-CN"/>
        </w:rPr>
        <w:t>B/T 29373 的要求，借助自动化物联网设备构建可追溯体系，至少具备产地追溯、产地远程监控画面查看</w:t>
      </w: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t>、产地农业四情信息记录查看、生产资料电子档案追溯、生产流程电子档案追溯等功能。</w:t>
      </w:r>
    </w:p>
    <w:p>
      <w:pPr>
        <w:pStyle w:val="126"/>
        <w:framePr w:hSpace="0" w:vSpace="0" w:wrap="auto" w:vAnchor="margin" w:hAnchor="text" w:xAlign="left" w:yAlign="inline"/>
        <w:jc w:val="center"/>
        <w:rPr>
          <w:rFonts w:hint="default" w:ascii="黑体" w:hAnsi="黑体" w:eastAsia="黑体" w:cs="黑体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lang w:val="en-US" w:eastAsia="zh-CN"/>
        </w:rPr>
        <w:br w:type="page"/>
      </w:r>
      <w:r>
        <w:rPr>
          <w:rFonts w:hint="eastAsia" w:ascii="黑体" w:hAnsi="黑体" w:eastAsia="黑体" w:cs="黑体"/>
          <w:color w:val="auto"/>
          <w:spacing w:val="0"/>
          <w:w w:val="100"/>
          <w:sz w:val="21"/>
          <w:szCs w:val="21"/>
          <w:lang w:val="en-US" w:eastAsia="zh-CN"/>
        </w:rPr>
        <w:t>附 录 A</w:t>
      </w:r>
    </w:p>
    <w:p>
      <w:pPr>
        <w:pStyle w:val="126"/>
        <w:framePr w:hSpace="0" w:vSpace="0" w:wrap="auto" w:vAnchor="margin" w:hAnchor="text" w:xAlign="left" w:yAlign="inline"/>
        <w:jc w:val="center"/>
        <w:rPr>
          <w:rFonts w:hint="eastAsia" w:ascii="黑体" w:hAnsi="黑体" w:eastAsia="黑体" w:cs="黑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lang w:val="en-US" w:eastAsia="zh-CN"/>
        </w:rPr>
        <w:t>（资料性）</w:t>
      </w:r>
    </w:p>
    <w:p>
      <w:pPr>
        <w:pStyle w:val="126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83"/>
        <w:jc w:val="center"/>
        <w:textAlignment w:val="auto"/>
        <w:rPr>
          <w:rFonts w:hint="eastAsia" w:ascii="黑体" w:hAnsi="黑体" w:eastAsia="黑体" w:cs="黑体"/>
          <w:color w:val="auto"/>
          <w:spacing w:val="0"/>
          <w:w w:val="100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lang w:val="en-US" w:eastAsia="zh-CN"/>
        </w:rPr>
        <w:t>黄桃主要病虫害防治措施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4292"/>
        <w:gridCol w:w="4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病虫害种类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化学防治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绿色防控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桃树流胶病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生长期每10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天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vertAlign w:val="baseline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15天喷洒50 %超微多菌灵可湿性粉剂600倍液，或70 %超微甲基硫菌灵可湿性粉剂1000倍液，或72 %杜邦克露可湿性粉剂800倍液等。注意以上药剂须交替使用。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1.增强树势，提高树体抗病虫能力；科学修剪，伤口及时涂抹愈伤防腐剂。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2.加强肥水管理，增施有机肥，适时喷洒护树将军1000倍液等，提高抗病性能。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3.疏花疏果，减少负载量。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4.主干刷白，及时清洁果园。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桃缩叶病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芽萌动前至花瓣露红期，用2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3波美度石硫合剂一次；谢花后，每10天喷一次杀菌剂，轮流使用70 %代森锰锌可湿性粉剂800倍液或70 %甲基托布津可湿性粉剂800倍液。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在三月叶片生长期，每7天喷施一次2 %氨基寡糖素水剂500倍液，一般喷施2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3次，提高树体抵抗力。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细菌性穿孔病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避免与李、杏、樱桃等混栽。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萌芽前均匀喷3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5波美度石硫合剂。在生长期喷施70 %代森锰锌可湿性粉剂800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1000倍液。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可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选用铜制剂、波尔多液或者氢氧化铜、氧化亚铜等喷雾，7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10天一次，连续2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褐腐病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重点防治花期前后及果实即将成熟期。萌芽前喷3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5波美度石硫合剂；生长期喷70 %代森锰锌可湿性粉剂800倍液或75 %白菌清可湿性粉剂800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1200倍液。</w:t>
            </w:r>
          </w:p>
        </w:tc>
        <w:tc>
          <w:tcPr>
            <w:tcW w:w="4292" w:type="dxa"/>
            <w:vMerge w:val="restart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选用枯草芽孢杆菌微乳剂400倍液均匀喷雾，可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视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病情适当改变浓度。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桃炭疽病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萌芽前喷3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5波美度石硫合剂。谢花后，每隔10天左右喷施杀70 %甲基托布津可湿性粉剂1000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1500倍液或75 %白菌清可湿性粉剂800倍液，连续2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3次。</w:t>
            </w:r>
          </w:p>
        </w:tc>
        <w:tc>
          <w:tcPr>
            <w:tcW w:w="4292" w:type="dxa"/>
            <w:vMerge w:val="continue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u w:val="none"/>
                <w:lang w:val="en-US" w:eastAsia="zh-CN"/>
              </w:rPr>
              <w:t>桃疮痂病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1.萌芽前喷施3波美度石硫合剂。谢花后，喷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u w:val="none"/>
                <w:lang w:val="en-US" w:eastAsia="zh-CN"/>
              </w:rPr>
              <w:t>80 %代森锰锌可湿性粉剂1500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u w:val="none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u w:val="none"/>
                <w:lang w:val="en-US" w:eastAsia="zh-CN"/>
              </w:rPr>
              <w:t>2500倍液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或50 %多菌灵600倍液或70 %甲基托布津 800倍液。15天左右喷一次，连续3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4次，药剂交替使用。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2.套袋前全园喷杀虫剂杀菌剂一次。可用10 %世高水散颗粒剂2000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2500倍液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+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10 % 吡虫啉可湿性粉剂3000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4000倍液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+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9.5 %螨即死乳油2000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3000倍液。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桃粉蚜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若虫大量出现时喷施，药剂有：一遍净1500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2000倍液，10 %吡虫啉可湿性粉剂3000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4000倍液。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选用除虫菊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酯类杀虫剂兑水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喷雾；挂果后，释放天敌，在避光处悬挂商品瓢虫卵块，每棵树可用5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个</w:t>
            </w:r>
            <w:r>
              <w:rPr>
                <w:rFonts w:hint="eastAsia" w:ascii="华文仿宋" w:hAnsi="华文仿宋" w:eastAsia="华文仿宋" w:cs="华文仿宋"/>
                <w:color w:val="auto"/>
                <w:spacing w:val="0"/>
                <w:w w:val="100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10个卵卡。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桃蛀螟</w:t>
            </w:r>
          </w:p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1.合理修剪和疏果，避免枝叶郁闭和贴面果的产生，减少虫卵量。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2.尽量不与玉米、向日葵一起栽种。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3.可用除尽1500倍液或抑太保1500倍液着重防治第一代、第二代幼虫。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前期使用糖醋液或者诱虫灯进行监测、诱捕；在巡园过程中，留意卵块，并及时摘除；幼虫发生时期使用苦参碱500倍液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或绿僵菌、BT制剂等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均匀喷雾。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both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桃小食心虫（梨小食心虫）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1.人工防治：冬季刮粗皮，消灭越冬虫源。生长期发现受害桃梢及时剪除。冬季深翻，清园。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2.药剂防治：在幼虫初孵期喷施除尽1500倍液或抑太保1500倍液。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3.地下防治：在越冬幼虫出土化蛹期，于土面喷施25 %辛硫磷1000倍液。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交配期悬挂诱捕器诱捕雄虫；萌芽前在距地面30 cm处的主干、主枝上轻刮粗树皮，防治越冬老熟幼虫；幼果期，每亩喷施白僵菌菌剂2 kg。盛卵期后三天，可采用苦参碱+鱼藤酮500倍液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>或绿僵菌、BT制剂等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  <w:t>喷雾。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桃红颈天牛</w:t>
            </w:r>
          </w:p>
          <w:p>
            <w:pPr>
              <w:pStyle w:val="126"/>
              <w:framePr w:hSpace="0" w:vSpace="0" w:wrap="auto" w:vAnchor="margin" w:hAnchor="text" w:xAlign="left" w:yAlign="inline"/>
              <w:jc w:val="center"/>
              <w:rPr>
                <w:rFonts w:hint="eastAsia" w:ascii="宋体" w:hAnsi="宋体" w:eastAsia="宋体" w:cs="宋体"/>
                <w:color w:val="auto"/>
                <w:spacing w:val="0"/>
                <w:w w:val="100"/>
                <w:vertAlign w:val="baseline"/>
                <w:lang w:val="en-US" w:eastAsia="zh-CN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针对新鲜虫蛀洞，可用小棉球蘸敌敌畏机油合剂（1 kg机油加50 ml 80 %敌敌畏乳油）塞入虫孔，用泥土封堵；也可直接注射80</w:t>
            </w:r>
            <w:r>
              <w:rPr>
                <w:rFonts w:hint="eastAsia" w:ascii="宋体" w:hAnsi="宋体" w:cs="宋体"/>
                <w:color w:val="auto"/>
                <w:spacing w:val="0"/>
                <w:w w:val="10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%敌敌畏原液，再用稀泥封住洞口。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1.对高龄树干刮除粗糙树皮及翘皮，防止树皮裂缝。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2.桃红颈天牛成虫对糖醋液有趋性，成虫羽化期，将糖醋液悬挂于行间树荫下，距地面1.5 m高。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3.人工捕杀。成虫发生期，利用成虫喜欢中午活动的习性进行人工捕杀。</w:t>
            </w:r>
          </w:p>
          <w:p>
            <w:pPr>
              <w:pStyle w:val="126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lang w:val="en-US" w:eastAsia="zh-CN"/>
              </w:rPr>
              <w:t>4.在成虫发生盛期可使用鱼藤酮+印楝油+聚多喜喷雾。</w:t>
            </w:r>
          </w:p>
        </w:tc>
      </w:tr>
    </w:tbl>
    <w:p>
      <w:pPr>
        <w:pStyle w:val="126"/>
        <w:framePr w:hSpace="0" w:vSpace="0" w:wrap="auto" w:vAnchor="margin" w:hAnchor="text" w:xAlign="left" w:yAlign="inline"/>
        <w:jc w:val="both"/>
        <w:rPr>
          <w:color w:val="auto"/>
        </w:rPr>
      </w:pPr>
    </w:p>
    <w:p>
      <w:pPr>
        <w:pStyle w:val="126"/>
        <w:framePr w:hSpace="0" w:vSpace="0" w:wrap="auto" w:vAnchor="margin" w:hAnchor="text" w:xAlign="left" w:yAlign="inline"/>
        <w:jc w:val="center"/>
        <w:rPr>
          <w:rFonts w:hint="eastAsia" w:ascii="宋体" w:hAnsi="宋体" w:cs="宋体"/>
          <w:color w:val="auto"/>
          <w:u w:val="thick"/>
          <w:lang w:eastAsia="zh-CN"/>
        </w:rPr>
      </w:pPr>
      <w:r>
        <w:rPr>
          <w:rFonts w:hint="eastAsia" w:ascii="宋体" w:hAnsi="宋体" w:cs="宋体"/>
          <w:color w:val="auto"/>
          <w:u w:val="thick"/>
        </w:rPr>
        <w:t>______</w:t>
      </w:r>
      <w:bookmarkStart w:id="11" w:name="_GoBack"/>
      <w:bookmarkEnd w:id="11"/>
      <w:r>
        <w:rPr>
          <w:rFonts w:hint="eastAsia" w:ascii="宋体" w:hAnsi="宋体" w:cs="宋体"/>
          <w:color w:val="auto"/>
          <w:u w:val="thick"/>
        </w:rPr>
        <w:t>_______________</w:t>
      </w:r>
    </w:p>
    <w:p>
      <w:pPr>
        <w:pStyle w:val="13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firstLine="420" w:firstLineChars="200"/>
        <w:jc w:val="both"/>
        <w:textAlignment w:val="auto"/>
        <w:rPr>
          <w:rFonts w:hint="eastAsia" w:ascii="Times New Roman" w:hAnsi="Times New Roman" w:cs="Times New Roman"/>
          <w:color w:val="auto"/>
          <w:spacing w:val="0"/>
          <w:w w:val="100"/>
          <w:sz w:val="21"/>
          <w:szCs w:val="21"/>
          <w:highlight w:val="none"/>
          <w:u w:val="none"/>
          <w:lang w:val="en-US" w:eastAsia="zh-CN" w:bidi="ar-SA"/>
        </w:rPr>
      </w:pPr>
    </w:p>
    <w:p>
      <w:pPr>
        <w:pStyle w:val="83"/>
        <w:numPr>
          <w:ilvl w:val="0"/>
          <w:numId w:val="0"/>
        </w:numPr>
        <w:jc w:val="both"/>
        <w:rPr>
          <w:color w:val="auto"/>
        </w:rPr>
      </w:pPr>
    </w:p>
    <w:sectPr>
      <w:headerReference r:id="rId9" w:type="default"/>
      <w:footerReference r:id="rId10" w:type="default"/>
      <w:footerReference r:id="rId11" w:type="even"/>
      <w:pgSz w:w="11906" w:h="16838"/>
      <w:pgMar w:top="1417" w:right="1134" w:bottom="1134" w:left="1417" w:header="1418" w:footer="1134" w:gutter="0"/>
      <w:pgNumType w:fmt="decimal" w:start="1"/>
      <w:cols w:space="720" w:num="1"/>
      <w:formProt w:val="0"/>
      <w:docGrid w:type="lines" w:linePitch="31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059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wordWrap w:val="0"/>
      <w:jc w:val="center"/>
      <w:rPr>
        <w:rFonts w:ascii="黑体" w:hAnsi="黑体" w:eastAsia="黑体" w:cs="黑体"/>
        <w:i/>
        <w:iCs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B9neeR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5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EjAfhEaAgAAJw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wordWrap w:val="0"/>
      <w:jc w:val="center"/>
      <w:rPr>
        <w:rFonts w:ascii="黑体" w:hAnsi="黑体" w:eastAsia="黑体" w:cs="黑体"/>
        <w:i/>
        <w:iCs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wFQXk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i/>
        <w:iCs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2889250</wp:posOffset>
              </wp:positionH>
              <wp:positionV relativeFrom="paragraph">
                <wp:posOffset>17145</wp:posOffset>
              </wp:positionV>
              <wp:extent cx="38100" cy="131445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381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7.5pt;margin-top:1.35pt;height:10.35pt;width:3pt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FgAAAGRycy9QSwECFAAUAAAACACHTuJAzHd2wdUAAAAIAQAADwAAAAAAAAABACAA&#10;AAA4AAAAZHJzL2Rvd25yZXYueG1sUEsBAhQAFAAAAAgAh07iQNUctcH6AQAA0AMAAA4AAAAAAAAA&#10;AQAgAAAAOgEAAGRycy9lMm9Eb2MueG1sUEsFBgAAAAAGAAYAWQEAAK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i/>
        <w:iCs/>
      </w:rPr>
      <w:t xml:space="preserve">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5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5f05d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BYAAABkcnMvUEsBAhQAFAAAAAgAh07iQLNJWO7QAAAABQEA&#10;AA8AAAAAAAAAAQAgAAAAOAAAAGRycy9kb3ducmV2LnhtbFBLAQIUABQAAAAIAIdO4kD5XkFd0wEA&#10;AIQDAAAOAAAAAAAAAAEAIAAAADUBAABkcnMvZTJvRG9jLnhtbFBLBQYAAAAABgAGAFkBAAB6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WAAAAZHJzL1BLAQIUABQAAAAIAIdO4kCzSVju0AAAAAUB&#10;AAAPAAAAAAAAAAEAIAAAADgAAABkcnMvZG93bnJldi54bWxQSwECFAAUAAAACACHTuJAXrPGQ9QB&#10;AACEAwAADgAAAAAAAAABACAAAAA1AQAAZHJzL2Uyb0RvYy54bWxQSwUGAAAAAAYABgBZAQAAew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keepNext w:val="0"/>
      <w:keepLines w:val="0"/>
      <w:pageBreakBefore w:val="0"/>
      <w:widowControl/>
      <w:kinsoku/>
      <w:wordWrap/>
      <w:overflowPunct/>
      <w:topLinePunct w:val="0"/>
      <w:autoSpaceDE/>
      <w:autoSpaceDN/>
      <w:bidi w:val="0"/>
      <w:adjustRightInd/>
      <w:snapToGrid/>
      <w:spacing w:after="0"/>
      <w:textAlignment w:val="auto"/>
      <w:rPr>
        <w:rFonts w:hAnsi="黑体"/>
      </w:rPr>
    </w:pPr>
    <w:r>
      <w:rPr>
        <w:rFonts w:hint="eastAsia" w:hAnsi="黑体"/>
      </w:rPr>
      <w:t>T/SZNB XXX—XXXX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6"/>
      <w:keepNext w:val="0"/>
      <w:keepLines w:val="0"/>
      <w:pageBreakBefore w:val="0"/>
      <w:widowControl/>
      <w:kinsoku/>
      <w:wordWrap/>
      <w:overflowPunct/>
      <w:topLinePunct w:val="0"/>
      <w:autoSpaceDE/>
      <w:autoSpaceDN/>
      <w:bidi w:val="0"/>
      <w:adjustRightInd/>
      <w:snapToGrid/>
      <w:spacing w:after="283"/>
      <w:jc w:val="both"/>
      <w:textAlignment w:val="auto"/>
      <w:rPr>
        <w:rFonts w:hAnsi="黑体"/>
      </w:rPr>
    </w:pPr>
    <w:r>
      <w:rPr>
        <w:rFonts w:hint="eastAsia" w:hAnsi="黑体"/>
      </w:rPr>
      <w:t>T/SZNB XXX—XXXX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keepNext w:val="0"/>
      <w:keepLines w:val="0"/>
      <w:pageBreakBefore w:val="0"/>
      <w:widowControl/>
      <w:kinsoku/>
      <w:wordWrap/>
      <w:overflowPunct/>
      <w:topLinePunct w:val="0"/>
      <w:autoSpaceDE/>
      <w:autoSpaceDN/>
      <w:bidi w:val="0"/>
      <w:adjustRightInd/>
      <w:snapToGrid/>
      <w:spacing w:after="283"/>
      <w:textAlignment w:val="auto"/>
      <w:rPr>
        <w:rFonts w:hAnsi="黑体"/>
      </w:rPr>
    </w:pPr>
    <w:r>
      <w:rPr>
        <w:rFonts w:hAnsi="黑体"/>
      </w:rPr>
      <w:t>T</w:t>
    </w:r>
    <w:r>
      <w:rPr>
        <w:rFonts w:hint="eastAsia" w:hAnsi="黑体"/>
        <w:lang w:val="en-US" w:eastAsia="zh-CN"/>
      </w:rPr>
      <w:t>/SZNB</w:t>
    </w:r>
    <w:r>
      <w:rPr>
        <w:rFonts w:hAnsi="黑体"/>
      </w:rPr>
      <w:t xml:space="preserve"> </w:t>
    </w:r>
    <w:r>
      <w:rPr>
        <w:rFonts w:hint="eastAsia" w:hAnsi="黑体"/>
        <w:lang w:val="en-US" w:eastAsia="zh-CN"/>
      </w:rPr>
      <w:t>X</w:t>
    </w:r>
    <w:r>
      <w:rPr>
        <w:rFonts w:hint="eastAsia" w:hAnsi="黑体"/>
      </w:rPr>
      <w:t>XX</w:t>
    </w:r>
    <w:r>
      <w:rPr>
        <w:rFonts w:hAnsi="黑体"/>
      </w:rPr>
      <w:t>—</w:t>
    </w:r>
    <w:r>
      <w:rPr>
        <w:rFonts w:hint="eastAsia" w:hAnsi="黑体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55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13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4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pStyle w:val="118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6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4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9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4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2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5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5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25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8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23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8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9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0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 w:tentative="0">
      <w:start w:val="1"/>
      <w:numFmt w:val="none"/>
      <w:pStyle w:val="54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16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3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removePersonalInformation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true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mZGM5MGNkZmQ3MGY3NTU5NzcxZDM3YzFhN2JkZDkifQ=="/>
  </w:docVars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0165"/>
    <w:rsid w:val="000320A7"/>
    <w:rsid w:val="00035925"/>
    <w:rsid w:val="00067CDF"/>
    <w:rsid w:val="00074FBE"/>
    <w:rsid w:val="00076FEE"/>
    <w:rsid w:val="00083A09"/>
    <w:rsid w:val="00083D43"/>
    <w:rsid w:val="0009005E"/>
    <w:rsid w:val="00092857"/>
    <w:rsid w:val="000A20A9"/>
    <w:rsid w:val="000A48B1"/>
    <w:rsid w:val="000B3143"/>
    <w:rsid w:val="000C6B05"/>
    <w:rsid w:val="000C6DD6"/>
    <w:rsid w:val="000C73D4"/>
    <w:rsid w:val="000D3D4C"/>
    <w:rsid w:val="000D4F51"/>
    <w:rsid w:val="000D718B"/>
    <w:rsid w:val="000E0C46"/>
    <w:rsid w:val="000F030C"/>
    <w:rsid w:val="000F129C"/>
    <w:rsid w:val="001056DE"/>
    <w:rsid w:val="001064D8"/>
    <w:rsid w:val="001124C0"/>
    <w:rsid w:val="0013175F"/>
    <w:rsid w:val="00143ECC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E6254"/>
    <w:rsid w:val="001F3A19"/>
    <w:rsid w:val="00234467"/>
    <w:rsid w:val="00237D8D"/>
    <w:rsid w:val="00241DA2"/>
    <w:rsid w:val="00247FEE"/>
    <w:rsid w:val="00250E7D"/>
    <w:rsid w:val="002565D5"/>
    <w:rsid w:val="002622C0"/>
    <w:rsid w:val="002778AE"/>
    <w:rsid w:val="00282614"/>
    <w:rsid w:val="0028269A"/>
    <w:rsid w:val="00283590"/>
    <w:rsid w:val="00286973"/>
    <w:rsid w:val="002945DB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62A"/>
    <w:rsid w:val="002E2906"/>
    <w:rsid w:val="002E5635"/>
    <w:rsid w:val="002E64C3"/>
    <w:rsid w:val="002E6A2C"/>
    <w:rsid w:val="002F1D8C"/>
    <w:rsid w:val="002F21DA"/>
    <w:rsid w:val="00301F39"/>
    <w:rsid w:val="00325926"/>
    <w:rsid w:val="00327A8A"/>
    <w:rsid w:val="00336610"/>
    <w:rsid w:val="00336FD8"/>
    <w:rsid w:val="00343F73"/>
    <w:rsid w:val="00345060"/>
    <w:rsid w:val="0035323B"/>
    <w:rsid w:val="003609D2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4E78"/>
    <w:rsid w:val="003E5729"/>
    <w:rsid w:val="003F4EE0"/>
    <w:rsid w:val="00402153"/>
    <w:rsid w:val="00402FC1"/>
    <w:rsid w:val="00425082"/>
    <w:rsid w:val="00431DEB"/>
    <w:rsid w:val="00446B29"/>
    <w:rsid w:val="00453F9A"/>
    <w:rsid w:val="00471E91"/>
    <w:rsid w:val="00474675"/>
    <w:rsid w:val="0047470C"/>
    <w:rsid w:val="004A35F9"/>
    <w:rsid w:val="004B24C1"/>
    <w:rsid w:val="004C292F"/>
    <w:rsid w:val="00510280"/>
    <w:rsid w:val="00513D73"/>
    <w:rsid w:val="00514A43"/>
    <w:rsid w:val="00515785"/>
    <w:rsid w:val="005174E5"/>
    <w:rsid w:val="00522393"/>
    <w:rsid w:val="00522620"/>
    <w:rsid w:val="00525656"/>
    <w:rsid w:val="00534C02"/>
    <w:rsid w:val="0054264B"/>
    <w:rsid w:val="00543786"/>
    <w:rsid w:val="0055085E"/>
    <w:rsid w:val="005533D7"/>
    <w:rsid w:val="005703DE"/>
    <w:rsid w:val="0058464E"/>
    <w:rsid w:val="005A01CB"/>
    <w:rsid w:val="005A58FF"/>
    <w:rsid w:val="005A5EAF"/>
    <w:rsid w:val="005A64C0"/>
    <w:rsid w:val="005B3C11"/>
    <w:rsid w:val="005C1C28"/>
    <w:rsid w:val="005C6DB5"/>
    <w:rsid w:val="005E0CD9"/>
    <w:rsid w:val="005E19E7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63AF3"/>
    <w:rsid w:val="00666B6C"/>
    <w:rsid w:val="00682682"/>
    <w:rsid w:val="00682702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704DF6"/>
    <w:rsid w:val="0070651C"/>
    <w:rsid w:val="007132A3"/>
    <w:rsid w:val="00716421"/>
    <w:rsid w:val="00724EFB"/>
    <w:rsid w:val="007351B3"/>
    <w:rsid w:val="007419C3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97774"/>
    <w:rsid w:val="007A2C6E"/>
    <w:rsid w:val="007A646F"/>
    <w:rsid w:val="007B1625"/>
    <w:rsid w:val="007B706E"/>
    <w:rsid w:val="007B71EB"/>
    <w:rsid w:val="007C4823"/>
    <w:rsid w:val="007C4E6A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E82"/>
    <w:rsid w:val="008C1B58"/>
    <w:rsid w:val="008C39AE"/>
    <w:rsid w:val="008C590D"/>
    <w:rsid w:val="008E031B"/>
    <w:rsid w:val="008E129F"/>
    <w:rsid w:val="008E7029"/>
    <w:rsid w:val="008E7EF6"/>
    <w:rsid w:val="008F1F98"/>
    <w:rsid w:val="008F2666"/>
    <w:rsid w:val="008F6758"/>
    <w:rsid w:val="009040DD"/>
    <w:rsid w:val="00905B47"/>
    <w:rsid w:val="0091331C"/>
    <w:rsid w:val="00917089"/>
    <w:rsid w:val="009279DE"/>
    <w:rsid w:val="00930116"/>
    <w:rsid w:val="0094212C"/>
    <w:rsid w:val="00954689"/>
    <w:rsid w:val="009617C9"/>
    <w:rsid w:val="00961C93"/>
    <w:rsid w:val="00965324"/>
    <w:rsid w:val="0097091E"/>
    <w:rsid w:val="009751A5"/>
    <w:rsid w:val="009760D3"/>
    <w:rsid w:val="00977132"/>
    <w:rsid w:val="00981A4B"/>
    <w:rsid w:val="00982501"/>
    <w:rsid w:val="009877D3"/>
    <w:rsid w:val="00994E8F"/>
    <w:rsid w:val="009951DC"/>
    <w:rsid w:val="009959BB"/>
    <w:rsid w:val="009967A9"/>
    <w:rsid w:val="00997158"/>
    <w:rsid w:val="009A3A7C"/>
    <w:rsid w:val="009B2ADB"/>
    <w:rsid w:val="009B603A"/>
    <w:rsid w:val="009C2D0E"/>
    <w:rsid w:val="009C3DAC"/>
    <w:rsid w:val="009C42E0"/>
    <w:rsid w:val="009D5362"/>
    <w:rsid w:val="009E1415"/>
    <w:rsid w:val="009E6116"/>
    <w:rsid w:val="00A02E43"/>
    <w:rsid w:val="00A065F9"/>
    <w:rsid w:val="00A07F34"/>
    <w:rsid w:val="00A22154"/>
    <w:rsid w:val="00A25C38"/>
    <w:rsid w:val="00A36BBE"/>
    <w:rsid w:val="00A418C2"/>
    <w:rsid w:val="00A4307A"/>
    <w:rsid w:val="00A47EBB"/>
    <w:rsid w:val="00A51CDD"/>
    <w:rsid w:val="00A6085C"/>
    <w:rsid w:val="00A6730D"/>
    <w:rsid w:val="00A71625"/>
    <w:rsid w:val="00A71B9B"/>
    <w:rsid w:val="00A751C7"/>
    <w:rsid w:val="00A87844"/>
    <w:rsid w:val="00A9718E"/>
    <w:rsid w:val="00AA038C"/>
    <w:rsid w:val="00AA7A09"/>
    <w:rsid w:val="00AB3B50"/>
    <w:rsid w:val="00AC05B1"/>
    <w:rsid w:val="00AD356C"/>
    <w:rsid w:val="00AE2914"/>
    <w:rsid w:val="00AE6D15"/>
    <w:rsid w:val="00B04182"/>
    <w:rsid w:val="00B07AE3"/>
    <w:rsid w:val="00B11430"/>
    <w:rsid w:val="00B353EB"/>
    <w:rsid w:val="00B439C4"/>
    <w:rsid w:val="00B4535E"/>
    <w:rsid w:val="00B52A8C"/>
    <w:rsid w:val="00B636A8"/>
    <w:rsid w:val="00B665C6"/>
    <w:rsid w:val="00B805AF"/>
    <w:rsid w:val="00B869EC"/>
    <w:rsid w:val="00B9397A"/>
    <w:rsid w:val="00B9633D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15D6"/>
    <w:rsid w:val="00BF617A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601D2"/>
    <w:rsid w:val="00C657AB"/>
    <w:rsid w:val="00C65BCC"/>
    <w:rsid w:val="00C66970"/>
    <w:rsid w:val="00C8691C"/>
    <w:rsid w:val="00CA168A"/>
    <w:rsid w:val="00CA357E"/>
    <w:rsid w:val="00CA44F9"/>
    <w:rsid w:val="00CA4A69"/>
    <w:rsid w:val="00CC3E0C"/>
    <w:rsid w:val="00CC58D3"/>
    <w:rsid w:val="00CC784D"/>
    <w:rsid w:val="00D0337B"/>
    <w:rsid w:val="00D079B2"/>
    <w:rsid w:val="00D114E9"/>
    <w:rsid w:val="00D429C6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1940"/>
    <w:rsid w:val="00DA3991"/>
    <w:rsid w:val="00DA673F"/>
    <w:rsid w:val="00DB5CAD"/>
    <w:rsid w:val="00DB7E6C"/>
    <w:rsid w:val="00DD5A29"/>
    <w:rsid w:val="00DD5D9D"/>
    <w:rsid w:val="00DE35CB"/>
    <w:rsid w:val="00DF21E9"/>
    <w:rsid w:val="00E00F14"/>
    <w:rsid w:val="00E06386"/>
    <w:rsid w:val="00E24EB4"/>
    <w:rsid w:val="00E320ED"/>
    <w:rsid w:val="00E33AFB"/>
    <w:rsid w:val="00E34218"/>
    <w:rsid w:val="00E369F6"/>
    <w:rsid w:val="00E4253F"/>
    <w:rsid w:val="00E46282"/>
    <w:rsid w:val="00E5216E"/>
    <w:rsid w:val="00E6480C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355E"/>
    <w:rsid w:val="00EB786A"/>
    <w:rsid w:val="00EC1578"/>
    <w:rsid w:val="00EC1C72"/>
    <w:rsid w:val="00EC3CC9"/>
    <w:rsid w:val="00EC56B0"/>
    <w:rsid w:val="00EC680A"/>
    <w:rsid w:val="00ED7F43"/>
    <w:rsid w:val="00EE2BED"/>
    <w:rsid w:val="00EE374B"/>
    <w:rsid w:val="00F11BB5"/>
    <w:rsid w:val="00F1417B"/>
    <w:rsid w:val="00F34B99"/>
    <w:rsid w:val="00F52DAB"/>
    <w:rsid w:val="00F543F0"/>
    <w:rsid w:val="00F56BFF"/>
    <w:rsid w:val="00F670FB"/>
    <w:rsid w:val="00F81D29"/>
    <w:rsid w:val="00F91C4D"/>
    <w:rsid w:val="00F92FD9"/>
    <w:rsid w:val="00FA4E02"/>
    <w:rsid w:val="00FA6684"/>
    <w:rsid w:val="00FA731E"/>
    <w:rsid w:val="00FB2B38"/>
    <w:rsid w:val="00FC6358"/>
    <w:rsid w:val="00FD320D"/>
    <w:rsid w:val="00FE23DE"/>
    <w:rsid w:val="05EA0D3B"/>
    <w:rsid w:val="0AE25E04"/>
    <w:rsid w:val="0C755D2F"/>
    <w:rsid w:val="0D224C0A"/>
    <w:rsid w:val="181C3F08"/>
    <w:rsid w:val="1EFD77DD"/>
    <w:rsid w:val="1FFF409E"/>
    <w:rsid w:val="255A5366"/>
    <w:rsid w:val="277EEBEE"/>
    <w:rsid w:val="298E1702"/>
    <w:rsid w:val="2E7FB98D"/>
    <w:rsid w:val="2FAF16A0"/>
    <w:rsid w:val="334B03B0"/>
    <w:rsid w:val="337EC94E"/>
    <w:rsid w:val="37BB0EEC"/>
    <w:rsid w:val="37D5CF20"/>
    <w:rsid w:val="39CF566F"/>
    <w:rsid w:val="3AEA11B4"/>
    <w:rsid w:val="3B7FA1B1"/>
    <w:rsid w:val="3B9A2CCF"/>
    <w:rsid w:val="3D7DF48F"/>
    <w:rsid w:val="3EB82308"/>
    <w:rsid w:val="3F6FEB10"/>
    <w:rsid w:val="3F7ECC45"/>
    <w:rsid w:val="3FAE7E30"/>
    <w:rsid w:val="3FECC09B"/>
    <w:rsid w:val="3FF587A5"/>
    <w:rsid w:val="3FFF4543"/>
    <w:rsid w:val="3FFFA865"/>
    <w:rsid w:val="46E47955"/>
    <w:rsid w:val="4B1FE9B9"/>
    <w:rsid w:val="4DF7DECB"/>
    <w:rsid w:val="4EF712C1"/>
    <w:rsid w:val="4FF8CCCD"/>
    <w:rsid w:val="53A7782A"/>
    <w:rsid w:val="53FF1FAF"/>
    <w:rsid w:val="540762B3"/>
    <w:rsid w:val="556F9A1E"/>
    <w:rsid w:val="55BE0A3E"/>
    <w:rsid w:val="56385014"/>
    <w:rsid w:val="567EEA6C"/>
    <w:rsid w:val="5B7BA75D"/>
    <w:rsid w:val="5C79383F"/>
    <w:rsid w:val="5ECF380F"/>
    <w:rsid w:val="5FDF9EA8"/>
    <w:rsid w:val="64FF0119"/>
    <w:rsid w:val="671FC819"/>
    <w:rsid w:val="68AC2C72"/>
    <w:rsid w:val="6AA35154"/>
    <w:rsid w:val="6BD1EF41"/>
    <w:rsid w:val="6BDB026B"/>
    <w:rsid w:val="6BEB8490"/>
    <w:rsid w:val="6CEE6C92"/>
    <w:rsid w:val="6FA37FAD"/>
    <w:rsid w:val="6FAD7CC0"/>
    <w:rsid w:val="6FEC47E9"/>
    <w:rsid w:val="6FFF438D"/>
    <w:rsid w:val="6FFF6D88"/>
    <w:rsid w:val="70FF52C9"/>
    <w:rsid w:val="719E5731"/>
    <w:rsid w:val="727B7327"/>
    <w:rsid w:val="72EE4E2A"/>
    <w:rsid w:val="73062F57"/>
    <w:rsid w:val="739F7369"/>
    <w:rsid w:val="73EF337D"/>
    <w:rsid w:val="753D5FC3"/>
    <w:rsid w:val="757DE146"/>
    <w:rsid w:val="76BFC604"/>
    <w:rsid w:val="76FF95AC"/>
    <w:rsid w:val="773FB0C0"/>
    <w:rsid w:val="776770C2"/>
    <w:rsid w:val="77FEAC6C"/>
    <w:rsid w:val="77FF5D71"/>
    <w:rsid w:val="79743AA6"/>
    <w:rsid w:val="797F3D4E"/>
    <w:rsid w:val="79FD1DDF"/>
    <w:rsid w:val="7B7F978F"/>
    <w:rsid w:val="7BC51CFF"/>
    <w:rsid w:val="7C7F5559"/>
    <w:rsid w:val="7C891FCA"/>
    <w:rsid w:val="7C893B2F"/>
    <w:rsid w:val="7DA53F1A"/>
    <w:rsid w:val="7DA6FAB6"/>
    <w:rsid w:val="7DFD5BA5"/>
    <w:rsid w:val="7DFF15AC"/>
    <w:rsid w:val="7ED71D7D"/>
    <w:rsid w:val="7EDBF14A"/>
    <w:rsid w:val="7EFAF087"/>
    <w:rsid w:val="7F0D50B3"/>
    <w:rsid w:val="7F371FAB"/>
    <w:rsid w:val="7F5147CE"/>
    <w:rsid w:val="7F7D58EC"/>
    <w:rsid w:val="7FCF8B11"/>
    <w:rsid w:val="7FD328EB"/>
    <w:rsid w:val="7FEB2D01"/>
    <w:rsid w:val="7FEE801D"/>
    <w:rsid w:val="7FFB0AEB"/>
    <w:rsid w:val="8F794836"/>
    <w:rsid w:val="8F92F5B9"/>
    <w:rsid w:val="9D4B5CFF"/>
    <w:rsid w:val="9DDFB7E1"/>
    <w:rsid w:val="A5DF79A5"/>
    <w:rsid w:val="A7AA29B0"/>
    <w:rsid w:val="ACBB70EF"/>
    <w:rsid w:val="B72FAF2F"/>
    <w:rsid w:val="B8CBAD99"/>
    <w:rsid w:val="BA7B23C6"/>
    <w:rsid w:val="BC7DBA53"/>
    <w:rsid w:val="BCFED908"/>
    <w:rsid w:val="BDFED2B2"/>
    <w:rsid w:val="BF7D4767"/>
    <w:rsid w:val="CBF7D154"/>
    <w:rsid w:val="CDFB6C46"/>
    <w:rsid w:val="CEBFCEAD"/>
    <w:rsid w:val="CFF8B134"/>
    <w:rsid w:val="D5E34E13"/>
    <w:rsid w:val="D73F290C"/>
    <w:rsid w:val="DBDF5B72"/>
    <w:rsid w:val="DDEFAE20"/>
    <w:rsid w:val="DEBE85F3"/>
    <w:rsid w:val="DEF7D19E"/>
    <w:rsid w:val="DFBF6FAA"/>
    <w:rsid w:val="DFC7DCE5"/>
    <w:rsid w:val="DFDF4EF3"/>
    <w:rsid w:val="DFF7E9E8"/>
    <w:rsid w:val="DFFCF168"/>
    <w:rsid w:val="E2DB1217"/>
    <w:rsid w:val="E794C941"/>
    <w:rsid w:val="E7ED4566"/>
    <w:rsid w:val="EBAFDE00"/>
    <w:rsid w:val="EBFF64FF"/>
    <w:rsid w:val="ECF9E529"/>
    <w:rsid w:val="ED7F9557"/>
    <w:rsid w:val="EDB78849"/>
    <w:rsid w:val="EDF83485"/>
    <w:rsid w:val="EFACD822"/>
    <w:rsid w:val="EFF7914F"/>
    <w:rsid w:val="EFFBE43C"/>
    <w:rsid w:val="EFFE8273"/>
    <w:rsid w:val="EFFED7F1"/>
    <w:rsid w:val="EFFFF9A4"/>
    <w:rsid w:val="F0AF59DC"/>
    <w:rsid w:val="F1EC7BB0"/>
    <w:rsid w:val="F39FC45E"/>
    <w:rsid w:val="F5E97DFC"/>
    <w:rsid w:val="F74F3FE6"/>
    <w:rsid w:val="F79E4BD4"/>
    <w:rsid w:val="FA5DA317"/>
    <w:rsid w:val="FA7A06FB"/>
    <w:rsid w:val="FAD78102"/>
    <w:rsid w:val="FBBD3B82"/>
    <w:rsid w:val="FBBFC185"/>
    <w:rsid w:val="FBD3B4F5"/>
    <w:rsid w:val="FBDDC02D"/>
    <w:rsid w:val="FBFB2491"/>
    <w:rsid w:val="FCF27674"/>
    <w:rsid w:val="FCFD4858"/>
    <w:rsid w:val="FD3F0243"/>
    <w:rsid w:val="FDB4A899"/>
    <w:rsid w:val="FDED4451"/>
    <w:rsid w:val="FE7B7CB0"/>
    <w:rsid w:val="FEBEC59F"/>
    <w:rsid w:val="FEDD82F1"/>
    <w:rsid w:val="FF272A3B"/>
    <w:rsid w:val="FF3F0FD8"/>
    <w:rsid w:val="FF6F7889"/>
    <w:rsid w:val="FF76392E"/>
    <w:rsid w:val="FFCFA191"/>
    <w:rsid w:val="FFDD1B7E"/>
    <w:rsid w:val="FFFE0A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2">
    <w:name w:val="Default Paragraph Font"/>
    <w:semiHidden/>
    <w:qFormat/>
    <w:uiPriority w:val="0"/>
  </w:style>
  <w:style w:type="table" w:default="1" w:styleId="3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0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1">
    <w:name w:val="toc 3"/>
    <w:basedOn w:val="1"/>
    <w:next w:val="1"/>
    <w:semiHidden/>
    <w:qFormat/>
    <w:uiPriority w:val="0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2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3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4">
    <w:name w:val="endnote text"/>
    <w:basedOn w:val="1"/>
    <w:semiHidden/>
    <w:qFormat/>
    <w:uiPriority w:val="0"/>
    <w:pPr>
      <w:snapToGrid w:val="0"/>
      <w:jc w:val="left"/>
    </w:pPr>
  </w:style>
  <w:style w:type="paragraph" w:styleId="15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6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18">
    <w:name w:val="toc 4"/>
    <w:basedOn w:val="1"/>
    <w:next w:val="1"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19">
    <w:name w:val="index heading"/>
    <w:basedOn w:val="1"/>
    <w:next w:val="20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0">
    <w:name w:val="index 1"/>
    <w:basedOn w:val="1"/>
    <w:next w:val="21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1">
    <w:name w:val="段"/>
    <w:link w:val="3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2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4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5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6">
    <w:name w:val="toc 2"/>
    <w:basedOn w:val="1"/>
    <w:next w:val="1"/>
    <w:semiHidden/>
    <w:qFormat/>
    <w:uiPriority w:val="0"/>
    <w:pPr>
      <w:tabs>
        <w:tab w:val="right" w:leader="dot" w:pos="9241"/>
      </w:tabs>
    </w:pPr>
    <w:rPr>
      <w:rFonts w:ascii="宋体"/>
      <w:szCs w:val="21"/>
    </w:rPr>
  </w:style>
  <w:style w:type="paragraph" w:styleId="27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2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9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1">
    <w:name w:val="Table Grid"/>
    <w:basedOn w:val="30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3">
    <w:name w:val="endnote reference"/>
    <w:semiHidden/>
    <w:qFormat/>
    <w:uiPriority w:val="0"/>
    <w:rPr>
      <w:vertAlign w:val="superscript"/>
    </w:rPr>
  </w:style>
  <w:style w:type="character" w:styleId="34">
    <w:name w:val="page number"/>
    <w:qFormat/>
    <w:uiPriority w:val="0"/>
    <w:rPr>
      <w:rFonts w:ascii="Times New Roman" w:hAnsi="Times New Roman" w:eastAsia="宋体"/>
      <w:sz w:val="18"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styleId="37">
    <w:name w:val="footnote reference"/>
    <w:semiHidden/>
    <w:qFormat/>
    <w:uiPriority w:val="0"/>
    <w:rPr>
      <w:vertAlign w:val="superscript"/>
    </w:rPr>
  </w:style>
  <w:style w:type="character" w:customStyle="1" w:styleId="38">
    <w:name w:val="段 Char"/>
    <w:link w:val="21"/>
    <w:qFormat/>
    <w:uiPriority w:val="0"/>
    <w:rPr>
      <w:rFonts w:ascii="宋体"/>
      <w:sz w:val="21"/>
      <w:lang w:val="en-US" w:eastAsia="zh-CN" w:bidi="ar-SA"/>
    </w:rPr>
  </w:style>
  <w:style w:type="paragraph" w:customStyle="1" w:styleId="39">
    <w:name w:val="一级条标题"/>
    <w:next w:val="21"/>
    <w:qFormat/>
    <w:uiPriority w:val="0"/>
    <w:pPr>
      <w:numPr>
        <w:ilvl w:val="1"/>
        <w:numId w:val="2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2">
    <w:name w:val="章标题"/>
    <w:next w:val="21"/>
    <w:qFormat/>
    <w:uiPriority w:val="0"/>
    <w:pPr>
      <w:numPr>
        <w:ilvl w:val="0"/>
        <w:numId w:val="2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二级条标题"/>
    <w:basedOn w:val="39"/>
    <w:next w:val="21"/>
    <w:qFormat/>
    <w:uiPriority w:val="0"/>
    <w:pPr>
      <w:numPr>
        <w:ilvl w:val="2"/>
        <w:numId w:val="2"/>
      </w:numPr>
      <w:spacing w:before="50" w:after="50"/>
      <w:outlineLvl w:val="3"/>
    </w:pPr>
  </w:style>
  <w:style w:type="paragraph" w:customStyle="1" w:styleId="4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5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6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目次、标准名称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8">
    <w:name w:val="三级条标题"/>
    <w:basedOn w:val="43"/>
    <w:next w:val="21"/>
    <w:qFormat/>
    <w:uiPriority w:val="0"/>
    <w:pPr>
      <w:numPr>
        <w:ilvl w:val="3"/>
        <w:numId w:val="2"/>
      </w:numPr>
      <w:outlineLvl w:val="4"/>
    </w:pPr>
  </w:style>
  <w:style w:type="paragraph" w:customStyle="1" w:styleId="49">
    <w:name w:val="示例"/>
    <w:next w:val="50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1">
    <w:name w:val="数字编号列项（二级）"/>
    <w:qFormat/>
    <w:uiPriority w:val="0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四级条标题"/>
    <w:basedOn w:val="48"/>
    <w:next w:val="21"/>
    <w:qFormat/>
    <w:uiPriority w:val="0"/>
    <w:pPr>
      <w:numPr>
        <w:ilvl w:val="4"/>
        <w:numId w:val="2"/>
      </w:numPr>
      <w:outlineLvl w:val="5"/>
    </w:pPr>
  </w:style>
  <w:style w:type="paragraph" w:customStyle="1" w:styleId="53">
    <w:name w:val="五级条标题"/>
    <w:basedOn w:val="52"/>
    <w:next w:val="21"/>
    <w:qFormat/>
    <w:uiPriority w:val="0"/>
    <w:pPr>
      <w:numPr>
        <w:ilvl w:val="5"/>
        <w:numId w:val="2"/>
      </w:numPr>
      <w:outlineLvl w:val="6"/>
    </w:pPr>
  </w:style>
  <w:style w:type="paragraph" w:customStyle="1" w:styleId="54">
    <w:name w:val="注："/>
    <w:next w:val="21"/>
    <w:qFormat/>
    <w:uiPriority w:val="0"/>
    <w:pPr>
      <w:widowControl w:val="0"/>
      <w:numPr>
        <w:ilvl w:val="0"/>
        <w:numId w:val="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5">
    <w:name w:val="注×："/>
    <w:qFormat/>
    <w:uiPriority w:val="0"/>
    <w:pPr>
      <w:widowControl w:val="0"/>
      <w:numPr>
        <w:ilvl w:val="0"/>
        <w:numId w:val="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字母编号列项（一级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58">
    <w:name w:val="编号列项（三级）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示例×："/>
    <w:basedOn w:val="42"/>
    <w:qFormat/>
    <w:uiPriority w:val="0"/>
    <w:pPr>
      <w:numPr>
        <w:ilvl w:val="0"/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60">
    <w:name w:val="二级无"/>
    <w:basedOn w:val="43"/>
    <w:qFormat/>
    <w:uiPriority w:val="0"/>
    <w:pPr>
      <w:spacing w:before="0" w:beforeLines="0" w:after="0" w:afterLines="0"/>
      <w:ind w:left="0" w:firstLine="0"/>
    </w:pPr>
    <w:rPr>
      <w:rFonts w:ascii="宋体" w:eastAsia="宋体"/>
    </w:rPr>
  </w:style>
  <w:style w:type="paragraph" w:customStyle="1" w:styleId="61">
    <w:name w:val="注：（正文）"/>
    <w:basedOn w:val="54"/>
    <w:next w:val="21"/>
    <w:qFormat/>
    <w:uiPriority w:val="0"/>
  </w:style>
  <w:style w:type="paragraph" w:customStyle="1" w:styleId="62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6">
    <w:name w:val="标准书眉_偶数页"/>
    <w:basedOn w:val="41"/>
    <w:next w:val="1"/>
    <w:qFormat/>
    <w:uiPriority w:val="0"/>
    <w:pPr>
      <w:jc w:val="left"/>
    </w:pPr>
    <w:rPr>
      <w:rFonts w:ascii="黑体" w:eastAsia="黑体"/>
    </w:rPr>
  </w:style>
  <w:style w:type="paragraph" w:customStyle="1" w:styleId="6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8">
    <w:name w:val="参考文献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69">
    <w:name w:val="参考文献、索引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1">
    <w:name w:val="发布部门"/>
    <w:next w:val="21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6">
    <w:name w:val="封面标准英文名称"/>
    <w:basedOn w:val="75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7">
    <w:name w:val="封面一致性程度标识"/>
    <w:basedOn w:val="76"/>
    <w:qFormat/>
    <w:uiPriority w:val="0"/>
    <w:pPr>
      <w:spacing w:before="440"/>
    </w:pPr>
    <w:rPr>
      <w:rFonts w:ascii="宋体" w:eastAsia="宋体"/>
    </w:rPr>
  </w:style>
  <w:style w:type="paragraph" w:customStyle="1" w:styleId="78">
    <w:name w:val="封面标准文稿类别"/>
    <w:basedOn w:val="77"/>
    <w:qFormat/>
    <w:uiPriority w:val="0"/>
    <w:pPr>
      <w:spacing w:after="160" w:line="240" w:lineRule="auto"/>
    </w:pPr>
    <w:rPr>
      <w:sz w:val="24"/>
    </w:rPr>
  </w:style>
  <w:style w:type="paragraph" w:customStyle="1" w:styleId="79">
    <w:name w:val="封面标准文稿编辑信息"/>
    <w:basedOn w:val="78"/>
    <w:qFormat/>
    <w:uiPriority w:val="0"/>
    <w:pPr>
      <w:spacing w:before="180" w:line="180" w:lineRule="exact"/>
    </w:pPr>
    <w:rPr>
      <w:sz w:val="21"/>
    </w:rPr>
  </w:style>
  <w:style w:type="paragraph" w:customStyle="1" w:styleId="8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1">
    <w:name w:val="附录标识"/>
    <w:basedOn w:val="1"/>
    <w:next w:val="21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2">
    <w:name w:val="附录标题"/>
    <w:basedOn w:val="21"/>
    <w:next w:val="21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3">
    <w:name w:val="附录表标号"/>
    <w:basedOn w:val="1"/>
    <w:next w:val="21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4">
    <w:name w:val="附录表标题"/>
    <w:basedOn w:val="1"/>
    <w:next w:val="21"/>
    <w:qFormat/>
    <w:uiPriority w:val="0"/>
    <w:pPr>
      <w:numPr>
        <w:ilvl w:val="1"/>
        <w:numId w:val="11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5">
    <w:name w:val="附录二级条标题"/>
    <w:basedOn w:val="1"/>
    <w:next w:val="21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6">
    <w:name w:val="附录二级无"/>
    <w:basedOn w:val="8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87">
    <w:name w:val="附录公式"/>
    <w:basedOn w:val="21"/>
    <w:next w:val="21"/>
    <w:link w:val="88"/>
    <w:qFormat/>
    <w:uiPriority w:val="0"/>
  </w:style>
  <w:style w:type="character" w:customStyle="1" w:styleId="88">
    <w:name w:val="附录公式 Char"/>
    <w:basedOn w:val="38"/>
    <w:link w:val="87"/>
    <w:qFormat/>
    <w:uiPriority w:val="0"/>
  </w:style>
  <w:style w:type="paragraph" w:customStyle="1" w:styleId="89">
    <w:name w:val="附录公式编号制表符"/>
    <w:basedOn w:val="1"/>
    <w:next w:val="21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0">
    <w:name w:val="附录三级条标题"/>
    <w:basedOn w:val="85"/>
    <w:next w:val="21"/>
    <w:qFormat/>
    <w:uiPriority w:val="0"/>
    <w:pPr>
      <w:numPr>
        <w:ilvl w:val="4"/>
        <w:numId w:val="10"/>
      </w:numPr>
      <w:outlineLvl w:val="4"/>
    </w:pPr>
  </w:style>
  <w:style w:type="paragraph" w:customStyle="1" w:styleId="91">
    <w:name w:val="附录三级无"/>
    <w:basedOn w:val="9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2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3">
    <w:name w:val="附录四级条标题"/>
    <w:basedOn w:val="90"/>
    <w:next w:val="21"/>
    <w:qFormat/>
    <w:uiPriority w:val="0"/>
    <w:pPr>
      <w:numPr>
        <w:ilvl w:val="5"/>
        <w:numId w:val="10"/>
      </w:numPr>
      <w:outlineLvl w:val="5"/>
    </w:pPr>
  </w:style>
  <w:style w:type="paragraph" w:customStyle="1" w:styleId="94">
    <w:name w:val="附录四级无"/>
    <w:basedOn w:val="93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5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6">
    <w:name w:val="附录图标题"/>
    <w:basedOn w:val="1"/>
    <w:next w:val="21"/>
    <w:qFormat/>
    <w:uiPriority w:val="0"/>
    <w:pPr>
      <w:numPr>
        <w:ilvl w:val="1"/>
        <w:numId w:val="13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7">
    <w:name w:val="附录五级条标题"/>
    <w:basedOn w:val="93"/>
    <w:next w:val="21"/>
    <w:qFormat/>
    <w:uiPriority w:val="0"/>
    <w:pPr>
      <w:numPr>
        <w:ilvl w:val="6"/>
        <w:numId w:val="10"/>
      </w:numPr>
      <w:outlineLvl w:val="6"/>
    </w:pPr>
  </w:style>
  <w:style w:type="paragraph" w:customStyle="1" w:styleId="98">
    <w:name w:val="附录五级无"/>
    <w:basedOn w:val="9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9">
    <w:name w:val="附录章标题"/>
    <w:next w:val="21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0">
    <w:name w:val="附录一级条标题"/>
    <w:basedOn w:val="99"/>
    <w:next w:val="21"/>
    <w:qFormat/>
    <w:uiPriority w:val="0"/>
    <w:pPr>
      <w:numPr>
        <w:ilvl w:val="2"/>
        <w:numId w:val="10"/>
      </w:numPr>
      <w:autoSpaceDN w:val="0"/>
      <w:spacing w:before="50" w:beforeLines="50" w:after="50" w:afterLines="50"/>
      <w:outlineLvl w:val="2"/>
    </w:pPr>
  </w:style>
  <w:style w:type="paragraph" w:customStyle="1" w:styleId="101">
    <w:name w:val="附录一级无"/>
    <w:basedOn w:val="10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2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3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4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其他标准标志"/>
    <w:basedOn w:val="63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07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8">
    <w:name w:val="其他发布部门"/>
    <w:basedOn w:val="71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09">
    <w:name w:val="前言、引言标题"/>
    <w:next w:val="2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三级无"/>
    <w:basedOn w:val="4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1">
    <w:name w:val="实施日期"/>
    <w:basedOn w:val="72"/>
    <w:qFormat/>
    <w:uiPriority w:val="0"/>
    <w:pPr>
      <w:framePr w:vAnchor="page" w:hAnchor="page"/>
      <w:jc w:val="right"/>
    </w:pPr>
  </w:style>
  <w:style w:type="paragraph" w:customStyle="1" w:styleId="112">
    <w:name w:val="示例后文字"/>
    <w:basedOn w:val="21"/>
    <w:next w:val="21"/>
    <w:qFormat/>
    <w:uiPriority w:val="0"/>
    <w:pPr>
      <w:ind w:firstLine="360"/>
    </w:pPr>
    <w:rPr>
      <w:sz w:val="18"/>
    </w:rPr>
  </w:style>
  <w:style w:type="paragraph" w:customStyle="1" w:styleId="113">
    <w:name w:val="首示例"/>
    <w:next w:val="21"/>
    <w:link w:val="114"/>
    <w:qFormat/>
    <w:uiPriority w:val="0"/>
    <w:pPr>
      <w:numPr>
        <w:ilvl w:val="0"/>
        <w:numId w:val="14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4">
    <w:name w:val="首示例 Char"/>
    <w:link w:val="113"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115">
    <w:name w:val="四级无"/>
    <w:basedOn w:val="52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6">
    <w:name w:val="条文脚注"/>
    <w:basedOn w:val="22"/>
    <w:qFormat/>
    <w:uiPriority w:val="0"/>
    <w:pPr>
      <w:numPr>
        <w:ilvl w:val="0"/>
        <w:numId w:val="0"/>
      </w:numPr>
      <w:tabs>
        <w:tab w:val="clear" w:pos="0"/>
      </w:tabs>
      <w:jc w:val="both"/>
    </w:pPr>
    <w:rPr>
      <w:rFonts w:ascii="宋体"/>
    </w:rPr>
  </w:style>
  <w:style w:type="paragraph" w:customStyle="1" w:styleId="117">
    <w:name w:val="图标脚注说明"/>
    <w:basedOn w:val="21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18">
    <w:name w:val="图表脚注说明"/>
    <w:basedOn w:val="1"/>
    <w:qFormat/>
    <w:uiPriority w:val="0"/>
    <w:pPr>
      <w:numPr>
        <w:ilvl w:val="0"/>
        <w:numId w:val="15"/>
      </w:numPr>
    </w:pPr>
    <w:rPr>
      <w:rFonts w:ascii="宋体"/>
      <w:sz w:val="18"/>
      <w:szCs w:val="18"/>
    </w:rPr>
  </w:style>
  <w:style w:type="paragraph" w:customStyle="1" w:styleId="119">
    <w:name w:val="图的脚注"/>
    <w:next w:val="21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0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1">
    <w:name w:val="五级无"/>
    <w:basedOn w:val="5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2">
    <w:name w:val="一级无"/>
    <w:basedOn w:val="3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3">
    <w:name w:val="正文表标题"/>
    <w:next w:val="21"/>
    <w:qFormat/>
    <w:uiPriority w:val="0"/>
    <w:pPr>
      <w:numPr>
        <w:ilvl w:val="0"/>
        <w:numId w:val="16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4">
    <w:name w:val="正文公式编号制表符"/>
    <w:basedOn w:val="21"/>
    <w:next w:val="21"/>
    <w:qFormat/>
    <w:uiPriority w:val="0"/>
    <w:pPr>
      <w:ind w:firstLine="0" w:firstLineChars="0"/>
    </w:pPr>
  </w:style>
  <w:style w:type="paragraph" w:customStyle="1" w:styleId="125">
    <w:name w:val="正文图标题"/>
    <w:next w:val="21"/>
    <w:qFormat/>
    <w:uiPriority w:val="0"/>
    <w:pPr>
      <w:numPr>
        <w:ilvl w:val="0"/>
        <w:numId w:val="17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6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27">
    <w:name w:val="其他发布日期"/>
    <w:basedOn w:val="72"/>
    <w:qFormat/>
    <w:uiPriority w:val="0"/>
    <w:pPr>
      <w:framePr w:vAnchor="page" w:hAnchor="page" w:x="1419"/>
    </w:pPr>
  </w:style>
  <w:style w:type="paragraph" w:customStyle="1" w:styleId="128">
    <w:name w:val="其他实施日期"/>
    <w:basedOn w:val="111"/>
    <w:qFormat/>
    <w:uiPriority w:val="0"/>
  </w:style>
  <w:style w:type="paragraph" w:customStyle="1" w:styleId="129">
    <w:name w:val="封面标准名称2"/>
    <w:basedOn w:val="75"/>
    <w:qFormat/>
    <w:uiPriority w:val="0"/>
    <w:pPr>
      <w:framePr w:y="4469"/>
      <w:spacing w:before="630" w:beforeLines="630"/>
    </w:pPr>
  </w:style>
  <w:style w:type="paragraph" w:customStyle="1" w:styleId="130">
    <w:name w:val="封面标准英文名称2"/>
    <w:basedOn w:val="76"/>
    <w:qFormat/>
    <w:uiPriority w:val="0"/>
    <w:pPr>
      <w:framePr w:y="4469"/>
    </w:pPr>
  </w:style>
  <w:style w:type="paragraph" w:customStyle="1" w:styleId="131">
    <w:name w:val="封面一致性程度标识2"/>
    <w:basedOn w:val="77"/>
    <w:qFormat/>
    <w:uiPriority w:val="0"/>
    <w:pPr>
      <w:framePr w:y="4469"/>
    </w:pPr>
  </w:style>
  <w:style w:type="paragraph" w:customStyle="1" w:styleId="132">
    <w:name w:val="封面标准文稿类别2"/>
    <w:basedOn w:val="78"/>
    <w:qFormat/>
    <w:uiPriority w:val="0"/>
    <w:pPr>
      <w:framePr w:y="4469"/>
    </w:pPr>
  </w:style>
  <w:style w:type="paragraph" w:customStyle="1" w:styleId="133">
    <w:name w:val="封面标准文稿编辑信息2"/>
    <w:basedOn w:val="79"/>
    <w:qFormat/>
    <w:uiPriority w:val="0"/>
    <w:pPr>
      <w:framePr w:y="4469"/>
    </w:pPr>
  </w:style>
  <w:style w:type="paragraph" w:customStyle="1" w:styleId="134">
    <w:name w:val="标准文件_文件编号"/>
    <w:basedOn w:val="135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35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6">
    <w:name w:val="标准文件_替换文件编号"/>
    <w:basedOn w:val="134"/>
    <w:qFormat/>
    <w:uiPriority w:val="0"/>
    <w:pPr>
      <w:spacing w:before="57"/>
    </w:pPr>
    <w:rPr>
      <w:sz w:val="21"/>
    </w:rPr>
  </w:style>
  <w:style w:type="paragraph" w:customStyle="1" w:styleId="137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38">
    <w:name w:val="Body text|1"/>
    <w:basedOn w:val="1"/>
    <w:qFormat/>
    <w:uiPriority w:val="0"/>
    <w:pPr>
      <w:widowControl w:val="0"/>
      <w:shd w:val="clear" w:color="auto" w:fill="FFFFFF"/>
      <w:spacing w:after="600" w:line="329" w:lineRule="auto"/>
      <w:ind w:firstLine="400"/>
    </w:pPr>
    <w:rPr>
      <w:rFonts w:ascii="宋体" w:hAnsi="宋体" w:eastAsia="宋体" w:cs="宋体"/>
      <w:sz w:val="48"/>
      <w:szCs w:val="48"/>
      <w:u w:val="none"/>
      <w:lang w:val="zh-CN" w:eastAsia="zh-CN" w:bidi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7401</Words>
  <Characters>8476</Characters>
  <Lines>2</Lines>
  <Paragraphs>1</Paragraphs>
  <TotalTime>32</TotalTime>
  <ScaleCrop>false</ScaleCrop>
  <LinksUpToDate>false</LinksUpToDate>
  <CharactersWithSpaces>9017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2022-06-12T10:28:00Z</dcterms:created>
  <dcterms:modified xsi:type="dcterms:W3CDTF">2025-05-09T13:28:15Z</dcterms:modified>
  <dc:title>标准名称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7A1CA6CA96E8459DBA7DE1B9DFCC8533_13</vt:lpwstr>
  </property>
  <property fmtid="{D5CDD505-2E9C-101B-9397-08002B2CF9AE}" pid="4" name="KSOTemplateDocerSaveRecord">
    <vt:lpwstr>eyJoZGlkIjoiNWIwZjdmZTY4N2IyOThmYWU3NDNmNjk4MWI4MTg4ZjUiLCJ1c2VySWQiOiI1MjY3MjYyMDQifQ==</vt:lpwstr>
  </property>
</Properties>
</file>