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黑体" w:cs="Times New Roman"/>
          <w:color w:val="auto"/>
          <w:sz w:val="20"/>
          <w:szCs w:val="20"/>
          <w:lang w:val="en-US" w:eastAsia="zh-CN"/>
        </w:rPr>
      </w:pPr>
      <w:bookmarkStart w:id="0" w:name="_Toc26542365"/>
      <w:bookmarkStart w:id="1" w:name="_Toc26175098"/>
      <w:r>
        <w:rPr>
          <w:rFonts w:hint="default" w:ascii="Times New Roman" w:hAnsi="Times New Roman" w:eastAsia="黑体" w:cs="Times New Roman"/>
          <w:color w:val="auto"/>
          <w:sz w:val="20"/>
          <w:szCs w:val="20"/>
          <w:lang w:val="en-US" w:eastAsia="zh-CN"/>
        </w:rPr>
        <w:t>ICS 67.050</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黑体" w:cs="Times New Roman"/>
          <w:color w:val="auto"/>
          <w:sz w:val="20"/>
          <w:szCs w:val="20"/>
          <w:lang w:val="en-US" w:eastAsia="zh-CN"/>
        </w:rPr>
      </w:pPr>
      <w:r>
        <w:rPr>
          <w:rFonts w:hint="default" w:ascii="Times New Roman" w:hAnsi="Times New Roman" w:eastAsia="黑体" w:cs="Times New Roman"/>
          <w:color w:val="auto"/>
          <w:sz w:val="20"/>
          <w:szCs w:val="20"/>
          <w:lang w:val="en-US" w:eastAsia="zh-CN"/>
        </w:rPr>
        <w:t>X 04</w:t>
      </w:r>
    </w:p>
    <w:p>
      <w:pPr>
        <w:keepNext w:val="0"/>
        <w:keepLines w:val="0"/>
        <w:pageBreakBefore w:val="0"/>
        <w:widowControl w:val="0"/>
        <w:kinsoku/>
        <w:wordWrap/>
        <w:overflowPunct/>
        <w:topLinePunct w:val="0"/>
        <w:autoSpaceDE/>
        <w:autoSpaceDN/>
        <w:bidi w:val="0"/>
        <w:adjustRightInd w:val="0"/>
        <w:snapToGrid w:val="0"/>
        <w:spacing w:line="240" w:lineRule="atLeast"/>
        <w:jc w:val="right"/>
        <w:textAlignment w:val="auto"/>
        <w:rPr>
          <w:rFonts w:hint="default" w:ascii="Times New Roman" w:hAnsi="Times New Roman" w:eastAsia="黑体" w:cs="Times New Roman"/>
          <w:b/>
          <w:bCs/>
          <w:color w:val="auto"/>
          <w:sz w:val="96"/>
          <w:szCs w:val="96"/>
          <w:lang w:val="en-US" w:eastAsia="zh-CN"/>
        </w:rPr>
      </w:pPr>
      <w:r>
        <w:rPr>
          <w:rFonts w:hint="default" w:ascii="Times New Roman" w:hAnsi="Times New Roman" w:eastAsia="黑体" w:cs="Times New Roman"/>
          <w:b/>
          <w:bCs/>
          <w:color w:val="auto"/>
          <w:sz w:val="96"/>
          <w:szCs w:val="96"/>
          <w:lang w:val="en-US" w:eastAsia="zh-CN"/>
        </w:rPr>
        <w:t>T/SZNB</w:t>
      </w:r>
    </w:p>
    <w:p>
      <w:pPr>
        <w:keepNext w:val="0"/>
        <w:keepLines w:val="0"/>
        <w:pageBreakBefore w:val="0"/>
        <w:widowControl w:val="0"/>
        <w:kinsoku/>
        <w:overflowPunct/>
        <w:topLinePunct w:val="0"/>
        <w:autoSpaceDE/>
        <w:autoSpaceDN/>
        <w:bidi w:val="0"/>
        <w:adjustRightInd w:val="0"/>
        <w:snapToGrid w:val="0"/>
        <w:spacing w:line="240" w:lineRule="atLeast"/>
        <w:jc w:val="distribute"/>
        <w:textAlignment w:val="auto"/>
        <w:rPr>
          <w:rFonts w:hint="eastAsia" w:ascii="Times New Roman" w:hAnsi="Times New Roman" w:eastAsia="黑体" w:cs="Times New Roman"/>
          <w:b/>
          <w:bCs/>
          <w:color w:val="auto"/>
          <w:sz w:val="72"/>
          <w:szCs w:val="72"/>
          <w:lang w:val="en-US" w:eastAsia="zh-CN"/>
        </w:rPr>
      </w:pPr>
      <w:r>
        <w:rPr>
          <w:rFonts w:hint="eastAsia" w:ascii="Times New Roman" w:hAnsi="Times New Roman" w:eastAsia="黑体" w:cs="Times New Roman"/>
          <w:b/>
          <w:bCs/>
          <w:color w:val="auto"/>
          <w:sz w:val="72"/>
          <w:szCs w:val="72"/>
          <w:lang w:val="en-US" w:eastAsia="zh-CN"/>
        </w:rPr>
        <w:t>团体标准</w:t>
      </w:r>
    </w:p>
    <w:p>
      <w:pPr>
        <w:keepNext w:val="0"/>
        <w:keepLines w:val="0"/>
        <w:pageBreakBefore w:val="0"/>
        <w:widowControl w:val="0"/>
        <w:kinsoku/>
        <w:wordWrap w:val="0"/>
        <w:overflowPunct/>
        <w:topLinePunct w:val="0"/>
        <w:autoSpaceDE/>
        <w:autoSpaceDN/>
        <w:bidi w:val="0"/>
        <w:adjustRightInd w:val="0"/>
        <w:snapToGrid w:val="0"/>
        <w:spacing w:line="240" w:lineRule="atLeast"/>
        <w:jc w:val="right"/>
        <w:textAlignment w:val="auto"/>
        <w:rPr>
          <w:rFonts w:hint="eastAsia" w:ascii="Times New Roman" w:hAnsi="Times New Roman" w:eastAsia="黑体" w:cs="Times New Roman"/>
          <w:b/>
          <w:bCs/>
          <w:color w:val="auto"/>
          <w:sz w:val="28"/>
          <w:szCs w:val="28"/>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tLeast"/>
        <w:jc w:val="right"/>
        <w:textAlignment w:val="auto"/>
        <w:rPr>
          <w:rFonts w:hint="default" w:ascii="Times New Roman" w:hAnsi="Times New Roman" w:eastAsia="黑体" w:cs="Times New Roman"/>
          <w:b/>
          <w:bCs/>
          <w:color w:val="auto"/>
          <w:sz w:val="28"/>
          <w:szCs w:val="28"/>
          <w:lang w:val="en-US" w:eastAsia="zh-CN"/>
        </w:rPr>
      </w:pPr>
      <w:r>
        <w:rPr>
          <w:rFonts w:hint="eastAsia" w:ascii="Times New Roman" w:hAnsi="Times New Roman" w:eastAsia="黑体" w:cs="Times New Roman"/>
          <w:b w:val="0"/>
          <w:bCs w:val="0"/>
          <w:color w:val="auto"/>
          <w:sz w:val="28"/>
          <w:szCs w:val="28"/>
          <w:lang w:val="en-US" w:eastAsia="zh-CN"/>
        </w:rPr>
        <w:t xml:space="preserve">T/SZNB </w:t>
      </w:r>
      <w:r>
        <w:rPr>
          <w:rFonts w:hint="eastAsia" w:eastAsia="黑体" w:cs="Times New Roman"/>
          <w:b w:val="0"/>
          <w:bCs w:val="0"/>
          <w:color w:val="auto"/>
          <w:sz w:val="28"/>
          <w:szCs w:val="28"/>
          <w:lang w:val="en-US" w:eastAsia="zh-CN"/>
        </w:rPr>
        <w:t>XXX</w:t>
      </w:r>
      <w:r>
        <w:rPr>
          <w:rFonts w:hint="eastAsia" w:ascii="Times New Roman" w:hAnsi="Times New Roman" w:eastAsia="黑体" w:cs="Times New Roman"/>
          <w:b w:val="0"/>
          <w:bCs w:val="0"/>
          <w:color w:val="auto"/>
          <w:sz w:val="28"/>
          <w:szCs w:val="28"/>
          <w:lang w:val="en-US" w:eastAsia="zh-CN"/>
        </w:rPr>
        <w:t>-</w:t>
      </w:r>
      <w:r>
        <w:rPr>
          <w:rFonts w:hint="eastAsia" w:eastAsia="黑体" w:cs="Times New Roman"/>
          <w:b w:val="0"/>
          <w:bCs w:val="0"/>
          <w:color w:val="auto"/>
          <w:sz w:val="28"/>
          <w:szCs w:val="28"/>
          <w:lang w:val="en-US" w:eastAsia="zh-CN"/>
        </w:rPr>
        <w:t>XXXX</w:t>
      </w: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r>
        <w:rPr>
          <w:rFonts w:hint="eastAsia" w:ascii="Times New Roman" w:hAnsi="Times New Roman" w:eastAsia="黑体" w:cs="Times New Roman"/>
          <w:b/>
          <w:bCs/>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wordWrap/>
        <w:jc w:val="center"/>
        <w:outlineLvl w:val="9"/>
        <w:rPr>
          <w:rFonts w:hint="eastAsia" w:ascii="Times New Roman" w:hAnsi="Times New Roman" w:eastAsia="黑体" w:cs="Times New Roman"/>
          <w:b w:val="0"/>
          <w:bCs w:val="0"/>
          <w:color w:val="auto"/>
          <w:sz w:val="52"/>
          <w:szCs w:val="52"/>
          <w:u w:val="none"/>
          <w:lang w:val="en-US" w:eastAsia="zh-CN"/>
        </w:rPr>
      </w:pPr>
      <w:r>
        <w:rPr>
          <w:rFonts w:hint="eastAsia" w:ascii="Times New Roman" w:hAnsi="Times New Roman" w:eastAsia="黑体" w:cs="Times New Roman"/>
          <w:b w:val="0"/>
          <w:bCs w:val="0"/>
          <w:color w:val="auto"/>
          <w:sz w:val="52"/>
          <w:szCs w:val="52"/>
          <w:u w:val="none"/>
          <w:lang w:val="en-US" w:eastAsia="zh-CN"/>
        </w:rPr>
        <w:t>深圳</w:t>
      </w:r>
      <w:r>
        <w:rPr>
          <w:rFonts w:hint="eastAsia" w:eastAsia="黑体" w:cs="Times New Roman"/>
          <w:b w:val="0"/>
          <w:bCs w:val="0"/>
          <w:color w:val="auto"/>
          <w:sz w:val="52"/>
          <w:szCs w:val="52"/>
          <w:u w:val="none"/>
          <w:lang w:val="en-US" w:eastAsia="zh-CN"/>
        </w:rPr>
        <w:t>香妃</w:t>
      </w:r>
      <w:r>
        <w:rPr>
          <w:rFonts w:hint="eastAsia" w:ascii="Times New Roman" w:hAnsi="Times New Roman" w:eastAsia="黑体" w:cs="Times New Roman"/>
          <w:b w:val="0"/>
          <w:bCs w:val="0"/>
          <w:color w:val="auto"/>
          <w:sz w:val="52"/>
          <w:szCs w:val="52"/>
          <w:u w:val="none"/>
          <w:lang w:val="en-US" w:eastAsia="zh-CN"/>
        </w:rPr>
        <w:t>枇杷</w:t>
      </w:r>
      <w:r>
        <w:rPr>
          <w:rFonts w:hint="eastAsia" w:eastAsia="黑体" w:cs="Times New Roman"/>
          <w:b w:val="0"/>
          <w:bCs w:val="0"/>
          <w:color w:val="auto"/>
          <w:sz w:val="52"/>
          <w:szCs w:val="52"/>
          <w:u w:val="none"/>
          <w:lang w:val="en-US" w:eastAsia="zh-CN"/>
        </w:rPr>
        <w:t>鲜果</w:t>
      </w:r>
      <w:r>
        <w:rPr>
          <w:rFonts w:hint="eastAsia" w:ascii="Times New Roman" w:hAnsi="Times New Roman" w:eastAsia="黑体" w:cs="Times New Roman"/>
          <w:b w:val="0"/>
          <w:bCs w:val="0"/>
          <w:color w:val="auto"/>
          <w:sz w:val="52"/>
          <w:szCs w:val="52"/>
          <w:u w:val="none"/>
          <w:lang w:val="en-US" w:eastAsia="zh-CN"/>
        </w:rPr>
        <w:t>产品标准</w:t>
      </w:r>
    </w:p>
    <w:p>
      <w:pPr>
        <w:wordWrap/>
        <w:jc w:val="center"/>
        <w:outlineLvl w:val="9"/>
        <w:rPr>
          <w:rFonts w:hint="eastAsia" w:ascii="Times New Roman" w:hAnsi="Times New Roman" w:eastAsia="黑体" w:cs="Times New Roman"/>
          <w:b w:val="0"/>
          <w:bCs w:val="0"/>
          <w:color w:val="auto"/>
          <w:sz w:val="44"/>
          <w:szCs w:val="44"/>
          <w:u w:val="none"/>
          <w:lang w:val="en-US" w:eastAsia="zh-CN"/>
        </w:rPr>
      </w:pPr>
      <w:r>
        <w:rPr>
          <w:rFonts w:hint="eastAsia" w:eastAsia="黑体" w:cs="Times New Roman"/>
          <w:b w:val="0"/>
          <w:bCs w:val="0"/>
          <w:color w:val="auto"/>
          <w:sz w:val="44"/>
          <w:szCs w:val="44"/>
          <w:u w:val="none"/>
          <w:lang w:val="en-US" w:eastAsia="zh-CN"/>
        </w:rPr>
        <w:t>Fresh fruit p</w:t>
      </w:r>
      <w:r>
        <w:rPr>
          <w:rFonts w:hint="eastAsia" w:ascii="Times New Roman" w:hAnsi="Times New Roman" w:eastAsia="黑体" w:cs="Times New Roman"/>
          <w:b w:val="0"/>
          <w:bCs w:val="0"/>
          <w:color w:val="auto"/>
          <w:sz w:val="44"/>
          <w:szCs w:val="44"/>
          <w:u w:val="none"/>
          <w:lang w:val="en-US" w:eastAsia="zh-CN"/>
        </w:rPr>
        <w:t>roduct standard of</w:t>
      </w:r>
      <w:r>
        <w:rPr>
          <w:rFonts w:hint="eastAsia" w:eastAsia="黑体" w:cs="Times New Roman"/>
          <w:b w:val="0"/>
          <w:bCs w:val="0"/>
          <w:color w:val="auto"/>
          <w:sz w:val="44"/>
          <w:szCs w:val="44"/>
          <w:u w:val="none"/>
          <w:lang w:val="en-US" w:eastAsia="zh-CN"/>
        </w:rPr>
        <w:t xml:space="preserve"> </w:t>
      </w:r>
      <w:r>
        <w:rPr>
          <w:rFonts w:hint="eastAsia" w:ascii="Times New Roman" w:hAnsi="Times New Roman" w:eastAsia="黑体" w:cs="Times New Roman"/>
          <w:b w:val="0"/>
          <w:bCs w:val="0"/>
          <w:color w:val="auto"/>
          <w:sz w:val="44"/>
          <w:szCs w:val="44"/>
          <w:u w:val="none"/>
          <w:lang w:val="en-US" w:eastAsia="zh-CN"/>
        </w:rPr>
        <w:t xml:space="preserve">loquat </w:t>
      </w:r>
      <w:r>
        <w:rPr>
          <w:rFonts w:hint="default" w:eastAsia="黑体" w:cs="Times New Roman"/>
          <w:b w:val="0"/>
          <w:bCs w:val="0"/>
          <w:color w:val="auto"/>
          <w:sz w:val="44"/>
          <w:szCs w:val="44"/>
          <w:u w:val="none"/>
          <w:lang w:val="en-US" w:eastAsia="zh-CN"/>
        </w:rPr>
        <w:t>‘</w:t>
      </w:r>
      <w:r>
        <w:rPr>
          <w:rFonts w:hint="eastAsia" w:eastAsia="黑体" w:cs="Times New Roman"/>
          <w:b w:val="0"/>
          <w:bCs w:val="0"/>
          <w:color w:val="auto"/>
          <w:sz w:val="44"/>
          <w:szCs w:val="44"/>
          <w:u w:val="none"/>
          <w:lang w:val="en-US" w:eastAsia="zh-CN"/>
        </w:rPr>
        <w:t>Xiangfei</w:t>
      </w:r>
      <w:r>
        <w:rPr>
          <w:rFonts w:hint="default" w:eastAsia="黑体" w:cs="Times New Roman"/>
          <w:b w:val="0"/>
          <w:bCs w:val="0"/>
          <w:color w:val="auto"/>
          <w:sz w:val="44"/>
          <w:szCs w:val="44"/>
          <w:u w:val="none"/>
          <w:lang w:val="en-US" w:eastAsia="zh-CN"/>
        </w:rPr>
        <w:t>’</w:t>
      </w:r>
      <w:r>
        <w:rPr>
          <w:rFonts w:hint="eastAsia" w:eastAsia="黑体" w:cs="Times New Roman"/>
          <w:b w:val="0"/>
          <w:bCs w:val="0"/>
          <w:color w:val="auto"/>
          <w:sz w:val="44"/>
          <w:szCs w:val="44"/>
          <w:u w:val="none"/>
          <w:lang w:val="en-US" w:eastAsia="zh-CN"/>
        </w:rPr>
        <w:t xml:space="preserve"> </w:t>
      </w:r>
      <w:r>
        <w:rPr>
          <w:rFonts w:hint="eastAsia" w:ascii="Times New Roman" w:hAnsi="Times New Roman" w:eastAsia="黑体" w:cs="Times New Roman"/>
          <w:b w:val="0"/>
          <w:bCs w:val="0"/>
          <w:color w:val="auto"/>
          <w:sz w:val="44"/>
          <w:szCs w:val="44"/>
          <w:u w:val="none"/>
          <w:lang w:val="en-US" w:eastAsia="zh-CN"/>
        </w:rPr>
        <w:t>in Shenzhen</w:t>
      </w: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黑体" w:hAnsi="黑体" w:eastAsia="黑体" w:cs="黑体"/>
          <w:b w:val="0"/>
          <w:bCs w:val="0"/>
          <w:color w:val="auto"/>
          <w:sz w:val="32"/>
          <w:szCs w:val="32"/>
          <w:u w:val="single"/>
          <w:lang w:val="en-US" w:eastAsia="zh-CN"/>
        </w:rPr>
      </w:pPr>
      <w:r>
        <w:rPr>
          <w:rFonts w:hint="eastAsia" w:ascii="黑体" w:hAnsi="黑体" w:eastAsia="黑体" w:cs="黑体"/>
          <w:b w:val="0"/>
          <w:bCs w:val="0"/>
          <w:color w:val="auto"/>
          <w:sz w:val="32"/>
          <w:szCs w:val="32"/>
          <w:u w:val="single"/>
          <w:lang w:val="en-US" w:eastAsia="zh-CN"/>
        </w:rPr>
        <w:t>2025-XX-XX发布                             2025-XX-XX实施</w:t>
      </w:r>
      <w:bookmarkStart w:id="2" w:name="_Toc24810"/>
    </w:p>
    <w:p>
      <w:pPr>
        <w:wordWrap/>
        <w:jc w:val="left"/>
        <w:outlineLvl w:val="9"/>
        <w:rPr>
          <w:rFonts w:hint="eastAsia" w:ascii="Times New Roman" w:hAnsi="Times New Roman" w:eastAsia="黑体" w:cs="Times New Roman"/>
          <w:b w:val="0"/>
          <w:bCs w:val="0"/>
          <w:color w:val="auto"/>
          <w:sz w:val="32"/>
          <w:szCs w:val="32"/>
          <w:u w:val="none"/>
          <w:lang w:val="en-US" w:eastAsia="zh-CN"/>
        </w:rPr>
      </w:pPr>
    </w:p>
    <w:p>
      <w:pPr>
        <w:wordWrap/>
        <w:jc w:val="center"/>
        <w:outlineLvl w:val="9"/>
        <w:sectPr>
          <w:headerReference r:id="rId3" w:type="even"/>
          <w:footerReference r:id="rId4" w:type="even"/>
          <w:pgSz w:w="11906" w:h="16838"/>
          <w:pgMar w:top="1417" w:right="1134" w:bottom="1134" w:left="1417"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r>
        <w:rPr>
          <w:rFonts w:hint="eastAsia" w:ascii="Times New Roman" w:hAnsi="Times New Roman" w:eastAsia="黑体" w:cs="Times New Roman"/>
          <w:b w:val="0"/>
          <w:bCs w:val="0"/>
          <w:color w:val="auto"/>
          <w:sz w:val="32"/>
          <w:szCs w:val="32"/>
          <w:u w:val="none"/>
          <w:lang w:val="en-US" w:eastAsia="zh-CN"/>
        </w:rPr>
        <w:t>深圳市农业产业化龙头企业协会     发</w:t>
      </w:r>
      <w:bookmarkEnd w:id="2"/>
    </w:p>
    <w:p>
      <w:pPr>
        <w:pStyle w:val="48"/>
        <w:keepNext/>
        <w:keepLines w:val="0"/>
        <w:pageBreakBefore/>
        <w:widowControl/>
        <w:tabs>
          <w:tab w:val="center" w:pos="4677"/>
        </w:tabs>
        <w:kinsoku/>
        <w:wordWrap/>
        <w:overflowPunct/>
        <w:topLinePunct w:val="0"/>
        <w:autoSpaceDE/>
        <w:autoSpaceDN/>
        <w:bidi w:val="0"/>
        <w:adjustRightInd/>
        <w:snapToGrid/>
        <w:spacing w:before="625" w:beforeLines="200" w:after="625" w:afterLines="200" w:line="240" w:lineRule="auto"/>
        <w:jc w:val="both"/>
        <w:textAlignment w:val="auto"/>
        <w:outlineLvl w:val="9"/>
      </w:pPr>
      <w:r>
        <w:tab/>
      </w:r>
      <w:r>
        <w:rPr>
          <w:rFonts w:hint="eastAsia"/>
        </w:rPr>
        <w:t>目</w:t>
      </w:r>
      <w:bookmarkStart w:id="3" w:name="BKML"/>
      <w:r>
        <w:rPr>
          <w:rFonts w:hAnsi="黑体"/>
        </w:rPr>
        <w:t>  </w:t>
      </w:r>
      <w:r>
        <w:rPr>
          <w:rFonts w:hint="eastAsia"/>
        </w:rPr>
        <w:t>次</w:t>
      </w:r>
      <w:bookmarkEnd w:id="3"/>
    </w:p>
    <w:p>
      <w:pPr>
        <w:pStyle w:val="19"/>
        <w:spacing w:before="78" w:after="78"/>
        <w:rPr>
          <w:sz w:val="20"/>
          <w:szCs w:val="20"/>
        </w:rPr>
      </w:pPr>
      <w:r>
        <w:fldChar w:fldCharType="begin" w:fldLock="1"/>
      </w:r>
      <w:r>
        <w:rPr>
          <w:rFonts w:hint="eastAsia"/>
        </w:rPr>
        <w:instrText xml:space="preserve">TOC \h \z \t"前言、引言标题,1,参考文献、索引标题,1,章标题,1,参考文献,1,附录标识,1" \* MERGEFORMAT</w:instrText>
      </w:r>
      <w:r>
        <w:fldChar w:fldCharType="separate"/>
      </w:r>
      <w:r>
        <w:rPr>
          <w:sz w:val="20"/>
          <w:szCs w:val="20"/>
        </w:rPr>
        <w:fldChar w:fldCharType="begin"/>
      </w:r>
      <w:r>
        <w:rPr>
          <w:sz w:val="20"/>
          <w:szCs w:val="20"/>
        </w:rPr>
        <w:instrText xml:space="preserve"> HYPERLINK \l "_Toc27739319" </w:instrText>
      </w:r>
      <w:r>
        <w:rPr>
          <w:sz w:val="20"/>
          <w:szCs w:val="20"/>
        </w:rPr>
        <w:fldChar w:fldCharType="separate"/>
      </w:r>
      <w:r>
        <w:rPr>
          <w:rStyle w:val="37"/>
          <w:rFonts w:hint="eastAsia"/>
          <w:sz w:val="20"/>
          <w:szCs w:val="20"/>
        </w:rPr>
        <w:t>前</w:t>
      </w:r>
      <w:r>
        <w:rPr>
          <w:rStyle w:val="37"/>
          <w:rFonts w:hint="eastAsia"/>
          <w:sz w:val="20"/>
          <w:szCs w:val="20"/>
          <w:lang w:val="en-US" w:eastAsia="zh-CN"/>
        </w:rPr>
        <w:t xml:space="preserve">   </w:t>
      </w:r>
      <w:r>
        <w:rPr>
          <w:rStyle w:val="37"/>
          <w:rFonts w:hint="eastAsia"/>
          <w:sz w:val="20"/>
          <w:szCs w:val="20"/>
        </w:rPr>
        <w:t>言</w:t>
      </w:r>
      <w:r>
        <w:rPr>
          <w:sz w:val="20"/>
          <w:szCs w:val="20"/>
        </w:rPr>
        <w:tab/>
      </w:r>
      <w:r>
        <w:rPr>
          <w:sz w:val="20"/>
          <w:szCs w:val="20"/>
        </w:rPr>
        <w:fldChar w:fldCharType="end"/>
      </w:r>
      <w:r>
        <w:rPr>
          <w:rFonts w:hint="eastAsia"/>
          <w:sz w:val="20"/>
          <w:szCs w:val="20"/>
        </w:rPr>
        <w:t>Ⅱ</w:t>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"_Toc27739321" </w:instrText>
      </w:r>
      <w:r>
        <w:rPr>
          <w:sz w:val="20"/>
          <w:szCs w:val="20"/>
        </w:rPr>
        <w:fldChar w:fldCharType="separate"/>
      </w:r>
      <w:r>
        <w:rPr>
          <w:rStyle w:val="37"/>
          <w:sz w:val="20"/>
          <w:szCs w:val="20"/>
        </w:rPr>
        <w:t>1</w:t>
      </w:r>
      <w:r>
        <w:rPr>
          <w:rStyle w:val="37"/>
          <w:rFonts w:hint="eastAsia"/>
          <w:sz w:val="20"/>
          <w:szCs w:val="20"/>
        </w:rPr>
        <w:t>　范围</w:t>
      </w:r>
      <w:r>
        <w:rPr>
          <w:sz w:val="20"/>
          <w:szCs w:val="20"/>
        </w:rPr>
        <w:tab/>
      </w:r>
      <w:r>
        <w:rPr>
          <w:rFonts w:hint="eastAsia"/>
          <w:sz w:val="20"/>
          <w:szCs w:val="20"/>
          <w:lang w:val="en-US" w:eastAsia="zh-CN"/>
        </w:rPr>
        <w:t>1</w:t>
      </w:r>
      <w:r>
        <w:rPr>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"_Toc27739322" </w:instrText>
      </w:r>
      <w:r>
        <w:rPr>
          <w:sz w:val="20"/>
          <w:szCs w:val="20"/>
        </w:rPr>
        <w:fldChar w:fldCharType="separate"/>
      </w:r>
      <w:r>
        <w:rPr>
          <w:rStyle w:val="37"/>
          <w:sz w:val="20"/>
          <w:szCs w:val="20"/>
        </w:rPr>
        <w:t>2</w:t>
      </w:r>
      <w:r>
        <w:rPr>
          <w:rStyle w:val="37"/>
          <w:rFonts w:hint="eastAsia"/>
          <w:sz w:val="20"/>
          <w:szCs w:val="20"/>
        </w:rPr>
        <w:t>　规范性引用文件</w:t>
      </w:r>
      <w:r>
        <w:rPr>
          <w:sz w:val="20"/>
          <w:szCs w:val="20"/>
        </w:rPr>
        <w:tab/>
      </w:r>
      <w:r>
        <w:rPr>
          <w:rFonts w:hint="eastAsia"/>
          <w:sz w:val="20"/>
          <w:szCs w:val="20"/>
          <w:lang w:val="en-US" w:eastAsia="zh-CN"/>
        </w:rPr>
        <w:t>1</w:t>
      </w:r>
      <w:r>
        <w:rPr>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"_Toc27739323" </w:instrText>
      </w:r>
      <w:r>
        <w:rPr>
          <w:sz w:val="20"/>
          <w:szCs w:val="20"/>
        </w:rPr>
        <w:fldChar w:fldCharType="separate"/>
      </w:r>
      <w:r>
        <w:rPr>
          <w:rStyle w:val="37"/>
          <w:sz w:val="20"/>
          <w:szCs w:val="20"/>
        </w:rPr>
        <w:t>3</w:t>
      </w:r>
      <w:r>
        <w:rPr>
          <w:rStyle w:val="37"/>
          <w:rFonts w:hint="eastAsia"/>
          <w:sz w:val="20"/>
          <w:szCs w:val="20"/>
        </w:rPr>
        <w:t>　术语和定义</w:t>
      </w:r>
      <w:r>
        <w:rPr>
          <w:sz w:val="20"/>
          <w:szCs w:val="20"/>
        </w:rPr>
        <w:tab/>
      </w:r>
      <w:r>
        <w:rPr>
          <w:rFonts w:hint="eastAsia"/>
          <w:sz w:val="20"/>
          <w:szCs w:val="20"/>
          <w:lang w:val="en-US" w:eastAsia="zh-CN"/>
        </w:rPr>
        <w:t>1</w:t>
      </w:r>
      <w:r>
        <w:rPr>
          <w:sz w:val="20"/>
          <w:szCs w:val="20"/>
        </w:rPr>
        <w:fldChar w:fldCharType="end"/>
      </w:r>
    </w:p>
    <w:p>
      <w:pPr>
        <w:pStyle w:val="19"/>
        <w:spacing w:before="78" w:after="78"/>
        <w:rPr>
          <w:sz w:val="20"/>
          <w:szCs w:val="20"/>
        </w:rPr>
      </w:pPr>
      <w:r>
        <w:rPr>
          <w:sz w:val="20"/>
          <w:szCs w:val="20"/>
        </w:rPr>
        <w:fldChar w:fldCharType="begin"/>
      </w:r>
      <w:r>
        <w:rPr>
          <w:sz w:val="20"/>
          <w:szCs w:val="20"/>
        </w:rPr>
        <w:instrText xml:space="preserve"> HYPERLINK \l "_Toc27739324" </w:instrText>
      </w:r>
      <w:r>
        <w:rPr>
          <w:sz w:val="20"/>
          <w:szCs w:val="20"/>
        </w:rPr>
        <w:fldChar w:fldCharType="separate"/>
      </w:r>
      <w:r>
        <w:rPr>
          <w:rStyle w:val="37"/>
          <w:sz w:val="20"/>
          <w:szCs w:val="20"/>
        </w:rPr>
        <w:t>4</w:t>
      </w:r>
      <w:r>
        <w:rPr>
          <w:rStyle w:val="37"/>
          <w:rFonts w:hint="eastAsia"/>
          <w:sz w:val="20"/>
          <w:szCs w:val="20"/>
        </w:rPr>
        <w:t>　质量要求</w:t>
      </w:r>
      <w:r>
        <w:rPr>
          <w:sz w:val="20"/>
          <w:szCs w:val="20"/>
        </w:rPr>
        <w:tab/>
      </w:r>
      <w:r>
        <w:rPr>
          <w:rFonts w:hint="eastAsia"/>
          <w:sz w:val="20"/>
          <w:szCs w:val="20"/>
          <w:lang w:val="en-US" w:eastAsia="zh-CN"/>
        </w:rPr>
        <w:t>2</w:t>
      </w:r>
      <w:r>
        <w:rPr>
          <w:rFonts w:hint="eastAsia"/>
          <w:sz w:val="20"/>
          <w:szCs w:val="20"/>
        </w:rPr>
        <w:fldChar w:fldCharType="end"/>
      </w:r>
    </w:p>
    <w:p>
      <w:pPr>
        <w:pStyle w:val="19"/>
        <w:spacing w:before="78" w:after="78"/>
        <w:rPr>
          <w:sz w:val="20"/>
          <w:szCs w:val="20"/>
        </w:rPr>
      </w:pPr>
      <w:r>
        <w:rPr>
          <w:sz w:val="20"/>
          <w:szCs w:val="20"/>
        </w:rPr>
        <w:fldChar w:fldCharType="begin"/>
      </w:r>
      <w:r>
        <w:rPr>
          <w:sz w:val="20"/>
          <w:szCs w:val="20"/>
        </w:rPr>
        <w:instrText xml:space="preserve"> HYPERLINK \l "_Toc27739321" </w:instrText>
      </w:r>
      <w:r>
        <w:rPr>
          <w:sz w:val="20"/>
          <w:szCs w:val="20"/>
        </w:rPr>
        <w:fldChar w:fldCharType="separate"/>
      </w:r>
      <w:r>
        <w:rPr>
          <w:rStyle w:val="37"/>
          <w:rFonts w:hint="eastAsia"/>
          <w:sz w:val="20"/>
          <w:szCs w:val="20"/>
        </w:rPr>
        <w:t>5　散果收购评等分级和成件商品验收</w:t>
      </w:r>
      <w:r>
        <w:rPr>
          <w:rStyle w:val="37"/>
          <w:rFonts w:hint="eastAsia"/>
          <w:sz w:val="20"/>
          <w:szCs w:val="20"/>
        </w:rPr>
        <w:tab/>
      </w:r>
      <w:r>
        <w:rPr>
          <w:rFonts w:hint="eastAsia"/>
          <w:sz w:val="20"/>
          <w:szCs w:val="20"/>
          <w:lang w:val="en-US" w:eastAsia="zh-CN"/>
        </w:rPr>
        <w:t>4</w:t>
      </w:r>
      <w:r>
        <w:rPr>
          <w:rFonts w:hint="eastAsia"/>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"_Toc27739321" </w:instrText>
      </w:r>
      <w:r>
        <w:rPr>
          <w:sz w:val="20"/>
          <w:szCs w:val="20"/>
        </w:rPr>
        <w:fldChar w:fldCharType="separate"/>
      </w:r>
      <w:r>
        <w:rPr>
          <w:rFonts w:hint="eastAsia"/>
          <w:sz w:val="20"/>
          <w:szCs w:val="20"/>
          <w:lang w:val="en-US" w:eastAsia="zh-CN"/>
        </w:rPr>
        <w:t>6</w:t>
      </w:r>
      <w:r>
        <w:rPr>
          <w:rStyle w:val="37"/>
          <w:rFonts w:hint="eastAsia"/>
          <w:sz w:val="20"/>
          <w:szCs w:val="20"/>
        </w:rPr>
        <w:t>　检验方法</w:t>
      </w:r>
      <w:r>
        <w:rPr>
          <w:sz w:val="20"/>
          <w:szCs w:val="20"/>
        </w:rPr>
        <w:tab/>
      </w:r>
      <w:r>
        <w:rPr>
          <w:rFonts w:hint="eastAsia"/>
          <w:sz w:val="20"/>
          <w:szCs w:val="20"/>
          <w:lang w:val="en-US" w:eastAsia="zh-CN"/>
        </w:rPr>
        <w:t>5</w:t>
      </w:r>
      <w:r>
        <w:rPr>
          <w:rFonts w:hint="eastAsia"/>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"_Toc27739322" </w:instrText>
      </w:r>
      <w:r>
        <w:rPr>
          <w:sz w:val="20"/>
          <w:szCs w:val="20"/>
        </w:rPr>
        <w:fldChar w:fldCharType="separate"/>
      </w:r>
      <w:r>
        <w:rPr>
          <w:rFonts w:hint="eastAsia"/>
          <w:sz w:val="20"/>
          <w:szCs w:val="20"/>
          <w:lang w:val="en-US" w:eastAsia="zh-CN"/>
        </w:rPr>
        <w:t>7</w:t>
      </w:r>
      <w:r>
        <w:rPr>
          <w:rStyle w:val="37"/>
          <w:rFonts w:hint="eastAsia"/>
          <w:sz w:val="20"/>
          <w:szCs w:val="20"/>
        </w:rPr>
        <w:t>　检验规则</w:t>
      </w:r>
      <w:r>
        <w:rPr>
          <w:sz w:val="20"/>
          <w:szCs w:val="20"/>
        </w:rPr>
        <w:tab/>
      </w:r>
      <w:r>
        <w:rPr>
          <w:rFonts w:hint="eastAsia"/>
          <w:sz w:val="20"/>
          <w:szCs w:val="20"/>
          <w:lang w:val="en-US" w:eastAsia="zh-CN"/>
        </w:rPr>
        <w:t>6</w:t>
      </w:r>
      <w:r>
        <w:rPr>
          <w:rFonts w:hint="eastAsia"/>
          <w:sz w:val="20"/>
          <w:szCs w:val="20"/>
        </w:rPr>
        <w:fldChar w:fldCharType="end"/>
      </w:r>
    </w:p>
    <w:p>
      <w:pPr>
        <w:pStyle w:val="19"/>
        <w:spacing w:before="78" w:after="78"/>
        <w:rPr>
          <w:rFonts w:asciiTheme="minorHAnsi" w:hAnsiTheme="minorHAnsi" w:eastAsiaTheme="minorEastAsia" w:cstheme="minorBidi"/>
          <w:szCs w:val="22"/>
        </w:rPr>
      </w:pPr>
      <w:r>
        <w:rPr>
          <w:sz w:val="20"/>
          <w:szCs w:val="20"/>
        </w:rPr>
        <w:fldChar w:fldCharType="begin"/>
      </w:r>
      <w:r>
        <w:rPr>
          <w:sz w:val="20"/>
          <w:szCs w:val="20"/>
        </w:rPr>
        <w:instrText xml:space="preserve"> HYPERLINK \l "_Toc27739323" </w:instrText>
      </w:r>
      <w:r>
        <w:rPr>
          <w:sz w:val="20"/>
          <w:szCs w:val="20"/>
        </w:rPr>
        <w:fldChar w:fldCharType="separate"/>
      </w:r>
      <w:r>
        <w:rPr>
          <w:rFonts w:hint="eastAsia"/>
          <w:sz w:val="20"/>
          <w:szCs w:val="20"/>
          <w:lang w:val="en-US" w:eastAsia="zh-CN"/>
        </w:rPr>
        <w:t>8</w:t>
      </w:r>
      <w:r>
        <w:rPr>
          <w:rStyle w:val="37"/>
          <w:rFonts w:hint="eastAsia"/>
          <w:sz w:val="20"/>
          <w:szCs w:val="20"/>
        </w:rPr>
        <w:t>　标志、包装、运输、贮存</w:t>
      </w:r>
      <w:r>
        <w:rPr>
          <w:sz w:val="20"/>
          <w:szCs w:val="20"/>
        </w:rPr>
        <w:tab/>
      </w:r>
      <w:r>
        <w:rPr>
          <w:rFonts w:hint="eastAsia"/>
          <w:sz w:val="20"/>
          <w:szCs w:val="20"/>
          <w:lang w:val="en-US" w:eastAsia="zh-CN"/>
        </w:rPr>
        <w:t>6</w:t>
      </w:r>
      <w:r>
        <w:rPr>
          <w:rFonts w:hint="eastAsia"/>
          <w:sz w:val="20"/>
          <w:szCs w:val="20"/>
        </w:rPr>
        <w:fldChar w:fldCharType="end"/>
      </w:r>
    </w:p>
    <w:p>
      <w:pPr>
        <w:pStyle w:val="19"/>
        <w:spacing w:before="78" w:after="78"/>
      </w:pPr>
      <w:r>
        <w:fldChar w:fldCharType="end"/>
      </w:r>
      <w:bookmarkEnd w:id="0"/>
      <w:bookmarkEnd w:id="1"/>
      <w:bookmarkStart w:id="4" w:name="_Toc26175099"/>
      <w:bookmarkStart w:id="5" w:name="_Toc26542366"/>
      <w:bookmarkStart w:id="6" w:name="_Toc27739320"/>
    </w:p>
    <w:p/>
    <w:p/>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firstLine="0" w:firstLineChars="0"/>
      </w:pPr>
    </w:p>
    <w:p>
      <w:pPr>
        <w:pStyle w:val="23"/>
        <w:ind w:firstLine="0" w:firstLineChars="0"/>
        <w:sectPr>
          <w:headerReference r:id="rId5" w:type="default"/>
          <w:footerReference r:id="rId6" w:type="default"/>
          <w:pgSz w:w="11906" w:h="16838"/>
          <w:pgMar w:top="1417" w:right="1134" w:bottom="1134" w:left="1417"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p>
    <w:p>
      <w:pPr>
        <w:pStyle w:val="169"/>
        <w:keepNext w:val="0"/>
        <w:keepLines w:val="0"/>
        <w:pageBreakBefore w:val="0"/>
        <w:widowControl/>
        <w:numPr>
          <w:ilvl w:val="0"/>
          <w:numId w:val="0"/>
        </w:numPr>
        <w:kinsoku/>
        <w:wordWrap/>
        <w:overflowPunct/>
        <w:topLinePunct w:val="0"/>
        <w:autoSpaceDE/>
        <w:autoSpaceDN/>
        <w:bidi w:val="0"/>
        <w:adjustRightInd/>
        <w:snapToGrid/>
        <w:spacing w:before="625" w:beforeLines="200" w:after="625" w:afterLines="200"/>
        <w:ind w:leftChars="0"/>
        <w:textAlignment w:val="auto"/>
        <w:outlineLvl w:val="9"/>
        <w:rPr>
          <w:color w:val="auto"/>
        </w:rPr>
      </w:pPr>
      <w:bookmarkStart w:id="7" w:name="_Toc163466806"/>
      <w:r>
        <w:rPr>
          <w:color w:val="auto"/>
          <w:spacing w:val="320"/>
        </w:rPr>
        <w:t>前</w:t>
      </w:r>
      <w:r>
        <w:rPr>
          <w:color w:val="auto"/>
        </w:rPr>
        <w:t>言</w:t>
      </w:r>
      <w:bookmarkEnd w:id="7"/>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sz w:val="21"/>
          <w:szCs w:val="21"/>
        </w:rPr>
      </w:pPr>
      <w:r>
        <w:rPr>
          <w:rFonts w:hint="eastAsia" w:ascii="宋体" w:hAnsi="宋体" w:eastAsia="宋体" w:cs="宋体"/>
          <w:sz w:val="21"/>
          <w:szCs w:val="21"/>
        </w:rPr>
        <w:t>本文件按照GB/T</w:t>
      </w:r>
      <w:r>
        <w:rPr>
          <w:rFonts w:hint="eastAsia"/>
          <w:color w:val="auto"/>
          <w:sz w:val="21"/>
          <w:szCs w:val="21"/>
        </w:rPr>
        <w:t xml:space="preserve"> 1.1—2020</w:t>
      </w:r>
      <w:r>
        <w:rPr>
          <w:rFonts w:hint="eastAsia" w:ascii="宋体" w:hAnsi="宋体" w:eastAsia="宋体" w:cs="宋体"/>
          <w:sz w:val="21"/>
          <w:szCs w:val="21"/>
        </w:rPr>
        <w:t xml:space="preserve">《标准化工作导则 </w:t>
      </w:r>
      <w:r>
        <w:rPr>
          <w:rFonts w:hint="eastAsia" w:hAnsi="宋体" w:cs="宋体"/>
          <w:sz w:val="21"/>
          <w:szCs w:val="21"/>
          <w:lang w:val="en-US" w:eastAsia="zh-CN"/>
        </w:rPr>
        <w:t xml:space="preserve"> </w:t>
      </w:r>
      <w:r>
        <w:rPr>
          <w:rFonts w:hint="eastAsia" w:ascii="宋体" w:hAnsi="宋体" w:eastAsia="宋体" w:cs="宋体"/>
          <w:sz w:val="21"/>
          <w:szCs w:val="21"/>
        </w:rPr>
        <w:t>第1部分：标准化文件的结构和起草规则》的规则起草。</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sz w:val="21"/>
          <w:szCs w:val="21"/>
        </w:rPr>
      </w:pPr>
      <w:r>
        <w:rPr>
          <w:rFonts w:hint="eastAsia" w:ascii="宋体" w:hAnsi="宋体" w:eastAsia="宋体" w:cs="宋体"/>
          <w:sz w:val="21"/>
          <w:szCs w:val="21"/>
        </w:rPr>
        <w:t>请注意本文件的某些内容可能涉及专利</w:t>
      </w:r>
      <w:r>
        <w:rPr>
          <w:rFonts w:hint="eastAsia" w:ascii="宋体" w:hAnsi="宋体" w:eastAsia="宋体" w:cs="宋体"/>
          <w:sz w:val="21"/>
          <w:szCs w:val="21"/>
          <w:lang w:eastAsia="zh-CN"/>
        </w:rPr>
        <w:t>，</w:t>
      </w:r>
      <w:r>
        <w:rPr>
          <w:rFonts w:hint="eastAsia" w:ascii="宋体" w:hAnsi="宋体" w:eastAsia="宋体" w:cs="宋体"/>
          <w:sz w:val="21"/>
          <w:szCs w:val="21"/>
        </w:rPr>
        <w:t>本文件的发布机构不</w:t>
      </w:r>
      <w:r>
        <w:rPr>
          <w:rFonts w:hint="eastAsia" w:ascii="宋体" w:hAnsi="宋体" w:eastAsia="宋体" w:cs="宋体"/>
          <w:sz w:val="21"/>
          <w:szCs w:val="21"/>
          <w:lang w:eastAsia="zh-CN"/>
        </w:rPr>
        <w:t>承担</w:t>
      </w:r>
      <w:r>
        <w:rPr>
          <w:rFonts w:hint="eastAsia" w:ascii="宋体" w:hAnsi="宋体" w:eastAsia="宋体" w:cs="宋体"/>
          <w:sz w:val="21"/>
          <w:szCs w:val="21"/>
          <w:lang w:val="en-US" w:eastAsia="zh-CN"/>
        </w:rPr>
        <w:t>识别</w:t>
      </w:r>
      <w:r>
        <w:rPr>
          <w:rFonts w:hint="eastAsia" w:ascii="宋体" w:hAnsi="宋体" w:eastAsia="宋体" w:cs="宋体"/>
          <w:sz w:val="21"/>
          <w:szCs w:val="21"/>
        </w:rPr>
        <w:t>专利的责任。</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sz w:val="21"/>
          <w:szCs w:val="21"/>
        </w:rPr>
      </w:pPr>
      <w:r>
        <w:rPr>
          <w:rFonts w:hint="eastAsia" w:ascii="宋体" w:hAnsi="宋体" w:eastAsia="宋体" w:cs="宋体"/>
          <w:sz w:val="21"/>
          <w:szCs w:val="21"/>
        </w:rPr>
        <w:t>本文件由深圳市农业</w:t>
      </w:r>
      <w:r>
        <w:rPr>
          <w:rFonts w:hint="eastAsia" w:hAnsi="宋体" w:cs="宋体"/>
          <w:sz w:val="21"/>
          <w:szCs w:val="21"/>
          <w:lang w:eastAsia="zh-CN"/>
        </w:rPr>
        <w:t>产业化</w:t>
      </w:r>
      <w:r>
        <w:rPr>
          <w:rFonts w:hint="eastAsia" w:ascii="宋体" w:hAnsi="宋体" w:eastAsia="宋体" w:cs="宋体"/>
          <w:sz w:val="21"/>
          <w:szCs w:val="21"/>
        </w:rPr>
        <w:t>龙头企业协会归口。</w:t>
      </w:r>
    </w:p>
    <w:p>
      <w:pPr>
        <w:rPr>
          <w:rFonts w:hint="eastAsia" w:ascii="宋体" w:hAnsi="宋体" w:eastAsia="宋体" w:cs="宋体"/>
          <w:sz w:val="21"/>
          <w:szCs w:val="21"/>
          <w:lang w:eastAsia="zh-CN"/>
        </w:rPr>
      </w:pPr>
      <w:r>
        <w:rPr>
          <w:rFonts w:hint="eastAsia" w:ascii="宋体" w:hAnsi="宋体" w:eastAsia="宋体" w:cs="宋体"/>
          <w:sz w:val="21"/>
          <w:szCs w:val="21"/>
        </w:rPr>
        <w:t>本文件起草单位：深圳市</w:t>
      </w:r>
      <w:r>
        <w:rPr>
          <w:rFonts w:hint="eastAsia" w:hAnsi="宋体" w:cs="宋体"/>
          <w:sz w:val="21"/>
          <w:szCs w:val="21"/>
          <w:lang w:eastAsia="zh-CN"/>
        </w:rPr>
        <w:t>农产品质量安全检验检测中心</w:t>
      </w:r>
      <w:r>
        <w:rPr>
          <w:rFonts w:hint="eastAsia" w:ascii="宋体" w:hAnsi="宋体" w:eastAsia="宋体" w:cs="宋体"/>
          <w:sz w:val="21"/>
          <w:szCs w:val="21"/>
        </w:rPr>
        <w:t>、深圳市</w:t>
      </w:r>
      <w:r>
        <w:rPr>
          <w:rFonts w:hint="eastAsia" w:hAnsi="宋体" w:cs="宋体"/>
          <w:sz w:val="21"/>
          <w:szCs w:val="21"/>
          <w:lang w:eastAsia="zh-CN"/>
        </w:rPr>
        <w:t>中检联检测有限公司、</w:t>
      </w:r>
      <w:r>
        <w:rPr>
          <w:rFonts w:hint="eastAsia" w:ascii="宋体" w:hAnsi="宋体" w:eastAsia="宋体" w:cs="宋体"/>
          <w:sz w:val="21"/>
          <w:szCs w:val="21"/>
        </w:rPr>
        <w:t>深圳市源兴果品股份有限公司</w:t>
      </w:r>
      <w:r>
        <w:rPr>
          <w:rFonts w:hint="eastAsia"/>
          <w:lang w:eastAsia="zh-CN"/>
        </w:rPr>
        <w:t>。</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color w:val="auto"/>
          <w:sz w:val="21"/>
          <w:szCs w:val="21"/>
          <w:lang w:eastAsia="zh-CN"/>
        </w:rPr>
      </w:pPr>
      <w:r>
        <w:rPr>
          <w:rFonts w:hint="eastAsia" w:ascii="宋体" w:hAnsi="宋体" w:eastAsia="宋体" w:cs="宋体"/>
          <w:sz w:val="21"/>
          <w:szCs w:val="21"/>
        </w:rPr>
        <w:t>本文件主要起草人：</w:t>
      </w:r>
      <w:r>
        <w:rPr>
          <w:rFonts w:hint="eastAsia" w:hAnsi="宋体" w:cs="宋体"/>
          <w:sz w:val="21"/>
          <w:szCs w:val="21"/>
          <w:lang w:eastAsia="zh-CN"/>
        </w:rPr>
        <w:t>马海峰、唐淑军、屈海斌</w:t>
      </w:r>
      <w:r>
        <w:rPr>
          <w:rFonts w:hint="eastAsia" w:hAnsi="宋体" w:cs="宋体"/>
          <w:color w:val="auto"/>
          <w:sz w:val="21"/>
          <w:szCs w:val="21"/>
          <w:lang w:eastAsia="zh-CN"/>
        </w:rPr>
        <w:t>、王洋波、梁幸、周春梅、胡祥娜、王有成、</w:t>
      </w:r>
      <w:r>
        <w:rPr>
          <w:rFonts w:hint="eastAsia"/>
          <w:color w:val="auto"/>
          <w:lang w:eastAsia="zh-CN"/>
        </w:rPr>
        <w:t>卢金炮</w:t>
      </w:r>
      <w:r>
        <w:rPr>
          <w:rFonts w:hint="eastAsia" w:hAnsi="宋体" w:cs="宋体"/>
          <w:color w:val="auto"/>
          <w:sz w:val="21"/>
          <w:szCs w:val="21"/>
          <w:lang w:eastAsia="zh-CN"/>
        </w:rPr>
        <w:t>。</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本文件为首次发布。</w:t>
      </w:r>
    </w:p>
    <w:p>
      <w:pPr>
        <w:pStyle w:val="23"/>
      </w:pPr>
    </w:p>
    <w:bookmarkEnd w:id="4"/>
    <w:bookmarkEnd w:id="5"/>
    <w:bookmarkEnd w:id="6"/>
    <w:p>
      <w:pPr>
        <w:spacing w:line="360" w:lineRule="auto"/>
        <w:ind w:right="79" w:firstLine="420"/>
        <w:jc w:val="center"/>
        <w:rPr>
          <w:rFonts w:ascii="宋体" w:hAnsi="宋体" w:eastAsia="黑体" w:cs="宋体"/>
          <w:kern w:val="0"/>
          <w:sz w:val="30"/>
          <w:szCs w:val="30"/>
        </w:rPr>
      </w:pPr>
      <w:bookmarkStart w:id="8" w:name="page9"/>
      <w:bookmarkEnd w:id="8"/>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rPr>
          <w:rFonts w:ascii="宋体" w:hAnsi="宋体" w:eastAsia="黑体" w:cs="宋体"/>
          <w:kern w:val="0"/>
          <w:sz w:val="30"/>
          <w:szCs w:val="30"/>
        </w:rPr>
        <w:sectPr>
          <w:headerReference r:id="rId7" w:type="default"/>
          <w:footerReference r:id="rId8" w:type="default"/>
          <w:footerReference r:id="rId9" w:type="even"/>
          <w:pgSz w:w="11906" w:h="16838"/>
          <w:pgMar w:top="1417" w:right="1134" w:bottom="1134" w:left="1417" w:header="1418" w:footer="1134" w:gutter="0"/>
          <w:pgBorders>
            <w:top w:val="none" w:sz="0" w:space="0"/>
            <w:left w:val="none" w:sz="0" w:space="0"/>
            <w:bottom w:val="none" w:sz="0" w:space="0"/>
            <w:right w:val="none" w:sz="0" w:space="0"/>
          </w:pgBorders>
          <w:pgNumType w:fmt="upperRoman" w:start="2"/>
          <w:cols w:space="425" w:num="1"/>
          <w:formProt w:val="0"/>
          <w:docGrid w:type="lines" w:linePitch="312" w:charSpace="0"/>
        </w:sectPr>
      </w:pPr>
    </w:p>
    <w:p>
      <w:pPr>
        <w:spacing w:line="360" w:lineRule="auto"/>
        <w:ind w:right="79"/>
        <w:rPr>
          <w:rFonts w:ascii="宋体" w:hAnsi="宋体" w:eastAsia="黑体" w:cs="宋体"/>
          <w:kern w:val="0"/>
          <w:sz w:val="30"/>
          <w:szCs w:val="30"/>
        </w:rPr>
        <w:sectPr>
          <w:footerReference r:id="rId10" w:type="default"/>
          <w:footerReference r:id="rId11" w:type="even"/>
          <w:type w:val="continuous"/>
          <w:pgSz w:w="11906" w:h="16838"/>
          <w:pgMar w:top="567" w:right="1134" w:bottom="1134" w:left="1417" w:header="1418"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pPr>
        <w:keepNext w:val="0"/>
        <w:keepLines w:val="0"/>
        <w:pageBreakBefore w:val="0"/>
        <w:widowControl/>
        <w:kinsoku/>
        <w:wordWrap/>
        <w:overflowPunct/>
        <w:topLinePunct w:val="0"/>
        <w:autoSpaceDE/>
        <w:autoSpaceDN/>
        <w:bidi w:val="0"/>
        <w:adjustRightInd/>
        <w:snapToGrid/>
        <w:spacing w:before="625" w:beforeLines="200" w:after="625" w:afterLines="200" w:line="240" w:lineRule="auto"/>
        <w:ind w:right="0" w:firstLine="0"/>
        <w:jc w:val="center"/>
        <w:textAlignment w:val="auto"/>
        <w:rPr>
          <w:rFonts w:ascii="黑体" w:hAnsi="宋体" w:eastAsia="黑体" w:cs="黑体"/>
          <w:color w:val="000000"/>
          <w:sz w:val="32"/>
          <w:szCs w:val="32"/>
        </w:rPr>
      </w:pPr>
      <w:bookmarkStart w:id="9" w:name="_Toc26175100"/>
      <w:bookmarkStart w:id="10" w:name="_Toc27739321"/>
      <w:bookmarkStart w:id="11" w:name="_Toc26542367"/>
      <w:r>
        <w:rPr>
          <w:rFonts w:hint="eastAsia" w:ascii="黑体" w:hAnsi="宋体" w:eastAsia="黑体" w:cs="黑体"/>
          <w:color w:val="000000"/>
          <w:sz w:val="32"/>
          <w:szCs w:val="32"/>
          <w:highlight w:val="none"/>
        </w:rPr>
        <w:t>深圳</w:t>
      </w:r>
      <w:r>
        <w:rPr>
          <w:rFonts w:hint="eastAsia" w:ascii="黑体" w:hAnsi="宋体" w:eastAsia="黑体" w:cs="黑体"/>
          <w:color w:val="000000"/>
          <w:sz w:val="32"/>
          <w:szCs w:val="32"/>
          <w:highlight w:val="none"/>
          <w:lang w:eastAsia="zh-CN"/>
        </w:rPr>
        <w:t>香妃</w:t>
      </w:r>
      <w:r>
        <w:rPr>
          <w:rFonts w:hint="eastAsia" w:ascii="黑体" w:hAnsi="宋体" w:eastAsia="黑体" w:cs="黑体"/>
          <w:color w:val="000000"/>
          <w:sz w:val="32"/>
          <w:szCs w:val="32"/>
          <w:lang w:eastAsia="zh-CN"/>
        </w:rPr>
        <w:t>枇杷鲜果</w:t>
      </w:r>
      <w:r>
        <w:rPr>
          <w:rFonts w:ascii="黑体" w:hAnsi="宋体" w:eastAsia="黑体" w:cs="黑体"/>
          <w:color w:val="000000"/>
          <w:sz w:val="32"/>
          <w:szCs w:val="32"/>
        </w:rPr>
        <w:t>产品标准</w:t>
      </w:r>
    </w:p>
    <w:p>
      <w:pPr>
        <w:pStyle w:val="43"/>
        <w:keepNext w:val="0"/>
        <w:keepLines w:val="0"/>
        <w:pageBreakBefore w:val="0"/>
        <w:widowControl/>
        <w:numPr>
          <w:ilvl w:val="0"/>
          <w:numId w:val="0"/>
        </w:numPr>
        <w:tabs>
          <w:tab w:val="left" w:pos="2217"/>
        </w:tabs>
        <w:kinsoku/>
        <w:wordWrap/>
        <w:overflowPunct/>
        <w:topLinePunct w:val="0"/>
        <w:autoSpaceDE/>
        <w:autoSpaceDN/>
        <w:bidi w:val="0"/>
        <w:adjustRightInd/>
        <w:snapToGrid/>
        <w:spacing w:before="313" w:beforeLines="100" w:after="313" w:afterLines="100"/>
        <w:textAlignment w:val="auto"/>
        <w:outlineLvl w:val="0"/>
        <w:rPr>
          <w:rFonts w:hint="eastAsia"/>
          <w:lang w:eastAsia="zh-CN"/>
        </w:rPr>
      </w:pPr>
      <w:r>
        <w:rPr>
          <w:rFonts w:hint="eastAsia"/>
          <w:b w:val="0"/>
          <w:bCs w:val="0"/>
          <w:sz w:val="21"/>
          <w:szCs w:val="21"/>
        </w:rPr>
        <w:t>1  范围</w:t>
      </w:r>
      <w:bookmarkEnd w:id="9"/>
      <w:bookmarkEnd w:id="10"/>
      <w:bookmarkEnd w:id="11"/>
      <w:r>
        <w:rPr>
          <w:rFonts w:hint="eastAsia"/>
          <w:b w:val="0"/>
          <w:bCs w:val="0"/>
          <w:sz w:val="21"/>
          <w:szCs w:val="21"/>
          <w:lang w:eastAsia="zh-CN"/>
        </w:rPr>
        <w:tab/>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rPr>
          <w:rFonts w:ascii="宋体" w:hAnsi="宋体" w:cs="宋体"/>
          <w:color w:val="000000"/>
          <w:kern w:val="0"/>
          <w:szCs w:val="21"/>
        </w:rPr>
      </w:pPr>
      <w:r>
        <w:rPr>
          <w:rFonts w:ascii="宋体" w:hAnsi="宋体" w:cs="宋体"/>
          <w:color w:val="000000"/>
          <w:kern w:val="0"/>
          <w:szCs w:val="21"/>
        </w:rPr>
        <w:t>本</w:t>
      </w:r>
      <w:r>
        <w:rPr>
          <w:rFonts w:hint="eastAsia" w:ascii="宋体" w:hAnsi="宋体" w:cs="宋体"/>
          <w:color w:val="000000"/>
          <w:kern w:val="0"/>
          <w:szCs w:val="21"/>
        </w:rPr>
        <w:t>文件</w:t>
      </w:r>
      <w:r>
        <w:rPr>
          <w:rFonts w:ascii="宋体" w:hAnsi="宋体" w:cs="宋体"/>
          <w:color w:val="000000"/>
          <w:kern w:val="0"/>
          <w:szCs w:val="21"/>
        </w:rPr>
        <w:t>规定了</w:t>
      </w:r>
      <w:r>
        <w:rPr>
          <w:rFonts w:hint="eastAsia" w:ascii="宋体" w:hAnsi="宋体" w:cs="宋体"/>
          <w:color w:val="000000"/>
          <w:kern w:val="0"/>
          <w:szCs w:val="21"/>
        </w:rPr>
        <w:t>深圳</w:t>
      </w:r>
      <w:r>
        <w:rPr>
          <w:rFonts w:hint="eastAsia" w:ascii="宋体" w:hAnsi="宋体" w:cs="宋体"/>
          <w:color w:val="000000"/>
          <w:kern w:val="0"/>
          <w:szCs w:val="21"/>
          <w:lang w:eastAsia="zh-CN"/>
        </w:rPr>
        <w:t>香妃</w:t>
      </w:r>
      <w:r>
        <w:rPr>
          <w:rFonts w:hint="eastAsia" w:ascii="宋体" w:hAnsi="宋体" w:cs="宋体"/>
          <w:color w:val="000000"/>
          <w:kern w:val="0"/>
          <w:szCs w:val="21"/>
        </w:rPr>
        <w:t>枇杷</w:t>
      </w:r>
      <w:r>
        <w:rPr>
          <w:rFonts w:hint="eastAsia" w:ascii="宋体" w:hAnsi="宋体" w:cs="宋体"/>
          <w:color w:val="000000"/>
          <w:kern w:val="0"/>
          <w:szCs w:val="21"/>
          <w:lang w:eastAsia="zh-CN"/>
        </w:rPr>
        <w:t>鲜果产品</w:t>
      </w:r>
      <w:r>
        <w:rPr>
          <w:rFonts w:ascii="宋体" w:hAnsi="宋体" w:cs="宋体"/>
          <w:color w:val="000000"/>
          <w:kern w:val="0"/>
          <w:szCs w:val="21"/>
        </w:rPr>
        <w:t>的术语和定义、质量要求、检验方法、检验规则及标志、包装、运输和贮存条件。</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rPr>
          <w:rFonts w:hint="eastAsia"/>
          <w:szCs w:val="21"/>
        </w:rPr>
      </w:pPr>
      <w:r>
        <w:rPr>
          <w:rFonts w:hint="eastAsia"/>
          <w:szCs w:val="21"/>
        </w:rPr>
        <w:t>本文件适用于</w:t>
      </w:r>
      <w:r>
        <w:rPr>
          <w:rFonts w:hint="eastAsia" w:ascii="宋体" w:hAnsi="宋体" w:cs="宋体"/>
          <w:color w:val="000000"/>
          <w:kern w:val="0"/>
          <w:szCs w:val="21"/>
        </w:rPr>
        <w:t>深圳</w:t>
      </w:r>
      <w:r>
        <w:rPr>
          <w:rFonts w:hint="eastAsia"/>
          <w:szCs w:val="21"/>
          <w:lang w:eastAsia="zh-CN"/>
        </w:rPr>
        <w:t>香妃</w:t>
      </w:r>
      <w:r>
        <w:rPr>
          <w:rFonts w:hint="eastAsia"/>
          <w:szCs w:val="21"/>
        </w:rPr>
        <w:t>枇杷</w:t>
      </w:r>
      <w:r>
        <w:rPr>
          <w:rFonts w:hint="eastAsia"/>
          <w:szCs w:val="21"/>
          <w:lang w:eastAsia="zh-CN"/>
        </w:rPr>
        <w:t>鲜果产品</w:t>
      </w:r>
      <w:r>
        <w:rPr>
          <w:rFonts w:hint="eastAsia"/>
          <w:szCs w:val="21"/>
        </w:rPr>
        <w:t>的质量评价。</w:t>
      </w:r>
    </w:p>
    <w:p>
      <w:pPr>
        <w:pStyle w:val="4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outlineLvl w:val="0"/>
      </w:pPr>
      <w:bookmarkStart w:id="12" w:name="_Toc26542368"/>
      <w:bookmarkStart w:id="13" w:name="_Toc27739322"/>
      <w:bookmarkStart w:id="14" w:name="_Toc26175101"/>
      <w:r>
        <w:rPr>
          <w:rFonts w:hint="eastAsia"/>
          <w:b w:val="0"/>
          <w:bCs w:val="0"/>
          <w:sz w:val="21"/>
          <w:szCs w:val="21"/>
        </w:rPr>
        <w:t>2  规范性引用文件</w:t>
      </w:r>
      <w:bookmarkEnd w:id="12"/>
      <w:bookmarkEnd w:id="13"/>
      <w:bookmarkEnd w:id="14"/>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szCs w:val="21"/>
        </w:rPr>
      </w:pPr>
      <w:r>
        <w:rPr>
          <w:rFonts w:ascii="宋体" w:hAnsi="宋体" w:cs="宋体"/>
          <w:color w:val="000000"/>
          <w:kern w:val="0"/>
          <w:szCs w:val="21"/>
        </w:rPr>
        <w:t xml:space="preserve">下列文件中的内容通过文中的规范性引用而构成本文件必不可少的条款。其中，注日期的引用文件， 仅该日期对应的版本适用于本文件；不注日期的引用文件，其最新版本（包括所有的修改单）适用于本文件。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rPr>
        <w:t xml:space="preserve">GB 2762 </w:t>
      </w: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t xml:space="preserve">食品安全国家标准 </w:t>
      </w:r>
      <w:r>
        <w:rPr>
          <w:rFonts w:hint="eastAsia" w:ascii="宋体" w:hAnsi="宋体" w:cs="宋体"/>
          <w:color w:val="000000"/>
          <w:kern w:val="0"/>
          <w:sz w:val="21"/>
          <w:szCs w:val="21"/>
          <w:lang w:val="en-US" w:eastAsia="zh-CN"/>
        </w:rPr>
        <w:t xml:space="preserve"> </w:t>
      </w:r>
      <w:r>
        <w:rPr>
          <w:rFonts w:hint="eastAsia" w:ascii="宋体" w:hAnsi="宋体" w:eastAsia="宋体" w:cs="宋体"/>
          <w:color w:val="000000"/>
          <w:kern w:val="0"/>
          <w:sz w:val="21"/>
          <w:szCs w:val="21"/>
        </w:rPr>
        <w:t xml:space="preserve">食品中污染物限量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GB 2763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食品中农药最大残留限量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GB 2763.1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食品中2,4-滴丁酸钠盐等112种农药最大残留限量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GB 4806.7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食品接触用塑料材料及制品</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GB 5009.8</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食品安全国家标准</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食品中</w:t>
      </w:r>
      <w:r>
        <w:rPr>
          <w:rFonts w:hint="eastAsia" w:ascii="宋体" w:hAnsi="宋体" w:cs="宋体"/>
          <w:sz w:val="21"/>
          <w:szCs w:val="21"/>
          <w:highlight w:val="none"/>
          <w:lang w:eastAsia="zh-CN"/>
        </w:rPr>
        <w:t>胡萝卜素</w:t>
      </w:r>
      <w:r>
        <w:rPr>
          <w:rFonts w:hint="eastAsia" w:ascii="宋体" w:hAnsi="宋体" w:eastAsia="宋体" w:cs="宋体"/>
          <w:sz w:val="21"/>
          <w:szCs w:val="21"/>
          <w:highlight w:val="none"/>
        </w:rPr>
        <w:t>的测定</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GB 5009.86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食品安全国家标准</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食品中抗坏血酸的测定</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GB 12456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食品中总酸的测定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GB/T 13867 </w:t>
      </w:r>
      <w:r>
        <w:rPr>
          <w:rFonts w:hint="eastAsia" w:ascii="宋体" w:hAnsi="宋体" w:eastAsia="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鲜枇杷果</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bookmarkStart w:id="15" w:name="OLE_LINK2"/>
      <w:r>
        <w:rPr>
          <w:rFonts w:hint="eastAsia" w:ascii="宋体" w:hAnsi="宋体" w:eastAsia="宋体" w:cs="宋体"/>
          <w:color w:val="000000"/>
          <w:kern w:val="0"/>
          <w:sz w:val="21"/>
          <w:szCs w:val="21"/>
          <w:highlight w:val="none"/>
        </w:rPr>
        <w:t>GB/T 32950</w:t>
      </w:r>
      <w:bookmarkEnd w:id="15"/>
      <w:r>
        <w:rPr>
          <w:rFonts w:hint="eastAsia" w:ascii="宋体" w:hAnsi="宋体" w:eastAsia="宋体" w:cs="宋体"/>
          <w:color w:val="000000"/>
          <w:kern w:val="0"/>
          <w:sz w:val="21"/>
          <w:szCs w:val="21"/>
          <w:highlight w:val="none"/>
        </w:rPr>
        <w:t xml:space="preserve">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鲜活农产品标签标识</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NY/T 658</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绿色食品</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包装通用准则</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NY/T </w:t>
      </w:r>
      <w:r>
        <w:rPr>
          <w:rFonts w:hint="eastAsia" w:ascii="宋体" w:hAnsi="宋体" w:cs="宋体"/>
          <w:color w:val="auto"/>
          <w:kern w:val="0"/>
          <w:sz w:val="21"/>
          <w:szCs w:val="21"/>
          <w:highlight w:val="none"/>
          <w:lang w:val="en-US" w:eastAsia="zh-CN"/>
        </w:rPr>
        <w:t xml:space="preserve">896  </w:t>
      </w:r>
      <w:r>
        <w:rPr>
          <w:rFonts w:hint="eastAsia" w:ascii="宋体" w:hAnsi="宋体" w:eastAsia="宋体" w:cs="宋体"/>
          <w:color w:val="auto"/>
          <w:kern w:val="0"/>
          <w:sz w:val="21"/>
          <w:szCs w:val="21"/>
          <w:highlight w:val="none"/>
        </w:rPr>
        <w:t>绿色食品</w:t>
      </w:r>
      <w:r>
        <w:rPr>
          <w:rFonts w:hint="eastAsia" w:ascii="宋体" w:hAnsi="宋体" w:cs="宋体"/>
          <w:color w:val="auto"/>
          <w:kern w:val="0"/>
          <w:sz w:val="21"/>
          <w:szCs w:val="21"/>
          <w:highlight w:val="none"/>
          <w:lang w:val="en-US" w:eastAsia="zh-CN"/>
        </w:rPr>
        <w:t xml:space="preserve">  产品抽样</w:t>
      </w:r>
      <w:r>
        <w:rPr>
          <w:rFonts w:hint="eastAsia" w:ascii="宋体" w:hAnsi="宋体" w:eastAsia="宋体" w:cs="宋体"/>
          <w:color w:val="auto"/>
          <w:kern w:val="0"/>
          <w:sz w:val="21"/>
          <w:szCs w:val="21"/>
          <w:highlight w:val="none"/>
        </w:rPr>
        <w:t>准则</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bookmarkStart w:id="16" w:name="OLE_LINK5"/>
      <w:r>
        <w:rPr>
          <w:rFonts w:hint="eastAsia" w:ascii="宋体" w:hAnsi="宋体" w:eastAsia="宋体" w:cs="宋体"/>
          <w:color w:val="000000"/>
          <w:kern w:val="0"/>
          <w:sz w:val="21"/>
          <w:szCs w:val="21"/>
          <w:highlight w:val="none"/>
        </w:rPr>
        <w:t>NY/T 1778</w:t>
      </w:r>
      <w:bookmarkEnd w:id="16"/>
      <w:r>
        <w:rPr>
          <w:rFonts w:hint="eastAsia" w:ascii="宋体" w:hAnsi="宋体" w:eastAsia="宋体" w:cs="宋体"/>
          <w:color w:val="000000"/>
          <w:kern w:val="0"/>
          <w:sz w:val="21"/>
          <w:szCs w:val="21"/>
          <w:highlight w:val="none"/>
        </w:rPr>
        <w:t xml:space="preserve">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新鲜水果包装标识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通则</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NY/T 2637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水果和蔬菜可溶性固形物含量的测定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折射仪法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NY/T 2742 </w:t>
      </w:r>
      <w:r>
        <w:rPr>
          <w:rFonts w:hint="eastAsia" w:ascii="宋体" w:hAnsi="宋体" w:cs="宋体"/>
          <w:sz w:val="21"/>
          <w:szCs w:val="21"/>
          <w:lang w:val="en-US" w:eastAsia="zh-CN"/>
        </w:rPr>
        <w:t xml:space="preserve"> </w:t>
      </w:r>
      <w:r>
        <w:rPr>
          <w:rFonts w:hint="eastAsia" w:ascii="宋体" w:hAnsi="宋体" w:eastAsia="宋体" w:cs="宋体"/>
          <w:sz w:val="21"/>
          <w:szCs w:val="21"/>
        </w:rPr>
        <w:t>水果及制品可溶性糖的测定</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3,5-二硝基水杨酸比色法</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hint="eastAsia" w:ascii="黑体" w:hAnsi="黑体" w:eastAsia="黑体"/>
          <w:b w:val="0"/>
          <w:bCs w:val="0"/>
          <w:kern w:val="0"/>
          <w:sz w:val="21"/>
          <w:szCs w:val="21"/>
        </w:rPr>
      </w:pPr>
      <w:r>
        <w:rPr>
          <w:rFonts w:hint="eastAsia" w:ascii="黑体" w:hAnsi="黑体" w:eastAsia="黑体" w:cs="宋体"/>
          <w:b w:val="0"/>
          <w:bCs w:val="0"/>
          <w:color w:val="000000"/>
          <w:kern w:val="0"/>
          <w:sz w:val="21"/>
          <w:szCs w:val="21"/>
        </w:rPr>
        <w:t xml:space="preserve">3  </w:t>
      </w:r>
      <w:r>
        <w:rPr>
          <w:rFonts w:hint="eastAsia" w:ascii="黑体" w:hAnsi="黑体" w:eastAsia="黑体"/>
          <w:b w:val="0"/>
          <w:bCs w:val="0"/>
          <w:kern w:val="0"/>
          <w:sz w:val="21"/>
          <w:szCs w:val="21"/>
        </w:rPr>
        <w:t>术语和定义</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ascii="宋体" w:hAnsi="宋体" w:cs="宋体"/>
          <w:color w:val="000000"/>
          <w:kern w:val="0"/>
          <w:szCs w:val="21"/>
        </w:rPr>
      </w:pPr>
      <w:r>
        <w:rPr>
          <w:rFonts w:ascii="宋体" w:hAnsi="宋体" w:cs="宋体"/>
          <w:color w:val="000000"/>
          <w:kern w:val="0"/>
          <w:szCs w:val="21"/>
        </w:rPr>
        <w:t>下列术语和定义适用于本文件。</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黑体"/>
          <w:color w:val="000000"/>
          <w:kern w:val="0"/>
          <w:szCs w:val="21"/>
        </w:rPr>
      </w:pPr>
      <w:r>
        <w:rPr>
          <w:rFonts w:hint="eastAsia" w:ascii="黑体" w:hAnsi="黑体" w:eastAsia="黑体" w:cs="黑体"/>
          <w:color w:val="000000"/>
          <w:kern w:val="0"/>
          <w:szCs w:val="21"/>
        </w:rPr>
        <w:t xml:space="preserve">3.1 </w:t>
      </w:r>
      <w:r>
        <w:rPr>
          <w:rFonts w:hint="eastAsia" w:ascii="黑体" w:hAnsi="黑体" w:eastAsia="黑体" w:cs="黑体"/>
          <w:color w:val="000000"/>
          <w:kern w:val="0"/>
          <w:szCs w:val="21"/>
          <w:lang w:val="en-US" w:eastAsia="zh-CN"/>
        </w:rPr>
        <w:t xml:space="preserve"> 香妃</w:t>
      </w:r>
      <w:r>
        <w:rPr>
          <w:rFonts w:hint="eastAsia" w:ascii="黑体" w:hAnsi="黑体" w:eastAsia="黑体" w:cs="黑体"/>
          <w:color w:val="000000"/>
          <w:kern w:val="0"/>
          <w:szCs w:val="21"/>
        </w:rPr>
        <w:t>枇杷</w:t>
      </w:r>
    </w:p>
    <w:p>
      <w:pPr>
        <w:keepNext w:val="0"/>
        <w:keepLines w:val="0"/>
        <w:pageBreakBefore w:val="0"/>
        <w:widowControl/>
        <w:kinsoku/>
        <w:wordWrap/>
        <w:overflowPunct/>
        <w:topLinePunct w:val="0"/>
        <w:autoSpaceDE/>
        <w:autoSpaceDN/>
        <w:bidi w:val="0"/>
        <w:adjustRightInd/>
        <w:snapToGrid/>
        <w:ind w:firstLine="420" w:firstLineChars="200"/>
        <w:textAlignment w:val="auto"/>
        <w:outlineLvl w:val="9"/>
        <w:rPr>
          <w:rStyle w:val="172"/>
          <w:rFonts w:hint="eastAsia" w:ascii="宋体" w:hAnsi="宋体" w:eastAsia="宋体" w:cs="宋体"/>
          <w:b w:val="0"/>
          <w:bCs w:val="0"/>
          <w:i w:val="0"/>
          <w:iCs w:val="0"/>
          <w:color w:val="0000FF"/>
          <w:sz w:val="21"/>
          <w:szCs w:val="21"/>
          <w:lang w:eastAsia="zh-CN"/>
        </w:rPr>
      </w:pPr>
      <w:r>
        <w:rPr>
          <w:rStyle w:val="172"/>
          <w:rFonts w:hint="eastAsia" w:ascii="宋体" w:hAnsi="宋体" w:eastAsia="宋体" w:cs="宋体"/>
          <w:b w:val="0"/>
          <w:bCs w:val="0"/>
          <w:i w:val="0"/>
          <w:iCs w:val="0"/>
          <w:color w:val="auto"/>
          <w:sz w:val="21"/>
          <w:szCs w:val="21"/>
          <w:lang w:eastAsia="zh-CN"/>
        </w:rPr>
        <w:t>本品种由福建省农科院果树所联合深圳市农产品质量安全检验检测中心（深圳市农业科技促进中心</w:t>
      </w:r>
      <w:r>
        <w:rPr>
          <w:rStyle w:val="172"/>
          <w:rFonts w:hint="eastAsia" w:ascii="宋体" w:hAnsi="宋体" w:cs="宋体"/>
          <w:b w:val="0"/>
          <w:bCs w:val="0"/>
          <w:i w:val="0"/>
          <w:iCs w:val="0"/>
          <w:color w:val="auto"/>
          <w:sz w:val="21"/>
          <w:szCs w:val="21"/>
          <w:lang w:val="en-US" w:eastAsia="zh-CN"/>
        </w:rPr>
        <w:t>,</w:t>
      </w:r>
      <w:r>
        <w:rPr>
          <w:rStyle w:val="172"/>
          <w:rFonts w:hint="eastAsia" w:ascii="宋体" w:hAnsi="宋体" w:eastAsia="宋体" w:cs="宋体"/>
          <w:b w:val="0"/>
          <w:bCs w:val="0"/>
          <w:i w:val="0"/>
          <w:iCs w:val="0"/>
          <w:color w:val="auto"/>
          <w:sz w:val="21"/>
          <w:szCs w:val="21"/>
          <w:lang w:eastAsia="zh-CN"/>
        </w:rPr>
        <w:t>前身之一）和重庆市合川区经作指导站共同育成，2020年通过全国热带作物品种审定委员会审定。该品种为晚熟优质白肉枇杷新品种，树姿开张，不易落果和皱果，耐热性好，适应性强，果实倒卵形，易剥皮，果肉口感细嫩、化渣、清甜可口、风味浓郁。</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黑体"/>
          <w:color w:val="000000"/>
          <w:szCs w:val="21"/>
        </w:rPr>
      </w:pPr>
      <w:r>
        <w:rPr>
          <w:rFonts w:hint="eastAsia" w:ascii="黑体" w:hAnsi="黑体" w:eastAsia="黑体" w:cs="黑体"/>
          <w:color w:val="000000"/>
          <w:kern w:val="0"/>
          <w:szCs w:val="21"/>
        </w:rPr>
        <w:t xml:space="preserve">3.2 </w:t>
      </w:r>
      <w:r>
        <w:rPr>
          <w:rFonts w:hint="eastAsia" w:ascii="黑体" w:hAnsi="黑体" w:eastAsia="黑体" w:cs="黑体"/>
          <w:color w:val="000000"/>
          <w:kern w:val="0"/>
          <w:szCs w:val="21"/>
          <w:lang w:val="en-US" w:eastAsia="zh-CN"/>
        </w:rPr>
        <w:t xml:space="preserve"> </w:t>
      </w:r>
      <w:r>
        <w:rPr>
          <w:rFonts w:hint="eastAsia" w:ascii="黑体" w:hAnsi="黑体" w:eastAsia="黑体" w:cs="黑体"/>
          <w:color w:val="000000"/>
          <w:kern w:val="0"/>
          <w:szCs w:val="21"/>
        </w:rPr>
        <w:t>GB/T 13867 确立的术语和定义适用于本</w:t>
      </w:r>
      <w:r>
        <w:rPr>
          <w:rFonts w:hint="eastAsia" w:ascii="黑体" w:hAnsi="黑体" w:eastAsia="黑体" w:cs="黑体"/>
          <w:color w:val="000000"/>
          <w:kern w:val="0"/>
          <w:szCs w:val="21"/>
          <w:lang w:eastAsia="zh-CN"/>
        </w:rPr>
        <w:t>文件</w:t>
      </w:r>
      <w:r>
        <w:rPr>
          <w:rFonts w:hint="eastAsia" w:ascii="黑体" w:hAnsi="黑体" w:eastAsia="黑体" w:cs="黑体"/>
          <w:color w:val="000000"/>
          <w:szCs w:val="21"/>
        </w:rPr>
        <w:t>。</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hint="eastAsia" w:ascii="黑体" w:eastAsia="黑体"/>
          <w:b w:val="0"/>
          <w:bCs w:val="0"/>
          <w:kern w:val="0"/>
          <w:sz w:val="21"/>
          <w:szCs w:val="21"/>
        </w:rPr>
      </w:pPr>
      <w:r>
        <w:rPr>
          <w:rFonts w:hint="eastAsia" w:ascii="黑体" w:eastAsia="黑体"/>
          <w:b w:val="0"/>
          <w:bCs w:val="0"/>
          <w:kern w:val="0"/>
          <w:sz w:val="21"/>
          <w:szCs w:val="21"/>
        </w:rPr>
        <w:t>4  质量要求</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default" w:ascii="黑体" w:hAnsi="黑体" w:eastAsia="黑体" w:cs="宋体"/>
          <w:szCs w:val="21"/>
          <w:lang w:val="en-US" w:eastAsia="zh-CN"/>
        </w:rPr>
      </w:pPr>
      <w:r>
        <w:rPr>
          <w:rFonts w:hint="eastAsia" w:ascii="黑体" w:hAnsi="黑体" w:eastAsia="黑体" w:cs="宋体"/>
          <w:szCs w:val="21"/>
          <w:lang w:val="en-US" w:eastAsia="zh-CN"/>
        </w:rPr>
        <w:t>4.1  追溯要求</w:t>
      </w:r>
    </w:p>
    <w:p>
      <w:pPr>
        <w:keepNext w:val="0"/>
        <w:keepLines w:val="0"/>
        <w:pageBreakBefore w:val="0"/>
        <w:widowControl w:val="0"/>
        <w:kinsoku/>
        <w:wordWrap/>
        <w:overflowPunct/>
        <w:topLinePunct w:val="0"/>
        <w:autoSpaceDE/>
        <w:autoSpaceDN/>
        <w:bidi w:val="0"/>
        <w:adjustRightInd w:val="0"/>
        <w:snapToGrid w:val="0"/>
        <w:ind w:firstLine="420" w:firstLineChars="200"/>
        <w:jc w:val="both"/>
        <w:textAlignment w:val="auto"/>
        <w:rPr>
          <w:rFonts w:hint="eastAsia" w:asciiTheme="minorEastAsia" w:hAnsiTheme="minorEastAsia" w:eastAsiaTheme="minorEastAsia" w:cstheme="minorEastAsia"/>
          <w:b w:val="0"/>
          <w:bCs w:val="0"/>
          <w:sz w:val="20"/>
          <w:szCs w:val="20"/>
          <w:u w:val="none"/>
          <w:lang w:val="en-US" w:eastAsia="zh-CN"/>
        </w:rPr>
      </w:pPr>
      <w:r>
        <w:rPr>
          <w:rFonts w:hint="eastAsia" w:ascii="宋体" w:hAnsi="宋体" w:eastAsia="宋体" w:cs="宋体"/>
          <w:b w:val="0"/>
          <w:bCs w:val="0"/>
          <w:sz w:val="21"/>
          <w:szCs w:val="21"/>
          <w:u w:val="none"/>
          <w:lang w:val="en-US" w:eastAsia="zh-CN"/>
        </w:rPr>
        <w:t>具有承诺达标合格证及追溯相关信息。</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宋体"/>
          <w:szCs w:val="21"/>
          <w:lang w:eastAsia="zh-CN"/>
        </w:rPr>
      </w:pPr>
      <w:r>
        <w:rPr>
          <w:rFonts w:hint="eastAsia" w:ascii="黑体" w:hAnsi="黑体" w:eastAsia="黑体" w:cs="宋体"/>
          <w:szCs w:val="21"/>
        </w:rPr>
        <w:t>4.</w:t>
      </w:r>
      <w:r>
        <w:rPr>
          <w:rFonts w:hint="eastAsia" w:ascii="黑体" w:hAnsi="黑体" w:eastAsia="黑体" w:cs="宋体"/>
          <w:szCs w:val="21"/>
          <w:lang w:val="en-US" w:eastAsia="zh-CN"/>
        </w:rPr>
        <w:t>2</w:t>
      </w:r>
      <w:r>
        <w:rPr>
          <w:rFonts w:hint="eastAsia" w:ascii="黑体" w:hAnsi="黑体" w:eastAsia="黑体" w:cs="宋体"/>
          <w:szCs w:val="21"/>
        </w:rPr>
        <w:t xml:space="preserve"> </w:t>
      </w:r>
      <w:r>
        <w:rPr>
          <w:rFonts w:hint="eastAsia" w:ascii="黑体" w:hAnsi="黑体" w:eastAsia="黑体" w:cs="宋体"/>
          <w:szCs w:val="21"/>
          <w:lang w:val="en-US" w:eastAsia="zh-CN"/>
        </w:rPr>
        <w:t xml:space="preserve"> </w:t>
      </w:r>
      <w:r>
        <w:rPr>
          <w:rFonts w:hint="eastAsia" w:ascii="黑体" w:hAnsi="黑体" w:eastAsia="黑体" w:cs="宋体"/>
          <w:szCs w:val="21"/>
        </w:rPr>
        <w:t>外观</w:t>
      </w:r>
      <w:r>
        <w:rPr>
          <w:rFonts w:hint="eastAsia" w:ascii="黑体" w:hAnsi="黑体" w:eastAsia="黑体" w:cs="宋体"/>
          <w:szCs w:val="21"/>
          <w:lang w:eastAsia="zh-CN"/>
        </w:rPr>
        <w:t>要求</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color w:val="FF0000"/>
          <w:sz w:val="20"/>
          <w:szCs w:val="20"/>
          <w:highlight w:val="yellow"/>
        </w:rPr>
      </w:pPr>
      <w:r>
        <w:rPr>
          <w:rFonts w:ascii="黑体" w:hAnsi="黑体" w:eastAsia="黑体" w:cs="宋体"/>
          <w:sz w:val="21"/>
          <w:szCs w:val="21"/>
        </w:rPr>
        <w:t>4.</w:t>
      </w:r>
      <w:r>
        <w:rPr>
          <w:rFonts w:hint="eastAsia" w:ascii="黑体" w:hAnsi="黑体" w:eastAsia="黑体" w:cs="宋体"/>
          <w:sz w:val="21"/>
          <w:szCs w:val="21"/>
          <w:lang w:val="en-US" w:eastAsia="zh-CN"/>
        </w:rPr>
        <w:t>2</w:t>
      </w:r>
      <w:r>
        <w:rPr>
          <w:rFonts w:hint="eastAsia" w:ascii="黑体" w:hAnsi="黑体" w:eastAsia="黑体" w:cs="宋体"/>
          <w:sz w:val="21"/>
          <w:szCs w:val="21"/>
        </w:rPr>
        <w:t>.</w:t>
      </w:r>
      <w:r>
        <w:rPr>
          <w:rFonts w:hint="eastAsia" w:ascii="黑体" w:hAnsi="黑体" w:eastAsia="黑体" w:cs="宋体"/>
          <w:sz w:val="21"/>
          <w:szCs w:val="21"/>
          <w:lang w:val="en-US" w:eastAsia="zh-CN"/>
        </w:rPr>
        <w:t>1</w:t>
      </w:r>
      <w:r>
        <w:rPr>
          <w:rFonts w:hint="eastAsia" w:ascii="黑体" w:hAnsi="黑体" w:eastAsia="黑体" w:cs="宋体"/>
          <w:sz w:val="21"/>
          <w:szCs w:val="21"/>
        </w:rPr>
        <w:t xml:space="preserve"> </w:t>
      </w:r>
      <w:r>
        <w:rPr>
          <w:rFonts w:hint="eastAsia" w:ascii="黑体" w:hAnsi="黑体" w:eastAsia="黑体" w:cs="宋体"/>
          <w:sz w:val="21"/>
          <w:szCs w:val="21"/>
          <w:lang w:val="en-US" w:eastAsia="zh-CN"/>
        </w:rPr>
        <w:t xml:space="preserve"> </w:t>
      </w:r>
      <w:r>
        <w:rPr>
          <w:rFonts w:ascii="黑体" w:hAnsi="黑体" w:eastAsia="黑体" w:cs="宋体"/>
          <w:sz w:val="21"/>
          <w:szCs w:val="21"/>
        </w:rPr>
        <w:t>果实形状</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果实最佳采收期，</w:t>
      </w:r>
      <w:r>
        <w:rPr>
          <w:rFonts w:hint="eastAsia" w:ascii="宋体" w:hAnsi="宋体" w:eastAsia="宋体" w:cs="宋体"/>
          <w:color w:val="auto"/>
          <w:sz w:val="21"/>
          <w:szCs w:val="21"/>
          <w:highlight w:val="none"/>
          <w:lang w:eastAsia="zh-CN"/>
        </w:rPr>
        <w:t>果实的形状是</w:t>
      </w:r>
      <w:r>
        <w:rPr>
          <w:rFonts w:hint="eastAsia" w:ascii="宋体" w:hAnsi="宋体" w:cs="宋体"/>
          <w:color w:val="auto"/>
          <w:sz w:val="21"/>
          <w:szCs w:val="21"/>
          <w:highlight w:val="none"/>
          <w:lang w:eastAsia="zh-CN"/>
        </w:rPr>
        <w:t>圆形、</w:t>
      </w:r>
      <w:r>
        <w:rPr>
          <w:rFonts w:hint="eastAsia" w:ascii="宋体" w:hAnsi="宋体" w:eastAsia="宋体" w:cs="宋体"/>
          <w:color w:val="auto"/>
          <w:sz w:val="21"/>
          <w:szCs w:val="21"/>
          <w:highlight w:val="none"/>
          <w:lang w:eastAsia="zh-CN"/>
        </w:rPr>
        <w:t>倒卵形</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根据图1，按最大相似原则确定果实形状。</w:t>
      </w:r>
    </w:p>
    <w:p>
      <w:pPr>
        <w:keepNext w:val="0"/>
        <w:keepLines w:val="0"/>
        <w:pageBreakBefore w:val="0"/>
        <w:widowControl/>
        <w:kinsoku/>
        <w:wordWrap/>
        <w:overflowPunct/>
        <w:topLinePunct w:val="0"/>
        <w:autoSpaceDE/>
        <w:autoSpaceDN/>
        <w:bidi w:val="0"/>
        <w:adjustRightInd/>
        <w:snapToGrid/>
        <w:spacing w:before="157" w:beforeLines="50"/>
        <w:ind w:firstLine="420" w:firstLineChars="200"/>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default" w:ascii="宋体" w:hAnsi="宋体" w:cs="宋体"/>
          <w:color w:val="auto"/>
          <w:sz w:val="21"/>
          <w:szCs w:val="21"/>
          <w:highlight w:val="none"/>
          <w:lang w:val="en-US" w:eastAsia="zh-CN"/>
        </w:rPr>
        <w:drawing>
          <wp:inline distT="0" distB="0" distL="114300" distR="114300">
            <wp:extent cx="2011680" cy="1871980"/>
            <wp:effectExtent l="0" t="0" r="0" b="2540"/>
            <wp:docPr id="11" name="图片 11" descr="7366ac44a85d741d62705c58d2a44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7366ac44a85d741d62705c58d2a444d"/>
                    <pic:cNvPicPr>
                      <a:picLocks noChangeAspect="1"/>
                    </pic:cNvPicPr>
                  </pic:nvPicPr>
                  <pic:blipFill>
                    <a:blip r:embed="rId17"/>
                    <a:srcRect l="13276" t="30822" r="11541" b="16682"/>
                    <a:stretch>
                      <a:fillRect/>
                    </a:stretch>
                  </pic:blipFill>
                  <pic:spPr>
                    <a:xfrm>
                      <a:off x="0" y="0"/>
                      <a:ext cx="2011680" cy="1871980"/>
                    </a:xfrm>
                    <a:prstGeom prst="rect">
                      <a:avLst/>
                    </a:prstGeom>
                  </pic:spPr>
                </pic:pic>
              </a:graphicData>
            </a:graphic>
          </wp:inline>
        </w:drawing>
      </w:r>
      <w:r>
        <w:rPr>
          <w:rFonts w:hint="eastAsia" w:ascii="宋体" w:hAnsi="宋体" w:cs="宋体"/>
          <w:color w:val="auto"/>
          <w:sz w:val="21"/>
          <w:szCs w:val="21"/>
          <w:highlight w:val="none"/>
          <w:lang w:val="en-US" w:eastAsia="zh-CN"/>
        </w:rPr>
        <w:t xml:space="preserve">     </w:t>
      </w:r>
      <w:r>
        <w:rPr>
          <w:rFonts w:hint="default" w:ascii="宋体" w:hAnsi="宋体" w:cs="宋体"/>
          <w:color w:val="auto"/>
          <w:sz w:val="21"/>
          <w:szCs w:val="21"/>
          <w:highlight w:val="none"/>
          <w:lang w:val="en-US" w:eastAsia="zh-CN"/>
        </w:rPr>
        <w:drawing>
          <wp:inline distT="0" distB="0" distL="114300" distR="114300">
            <wp:extent cx="2158365" cy="1871980"/>
            <wp:effectExtent l="0" t="0" r="5715" b="2540"/>
            <wp:docPr id="2" name="图片 2" descr="8c95905f033a5a212adcbc84a40fe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c95905f033a5a212adcbc84a40fe65"/>
                    <pic:cNvPicPr>
                      <a:picLocks noChangeAspect="1"/>
                    </pic:cNvPicPr>
                  </pic:nvPicPr>
                  <pic:blipFill>
                    <a:blip r:embed="rId18"/>
                    <a:srcRect l="4286" t="19996" r="3906" b="20241"/>
                    <a:stretch>
                      <a:fillRect/>
                    </a:stretch>
                  </pic:blipFill>
                  <pic:spPr>
                    <a:xfrm>
                      <a:off x="0" y="0"/>
                      <a:ext cx="2158365" cy="187198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ind w:firstLine="2100" w:firstLineChars="1000"/>
        <w:jc w:val="both"/>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圆形                              倒卵形    </w:t>
      </w:r>
    </w:p>
    <w:p>
      <w:pPr>
        <w:keepNext w:val="0"/>
        <w:keepLines w:val="0"/>
        <w:pageBreakBefore w:val="0"/>
        <w:widowControl/>
        <w:kinsoku/>
        <w:wordWrap/>
        <w:overflowPunct/>
        <w:topLinePunct w:val="0"/>
        <w:autoSpaceDE/>
        <w:autoSpaceDN/>
        <w:bidi w:val="0"/>
        <w:adjustRightInd/>
        <w:snapToGrid/>
        <w:ind w:firstLine="2940" w:firstLineChars="1400"/>
        <w:jc w:val="both"/>
        <w:textAlignment w:val="auto"/>
        <w:rPr>
          <w:rFonts w:hint="default" w:ascii="宋体" w:hAnsi="宋体" w:cs="宋体"/>
          <w:color w:val="FF0000"/>
          <w:sz w:val="21"/>
          <w:szCs w:val="21"/>
          <w:highlight w:val="yellow"/>
          <w:lang w:val="en-US" w:eastAsia="zh-CN"/>
        </w:rPr>
      </w:pPr>
      <w:r>
        <w:rPr>
          <w:rFonts w:hint="eastAsia" w:ascii="黑体" w:hAnsi="黑体" w:eastAsia="黑体" w:cs="黑体"/>
          <w:sz w:val="21"/>
          <w:szCs w:val="21"/>
        </w:rPr>
        <w:t xml:space="preserve">图1 </w:t>
      </w:r>
      <w:r>
        <w:rPr>
          <w:rFonts w:hint="eastAsia" w:ascii="黑体" w:hAnsi="黑体" w:eastAsia="黑体" w:cs="黑体"/>
          <w:sz w:val="21"/>
          <w:szCs w:val="21"/>
          <w:lang w:val="en-US" w:eastAsia="zh-CN"/>
        </w:rPr>
        <w:t xml:space="preserve"> 香妃</w:t>
      </w:r>
      <w:r>
        <w:rPr>
          <w:rFonts w:hint="eastAsia" w:ascii="黑体" w:hAnsi="黑体" w:eastAsia="黑体" w:cs="黑体"/>
          <w:sz w:val="21"/>
          <w:szCs w:val="21"/>
        </w:rPr>
        <w:t>枇杷</w:t>
      </w:r>
      <w:r>
        <w:rPr>
          <w:rFonts w:hint="eastAsia" w:ascii="黑体" w:hAnsi="黑体" w:eastAsia="黑体" w:cs="黑体"/>
          <w:sz w:val="21"/>
          <w:szCs w:val="21"/>
          <w:lang w:eastAsia="zh-CN"/>
        </w:rPr>
        <w:t>鲜果</w:t>
      </w:r>
      <w:r>
        <w:rPr>
          <w:rFonts w:hint="eastAsia" w:ascii="黑体" w:hAnsi="黑体" w:eastAsia="黑体" w:cs="黑体"/>
          <w:sz w:val="21"/>
          <w:szCs w:val="21"/>
        </w:rPr>
        <w:t>果实形状</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ascii="黑体" w:hAnsi="黑体" w:eastAsia="黑体" w:cs="宋体"/>
          <w:sz w:val="21"/>
          <w:szCs w:val="21"/>
        </w:rPr>
      </w:pPr>
      <w:r>
        <w:rPr>
          <w:rFonts w:ascii="黑体" w:hAnsi="黑体" w:eastAsia="黑体" w:cs="宋体"/>
          <w:sz w:val="21"/>
          <w:szCs w:val="21"/>
        </w:rPr>
        <w:t>4.</w:t>
      </w:r>
      <w:r>
        <w:rPr>
          <w:rFonts w:hint="eastAsia" w:ascii="黑体" w:hAnsi="黑体" w:eastAsia="黑体" w:cs="宋体"/>
          <w:sz w:val="21"/>
          <w:szCs w:val="21"/>
          <w:lang w:val="en-US" w:eastAsia="zh-CN"/>
        </w:rPr>
        <w:t>2</w:t>
      </w:r>
      <w:r>
        <w:rPr>
          <w:rFonts w:hint="eastAsia" w:ascii="黑体" w:hAnsi="黑体" w:eastAsia="黑体" w:cs="宋体"/>
          <w:sz w:val="21"/>
          <w:szCs w:val="21"/>
        </w:rPr>
        <w:t>.</w:t>
      </w:r>
      <w:r>
        <w:rPr>
          <w:rFonts w:hint="eastAsia" w:ascii="黑体" w:hAnsi="黑体" w:eastAsia="黑体" w:cs="宋体"/>
          <w:sz w:val="21"/>
          <w:szCs w:val="21"/>
          <w:lang w:val="en-US" w:eastAsia="zh-CN"/>
        </w:rPr>
        <w:t>2</w:t>
      </w:r>
      <w:r>
        <w:rPr>
          <w:rFonts w:ascii="黑体" w:hAnsi="黑体" w:eastAsia="黑体" w:cs="宋体"/>
          <w:sz w:val="21"/>
          <w:szCs w:val="21"/>
        </w:rPr>
        <w:t xml:space="preserve"> </w:t>
      </w:r>
      <w:r>
        <w:rPr>
          <w:rFonts w:hint="eastAsia" w:ascii="黑体" w:hAnsi="黑体" w:eastAsia="黑体" w:cs="宋体"/>
          <w:sz w:val="21"/>
          <w:szCs w:val="21"/>
          <w:lang w:val="en-US" w:eastAsia="zh-CN"/>
        </w:rPr>
        <w:t xml:space="preserve"> </w:t>
      </w:r>
      <w:r>
        <w:rPr>
          <w:rFonts w:ascii="黑体" w:hAnsi="黑体" w:eastAsia="黑体" w:cs="宋体"/>
          <w:sz w:val="21"/>
          <w:szCs w:val="21"/>
        </w:rPr>
        <w:t xml:space="preserve">果实大小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ascii="宋体" w:hAnsi="宋体" w:cs="宋体"/>
          <w:sz w:val="21"/>
          <w:szCs w:val="21"/>
        </w:rPr>
      </w:pPr>
      <w:r>
        <w:rPr>
          <w:rFonts w:hint="eastAsia" w:ascii="宋体" w:hAnsi="宋体" w:cs="宋体"/>
          <w:sz w:val="21"/>
          <w:szCs w:val="21"/>
        </w:rPr>
        <w:t>单果</w:t>
      </w:r>
      <w:r>
        <w:rPr>
          <w:rFonts w:hint="eastAsia" w:ascii="宋体" w:hAnsi="宋体" w:cs="宋体"/>
          <w:sz w:val="21"/>
          <w:szCs w:val="21"/>
          <w:lang w:eastAsia="zh-CN"/>
        </w:rPr>
        <w:t>重</w:t>
      </w:r>
      <w:r>
        <w:rPr>
          <w:rFonts w:hint="eastAsia" w:ascii="宋体" w:hAnsi="宋体" w:cs="宋体"/>
          <w:sz w:val="21"/>
          <w:szCs w:val="21"/>
        </w:rPr>
        <w:t>量</w:t>
      </w:r>
      <w:r>
        <w:rPr>
          <w:rFonts w:hint="eastAsia" w:ascii="宋体" w:hAnsi="宋体" w:cs="宋体"/>
          <w:sz w:val="21"/>
          <w:szCs w:val="21"/>
          <w:lang w:eastAsia="zh-CN"/>
        </w:rPr>
        <w:t>按照</w:t>
      </w:r>
      <w:r>
        <w:rPr>
          <w:rFonts w:hint="eastAsia" w:ascii="宋体" w:hAnsi="宋体" w:eastAsia="宋体" w:cs="宋体"/>
          <w:sz w:val="21"/>
          <w:szCs w:val="21"/>
        </w:rPr>
        <w:t>GB/T 13867</w:t>
      </w:r>
      <w:r>
        <w:rPr>
          <w:rFonts w:hint="eastAsia" w:ascii="宋体" w:hAnsi="宋体" w:cs="宋体"/>
          <w:color w:val="000000"/>
          <w:kern w:val="0"/>
          <w:sz w:val="21"/>
          <w:szCs w:val="21"/>
          <w:lang w:eastAsia="zh-CN"/>
        </w:rPr>
        <w:t>执行。</w:t>
      </w:r>
      <w:r>
        <w:rPr>
          <w:rFonts w:ascii="宋体" w:hAnsi="宋体" w:cs="宋体"/>
          <w:sz w:val="21"/>
          <w:szCs w:val="21"/>
        </w:rPr>
        <w:t>在果实最佳采收期，选取有代表性果实</w:t>
      </w:r>
      <w:r>
        <w:rPr>
          <w:rFonts w:hint="eastAsia" w:ascii="宋体" w:hAnsi="宋体" w:cs="宋体"/>
          <w:sz w:val="21"/>
          <w:szCs w:val="21"/>
          <w:lang w:eastAsia="zh-CN"/>
        </w:rPr>
        <w:t>不少于</w:t>
      </w:r>
      <w:r>
        <w:rPr>
          <w:rFonts w:hint="eastAsia" w:ascii="宋体" w:hAnsi="宋体" w:cs="宋体"/>
          <w:sz w:val="21"/>
          <w:szCs w:val="21"/>
          <w:lang w:val="en-US" w:eastAsia="zh-CN"/>
        </w:rPr>
        <w:t>2</w:t>
      </w:r>
      <w:r>
        <w:rPr>
          <w:rFonts w:ascii="宋体" w:hAnsi="宋体" w:cs="宋体"/>
          <w:sz w:val="21"/>
          <w:szCs w:val="21"/>
        </w:rPr>
        <w:t>0</w:t>
      </w:r>
      <w:r>
        <w:rPr>
          <w:rFonts w:hint="eastAsia" w:ascii="宋体" w:hAnsi="宋体" w:cs="宋体"/>
          <w:w w:val="50"/>
          <w:sz w:val="21"/>
          <w:szCs w:val="21"/>
          <w:lang w:val="en-US" w:eastAsia="zh-CN"/>
        </w:rPr>
        <w:t xml:space="preserve"> </w:t>
      </w:r>
      <w:r>
        <w:rPr>
          <w:rFonts w:ascii="宋体" w:hAnsi="宋体" w:cs="宋体"/>
          <w:sz w:val="21"/>
          <w:szCs w:val="21"/>
        </w:rPr>
        <w:t>个，称量果实</w:t>
      </w:r>
      <w:r>
        <w:rPr>
          <w:rFonts w:hint="eastAsia" w:ascii="宋体" w:hAnsi="宋体" w:cs="宋体"/>
          <w:sz w:val="21"/>
          <w:szCs w:val="21"/>
          <w:lang w:eastAsia="zh-CN"/>
        </w:rPr>
        <w:t>重</w:t>
      </w:r>
      <w:r>
        <w:rPr>
          <w:rFonts w:ascii="宋体" w:hAnsi="宋体" w:cs="宋体"/>
          <w:sz w:val="21"/>
          <w:szCs w:val="21"/>
        </w:rPr>
        <w:t>量，计算平均单果重，</w:t>
      </w:r>
      <w:r>
        <w:rPr>
          <w:rFonts w:hint="eastAsia" w:ascii="宋体" w:hAnsi="宋体" w:cs="宋体"/>
          <w:sz w:val="21"/>
          <w:szCs w:val="21"/>
          <w:lang w:eastAsia="zh-CN"/>
        </w:rPr>
        <w:t>果实大小</w:t>
      </w:r>
      <w:r>
        <w:rPr>
          <w:rFonts w:hint="eastAsia" w:ascii="宋体" w:hAnsi="宋体" w:cs="宋体"/>
          <w:sz w:val="21"/>
          <w:szCs w:val="21"/>
        </w:rPr>
        <w:t>分为特级、一级</w:t>
      </w:r>
      <w:r>
        <w:rPr>
          <w:rFonts w:hint="eastAsia" w:ascii="宋体" w:hAnsi="宋体" w:cs="宋体"/>
          <w:sz w:val="21"/>
          <w:szCs w:val="21"/>
          <w:lang w:eastAsia="zh-CN"/>
        </w:rPr>
        <w:t>、</w:t>
      </w:r>
      <w:r>
        <w:rPr>
          <w:rFonts w:hint="eastAsia" w:ascii="宋体" w:hAnsi="宋体" w:cs="宋体"/>
          <w:sz w:val="21"/>
          <w:szCs w:val="21"/>
        </w:rPr>
        <w:t>二级</w:t>
      </w:r>
      <w:r>
        <w:rPr>
          <w:rFonts w:hint="eastAsia" w:ascii="宋体" w:hAnsi="宋体" w:cs="宋体"/>
          <w:sz w:val="21"/>
          <w:szCs w:val="21"/>
          <w:lang w:eastAsia="zh-CN"/>
        </w:rPr>
        <w:t>，</w:t>
      </w:r>
      <w:r>
        <w:rPr>
          <w:rFonts w:hint="eastAsia" w:ascii="宋体" w:hAnsi="宋体" w:cs="宋体"/>
          <w:sz w:val="21"/>
          <w:szCs w:val="21"/>
        </w:rPr>
        <w:t>各等级应符合表1的规定</w:t>
      </w:r>
      <w:r>
        <w:rPr>
          <w:rFonts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eastAsia" w:ascii="黑体" w:hAnsi="黑体" w:eastAsia="黑体" w:cs="黑体"/>
          <w:sz w:val="21"/>
          <w:szCs w:val="21"/>
        </w:rPr>
      </w:pPr>
      <w:r>
        <w:rPr>
          <w:rFonts w:hint="eastAsia" w:ascii="黑体" w:hAnsi="黑体" w:eastAsia="黑体" w:cs="黑体"/>
          <w:sz w:val="21"/>
          <w:szCs w:val="21"/>
        </w:rPr>
        <w:t xml:space="preserve">表1  </w:t>
      </w:r>
      <w:r>
        <w:rPr>
          <w:rFonts w:hint="eastAsia" w:ascii="黑体" w:hAnsi="黑体" w:eastAsia="黑体" w:cs="黑体"/>
          <w:sz w:val="21"/>
          <w:szCs w:val="21"/>
          <w:lang w:eastAsia="zh-CN"/>
        </w:rPr>
        <w:t>香妃</w:t>
      </w:r>
      <w:r>
        <w:rPr>
          <w:rFonts w:hint="eastAsia" w:ascii="黑体" w:hAnsi="黑体" w:eastAsia="黑体" w:cs="黑体"/>
          <w:sz w:val="21"/>
          <w:szCs w:val="21"/>
        </w:rPr>
        <w:t>枇杷</w:t>
      </w:r>
      <w:r>
        <w:rPr>
          <w:rFonts w:hint="eastAsia" w:ascii="黑体" w:hAnsi="黑体" w:eastAsia="黑体" w:cs="黑体"/>
          <w:sz w:val="21"/>
          <w:szCs w:val="21"/>
          <w:lang w:eastAsia="zh-CN"/>
        </w:rPr>
        <w:t>鲜果</w:t>
      </w:r>
      <w:r>
        <w:rPr>
          <w:rFonts w:hint="eastAsia" w:ascii="黑体" w:hAnsi="黑体" w:eastAsia="黑体" w:cs="黑体"/>
          <w:sz w:val="21"/>
          <w:szCs w:val="21"/>
        </w:rPr>
        <w:t>果实大小等级标准</w:t>
      </w:r>
    </w:p>
    <w:tbl>
      <w:tblPr>
        <w:tblStyle w:val="32"/>
        <w:tblW w:w="7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6"/>
        <w:gridCol w:w="1713"/>
        <w:gridCol w:w="1714"/>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66" w:type="dxa"/>
            <w:tcBorders>
              <w:top w:val="single" w:color="auto" w:sz="12" w:space="0"/>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等级</w:t>
            </w:r>
          </w:p>
        </w:tc>
        <w:tc>
          <w:tcPr>
            <w:tcW w:w="1713"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特级</w:t>
            </w:r>
          </w:p>
        </w:tc>
        <w:tc>
          <w:tcPr>
            <w:tcW w:w="1714"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一级</w:t>
            </w:r>
          </w:p>
        </w:tc>
        <w:tc>
          <w:tcPr>
            <w:tcW w:w="1713" w:type="dxa"/>
            <w:tcBorders>
              <w:top w:val="single" w:color="auto" w:sz="12"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66" w:type="dxa"/>
            <w:tcBorders>
              <w:top w:val="single" w:color="auto" w:sz="12" w:space="0"/>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rPr>
            </w:pPr>
            <w:r>
              <w:rPr>
                <w:rFonts w:hint="eastAsia" w:ascii="宋体"/>
                <w:sz w:val="21"/>
                <w:szCs w:val="21"/>
              </w:rPr>
              <w:t>平均单果</w:t>
            </w:r>
            <w:r>
              <w:rPr>
                <w:rFonts w:hint="eastAsia" w:ascii="宋体"/>
                <w:sz w:val="21"/>
                <w:szCs w:val="21"/>
                <w:lang w:eastAsia="zh-CN"/>
              </w:rPr>
              <w:t>重</w:t>
            </w:r>
            <w:r>
              <w:rPr>
                <w:rFonts w:hint="eastAsia" w:ascii="宋体"/>
                <w:sz w:val="21"/>
                <w:szCs w:val="21"/>
              </w:rPr>
              <w:t>量</w:t>
            </w:r>
            <w:r>
              <w:rPr>
                <w:rFonts w:hint="eastAsia" w:ascii="宋体"/>
                <w:sz w:val="21"/>
                <w:szCs w:val="21"/>
                <w:lang w:val="en-US" w:eastAsia="zh-CN"/>
              </w:rPr>
              <w:t>/</w:t>
            </w:r>
            <w:r>
              <w:rPr>
                <w:rFonts w:hint="eastAsia" w:ascii="宋体"/>
                <w:sz w:val="21"/>
                <w:szCs w:val="21"/>
              </w:rPr>
              <w:t>（g）</w:t>
            </w:r>
          </w:p>
        </w:tc>
        <w:tc>
          <w:tcPr>
            <w:tcW w:w="1713"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color w:val="auto"/>
                <w:sz w:val="21"/>
                <w:szCs w:val="21"/>
                <w:lang w:val="en-US"/>
              </w:rPr>
            </w:pPr>
            <w:r>
              <w:rPr>
                <w:rFonts w:hint="eastAsia" w:ascii="宋体" w:hAnsi="宋体" w:eastAsia="宋体" w:cs="宋体"/>
                <w:color w:val="auto"/>
                <w:sz w:val="18"/>
                <w:szCs w:val="18"/>
                <w:highlight w:val="none"/>
                <w:lang w:val="en-US" w:eastAsia="zh-CN"/>
              </w:rPr>
              <w:t>≥</w:t>
            </w:r>
            <w:r>
              <w:rPr>
                <w:rFonts w:hint="eastAsia" w:ascii="宋体"/>
                <w:color w:val="auto"/>
                <w:sz w:val="21"/>
                <w:szCs w:val="21"/>
                <w:lang w:val="en-US" w:eastAsia="zh-CN"/>
              </w:rPr>
              <w:t>70.0</w:t>
            </w:r>
          </w:p>
        </w:tc>
        <w:tc>
          <w:tcPr>
            <w:tcW w:w="1714"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color w:val="auto"/>
                <w:sz w:val="21"/>
                <w:szCs w:val="21"/>
                <w:lang w:val="en-US"/>
              </w:rPr>
            </w:pPr>
            <w:r>
              <w:rPr>
                <w:rFonts w:hint="eastAsia" w:ascii="宋体"/>
                <w:color w:val="auto"/>
                <w:sz w:val="21"/>
                <w:szCs w:val="21"/>
                <w:lang w:val="en-US" w:eastAsia="zh-CN"/>
              </w:rPr>
              <w:t>55.0</w:t>
            </w:r>
            <w:r>
              <w:rPr>
                <w:rFonts w:hint="eastAsia" w:ascii="宋体"/>
                <w:color w:val="auto"/>
                <w:sz w:val="21"/>
                <w:szCs w:val="21"/>
              </w:rPr>
              <w:t>～</w:t>
            </w:r>
            <w:r>
              <w:rPr>
                <w:rFonts w:hint="eastAsia" w:ascii="宋体"/>
                <w:color w:val="auto"/>
                <w:sz w:val="21"/>
                <w:szCs w:val="21"/>
                <w:lang w:val="en-US" w:eastAsia="zh-CN"/>
              </w:rPr>
              <w:t>70.0</w:t>
            </w:r>
          </w:p>
        </w:tc>
        <w:tc>
          <w:tcPr>
            <w:tcW w:w="1713" w:type="dxa"/>
            <w:tcBorders>
              <w:top w:val="single" w:color="auto" w:sz="12" w:space="0"/>
              <w:bottom w:val="single" w:color="auto" w:sz="12" w:space="0"/>
              <w:right w:val="single" w:color="auto" w:sz="12" w:space="0"/>
            </w:tcBorders>
            <w:vAlign w:val="center"/>
          </w:tcPr>
          <w:p>
            <w:pPr>
              <w:pStyle w:val="8"/>
              <w:jc w:val="center"/>
              <w:rPr>
                <w:rFonts w:hint="default" w:ascii="宋体"/>
                <w:color w:val="auto"/>
                <w:sz w:val="21"/>
                <w:szCs w:val="21"/>
                <w:lang w:val="en-US"/>
              </w:rPr>
            </w:pPr>
            <w:r>
              <w:rPr>
                <w:rFonts w:hint="eastAsia" w:ascii="宋体" w:hAnsi="宋体" w:cs="宋体"/>
                <w:color w:val="auto"/>
                <w:sz w:val="18"/>
                <w:szCs w:val="18"/>
                <w:highlight w:val="none"/>
                <w:lang w:val="en-US" w:eastAsia="zh-CN"/>
              </w:rPr>
              <w:t>﹤</w:t>
            </w:r>
            <w:r>
              <w:rPr>
                <w:rFonts w:hint="eastAsia" w:ascii="宋体" w:cs="Times New Roman"/>
                <w:color w:val="auto"/>
                <w:kern w:val="2"/>
                <w:sz w:val="21"/>
                <w:szCs w:val="21"/>
                <w:lang w:val="en-US" w:eastAsia="zh-CN" w:bidi="ar-SA"/>
              </w:rPr>
              <w:t>55.0</w:t>
            </w:r>
          </w:p>
        </w:tc>
      </w:tr>
    </w:tbl>
    <w:p>
      <w:pPr>
        <w:keepNext w:val="0"/>
        <w:keepLines w:val="0"/>
        <w:pageBreakBefore w:val="0"/>
        <w:widowControl/>
        <w:kinsoku/>
        <w:wordWrap/>
        <w:overflowPunct/>
        <w:topLinePunct w:val="0"/>
        <w:autoSpaceDE/>
        <w:autoSpaceDN/>
        <w:bidi w:val="0"/>
        <w:adjustRightInd/>
        <w:snapToGrid/>
        <w:spacing w:before="157" w:beforeLines="50"/>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注：55.0</w:t>
      </w:r>
      <w:r>
        <w:rPr>
          <w:rFonts w:hint="eastAsia" w:ascii="宋体" w:hAnsi="宋体" w:eastAsia="宋体" w:cs="宋体"/>
          <w:color w:val="auto"/>
          <w:sz w:val="21"/>
          <w:szCs w:val="21"/>
        </w:rPr>
        <w:t>～</w:t>
      </w:r>
      <w:r>
        <w:rPr>
          <w:rFonts w:hint="eastAsia" w:ascii="宋体" w:hAnsi="宋体" w:eastAsia="宋体" w:cs="宋体"/>
          <w:sz w:val="21"/>
          <w:szCs w:val="21"/>
        </w:rPr>
        <w:t>70.0表示单果重量达55.0</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rPr>
        <w:t>g及55.0</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rPr>
        <w:t>g以上至不满70.0</w:t>
      </w:r>
      <w:r>
        <w:rPr>
          <w:rFonts w:hint="eastAsia" w:ascii="宋体" w:hAnsi="宋体" w:eastAsia="宋体" w:cs="宋体"/>
          <w:w w:val="50"/>
          <w:sz w:val="21"/>
          <w:szCs w:val="21"/>
        </w:rPr>
        <w:t xml:space="preserve"> </w:t>
      </w:r>
      <w:r>
        <w:rPr>
          <w:rFonts w:hint="eastAsia" w:ascii="宋体" w:hAnsi="宋体" w:eastAsia="宋体" w:cs="宋体"/>
          <w:sz w:val="21"/>
          <w:szCs w:val="21"/>
        </w:rPr>
        <w:t>g，其余类推。</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黑体"/>
          <w:color w:val="000000"/>
          <w:kern w:val="0"/>
          <w:sz w:val="21"/>
          <w:szCs w:val="21"/>
        </w:rPr>
      </w:pPr>
      <w:r>
        <w:rPr>
          <w:rFonts w:ascii="黑体" w:hAnsi="黑体" w:eastAsia="黑体" w:cs="宋体"/>
          <w:sz w:val="21"/>
          <w:szCs w:val="21"/>
        </w:rPr>
        <w:t>4.</w:t>
      </w:r>
      <w:r>
        <w:rPr>
          <w:rFonts w:hint="eastAsia" w:ascii="黑体" w:hAnsi="黑体" w:eastAsia="黑体" w:cs="宋体"/>
          <w:sz w:val="21"/>
          <w:szCs w:val="21"/>
          <w:lang w:val="en-US" w:eastAsia="zh-CN"/>
        </w:rPr>
        <w:t>3</w:t>
      </w:r>
      <w:r>
        <w:rPr>
          <w:rFonts w:hint="eastAsia" w:ascii="黑体" w:hAnsi="黑体" w:eastAsia="黑体" w:cs="宋体"/>
          <w:sz w:val="21"/>
          <w:szCs w:val="21"/>
        </w:rPr>
        <w:t xml:space="preserve"> </w:t>
      </w:r>
      <w:r>
        <w:rPr>
          <w:rFonts w:hint="eastAsia" w:ascii="黑体" w:hAnsi="黑体" w:eastAsia="黑体" w:cs="宋体"/>
          <w:sz w:val="21"/>
          <w:szCs w:val="21"/>
          <w:lang w:val="en-US" w:eastAsia="zh-CN"/>
        </w:rPr>
        <w:t xml:space="preserve"> </w:t>
      </w:r>
      <w:r>
        <w:rPr>
          <w:rFonts w:ascii="黑体" w:hAnsi="黑体" w:eastAsia="黑体" w:cs="黑体"/>
          <w:color w:val="000000"/>
          <w:kern w:val="0"/>
          <w:sz w:val="21"/>
          <w:szCs w:val="21"/>
        </w:rPr>
        <w:t>感官要求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香妃</w:t>
      </w:r>
      <w:r>
        <w:rPr>
          <w:rFonts w:hint="eastAsia" w:ascii="宋体" w:hAnsi="宋体" w:eastAsia="宋体" w:cs="宋体"/>
          <w:color w:val="000000"/>
          <w:kern w:val="0"/>
          <w:sz w:val="21"/>
          <w:szCs w:val="21"/>
        </w:rPr>
        <w:t>枇杷</w:t>
      </w:r>
      <w:r>
        <w:rPr>
          <w:rFonts w:hint="eastAsia" w:ascii="宋体" w:hAnsi="宋体" w:cs="宋体"/>
          <w:color w:val="000000"/>
          <w:kern w:val="0"/>
          <w:sz w:val="21"/>
          <w:szCs w:val="21"/>
          <w:lang w:eastAsia="zh-CN"/>
        </w:rPr>
        <w:t>鲜果</w:t>
      </w:r>
      <w:r>
        <w:rPr>
          <w:rFonts w:hint="eastAsia" w:ascii="宋体" w:hAnsi="宋体" w:eastAsia="宋体" w:cs="宋体"/>
          <w:color w:val="000000"/>
          <w:kern w:val="0"/>
          <w:sz w:val="21"/>
          <w:szCs w:val="21"/>
        </w:rPr>
        <w:t xml:space="preserve">的感官要求应符合表2的规定。 </w:t>
      </w:r>
    </w:p>
    <w:p>
      <w:pPr>
        <w:keepNext w:val="0"/>
        <w:keepLines w:val="0"/>
        <w:pageBreakBefore w:val="0"/>
        <w:widowControl/>
        <w:kinsoku/>
        <w:wordWrap/>
        <w:overflowPunct/>
        <w:topLinePunct w:val="0"/>
        <w:autoSpaceDE/>
        <w:autoSpaceDN/>
        <w:bidi w:val="0"/>
        <w:adjustRightInd/>
        <w:snapToGrid/>
        <w:spacing w:before="157" w:beforeLines="50"/>
        <w:ind w:firstLine="0" w:firstLineChars="0"/>
        <w:jc w:val="center"/>
        <w:textAlignment w:val="auto"/>
        <w:rPr>
          <w:rFonts w:hint="eastAsia" w:ascii="黑体" w:hAnsi="黑体" w:eastAsia="黑体" w:cs="黑体"/>
          <w:sz w:val="21"/>
          <w:szCs w:val="21"/>
        </w:rPr>
      </w:pPr>
      <w:r>
        <w:rPr>
          <w:rFonts w:hint="eastAsia" w:ascii="黑体" w:hAnsi="黑体" w:eastAsia="黑体" w:cs="黑体"/>
          <w:color w:val="000000"/>
          <w:kern w:val="0"/>
          <w:sz w:val="21"/>
          <w:szCs w:val="21"/>
        </w:rPr>
        <w:t xml:space="preserve">表2  </w:t>
      </w:r>
      <w:r>
        <w:rPr>
          <w:rFonts w:hint="eastAsia" w:ascii="黑体" w:hAnsi="黑体" w:eastAsia="黑体" w:cs="黑体"/>
          <w:color w:val="000000"/>
          <w:kern w:val="0"/>
          <w:sz w:val="21"/>
          <w:szCs w:val="21"/>
          <w:lang w:eastAsia="zh-CN"/>
        </w:rPr>
        <w:t>香妃枇杷鲜果</w:t>
      </w:r>
      <w:r>
        <w:rPr>
          <w:rFonts w:hint="eastAsia" w:ascii="黑体" w:hAnsi="黑体" w:eastAsia="黑体" w:cs="黑体"/>
          <w:color w:val="000000"/>
          <w:kern w:val="0"/>
          <w:sz w:val="21"/>
          <w:szCs w:val="21"/>
        </w:rPr>
        <w:t>感官要求</w:t>
      </w:r>
    </w:p>
    <w:tbl>
      <w:tblPr>
        <w:tblStyle w:val="32"/>
        <w:tblW w:w="8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915"/>
        <w:gridCol w:w="2409"/>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110" w:type="dxa"/>
            <w:vMerge w:val="restart"/>
            <w:tcBorders>
              <w:top w:val="single" w:color="auto" w:sz="12"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项目</w:t>
            </w:r>
          </w:p>
        </w:tc>
        <w:tc>
          <w:tcPr>
            <w:tcW w:w="7284" w:type="dxa"/>
            <w:gridSpan w:val="3"/>
            <w:tcBorders>
              <w:top w:val="single" w:color="auto" w:sz="12"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等</w:t>
            </w:r>
            <w:r>
              <w:rPr>
                <w:rFonts w:hint="eastAsia" w:ascii="宋体"/>
                <w:sz w:val="21"/>
                <w:szCs w:val="21"/>
                <w:lang w:val="en-US" w:eastAsia="zh-CN"/>
              </w:rPr>
              <w:t xml:space="preserve">        </w:t>
            </w:r>
            <w:r>
              <w:rPr>
                <w:rFonts w:hint="eastAsia" w:ascii="宋体"/>
                <w:sz w:val="21"/>
                <w:szCs w:val="21"/>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10" w:type="dxa"/>
            <w:vMerge w:val="continue"/>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pPr>
          </w:p>
        </w:tc>
        <w:tc>
          <w:tcPr>
            <w:tcW w:w="1915"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特级</w:t>
            </w:r>
          </w:p>
        </w:tc>
        <w:tc>
          <w:tcPr>
            <w:tcW w:w="2409"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一级</w:t>
            </w:r>
          </w:p>
        </w:tc>
        <w:tc>
          <w:tcPr>
            <w:tcW w:w="2960" w:type="dxa"/>
            <w:tcBorders>
              <w:top w:val="single" w:color="auto" w:sz="4" w:space="0"/>
              <w:left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sz w:val="21"/>
                <w:szCs w:val="21"/>
              </w:rPr>
            </w:pPr>
            <w:r>
              <w:rPr>
                <w:rFonts w:hint="eastAsia" w:ascii="宋体"/>
                <w:color w:val="000000" w:themeColor="text1"/>
                <w:sz w:val="21"/>
                <w:szCs w:val="21"/>
                <w:lang w:eastAsia="zh-CN"/>
                <w14:textFill>
                  <w14:solidFill>
                    <w14:schemeClr w14:val="tx1"/>
                  </w14:solidFill>
                </w14:textFill>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12" w:space="0"/>
              <w:left w:val="single" w:color="auto" w:sz="12"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ascii="宋体"/>
                <w:color w:val="auto"/>
                <w:sz w:val="21"/>
                <w:szCs w:val="21"/>
                <w:highlight w:val="none"/>
              </w:rPr>
            </w:pPr>
            <w:r>
              <w:rPr>
                <w:rFonts w:hint="eastAsia" w:ascii="宋体"/>
                <w:color w:val="auto"/>
                <w:sz w:val="21"/>
                <w:szCs w:val="21"/>
                <w:highlight w:val="none"/>
              </w:rPr>
              <w:t>果形</w:t>
            </w:r>
          </w:p>
        </w:tc>
        <w:tc>
          <w:tcPr>
            <w:tcW w:w="1915" w:type="dxa"/>
            <w:tcBorders>
              <w:top w:val="single" w:color="auto" w:sz="12"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ascii="宋体"/>
                <w:color w:val="auto"/>
                <w:sz w:val="21"/>
                <w:szCs w:val="21"/>
                <w:highlight w:val="none"/>
              </w:rPr>
            </w:pPr>
            <w:r>
              <w:rPr>
                <w:rFonts w:hint="eastAsia" w:ascii="宋体"/>
                <w:color w:val="auto"/>
                <w:sz w:val="21"/>
                <w:szCs w:val="21"/>
                <w:highlight w:val="none"/>
                <w:lang w:eastAsia="zh-CN"/>
              </w:rPr>
              <w:t>倒卵形，</w:t>
            </w:r>
            <w:r>
              <w:rPr>
                <w:rFonts w:hint="eastAsia" w:ascii="宋体"/>
                <w:color w:val="auto"/>
                <w:sz w:val="21"/>
                <w:szCs w:val="21"/>
                <w:highlight w:val="none"/>
              </w:rPr>
              <w:t>果形大小均匀一致</w:t>
            </w:r>
          </w:p>
        </w:tc>
        <w:tc>
          <w:tcPr>
            <w:tcW w:w="2409" w:type="dxa"/>
            <w:tcBorders>
              <w:top w:val="single" w:color="auto" w:sz="12"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ascii="宋体"/>
                <w:color w:val="auto"/>
                <w:sz w:val="21"/>
                <w:szCs w:val="21"/>
                <w:highlight w:val="none"/>
              </w:rPr>
            </w:pPr>
            <w:r>
              <w:rPr>
                <w:rFonts w:hint="eastAsia" w:ascii="宋体"/>
                <w:color w:val="auto"/>
                <w:sz w:val="21"/>
                <w:szCs w:val="21"/>
                <w:highlight w:val="none"/>
                <w:lang w:eastAsia="zh-CN"/>
              </w:rPr>
              <w:t>倒卵形或近圆形，</w:t>
            </w:r>
            <w:r>
              <w:rPr>
                <w:rFonts w:hint="eastAsia" w:ascii="宋体"/>
                <w:color w:val="auto"/>
                <w:sz w:val="21"/>
                <w:szCs w:val="21"/>
                <w:highlight w:val="none"/>
              </w:rPr>
              <w:t>果形大小基本一致</w:t>
            </w:r>
          </w:p>
        </w:tc>
        <w:tc>
          <w:tcPr>
            <w:tcW w:w="2960" w:type="dxa"/>
            <w:tcBorders>
              <w:top w:val="single" w:color="auto" w:sz="12" w:space="0"/>
              <w:left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ascii="宋体"/>
                <w:color w:val="auto"/>
                <w:sz w:val="21"/>
                <w:szCs w:val="21"/>
                <w:highlight w:val="none"/>
              </w:rPr>
            </w:pPr>
            <w:r>
              <w:rPr>
                <w:rFonts w:hint="eastAsia" w:ascii="宋体"/>
                <w:color w:val="auto"/>
                <w:sz w:val="21"/>
                <w:szCs w:val="21"/>
                <w:highlight w:val="none"/>
                <w:lang w:eastAsia="zh-CN"/>
              </w:rPr>
              <w:t>倒卵形或近圆形为主，</w:t>
            </w:r>
            <w:r>
              <w:rPr>
                <w:rFonts w:hint="eastAsia" w:ascii="宋体"/>
                <w:color w:val="auto"/>
                <w:sz w:val="21"/>
                <w:szCs w:val="21"/>
                <w:highlight w:val="none"/>
              </w:rPr>
              <w:t>允许存在不影响果实品质的果形变化</w:t>
            </w:r>
          </w:p>
        </w:tc>
      </w:tr>
    </w:tbl>
    <w:p>
      <w:pPr>
        <w:keepNext w:val="0"/>
        <w:keepLines w:val="0"/>
        <w:pageBreakBefore w:val="0"/>
        <w:widowControl/>
        <w:kinsoku/>
        <w:wordWrap/>
        <w:overflowPunct/>
        <w:topLinePunct w:val="0"/>
        <w:autoSpaceDE/>
        <w:autoSpaceDN/>
        <w:bidi w:val="0"/>
        <w:adjustRightInd/>
        <w:snapToGrid/>
        <w:spacing w:before="157" w:beforeLines="50"/>
        <w:ind w:firstLine="0" w:firstLineChars="0"/>
        <w:jc w:val="center"/>
        <w:textAlignment w:val="auto"/>
        <w:rPr>
          <w:rFonts w:hint="eastAsia" w:ascii="黑体" w:hAnsi="黑体" w:eastAsia="黑体" w:cs="黑体"/>
          <w:color w:val="000000"/>
          <w:kern w:val="0"/>
          <w:sz w:val="21"/>
          <w:szCs w:val="21"/>
        </w:rPr>
      </w:pPr>
    </w:p>
    <w:p>
      <w:pPr>
        <w:keepNext w:val="0"/>
        <w:keepLines w:val="0"/>
        <w:pageBreakBefore w:val="0"/>
        <w:widowControl/>
        <w:kinsoku/>
        <w:wordWrap/>
        <w:overflowPunct/>
        <w:topLinePunct w:val="0"/>
        <w:autoSpaceDE/>
        <w:autoSpaceDN/>
        <w:bidi w:val="0"/>
        <w:adjustRightInd/>
        <w:snapToGrid/>
        <w:spacing w:before="157" w:beforeLines="50"/>
        <w:ind w:firstLine="0" w:firstLineChars="0"/>
        <w:jc w:val="center"/>
        <w:textAlignment w:val="auto"/>
        <w:rPr>
          <w:rFonts w:hint="eastAsia" w:eastAsia="黑体"/>
          <w:lang w:eastAsia="zh-CN"/>
        </w:rPr>
      </w:pPr>
      <w:r>
        <w:rPr>
          <w:rFonts w:hint="eastAsia" w:ascii="黑体" w:hAnsi="黑体" w:eastAsia="黑体" w:cs="黑体"/>
          <w:color w:val="000000"/>
          <w:kern w:val="0"/>
          <w:sz w:val="21"/>
          <w:szCs w:val="21"/>
        </w:rPr>
        <w:t xml:space="preserve">表2  </w:t>
      </w:r>
      <w:r>
        <w:rPr>
          <w:rFonts w:hint="eastAsia" w:ascii="黑体" w:hAnsi="黑体" w:eastAsia="黑体" w:cs="黑体"/>
          <w:color w:val="000000"/>
          <w:kern w:val="0"/>
          <w:sz w:val="21"/>
          <w:szCs w:val="21"/>
          <w:lang w:eastAsia="zh-CN"/>
        </w:rPr>
        <w:t>香妃枇杷鲜果</w:t>
      </w:r>
      <w:r>
        <w:rPr>
          <w:rFonts w:hint="eastAsia" w:ascii="黑体" w:hAnsi="黑体" w:eastAsia="黑体" w:cs="黑体"/>
          <w:color w:val="000000"/>
          <w:kern w:val="0"/>
          <w:sz w:val="21"/>
          <w:szCs w:val="21"/>
        </w:rPr>
        <w:t>感官要求</w:t>
      </w:r>
      <w:r>
        <w:rPr>
          <w:rFonts w:hint="eastAsia" w:ascii="黑体" w:hAnsi="黑体" w:eastAsia="黑体" w:cs="黑体"/>
          <w:color w:val="000000"/>
          <w:kern w:val="0"/>
          <w:sz w:val="21"/>
          <w:szCs w:val="21"/>
          <w:lang w:eastAsia="zh-CN"/>
        </w:rPr>
        <w:t>（续）</w:t>
      </w:r>
    </w:p>
    <w:tbl>
      <w:tblPr>
        <w:tblStyle w:val="32"/>
        <w:tblW w:w="8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915"/>
        <w:gridCol w:w="2409"/>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110" w:type="dxa"/>
            <w:vMerge w:val="restart"/>
            <w:tcBorders>
              <w:top w:val="single" w:color="auto" w:sz="12"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项目</w:t>
            </w:r>
          </w:p>
        </w:tc>
        <w:tc>
          <w:tcPr>
            <w:tcW w:w="7284" w:type="dxa"/>
            <w:gridSpan w:val="3"/>
            <w:tcBorders>
              <w:top w:val="single" w:color="auto" w:sz="12"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等</w:t>
            </w:r>
            <w:r>
              <w:rPr>
                <w:rFonts w:hint="eastAsia" w:ascii="宋体"/>
                <w:sz w:val="21"/>
                <w:szCs w:val="21"/>
                <w:lang w:val="en-US" w:eastAsia="zh-CN"/>
              </w:rPr>
              <w:t xml:space="preserve">        </w:t>
            </w:r>
            <w:r>
              <w:rPr>
                <w:rFonts w:hint="eastAsia" w:ascii="宋体"/>
                <w:sz w:val="21"/>
                <w:szCs w:val="21"/>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10" w:type="dxa"/>
            <w:vMerge w:val="continue"/>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pPr>
          </w:p>
        </w:tc>
        <w:tc>
          <w:tcPr>
            <w:tcW w:w="1915"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特级</w:t>
            </w:r>
          </w:p>
        </w:tc>
        <w:tc>
          <w:tcPr>
            <w:tcW w:w="2409"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一级</w:t>
            </w:r>
          </w:p>
        </w:tc>
        <w:tc>
          <w:tcPr>
            <w:tcW w:w="2960" w:type="dxa"/>
            <w:tcBorders>
              <w:top w:val="single" w:color="auto" w:sz="4" w:space="0"/>
              <w:left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sz w:val="21"/>
                <w:szCs w:val="21"/>
              </w:rPr>
            </w:pPr>
            <w:r>
              <w:rPr>
                <w:rFonts w:hint="eastAsia" w:ascii="宋体"/>
                <w:color w:val="000000" w:themeColor="text1"/>
                <w:sz w:val="21"/>
                <w:szCs w:val="21"/>
                <w:lang w:eastAsia="zh-CN"/>
                <w14:textFill>
                  <w14:solidFill>
                    <w14:schemeClr w14:val="tx1"/>
                  </w14:solidFill>
                </w14:textFill>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果面色泽</w:t>
            </w:r>
          </w:p>
        </w:tc>
        <w:tc>
          <w:tcPr>
            <w:tcW w:w="19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橙黄色</w:t>
            </w:r>
            <w:r>
              <w:rPr>
                <w:rFonts w:hint="eastAsia" w:ascii="宋体"/>
                <w:color w:val="auto"/>
                <w:sz w:val="21"/>
                <w:szCs w:val="21"/>
                <w:highlight w:val="none"/>
              </w:rPr>
              <w:t>，色泽鲜艳，着色均匀，无锈斑</w:t>
            </w:r>
          </w:p>
        </w:tc>
        <w:tc>
          <w:tcPr>
            <w:tcW w:w="24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橙黄色</w:t>
            </w:r>
            <w:r>
              <w:rPr>
                <w:rFonts w:hint="eastAsia" w:ascii="宋体"/>
                <w:color w:val="auto"/>
                <w:sz w:val="21"/>
                <w:szCs w:val="21"/>
                <w:highlight w:val="none"/>
              </w:rPr>
              <w:t>，着色较好，锈斑面积不超过果面的5%</w:t>
            </w:r>
          </w:p>
        </w:tc>
        <w:tc>
          <w:tcPr>
            <w:tcW w:w="2960" w:type="dxa"/>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淡黄色</w:t>
            </w:r>
            <w:r>
              <w:rPr>
                <w:rFonts w:hint="eastAsia" w:ascii="宋体"/>
                <w:color w:val="auto"/>
                <w:sz w:val="21"/>
                <w:szCs w:val="21"/>
                <w:highlight w:val="none"/>
              </w:rPr>
              <w:t>，着色较均匀，锈斑面积不超过10%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茸</w:t>
            </w:r>
            <w:r>
              <w:rPr>
                <w:rFonts w:hint="eastAsia" w:ascii="宋体"/>
                <w:color w:val="auto"/>
                <w:sz w:val="21"/>
                <w:szCs w:val="21"/>
                <w:highlight w:val="none"/>
                <w:lang w:eastAsia="zh-CN"/>
              </w:rPr>
              <w:t>毛</w:t>
            </w:r>
          </w:p>
        </w:tc>
        <w:tc>
          <w:tcPr>
            <w:tcW w:w="19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完整</w:t>
            </w:r>
          </w:p>
        </w:tc>
        <w:tc>
          <w:tcPr>
            <w:tcW w:w="24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基本完整</w:t>
            </w:r>
          </w:p>
        </w:tc>
        <w:tc>
          <w:tcPr>
            <w:tcW w:w="2960" w:type="dxa"/>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部分保留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果面缺陷</w:t>
            </w:r>
          </w:p>
        </w:tc>
        <w:tc>
          <w:tcPr>
            <w:tcW w:w="19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无</w:t>
            </w:r>
            <w:r>
              <w:rPr>
                <w:rFonts w:hint="eastAsia" w:ascii="宋体"/>
                <w:color w:val="auto"/>
                <w:sz w:val="21"/>
                <w:szCs w:val="21"/>
                <w:highlight w:val="none"/>
              </w:rPr>
              <w:t>日</w:t>
            </w:r>
            <w:r>
              <w:rPr>
                <w:rFonts w:hint="eastAsia" w:ascii="宋体"/>
                <w:color w:val="auto"/>
                <w:sz w:val="21"/>
                <w:szCs w:val="21"/>
                <w:highlight w:val="none"/>
                <w:lang w:eastAsia="zh-CN"/>
              </w:rPr>
              <w:t>灼</w:t>
            </w:r>
            <w:r>
              <w:rPr>
                <w:rFonts w:hint="eastAsia" w:ascii="宋体"/>
                <w:color w:val="auto"/>
                <w:sz w:val="21"/>
                <w:szCs w:val="21"/>
                <w:highlight w:val="none"/>
              </w:rPr>
              <w:t>、</w:t>
            </w:r>
            <w:r>
              <w:rPr>
                <w:rFonts w:hint="eastAsia" w:ascii="宋体"/>
                <w:color w:val="auto"/>
                <w:sz w:val="21"/>
                <w:szCs w:val="21"/>
                <w:highlight w:val="none"/>
                <w:lang w:eastAsia="zh-CN"/>
              </w:rPr>
              <w:t>无</w:t>
            </w:r>
            <w:r>
              <w:rPr>
                <w:rFonts w:hint="eastAsia" w:ascii="宋体"/>
                <w:color w:val="auto"/>
                <w:sz w:val="21"/>
                <w:szCs w:val="21"/>
                <w:highlight w:val="none"/>
              </w:rPr>
              <w:t>裂果、</w:t>
            </w:r>
            <w:r>
              <w:rPr>
                <w:rFonts w:hint="eastAsia" w:ascii="宋体"/>
                <w:color w:val="auto"/>
                <w:sz w:val="21"/>
                <w:szCs w:val="21"/>
                <w:highlight w:val="none"/>
                <w:lang w:eastAsia="zh-CN"/>
              </w:rPr>
              <w:t>无</w:t>
            </w:r>
            <w:r>
              <w:rPr>
                <w:rFonts w:hint="eastAsia" w:ascii="宋体"/>
                <w:color w:val="auto"/>
                <w:sz w:val="21"/>
                <w:szCs w:val="21"/>
                <w:highlight w:val="none"/>
              </w:rPr>
              <w:t>萎蔫及其他果面缺陷</w:t>
            </w:r>
          </w:p>
        </w:tc>
        <w:tc>
          <w:tcPr>
            <w:tcW w:w="24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无日</w:t>
            </w:r>
            <w:r>
              <w:rPr>
                <w:rFonts w:hint="eastAsia" w:ascii="宋体"/>
                <w:color w:val="auto"/>
                <w:sz w:val="21"/>
                <w:szCs w:val="21"/>
                <w:highlight w:val="none"/>
                <w:lang w:eastAsia="zh-CN"/>
              </w:rPr>
              <w:t>灼</w:t>
            </w:r>
            <w:r>
              <w:rPr>
                <w:rFonts w:hint="eastAsia" w:ascii="宋体"/>
                <w:color w:val="auto"/>
                <w:sz w:val="21"/>
                <w:szCs w:val="21"/>
                <w:highlight w:val="none"/>
              </w:rPr>
              <w:t>、无裂果、</w:t>
            </w:r>
            <w:r>
              <w:rPr>
                <w:rFonts w:hint="eastAsia" w:ascii="宋体"/>
                <w:color w:val="auto"/>
                <w:sz w:val="21"/>
                <w:szCs w:val="21"/>
                <w:highlight w:val="none"/>
                <w:lang w:eastAsia="zh-CN"/>
              </w:rPr>
              <w:t>无</w:t>
            </w:r>
            <w:r>
              <w:rPr>
                <w:rFonts w:hint="eastAsia" w:ascii="宋体"/>
                <w:color w:val="auto"/>
                <w:sz w:val="21"/>
                <w:szCs w:val="21"/>
                <w:highlight w:val="none"/>
              </w:rPr>
              <w:t>萎蔫及其他果面缺陷</w:t>
            </w:r>
          </w:p>
        </w:tc>
        <w:tc>
          <w:tcPr>
            <w:tcW w:w="2960" w:type="dxa"/>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允许有轻微萎蔫，无日</w:t>
            </w:r>
            <w:r>
              <w:rPr>
                <w:rFonts w:hint="eastAsia" w:ascii="宋体"/>
                <w:color w:val="auto"/>
                <w:sz w:val="21"/>
                <w:szCs w:val="21"/>
                <w:highlight w:val="none"/>
                <w:lang w:eastAsia="zh-CN"/>
              </w:rPr>
              <w:t>灼、无</w:t>
            </w:r>
            <w:r>
              <w:rPr>
                <w:rFonts w:hint="eastAsia" w:ascii="宋体"/>
                <w:color w:val="auto"/>
                <w:sz w:val="21"/>
                <w:szCs w:val="21"/>
                <w:highlight w:val="none"/>
              </w:rPr>
              <w:t>裂果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损伤</w:t>
            </w:r>
          </w:p>
        </w:tc>
        <w:tc>
          <w:tcPr>
            <w:tcW w:w="19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无刺伤、划伤、压伤、擦伤等</w:t>
            </w:r>
            <w:r>
              <w:rPr>
                <w:rFonts w:hint="eastAsia" w:ascii="宋体"/>
                <w:strike w:val="0"/>
                <w:dstrike w:val="0"/>
                <w:color w:val="auto"/>
                <w:sz w:val="21"/>
                <w:szCs w:val="21"/>
                <w:highlight w:val="none"/>
                <w:lang w:eastAsia="zh-CN"/>
              </w:rPr>
              <w:t>损</w:t>
            </w:r>
            <w:r>
              <w:rPr>
                <w:rFonts w:hint="eastAsia" w:ascii="宋体"/>
                <w:color w:val="auto"/>
                <w:sz w:val="21"/>
                <w:szCs w:val="21"/>
                <w:highlight w:val="none"/>
              </w:rPr>
              <w:t>伤</w:t>
            </w:r>
          </w:p>
        </w:tc>
        <w:tc>
          <w:tcPr>
            <w:tcW w:w="24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无刺伤、划伤、压伤、擦伤等</w:t>
            </w:r>
            <w:r>
              <w:rPr>
                <w:rFonts w:hint="eastAsia" w:ascii="宋体"/>
                <w:strike w:val="0"/>
                <w:dstrike w:val="0"/>
                <w:color w:val="auto"/>
                <w:sz w:val="21"/>
                <w:szCs w:val="21"/>
                <w:highlight w:val="none"/>
                <w:lang w:eastAsia="zh-CN"/>
              </w:rPr>
              <w:t>损</w:t>
            </w:r>
            <w:r>
              <w:rPr>
                <w:rFonts w:hint="eastAsia" w:ascii="宋体"/>
                <w:color w:val="auto"/>
                <w:sz w:val="21"/>
                <w:szCs w:val="21"/>
                <w:highlight w:val="none"/>
              </w:rPr>
              <w:t>伤</w:t>
            </w:r>
          </w:p>
        </w:tc>
        <w:tc>
          <w:tcPr>
            <w:tcW w:w="2960" w:type="dxa"/>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rPr>
              <w:t>可有轻微刺伤、划伤、压伤、擦伤等</w:t>
            </w:r>
            <w:r>
              <w:rPr>
                <w:rFonts w:hint="eastAsia" w:ascii="宋体"/>
                <w:strike w:val="0"/>
                <w:dstrike w:val="0"/>
                <w:color w:val="auto"/>
                <w:sz w:val="21"/>
                <w:szCs w:val="21"/>
                <w:highlight w:val="none"/>
                <w:lang w:eastAsia="zh-CN"/>
              </w:rPr>
              <w:t>损</w:t>
            </w:r>
            <w:r>
              <w:rPr>
                <w:rFonts w:hint="eastAsia" w:ascii="宋体"/>
                <w:color w:val="auto"/>
                <w:sz w:val="21"/>
                <w:szCs w:val="21"/>
                <w:highlight w:val="none"/>
              </w:rPr>
              <w:t>伤，无新鲜伤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果梗</w:t>
            </w:r>
          </w:p>
        </w:tc>
        <w:tc>
          <w:tcPr>
            <w:tcW w:w="19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完整新鲜</w:t>
            </w:r>
            <w:r>
              <w:rPr>
                <w:rFonts w:hint="eastAsia" w:ascii="宋体"/>
                <w:color w:val="auto"/>
                <w:sz w:val="21"/>
                <w:szCs w:val="21"/>
                <w:highlight w:val="none"/>
                <w:lang w:val="en-US" w:eastAsia="zh-CN"/>
              </w:rPr>
              <w:t>3</w:t>
            </w:r>
            <w:r>
              <w:rPr>
                <w:rFonts w:hint="eastAsia" w:ascii="宋体"/>
                <w:color w:val="auto"/>
                <w:sz w:val="21"/>
                <w:szCs w:val="21"/>
                <w:highlight w:val="none"/>
              </w:rPr>
              <w:t>～</w:t>
            </w:r>
            <w:r>
              <w:rPr>
                <w:rFonts w:hint="eastAsia" w:ascii="宋体"/>
                <w:color w:val="auto"/>
                <w:sz w:val="21"/>
                <w:szCs w:val="21"/>
                <w:highlight w:val="none"/>
                <w:lang w:val="en-US" w:eastAsia="zh-CN"/>
              </w:rPr>
              <w:t>13mm</w:t>
            </w:r>
          </w:p>
        </w:tc>
        <w:tc>
          <w:tcPr>
            <w:tcW w:w="24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val="en-US" w:eastAsia="zh-CN"/>
              </w:rPr>
              <w:t>完整</w:t>
            </w:r>
            <w:r>
              <w:rPr>
                <w:rFonts w:hint="eastAsia" w:ascii="宋体"/>
                <w:color w:val="auto"/>
                <w:sz w:val="21"/>
                <w:szCs w:val="21"/>
                <w:highlight w:val="none"/>
                <w:lang w:eastAsia="zh-CN"/>
              </w:rPr>
              <w:t>新鲜</w:t>
            </w:r>
            <w:r>
              <w:rPr>
                <w:rFonts w:hint="eastAsia" w:ascii="宋体"/>
                <w:color w:val="auto"/>
                <w:sz w:val="21"/>
                <w:szCs w:val="21"/>
                <w:highlight w:val="none"/>
                <w:lang w:val="en-US" w:eastAsia="zh-CN"/>
              </w:rPr>
              <w:t>5</w:t>
            </w:r>
            <w:r>
              <w:rPr>
                <w:rFonts w:hint="eastAsia" w:ascii="宋体"/>
                <w:color w:val="auto"/>
                <w:sz w:val="21"/>
                <w:szCs w:val="21"/>
                <w:highlight w:val="none"/>
              </w:rPr>
              <w:t>～</w:t>
            </w:r>
            <w:r>
              <w:rPr>
                <w:rFonts w:hint="eastAsia" w:ascii="宋体"/>
                <w:color w:val="auto"/>
                <w:sz w:val="21"/>
                <w:szCs w:val="21"/>
                <w:highlight w:val="none"/>
                <w:lang w:val="en-US" w:eastAsia="zh-CN"/>
              </w:rPr>
              <w:t>15mm</w:t>
            </w:r>
          </w:p>
        </w:tc>
        <w:tc>
          <w:tcPr>
            <w:tcW w:w="2960" w:type="dxa"/>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val="en-US" w:eastAsia="zh-CN"/>
              </w:rPr>
              <w:t>较完整</w:t>
            </w:r>
            <w:r>
              <w:rPr>
                <w:rFonts w:hint="eastAsia" w:ascii="宋体"/>
                <w:color w:val="auto"/>
                <w:sz w:val="21"/>
                <w:szCs w:val="21"/>
                <w:highlight w:val="none"/>
                <w:lang w:eastAsia="zh-CN"/>
              </w:rPr>
              <w:t>新鲜</w:t>
            </w:r>
            <w:r>
              <w:rPr>
                <w:rFonts w:hint="default" w:ascii="Arial" w:hAnsi="Arial" w:cs="Arial"/>
                <w:color w:val="auto"/>
                <w:sz w:val="21"/>
                <w:szCs w:val="21"/>
                <w:highlight w:val="none"/>
                <w:lang w:val="en-US" w:eastAsia="zh-CN"/>
              </w:rPr>
              <w:t>≤</w:t>
            </w:r>
            <w:r>
              <w:rPr>
                <w:rFonts w:hint="eastAsia" w:ascii="宋体" w:hAnsi="宋体" w:cs="宋体"/>
                <w:color w:val="auto"/>
                <w:sz w:val="21"/>
                <w:szCs w:val="21"/>
                <w:highlight w:val="none"/>
                <w:lang w:val="en-US" w:eastAsia="zh-CN"/>
              </w:rPr>
              <w:t>17mm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val="en-US" w:eastAsia="zh-CN"/>
              </w:rPr>
              <w:t>风味</w:t>
            </w:r>
          </w:p>
        </w:tc>
        <w:tc>
          <w:tcPr>
            <w:tcW w:w="19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清甜、汁液多、细嫩、化渣</w:t>
            </w:r>
          </w:p>
        </w:tc>
        <w:tc>
          <w:tcPr>
            <w:tcW w:w="24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val="en-US" w:eastAsia="zh-CN"/>
              </w:rPr>
              <w:t>酸甜适中、汁液多</w:t>
            </w:r>
            <w:r>
              <w:rPr>
                <w:rFonts w:hint="eastAsia" w:ascii="宋体"/>
                <w:color w:val="auto"/>
                <w:sz w:val="21"/>
                <w:szCs w:val="21"/>
                <w:highlight w:val="none"/>
                <w:lang w:eastAsia="zh-CN"/>
              </w:rPr>
              <w:t>、细嫩、化渣</w:t>
            </w:r>
          </w:p>
        </w:tc>
        <w:tc>
          <w:tcPr>
            <w:tcW w:w="2960" w:type="dxa"/>
            <w:tcBorders>
              <w:top w:val="single" w:color="auto" w:sz="4"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val="en-US" w:eastAsia="zh-CN"/>
              </w:rPr>
              <w:t>酸甜、汁液多</w:t>
            </w:r>
            <w:r>
              <w:rPr>
                <w:rFonts w:hint="eastAsia" w:ascii="宋体"/>
                <w:color w:val="auto"/>
                <w:sz w:val="21"/>
                <w:szCs w:val="21"/>
                <w:highlight w:val="none"/>
                <w:lang w:eastAsia="zh-CN"/>
              </w:rPr>
              <w:t>、细嫩、化渣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剥皮难易</w:t>
            </w:r>
          </w:p>
        </w:tc>
        <w:tc>
          <w:tcPr>
            <w:tcW w:w="1915"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容易</w:t>
            </w:r>
          </w:p>
        </w:tc>
        <w:tc>
          <w:tcPr>
            <w:tcW w:w="2409"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容易</w:t>
            </w:r>
          </w:p>
        </w:tc>
        <w:tc>
          <w:tcPr>
            <w:tcW w:w="2960" w:type="dxa"/>
            <w:tcBorders>
              <w:top w:val="single" w:color="auto" w:sz="4" w:space="0"/>
              <w:left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Times New Roman" w:eastAsia="宋体" w:cs="Times New Roman"/>
                <w:color w:val="auto"/>
                <w:kern w:val="2"/>
                <w:sz w:val="21"/>
                <w:szCs w:val="21"/>
                <w:highlight w:val="none"/>
                <w:lang w:val="en-US" w:eastAsia="zh-CN" w:bidi="ar-SA"/>
              </w:rPr>
            </w:pPr>
            <w:r>
              <w:rPr>
                <w:rFonts w:hint="eastAsia" w:ascii="宋体"/>
                <w:color w:val="auto"/>
                <w:sz w:val="21"/>
                <w:szCs w:val="21"/>
                <w:highlight w:val="none"/>
                <w:lang w:eastAsia="zh-CN"/>
              </w:rPr>
              <w:t>较易</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宋体"/>
          <w:szCs w:val="21"/>
        </w:rPr>
      </w:pPr>
      <w:r>
        <w:rPr>
          <w:rFonts w:hint="eastAsia" w:ascii="黑体" w:hAnsi="黑体" w:eastAsia="黑体" w:cs="宋体"/>
          <w:szCs w:val="21"/>
        </w:rPr>
        <w:t>4.</w:t>
      </w:r>
      <w:r>
        <w:rPr>
          <w:rFonts w:hint="eastAsia" w:ascii="黑体" w:hAnsi="黑体" w:eastAsia="黑体" w:cs="宋体"/>
          <w:szCs w:val="21"/>
          <w:lang w:val="en-US" w:eastAsia="zh-CN"/>
        </w:rPr>
        <w:t>4</w:t>
      </w:r>
      <w:r>
        <w:rPr>
          <w:rFonts w:hint="eastAsia" w:ascii="黑体" w:hAnsi="黑体" w:eastAsia="黑体" w:cs="宋体"/>
          <w:szCs w:val="21"/>
        </w:rPr>
        <w:t xml:space="preserve"> </w:t>
      </w:r>
      <w:r>
        <w:rPr>
          <w:rFonts w:hint="eastAsia" w:ascii="黑体" w:hAnsi="黑体" w:eastAsia="黑体" w:cs="宋体"/>
          <w:szCs w:val="21"/>
          <w:lang w:val="en-US" w:eastAsia="zh-CN"/>
        </w:rPr>
        <w:t xml:space="preserve"> </w:t>
      </w:r>
      <w:r>
        <w:rPr>
          <w:rFonts w:hint="eastAsia" w:ascii="黑体" w:hAnsi="黑体" w:eastAsia="黑体" w:cs="宋体"/>
          <w:szCs w:val="21"/>
          <w:lang w:eastAsia="zh-CN"/>
        </w:rPr>
        <w:t>营养品质</w:t>
      </w:r>
      <w:r>
        <w:rPr>
          <w:rFonts w:hint="eastAsia" w:ascii="黑体" w:hAnsi="黑体" w:eastAsia="黑体" w:cs="宋体"/>
          <w:szCs w:val="21"/>
        </w:rPr>
        <w:t>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香妃</w:t>
      </w:r>
      <w:r>
        <w:rPr>
          <w:rFonts w:hint="eastAsia" w:ascii="宋体" w:hAnsi="宋体" w:eastAsia="宋体" w:cs="宋体"/>
          <w:sz w:val="21"/>
          <w:szCs w:val="21"/>
        </w:rPr>
        <w:t>枇杷</w:t>
      </w:r>
      <w:r>
        <w:rPr>
          <w:rFonts w:hint="eastAsia" w:ascii="宋体" w:hAnsi="宋体" w:cs="宋体"/>
          <w:sz w:val="21"/>
          <w:szCs w:val="21"/>
          <w:lang w:eastAsia="zh-CN"/>
        </w:rPr>
        <w:t>鲜果</w:t>
      </w:r>
      <w:r>
        <w:rPr>
          <w:rFonts w:hint="eastAsia" w:ascii="宋体" w:hAnsi="宋体" w:eastAsia="宋体" w:cs="宋体"/>
          <w:sz w:val="21"/>
          <w:szCs w:val="21"/>
        </w:rPr>
        <w:t>的</w:t>
      </w:r>
      <w:r>
        <w:rPr>
          <w:rFonts w:hint="eastAsia" w:ascii="宋体" w:hAnsi="宋体" w:cs="宋体"/>
          <w:sz w:val="21"/>
          <w:szCs w:val="21"/>
          <w:lang w:eastAsia="zh-CN"/>
        </w:rPr>
        <w:t>营养品质</w:t>
      </w:r>
      <w:r>
        <w:rPr>
          <w:rFonts w:hint="eastAsia" w:ascii="宋体" w:hAnsi="宋体" w:eastAsia="宋体" w:cs="宋体"/>
          <w:sz w:val="21"/>
          <w:szCs w:val="21"/>
        </w:rPr>
        <w:t>要求应符合表3的规定。</w:t>
      </w:r>
    </w:p>
    <w:p>
      <w:pPr>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eastAsia" w:ascii="黑体" w:hAnsi="黑体" w:eastAsia="黑体" w:cs="黑体"/>
          <w:sz w:val="21"/>
          <w:szCs w:val="21"/>
        </w:rPr>
      </w:pPr>
      <w:r>
        <w:rPr>
          <w:rFonts w:hint="eastAsia" w:ascii="黑体" w:hAnsi="黑体" w:eastAsia="黑体" w:cs="黑体"/>
          <w:color w:val="000000"/>
          <w:kern w:val="0"/>
          <w:sz w:val="21"/>
          <w:szCs w:val="21"/>
        </w:rPr>
        <w:t xml:space="preserve">表3 </w:t>
      </w:r>
      <w:r>
        <w:rPr>
          <w:rFonts w:hint="eastAsia" w:ascii="黑体" w:hAnsi="黑体" w:eastAsia="黑体" w:cs="黑体"/>
          <w:color w:val="000000"/>
          <w:kern w:val="0"/>
          <w:sz w:val="21"/>
          <w:szCs w:val="21"/>
          <w:lang w:val="en-US" w:eastAsia="zh-CN"/>
        </w:rPr>
        <w:t xml:space="preserve"> 香妃</w:t>
      </w:r>
      <w:r>
        <w:rPr>
          <w:rFonts w:hint="eastAsia" w:ascii="黑体" w:hAnsi="黑体" w:eastAsia="黑体" w:cs="黑体"/>
          <w:color w:val="000000"/>
          <w:kern w:val="0"/>
          <w:sz w:val="21"/>
          <w:szCs w:val="21"/>
        </w:rPr>
        <w:t>枇杷</w:t>
      </w:r>
      <w:r>
        <w:rPr>
          <w:rFonts w:hint="eastAsia" w:ascii="黑体" w:hAnsi="黑体" w:eastAsia="黑体" w:cs="黑体"/>
          <w:color w:val="000000"/>
          <w:kern w:val="0"/>
          <w:sz w:val="21"/>
          <w:szCs w:val="21"/>
          <w:lang w:eastAsia="zh-CN"/>
        </w:rPr>
        <w:t>鲜果营养品质</w:t>
      </w:r>
      <w:r>
        <w:rPr>
          <w:rFonts w:hint="eastAsia" w:ascii="黑体" w:hAnsi="黑体" w:eastAsia="黑体" w:cs="黑体"/>
          <w:color w:val="000000"/>
          <w:kern w:val="0"/>
          <w:sz w:val="21"/>
          <w:szCs w:val="21"/>
        </w:rPr>
        <w:t>理化指标参考值</w:t>
      </w:r>
    </w:p>
    <w:tbl>
      <w:tblPr>
        <w:tblStyle w:val="32"/>
        <w:tblW w:w="8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71"/>
        <w:gridCol w:w="1871"/>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vMerge w:val="restart"/>
            <w:tcBorders>
              <w:top w:val="single" w:color="auto" w:sz="12" w:space="0"/>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理化指标</w:t>
            </w:r>
          </w:p>
        </w:tc>
        <w:tc>
          <w:tcPr>
            <w:tcW w:w="5613" w:type="dxa"/>
            <w:gridSpan w:val="3"/>
            <w:tcBorders>
              <w:top w:val="single" w:color="auto" w:sz="12"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vMerge w:val="continue"/>
            <w:tcBorders>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p>
        </w:tc>
        <w:tc>
          <w:tcPr>
            <w:tcW w:w="1871" w:type="dxa"/>
            <w:tcBorders>
              <w:top w:val="single" w:color="auto" w:sz="4"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eastAsia="宋体"/>
                <w:color w:val="auto"/>
                <w:sz w:val="21"/>
                <w:szCs w:val="21"/>
                <w:highlight w:val="none"/>
                <w:lang w:eastAsia="zh-CN"/>
              </w:rPr>
            </w:pPr>
            <w:r>
              <w:rPr>
                <w:rFonts w:hint="eastAsia" w:ascii="宋体"/>
                <w:color w:val="auto"/>
                <w:sz w:val="21"/>
                <w:szCs w:val="21"/>
                <w:highlight w:val="none"/>
                <w:lang w:eastAsia="zh-CN"/>
              </w:rPr>
              <w:t>特级</w:t>
            </w:r>
          </w:p>
        </w:tc>
        <w:tc>
          <w:tcPr>
            <w:tcW w:w="1871" w:type="dxa"/>
            <w:tcBorders>
              <w:top w:val="single" w:color="auto" w:sz="4"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eastAsia="宋体"/>
                <w:color w:val="auto"/>
                <w:sz w:val="21"/>
                <w:szCs w:val="21"/>
                <w:highlight w:val="none"/>
                <w:lang w:eastAsia="zh-CN"/>
              </w:rPr>
            </w:pPr>
            <w:r>
              <w:rPr>
                <w:rFonts w:hint="eastAsia" w:ascii="宋体"/>
                <w:color w:val="auto"/>
                <w:sz w:val="21"/>
                <w:szCs w:val="21"/>
                <w:highlight w:val="none"/>
                <w:lang w:eastAsia="zh-CN"/>
              </w:rPr>
              <w:t>一级</w:t>
            </w:r>
          </w:p>
        </w:tc>
        <w:tc>
          <w:tcPr>
            <w:tcW w:w="1871" w:type="dxa"/>
            <w:tcBorders>
              <w:top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lang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top w:val="single" w:color="auto" w:sz="12" w:space="0"/>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可食率</w:t>
            </w:r>
            <w:r>
              <w:rPr>
                <w:rFonts w:hint="eastAsia" w:ascii="宋体"/>
                <w:color w:val="auto"/>
                <w:sz w:val="21"/>
                <w:szCs w:val="21"/>
                <w:highlight w:val="none"/>
                <w:lang w:val="en-US" w:eastAsia="zh-CN"/>
              </w:rPr>
              <w:t>/</w:t>
            </w:r>
            <w:r>
              <w:rPr>
                <w:rFonts w:hint="eastAsia" w:ascii="宋体"/>
                <w:color w:val="auto"/>
                <w:sz w:val="21"/>
                <w:szCs w:val="21"/>
                <w:highlight w:val="none"/>
              </w:rPr>
              <w:t>%</w:t>
            </w:r>
          </w:p>
        </w:tc>
        <w:tc>
          <w:tcPr>
            <w:tcW w:w="1871" w:type="dxa"/>
            <w:tcBorders>
              <w:top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≥70.0</w:t>
            </w:r>
          </w:p>
        </w:tc>
        <w:tc>
          <w:tcPr>
            <w:tcW w:w="1871" w:type="dxa"/>
            <w:tcBorders>
              <w:top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≥70.0</w:t>
            </w:r>
          </w:p>
        </w:tc>
        <w:tc>
          <w:tcPr>
            <w:tcW w:w="1871" w:type="dxa"/>
            <w:tcBorders>
              <w:top w:val="single" w:color="auto" w:sz="12" w:space="0"/>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可溶性固形物</w:t>
            </w:r>
            <w:r>
              <w:rPr>
                <w:rFonts w:hint="eastAsia" w:ascii="宋体"/>
                <w:color w:val="auto"/>
                <w:sz w:val="21"/>
                <w:szCs w:val="21"/>
                <w:highlight w:val="none"/>
                <w:lang w:val="en-US" w:eastAsia="zh-CN"/>
              </w:rPr>
              <w:t>/</w:t>
            </w:r>
            <w:r>
              <w:rPr>
                <w:rFonts w:hint="eastAsia" w:ascii="宋体"/>
                <w:color w:val="auto"/>
                <w:sz w:val="21"/>
                <w:szCs w:val="21"/>
                <w:highlight w:val="none"/>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≥13.5</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13.5</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可溶性糖</w:t>
            </w:r>
            <w:r>
              <w:rPr>
                <w:rFonts w:hint="eastAsia" w:ascii="宋体"/>
                <w:color w:val="auto"/>
                <w:sz w:val="21"/>
                <w:szCs w:val="21"/>
                <w:highlight w:val="none"/>
                <w:lang w:val="en-US" w:eastAsia="zh-CN"/>
              </w:rPr>
              <w:t>/（</w:t>
            </w:r>
            <w:r>
              <w:rPr>
                <w:rFonts w:hint="eastAsia" w:ascii="宋体"/>
                <w:color w:val="auto"/>
                <w:sz w:val="21"/>
                <w:szCs w:val="21"/>
                <w:highlight w:val="none"/>
              </w:rPr>
              <w:t>mg/g</w:t>
            </w:r>
            <w:r>
              <w:rPr>
                <w:rFonts w:hint="eastAsia" w:ascii="宋体"/>
                <w:color w:val="auto"/>
                <w:sz w:val="21"/>
                <w:szCs w:val="21"/>
                <w:highlight w:val="none"/>
                <w:lang w:val="en-US" w:eastAsia="zh-CN"/>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≥60.00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50.00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60.00</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可滴定酸</w:t>
            </w:r>
            <w:r>
              <w:rPr>
                <w:rFonts w:hint="eastAsia" w:ascii="宋体"/>
                <w:color w:val="auto"/>
                <w:sz w:val="21"/>
                <w:szCs w:val="21"/>
                <w:highlight w:val="none"/>
                <w:lang w:val="en-US" w:eastAsia="zh-CN"/>
              </w:rPr>
              <w:t>/</w:t>
            </w:r>
            <w:r>
              <w:rPr>
                <w:rFonts w:hint="eastAsia" w:ascii="宋体"/>
                <w:color w:val="auto"/>
                <w:sz w:val="21"/>
                <w:szCs w:val="21"/>
                <w:highlight w:val="none"/>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≤0.30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0.30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0.45</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0.45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lang w:eastAsia="zh-CN"/>
              </w:rPr>
              <w:t>固</w:t>
            </w:r>
            <w:r>
              <w:rPr>
                <w:rFonts w:hint="eastAsia" w:ascii="宋体"/>
                <w:color w:val="auto"/>
                <w:sz w:val="21"/>
                <w:szCs w:val="21"/>
                <w:highlight w:val="none"/>
              </w:rPr>
              <w:t>酸比</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35.0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30.0</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维生素C</w:t>
            </w:r>
            <w:r>
              <w:rPr>
                <w:rFonts w:hint="eastAsia" w:ascii="宋体"/>
                <w:color w:val="auto"/>
                <w:sz w:val="21"/>
                <w:szCs w:val="21"/>
                <w:highlight w:val="none"/>
                <w:lang w:val="en-US" w:eastAsia="zh-CN"/>
              </w:rPr>
              <w:t>/（</w:t>
            </w:r>
            <w:r>
              <w:rPr>
                <w:rFonts w:hint="eastAsia" w:ascii="宋体"/>
                <w:color w:val="auto"/>
                <w:sz w:val="21"/>
                <w:szCs w:val="21"/>
                <w:highlight w:val="none"/>
              </w:rPr>
              <w:t>ug/g</w:t>
            </w:r>
            <w:r>
              <w:rPr>
                <w:rFonts w:hint="eastAsia" w:ascii="宋体"/>
                <w:color w:val="auto"/>
                <w:sz w:val="21"/>
                <w:szCs w:val="21"/>
                <w:highlight w:val="none"/>
                <w:lang w:val="en-US" w:eastAsia="zh-CN"/>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≥15.0</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lang w:eastAsia="zh-CN"/>
              </w:rPr>
            </w:pPr>
            <w:r>
              <w:rPr>
                <w:rFonts w:hint="eastAsia" w:ascii="宋体"/>
                <w:color w:val="auto"/>
                <w:sz w:val="21"/>
                <w:szCs w:val="21"/>
                <w:highlight w:val="none"/>
              </w:rPr>
              <w:t>β-胡萝卜素</w:t>
            </w:r>
            <w:r>
              <w:rPr>
                <w:rFonts w:hint="eastAsia" w:ascii="宋体"/>
                <w:color w:val="auto"/>
                <w:sz w:val="21"/>
                <w:szCs w:val="21"/>
                <w:highlight w:val="none"/>
                <w:lang w:val="en-US" w:eastAsia="zh-CN"/>
              </w:rPr>
              <w:t>/（</w:t>
            </w:r>
            <w:r>
              <w:rPr>
                <w:rFonts w:hint="eastAsia" w:ascii="宋体"/>
                <w:color w:val="auto"/>
                <w:sz w:val="21"/>
                <w:szCs w:val="21"/>
                <w:highlight w:val="none"/>
              </w:rPr>
              <w:t>ug/100g</w:t>
            </w:r>
            <w:r>
              <w:rPr>
                <w:rFonts w:hint="eastAsia" w:ascii="宋体"/>
                <w:color w:val="auto"/>
                <w:sz w:val="21"/>
                <w:szCs w:val="21"/>
                <w:highlight w:val="none"/>
                <w:lang w:val="en-US" w:eastAsia="zh-CN"/>
              </w:rPr>
              <w:t>）</w:t>
            </w:r>
          </w:p>
        </w:tc>
        <w:tc>
          <w:tcPr>
            <w:tcW w:w="1871" w:type="dxa"/>
            <w:tcBorders>
              <w:bottom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≥60.0</w:t>
            </w:r>
          </w:p>
        </w:tc>
        <w:tc>
          <w:tcPr>
            <w:tcW w:w="1871" w:type="dxa"/>
            <w:tcBorders>
              <w:bottom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≥60.0</w:t>
            </w:r>
          </w:p>
        </w:tc>
        <w:tc>
          <w:tcPr>
            <w:tcW w:w="1871" w:type="dxa"/>
            <w:tcBorders>
              <w:bottom w:val="single" w:color="auto" w:sz="12" w:space="0"/>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60.0</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黑体"/>
          <w:color w:val="000000"/>
          <w:kern w:val="0"/>
          <w:szCs w:val="21"/>
        </w:rPr>
      </w:pPr>
      <w:r>
        <w:rPr>
          <w:rFonts w:ascii="黑体" w:hAnsi="黑体" w:eastAsia="黑体" w:cs="TimesNewRomanPSMT"/>
          <w:color w:val="000000"/>
          <w:kern w:val="0"/>
          <w:szCs w:val="21"/>
        </w:rPr>
        <w:t>4.</w:t>
      </w:r>
      <w:r>
        <w:rPr>
          <w:rFonts w:hint="eastAsia" w:ascii="黑体" w:hAnsi="黑体" w:eastAsia="黑体" w:cs="TimesNewRomanPSMT"/>
          <w:color w:val="000000"/>
          <w:kern w:val="0"/>
          <w:szCs w:val="21"/>
          <w:lang w:val="en-US" w:eastAsia="zh-CN"/>
        </w:rPr>
        <w:t>5</w:t>
      </w:r>
      <w:r>
        <w:rPr>
          <w:rFonts w:ascii="黑体" w:hAnsi="黑体" w:eastAsia="黑体" w:cs="TimesNewRomanPSMT"/>
          <w:color w:val="000000"/>
          <w:kern w:val="0"/>
          <w:szCs w:val="21"/>
        </w:rPr>
        <w:t xml:space="preserve"> </w:t>
      </w:r>
      <w:r>
        <w:rPr>
          <w:rFonts w:hint="eastAsia" w:ascii="黑体" w:hAnsi="黑体" w:eastAsia="黑体" w:cs="TimesNewRomanPSMT"/>
          <w:color w:val="000000"/>
          <w:kern w:val="0"/>
          <w:szCs w:val="21"/>
          <w:lang w:val="en-US" w:eastAsia="zh-CN"/>
        </w:rPr>
        <w:t xml:space="preserve"> </w:t>
      </w:r>
      <w:r>
        <w:rPr>
          <w:rFonts w:hint="eastAsia" w:ascii="黑体" w:hAnsi="黑体" w:eastAsia="黑体" w:cs="TimesNewRomanPSMT"/>
          <w:color w:val="000000"/>
          <w:kern w:val="0"/>
          <w:szCs w:val="21"/>
          <w:lang w:eastAsia="zh-CN"/>
        </w:rPr>
        <w:t>安全要求</w:t>
      </w:r>
      <w:r>
        <w:rPr>
          <w:rFonts w:ascii="黑体" w:hAnsi="黑体" w:eastAsia="黑体" w:cs="黑体"/>
          <w:color w:val="000000"/>
          <w:kern w:val="0"/>
          <w:szCs w:val="21"/>
        </w:rPr>
        <w:t xml:space="preserve">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kern w:val="0"/>
          <w:sz w:val="21"/>
          <w:szCs w:val="21"/>
        </w:rPr>
      </w:pPr>
      <w:r>
        <w:rPr>
          <w:rFonts w:hint="eastAsia" w:ascii="宋体" w:hAnsi="宋体" w:cs="宋体"/>
          <w:color w:val="000000"/>
          <w:kern w:val="0"/>
          <w:sz w:val="21"/>
          <w:szCs w:val="21"/>
          <w:lang w:eastAsia="zh-CN"/>
        </w:rPr>
        <w:t>香妃</w:t>
      </w:r>
      <w:r>
        <w:rPr>
          <w:rFonts w:hint="eastAsia" w:ascii="宋体" w:hAnsi="宋体" w:eastAsia="宋体" w:cs="宋体"/>
          <w:color w:val="000000"/>
          <w:kern w:val="0"/>
          <w:sz w:val="21"/>
          <w:szCs w:val="21"/>
        </w:rPr>
        <w:t>枇杷</w:t>
      </w:r>
      <w:r>
        <w:rPr>
          <w:rFonts w:hint="eastAsia" w:ascii="宋体" w:hAnsi="宋体" w:cs="宋体"/>
          <w:color w:val="000000"/>
          <w:kern w:val="0"/>
          <w:sz w:val="21"/>
          <w:szCs w:val="21"/>
          <w:lang w:eastAsia="zh-CN"/>
        </w:rPr>
        <w:t>鲜果</w:t>
      </w:r>
      <w:r>
        <w:rPr>
          <w:rFonts w:hint="eastAsia" w:ascii="宋体" w:hAnsi="宋体" w:eastAsia="宋体" w:cs="宋体"/>
          <w:color w:val="000000"/>
          <w:kern w:val="0"/>
          <w:sz w:val="21"/>
          <w:szCs w:val="21"/>
        </w:rPr>
        <w:t>的污染物限量应符合GB 2762的规定。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cs="宋体"/>
          <w:color w:val="000000"/>
          <w:kern w:val="0"/>
          <w:sz w:val="21"/>
          <w:szCs w:val="21"/>
          <w:lang w:eastAsia="zh-CN"/>
        </w:rPr>
        <w:t>香妃</w:t>
      </w:r>
      <w:r>
        <w:rPr>
          <w:rFonts w:hint="eastAsia" w:ascii="宋体" w:hAnsi="宋体" w:eastAsia="宋体" w:cs="宋体"/>
          <w:color w:val="000000"/>
          <w:kern w:val="0"/>
          <w:sz w:val="21"/>
          <w:szCs w:val="21"/>
        </w:rPr>
        <w:t>枇杷</w:t>
      </w:r>
      <w:r>
        <w:rPr>
          <w:rFonts w:hint="eastAsia" w:ascii="宋体" w:hAnsi="宋体" w:cs="宋体"/>
          <w:color w:val="000000"/>
          <w:kern w:val="0"/>
          <w:sz w:val="21"/>
          <w:szCs w:val="21"/>
          <w:lang w:eastAsia="zh-CN"/>
        </w:rPr>
        <w:t>鲜果</w:t>
      </w:r>
      <w:r>
        <w:rPr>
          <w:rFonts w:hint="eastAsia" w:ascii="宋体" w:hAnsi="宋体" w:eastAsia="宋体" w:cs="宋体"/>
          <w:color w:val="000000"/>
          <w:sz w:val="21"/>
          <w:szCs w:val="21"/>
        </w:rPr>
        <w:t>的农药残留限量应符合GB 2763和GB 2763.1的规定。</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TimesNewRomanPSMT"/>
          <w:color w:val="auto"/>
          <w:kern w:val="0"/>
          <w:szCs w:val="21"/>
          <w:highlight w:val="none"/>
          <w:lang w:val="en-US" w:eastAsia="zh-CN"/>
        </w:rPr>
      </w:pPr>
      <w:r>
        <w:rPr>
          <w:rFonts w:hint="eastAsia" w:ascii="黑体" w:hAnsi="黑体" w:eastAsia="黑体" w:cs="TimesNewRomanPSMT"/>
          <w:color w:val="auto"/>
          <w:kern w:val="0"/>
          <w:szCs w:val="21"/>
          <w:highlight w:val="none"/>
          <w:lang w:eastAsia="zh-CN"/>
        </w:rPr>
        <w:t>4.</w:t>
      </w:r>
      <w:r>
        <w:rPr>
          <w:rFonts w:hint="eastAsia" w:ascii="黑体" w:hAnsi="黑体" w:eastAsia="黑体" w:cs="TimesNewRomanPSMT"/>
          <w:color w:val="auto"/>
          <w:kern w:val="0"/>
          <w:szCs w:val="21"/>
          <w:highlight w:val="none"/>
          <w:lang w:val="en-US" w:eastAsia="zh-CN"/>
        </w:rPr>
        <w:t>6</w:t>
      </w:r>
      <w:r>
        <w:rPr>
          <w:rFonts w:hint="eastAsia" w:ascii="黑体" w:hAnsi="黑体" w:eastAsia="黑体" w:cs="TimesNewRomanPSMT"/>
          <w:color w:val="auto"/>
          <w:kern w:val="0"/>
          <w:szCs w:val="21"/>
          <w:highlight w:val="none"/>
          <w:lang w:eastAsia="zh-CN"/>
        </w:rPr>
        <w:t xml:space="preserve"> </w:t>
      </w:r>
      <w:bookmarkStart w:id="17" w:name="_Toc6766"/>
      <w:r>
        <w:rPr>
          <w:rFonts w:hint="eastAsia" w:ascii="黑体" w:hAnsi="黑体" w:eastAsia="黑体" w:cs="TimesNewRomanPSMT"/>
          <w:color w:val="auto"/>
          <w:kern w:val="0"/>
          <w:szCs w:val="21"/>
          <w:highlight w:val="none"/>
          <w:lang w:val="en-US" w:eastAsia="zh-CN"/>
        </w:rPr>
        <w:t xml:space="preserve"> </w:t>
      </w:r>
      <w:r>
        <w:rPr>
          <w:rFonts w:hint="eastAsia" w:ascii="黑体" w:hAnsi="黑体" w:eastAsia="黑体" w:cs="TimesNewRomanPSMT"/>
          <w:color w:val="auto"/>
          <w:kern w:val="0"/>
          <w:szCs w:val="21"/>
          <w:highlight w:val="none"/>
          <w:lang w:eastAsia="zh-CN"/>
        </w:rPr>
        <w:t>容许</w:t>
      </w:r>
      <w:r>
        <w:rPr>
          <w:rFonts w:hint="eastAsia" w:ascii="黑体" w:hAnsi="黑体" w:eastAsia="黑体" w:cs="TimesNewRomanPSMT"/>
          <w:color w:val="auto"/>
          <w:kern w:val="0"/>
          <w:szCs w:val="21"/>
          <w:highlight w:val="none"/>
          <w:lang w:val="en-US" w:eastAsia="zh-CN"/>
        </w:rPr>
        <w:t>度要求</w:t>
      </w:r>
      <w:bookmarkEnd w:id="17"/>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4.6.1  果实</w:t>
      </w:r>
      <w:r>
        <w:rPr>
          <w:rFonts w:hint="eastAsia" w:ascii="黑体" w:hAnsi="黑体" w:eastAsia="黑体" w:cs="宋体"/>
          <w:strike w:val="0"/>
          <w:dstrike w:val="0"/>
          <w:color w:val="auto"/>
          <w:sz w:val="21"/>
          <w:szCs w:val="21"/>
          <w:highlight w:val="none"/>
          <w:lang w:val="en-US" w:eastAsia="zh-CN"/>
        </w:rPr>
        <w:t>均匀度</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特级香妃枇杷鲜果同批次内单果果径不得偏差单批次检验结果平均值的5</w:t>
      </w:r>
      <w:r>
        <w:rPr>
          <w:rFonts w:hint="eastAsia" w:ascii="宋体" w:hAnsi="宋体" w:cs="宋体"/>
          <w:color w:val="auto"/>
          <w:w w:val="50"/>
          <w:sz w:val="21"/>
          <w:szCs w:val="21"/>
          <w:highlight w:val="none"/>
          <w:lang w:val="en-US" w:eastAsia="zh-CN"/>
        </w:rPr>
        <w:t xml:space="preserve"> </w:t>
      </w:r>
      <w:r>
        <w:rPr>
          <w:rFonts w:hint="eastAsia" w:ascii="宋体" w:hAnsi="宋体" w:cs="宋体"/>
          <w:color w:val="auto"/>
          <w:sz w:val="21"/>
          <w:szCs w:val="21"/>
          <w:highlight w:val="none"/>
          <w:lang w:val="en-US" w:eastAsia="zh-CN"/>
        </w:rPr>
        <w:t>%。一级、二级香妃枇杷鲜果同批次内单果果径不得偏差单批次检验结果平均值的10</w:t>
      </w:r>
      <w:r>
        <w:rPr>
          <w:rFonts w:hint="eastAsia" w:ascii="宋体" w:hAnsi="宋体" w:cs="宋体"/>
          <w:color w:val="auto"/>
          <w:w w:val="50"/>
          <w:sz w:val="21"/>
          <w:szCs w:val="21"/>
          <w:highlight w:val="none"/>
          <w:lang w:val="en-US" w:eastAsia="zh-CN"/>
        </w:rPr>
        <w:t xml:space="preserve"> </w:t>
      </w:r>
      <w:r>
        <w:rPr>
          <w:rFonts w:hint="eastAsia" w:ascii="宋体" w:hAnsi="宋体" w:cs="宋体"/>
          <w:color w:val="auto"/>
          <w:sz w:val="21"/>
          <w:szCs w:val="21"/>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57" w:afterLines="5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4.6.2  果面色泽</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加工、远运和贮藏用的鲜果，其成熟度允许8成熟以上，果面色泽要求稍低。</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4.6.3  可溶性固形物含量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果实成熟期多雨年份，可溶性固形物含量允许降低1个百分点。</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4.6.4</w:t>
      </w:r>
      <w:bookmarkStart w:id="22" w:name="_GoBack"/>
      <w:bookmarkEnd w:id="22"/>
      <w:r>
        <w:rPr>
          <w:rFonts w:hint="eastAsia" w:ascii="黑体" w:hAnsi="黑体" w:eastAsia="黑体" w:cs="宋体"/>
          <w:color w:val="auto"/>
          <w:sz w:val="21"/>
          <w:szCs w:val="21"/>
          <w:highlight w:val="none"/>
          <w:lang w:val="en-US" w:eastAsia="zh-CN"/>
        </w:rPr>
        <w:t xml:space="preserve">  等级</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lang w:val="en-US" w:eastAsia="zh-CN"/>
        </w:rPr>
        <w:t>特级果</w:t>
      </w:r>
      <w:r>
        <w:rPr>
          <w:rFonts w:hint="eastAsia" w:ascii="宋体" w:hAnsi="宋体" w:cs="宋体"/>
          <w:color w:val="auto"/>
          <w:sz w:val="21"/>
          <w:szCs w:val="21"/>
          <w:lang w:eastAsia="zh-CN"/>
        </w:rPr>
        <w:t>营养品质</w:t>
      </w:r>
      <w:r>
        <w:rPr>
          <w:rFonts w:hint="eastAsia" w:ascii="宋体" w:hAnsi="宋体" w:eastAsia="宋体" w:cs="宋体"/>
          <w:color w:val="auto"/>
          <w:sz w:val="21"/>
          <w:szCs w:val="21"/>
        </w:rPr>
        <w:t>要求</w:t>
      </w:r>
      <w:r>
        <w:rPr>
          <w:rFonts w:hint="eastAsia" w:ascii="宋体" w:hAnsi="宋体" w:cs="宋体"/>
          <w:color w:val="auto"/>
          <w:sz w:val="21"/>
          <w:szCs w:val="21"/>
          <w:lang w:val="en-US" w:eastAsia="zh-CN"/>
        </w:rPr>
        <w:t>7个理化指标，允许不多于2个指标不符合</w:t>
      </w:r>
      <w:r>
        <w:rPr>
          <w:rFonts w:hint="eastAsia" w:ascii="宋体" w:hAnsi="宋体" w:eastAsia="宋体" w:cs="宋体"/>
          <w:color w:val="auto"/>
          <w:sz w:val="21"/>
          <w:szCs w:val="21"/>
        </w:rPr>
        <w:t>表3的规定</w:t>
      </w:r>
      <w:r>
        <w:rPr>
          <w:rFonts w:hint="eastAsia" w:ascii="宋体" w:hAnsi="宋体" w:cs="宋体"/>
          <w:color w:val="auto"/>
          <w:sz w:val="21"/>
          <w:szCs w:val="21"/>
          <w:lang w:eastAsia="zh-CN"/>
        </w:rPr>
        <w:t>，但应符合一级的要求。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一级果</w:t>
      </w:r>
      <w:r>
        <w:rPr>
          <w:rFonts w:hint="eastAsia" w:ascii="宋体" w:hAnsi="宋体" w:cs="宋体"/>
          <w:color w:val="auto"/>
          <w:sz w:val="21"/>
          <w:szCs w:val="21"/>
          <w:lang w:eastAsia="zh-CN"/>
        </w:rPr>
        <w:t>营养品质</w:t>
      </w:r>
      <w:r>
        <w:rPr>
          <w:rFonts w:hint="eastAsia" w:ascii="宋体" w:hAnsi="宋体" w:eastAsia="宋体" w:cs="宋体"/>
          <w:color w:val="auto"/>
          <w:sz w:val="21"/>
          <w:szCs w:val="21"/>
        </w:rPr>
        <w:t>要求</w:t>
      </w:r>
      <w:r>
        <w:rPr>
          <w:rFonts w:hint="eastAsia" w:ascii="宋体" w:hAnsi="宋体" w:cs="宋体"/>
          <w:color w:val="auto"/>
          <w:sz w:val="21"/>
          <w:szCs w:val="21"/>
          <w:lang w:val="en-US" w:eastAsia="zh-CN"/>
        </w:rPr>
        <w:t>7个理化指标，允许不多于2个指标不符合</w:t>
      </w:r>
      <w:r>
        <w:rPr>
          <w:rFonts w:hint="eastAsia" w:ascii="宋体" w:hAnsi="宋体" w:eastAsia="宋体" w:cs="宋体"/>
          <w:color w:val="auto"/>
          <w:sz w:val="21"/>
          <w:szCs w:val="21"/>
        </w:rPr>
        <w:t>表3的规定</w:t>
      </w:r>
      <w:r>
        <w:rPr>
          <w:rFonts w:hint="eastAsia" w:ascii="宋体" w:hAnsi="宋体" w:cs="宋体"/>
          <w:color w:val="auto"/>
          <w:sz w:val="21"/>
          <w:szCs w:val="21"/>
          <w:lang w:eastAsia="zh-CN"/>
        </w:rPr>
        <w:t>，但应符合二级的要求。</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hint="eastAsia" w:ascii="黑体" w:eastAsia="黑体"/>
          <w:b w:val="0"/>
          <w:bCs w:val="0"/>
          <w:kern w:val="0"/>
          <w:sz w:val="21"/>
          <w:szCs w:val="21"/>
        </w:rPr>
      </w:pPr>
      <w:r>
        <w:rPr>
          <w:rFonts w:hint="eastAsia" w:ascii="黑体" w:eastAsia="黑体"/>
          <w:b w:val="0"/>
          <w:bCs w:val="0"/>
          <w:kern w:val="0"/>
          <w:sz w:val="21"/>
          <w:szCs w:val="21"/>
          <w:lang w:val="en-US" w:eastAsia="zh-CN"/>
        </w:rPr>
        <w:t xml:space="preserve">5  散果收购评等分级和成件商品验收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TimesNewRomanPSMT"/>
          <w:color w:val="auto"/>
          <w:kern w:val="0"/>
          <w:sz w:val="21"/>
          <w:szCs w:val="21"/>
          <w:highlight w:val="none"/>
          <w:lang w:val="en-US" w:eastAsia="zh-CN"/>
        </w:rPr>
      </w:pPr>
      <w:r>
        <w:rPr>
          <w:rFonts w:hint="eastAsia" w:ascii="黑体" w:hAnsi="黑体" w:eastAsia="黑体" w:cs="TimesNewRomanPSMT"/>
          <w:color w:val="auto"/>
          <w:kern w:val="0"/>
          <w:sz w:val="21"/>
          <w:szCs w:val="21"/>
          <w:highlight w:val="none"/>
          <w:lang w:val="en-US" w:eastAsia="zh-CN"/>
        </w:rPr>
        <w:t xml:space="preserve">5.1  散果收购评等分级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按等级验收，称重后，分别仔细地拣入收购专用的果箱（筐）中，再行取样，评等分级。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5.1.1  取样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当全部果实拣入果箱后，分别按所分等级，在置信度达95%的条件下，随机抽取一定数量的果实，或随机抽取样果数不少于100个或全部果数的5%。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5.1.2  评等分级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取出的样品果，按照本标准所列条件，逐个进行检验，依等级分开，凡果形、果面色泽、茸毛、</w:t>
      </w:r>
      <w:r>
        <w:rPr>
          <w:rFonts w:hint="eastAsia" w:ascii="宋体" w:hAnsi="宋体" w:cs="宋体"/>
          <w:color w:val="000000"/>
          <w:kern w:val="0"/>
          <w:sz w:val="21"/>
          <w:szCs w:val="21"/>
          <w:lang w:val="en-US" w:eastAsia="zh-CN" w:bidi="ar"/>
        </w:rPr>
        <w:t>果面缺陷</w:t>
      </w:r>
      <w:r>
        <w:rPr>
          <w:rFonts w:hint="eastAsia" w:ascii="宋体" w:hAnsi="宋体" w:eastAsia="宋体" w:cs="宋体"/>
          <w:color w:val="000000"/>
          <w:kern w:val="0"/>
          <w:sz w:val="21"/>
          <w:szCs w:val="21"/>
          <w:lang w:val="en-US" w:eastAsia="zh-CN" w:bidi="ar"/>
        </w:rPr>
        <w:t>碍、损伤与</w:t>
      </w:r>
      <w:r>
        <w:rPr>
          <w:rFonts w:hint="eastAsia" w:ascii="宋体" w:hAnsi="宋体" w:cs="宋体"/>
          <w:color w:val="000000"/>
          <w:kern w:val="0"/>
          <w:sz w:val="21"/>
          <w:szCs w:val="21"/>
          <w:lang w:val="en-US" w:eastAsia="zh-CN" w:bidi="ar"/>
        </w:rPr>
        <w:t>风味</w:t>
      </w:r>
      <w:r>
        <w:rPr>
          <w:rFonts w:hint="eastAsia" w:ascii="宋体" w:hAnsi="宋体" w:eastAsia="宋体" w:cs="宋体"/>
          <w:color w:val="000000"/>
          <w:kern w:val="0"/>
          <w:sz w:val="21"/>
          <w:szCs w:val="21"/>
          <w:lang w:val="en-US" w:eastAsia="zh-CN" w:bidi="ar"/>
        </w:rPr>
        <w:t>中任何一项不符合该等</w:t>
      </w:r>
      <w:r>
        <w:rPr>
          <w:rFonts w:hint="eastAsia" w:ascii="宋体" w:hAnsi="宋体" w:cs="宋体"/>
          <w:color w:val="000000"/>
          <w:kern w:val="0"/>
          <w:sz w:val="21"/>
          <w:szCs w:val="21"/>
          <w:lang w:val="en-US" w:eastAsia="zh-CN" w:bidi="ar"/>
        </w:rPr>
        <w:t>级</w:t>
      </w:r>
      <w:r>
        <w:rPr>
          <w:rFonts w:hint="eastAsia" w:ascii="宋体" w:hAnsi="宋体" w:eastAsia="宋体" w:cs="宋体"/>
          <w:color w:val="000000"/>
          <w:kern w:val="0"/>
          <w:sz w:val="21"/>
          <w:szCs w:val="21"/>
          <w:lang w:val="en-US" w:eastAsia="zh-CN" w:bidi="ar"/>
        </w:rPr>
        <w:t>规定的，降为相适合的等级。不够</w:t>
      </w:r>
      <w:r>
        <w:rPr>
          <w:rFonts w:hint="eastAsia" w:ascii="宋体" w:hAnsi="宋体" w:cs="宋体"/>
          <w:color w:val="000000"/>
          <w:kern w:val="0"/>
          <w:sz w:val="21"/>
          <w:szCs w:val="21"/>
          <w:lang w:val="en-US" w:eastAsia="zh-CN" w:bidi="ar"/>
        </w:rPr>
        <w:t>二</w:t>
      </w:r>
      <w:r>
        <w:rPr>
          <w:rFonts w:hint="eastAsia" w:ascii="宋体" w:hAnsi="宋体" w:eastAsia="宋体" w:cs="宋体"/>
          <w:color w:val="000000"/>
          <w:kern w:val="0"/>
          <w:sz w:val="21"/>
          <w:szCs w:val="21"/>
          <w:lang w:val="en-US" w:eastAsia="zh-CN" w:bidi="ar"/>
        </w:rPr>
        <w:t xml:space="preserve">等的果品为等外级。每一级别果实必须符合该级重量的规定。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5.1.3  取检验样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可在评等分级样果中分取20至40个果实供</w:t>
      </w:r>
      <w:r>
        <w:rPr>
          <w:rFonts w:hint="eastAsia" w:ascii="宋体" w:hAnsi="宋体" w:cs="宋体"/>
          <w:color w:val="000000"/>
          <w:kern w:val="0"/>
          <w:sz w:val="21"/>
          <w:szCs w:val="21"/>
          <w:lang w:val="en-US" w:eastAsia="zh-CN" w:bidi="ar"/>
        </w:rPr>
        <w:t>营养品质理化和安全</w:t>
      </w:r>
      <w:r>
        <w:rPr>
          <w:rFonts w:hint="eastAsia" w:ascii="宋体" w:hAnsi="宋体" w:eastAsia="宋体" w:cs="宋体"/>
          <w:color w:val="000000"/>
          <w:kern w:val="0"/>
          <w:sz w:val="21"/>
          <w:szCs w:val="21"/>
          <w:lang w:val="en-US" w:eastAsia="zh-CN" w:bidi="ar"/>
        </w:rPr>
        <w:t xml:space="preserve">指标检测。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TimesNewRomanPSMT"/>
          <w:color w:val="auto"/>
          <w:kern w:val="0"/>
          <w:sz w:val="21"/>
          <w:szCs w:val="21"/>
          <w:highlight w:val="none"/>
          <w:lang w:val="en-US" w:eastAsia="zh-CN"/>
        </w:rPr>
      </w:pPr>
      <w:r>
        <w:rPr>
          <w:rFonts w:hint="eastAsia" w:ascii="黑体" w:hAnsi="黑体" w:eastAsia="黑体" w:cs="TimesNewRomanPSMT"/>
          <w:color w:val="auto"/>
          <w:kern w:val="0"/>
          <w:sz w:val="21"/>
          <w:szCs w:val="21"/>
          <w:highlight w:val="none"/>
          <w:lang w:val="en-US" w:eastAsia="zh-CN"/>
        </w:rPr>
        <w:t xml:space="preserve">5.2  成件商品收购验收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已完成包装的成件商品，在双方交接时，应点清件数，先进行外包装和标志检验，在外包装合格的基础上，再进行质量和重量验收检测。同品种，同质量等级，同大小级别，同一批交售、调运的枇杷果实，作为一个检验批次。</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5.2.1  取样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取样件数为总件数的3%至5%，最少不得少于3件。500件以上者，以15件为基数，每增100件，增抽1件。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5.2.2  重量检验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样件取出后，</w:t>
      </w:r>
      <w:r>
        <w:rPr>
          <w:rFonts w:hint="eastAsia" w:ascii="宋体" w:hAnsi="宋体" w:cs="宋体"/>
          <w:color w:val="000000"/>
          <w:kern w:val="0"/>
          <w:sz w:val="21"/>
          <w:szCs w:val="21"/>
          <w:lang w:val="en-US" w:eastAsia="zh-CN" w:bidi="ar"/>
        </w:rPr>
        <w:t>取</w:t>
      </w:r>
      <w:r>
        <w:rPr>
          <w:rFonts w:hint="eastAsia" w:ascii="宋体" w:hAnsi="宋体" w:eastAsia="宋体" w:cs="宋体"/>
          <w:color w:val="000000"/>
          <w:kern w:val="0"/>
          <w:sz w:val="21"/>
          <w:szCs w:val="21"/>
          <w:lang w:val="en-US" w:eastAsia="zh-CN" w:bidi="ar"/>
        </w:rPr>
        <w:t>出</w:t>
      </w:r>
      <w:r>
        <w:rPr>
          <w:rFonts w:hint="eastAsia" w:ascii="宋体" w:hAnsi="宋体" w:cs="宋体"/>
          <w:color w:val="000000"/>
          <w:kern w:val="0"/>
          <w:sz w:val="21"/>
          <w:szCs w:val="21"/>
          <w:lang w:val="en-US" w:eastAsia="zh-CN" w:bidi="ar"/>
        </w:rPr>
        <w:t>所有</w:t>
      </w:r>
      <w:r>
        <w:rPr>
          <w:rFonts w:hint="eastAsia" w:ascii="宋体" w:hAnsi="宋体" w:eastAsia="宋体" w:cs="宋体"/>
          <w:color w:val="000000"/>
          <w:kern w:val="0"/>
          <w:sz w:val="21"/>
          <w:szCs w:val="21"/>
          <w:lang w:val="en-US" w:eastAsia="zh-CN" w:bidi="ar"/>
        </w:rPr>
        <w:t>果实</w:t>
      </w:r>
      <w:r>
        <w:rPr>
          <w:rFonts w:hint="eastAsia" w:ascii="宋体" w:hAnsi="宋体" w:cs="宋体"/>
          <w:color w:val="000000"/>
          <w:kern w:val="0"/>
          <w:sz w:val="21"/>
          <w:szCs w:val="21"/>
          <w:lang w:val="en-US" w:eastAsia="zh-CN" w:bidi="ar"/>
        </w:rPr>
        <w:t>进行称量</w:t>
      </w:r>
      <w:r>
        <w:rPr>
          <w:rFonts w:hint="eastAsia" w:ascii="宋体" w:hAnsi="宋体" w:eastAsia="宋体" w:cs="宋体"/>
          <w:color w:val="000000"/>
          <w:kern w:val="0"/>
          <w:sz w:val="21"/>
          <w:szCs w:val="21"/>
          <w:lang w:val="en-US" w:eastAsia="zh-CN" w:bidi="ar"/>
        </w:rPr>
        <w:t>，</w:t>
      </w:r>
      <w:r>
        <w:rPr>
          <w:rFonts w:hint="eastAsia" w:ascii="宋体" w:hAnsi="宋体" w:cs="宋体"/>
          <w:color w:val="000000"/>
          <w:kern w:val="0"/>
          <w:sz w:val="21"/>
          <w:szCs w:val="21"/>
          <w:lang w:val="en-US" w:eastAsia="zh-CN" w:bidi="ar"/>
        </w:rPr>
        <w:t>记录果实重量</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5.2.3  等级检验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同6.1.2评等分级。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5.2.4  取化验样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同6.1.3取化验样。 </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ascii="黑体" w:hAnsi="黑体" w:eastAsia="黑体" w:cs="黑体"/>
          <w:b w:val="0"/>
          <w:bCs w:val="0"/>
          <w:color w:val="000000"/>
          <w:kern w:val="0"/>
          <w:sz w:val="21"/>
          <w:szCs w:val="21"/>
        </w:rPr>
      </w:pPr>
      <w:r>
        <w:rPr>
          <w:rFonts w:hint="eastAsia" w:ascii="黑体" w:hAnsi="黑体" w:eastAsia="黑体" w:cs="宋体"/>
          <w:b w:val="0"/>
          <w:bCs w:val="0"/>
          <w:color w:val="000000"/>
          <w:kern w:val="0"/>
          <w:sz w:val="21"/>
          <w:szCs w:val="21"/>
          <w:lang w:val="en-US" w:eastAsia="zh-CN"/>
        </w:rPr>
        <w:t>6</w:t>
      </w:r>
      <w:r>
        <w:rPr>
          <w:rFonts w:ascii="黑体" w:hAnsi="黑体" w:eastAsia="黑体" w:cs="宋体"/>
          <w:b w:val="0"/>
          <w:bCs w:val="0"/>
          <w:color w:val="000000"/>
          <w:kern w:val="0"/>
          <w:sz w:val="21"/>
          <w:szCs w:val="21"/>
        </w:rPr>
        <w:t xml:space="preserve"> </w:t>
      </w:r>
      <w:r>
        <w:rPr>
          <w:rFonts w:hint="eastAsia" w:ascii="黑体" w:hAnsi="黑体" w:eastAsia="黑体" w:cs="宋体"/>
          <w:b w:val="0"/>
          <w:bCs w:val="0"/>
          <w:color w:val="000000"/>
          <w:kern w:val="0"/>
          <w:sz w:val="21"/>
          <w:szCs w:val="21"/>
        </w:rPr>
        <w:t xml:space="preserve"> </w:t>
      </w:r>
      <w:r>
        <w:rPr>
          <w:rFonts w:hint="eastAsia" w:ascii="黑体" w:hAnsi="黑体" w:eastAsia="黑体" w:cs="黑体"/>
          <w:b w:val="0"/>
          <w:bCs w:val="0"/>
          <w:color w:val="000000"/>
          <w:kern w:val="0"/>
          <w:sz w:val="21"/>
          <w:szCs w:val="21"/>
        </w:rPr>
        <w:t>检验</w:t>
      </w:r>
      <w:r>
        <w:rPr>
          <w:rFonts w:ascii="黑体" w:hAnsi="黑体" w:eastAsia="黑体" w:cs="黑体"/>
          <w:b w:val="0"/>
          <w:bCs w:val="0"/>
          <w:color w:val="000000"/>
          <w:kern w:val="0"/>
          <w:sz w:val="21"/>
          <w:szCs w:val="21"/>
        </w:rPr>
        <w:t>方法</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lang w:val="en-US" w:eastAsia="zh-CN"/>
        </w:rPr>
      </w:pPr>
      <w:r>
        <w:rPr>
          <w:rFonts w:hint="eastAsia" w:ascii="黑体" w:hAnsi="黑体" w:eastAsia="黑体" w:cs="sans-serif"/>
          <w:kern w:val="0"/>
          <w:szCs w:val="21"/>
          <w:shd w:val="clear" w:color="auto" w:fill="FFFFFF"/>
          <w:lang w:val="en-US" w:eastAsia="zh-CN"/>
        </w:rPr>
        <w:t>6</w:t>
      </w:r>
      <w:r>
        <w:rPr>
          <w:rFonts w:hint="eastAsia" w:ascii="黑体" w:hAnsi="黑体" w:eastAsia="黑体" w:cs="sans-serif"/>
          <w:kern w:val="0"/>
          <w:szCs w:val="21"/>
          <w:shd w:val="clear" w:color="auto" w:fill="FFFFFF"/>
        </w:rPr>
        <w:t>.</w:t>
      </w:r>
      <w:r>
        <w:rPr>
          <w:rFonts w:hint="eastAsia" w:ascii="黑体" w:hAnsi="黑体" w:eastAsia="黑体" w:cs="sans-serif"/>
          <w:kern w:val="0"/>
          <w:szCs w:val="21"/>
          <w:shd w:val="clear" w:color="auto" w:fill="FFFFFF"/>
          <w:lang w:val="en-US" w:eastAsia="zh-CN"/>
        </w:rPr>
        <w:t>1  追溯要求检验</w:t>
      </w:r>
    </w:p>
    <w:p>
      <w:pPr>
        <w:keepNext w:val="0"/>
        <w:keepLines w:val="0"/>
        <w:widowControl/>
        <w:suppressLineNumbers w:val="0"/>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查看产品或包装是否具有承诺达标合格证及追溯相关信息。</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rPr>
      </w:pPr>
      <w:r>
        <w:rPr>
          <w:rFonts w:hint="eastAsia" w:ascii="黑体" w:hAnsi="黑体" w:eastAsia="黑体" w:cs="sans-serif"/>
          <w:kern w:val="0"/>
          <w:szCs w:val="21"/>
          <w:shd w:val="clear" w:color="auto" w:fill="FFFFFF"/>
          <w:lang w:val="en-US" w:eastAsia="zh-CN"/>
        </w:rPr>
        <w:t xml:space="preserve">6.2  单果重量检测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6.2.1  主要设备 </w:t>
      </w:r>
    </w:p>
    <w:p>
      <w:pPr>
        <w:keepNext w:val="0"/>
        <w:keepLines w:val="0"/>
        <w:widowControl/>
        <w:suppressLineNumbers w:val="0"/>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感量0.1</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lang w:val="en-US" w:eastAsia="zh-CN"/>
        </w:rPr>
        <w:t>g，载重1000</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lang w:val="en-US" w:eastAsia="zh-CN"/>
        </w:rPr>
        <w:t xml:space="preserve">g的托盘天平。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6.2.2  方法 </w:t>
      </w:r>
    </w:p>
    <w:p>
      <w:pPr>
        <w:keepNext w:val="0"/>
        <w:keepLines w:val="0"/>
        <w:widowControl/>
        <w:suppressLineNumbers w:val="0"/>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将检测样果（至少</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0个），称出总重，计算平均单果重，并称量最大果重与最小果重。</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lang w:eastAsia="zh-CN"/>
        </w:rPr>
      </w:pPr>
      <w:r>
        <w:rPr>
          <w:rFonts w:hint="eastAsia" w:ascii="黑体" w:hAnsi="黑体" w:eastAsia="黑体" w:cs="sans-serif"/>
          <w:kern w:val="0"/>
          <w:szCs w:val="21"/>
          <w:shd w:val="clear" w:color="auto" w:fill="FFFFFF"/>
          <w:lang w:val="en-US" w:eastAsia="zh-CN"/>
        </w:rPr>
        <w:t>6</w:t>
      </w:r>
      <w:r>
        <w:rPr>
          <w:rFonts w:hint="eastAsia" w:ascii="黑体" w:hAnsi="黑体" w:eastAsia="黑体" w:cs="sans-serif"/>
          <w:kern w:val="0"/>
          <w:szCs w:val="21"/>
          <w:shd w:val="clear" w:color="auto" w:fill="FFFFFF"/>
        </w:rPr>
        <w:t>.</w:t>
      </w:r>
      <w:r>
        <w:rPr>
          <w:rFonts w:hint="eastAsia" w:ascii="黑体" w:hAnsi="黑体" w:eastAsia="黑体" w:cs="sans-serif"/>
          <w:kern w:val="0"/>
          <w:szCs w:val="21"/>
          <w:shd w:val="clear" w:color="auto" w:fill="FFFFFF"/>
          <w:lang w:val="en-US" w:eastAsia="zh-CN"/>
        </w:rPr>
        <w:t>3</w:t>
      </w:r>
      <w:r>
        <w:rPr>
          <w:rFonts w:hint="eastAsia" w:ascii="黑体" w:hAnsi="黑体" w:eastAsia="黑体" w:cs="sans-serif"/>
          <w:kern w:val="0"/>
          <w:szCs w:val="21"/>
          <w:shd w:val="clear" w:color="auto" w:fill="FFFFFF"/>
        </w:rPr>
        <w:t xml:space="preserve"> </w:t>
      </w:r>
      <w:r>
        <w:rPr>
          <w:rFonts w:hint="eastAsia" w:ascii="黑体" w:hAnsi="黑体" w:eastAsia="黑体" w:cs="sans-serif"/>
          <w:kern w:val="0"/>
          <w:szCs w:val="21"/>
          <w:shd w:val="clear" w:color="auto" w:fill="FFFFFF"/>
          <w:lang w:val="en-US" w:eastAsia="zh-CN"/>
        </w:rPr>
        <w:t xml:space="preserve"> 感官</w:t>
      </w:r>
      <w:r>
        <w:rPr>
          <w:rFonts w:hint="eastAsia" w:ascii="黑体" w:hAnsi="黑体" w:eastAsia="黑体" w:cs="sans-serif"/>
          <w:kern w:val="0"/>
          <w:szCs w:val="21"/>
          <w:shd w:val="clear" w:color="auto" w:fill="FFFFFF"/>
        </w:rPr>
        <w:t>要求</w:t>
      </w:r>
      <w:r>
        <w:rPr>
          <w:rFonts w:hint="eastAsia" w:ascii="黑体" w:hAnsi="黑体" w:eastAsia="黑体" w:cs="sans-serif"/>
          <w:kern w:val="0"/>
          <w:szCs w:val="21"/>
          <w:shd w:val="clear" w:color="auto" w:fill="FFFFFF"/>
          <w:lang w:eastAsia="zh-CN"/>
        </w:rPr>
        <w:t>检验</w:t>
      </w:r>
    </w:p>
    <w:p>
      <w:pPr>
        <w:keepNext w:val="0"/>
        <w:keepLines w:val="0"/>
        <w:widowControl/>
        <w:suppressLineNumbers w:val="0"/>
        <w:ind w:firstLine="420" w:firstLineChars="200"/>
        <w:jc w:val="left"/>
        <w:rPr>
          <w:rFonts w:hint="eastAsia" w:ascii="宋体" w:hAnsi="宋体" w:eastAsia="宋体" w:cs="宋体"/>
          <w:sz w:val="21"/>
          <w:szCs w:val="21"/>
        </w:rPr>
      </w:pPr>
      <w:r>
        <w:rPr>
          <w:rFonts w:hint="eastAsia" w:ascii="宋体" w:hAnsi="宋体" w:eastAsia="宋体" w:cs="宋体"/>
          <w:sz w:val="21"/>
          <w:szCs w:val="21"/>
        </w:rPr>
        <w:t>按GB/T 13867规定的方法测定。</w:t>
      </w:r>
      <w:r>
        <w:rPr>
          <w:rFonts w:hint="eastAsia" w:ascii="宋体" w:hAnsi="宋体" w:eastAsia="宋体" w:cs="宋体"/>
          <w:color w:val="000000"/>
          <w:kern w:val="0"/>
          <w:sz w:val="21"/>
          <w:szCs w:val="21"/>
          <w:lang w:val="en-US" w:eastAsia="zh-CN" w:bidi="ar"/>
        </w:rPr>
        <w:t>果形、果梗、色泽、</w:t>
      </w:r>
      <w:r>
        <w:rPr>
          <w:rFonts w:hint="eastAsia" w:ascii="宋体" w:hAnsi="宋体" w:cs="宋体"/>
          <w:color w:val="000000"/>
          <w:kern w:val="0"/>
          <w:sz w:val="21"/>
          <w:szCs w:val="21"/>
          <w:lang w:val="en-US" w:eastAsia="zh-CN" w:bidi="ar"/>
        </w:rPr>
        <w:t>损伤</w:t>
      </w:r>
      <w:r>
        <w:rPr>
          <w:rFonts w:hint="eastAsia" w:ascii="宋体" w:hAnsi="宋体" w:eastAsia="宋体" w:cs="宋体"/>
          <w:color w:val="000000"/>
          <w:kern w:val="0"/>
          <w:sz w:val="21"/>
          <w:szCs w:val="21"/>
          <w:lang w:val="en-US" w:eastAsia="zh-CN" w:bidi="ar"/>
        </w:rPr>
        <w:t>等</w:t>
      </w:r>
      <w:r>
        <w:rPr>
          <w:rFonts w:hint="eastAsia" w:ascii="宋体" w:hAnsi="宋体" w:cs="宋体"/>
          <w:color w:val="000000"/>
          <w:kern w:val="0"/>
          <w:sz w:val="21"/>
          <w:szCs w:val="21"/>
          <w:lang w:val="en-US" w:eastAsia="zh-CN" w:bidi="ar"/>
        </w:rPr>
        <w:t>感官</w:t>
      </w:r>
      <w:r>
        <w:rPr>
          <w:rFonts w:hint="eastAsia" w:ascii="宋体" w:hAnsi="宋体" w:eastAsia="宋体" w:cs="宋体"/>
          <w:color w:val="000000"/>
          <w:kern w:val="0"/>
          <w:sz w:val="21"/>
          <w:szCs w:val="21"/>
          <w:lang w:val="en-US" w:eastAsia="zh-CN" w:bidi="ar"/>
        </w:rPr>
        <w:t>性状，果肉色泽和风味及质地均以感官检验为准。要求参与检验的人感官正常和具有相当的鉴评经验，参与品味的人数应不少于三人，其中至少一人为专业人员。</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lang w:eastAsia="zh-CN"/>
        </w:rPr>
      </w:pPr>
      <w:r>
        <w:rPr>
          <w:rFonts w:hint="eastAsia" w:ascii="黑体" w:hAnsi="黑体" w:eastAsia="黑体" w:cs="sans-serif"/>
          <w:kern w:val="0"/>
          <w:szCs w:val="21"/>
          <w:shd w:val="clear" w:color="auto" w:fill="FFFFFF"/>
          <w:lang w:val="en-US" w:eastAsia="zh-CN"/>
        </w:rPr>
        <w:t>6</w:t>
      </w:r>
      <w:r>
        <w:rPr>
          <w:rFonts w:hint="eastAsia" w:ascii="黑体" w:hAnsi="黑体" w:eastAsia="黑体" w:cs="sans-serif"/>
          <w:kern w:val="0"/>
          <w:szCs w:val="21"/>
          <w:shd w:val="clear" w:color="auto" w:fill="FFFFFF"/>
        </w:rPr>
        <w:t>.</w:t>
      </w:r>
      <w:r>
        <w:rPr>
          <w:rFonts w:hint="eastAsia" w:ascii="黑体" w:hAnsi="黑体" w:eastAsia="黑体" w:cs="sans-serif"/>
          <w:kern w:val="0"/>
          <w:szCs w:val="21"/>
          <w:shd w:val="clear" w:color="auto" w:fill="FFFFFF"/>
          <w:lang w:val="en-US" w:eastAsia="zh-CN"/>
        </w:rPr>
        <w:t>4</w:t>
      </w:r>
      <w:r>
        <w:rPr>
          <w:rFonts w:hint="eastAsia" w:ascii="黑体" w:hAnsi="黑体" w:eastAsia="黑体" w:cs="sans-serif"/>
          <w:kern w:val="0"/>
          <w:szCs w:val="21"/>
          <w:shd w:val="clear" w:color="auto" w:fill="FFFFFF"/>
        </w:rPr>
        <w:t xml:space="preserve"> </w:t>
      </w:r>
      <w:r>
        <w:rPr>
          <w:rFonts w:hint="eastAsia" w:ascii="黑体" w:hAnsi="黑体" w:eastAsia="黑体" w:cs="sans-serif"/>
          <w:kern w:val="0"/>
          <w:szCs w:val="21"/>
          <w:shd w:val="clear" w:color="auto" w:fill="FFFFFF"/>
          <w:lang w:val="en-US" w:eastAsia="zh-CN"/>
        </w:rPr>
        <w:t xml:space="preserve"> </w:t>
      </w:r>
      <w:r>
        <w:rPr>
          <w:rFonts w:hint="eastAsia" w:ascii="黑体" w:hAnsi="黑体" w:eastAsia="黑体" w:cs="sans-serif"/>
          <w:kern w:val="0"/>
          <w:szCs w:val="21"/>
          <w:shd w:val="clear" w:color="auto" w:fill="FFFFFF"/>
          <w:lang w:eastAsia="zh-CN"/>
        </w:rPr>
        <w:t>营养品质要求检验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sz w:val="21"/>
          <w:szCs w:val="21"/>
        </w:rPr>
      </w:pPr>
      <w:r>
        <w:rPr>
          <w:rFonts w:hint="eastAsia" w:ascii="黑体" w:hAnsi="黑体" w:eastAsia="黑体" w:cs="宋体"/>
          <w:sz w:val="21"/>
          <w:szCs w:val="21"/>
          <w:lang w:val="en-US" w:eastAsia="zh-CN"/>
        </w:rPr>
        <w:t xml:space="preserve">6.4.1  </w:t>
      </w:r>
      <w:r>
        <w:rPr>
          <w:rFonts w:hint="eastAsia" w:ascii="黑体" w:hAnsi="黑体" w:eastAsia="黑体" w:cs="宋体"/>
          <w:sz w:val="21"/>
          <w:szCs w:val="21"/>
        </w:rPr>
        <w:t>可食率</w:t>
      </w:r>
    </w:p>
    <w:p>
      <w:pPr>
        <w:keepNext w:val="0"/>
        <w:keepLines w:val="0"/>
        <w:pageBreakBefore w:val="0"/>
        <w:widowControl/>
        <w:kinsoku/>
        <w:wordWrap/>
        <w:overflowPunct/>
        <w:topLinePunct w:val="0"/>
        <w:autoSpaceDE/>
        <w:autoSpaceDN/>
        <w:bidi w:val="0"/>
        <w:adjustRightInd/>
        <w:snapToGrid/>
        <w:ind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按</w:t>
      </w:r>
      <w:bookmarkStart w:id="18" w:name="OLE_LINK6"/>
      <w:r>
        <w:rPr>
          <w:rFonts w:hint="eastAsia" w:ascii="宋体" w:hAnsi="宋体" w:cs="宋体"/>
          <w:sz w:val="21"/>
          <w:szCs w:val="21"/>
          <w:lang w:val="en-US" w:eastAsia="zh-CN"/>
        </w:rPr>
        <w:t>GB</w:t>
      </w:r>
      <w:r>
        <w:rPr>
          <w:rFonts w:hint="eastAsia" w:ascii="宋体" w:hAnsi="宋体" w:eastAsia="宋体" w:cs="宋体"/>
          <w:color w:val="000000"/>
          <w:kern w:val="0"/>
          <w:sz w:val="21"/>
          <w:szCs w:val="21"/>
        </w:rPr>
        <w:t xml:space="preserve">/T </w:t>
      </w:r>
      <w:bookmarkEnd w:id="18"/>
      <w:r>
        <w:rPr>
          <w:rFonts w:hint="eastAsia" w:ascii="宋体" w:hAnsi="宋体" w:cs="宋体"/>
          <w:color w:val="000000"/>
          <w:kern w:val="0"/>
          <w:sz w:val="21"/>
          <w:szCs w:val="21"/>
          <w:lang w:val="en-US" w:eastAsia="zh-CN"/>
        </w:rPr>
        <w:t>13867</w:t>
      </w:r>
      <w:r>
        <w:rPr>
          <w:rFonts w:hint="eastAsia" w:ascii="宋体" w:hAnsi="宋体" w:cs="宋体"/>
          <w:color w:val="000000"/>
          <w:kern w:val="0"/>
          <w:sz w:val="21"/>
          <w:szCs w:val="21"/>
          <w:lang w:eastAsia="zh-CN"/>
        </w:rPr>
        <w:t>的要求，取样(至少20个)将果梗剪去后，称量全果重，并将果实各部分分开,称量果皮、种子、心皮、</w:t>
      </w:r>
      <w:r>
        <w:rPr>
          <w:rFonts w:hint="eastAsia" w:ascii="宋体" w:hAnsi="宋体" w:cs="宋体"/>
          <w:strike w:val="0"/>
          <w:dstrike w:val="0"/>
          <w:color w:val="auto"/>
          <w:kern w:val="0"/>
          <w:sz w:val="21"/>
          <w:szCs w:val="21"/>
          <w:lang w:eastAsia="zh-CN"/>
        </w:rPr>
        <w:t>萼</w:t>
      </w:r>
      <w:r>
        <w:rPr>
          <w:rFonts w:hint="eastAsia" w:ascii="宋体" w:hAnsi="宋体" w:cs="宋体"/>
          <w:strike w:val="0"/>
          <w:dstrike w:val="0"/>
          <w:color w:val="auto"/>
          <w:kern w:val="0"/>
          <w:sz w:val="21"/>
          <w:szCs w:val="21"/>
          <w:highlight w:val="none"/>
          <w:lang w:eastAsia="zh-CN"/>
        </w:rPr>
        <w:t>孔</w:t>
      </w:r>
      <w:r>
        <w:rPr>
          <w:rFonts w:hint="eastAsia" w:ascii="宋体" w:hAnsi="宋体" w:cs="宋体"/>
          <w:color w:val="000000"/>
          <w:kern w:val="0"/>
          <w:sz w:val="21"/>
          <w:szCs w:val="21"/>
          <w:lang w:eastAsia="zh-CN"/>
        </w:rPr>
        <w:t>等全部不可食部分的重量，</w:t>
      </w:r>
      <w:r>
        <w:rPr>
          <w:rFonts w:hint="eastAsia" w:ascii="宋体" w:hAnsi="宋体" w:eastAsia="宋体" w:cs="宋体"/>
          <w:sz w:val="21"/>
          <w:szCs w:val="21"/>
        </w:rPr>
        <w:t>以全果</w:t>
      </w:r>
      <w:r>
        <w:rPr>
          <w:rFonts w:hint="eastAsia" w:ascii="宋体" w:hAnsi="宋体" w:cs="宋体"/>
          <w:sz w:val="21"/>
          <w:szCs w:val="21"/>
          <w:lang w:eastAsia="zh-CN"/>
        </w:rPr>
        <w:t>重</w:t>
      </w:r>
      <w:r>
        <w:rPr>
          <w:rFonts w:hint="eastAsia" w:ascii="宋体" w:hAnsi="宋体" w:eastAsia="宋体" w:cs="宋体"/>
          <w:sz w:val="21"/>
          <w:szCs w:val="21"/>
        </w:rPr>
        <w:t>减去</w:t>
      </w:r>
      <w:r>
        <w:rPr>
          <w:rFonts w:hint="eastAsia" w:ascii="宋体" w:hAnsi="宋体" w:cs="宋体"/>
          <w:sz w:val="21"/>
          <w:szCs w:val="21"/>
          <w:lang w:eastAsia="zh-CN"/>
        </w:rPr>
        <w:t>全部</w:t>
      </w:r>
      <w:r>
        <w:rPr>
          <w:rFonts w:hint="eastAsia" w:ascii="宋体" w:hAnsi="宋体" w:cs="宋体"/>
          <w:color w:val="000000"/>
          <w:kern w:val="0"/>
          <w:sz w:val="21"/>
          <w:szCs w:val="21"/>
          <w:lang w:eastAsia="zh-CN"/>
        </w:rPr>
        <w:t>不可食部分</w:t>
      </w:r>
      <w:r>
        <w:rPr>
          <w:rFonts w:hint="eastAsia" w:ascii="宋体" w:hAnsi="宋体" w:eastAsia="宋体" w:cs="宋体"/>
          <w:sz w:val="21"/>
          <w:szCs w:val="21"/>
        </w:rPr>
        <w:t>的</w:t>
      </w:r>
      <w:r>
        <w:rPr>
          <w:rFonts w:hint="eastAsia" w:ascii="宋体" w:hAnsi="宋体" w:cs="宋体"/>
          <w:sz w:val="21"/>
          <w:szCs w:val="21"/>
          <w:lang w:eastAsia="zh-CN"/>
        </w:rPr>
        <w:t>重量</w:t>
      </w:r>
      <w:r>
        <w:rPr>
          <w:rFonts w:hint="eastAsia" w:ascii="宋体" w:hAnsi="宋体" w:eastAsia="宋体" w:cs="宋体"/>
          <w:sz w:val="21"/>
          <w:szCs w:val="21"/>
        </w:rPr>
        <w:t>后的值除以全果</w:t>
      </w:r>
      <w:r>
        <w:rPr>
          <w:rFonts w:hint="eastAsia" w:ascii="宋体" w:hAnsi="宋体" w:cs="宋体"/>
          <w:sz w:val="21"/>
          <w:szCs w:val="21"/>
          <w:lang w:eastAsia="zh-CN"/>
        </w:rPr>
        <w:t>重</w:t>
      </w:r>
      <w:r>
        <w:rPr>
          <w:rFonts w:hint="eastAsia" w:ascii="宋体" w:hAnsi="宋体" w:eastAsia="宋体" w:cs="宋体"/>
          <w:sz w:val="21"/>
          <w:szCs w:val="21"/>
        </w:rPr>
        <w:t>所得的百分比。</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val="en-US" w:eastAsia="zh-CN"/>
        </w:rPr>
      </w:pPr>
      <w:r>
        <w:rPr>
          <w:rFonts w:hint="eastAsia" w:ascii="黑体" w:hAnsi="黑体" w:eastAsia="黑体" w:cs="宋体"/>
          <w:sz w:val="21"/>
          <w:szCs w:val="21"/>
          <w:lang w:val="en-US" w:eastAsia="zh-CN"/>
        </w:rPr>
        <w:t>6.4.2</w:t>
      </w:r>
      <w:r>
        <w:rPr>
          <w:rFonts w:hint="eastAsia" w:ascii="黑体" w:hAnsi="黑体" w:eastAsia="黑体" w:cs="宋体"/>
          <w:sz w:val="21"/>
          <w:szCs w:val="21"/>
          <w:highlight w:val="none"/>
          <w:lang w:val="en-US" w:eastAsia="zh-CN"/>
        </w:rPr>
        <w:t xml:space="preserve">  </w:t>
      </w:r>
      <w:r>
        <w:rPr>
          <w:rFonts w:hint="eastAsia" w:ascii="黑体" w:hAnsi="黑体" w:eastAsia="黑体" w:cs="宋体"/>
          <w:sz w:val="21"/>
          <w:szCs w:val="21"/>
          <w:highlight w:val="none"/>
        </w:rPr>
        <w:t>可溶性固形物</w:t>
      </w:r>
      <w:r>
        <w:rPr>
          <w:rFonts w:hint="eastAsia" w:ascii="黑体" w:hAnsi="黑体" w:eastAsia="黑体" w:cs="宋体"/>
          <w:sz w:val="21"/>
          <w:szCs w:val="21"/>
          <w:highlight w:val="none"/>
          <w:lang w:val="en-US" w:eastAsia="zh-CN"/>
        </w:rPr>
        <w:t>：</w:t>
      </w:r>
      <w:bookmarkStart w:id="19" w:name="OLE_LINK3"/>
      <w:r>
        <w:rPr>
          <w:rFonts w:hint="eastAsia" w:ascii="宋体" w:hAnsi="宋体" w:eastAsia="宋体" w:cs="宋体"/>
          <w:sz w:val="21"/>
          <w:szCs w:val="21"/>
          <w:highlight w:val="none"/>
          <w:lang w:val="en-US" w:eastAsia="zh-CN"/>
        </w:rPr>
        <w:t>按</w:t>
      </w:r>
      <w:bookmarkEnd w:id="19"/>
      <w:r>
        <w:rPr>
          <w:rFonts w:hint="eastAsia" w:ascii="宋体" w:hAnsi="宋体" w:eastAsia="宋体" w:cs="宋体"/>
          <w:sz w:val="21"/>
          <w:szCs w:val="21"/>
          <w:highlight w:val="none"/>
        </w:rPr>
        <w:t>NY/T 2637</w:t>
      </w:r>
      <w:r>
        <w:rPr>
          <w:rFonts w:hint="eastAsia" w:ascii="宋体" w:hAnsi="宋体" w:cs="宋体"/>
          <w:sz w:val="21"/>
          <w:szCs w:val="21"/>
          <w:highlight w:val="none"/>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val="en-US" w:eastAsia="zh-CN"/>
        </w:rPr>
      </w:pPr>
      <w:r>
        <w:rPr>
          <w:rFonts w:hint="eastAsia" w:ascii="黑体" w:hAnsi="黑体" w:eastAsia="黑体" w:cs="宋体"/>
          <w:sz w:val="21"/>
          <w:szCs w:val="21"/>
          <w:highlight w:val="none"/>
          <w:lang w:val="en-US" w:eastAsia="zh-CN"/>
        </w:rPr>
        <w:t xml:space="preserve">6.4.3  </w:t>
      </w:r>
      <w:r>
        <w:rPr>
          <w:rFonts w:hint="eastAsia" w:ascii="黑体" w:hAnsi="黑体" w:eastAsia="黑体" w:cs="宋体"/>
          <w:sz w:val="21"/>
          <w:szCs w:val="21"/>
          <w:highlight w:val="none"/>
        </w:rPr>
        <w:t>可溶性糖</w:t>
      </w:r>
      <w:r>
        <w:rPr>
          <w:rFonts w:hint="eastAsia" w:ascii="黑体" w:hAnsi="黑体" w:eastAsia="黑体" w:cs="宋体"/>
          <w:sz w:val="21"/>
          <w:szCs w:val="21"/>
          <w:highlight w:val="none"/>
          <w:lang w:eastAsia="zh-CN"/>
        </w:rPr>
        <w:t>：</w:t>
      </w:r>
      <w:r>
        <w:rPr>
          <w:rFonts w:hint="eastAsia" w:ascii="宋体" w:hAnsi="宋体" w:eastAsia="宋体" w:cs="宋体"/>
          <w:sz w:val="21"/>
          <w:szCs w:val="21"/>
          <w:highlight w:val="none"/>
          <w:lang w:val="en-US" w:eastAsia="zh-CN"/>
        </w:rPr>
        <w:t>按NY/T 2742</w:t>
      </w:r>
      <w:r>
        <w:rPr>
          <w:rFonts w:hint="eastAsia" w:ascii="宋体" w:hAnsi="宋体" w:cs="宋体"/>
          <w:sz w:val="21"/>
          <w:szCs w:val="21"/>
          <w:highlight w:val="none"/>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val="en-US" w:eastAsia="zh-CN"/>
        </w:rPr>
      </w:pPr>
      <w:r>
        <w:rPr>
          <w:rFonts w:hint="eastAsia" w:ascii="黑体" w:hAnsi="黑体" w:eastAsia="黑体" w:cs="宋体"/>
          <w:sz w:val="21"/>
          <w:szCs w:val="21"/>
          <w:highlight w:val="none"/>
          <w:lang w:val="en-US" w:eastAsia="zh-CN"/>
        </w:rPr>
        <w:t>6.4.4  可滴定酸：</w:t>
      </w:r>
      <w:r>
        <w:rPr>
          <w:rFonts w:hint="eastAsia" w:ascii="宋体" w:hAnsi="宋体" w:eastAsia="宋体" w:cs="宋体"/>
          <w:sz w:val="21"/>
          <w:szCs w:val="21"/>
          <w:highlight w:val="none"/>
          <w:lang w:val="en-US" w:eastAsia="zh-CN"/>
        </w:rPr>
        <w:t>按GB 12456</w:t>
      </w:r>
      <w:r>
        <w:rPr>
          <w:rFonts w:hint="eastAsia" w:ascii="宋体" w:hAnsi="宋体" w:cs="宋体"/>
          <w:sz w:val="21"/>
          <w:szCs w:val="21"/>
          <w:highlight w:val="none"/>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lang w:val="en-US" w:eastAsia="zh-CN"/>
        </w:rPr>
      </w:pPr>
      <w:r>
        <w:rPr>
          <w:rFonts w:hint="eastAsia" w:ascii="黑体" w:hAnsi="黑体" w:eastAsia="黑体" w:cs="宋体"/>
          <w:sz w:val="21"/>
          <w:szCs w:val="21"/>
          <w:lang w:val="en-US" w:eastAsia="zh-CN"/>
        </w:rPr>
        <w:t>6.4.5  维生素C：</w:t>
      </w:r>
      <w:r>
        <w:rPr>
          <w:rFonts w:hint="eastAsia" w:ascii="宋体" w:hAnsi="宋体" w:eastAsia="宋体" w:cs="宋体"/>
          <w:sz w:val="21"/>
          <w:szCs w:val="21"/>
          <w:lang w:val="en-US" w:eastAsia="zh-CN"/>
        </w:rPr>
        <w:t>按GB 5009.86</w:t>
      </w:r>
      <w:r>
        <w:rPr>
          <w:rFonts w:hint="eastAsia" w:ascii="宋体" w:hAnsi="宋体" w:cs="宋体"/>
          <w:sz w:val="21"/>
          <w:szCs w:val="21"/>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eastAsia="zh-CN"/>
        </w:rPr>
      </w:pPr>
      <w:r>
        <w:rPr>
          <w:rFonts w:hint="eastAsia" w:ascii="黑体" w:hAnsi="黑体" w:eastAsia="黑体" w:cs="宋体"/>
          <w:sz w:val="21"/>
          <w:szCs w:val="21"/>
          <w:highlight w:val="none"/>
          <w:lang w:val="en-US" w:eastAsia="zh-CN"/>
        </w:rPr>
        <w:t xml:space="preserve">6.4.6  </w:t>
      </w:r>
      <w:r>
        <w:rPr>
          <w:rFonts w:hint="eastAsia" w:ascii="黑体" w:hAnsi="黑体" w:eastAsia="黑体" w:cs="宋体"/>
          <w:sz w:val="21"/>
          <w:szCs w:val="21"/>
          <w:highlight w:val="none"/>
        </w:rPr>
        <w:t>β-胡萝卜素</w:t>
      </w:r>
      <w:r>
        <w:rPr>
          <w:rFonts w:hint="eastAsia" w:ascii="黑体" w:hAnsi="黑体" w:eastAsia="黑体" w:cs="宋体"/>
          <w:sz w:val="21"/>
          <w:szCs w:val="21"/>
          <w:highlight w:val="none"/>
          <w:lang w:eastAsia="zh-CN"/>
        </w:rPr>
        <w:t>：</w:t>
      </w:r>
      <w:r>
        <w:rPr>
          <w:rFonts w:hint="eastAsia" w:ascii="宋体" w:hAnsi="宋体" w:eastAsia="宋体" w:cs="宋体"/>
          <w:sz w:val="21"/>
          <w:szCs w:val="21"/>
          <w:highlight w:val="none"/>
          <w:lang w:val="en-US" w:eastAsia="zh-CN"/>
        </w:rPr>
        <w:t>按GB 5009.8</w:t>
      </w:r>
      <w:r>
        <w:rPr>
          <w:rFonts w:hint="eastAsia" w:ascii="宋体" w:hAnsi="宋体" w:cs="宋体"/>
          <w:sz w:val="21"/>
          <w:szCs w:val="21"/>
          <w:highlight w:val="none"/>
          <w:lang w:val="en-US" w:eastAsia="zh-CN"/>
        </w:rPr>
        <w:t>3</w:t>
      </w:r>
      <w:r>
        <w:rPr>
          <w:rFonts w:hint="eastAsia" w:ascii="宋体" w:hAnsi="宋体" w:cs="宋体"/>
          <w:sz w:val="21"/>
          <w:szCs w:val="21"/>
          <w:highlight w:val="none"/>
          <w:lang w:eastAsia="zh-CN"/>
        </w:rPr>
        <w:t>方法检验。</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 w:val="21"/>
          <w:szCs w:val="21"/>
          <w:shd w:val="clear" w:color="auto" w:fill="FFFFFF"/>
          <w:lang w:eastAsia="zh-CN"/>
        </w:rPr>
      </w:pPr>
      <w:r>
        <w:rPr>
          <w:rFonts w:hint="eastAsia" w:ascii="黑体" w:hAnsi="黑体" w:eastAsia="黑体" w:cs="sans-serif"/>
          <w:kern w:val="0"/>
          <w:sz w:val="21"/>
          <w:szCs w:val="21"/>
          <w:shd w:val="clear" w:color="auto" w:fill="FFFFFF"/>
          <w:lang w:val="en-US" w:eastAsia="zh-CN"/>
        </w:rPr>
        <w:t>6</w:t>
      </w:r>
      <w:r>
        <w:rPr>
          <w:rFonts w:hint="eastAsia" w:ascii="黑体" w:hAnsi="黑体" w:eastAsia="黑体" w:cs="sans-serif"/>
          <w:kern w:val="0"/>
          <w:sz w:val="21"/>
          <w:szCs w:val="21"/>
          <w:shd w:val="clear" w:color="auto" w:fill="FFFFFF"/>
        </w:rPr>
        <w:t>.</w:t>
      </w:r>
      <w:r>
        <w:rPr>
          <w:rFonts w:hint="eastAsia" w:ascii="黑体" w:hAnsi="黑体" w:eastAsia="黑体" w:cs="sans-serif"/>
          <w:kern w:val="0"/>
          <w:sz w:val="21"/>
          <w:szCs w:val="21"/>
          <w:shd w:val="clear" w:color="auto" w:fill="FFFFFF"/>
          <w:lang w:val="en-US" w:eastAsia="zh-CN"/>
        </w:rPr>
        <w:t>5</w:t>
      </w:r>
      <w:r>
        <w:rPr>
          <w:rFonts w:hint="eastAsia" w:ascii="黑体" w:hAnsi="黑体" w:eastAsia="黑体" w:cs="sans-serif"/>
          <w:kern w:val="0"/>
          <w:sz w:val="21"/>
          <w:szCs w:val="21"/>
          <w:shd w:val="clear" w:color="auto" w:fill="FFFFFF"/>
        </w:rPr>
        <w:t xml:space="preserve"> </w:t>
      </w:r>
      <w:r>
        <w:rPr>
          <w:rFonts w:hint="eastAsia" w:ascii="黑体" w:hAnsi="黑体" w:eastAsia="黑体" w:cs="sans-serif"/>
          <w:kern w:val="0"/>
          <w:sz w:val="21"/>
          <w:szCs w:val="21"/>
          <w:shd w:val="clear" w:color="auto" w:fill="FFFFFF"/>
          <w:lang w:val="en-US" w:eastAsia="zh-CN"/>
        </w:rPr>
        <w:t xml:space="preserve"> </w:t>
      </w:r>
      <w:r>
        <w:rPr>
          <w:rFonts w:hint="eastAsia" w:ascii="黑体" w:hAnsi="黑体" w:eastAsia="黑体" w:cs="sans-serif"/>
          <w:kern w:val="0"/>
          <w:sz w:val="21"/>
          <w:szCs w:val="21"/>
          <w:shd w:val="clear" w:color="auto" w:fill="FFFFFF"/>
          <w:lang w:eastAsia="zh-CN"/>
        </w:rPr>
        <w:t>安全要求检验</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污染物限量按照GB 2762规定的检验方法检验，农药最大残留限量按照GB 2763</w:t>
      </w:r>
      <w:r>
        <w:rPr>
          <w:rFonts w:hint="eastAsia" w:ascii="宋体" w:hAnsi="宋体" w:cs="宋体"/>
          <w:sz w:val="21"/>
          <w:szCs w:val="21"/>
          <w:lang w:val="en-US" w:eastAsia="zh-CN"/>
        </w:rPr>
        <w:t>及</w:t>
      </w:r>
      <w:r>
        <w:rPr>
          <w:rFonts w:hint="eastAsia" w:ascii="宋体" w:hAnsi="宋体" w:eastAsia="宋体" w:cs="宋体"/>
          <w:sz w:val="21"/>
          <w:szCs w:val="21"/>
          <w:lang w:val="en-US" w:eastAsia="zh-CN"/>
        </w:rPr>
        <w:t>GB 2763</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规定的检验方法检验。</w:t>
      </w:r>
    </w:p>
    <w:p>
      <w:pPr>
        <w:keepNext w:val="0"/>
        <w:keepLines w:val="0"/>
        <w:pageBreakBefore w:val="0"/>
        <w:widowControl/>
        <w:shd w:val="clear" w:color="auto" w:fill="FFFFFF"/>
        <w:kinsoku/>
        <w:wordWrap/>
        <w:overflowPunct/>
        <w:topLinePunct w:val="0"/>
        <w:autoSpaceDE/>
        <w:autoSpaceDN/>
        <w:bidi w:val="0"/>
        <w:adjustRightInd/>
        <w:snapToGrid/>
        <w:spacing w:before="313" w:beforeLines="100" w:after="313" w:afterLines="100"/>
        <w:textAlignment w:val="auto"/>
        <w:outlineLvl w:val="0"/>
        <w:rPr>
          <w:rFonts w:hint="eastAsia" w:ascii="黑体" w:hAnsi="黑体" w:eastAsia="黑体" w:cs="sans-serif"/>
          <w:kern w:val="0"/>
          <w:sz w:val="21"/>
          <w:szCs w:val="21"/>
          <w:shd w:val="clear" w:color="auto" w:fill="FFFFFF"/>
        </w:rPr>
      </w:pPr>
      <w:r>
        <w:rPr>
          <w:rFonts w:hint="eastAsia" w:ascii="黑体" w:hAnsi="黑体" w:eastAsia="黑体" w:cs="sans-serif"/>
          <w:kern w:val="0"/>
          <w:sz w:val="21"/>
          <w:szCs w:val="21"/>
          <w:shd w:val="clear" w:color="auto" w:fill="FFFFFF"/>
          <w:lang w:val="en-US" w:eastAsia="zh-CN"/>
        </w:rPr>
        <w:t>7</w:t>
      </w:r>
      <w:r>
        <w:rPr>
          <w:rFonts w:hint="eastAsia" w:ascii="黑体" w:hAnsi="黑体" w:eastAsia="黑体" w:cs="sans-serif"/>
          <w:kern w:val="0"/>
          <w:sz w:val="21"/>
          <w:szCs w:val="21"/>
          <w:shd w:val="clear" w:color="auto" w:fill="FFFFFF"/>
        </w:rPr>
        <w:t xml:space="preserve">  检验规则</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 w:val="21"/>
          <w:szCs w:val="21"/>
          <w:shd w:val="clear" w:color="auto" w:fill="FFFFFF"/>
        </w:rPr>
      </w:pPr>
      <w:r>
        <w:rPr>
          <w:rFonts w:hint="eastAsia" w:ascii="黑体" w:hAnsi="黑体" w:eastAsia="黑体" w:cs="sans-serif"/>
          <w:kern w:val="0"/>
          <w:sz w:val="21"/>
          <w:szCs w:val="21"/>
          <w:shd w:val="clear" w:color="auto" w:fill="FFFFFF"/>
          <w:lang w:val="en-US" w:eastAsia="zh-CN"/>
        </w:rPr>
        <w:t>7</w:t>
      </w:r>
      <w:r>
        <w:rPr>
          <w:rFonts w:hint="eastAsia" w:ascii="黑体" w:hAnsi="黑体" w:eastAsia="黑体" w:cs="sans-serif"/>
          <w:kern w:val="0"/>
          <w:sz w:val="21"/>
          <w:szCs w:val="21"/>
          <w:shd w:val="clear" w:color="auto" w:fill="FFFFFF"/>
        </w:rPr>
        <w:t xml:space="preserve">.1 </w:t>
      </w:r>
      <w:r>
        <w:rPr>
          <w:rFonts w:hint="eastAsia" w:ascii="黑体" w:hAnsi="黑体" w:eastAsia="黑体" w:cs="sans-serif"/>
          <w:kern w:val="0"/>
          <w:sz w:val="21"/>
          <w:szCs w:val="21"/>
          <w:shd w:val="clear" w:color="auto" w:fill="FFFFFF"/>
          <w:lang w:val="en-US" w:eastAsia="zh-CN"/>
        </w:rPr>
        <w:t xml:space="preserve"> </w:t>
      </w:r>
      <w:r>
        <w:rPr>
          <w:rFonts w:hint="eastAsia" w:ascii="黑体" w:hAnsi="黑体" w:eastAsia="黑体" w:cs="sans-serif"/>
          <w:kern w:val="0"/>
          <w:sz w:val="21"/>
          <w:szCs w:val="21"/>
          <w:shd w:val="clear" w:color="auto" w:fill="FFFFFF"/>
        </w:rPr>
        <w:t>组批</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同一生产基地、同品种、同规格、同一包装日期的</w:t>
      </w:r>
      <w:r>
        <w:rPr>
          <w:rFonts w:hint="eastAsia" w:ascii="宋体" w:hAnsi="宋体" w:cs="宋体"/>
          <w:sz w:val="21"/>
          <w:szCs w:val="21"/>
          <w:lang w:val="en-US" w:eastAsia="zh-CN"/>
        </w:rPr>
        <w:t>香妃</w:t>
      </w:r>
      <w:r>
        <w:rPr>
          <w:rFonts w:hint="eastAsia" w:ascii="宋体" w:hAnsi="宋体" w:eastAsia="宋体" w:cs="宋体"/>
          <w:sz w:val="21"/>
          <w:szCs w:val="21"/>
          <w:lang w:val="en-US" w:eastAsia="zh-CN"/>
        </w:rPr>
        <w:t>枇杷</w:t>
      </w:r>
      <w:r>
        <w:rPr>
          <w:rFonts w:hint="eastAsia" w:ascii="宋体" w:hAnsi="宋体" w:cs="宋体"/>
          <w:sz w:val="21"/>
          <w:szCs w:val="21"/>
          <w:lang w:val="en-US" w:eastAsia="zh-CN"/>
        </w:rPr>
        <w:t>鲜果</w:t>
      </w:r>
      <w:r>
        <w:rPr>
          <w:rFonts w:hint="eastAsia" w:ascii="宋体" w:hAnsi="宋体" w:eastAsia="宋体" w:cs="宋体"/>
          <w:sz w:val="21"/>
          <w:szCs w:val="21"/>
          <w:lang w:val="en-US" w:eastAsia="zh-CN"/>
        </w:rPr>
        <w:t>作为一个检验批次。</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 w:val="21"/>
          <w:szCs w:val="21"/>
          <w:shd w:val="clear" w:color="auto" w:fill="FFFFFF"/>
        </w:rPr>
      </w:pPr>
      <w:r>
        <w:rPr>
          <w:rFonts w:hint="eastAsia" w:ascii="黑体" w:hAnsi="黑体" w:eastAsia="黑体" w:cs="sans-serif"/>
          <w:kern w:val="0"/>
          <w:sz w:val="21"/>
          <w:szCs w:val="21"/>
          <w:shd w:val="clear" w:color="auto" w:fill="FFFFFF"/>
          <w:lang w:val="en-US" w:eastAsia="zh-CN"/>
        </w:rPr>
        <w:t>7</w:t>
      </w:r>
      <w:r>
        <w:rPr>
          <w:rFonts w:hint="eastAsia" w:ascii="黑体" w:hAnsi="黑体" w:eastAsia="黑体" w:cs="sans-serif"/>
          <w:kern w:val="0"/>
          <w:sz w:val="21"/>
          <w:szCs w:val="21"/>
          <w:shd w:val="clear" w:color="auto" w:fill="FFFFFF"/>
        </w:rPr>
        <w:t xml:space="preserve">.2 </w:t>
      </w:r>
      <w:r>
        <w:rPr>
          <w:rFonts w:hint="eastAsia" w:ascii="黑体" w:hAnsi="黑体" w:eastAsia="黑体" w:cs="sans-serif"/>
          <w:kern w:val="0"/>
          <w:sz w:val="21"/>
          <w:szCs w:val="21"/>
          <w:shd w:val="clear" w:color="auto" w:fill="FFFFFF"/>
          <w:lang w:val="en-US" w:eastAsia="zh-CN"/>
        </w:rPr>
        <w:t xml:space="preserve"> </w:t>
      </w:r>
      <w:r>
        <w:rPr>
          <w:rFonts w:hint="eastAsia" w:ascii="黑体" w:hAnsi="黑体" w:eastAsia="黑体" w:cs="sans-serif"/>
          <w:kern w:val="0"/>
          <w:sz w:val="21"/>
          <w:szCs w:val="21"/>
          <w:shd w:val="clear" w:color="auto" w:fill="FFFFFF"/>
        </w:rPr>
        <w:t>抽样方法</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应按照</w:t>
      </w:r>
      <w:r>
        <w:rPr>
          <w:rFonts w:hint="eastAsia" w:ascii="宋体" w:hAnsi="宋体" w:eastAsia="宋体" w:cs="宋体"/>
          <w:color w:val="auto"/>
          <w:kern w:val="0"/>
          <w:sz w:val="21"/>
          <w:szCs w:val="21"/>
          <w:highlight w:val="none"/>
        </w:rPr>
        <w:t xml:space="preserve">NY/T </w:t>
      </w:r>
      <w:r>
        <w:rPr>
          <w:rFonts w:hint="eastAsia" w:ascii="宋体" w:hAnsi="宋体" w:cs="宋体"/>
          <w:color w:val="auto"/>
          <w:kern w:val="0"/>
          <w:sz w:val="21"/>
          <w:szCs w:val="21"/>
          <w:highlight w:val="none"/>
          <w:lang w:val="en-US" w:eastAsia="zh-CN"/>
        </w:rPr>
        <w:t>896</w:t>
      </w:r>
      <w:r>
        <w:rPr>
          <w:rFonts w:hint="eastAsia" w:ascii="宋体" w:hAnsi="宋体" w:eastAsia="宋体" w:cs="宋体"/>
          <w:color w:val="auto"/>
          <w:sz w:val="21"/>
          <w:szCs w:val="21"/>
          <w:lang w:val="en-US" w:eastAsia="zh-CN"/>
        </w:rPr>
        <w:t>的规定执行，</w:t>
      </w:r>
      <w:r>
        <w:rPr>
          <w:rFonts w:hint="eastAsia" w:ascii="宋体" w:hAnsi="宋体" w:eastAsia="宋体" w:cs="宋体"/>
          <w:sz w:val="21"/>
          <w:szCs w:val="21"/>
          <w:lang w:val="en-US" w:eastAsia="zh-CN"/>
        </w:rPr>
        <w:t>以一个检验批为一个抽样批，抽取的样品应有代表性，应在一个抽样批的不同部位随机抽取。</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ascii="黑体" w:hAnsi="黑体" w:eastAsia="黑体" w:cs="sans-serif"/>
          <w:b w:val="0"/>
          <w:bCs w:val="0"/>
          <w:sz w:val="21"/>
          <w:szCs w:val="21"/>
          <w:shd w:val="clear" w:color="auto" w:fill="FFFFFF"/>
        </w:rPr>
      </w:pPr>
      <w:r>
        <w:rPr>
          <w:rFonts w:hint="eastAsia" w:ascii="黑体" w:hAnsi="黑体" w:eastAsia="黑体" w:cs="sans-serif"/>
          <w:b w:val="0"/>
          <w:bCs w:val="0"/>
          <w:sz w:val="21"/>
          <w:szCs w:val="21"/>
          <w:shd w:val="clear" w:color="auto" w:fill="FFFFFF"/>
          <w:lang w:val="en-US" w:eastAsia="zh-CN"/>
        </w:rPr>
        <w:t>8</w:t>
      </w:r>
      <w:r>
        <w:rPr>
          <w:rFonts w:hint="eastAsia" w:ascii="黑体" w:hAnsi="黑体" w:eastAsia="黑体" w:cs="sans-serif"/>
          <w:b w:val="0"/>
          <w:bCs w:val="0"/>
          <w:sz w:val="21"/>
          <w:szCs w:val="21"/>
          <w:shd w:val="clear" w:color="auto" w:fill="FFFFFF"/>
        </w:rPr>
        <w:t xml:space="preserve">  </w:t>
      </w:r>
      <w:bookmarkStart w:id="20" w:name="OLE_LINK1"/>
      <w:r>
        <w:rPr>
          <w:rFonts w:ascii="黑体" w:hAnsi="黑体" w:eastAsia="黑体" w:cs="sans-serif"/>
          <w:b w:val="0"/>
          <w:bCs w:val="0"/>
          <w:sz w:val="21"/>
          <w:szCs w:val="21"/>
          <w:shd w:val="clear" w:color="auto" w:fill="FFFFFF"/>
        </w:rPr>
        <w:t>标志、包装、运输、贮存</w:t>
      </w:r>
      <w:bookmarkEnd w:id="20"/>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szCs w:val="26"/>
          <w:lang w:val="en-US" w:eastAsia="zh-CN"/>
        </w:rPr>
        <w:t>8</w:t>
      </w:r>
      <w:r>
        <w:rPr>
          <w:rFonts w:hint="eastAsia" w:ascii="黑体" w:hAnsi="黑体" w:eastAsia="黑体" w:cs="monospace"/>
          <w:szCs w:val="26"/>
        </w:rPr>
        <w:t xml:space="preserve">.1 </w:t>
      </w:r>
      <w:r>
        <w:rPr>
          <w:rFonts w:hint="eastAsia" w:ascii="黑体" w:hAnsi="黑体" w:eastAsia="黑体" w:cs="monospace"/>
          <w:szCs w:val="26"/>
          <w:lang w:val="en-US" w:eastAsia="zh-CN"/>
        </w:rPr>
        <w:t xml:space="preserve"> </w:t>
      </w:r>
      <w:r>
        <w:rPr>
          <w:rFonts w:ascii="黑体" w:hAnsi="黑体" w:eastAsia="黑体" w:cs="sans-serif"/>
          <w:kern w:val="0"/>
          <w:szCs w:val="26"/>
          <w:shd w:val="clear" w:color="auto" w:fill="FFFFFF"/>
        </w:rPr>
        <w:t>标志</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rPr>
          <w:rFonts w:hint="eastAsia"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产品包装上应标明产品名称、</w:t>
      </w:r>
      <w:r>
        <w:rPr>
          <w:rFonts w:hint="eastAsia" w:ascii="宋体" w:hAnsi="宋体" w:cs="宋体"/>
          <w:kern w:val="0"/>
          <w:sz w:val="21"/>
          <w:szCs w:val="21"/>
          <w:shd w:val="clear" w:color="auto" w:fill="FFFFFF"/>
          <w:lang w:eastAsia="zh-CN"/>
        </w:rPr>
        <w:t>商标、质量等级、果实净重、</w:t>
      </w:r>
      <w:r>
        <w:rPr>
          <w:rFonts w:hint="eastAsia" w:ascii="宋体" w:hAnsi="宋体" w:eastAsia="宋体" w:cs="宋体"/>
          <w:kern w:val="0"/>
          <w:sz w:val="21"/>
          <w:szCs w:val="21"/>
          <w:shd w:val="clear" w:color="auto" w:fill="FFFFFF"/>
        </w:rPr>
        <w:t>产地、</w:t>
      </w:r>
      <w:r>
        <w:rPr>
          <w:rFonts w:hint="eastAsia" w:ascii="宋体" w:hAnsi="宋体" w:cs="宋体"/>
          <w:kern w:val="0"/>
          <w:sz w:val="21"/>
          <w:szCs w:val="21"/>
          <w:shd w:val="clear" w:color="auto" w:fill="FFFFFF"/>
          <w:lang w:eastAsia="zh-CN"/>
        </w:rPr>
        <w:t>包装</w:t>
      </w:r>
      <w:r>
        <w:rPr>
          <w:rFonts w:hint="eastAsia" w:ascii="宋体" w:hAnsi="宋体" w:eastAsia="宋体" w:cs="宋体"/>
          <w:kern w:val="0"/>
          <w:sz w:val="21"/>
          <w:szCs w:val="21"/>
          <w:shd w:val="clear" w:color="auto" w:fill="FFFFFF"/>
        </w:rPr>
        <w:t>日期、生产单位和经销单位名称，并符合GB/T 32950规定。标志上的字迹应清晰、完整、准确。</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.2</w:t>
      </w:r>
      <w:r>
        <w:rPr>
          <w:rFonts w:hint="eastAsia" w:ascii="黑体" w:hAnsi="黑体" w:eastAsia="黑体" w:cs="monospace"/>
          <w:kern w:val="0"/>
          <w:szCs w:val="26"/>
          <w:shd w:val="clear" w:color="auto" w:fill="FFFFFF"/>
        </w:rPr>
        <w:t xml:space="preserve"> </w:t>
      </w:r>
      <w:r>
        <w:rPr>
          <w:rFonts w:hint="eastAsia" w:ascii="黑体" w:hAnsi="黑体" w:eastAsia="黑体" w:cs="monospace"/>
          <w:kern w:val="0"/>
          <w:szCs w:val="26"/>
          <w:shd w:val="clear" w:color="auto" w:fill="FFFFFF"/>
          <w:lang w:val="en-US" w:eastAsia="zh-CN"/>
        </w:rPr>
        <w:t xml:space="preserve"> </w:t>
      </w:r>
      <w:r>
        <w:rPr>
          <w:rFonts w:ascii="黑体" w:hAnsi="黑体" w:eastAsia="黑体" w:cs="sans-serif"/>
          <w:kern w:val="0"/>
          <w:szCs w:val="26"/>
          <w:shd w:val="clear" w:color="auto" w:fill="FFFFFF"/>
        </w:rPr>
        <w:t>包装</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rPr>
          <w:rFonts w:hint="eastAsia" w:ascii="宋体" w:hAnsi="宋体" w:eastAsia="宋体" w:cs="宋体"/>
          <w:kern w:val="0"/>
          <w:sz w:val="21"/>
          <w:szCs w:val="21"/>
          <w:shd w:val="clear" w:color="auto" w:fill="FFFFFF"/>
        </w:rPr>
      </w:pPr>
      <w:bookmarkStart w:id="21" w:name="OLE_LINK4"/>
      <w:r>
        <w:rPr>
          <w:rFonts w:hint="eastAsia" w:ascii="宋体" w:hAnsi="宋体" w:cs="宋体"/>
          <w:color w:val="000000"/>
          <w:kern w:val="0"/>
          <w:sz w:val="21"/>
          <w:szCs w:val="21"/>
          <w:lang w:eastAsia="zh-CN"/>
        </w:rPr>
        <w:t>应符合</w:t>
      </w:r>
      <w:r>
        <w:rPr>
          <w:rFonts w:hint="eastAsia" w:ascii="宋体" w:hAnsi="宋体" w:eastAsia="宋体" w:cs="宋体"/>
          <w:color w:val="000000"/>
          <w:kern w:val="0"/>
          <w:sz w:val="21"/>
          <w:szCs w:val="21"/>
        </w:rPr>
        <w:t>NY/T 1778</w:t>
      </w:r>
      <w:r>
        <w:rPr>
          <w:rFonts w:hint="eastAsia" w:ascii="宋体" w:hAnsi="宋体" w:cs="宋体"/>
          <w:color w:val="000000"/>
          <w:kern w:val="0"/>
          <w:sz w:val="21"/>
          <w:szCs w:val="21"/>
          <w:lang w:eastAsia="zh-CN"/>
        </w:rPr>
        <w:t>和</w:t>
      </w:r>
      <w:r>
        <w:rPr>
          <w:rFonts w:hint="eastAsia" w:ascii="宋体" w:hAnsi="宋体" w:eastAsia="宋体" w:cs="宋体"/>
          <w:kern w:val="0"/>
          <w:sz w:val="21"/>
          <w:szCs w:val="21"/>
          <w:shd w:val="clear" w:color="auto" w:fill="FFFFFF"/>
        </w:rPr>
        <w:t>NY/T 658</w:t>
      </w:r>
      <w:bookmarkEnd w:id="21"/>
      <w:r>
        <w:rPr>
          <w:rFonts w:hint="eastAsia" w:ascii="宋体" w:hAnsi="宋体" w:eastAsia="宋体" w:cs="宋体"/>
          <w:kern w:val="0"/>
          <w:sz w:val="21"/>
          <w:szCs w:val="21"/>
          <w:shd w:val="clear" w:color="auto" w:fill="FFFFFF"/>
        </w:rPr>
        <w:t>的规定。按同品种、同规格分别包装。内包装采用符合食品卫生要求的纸盒</w:t>
      </w:r>
      <w:r>
        <w:rPr>
          <w:rFonts w:hint="eastAsia" w:ascii="宋体" w:hAnsi="宋体" w:cs="宋体"/>
          <w:kern w:val="0"/>
          <w:sz w:val="21"/>
          <w:szCs w:val="21"/>
          <w:shd w:val="clear" w:color="auto" w:fill="FFFFFF"/>
          <w:lang w:eastAsia="zh-CN"/>
        </w:rPr>
        <w:t>、</w:t>
      </w:r>
      <w:r>
        <w:rPr>
          <w:rFonts w:hint="eastAsia" w:ascii="宋体" w:hAnsi="宋体" w:eastAsia="宋体" w:cs="宋体"/>
          <w:kern w:val="0"/>
          <w:sz w:val="21"/>
          <w:szCs w:val="21"/>
          <w:shd w:val="clear" w:color="auto" w:fill="FFFFFF"/>
        </w:rPr>
        <w:t>塑料小包盒</w:t>
      </w:r>
      <w:r>
        <w:rPr>
          <w:rFonts w:hint="eastAsia" w:ascii="宋体" w:hAnsi="宋体" w:cs="宋体"/>
          <w:kern w:val="0"/>
          <w:sz w:val="21"/>
          <w:szCs w:val="21"/>
          <w:shd w:val="clear" w:color="auto" w:fill="FFFFFF"/>
          <w:lang w:eastAsia="zh-CN"/>
        </w:rPr>
        <w:t>等，应符合</w:t>
      </w:r>
      <w:r>
        <w:rPr>
          <w:rFonts w:hint="eastAsia" w:ascii="宋体" w:hAnsi="宋体" w:eastAsia="宋体" w:cs="宋体"/>
          <w:color w:val="000000"/>
          <w:kern w:val="0"/>
          <w:sz w:val="21"/>
          <w:szCs w:val="21"/>
          <w:highlight w:val="none"/>
        </w:rPr>
        <w:t>GB 4806.7</w:t>
      </w:r>
      <w:r>
        <w:rPr>
          <w:rFonts w:hint="eastAsia" w:ascii="宋体" w:hAnsi="宋体" w:cs="宋体"/>
          <w:color w:val="000000"/>
          <w:kern w:val="0"/>
          <w:sz w:val="21"/>
          <w:szCs w:val="21"/>
          <w:highlight w:val="none"/>
          <w:lang w:eastAsia="zh-CN"/>
        </w:rPr>
        <w:t>的规定要求</w:t>
      </w:r>
      <w:r>
        <w:rPr>
          <w:rFonts w:hint="eastAsia" w:ascii="宋体" w:hAnsi="宋体" w:eastAsia="宋体" w:cs="宋体"/>
          <w:kern w:val="0"/>
          <w:sz w:val="21"/>
          <w:szCs w:val="21"/>
          <w:shd w:val="clear" w:color="auto" w:fill="FFFFFF"/>
        </w:rPr>
        <w:t>。外包装箱应坚固抗压、清洁卫生、干燥、无异味，对产品具有良好的保护作用，有通风气孔。</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.3</w:t>
      </w:r>
      <w:r>
        <w:rPr>
          <w:rFonts w:hint="eastAsia" w:ascii="黑体" w:hAnsi="黑体" w:eastAsia="黑体" w:cs="monospace"/>
          <w:kern w:val="0"/>
          <w:szCs w:val="26"/>
          <w:shd w:val="clear" w:color="auto" w:fill="FFFFFF"/>
        </w:rPr>
        <w:t xml:space="preserve"> </w:t>
      </w:r>
      <w:r>
        <w:rPr>
          <w:rFonts w:hint="eastAsia" w:ascii="黑体" w:hAnsi="黑体" w:eastAsia="黑体" w:cs="monospace"/>
          <w:kern w:val="0"/>
          <w:szCs w:val="26"/>
          <w:shd w:val="clear" w:color="auto" w:fill="FFFFFF"/>
          <w:lang w:val="en-US" w:eastAsia="zh-CN"/>
        </w:rPr>
        <w:t xml:space="preserve"> </w:t>
      </w:r>
      <w:r>
        <w:rPr>
          <w:rFonts w:ascii="黑体" w:hAnsi="黑体" w:eastAsia="黑体" w:cs="sans-serif"/>
          <w:kern w:val="0"/>
          <w:szCs w:val="26"/>
          <w:shd w:val="clear" w:color="auto" w:fill="FFFFFF"/>
        </w:rPr>
        <w:t>运输</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rPr>
          <w:rFonts w:ascii="宋体" w:hAnsi="宋体" w:cs="sans-serif"/>
          <w:kern w:val="0"/>
          <w:sz w:val="21"/>
          <w:szCs w:val="21"/>
          <w:shd w:val="clear" w:color="auto" w:fill="FFFFFF"/>
        </w:rPr>
      </w:pPr>
      <w:r>
        <w:rPr>
          <w:rFonts w:ascii="宋体" w:hAnsi="宋体" w:cs="sans-serif"/>
          <w:kern w:val="0"/>
          <w:sz w:val="21"/>
          <w:szCs w:val="21"/>
          <w:shd w:val="clear" w:color="auto" w:fill="FFFFFF"/>
        </w:rPr>
        <w:t>运输工具应清洁卫生、无异味。不得与有毒、有害、有异味、易污染的物品混运。装卸运输中要注意轻拿轻放，防止</w:t>
      </w:r>
      <w:r>
        <w:rPr>
          <w:rFonts w:hint="eastAsia" w:ascii="宋体" w:hAnsi="宋体" w:cs="sans-serif"/>
          <w:strike w:val="0"/>
          <w:dstrike w:val="0"/>
          <w:color w:val="auto"/>
          <w:kern w:val="0"/>
          <w:sz w:val="21"/>
          <w:szCs w:val="21"/>
          <w:highlight w:val="none"/>
          <w:shd w:val="clear" w:color="auto" w:fill="FFFFFF"/>
          <w:lang w:eastAsia="zh-CN"/>
        </w:rPr>
        <w:t>损伤</w:t>
      </w:r>
      <w:r>
        <w:rPr>
          <w:rFonts w:ascii="宋体" w:hAnsi="宋体" w:cs="sans-serif"/>
          <w:kern w:val="0"/>
          <w:sz w:val="21"/>
          <w:szCs w:val="21"/>
          <w:shd w:val="clear" w:color="auto" w:fill="FFFFFF"/>
        </w:rPr>
        <w:t>，运输中应减少颠簸，长途运输应采用冷藏运输工具。</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rPr>
        <w:t xml:space="preserve"> </w:t>
      </w:r>
      <w:r>
        <w:rPr>
          <w:rFonts w:hint="eastAsia" w:ascii="黑体" w:hAnsi="黑体" w:eastAsia="黑体" w:cs="monospace"/>
          <w:kern w:val="0"/>
          <w:szCs w:val="26"/>
          <w:shd w:val="clear" w:color="auto" w:fill="FFFFFF"/>
          <w:lang w:val="en-US" w:eastAsia="zh-CN"/>
        </w:rPr>
        <w:t xml:space="preserve"> </w:t>
      </w:r>
      <w:r>
        <w:rPr>
          <w:rFonts w:ascii="黑体" w:hAnsi="黑体" w:eastAsia="黑体" w:cs="sans-serif"/>
          <w:kern w:val="0"/>
          <w:szCs w:val="26"/>
          <w:shd w:val="clear" w:color="auto" w:fill="FFFFFF"/>
        </w:rPr>
        <w:t>贮存</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rFonts w:hint="eastAsia" w:ascii="宋体" w:hAnsi="宋体" w:eastAsia="宋体" w:cs="宋体"/>
          <w:kern w:val="0"/>
          <w:sz w:val="21"/>
          <w:szCs w:val="21"/>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.1  </w:t>
      </w:r>
      <w:r>
        <w:rPr>
          <w:rFonts w:hint="eastAsia" w:ascii="宋体" w:hAnsi="宋体" w:eastAsia="宋体" w:cs="宋体"/>
          <w:kern w:val="0"/>
          <w:sz w:val="21"/>
          <w:szCs w:val="21"/>
          <w:shd w:val="clear" w:color="auto" w:fill="FFFFFF"/>
        </w:rPr>
        <w:t>采收后应根据果实的成熟度和品质情况，及时调运或贮存</w:t>
      </w:r>
      <w:r>
        <w:rPr>
          <w:rFonts w:hint="eastAsia" w:ascii="宋体" w:hAnsi="宋体" w:eastAsia="宋体" w:cs="宋体"/>
          <w:kern w:val="0"/>
          <w:sz w:val="21"/>
          <w:szCs w:val="21"/>
          <w:shd w:val="clear" w:color="auto" w:fill="FFFFFF"/>
          <w:lang w:eastAsia="zh-CN"/>
        </w:rPr>
        <w:t>，</w:t>
      </w:r>
      <w:r>
        <w:rPr>
          <w:rFonts w:hint="eastAsia" w:ascii="宋体" w:hAnsi="宋体" w:cs="宋体"/>
          <w:kern w:val="0"/>
          <w:sz w:val="21"/>
          <w:szCs w:val="21"/>
          <w:shd w:val="clear" w:color="auto" w:fill="FFFFFF"/>
          <w:lang w:eastAsia="zh-CN"/>
        </w:rPr>
        <w:t>鲜果</w:t>
      </w:r>
      <w:r>
        <w:rPr>
          <w:rFonts w:hint="eastAsia" w:ascii="宋体" w:hAnsi="宋体" w:eastAsia="宋体" w:cs="宋体"/>
          <w:kern w:val="0"/>
          <w:sz w:val="21"/>
          <w:szCs w:val="21"/>
          <w:shd w:val="clear" w:color="auto" w:fill="FFFFFF"/>
        </w:rPr>
        <w:t>贮存时间</w:t>
      </w:r>
      <w:r>
        <w:rPr>
          <w:rFonts w:hint="eastAsia" w:ascii="宋体" w:hAnsi="宋体" w:cs="宋体"/>
          <w:kern w:val="0"/>
          <w:sz w:val="21"/>
          <w:szCs w:val="21"/>
          <w:shd w:val="clear" w:color="auto" w:fill="FFFFFF"/>
          <w:lang w:eastAsia="zh-CN"/>
        </w:rPr>
        <w:t>不宜超过</w:t>
      </w:r>
      <w:r>
        <w:rPr>
          <w:rFonts w:hint="eastAsia" w:ascii="宋体" w:hAnsi="宋体" w:eastAsia="宋体" w:cs="宋体"/>
          <w:kern w:val="0"/>
          <w:sz w:val="21"/>
          <w:szCs w:val="21"/>
          <w:shd w:val="clear" w:color="auto" w:fill="FFFFFF"/>
        </w:rPr>
        <w:t>7天。</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rFonts w:hint="eastAsia" w:ascii="宋体" w:hAnsi="宋体" w:eastAsia="宋体" w:cs="宋体"/>
          <w:kern w:val="0"/>
          <w:sz w:val="21"/>
          <w:szCs w:val="21"/>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.2  </w:t>
      </w:r>
      <w:r>
        <w:rPr>
          <w:rFonts w:hint="eastAsia" w:ascii="宋体" w:hAnsi="宋体" w:eastAsia="宋体" w:cs="宋体"/>
          <w:kern w:val="0"/>
          <w:sz w:val="21"/>
          <w:szCs w:val="21"/>
          <w:shd w:val="clear" w:color="auto" w:fill="FFFFFF"/>
        </w:rPr>
        <w:t>不得与其他有毒、有异味、发霉、散热及易于传播病虫的物品混合存放。果实贮存保鲜，不得使用化学合成食品添加剂。</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rFonts w:hint="eastAsia" w:ascii="宋体" w:hAnsi="宋体" w:eastAsia="宋体" w:cs="宋体"/>
          <w:kern w:val="0"/>
          <w:sz w:val="21"/>
          <w:szCs w:val="21"/>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.3  </w:t>
      </w:r>
      <w:r>
        <w:rPr>
          <w:rFonts w:hint="eastAsia" w:ascii="宋体" w:hAnsi="宋体" w:eastAsia="宋体" w:cs="宋体"/>
          <w:kern w:val="0"/>
          <w:sz w:val="21"/>
          <w:szCs w:val="21"/>
          <w:shd w:val="clear" w:color="auto" w:fill="FFFFFF"/>
        </w:rPr>
        <w:t>中期贮存保鲜应采用保鲜包装，经安全有效的杀菌剂处理后，置于7</w:t>
      </w:r>
      <w:r>
        <w:rPr>
          <w:rFonts w:hint="eastAsia" w:ascii="宋体" w:hAnsi="宋体" w:cs="宋体"/>
          <w:w w:val="50"/>
          <w:kern w:val="0"/>
          <w:sz w:val="21"/>
          <w:szCs w:val="21"/>
          <w:shd w:val="clear" w:color="auto" w:fill="FFFFFF"/>
          <w:lang w:val="en-US" w:eastAsia="zh-CN"/>
        </w:rPr>
        <w:t xml:space="preserve"> </w:t>
      </w:r>
      <w:r>
        <w:rPr>
          <w:rFonts w:hint="eastAsia" w:ascii="宋体" w:hAnsi="宋体" w:eastAsia="宋体" w:cs="宋体"/>
          <w:kern w:val="0"/>
          <w:sz w:val="21"/>
          <w:szCs w:val="21"/>
          <w:shd w:val="clear" w:color="auto" w:fill="FFFFFF"/>
        </w:rPr>
        <w:t>℃±3</w:t>
      </w:r>
      <w:r>
        <w:rPr>
          <w:rFonts w:hint="eastAsia" w:ascii="宋体" w:hAnsi="宋体" w:cs="宋体"/>
          <w:w w:val="50"/>
          <w:kern w:val="0"/>
          <w:sz w:val="21"/>
          <w:szCs w:val="21"/>
          <w:shd w:val="clear" w:color="auto" w:fill="FFFFFF"/>
          <w:lang w:val="en-US" w:eastAsia="zh-CN"/>
        </w:rPr>
        <w:t xml:space="preserve"> </w:t>
      </w:r>
      <w:r>
        <w:rPr>
          <w:rFonts w:hint="eastAsia" w:ascii="宋体" w:hAnsi="宋体" w:eastAsia="宋体" w:cs="宋体"/>
          <w:kern w:val="0"/>
          <w:sz w:val="21"/>
          <w:szCs w:val="21"/>
          <w:shd w:val="clear" w:color="auto" w:fill="FFFFFF"/>
        </w:rPr>
        <w:t>℃冷库中贮存。</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color w:val="auto"/>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.4  </w:t>
      </w:r>
      <w:r>
        <w:rPr>
          <w:rFonts w:hint="eastAsia" w:ascii="宋体" w:hAnsi="宋体" w:eastAsia="宋体" w:cs="宋体"/>
          <w:kern w:val="0"/>
          <w:sz w:val="21"/>
          <w:szCs w:val="21"/>
          <w:shd w:val="clear" w:color="auto" w:fill="FFFFFF"/>
        </w:rPr>
        <w:t>贮存库码放时不得直接着地或靠墙，码垛不得过高，垛间留有通道，注意防蝇防鼠。</w:t>
      </w:r>
    </w:p>
    <w:p>
      <w:pPr>
        <w:keepNext w:val="0"/>
        <w:keepLines w:val="0"/>
        <w:pageBreakBefore w:val="0"/>
        <w:widowControl/>
        <w:shd w:val="clear" w:color="auto" w:fill="FFFFFF"/>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21"/>
          <w:szCs w:val="21"/>
          <w:shd w:val="clear" w:color="auto" w:fill="FFFFFF"/>
        </w:rPr>
      </w:pPr>
      <w:r>
        <w:rPr>
          <w:color w:val="auto"/>
        </w:rPr>
        <w:drawing>
          <wp:inline distT="0" distB="0" distL="114935" distR="114935">
            <wp:extent cx="1485900" cy="340995"/>
            <wp:effectExtent l="0" t="0" r="7620" b="952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9"/>
                    <a:stretch>
                      <a:fillRect/>
                    </a:stretch>
                  </pic:blipFill>
                  <pic:spPr>
                    <a:xfrm>
                      <a:off x="0" y="0"/>
                      <a:ext cx="1485900" cy="340995"/>
                    </a:xfrm>
                    <a:prstGeom prst="rect">
                      <a:avLst/>
                    </a:prstGeom>
                    <a:noFill/>
                    <a:ln>
                      <a:noFill/>
                    </a:ln>
                  </pic:spPr>
                </pic:pic>
              </a:graphicData>
            </a:graphic>
          </wp:inline>
        </w:drawing>
      </w:r>
    </w:p>
    <w:sectPr>
      <w:headerReference r:id="rId12" w:type="default"/>
      <w:footerReference r:id="rId14" w:type="default"/>
      <w:headerReference r:id="rId13" w:type="even"/>
      <w:footerReference r:id="rId15" w:type="even"/>
      <w:pgSz w:w="11906" w:h="16838"/>
      <w:pgMar w:top="1417" w:right="1134" w:bottom="1134" w:left="1417" w:header="1417" w:footer="1134" w:gutter="0"/>
      <w:pgBorders>
        <w:top w:val="none" w:sz="0" w:space="0"/>
        <w:left w:val="none" w:sz="0" w:space="0"/>
        <w:bottom w:val="none" w:sz="0" w:space="0"/>
        <w:right w:val="none" w:sz="0" w:space="0"/>
      </w:pgBorders>
      <w:pgNumType w:fmt="decimal" w:start="1"/>
      <w:cols w:space="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ind w:firstLine="8910" w:firstLineChars="4950"/>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ind w:firstLine="8910" w:firstLineChars="495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3081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30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0.3pt;width:144pt;mso-position-horizontal:outside;mso-position-horizontal-relative:margin;mso-wrap-style:none;z-index:251659264;mso-width-relative:page;mso-height-relative:page;" filled="f" stroked="f" coordsize="21600,21600" o:gfxdata="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dTqR50wAAAAQBAAAPAAAAAAAAAAEAIAAAACIAAABkcnMvZG93bnJldi54bWxQ&#10;SwECFAAUAAAACACHTuJAsU7+HDUCAABgBAAADgAAAAAAAAABACAAAAAiAQAAZHJzL2Uyb0RvYy54&#10;bWxQSwUGAAAAAAYABgBZAQAAyQUAAAAA&#10;">
              <v:fill on="f" focussize="0,0"/>
              <v:stroke on="f" weight="0.5pt"/>
              <v:imagedata o:title=""/>
              <o:lock v:ext="edit" aspectratio="f"/>
              <v:textbox inset="0mm,0mm,0mm,0mm">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ind w:firstLine="8910" w:firstLineChars="4950"/>
    </w:pPr>
    <w:r>
      <w:fldChar w:fldCharType="begin"/>
    </w:r>
    <w:r>
      <w:instrText xml:space="preserve"> PAGE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ind w:firstLine="8910" w:firstLineChars="495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Bdr>
        <w:bottom w:val="none" w:color="auto" w:sz="0" w:space="0"/>
      </w:pBdr>
    </w:pPr>
    <w:r>
      <w:t>T/</w:t>
    </w:r>
    <w:r>
      <w:rPr>
        <w:rFonts w:hint="eastAsia"/>
      </w:rPr>
      <w:t xml:space="preserve">XXX </w:t>
    </w:r>
    <w:r>
      <w:t>XXX</w:t>
    </w:r>
    <w:r>
      <w:rPr>
        <w:rFonts w:hint="eastAsia"/>
      </w:rPr>
      <w:t>-20</w:t>
    </w:r>
    <w:r>
      <w:t>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t>T/</w:t>
    </w:r>
    <w:r>
      <w:rPr>
        <w:rFonts w:hint="eastAsia"/>
        <w:lang w:val="en-US" w:eastAsia="zh-CN"/>
      </w:rPr>
      <w:t>SZNB</w:t>
    </w:r>
    <w:r>
      <w:rPr>
        <w:rFonts w:hint="eastAsia"/>
      </w:rPr>
      <w:t xml:space="preserve"> </w:t>
    </w:r>
    <w:r>
      <w:t>XXX</w:t>
    </w:r>
    <w:r>
      <w:rPr>
        <w:rFonts w:hint="eastAsia"/>
      </w:rPr>
      <w:t>-20</w:t>
    </w:r>
    <w: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left"/>
    </w:pPr>
    <w:r>
      <w:t>T/</w:t>
    </w:r>
    <w:r>
      <w:rPr>
        <w:rFonts w:hint="eastAsia"/>
        <w:lang w:val="en-US" w:eastAsia="zh-CN"/>
      </w:rPr>
      <w:t>SZNB</w:t>
    </w:r>
    <w:r>
      <w:rPr>
        <w:rFonts w:hint="eastAsia"/>
      </w:rPr>
      <w:t xml:space="preserve"> </w:t>
    </w:r>
    <w:r>
      <w:t>XXX</w:t>
    </w:r>
    <w:r>
      <w:rPr>
        <w:rFonts w:hint="eastAsia"/>
      </w:rPr>
      <w:t>-20</w:t>
    </w:r>
    <w:r>
      <w:t>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jc w:val="right"/>
    </w:pPr>
    <w:r>
      <w:t>T/</w:t>
    </w:r>
    <w:r>
      <w:rPr>
        <w:rFonts w:hint="eastAsia"/>
        <w:lang w:val="en-US" w:eastAsia="zh-CN"/>
      </w:rPr>
      <w:t>SZNB</w:t>
    </w:r>
    <w:r>
      <w:rPr>
        <w:rFonts w:hint="eastAsia"/>
      </w:rPr>
      <w:t xml:space="preserve"> </w:t>
    </w:r>
    <w:r>
      <w:t>XXX</w:t>
    </w:r>
    <w:r>
      <w:rPr>
        <w:rFonts w:hint="eastAsia"/>
      </w:rPr>
      <w:t>-20</w:t>
    </w:r>
    <w:r>
      <w:t>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Bdr>
        <w:bottom w:val="none" w:color="auto" w:sz="0" w:space="0"/>
      </w:pBdr>
    </w:pPr>
    <w:r>
      <w:t>T/</w:t>
    </w:r>
    <w:r>
      <w:rPr>
        <w:rFonts w:hint="eastAsia"/>
      </w:rPr>
      <w:t xml:space="preserve">XXX </w:t>
    </w:r>
    <w:r>
      <w:t>XXX</w:t>
    </w:r>
    <w:r>
      <w:rPr>
        <w:rFonts w:hint="eastAsia"/>
      </w:rPr>
      <w:t>-20</w:t>
    </w:r>
    <w: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tentative="0">
      <w:start w:val="1"/>
      <w:numFmt w:val="none"/>
      <w:pStyle w:val="16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suff w:val="nothing"/>
      <w:lvlText w:val="%10.%2.%3 "/>
      <w:lvlJc w:val="left"/>
      <w:pPr>
        <w:ind w:left="0" w:firstLine="0"/>
      </w:pPr>
      <w:rPr>
        <w:rFonts w:hint="eastAsia" w:ascii="黑体" w:hAnsi="等线" w:eastAsia="黑体"/>
        <w:b w:val="0"/>
        <w:i w:val="0"/>
        <w:sz w:val="21"/>
      </w:rPr>
    </w:lvl>
    <w:lvl w:ilvl="3" w:tentative="0">
      <w:start w:val="1"/>
      <w:numFmt w:val="decimal"/>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093C6778"/>
    <w:multiLevelType w:val="multilevel"/>
    <w:tmpl w:val="093C6778"/>
    <w:lvl w:ilvl="0" w:tentative="0">
      <w:start w:val="1"/>
      <w:numFmt w:val="decimal"/>
      <w:pStyle w:val="11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12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1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6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4"/>
      <w:suff w:val="nothing"/>
      <w:lvlText w:val="%1.%2.%3　"/>
      <w:lvlJc w:val="left"/>
      <w:pPr>
        <w:ind w:left="426"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6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96"/>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46"/>
      <w:suff w:val="nothing"/>
      <w:lvlText w:val="%1——"/>
      <w:lvlJc w:val="left"/>
      <w:pPr>
        <w:ind w:left="833" w:hanging="408"/>
      </w:pPr>
      <w:rPr>
        <w:rFonts w:hint="eastAsia"/>
      </w:rPr>
    </w:lvl>
    <w:lvl w:ilvl="1" w:tentative="0">
      <w:start w:val="1"/>
      <w:numFmt w:val="bullet"/>
      <w:pStyle w:val="4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5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6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03"/>
      <w:lvlText w:val="%1)"/>
      <w:lvlJc w:val="left"/>
      <w:pPr>
        <w:tabs>
          <w:tab w:val="left" w:pos="839"/>
        </w:tabs>
        <w:ind w:left="839" w:hanging="419"/>
      </w:pPr>
      <w:rPr>
        <w:rFonts w:hint="eastAsia" w:ascii="宋体" w:eastAsia="宋体"/>
        <w:b w:val="0"/>
        <w:i w:val="0"/>
        <w:sz w:val="21"/>
      </w:rPr>
    </w:lvl>
    <w:lvl w:ilvl="1" w:tentative="0">
      <w:start w:val="1"/>
      <w:numFmt w:val="decimal"/>
      <w:pStyle w:val="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7"/>
  </w:num>
  <w:num w:numId="3">
    <w:abstractNumId w:val="10"/>
  </w:num>
  <w:num w:numId="4">
    <w:abstractNumId w:val="3"/>
  </w:num>
  <w:num w:numId="5">
    <w:abstractNumId w:val="12"/>
  </w:num>
  <w:num w:numId="6">
    <w:abstractNumId w:val="18"/>
  </w:num>
  <w:num w:numId="7">
    <w:abstractNumId w:val="0"/>
  </w:num>
  <w:num w:numId="8">
    <w:abstractNumId w:val="13"/>
  </w:num>
  <w:num w:numId="9">
    <w:abstractNumId w:val="8"/>
  </w:num>
  <w:num w:numId="10">
    <w:abstractNumId w:val="6"/>
  </w:num>
  <w:num w:numId="11">
    <w:abstractNumId w:val="16"/>
  </w:num>
  <w:num w:numId="12">
    <w:abstractNumId w:val="14"/>
  </w:num>
  <w:num w:numId="13">
    <w:abstractNumId w:val="17"/>
  </w:num>
  <w:num w:numId="14">
    <w:abstractNumId w:val="9"/>
  </w:num>
  <w:num w:numId="15">
    <w:abstractNumId w:val="2"/>
  </w:num>
  <w:num w:numId="16">
    <w:abstractNumId w:val="5"/>
  </w:num>
  <w:num w:numId="17">
    <w:abstractNumId w:val="15"/>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dit="forms" w:enforcement="0"/>
  <w:defaultTabStop w:val="420"/>
  <w:evenAndOddHeaders w:val="1"/>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13D86"/>
    <w:rsid w:val="00013E02"/>
    <w:rsid w:val="000171D8"/>
    <w:rsid w:val="0002143C"/>
    <w:rsid w:val="00025A65"/>
    <w:rsid w:val="00026C31"/>
    <w:rsid w:val="00027280"/>
    <w:rsid w:val="000320A7"/>
    <w:rsid w:val="00035683"/>
    <w:rsid w:val="00035925"/>
    <w:rsid w:val="000440EA"/>
    <w:rsid w:val="000458A5"/>
    <w:rsid w:val="00057469"/>
    <w:rsid w:val="00062B8F"/>
    <w:rsid w:val="00067CDF"/>
    <w:rsid w:val="00071F16"/>
    <w:rsid w:val="00072A4F"/>
    <w:rsid w:val="00074FBE"/>
    <w:rsid w:val="00083A09"/>
    <w:rsid w:val="0009005E"/>
    <w:rsid w:val="00092857"/>
    <w:rsid w:val="000A08C2"/>
    <w:rsid w:val="000A20A9"/>
    <w:rsid w:val="000A48B1"/>
    <w:rsid w:val="000B3143"/>
    <w:rsid w:val="000C6B05"/>
    <w:rsid w:val="000C6DD6"/>
    <w:rsid w:val="000C73D4"/>
    <w:rsid w:val="000D2CF3"/>
    <w:rsid w:val="000D3D4C"/>
    <w:rsid w:val="000D4F51"/>
    <w:rsid w:val="000D66D4"/>
    <w:rsid w:val="000D718B"/>
    <w:rsid w:val="000E0C46"/>
    <w:rsid w:val="000F030C"/>
    <w:rsid w:val="000F129C"/>
    <w:rsid w:val="001056DE"/>
    <w:rsid w:val="001058FF"/>
    <w:rsid w:val="00107405"/>
    <w:rsid w:val="001124C0"/>
    <w:rsid w:val="001143D8"/>
    <w:rsid w:val="00122817"/>
    <w:rsid w:val="00126714"/>
    <w:rsid w:val="00131514"/>
    <w:rsid w:val="0013175F"/>
    <w:rsid w:val="00136529"/>
    <w:rsid w:val="00143806"/>
    <w:rsid w:val="00144285"/>
    <w:rsid w:val="0014794D"/>
    <w:rsid w:val="001512B4"/>
    <w:rsid w:val="001620A5"/>
    <w:rsid w:val="00162506"/>
    <w:rsid w:val="00164E53"/>
    <w:rsid w:val="0016699D"/>
    <w:rsid w:val="00175159"/>
    <w:rsid w:val="00176208"/>
    <w:rsid w:val="00177A2C"/>
    <w:rsid w:val="0018211B"/>
    <w:rsid w:val="001840D3"/>
    <w:rsid w:val="001900F8"/>
    <w:rsid w:val="00190EB6"/>
    <w:rsid w:val="00191258"/>
    <w:rsid w:val="00192680"/>
    <w:rsid w:val="00193037"/>
    <w:rsid w:val="00193A2C"/>
    <w:rsid w:val="001A1E42"/>
    <w:rsid w:val="001A288E"/>
    <w:rsid w:val="001B003C"/>
    <w:rsid w:val="001B6DC2"/>
    <w:rsid w:val="001C149C"/>
    <w:rsid w:val="001C21AC"/>
    <w:rsid w:val="001C47BA"/>
    <w:rsid w:val="001C59EA"/>
    <w:rsid w:val="001C7AE9"/>
    <w:rsid w:val="001D406C"/>
    <w:rsid w:val="001D41EE"/>
    <w:rsid w:val="001D4D57"/>
    <w:rsid w:val="001E0380"/>
    <w:rsid w:val="001E13B1"/>
    <w:rsid w:val="001F2CF6"/>
    <w:rsid w:val="001F3A19"/>
    <w:rsid w:val="001F77BE"/>
    <w:rsid w:val="00204BFE"/>
    <w:rsid w:val="00205C49"/>
    <w:rsid w:val="002263CF"/>
    <w:rsid w:val="00232E8E"/>
    <w:rsid w:val="00234467"/>
    <w:rsid w:val="00237D8D"/>
    <w:rsid w:val="00240E8B"/>
    <w:rsid w:val="00241DA2"/>
    <w:rsid w:val="00246165"/>
    <w:rsid w:val="00247FEE"/>
    <w:rsid w:val="00250E7D"/>
    <w:rsid w:val="002565D5"/>
    <w:rsid w:val="002622C0"/>
    <w:rsid w:val="00265803"/>
    <w:rsid w:val="002778AE"/>
    <w:rsid w:val="0028269A"/>
    <w:rsid w:val="00283590"/>
    <w:rsid w:val="00286973"/>
    <w:rsid w:val="00294E70"/>
    <w:rsid w:val="002A1924"/>
    <w:rsid w:val="002A6255"/>
    <w:rsid w:val="002A6C70"/>
    <w:rsid w:val="002A7420"/>
    <w:rsid w:val="002B0F12"/>
    <w:rsid w:val="002B1308"/>
    <w:rsid w:val="002B4554"/>
    <w:rsid w:val="002C5BDA"/>
    <w:rsid w:val="002C72D8"/>
    <w:rsid w:val="002D11FA"/>
    <w:rsid w:val="002D35E4"/>
    <w:rsid w:val="002E0DDF"/>
    <w:rsid w:val="002E2906"/>
    <w:rsid w:val="002E363B"/>
    <w:rsid w:val="002E5635"/>
    <w:rsid w:val="002E64C3"/>
    <w:rsid w:val="002E6A2C"/>
    <w:rsid w:val="002F1D8C"/>
    <w:rsid w:val="002F21DA"/>
    <w:rsid w:val="00300AB0"/>
    <w:rsid w:val="00301F39"/>
    <w:rsid w:val="00302A04"/>
    <w:rsid w:val="00325926"/>
    <w:rsid w:val="00327A8A"/>
    <w:rsid w:val="00334C3F"/>
    <w:rsid w:val="00336610"/>
    <w:rsid w:val="00343F73"/>
    <w:rsid w:val="00345060"/>
    <w:rsid w:val="0035323B"/>
    <w:rsid w:val="003562BC"/>
    <w:rsid w:val="003601F3"/>
    <w:rsid w:val="003609D2"/>
    <w:rsid w:val="00363F22"/>
    <w:rsid w:val="00365705"/>
    <w:rsid w:val="00370E38"/>
    <w:rsid w:val="00375564"/>
    <w:rsid w:val="00380E8C"/>
    <w:rsid w:val="00383191"/>
    <w:rsid w:val="00386DED"/>
    <w:rsid w:val="003912E7"/>
    <w:rsid w:val="0039152E"/>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07B37"/>
    <w:rsid w:val="00415F3A"/>
    <w:rsid w:val="00425082"/>
    <w:rsid w:val="00430F46"/>
    <w:rsid w:val="00431DEB"/>
    <w:rsid w:val="00442E9D"/>
    <w:rsid w:val="00445265"/>
    <w:rsid w:val="00446B29"/>
    <w:rsid w:val="00453449"/>
    <w:rsid w:val="00453F9A"/>
    <w:rsid w:val="004617F8"/>
    <w:rsid w:val="00471E91"/>
    <w:rsid w:val="00474675"/>
    <w:rsid w:val="0047470C"/>
    <w:rsid w:val="004A35F9"/>
    <w:rsid w:val="004A43EC"/>
    <w:rsid w:val="004A449E"/>
    <w:rsid w:val="004B24C1"/>
    <w:rsid w:val="004C25AA"/>
    <w:rsid w:val="004C292F"/>
    <w:rsid w:val="004F4D4F"/>
    <w:rsid w:val="0050172D"/>
    <w:rsid w:val="00502FF6"/>
    <w:rsid w:val="00510280"/>
    <w:rsid w:val="00513D73"/>
    <w:rsid w:val="00514A43"/>
    <w:rsid w:val="0051732B"/>
    <w:rsid w:val="005174E5"/>
    <w:rsid w:val="00522393"/>
    <w:rsid w:val="00522620"/>
    <w:rsid w:val="00525656"/>
    <w:rsid w:val="00534C02"/>
    <w:rsid w:val="005358AB"/>
    <w:rsid w:val="0054264B"/>
    <w:rsid w:val="00543786"/>
    <w:rsid w:val="005533D7"/>
    <w:rsid w:val="005647C7"/>
    <w:rsid w:val="00567BFC"/>
    <w:rsid w:val="005703DE"/>
    <w:rsid w:val="00572DEC"/>
    <w:rsid w:val="00574029"/>
    <w:rsid w:val="005757F8"/>
    <w:rsid w:val="0058464E"/>
    <w:rsid w:val="00593B48"/>
    <w:rsid w:val="005A01CB"/>
    <w:rsid w:val="005A2406"/>
    <w:rsid w:val="005A58FF"/>
    <w:rsid w:val="005A5EAF"/>
    <w:rsid w:val="005A64C0"/>
    <w:rsid w:val="005B3C11"/>
    <w:rsid w:val="005C1C28"/>
    <w:rsid w:val="005C5383"/>
    <w:rsid w:val="005C6DB5"/>
    <w:rsid w:val="005D15CF"/>
    <w:rsid w:val="005E19E7"/>
    <w:rsid w:val="005F0D35"/>
    <w:rsid w:val="005F14B4"/>
    <w:rsid w:val="006047E2"/>
    <w:rsid w:val="006066A2"/>
    <w:rsid w:val="006141BC"/>
    <w:rsid w:val="00616C7E"/>
    <w:rsid w:val="0061716C"/>
    <w:rsid w:val="006237CF"/>
    <w:rsid w:val="006243A1"/>
    <w:rsid w:val="00624F90"/>
    <w:rsid w:val="00626518"/>
    <w:rsid w:val="00632E56"/>
    <w:rsid w:val="00635CBA"/>
    <w:rsid w:val="0064338B"/>
    <w:rsid w:val="0064522E"/>
    <w:rsid w:val="00646542"/>
    <w:rsid w:val="006504F4"/>
    <w:rsid w:val="00654BC9"/>
    <w:rsid w:val="006552FD"/>
    <w:rsid w:val="00663AF3"/>
    <w:rsid w:val="00666B6C"/>
    <w:rsid w:val="0066704A"/>
    <w:rsid w:val="00670610"/>
    <w:rsid w:val="00682682"/>
    <w:rsid w:val="00682702"/>
    <w:rsid w:val="00682CAE"/>
    <w:rsid w:val="00692368"/>
    <w:rsid w:val="006954BC"/>
    <w:rsid w:val="006A2EBC"/>
    <w:rsid w:val="006A5EA0"/>
    <w:rsid w:val="006A783B"/>
    <w:rsid w:val="006A7B33"/>
    <w:rsid w:val="006B2DC0"/>
    <w:rsid w:val="006B4E13"/>
    <w:rsid w:val="006B75DD"/>
    <w:rsid w:val="006C67E0"/>
    <w:rsid w:val="006C7ABA"/>
    <w:rsid w:val="006D0D60"/>
    <w:rsid w:val="006D1122"/>
    <w:rsid w:val="006D3C00"/>
    <w:rsid w:val="006D6CF4"/>
    <w:rsid w:val="006E3675"/>
    <w:rsid w:val="006E4A7F"/>
    <w:rsid w:val="006E6067"/>
    <w:rsid w:val="00704DF6"/>
    <w:rsid w:val="0070651C"/>
    <w:rsid w:val="007132A3"/>
    <w:rsid w:val="00714939"/>
    <w:rsid w:val="00716421"/>
    <w:rsid w:val="00722FB8"/>
    <w:rsid w:val="00724EFB"/>
    <w:rsid w:val="00733513"/>
    <w:rsid w:val="007367C3"/>
    <w:rsid w:val="007419C3"/>
    <w:rsid w:val="00743C77"/>
    <w:rsid w:val="00744F22"/>
    <w:rsid w:val="007467A7"/>
    <w:rsid w:val="007469DD"/>
    <w:rsid w:val="0074741B"/>
    <w:rsid w:val="0074759E"/>
    <w:rsid w:val="007478EA"/>
    <w:rsid w:val="0075415C"/>
    <w:rsid w:val="00755C43"/>
    <w:rsid w:val="00763502"/>
    <w:rsid w:val="00767F6C"/>
    <w:rsid w:val="00790507"/>
    <w:rsid w:val="00790584"/>
    <w:rsid w:val="007913AB"/>
    <w:rsid w:val="007914F7"/>
    <w:rsid w:val="007B1625"/>
    <w:rsid w:val="007B706E"/>
    <w:rsid w:val="007B71EB"/>
    <w:rsid w:val="007C24AA"/>
    <w:rsid w:val="007C6205"/>
    <w:rsid w:val="007C686A"/>
    <w:rsid w:val="007C728E"/>
    <w:rsid w:val="007D2C53"/>
    <w:rsid w:val="007D3D60"/>
    <w:rsid w:val="007E09CB"/>
    <w:rsid w:val="007E1980"/>
    <w:rsid w:val="007E4B76"/>
    <w:rsid w:val="007E5EA8"/>
    <w:rsid w:val="007F0CF1"/>
    <w:rsid w:val="007F12A5"/>
    <w:rsid w:val="007F27BC"/>
    <w:rsid w:val="007F4CF1"/>
    <w:rsid w:val="007F758D"/>
    <w:rsid w:val="007F7D52"/>
    <w:rsid w:val="00803A5D"/>
    <w:rsid w:val="0080654C"/>
    <w:rsid w:val="008071C6"/>
    <w:rsid w:val="00817A00"/>
    <w:rsid w:val="008250AC"/>
    <w:rsid w:val="00834F89"/>
    <w:rsid w:val="00835DB3"/>
    <w:rsid w:val="0083617B"/>
    <w:rsid w:val="008371BD"/>
    <w:rsid w:val="00847E84"/>
    <w:rsid w:val="008504A8"/>
    <w:rsid w:val="0085282E"/>
    <w:rsid w:val="00871811"/>
    <w:rsid w:val="0087198C"/>
    <w:rsid w:val="00872C1F"/>
    <w:rsid w:val="00873B42"/>
    <w:rsid w:val="0088026F"/>
    <w:rsid w:val="008856D8"/>
    <w:rsid w:val="00892E82"/>
    <w:rsid w:val="008A1143"/>
    <w:rsid w:val="008A5A6A"/>
    <w:rsid w:val="008B0704"/>
    <w:rsid w:val="008B55F8"/>
    <w:rsid w:val="008C1B58"/>
    <w:rsid w:val="008C39AE"/>
    <w:rsid w:val="008C590D"/>
    <w:rsid w:val="008C7BBA"/>
    <w:rsid w:val="008E031B"/>
    <w:rsid w:val="008E6BB6"/>
    <w:rsid w:val="008E7029"/>
    <w:rsid w:val="008E7EF6"/>
    <w:rsid w:val="008F11A8"/>
    <w:rsid w:val="008F1F98"/>
    <w:rsid w:val="008F53BA"/>
    <w:rsid w:val="008F6758"/>
    <w:rsid w:val="009040DD"/>
    <w:rsid w:val="00905B47"/>
    <w:rsid w:val="00907FFE"/>
    <w:rsid w:val="0091331C"/>
    <w:rsid w:val="009171CB"/>
    <w:rsid w:val="00922BE1"/>
    <w:rsid w:val="009279DE"/>
    <w:rsid w:val="00930116"/>
    <w:rsid w:val="0094212C"/>
    <w:rsid w:val="00945FE3"/>
    <w:rsid w:val="00946E11"/>
    <w:rsid w:val="00954689"/>
    <w:rsid w:val="009617C9"/>
    <w:rsid w:val="00961C93"/>
    <w:rsid w:val="00963D8B"/>
    <w:rsid w:val="00965324"/>
    <w:rsid w:val="0097091E"/>
    <w:rsid w:val="009760D3"/>
    <w:rsid w:val="00977132"/>
    <w:rsid w:val="00981A4B"/>
    <w:rsid w:val="00982501"/>
    <w:rsid w:val="00985826"/>
    <w:rsid w:val="009877D3"/>
    <w:rsid w:val="00994E8F"/>
    <w:rsid w:val="009951DC"/>
    <w:rsid w:val="009959BB"/>
    <w:rsid w:val="00997158"/>
    <w:rsid w:val="009A3A7C"/>
    <w:rsid w:val="009B22CD"/>
    <w:rsid w:val="009B2ADB"/>
    <w:rsid w:val="009B603A"/>
    <w:rsid w:val="009B676C"/>
    <w:rsid w:val="009C0B7F"/>
    <w:rsid w:val="009C2D0E"/>
    <w:rsid w:val="009C3DAC"/>
    <w:rsid w:val="009C42E0"/>
    <w:rsid w:val="009D5362"/>
    <w:rsid w:val="009D7C75"/>
    <w:rsid w:val="009E1415"/>
    <w:rsid w:val="009E6116"/>
    <w:rsid w:val="009F1F6C"/>
    <w:rsid w:val="009F66DE"/>
    <w:rsid w:val="00A02E43"/>
    <w:rsid w:val="00A065F9"/>
    <w:rsid w:val="00A07F34"/>
    <w:rsid w:val="00A217E4"/>
    <w:rsid w:val="00A22154"/>
    <w:rsid w:val="00A25C38"/>
    <w:rsid w:val="00A34656"/>
    <w:rsid w:val="00A36BBE"/>
    <w:rsid w:val="00A4307A"/>
    <w:rsid w:val="00A47EBB"/>
    <w:rsid w:val="00A51CDD"/>
    <w:rsid w:val="00A6730D"/>
    <w:rsid w:val="00A70CCE"/>
    <w:rsid w:val="00A71625"/>
    <w:rsid w:val="00A71B9B"/>
    <w:rsid w:val="00A751C7"/>
    <w:rsid w:val="00A769D1"/>
    <w:rsid w:val="00A87844"/>
    <w:rsid w:val="00AA038C"/>
    <w:rsid w:val="00AA3DF7"/>
    <w:rsid w:val="00AA4930"/>
    <w:rsid w:val="00AA7A09"/>
    <w:rsid w:val="00AB3B50"/>
    <w:rsid w:val="00AC05B1"/>
    <w:rsid w:val="00AC43BF"/>
    <w:rsid w:val="00AD356C"/>
    <w:rsid w:val="00AD37DB"/>
    <w:rsid w:val="00AE2914"/>
    <w:rsid w:val="00AE6452"/>
    <w:rsid w:val="00AE6D15"/>
    <w:rsid w:val="00B007F9"/>
    <w:rsid w:val="00B04182"/>
    <w:rsid w:val="00B07AE3"/>
    <w:rsid w:val="00B11430"/>
    <w:rsid w:val="00B2256C"/>
    <w:rsid w:val="00B33D35"/>
    <w:rsid w:val="00B353EB"/>
    <w:rsid w:val="00B375CE"/>
    <w:rsid w:val="00B42D68"/>
    <w:rsid w:val="00B439C4"/>
    <w:rsid w:val="00B4535E"/>
    <w:rsid w:val="00B5295D"/>
    <w:rsid w:val="00B52A8C"/>
    <w:rsid w:val="00B636A8"/>
    <w:rsid w:val="00B644CE"/>
    <w:rsid w:val="00B665C6"/>
    <w:rsid w:val="00B75515"/>
    <w:rsid w:val="00B805AF"/>
    <w:rsid w:val="00B869EC"/>
    <w:rsid w:val="00B9397A"/>
    <w:rsid w:val="00B9633D"/>
    <w:rsid w:val="00BA0B75"/>
    <w:rsid w:val="00BA23F3"/>
    <w:rsid w:val="00BA2EBE"/>
    <w:rsid w:val="00BB0F28"/>
    <w:rsid w:val="00BB4183"/>
    <w:rsid w:val="00BB458A"/>
    <w:rsid w:val="00BD00D3"/>
    <w:rsid w:val="00BD1659"/>
    <w:rsid w:val="00BD3AA9"/>
    <w:rsid w:val="00BD4A18"/>
    <w:rsid w:val="00BD5E2A"/>
    <w:rsid w:val="00BD6DB2"/>
    <w:rsid w:val="00BE09AA"/>
    <w:rsid w:val="00BE11CF"/>
    <w:rsid w:val="00BE1C4C"/>
    <w:rsid w:val="00BE21AB"/>
    <w:rsid w:val="00BE3068"/>
    <w:rsid w:val="00BE3433"/>
    <w:rsid w:val="00BE55CB"/>
    <w:rsid w:val="00BF617A"/>
    <w:rsid w:val="00BF6FCE"/>
    <w:rsid w:val="00C0379D"/>
    <w:rsid w:val="00C03931"/>
    <w:rsid w:val="00C0510A"/>
    <w:rsid w:val="00C05FE3"/>
    <w:rsid w:val="00C13827"/>
    <w:rsid w:val="00C2136D"/>
    <w:rsid w:val="00C214EE"/>
    <w:rsid w:val="00C2314B"/>
    <w:rsid w:val="00C24971"/>
    <w:rsid w:val="00C26BE5"/>
    <w:rsid w:val="00C26E4D"/>
    <w:rsid w:val="00C27909"/>
    <w:rsid w:val="00C27B03"/>
    <w:rsid w:val="00C314E1"/>
    <w:rsid w:val="00C34397"/>
    <w:rsid w:val="00C3788B"/>
    <w:rsid w:val="00C4095D"/>
    <w:rsid w:val="00C42D87"/>
    <w:rsid w:val="00C46A87"/>
    <w:rsid w:val="00C50991"/>
    <w:rsid w:val="00C601D2"/>
    <w:rsid w:val="00C65BCC"/>
    <w:rsid w:val="00C66970"/>
    <w:rsid w:val="00C714B1"/>
    <w:rsid w:val="00C76A9D"/>
    <w:rsid w:val="00C77EEF"/>
    <w:rsid w:val="00C80890"/>
    <w:rsid w:val="00C825D6"/>
    <w:rsid w:val="00C845BC"/>
    <w:rsid w:val="00C8691C"/>
    <w:rsid w:val="00C93B14"/>
    <w:rsid w:val="00CA168A"/>
    <w:rsid w:val="00CA1AF2"/>
    <w:rsid w:val="00CA357E"/>
    <w:rsid w:val="00CA44F9"/>
    <w:rsid w:val="00CA4A69"/>
    <w:rsid w:val="00CC3E0C"/>
    <w:rsid w:val="00CC58D3"/>
    <w:rsid w:val="00CC784D"/>
    <w:rsid w:val="00CD6329"/>
    <w:rsid w:val="00CE3F13"/>
    <w:rsid w:val="00CE4379"/>
    <w:rsid w:val="00CF43DE"/>
    <w:rsid w:val="00CF4CA3"/>
    <w:rsid w:val="00CF5AB3"/>
    <w:rsid w:val="00D0337B"/>
    <w:rsid w:val="00D079B2"/>
    <w:rsid w:val="00D1038D"/>
    <w:rsid w:val="00D114E9"/>
    <w:rsid w:val="00D156FD"/>
    <w:rsid w:val="00D26271"/>
    <w:rsid w:val="00D301A9"/>
    <w:rsid w:val="00D41FE9"/>
    <w:rsid w:val="00D429C6"/>
    <w:rsid w:val="00D44C03"/>
    <w:rsid w:val="00D47748"/>
    <w:rsid w:val="00D54CC3"/>
    <w:rsid w:val="00D55C87"/>
    <w:rsid w:val="00D6041A"/>
    <w:rsid w:val="00D633EB"/>
    <w:rsid w:val="00D82FF7"/>
    <w:rsid w:val="00D847FE"/>
    <w:rsid w:val="00D8724A"/>
    <w:rsid w:val="00D964EA"/>
    <w:rsid w:val="00D966D0"/>
    <w:rsid w:val="00D97F32"/>
    <w:rsid w:val="00DA0C59"/>
    <w:rsid w:val="00DA3991"/>
    <w:rsid w:val="00DA6A98"/>
    <w:rsid w:val="00DB0990"/>
    <w:rsid w:val="00DB7E6C"/>
    <w:rsid w:val="00DD031C"/>
    <w:rsid w:val="00DD5A29"/>
    <w:rsid w:val="00DD5D9D"/>
    <w:rsid w:val="00DE35CB"/>
    <w:rsid w:val="00DF21E9"/>
    <w:rsid w:val="00E009FA"/>
    <w:rsid w:val="00E00F14"/>
    <w:rsid w:val="00E06377"/>
    <w:rsid w:val="00E06386"/>
    <w:rsid w:val="00E1172F"/>
    <w:rsid w:val="00E15E74"/>
    <w:rsid w:val="00E24EB4"/>
    <w:rsid w:val="00E320ED"/>
    <w:rsid w:val="00E33AFB"/>
    <w:rsid w:val="00E34218"/>
    <w:rsid w:val="00E3618F"/>
    <w:rsid w:val="00E46282"/>
    <w:rsid w:val="00E5216E"/>
    <w:rsid w:val="00E80209"/>
    <w:rsid w:val="00E82344"/>
    <w:rsid w:val="00E834FF"/>
    <w:rsid w:val="00E84C82"/>
    <w:rsid w:val="00E84D64"/>
    <w:rsid w:val="00E87408"/>
    <w:rsid w:val="00E914C4"/>
    <w:rsid w:val="00E934F5"/>
    <w:rsid w:val="00E96961"/>
    <w:rsid w:val="00EA5BB8"/>
    <w:rsid w:val="00EA72EC"/>
    <w:rsid w:val="00EB0851"/>
    <w:rsid w:val="00EB11CB"/>
    <w:rsid w:val="00EB275A"/>
    <w:rsid w:val="00EB786A"/>
    <w:rsid w:val="00EC1578"/>
    <w:rsid w:val="00EC1C72"/>
    <w:rsid w:val="00EC3174"/>
    <w:rsid w:val="00EC3CC9"/>
    <w:rsid w:val="00EC680A"/>
    <w:rsid w:val="00ED7761"/>
    <w:rsid w:val="00EE2BED"/>
    <w:rsid w:val="00EE374B"/>
    <w:rsid w:val="00EF16EF"/>
    <w:rsid w:val="00EF1764"/>
    <w:rsid w:val="00F11BB5"/>
    <w:rsid w:val="00F1417B"/>
    <w:rsid w:val="00F21504"/>
    <w:rsid w:val="00F34B99"/>
    <w:rsid w:val="00F52DAB"/>
    <w:rsid w:val="00F543F0"/>
    <w:rsid w:val="00F81D29"/>
    <w:rsid w:val="00F91790"/>
    <w:rsid w:val="00F91C4D"/>
    <w:rsid w:val="00F92FD9"/>
    <w:rsid w:val="00FA4FF9"/>
    <w:rsid w:val="00FA6684"/>
    <w:rsid w:val="00FA731E"/>
    <w:rsid w:val="00FB2B38"/>
    <w:rsid w:val="00FB7A10"/>
    <w:rsid w:val="00FC3609"/>
    <w:rsid w:val="00FC6358"/>
    <w:rsid w:val="00FD01CF"/>
    <w:rsid w:val="00FD231C"/>
    <w:rsid w:val="00FD2438"/>
    <w:rsid w:val="00FD320D"/>
    <w:rsid w:val="00FD3597"/>
    <w:rsid w:val="00FD387F"/>
    <w:rsid w:val="00FE23DE"/>
    <w:rsid w:val="01943E96"/>
    <w:rsid w:val="01C62399"/>
    <w:rsid w:val="02277784"/>
    <w:rsid w:val="030C136A"/>
    <w:rsid w:val="03546668"/>
    <w:rsid w:val="03696744"/>
    <w:rsid w:val="04CA6FB4"/>
    <w:rsid w:val="04DD1555"/>
    <w:rsid w:val="058D1408"/>
    <w:rsid w:val="062A125D"/>
    <w:rsid w:val="063534FA"/>
    <w:rsid w:val="06562CBD"/>
    <w:rsid w:val="067B6838"/>
    <w:rsid w:val="069D6223"/>
    <w:rsid w:val="06A71AA9"/>
    <w:rsid w:val="06AA43AA"/>
    <w:rsid w:val="070331F7"/>
    <w:rsid w:val="07C0014B"/>
    <w:rsid w:val="08543042"/>
    <w:rsid w:val="08B66E9A"/>
    <w:rsid w:val="09741BB3"/>
    <w:rsid w:val="098E6500"/>
    <w:rsid w:val="099247E9"/>
    <w:rsid w:val="09DA3180"/>
    <w:rsid w:val="0A461CE2"/>
    <w:rsid w:val="0B5300EC"/>
    <w:rsid w:val="0B884303"/>
    <w:rsid w:val="0BCB4D5A"/>
    <w:rsid w:val="0C2D6E2F"/>
    <w:rsid w:val="0C9660C5"/>
    <w:rsid w:val="0E787B6F"/>
    <w:rsid w:val="0F356584"/>
    <w:rsid w:val="0F48645A"/>
    <w:rsid w:val="0F665DA8"/>
    <w:rsid w:val="0F9D51FF"/>
    <w:rsid w:val="10C24072"/>
    <w:rsid w:val="128E1C03"/>
    <w:rsid w:val="1404356A"/>
    <w:rsid w:val="142733C5"/>
    <w:rsid w:val="143A54DA"/>
    <w:rsid w:val="146F0D4A"/>
    <w:rsid w:val="14D93FE7"/>
    <w:rsid w:val="1523633C"/>
    <w:rsid w:val="15B90002"/>
    <w:rsid w:val="15E24E02"/>
    <w:rsid w:val="164622A1"/>
    <w:rsid w:val="16521021"/>
    <w:rsid w:val="16D915FA"/>
    <w:rsid w:val="176147FB"/>
    <w:rsid w:val="17BB6E41"/>
    <w:rsid w:val="187E738E"/>
    <w:rsid w:val="18B52FDF"/>
    <w:rsid w:val="19006024"/>
    <w:rsid w:val="1A6E4189"/>
    <w:rsid w:val="1AB964F9"/>
    <w:rsid w:val="1AFD0BBF"/>
    <w:rsid w:val="1C8A38F5"/>
    <w:rsid w:val="1D9E59A5"/>
    <w:rsid w:val="1DC72003"/>
    <w:rsid w:val="1DEE28F4"/>
    <w:rsid w:val="1E17597D"/>
    <w:rsid w:val="1E480B35"/>
    <w:rsid w:val="1F1A238D"/>
    <w:rsid w:val="1F3E63C5"/>
    <w:rsid w:val="1F4F542F"/>
    <w:rsid w:val="2087096D"/>
    <w:rsid w:val="20AD6F77"/>
    <w:rsid w:val="20F14C6F"/>
    <w:rsid w:val="21145CCF"/>
    <w:rsid w:val="21922D4C"/>
    <w:rsid w:val="21CA50E9"/>
    <w:rsid w:val="22982BF7"/>
    <w:rsid w:val="235733B3"/>
    <w:rsid w:val="23EB3A0E"/>
    <w:rsid w:val="24515CA9"/>
    <w:rsid w:val="250052D8"/>
    <w:rsid w:val="254442B0"/>
    <w:rsid w:val="25953100"/>
    <w:rsid w:val="260B2564"/>
    <w:rsid w:val="2683528F"/>
    <w:rsid w:val="276B4050"/>
    <w:rsid w:val="27BC438D"/>
    <w:rsid w:val="28AB7BCB"/>
    <w:rsid w:val="28CC6209"/>
    <w:rsid w:val="29474C45"/>
    <w:rsid w:val="29B4433E"/>
    <w:rsid w:val="29BA0C91"/>
    <w:rsid w:val="2A0023A9"/>
    <w:rsid w:val="2A1B3DC8"/>
    <w:rsid w:val="2AF60CE1"/>
    <w:rsid w:val="2B4242D4"/>
    <w:rsid w:val="2C0C7628"/>
    <w:rsid w:val="2C4849B3"/>
    <w:rsid w:val="2DD3632E"/>
    <w:rsid w:val="2E2D3193"/>
    <w:rsid w:val="2E6A07E3"/>
    <w:rsid w:val="2E712C60"/>
    <w:rsid w:val="2EFA5D13"/>
    <w:rsid w:val="2EFE5401"/>
    <w:rsid w:val="2F561824"/>
    <w:rsid w:val="2FD41787"/>
    <w:rsid w:val="2FEE3923"/>
    <w:rsid w:val="30407803"/>
    <w:rsid w:val="30A27181"/>
    <w:rsid w:val="31AE7611"/>
    <w:rsid w:val="35260FFE"/>
    <w:rsid w:val="36210B07"/>
    <w:rsid w:val="36532F15"/>
    <w:rsid w:val="36572340"/>
    <w:rsid w:val="375F14A8"/>
    <w:rsid w:val="37BC1FD8"/>
    <w:rsid w:val="380147FF"/>
    <w:rsid w:val="3962303F"/>
    <w:rsid w:val="397355F6"/>
    <w:rsid w:val="39B77BB3"/>
    <w:rsid w:val="39C16C48"/>
    <w:rsid w:val="3A5150B0"/>
    <w:rsid w:val="3B0F7084"/>
    <w:rsid w:val="3B7D4D1E"/>
    <w:rsid w:val="3C925878"/>
    <w:rsid w:val="3CB3522F"/>
    <w:rsid w:val="3CFC609B"/>
    <w:rsid w:val="3D7F7335"/>
    <w:rsid w:val="3D8E00E2"/>
    <w:rsid w:val="3DC33105"/>
    <w:rsid w:val="3E08112C"/>
    <w:rsid w:val="3E3D54A7"/>
    <w:rsid w:val="3E700684"/>
    <w:rsid w:val="3E8844CE"/>
    <w:rsid w:val="4008194E"/>
    <w:rsid w:val="40AC655D"/>
    <w:rsid w:val="418B5F0C"/>
    <w:rsid w:val="41CF4086"/>
    <w:rsid w:val="425041DE"/>
    <w:rsid w:val="42E84239"/>
    <w:rsid w:val="434C4913"/>
    <w:rsid w:val="43FC007B"/>
    <w:rsid w:val="4426766E"/>
    <w:rsid w:val="4465128A"/>
    <w:rsid w:val="4525391D"/>
    <w:rsid w:val="455D67F8"/>
    <w:rsid w:val="4683780C"/>
    <w:rsid w:val="46DC7F84"/>
    <w:rsid w:val="48B217FA"/>
    <w:rsid w:val="49976EB7"/>
    <w:rsid w:val="49FE6D1F"/>
    <w:rsid w:val="4AD42730"/>
    <w:rsid w:val="4B141CD4"/>
    <w:rsid w:val="4B167C3A"/>
    <w:rsid w:val="4B253D5C"/>
    <w:rsid w:val="4B367530"/>
    <w:rsid w:val="4B3C3B19"/>
    <w:rsid w:val="4B524331"/>
    <w:rsid w:val="4DB63C52"/>
    <w:rsid w:val="4DB94B8E"/>
    <w:rsid w:val="4DDA1814"/>
    <w:rsid w:val="4ECC7359"/>
    <w:rsid w:val="4F5A0356"/>
    <w:rsid w:val="4F690E59"/>
    <w:rsid w:val="4F986314"/>
    <w:rsid w:val="4FBB7CD2"/>
    <w:rsid w:val="506D4C59"/>
    <w:rsid w:val="5090113D"/>
    <w:rsid w:val="50AB1216"/>
    <w:rsid w:val="50D104DC"/>
    <w:rsid w:val="50D85D8E"/>
    <w:rsid w:val="51043E2F"/>
    <w:rsid w:val="51252D1E"/>
    <w:rsid w:val="526C2C4C"/>
    <w:rsid w:val="52761ADD"/>
    <w:rsid w:val="52A37A8B"/>
    <w:rsid w:val="53F12A20"/>
    <w:rsid w:val="540E5C8C"/>
    <w:rsid w:val="54DD3F2C"/>
    <w:rsid w:val="5537081C"/>
    <w:rsid w:val="557465EB"/>
    <w:rsid w:val="56243BEB"/>
    <w:rsid w:val="56597C48"/>
    <w:rsid w:val="56C11CE8"/>
    <w:rsid w:val="571C6AAD"/>
    <w:rsid w:val="577132A9"/>
    <w:rsid w:val="57B93DC4"/>
    <w:rsid w:val="57BF671D"/>
    <w:rsid w:val="57CB5B6A"/>
    <w:rsid w:val="57DE71BF"/>
    <w:rsid w:val="57FE5EE6"/>
    <w:rsid w:val="58060197"/>
    <w:rsid w:val="581E465A"/>
    <w:rsid w:val="586852CB"/>
    <w:rsid w:val="58CB71A3"/>
    <w:rsid w:val="591252BA"/>
    <w:rsid w:val="5AC30715"/>
    <w:rsid w:val="5AE664EB"/>
    <w:rsid w:val="5AFE149C"/>
    <w:rsid w:val="5B2555C8"/>
    <w:rsid w:val="5B4804FF"/>
    <w:rsid w:val="5C785DDF"/>
    <w:rsid w:val="5D1270E8"/>
    <w:rsid w:val="5D837937"/>
    <w:rsid w:val="5E456633"/>
    <w:rsid w:val="5EE43352"/>
    <w:rsid w:val="5F0141F2"/>
    <w:rsid w:val="5FA65EC9"/>
    <w:rsid w:val="60752302"/>
    <w:rsid w:val="6154657D"/>
    <w:rsid w:val="615866D7"/>
    <w:rsid w:val="616541DB"/>
    <w:rsid w:val="61733C65"/>
    <w:rsid w:val="61A21064"/>
    <w:rsid w:val="62CB28ED"/>
    <w:rsid w:val="631B5874"/>
    <w:rsid w:val="6401217C"/>
    <w:rsid w:val="64824DCA"/>
    <w:rsid w:val="649E0ECB"/>
    <w:rsid w:val="65A067BC"/>
    <w:rsid w:val="65A97839"/>
    <w:rsid w:val="66CA137C"/>
    <w:rsid w:val="66D43E73"/>
    <w:rsid w:val="66D81087"/>
    <w:rsid w:val="67015D15"/>
    <w:rsid w:val="68546615"/>
    <w:rsid w:val="68A24308"/>
    <w:rsid w:val="68FA37FC"/>
    <w:rsid w:val="691C78AB"/>
    <w:rsid w:val="69F85C4B"/>
    <w:rsid w:val="6A126D40"/>
    <w:rsid w:val="6A402F0B"/>
    <w:rsid w:val="6A720E35"/>
    <w:rsid w:val="6B0C4A5B"/>
    <w:rsid w:val="6B7D1195"/>
    <w:rsid w:val="6BAC7AD1"/>
    <w:rsid w:val="6BB713E5"/>
    <w:rsid w:val="6BE25855"/>
    <w:rsid w:val="6BE76ECC"/>
    <w:rsid w:val="6D0E29EA"/>
    <w:rsid w:val="6DB80AC1"/>
    <w:rsid w:val="6E867DB3"/>
    <w:rsid w:val="6EDF524C"/>
    <w:rsid w:val="6F1BD09A"/>
    <w:rsid w:val="6F4857D5"/>
    <w:rsid w:val="6FA35592"/>
    <w:rsid w:val="70E915B6"/>
    <w:rsid w:val="70F13799"/>
    <w:rsid w:val="71134E95"/>
    <w:rsid w:val="71684548"/>
    <w:rsid w:val="71924DB6"/>
    <w:rsid w:val="720468B4"/>
    <w:rsid w:val="72636DF4"/>
    <w:rsid w:val="72775B19"/>
    <w:rsid w:val="73776E65"/>
    <w:rsid w:val="74194A18"/>
    <w:rsid w:val="74697E0C"/>
    <w:rsid w:val="74AE7030"/>
    <w:rsid w:val="74D73B39"/>
    <w:rsid w:val="75BB3E0B"/>
    <w:rsid w:val="75C31839"/>
    <w:rsid w:val="75FD262D"/>
    <w:rsid w:val="76022550"/>
    <w:rsid w:val="763B36A2"/>
    <w:rsid w:val="766D683E"/>
    <w:rsid w:val="769B4044"/>
    <w:rsid w:val="76E917BD"/>
    <w:rsid w:val="772B162A"/>
    <w:rsid w:val="77837566"/>
    <w:rsid w:val="78E322D3"/>
    <w:rsid w:val="78F80CBE"/>
    <w:rsid w:val="797D4C25"/>
    <w:rsid w:val="798E5403"/>
    <w:rsid w:val="79DA62F1"/>
    <w:rsid w:val="7A95542D"/>
    <w:rsid w:val="7AB7F5B3"/>
    <w:rsid w:val="7B450767"/>
    <w:rsid w:val="7BA638A8"/>
    <w:rsid w:val="7C9E648C"/>
    <w:rsid w:val="7CA66C46"/>
    <w:rsid w:val="7CC63144"/>
    <w:rsid w:val="7CF401F0"/>
    <w:rsid w:val="7D1307C6"/>
    <w:rsid w:val="7D805CA4"/>
    <w:rsid w:val="7DD73E8A"/>
    <w:rsid w:val="7E3E6666"/>
    <w:rsid w:val="7E423C3C"/>
    <w:rsid w:val="7E7B1A47"/>
    <w:rsid w:val="7EC8088F"/>
    <w:rsid w:val="7FD31243"/>
    <w:rsid w:val="7FF5BD85"/>
    <w:rsid w:val="A6D7B663"/>
    <w:rsid w:val="B73EE580"/>
    <w:rsid w:val="C773DCDC"/>
    <w:rsid w:val="EBF6D07A"/>
    <w:rsid w:val="F7EF9EAC"/>
    <w:rsid w:val="FDDF7F7E"/>
    <w:rsid w:val="FFB6A4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6"/>
    <w:qFormat/>
    <w:uiPriority w:val="0"/>
    <w:pPr>
      <w:keepNext/>
      <w:keepLines/>
      <w:spacing w:before="340" w:after="330" w:line="578" w:lineRule="auto"/>
      <w:outlineLvl w:val="0"/>
    </w:pPr>
    <w:rPr>
      <w:b/>
      <w:bCs/>
      <w:kern w:val="44"/>
      <w:sz w:val="44"/>
      <w:szCs w:val="44"/>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semiHidden/>
    <w:unhideWhenUsed/>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qFormat/>
    <w:uiPriority w:val="39"/>
    <w:pPr>
      <w:tabs>
        <w:tab w:val="right" w:leader="dot" w:pos="9241"/>
      </w:tabs>
      <w:ind w:firstLine="102" w:firstLineChars="100"/>
      <w:jc w:val="left"/>
    </w:pPr>
    <w:rPr>
      <w:rFonts w:ascii="宋体"/>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168"/>
    <w:semiHidden/>
    <w:unhideWhenUsed/>
    <w:qFormat/>
    <w:uiPriority w:val="0"/>
    <w:rPr>
      <w:sz w:val="18"/>
      <w:szCs w:val="18"/>
    </w:rPr>
  </w:style>
  <w:style w:type="paragraph" w:styleId="17">
    <w:name w:val="footer"/>
    <w:basedOn w:val="1"/>
    <w:link w:val="135"/>
    <w:qFormat/>
    <w:uiPriority w:val="99"/>
    <w:pPr>
      <w:snapToGrid w:val="0"/>
      <w:ind w:right="210" w:rightChars="100"/>
      <w:jc w:val="right"/>
    </w:pPr>
    <w:rPr>
      <w:sz w:val="18"/>
      <w:szCs w:val="18"/>
    </w:rPr>
  </w:style>
  <w:style w:type="paragraph" w:styleId="18">
    <w:name w:val="header"/>
    <w:basedOn w:val="1"/>
    <w:link w:val="141"/>
    <w:qFormat/>
    <w:uiPriority w:val="0"/>
    <w:pPr>
      <w:snapToGrid w:val="0"/>
      <w:jc w:val="left"/>
    </w:pPr>
    <w:rPr>
      <w:sz w:val="18"/>
      <w:szCs w:val="18"/>
    </w:rPr>
  </w:style>
  <w:style w:type="paragraph" w:styleId="19">
    <w:name w:val="toc 1"/>
    <w:basedOn w:val="1"/>
    <w:next w:val="1"/>
    <w:qFormat/>
    <w:uiPriority w:val="39"/>
    <w:pPr>
      <w:tabs>
        <w:tab w:val="right" w:leader="dot" w:pos="9241"/>
      </w:tabs>
      <w:spacing w:beforeLines="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qFormat/>
    <w:uiPriority w:val="39"/>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endnote reference"/>
    <w:semiHidden/>
    <w:qFormat/>
    <w:uiPriority w:val="0"/>
    <w:rPr>
      <w:vertAlign w:val="superscript"/>
    </w:rPr>
  </w:style>
  <w:style w:type="character" w:styleId="35">
    <w:name w:val="page number"/>
    <w:qFormat/>
    <w:uiPriority w:val="0"/>
    <w:rPr>
      <w:rFonts w:ascii="Times New Roman" w:hAnsi="Times New Roman" w:eastAsia="宋体"/>
      <w:sz w:val="18"/>
    </w:rPr>
  </w:style>
  <w:style w:type="character" w:styleId="36">
    <w:name w:val="FollowedHyperlink"/>
    <w:qFormat/>
    <w:uiPriority w:val="99"/>
    <w:rPr>
      <w:color w:val="800080"/>
      <w:u w:val="single"/>
    </w:rPr>
  </w:style>
  <w:style w:type="character" w:styleId="37">
    <w:name w:val="Hyperlink"/>
    <w:qFormat/>
    <w:uiPriority w:val="99"/>
    <w:rPr>
      <w:color w:val="0000FF"/>
      <w:spacing w:val="0"/>
      <w:w w:val="100"/>
      <w:szCs w:val="21"/>
      <w:u w:val="single"/>
    </w:rPr>
  </w:style>
  <w:style w:type="character" w:styleId="38">
    <w:name w:val="footnote reference"/>
    <w:semiHidden/>
    <w:qFormat/>
    <w:uiPriority w:val="0"/>
    <w:rPr>
      <w:vertAlign w:val="superscript"/>
    </w:rPr>
  </w:style>
  <w:style w:type="character" w:customStyle="1" w:styleId="39">
    <w:name w:val="段 Char"/>
    <w:link w:val="23"/>
    <w:qFormat/>
    <w:uiPriority w:val="0"/>
    <w:rPr>
      <w:rFonts w:ascii="宋体"/>
      <w:sz w:val="21"/>
      <w:lang w:val="en-US" w:eastAsia="zh-CN" w:bidi="ar-SA"/>
    </w:rPr>
  </w:style>
  <w:style w:type="paragraph" w:customStyle="1" w:styleId="40">
    <w:name w:val="一级条标题"/>
    <w:next w:val="23"/>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23"/>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23"/>
    <w:qFormat/>
    <w:uiPriority w:val="0"/>
    <w:pPr>
      <w:numPr>
        <w:ilvl w:val="2"/>
      </w:numPr>
      <w:spacing w:before="50" w:after="50"/>
      <w:outlineLvl w:val="3"/>
    </w:pPr>
  </w:style>
  <w:style w:type="paragraph" w:customStyle="1" w:styleId="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6">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7">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8">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9">
    <w:name w:val="三级条标题"/>
    <w:basedOn w:val="1"/>
    <w:next w:val="23"/>
    <w:qFormat/>
    <w:uiPriority w:val="0"/>
    <w:pPr>
      <w:widowControl/>
      <w:numPr>
        <w:ilvl w:val="3"/>
        <w:numId w:val="2"/>
      </w:numPr>
      <w:spacing w:beforeLines="50" w:afterLines="50"/>
      <w:jc w:val="left"/>
      <w:outlineLvl w:val="5"/>
    </w:pPr>
    <w:rPr>
      <w:rFonts w:ascii="黑体" w:eastAsia="黑体"/>
      <w:kern w:val="0"/>
      <w:szCs w:val="21"/>
    </w:rPr>
  </w:style>
  <w:style w:type="paragraph" w:customStyle="1" w:styleId="50">
    <w:name w:val="示例"/>
    <w:next w:val="51"/>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2">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3">
    <w:name w:val="四级条标题"/>
    <w:basedOn w:val="49"/>
    <w:next w:val="23"/>
    <w:qFormat/>
    <w:uiPriority w:val="0"/>
    <w:pPr>
      <w:numPr>
        <w:ilvl w:val="4"/>
      </w:numPr>
    </w:pPr>
  </w:style>
  <w:style w:type="paragraph" w:customStyle="1" w:styleId="54">
    <w:name w:val="五级条标题"/>
    <w:basedOn w:val="53"/>
    <w:next w:val="23"/>
    <w:qFormat/>
    <w:uiPriority w:val="0"/>
    <w:pPr>
      <w:numPr>
        <w:ilvl w:val="5"/>
      </w:numPr>
      <w:outlineLvl w:val="6"/>
    </w:pPr>
  </w:style>
  <w:style w:type="paragraph" w:customStyle="1" w:styleId="55">
    <w:name w:val="注："/>
    <w:next w:val="23"/>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6">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7">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8">
    <w:name w:val="列项◆（三级）"/>
    <w:basedOn w:val="1"/>
    <w:qFormat/>
    <w:uiPriority w:val="0"/>
    <w:pPr>
      <w:numPr>
        <w:ilvl w:val="2"/>
        <w:numId w:val="3"/>
      </w:numPr>
    </w:pPr>
    <w:rPr>
      <w:rFonts w:ascii="宋体"/>
      <w:szCs w:val="21"/>
    </w:rPr>
  </w:style>
  <w:style w:type="paragraph" w:customStyle="1" w:styleId="59">
    <w:name w:val="编号列项（三级）"/>
    <w:qFormat/>
    <w:uiPriority w:val="0"/>
    <w:rPr>
      <w:rFonts w:ascii="宋体" w:hAnsi="Times New Roman" w:eastAsia="宋体" w:cs="Times New Roman"/>
      <w:sz w:val="21"/>
      <w:lang w:val="en-US" w:eastAsia="zh-CN" w:bidi="ar-SA"/>
    </w:rPr>
  </w:style>
  <w:style w:type="paragraph" w:customStyle="1" w:styleId="60">
    <w:name w:val="示例×："/>
    <w:basedOn w:val="43"/>
    <w:qFormat/>
    <w:uiPriority w:val="0"/>
    <w:pPr>
      <w:numPr>
        <w:numId w:val="8"/>
      </w:numPr>
      <w:spacing w:beforeLines="0" w:afterLines="0"/>
      <w:outlineLvl w:val="9"/>
    </w:pPr>
    <w:rPr>
      <w:rFonts w:ascii="宋体" w:eastAsia="宋体"/>
      <w:sz w:val="18"/>
      <w:szCs w:val="18"/>
    </w:rPr>
  </w:style>
  <w:style w:type="paragraph" w:customStyle="1" w:styleId="61">
    <w:name w:val="二级无"/>
    <w:basedOn w:val="44"/>
    <w:qFormat/>
    <w:uiPriority w:val="0"/>
    <w:pPr>
      <w:spacing w:beforeLines="0" w:afterLines="0"/>
    </w:pPr>
    <w:rPr>
      <w:rFonts w:ascii="宋体" w:eastAsia="宋体"/>
    </w:rPr>
  </w:style>
  <w:style w:type="paragraph" w:customStyle="1" w:styleId="62">
    <w:name w:val="注：（正文）"/>
    <w:basedOn w:val="55"/>
    <w:next w:val="23"/>
    <w:qFormat/>
    <w:uiPriority w:val="0"/>
    <w:pPr>
      <w:numPr>
        <w:ilvl w:val="0"/>
        <w:numId w:val="9"/>
      </w:numPr>
    </w:pPr>
  </w:style>
  <w:style w:type="paragraph" w:customStyle="1" w:styleId="63">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6">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7">
    <w:name w:val="标准书眉_偶数页"/>
    <w:basedOn w:val="42"/>
    <w:next w:val="1"/>
    <w:qFormat/>
    <w:uiPriority w:val="0"/>
    <w:pPr>
      <w:jc w:val="left"/>
    </w:pPr>
  </w:style>
  <w:style w:type="paragraph" w:customStyle="1" w:styleId="68">
    <w:name w:val="标准书眉一"/>
    <w:qFormat/>
    <w:uiPriority w:val="0"/>
    <w:pPr>
      <w:jc w:val="both"/>
    </w:pPr>
    <w:rPr>
      <w:rFonts w:ascii="Times New Roman" w:hAnsi="Times New Roman" w:eastAsia="宋体" w:cs="Times New Roman"/>
      <w:lang w:val="en-US" w:eastAsia="zh-CN" w:bidi="ar-SA"/>
    </w:rPr>
  </w:style>
  <w:style w:type="paragraph" w:customStyle="1" w:styleId="69">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1">
    <w:name w:val="发布"/>
    <w:qFormat/>
    <w:uiPriority w:val="0"/>
    <w:rPr>
      <w:rFonts w:ascii="黑体" w:eastAsia="黑体"/>
      <w:spacing w:val="85"/>
      <w:w w:val="100"/>
      <w:position w:val="3"/>
      <w:sz w:val="28"/>
      <w:szCs w:val="28"/>
    </w:rPr>
  </w:style>
  <w:style w:type="paragraph" w:customStyle="1" w:styleId="72">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qFormat/>
    <w:uiPriority w:val="0"/>
    <w:pPr>
      <w:framePr w:wrap="around"/>
      <w:spacing w:before="370" w:line="400" w:lineRule="exact"/>
    </w:pPr>
    <w:rPr>
      <w:rFonts w:ascii="Times New Roman"/>
      <w:sz w:val="28"/>
      <w:szCs w:val="28"/>
    </w:rPr>
  </w:style>
  <w:style w:type="paragraph" w:customStyle="1" w:styleId="78">
    <w:name w:val="封面一致性程度标识"/>
    <w:basedOn w:val="77"/>
    <w:qFormat/>
    <w:uiPriority w:val="0"/>
    <w:pPr>
      <w:framePr w:wrap="around"/>
      <w:spacing w:before="440"/>
    </w:pPr>
    <w:rPr>
      <w:rFonts w:ascii="宋体" w:eastAsia="宋体"/>
    </w:rPr>
  </w:style>
  <w:style w:type="paragraph" w:customStyle="1" w:styleId="79">
    <w:name w:val="封面标准文稿类别"/>
    <w:basedOn w:val="78"/>
    <w:qFormat/>
    <w:uiPriority w:val="0"/>
    <w:pPr>
      <w:framePr w:wrap="around"/>
      <w:spacing w:after="160" w:line="240" w:lineRule="auto"/>
    </w:pPr>
    <w:rPr>
      <w:sz w:val="24"/>
    </w:rPr>
  </w:style>
  <w:style w:type="paragraph" w:customStyle="1" w:styleId="80">
    <w:name w:val="封面标准文稿编辑信息"/>
    <w:basedOn w:val="79"/>
    <w:qFormat/>
    <w:uiPriority w:val="0"/>
    <w:pPr>
      <w:framePr w:wrap="around"/>
      <w:spacing w:before="180" w:line="180" w:lineRule="exact"/>
    </w:pPr>
    <w:rPr>
      <w:sz w:val="21"/>
    </w:rPr>
  </w:style>
  <w:style w:type="paragraph" w:customStyle="1" w:styleId="81">
    <w:name w:val="封面正文"/>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3"/>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标题"/>
    <w:basedOn w:val="23"/>
    <w:next w:val="23"/>
    <w:qFormat/>
    <w:uiPriority w:val="0"/>
    <w:pPr>
      <w:ind w:firstLine="0" w:firstLineChars="0"/>
      <w:jc w:val="center"/>
    </w:pPr>
    <w:rPr>
      <w:rFonts w:ascii="黑体" w:eastAsia="黑体"/>
    </w:rPr>
  </w:style>
  <w:style w:type="paragraph" w:customStyle="1" w:styleId="84">
    <w:name w:val="附录表标号"/>
    <w:basedOn w:val="1"/>
    <w:next w:val="23"/>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5">
    <w:name w:val="附录表标题"/>
    <w:basedOn w:val="1"/>
    <w:next w:val="23"/>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6">
    <w:name w:val="附录二级条标题"/>
    <w:basedOn w:val="1"/>
    <w:next w:val="23"/>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qFormat/>
    <w:uiPriority w:val="0"/>
    <w:pPr>
      <w:tabs>
        <w:tab w:val="clear" w:pos="360"/>
      </w:tabs>
      <w:spacing w:beforeLines="0" w:afterLines="0"/>
    </w:pPr>
    <w:rPr>
      <w:rFonts w:ascii="宋体" w:eastAsia="宋体"/>
      <w:szCs w:val="21"/>
    </w:rPr>
  </w:style>
  <w:style w:type="paragraph" w:customStyle="1" w:styleId="88">
    <w:name w:val="附录公式"/>
    <w:basedOn w:val="23"/>
    <w:next w:val="23"/>
    <w:link w:val="89"/>
    <w:qFormat/>
    <w:uiPriority w:val="0"/>
  </w:style>
  <w:style w:type="character" w:customStyle="1" w:styleId="89">
    <w:name w:val="附录公式 Char"/>
    <w:basedOn w:val="39"/>
    <w:link w:val="88"/>
    <w:qFormat/>
    <w:uiPriority w:val="0"/>
    <w:rPr>
      <w:rFonts w:ascii="宋体"/>
      <w:sz w:val="21"/>
      <w:lang w:val="en-US" w:eastAsia="zh-CN" w:bidi="ar-SA"/>
    </w:rPr>
  </w:style>
  <w:style w:type="paragraph" w:customStyle="1" w:styleId="90">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1">
    <w:name w:val="附录三级条标题"/>
    <w:basedOn w:val="86"/>
    <w:next w:val="23"/>
    <w:qFormat/>
    <w:uiPriority w:val="0"/>
    <w:pPr>
      <w:numPr>
        <w:ilvl w:val="4"/>
      </w:numPr>
      <w:outlineLvl w:val="4"/>
    </w:pPr>
  </w:style>
  <w:style w:type="paragraph" w:customStyle="1" w:styleId="92">
    <w:name w:val="附录三级无"/>
    <w:basedOn w:val="91"/>
    <w:qFormat/>
    <w:uiPriority w:val="0"/>
    <w:pPr>
      <w:tabs>
        <w:tab w:val="clear" w:pos="360"/>
      </w:tabs>
      <w:spacing w:beforeLines="0" w:afterLines="0"/>
    </w:pPr>
    <w:rPr>
      <w:rFonts w:ascii="宋体" w:eastAsia="宋体"/>
      <w:szCs w:val="21"/>
    </w:rPr>
  </w:style>
  <w:style w:type="paragraph" w:customStyle="1" w:styleId="93">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4">
    <w:name w:val="附录四级条标题"/>
    <w:basedOn w:val="91"/>
    <w:next w:val="23"/>
    <w:qFormat/>
    <w:uiPriority w:val="0"/>
    <w:pPr>
      <w:numPr>
        <w:ilvl w:val="5"/>
      </w:numPr>
      <w:outlineLvl w:val="5"/>
    </w:pPr>
  </w:style>
  <w:style w:type="paragraph" w:customStyle="1" w:styleId="95">
    <w:name w:val="附录四级无"/>
    <w:basedOn w:val="94"/>
    <w:qFormat/>
    <w:uiPriority w:val="0"/>
    <w:pPr>
      <w:tabs>
        <w:tab w:val="clear" w:pos="360"/>
      </w:tabs>
      <w:spacing w:beforeLines="0" w:afterLines="0"/>
    </w:pPr>
    <w:rPr>
      <w:rFonts w:ascii="宋体" w:eastAsia="宋体"/>
      <w:szCs w:val="21"/>
    </w:rPr>
  </w:style>
  <w:style w:type="paragraph" w:customStyle="1" w:styleId="96">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7">
    <w:name w:val="附录图标题"/>
    <w:basedOn w:val="1"/>
    <w:next w:val="23"/>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8">
    <w:name w:val="附录五级条标题"/>
    <w:basedOn w:val="94"/>
    <w:next w:val="23"/>
    <w:qFormat/>
    <w:uiPriority w:val="0"/>
    <w:pPr>
      <w:numPr>
        <w:ilvl w:val="6"/>
      </w:numPr>
      <w:outlineLvl w:val="6"/>
    </w:pPr>
  </w:style>
  <w:style w:type="paragraph" w:customStyle="1" w:styleId="99">
    <w:name w:val="附录五级无"/>
    <w:basedOn w:val="98"/>
    <w:qFormat/>
    <w:uiPriority w:val="0"/>
    <w:pPr>
      <w:tabs>
        <w:tab w:val="clear" w:pos="360"/>
      </w:tabs>
      <w:spacing w:beforeLines="0" w:afterLines="0"/>
    </w:pPr>
    <w:rPr>
      <w:rFonts w:ascii="宋体" w:eastAsia="宋体"/>
      <w:szCs w:val="21"/>
    </w:rPr>
  </w:style>
  <w:style w:type="paragraph" w:customStyle="1" w:styleId="100">
    <w:name w:val="附录章标题"/>
    <w:next w:val="23"/>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附录一级条标题"/>
    <w:basedOn w:val="100"/>
    <w:next w:val="23"/>
    <w:qFormat/>
    <w:uiPriority w:val="0"/>
    <w:pPr>
      <w:numPr>
        <w:ilvl w:val="2"/>
      </w:numPr>
      <w:autoSpaceDN w:val="0"/>
      <w:spacing w:beforeLines="50" w:afterLines="50"/>
      <w:outlineLvl w:val="2"/>
    </w:pPr>
  </w:style>
  <w:style w:type="paragraph" w:customStyle="1" w:styleId="102">
    <w:name w:val="附录一级无"/>
    <w:basedOn w:val="101"/>
    <w:qFormat/>
    <w:uiPriority w:val="0"/>
    <w:pPr>
      <w:tabs>
        <w:tab w:val="clear" w:pos="360"/>
      </w:tabs>
      <w:spacing w:beforeLines="0" w:afterLines="0"/>
    </w:pPr>
    <w:rPr>
      <w:rFonts w:ascii="宋体" w:eastAsia="宋体"/>
      <w:szCs w:val="21"/>
    </w:rPr>
  </w:style>
  <w:style w:type="paragraph" w:customStyle="1" w:styleId="103">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其他标准标志"/>
    <w:basedOn w:val="64"/>
    <w:qFormat/>
    <w:uiPriority w:val="0"/>
    <w:pPr>
      <w:framePr w:w="6101" w:wrap="around" w:vAnchor="page" w:hAnchor="page" w:x="4673" w:y="942"/>
    </w:pPr>
    <w:rPr>
      <w:w w:val="130"/>
    </w:rPr>
  </w:style>
  <w:style w:type="paragraph" w:customStyle="1" w:styleId="10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9">
    <w:name w:val="其他发布部门"/>
    <w:basedOn w:val="72"/>
    <w:qFormat/>
    <w:uiPriority w:val="0"/>
    <w:pPr>
      <w:framePr w:wrap="around" w:y="15310"/>
      <w:spacing w:line="0" w:lineRule="atLeast"/>
    </w:pPr>
    <w:rPr>
      <w:rFonts w:ascii="黑体" w:eastAsia="黑体"/>
      <w:b w:val="0"/>
    </w:rPr>
  </w:style>
  <w:style w:type="paragraph" w:customStyle="1" w:styleId="110">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三级无"/>
    <w:basedOn w:val="49"/>
    <w:qFormat/>
    <w:uiPriority w:val="0"/>
    <w:pPr>
      <w:spacing w:beforeLines="0" w:afterLines="0"/>
    </w:pPr>
    <w:rPr>
      <w:rFonts w:ascii="宋体" w:eastAsia="宋体"/>
    </w:rPr>
  </w:style>
  <w:style w:type="paragraph" w:customStyle="1" w:styleId="112">
    <w:name w:val="实施日期"/>
    <w:basedOn w:val="73"/>
    <w:qFormat/>
    <w:uiPriority w:val="0"/>
    <w:pPr>
      <w:framePr w:wrap="around" w:vAnchor="page" w:hAnchor="text"/>
      <w:jc w:val="right"/>
    </w:pPr>
  </w:style>
  <w:style w:type="paragraph" w:customStyle="1" w:styleId="113">
    <w:name w:val="示例后文字"/>
    <w:basedOn w:val="23"/>
    <w:next w:val="23"/>
    <w:qFormat/>
    <w:uiPriority w:val="0"/>
    <w:pPr>
      <w:ind w:firstLine="360"/>
    </w:pPr>
    <w:rPr>
      <w:sz w:val="18"/>
    </w:rPr>
  </w:style>
  <w:style w:type="paragraph" w:customStyle="1" w:styleId="114">
    <w:name w:val="首示例"/>
    <w:next w:val="23"/>
    <w:link w:val="115"/>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5">
    <w:name w:val="首示例 Char"/>
    <w:link w:val="114"/>
    <w:qFormat/>
    <w:uiPriority w:val="0"/>
    <w:rPr>
      <w:rFonts w:ascii="宋体" w:hAnsi="宋体"/>
      <w:kern w:val="2"/>
      <w:sz w:val="18"/>
      <w:szCs w:val="18"/>
    </w:rPr>
  </w:style>
  <w:style w:type="paragraph" w:customStyle="1" w:styleId="116">
    <w:name w:val="四级无"/>
    <w:basedOn w:val="53"/>
    <w:qFormat/>
    <w:uiPriority w:val="0"/>
    <w:pPr>
      <w:spacing w:beforeLines="0" w:afterLines="0"/>
    </w:pPr>
    <w:rPr>
      <w:rFonts w:ascii="宋体" w:eastAsia="宋体"/>
    </w:rPr>
  </w:style>
  <w:style w:type="paragraph" w:customStyle="1" w:styleId="117">
    <w:name w:val="条文脚注"/>
    <w:basedOn w:val="24"/>
    <w:qFormat/>
    <w:uiPriority w:val="0"/>
    <w:pPr>
      <w:numPr>
        <w:numId w:val="0"/>
      </w:numPr>
      <w:jc w:val="both"/>
    </w:pPr>
  </w:style>
  <w:style w:type="paragraph" w:customStyle="1" w:styleId="118">
    <w:name w:val="图标脚注说明"/>
    <w:basedOn w:val="23"/>
    <w:qFormat/>
    <w:uiPriority w:val="0"/>
    <w:pPr>
      <w:ind w:left="840" w:hanging="420" w:firstLineChars="0"/>
    </w:pPr>
    <w:rPr>
      <w:sz w:val="18"/>
      <w:szCs w:val="18"/>
    </w:rPr>
  </w:style>
  <w:style w:type="paragraph" w:customStyle="1" w:styleId="119">
    <w:name w:val="图表脚注说明"/>
    <w:basedOn w:val="1"/>
    <w:qFormat/>
    <w:uiPriority w:val="0"/>
    <w:pPr>
      <w:numPr>
        <w:ilvl w:val="0"/>
        <w:numId w:val="16"/>
      </w:numPr>
    </w:pPr>
    <w:rPr>
      <w:rFonts w:ascii="宋体"/>
      <w:sz w:val="18"/>
      <w:szCs w:val="18"/>
    </w:rPr>
  </w:style>
  <w:style w:type="paragraph" w:customStyle="1" w:styleId="120">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2">
    <w:name w:val="五级无"/>
    <w:basedOn w:val="54"/>
    <w:qFormat/>
    <w:uiPriority w:val="0"/>
    <w:pPr>
      <w:spacing w:beforeLines="0" w:afterLines="0"/>
    </w:pPr>
    <w:rPr>
      <w:rFonts w:ascii="宋体" w:eastAsia="宋体"/>
    </w:rPr>
  </w:style>
  <w:style w:type="paragraph" w:customStyle="1" w:styleId="123">
    <w:name w:val="一级无"/>
    <w:basedOn w:val="40"/>
    <w:qFormat/>
    <w:uiPriority w:val="0"/>
    <w:pPr>
      <w:spacing w:beforeLines="0" w:afterLines="0"/>
    </w:pPr>
    <w:rPr>
      <w:rFonts w:ascii="宋体" w:eastAsia="宋体"/>
    </w:rPr>
  </w:style>
  <w:style w:type="paragraph" w:customStyle="1" w:styleId="124">
    <w:name w:val="正文表标题"/>
    <w:next w:val="23"/>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正文公式编号制表符"/>
    <w:basedOn w:val="23"/>
    <w:next w:val="23"/>
    <w:qFormat/>
    <w:uiPriority w:val="0"/>
    <w:pPr>
      <w:ind w:firstLine="0" w:firstLineChars="0"/>
    </w:pPr>
  </w:style>
  <w:style w:type="paragraph" w:customStyle="1" w:styleId="126">
    <w:name w:val="正文图标题"/>
    <w:next w:val="23"/>
    <w:qFormat/>
    <w:uiPriority w:val="0"/>
    <w:pPr>
      <w:numPr>
        <w:ilvl w:val="0"/>
        <w:numId w:val="18"/>
      </w:numPr>
      <w:spacing w:beforeLines="50" w:afterLines="50"/>
      <w:jc w:val="center"/>
    </w:pPr>
    <w:rPr>
      <w:rFonts w:ascii="黑体" w:hAnsi="Times New Roman" w:eastAsia="黑体" w:cs="Times New Roman"/>
      <w:sz w:val="21"/>
      <w:lang w:val="en-US" w:eastAsia="zh-CN" w:bidi="ar-SA"/>
    </w:rPr>
  </w:style>
  <w:style w:type="paragraph" w:customStyle="1" w:styleId="127">
    <w:name w:val="终结线"/>
    <w:basedOn w:val="1"/>
    <w:qFormat/>
    <w:uiPriority w:val="0"/>
    <w:pPr>
      <w:framePr w:hSpace="181" w:vSpace="181" w:wrap="around" w:vAnchor="text" w:hAnchor="margin" w:xAlign="center" w:y="285"/>
    </w:pPr>
  </w:style>
  <w:style w:type="paragraph" w:customStyle="1" w:styleId="128">
    <w:name w:val="其他发布日期"/>
    <w:basedOn w:val="73"/>
    <w:qFormat/>
    <w:uiPriority w:val="0"/>
    <w:pPr>
      <w:framePr w:wrap="around" w:vAnchor="page" w:hAnchor="text" w:x="1419"/>
    </w:pPr>
  </w:style>
  <w:style w:type="paragraph" w:customStyle="1" w:styleId="129">
    <w:name w:val="其他实施日期"/>
    <w:basedOn w:val="112"/>
    <w:qFormat/>
    <w:uiPriority w:val="0"/>
    <w:pPr>
      <w:framePr w:wrap="around"/>
    </w:pPr>
  </w:style>
  <w:style w:type="paragraph" w:customStyle="1" w:styleId="130">
    <w:name w:val="封面标准名称2"/>
    <w:basedOn w:val="76"/>
    <w:qFormat/>
    <w:uiPriority w:val="0"/>
    <w:pPr>
      <w:framePr w:wrap="around" w:y="4469"/>
      <w:spacing w:beforeLines="630"/>
    </w:pPr>
  </w:style>
  <w:style w:type="paragraph" w:customStyle="1" w:styleId="131">
    <w:name w:val="封面标准英文名称2"/>
    <w:basedOn w:val="77"/>
    <w:qFormat/>
    <w:uiPriority w:val="0"/>
    <w:pPr>
      <w:framePr w:wrap="around" w:y="4469"/>
    </w:pPr>
  </w:style>
  <w:style w:type="paragraph" w:customStyle="1" w:styleId="132">
    <w:name w:val="封面一致性程度标识2"/>
    <w:basedOn w:val="78"/>
    <w:qFormat/>
    <w:uiPriority w:val="0"/>
    <w:pPr>
      <w:framePr w:wrap="around" w:y="4469"/>
    </w:pPr>
  </w:style>
  <w:style w:type="paragraph" w:customStyle="1" w:styleId="133">
    <w:name w:val="封面标准文稿类别2"/>
    <w:basedOn w:val="79"/>
    <w:qFormat/>
    <w:uiPriority w:val="0"/>
    <w:pPr>
      <w:framePr w:wrap="around" w:y="4469"/>
    </w:pPr>
  </w:style>
  <w:style w:type="paragraph" w:customStyle="1" w:styleId="134">
    <w:name w:val="封面标准文稿编辑信息2"/>
    <w:basedOn w:val="80"/>
    <w:qFormat/>
    <w:uiPriority w:val="0"/>
    <w:pPr>
      <w:framePr w:wrap="around" w:y="4469"/>
    </w:pPr>
  </w:style>
  <w:style w:type="character" w:customStyle="1" w:styleId="135">
    <w:name w:val="页脚 Char"/>
    <w:basedOn w:val="33"/>
    <w:link w:val="17"/>
    <w:qFormat/>
    <w:uiPriority w:val="99"/>
    <w:rPr>
      <w:kern w:val="2"/>
      <w:sz w:val="18"/>
      <w:szCs w:val="18"/>
    </w:rPr>
  </w:style>
  <w:style w:type="character" w:customStyle="1" w:styleId="136">
    <w:name w:val="font101"/>
    <w:basedOn w:val="33"/>
    <w:qFormat/>
    <w:uiPriority w:val="0"/>
    <w:rPr>
      <w:rFonts w:hint="eastAsia" w:ascii="宋体" w:hAnsi="宋体" w:eastAsia="宋体" w:cs="宋体"/>
      <w:color w:val="000000"/>
      <w:sz w:val="18"/>
      <w:szCs w:val="18"/>
      <w:u w:val="none"/>
    </w:rPr>
  </w:style>
  <w:style w:type="character" w:customStyle="1" w:styleId="137">
    <w:name w:val="font112"/>
    <w:basedOn w:val="33"/>
    <w:qFormat/>
    <w:uiPriority w:val="0"/>
    <w:rPr>
      <w:rFonts w:hint="eastAsia" w:ascii="宋体" w:hAnsi="宋体" w:eastAsia="宋体" w:cs="宋体"/>
      <w:color w:val="000000"/>
      <w:sz w:val="18"/>
      <w:szCs w:val="18"/>
      <w:u w:val="none"/>
      <w:vertAlign w:val="subscript"/>
    </w:rPr>
  </w:style>
  <w:style w:type="character" w:customStyle="1" w:styleId="138">
    <w:name w:val="font81"/>
    <w:basedOn w:val="33"/>
    <w:qFormat/>
    <w:uiPriority w:val="0"/>
    <w:rPr>
      <w:rFonts w:hint="eastAsia" w:ascii="宋体" w:hAnsi="宋体" w:eastAsia="宋体" w:cs="宋体"/>
      <w:color w:val="000000"/>
      <w:sz w:val="18"/>
      <w:szCs w:val="18"/>
      <w:u w:val="none"/>
    </w:rPr>
  </w:style>
  <w:style w:type="character" w:customStyle="1" w:styleId="139">
    <w:name w:val="font121"/>
    <w:basedOn w:val="33"/>
    <w:qFormat/>
    <w:uiPriority w:val="0"/>
    <w:rPr>
      <w:rFonts w:hint="default" w:ascii="Arial" w:hAnsi="Arial" w:cs="Arial"/>
      <w:color w:val="222222"/>
      <w:sz w:val="18"/>
      <w:szCs w:val="18"/>
      <w:u w:val="none"/>
      <w:vertAlign w:val="subscript"/>
    </w:rPr>
  </w:style>
  <w:style w:type="character" w:customStyle="1" w:styleId="140">
    <w:name w:val="font91"/>
    <w:basedOn w:val="33"/>
    <w:qFormat/>
    <w:uiPriority w:val="0"/>
    <w:rPr>
      <w:rFonts w:hint="default" w:ascii="Arial" w:hAnsi="Arial" w:cs="Arial"/>
      <w:color w:val="222222"/>
      <w:sz w:val="18"/>
      <w:szCs w:val="18"/>
      <w:u w:val="none"/>
    </w:rPr>
  </w:style>
  <w:style w:type="character" w:customStyle="1" w:styleId="141">
    <w:name w:val="页眉 Char"/>
    <w:basedOn w:val="33"/>
    <w:link w:val="18"/>
    <w:qFormat/>
    <w:uiPriority w:val="0"/>
    <w:rPr>
      <w:kern w:val="2"/>
      <w:sz w:val="18"/>
      <w:szCs w:val="18"/>
    </w:rPr>
  </w:style>
  <w:style w:type="paragraph" w:customStyle="1" w:styleId="142">
    <w:name w:val="Default"/>
    <w:qFormat/>
    <w:uiPriority w:val="0"/>
    <w:pPr>
      <w:widowControl w:val="0"/>
      <w:autoSpaceDE w:val="0"/>
      <w:autoSpaceDN w:val="0"/>
      <w:adjustRightInd w:val="0"/>
      <w:spacing w:line="440" w:lineRule="exact"/>
      <w:ind w:right="102" w:firstLine="437"/>
      <w:jc w:val="both"/>
    </w:pPr>
    <w:rPr>
      <w:rFonts w:ascii="黑体" w:hAnsi="黑体" w:eastAsia="宋体" w:cs="黑体"/>
      <w:color w:val="000000"/>
      <w:sz w:val="24"/>
      <w:szCs w:val="24"/>
      <w:lang w:val="en-US" w:eastAsia="zh-CN" w:bidi="ar-SA"/>
    </w:rPr>
  </w:style>
  <w:style w:type="paragraph" w:styleId="143">
    <w:name w:val="List Paragraph"/>
    <w:basedOn w:val="1"/>
    <w:qFormat/>
    <w:uiPriority w:val="34"/>
    <w:pPr>
      <w:widowControl/>
      <w:spacing w:line="440" w:lineRule="exact"/>
      <w:ind w:right="102" w:firstLine="420" w:firstLineChars="200"/>
    </w:pPr>
    <w:rPr>
      <w:kern w:val="0"/>
      <w:sz w:val="22"/>
      <w:szCs w:val="22"/>
    </w:rPr>
  </w:style>
  <w:style w:type="character" w:customStyle="1" w:styleId="144">
    <w:name w:val="font31"/>
    <w:basedOn w:val="33"/>
    <w:qFormat/>
    <w:uiPriority w:val="0"/>
    <w:rPr>
      <w:rFonts w:hint="eastAsia" w:ascii="宋体" w:hAnsi="宋体" w:eastAsia="宋体" w:cs="宋体"/>
      <w:color w:val="000000"/>
      <w:sz w:val="18"/>
      <w:szCs w:val="18"/>
      <w:u w:val="none"/>
    </w:rPr>
  </w:style>
  <w:style w:type="character" w:customStyle="1" w:styleId="145">
    <w:name w:val="font21"/>
    <w:basedOn w:val="33"/>
    <w:qFormat/>
    <w:uiPriority w:val="0"/>
    <w:rPr>
      <w:rFonts w:hint="default" w:ascii="Times New Roman" w:hAnsi="Times New Roman" w:cs="Times New Roman"/>
      <w:color w:val="000000"/>
      <w:sz w:val="18"/>
      <w:szCs w:val="18"/>
      <w:u w:val="none"/>
    </w:rPr>
  </w:style>
  <w:style w:type="character" w:customStyle="1" w:styleId="146">
    <w:name w:val="font11"/>
    <w:basedOn w:val="33"/>
    <w:qFormat/>
    <w:uiPriority w:val="0"/>
    <w:rPr>
      <w:rFonts w:hint="default" w:ascii="Times New Roman" w:hAnsi="Times New Roman" w:cs="Times New Roman"/>
      <w:color w:val="000000"/>
      <w:sz w:val="21"/>
      <w:szCs w:val="21"/>
      <w:u w:val="none"/>
    </w:rPr>
  </w:style>
  <w:style w:type="character" w:customStyle="1" w:styleId="147">
    <w:name w:val="font51"/>
    <w:basedOn w:val="33"/>
    <w:qFormat/>
    <w:uiPriority w:val="0"/>
    <w:rPr>
      <w:rFonts w:hint="default" w:ascii="Arial" w:hAnsi="Arial" w:cs="Arial"/>
      <w:color w:val="000000"/>
      <w:sz w:val="20"/>
      <w:szCs w:val="20"/>
      <w:u w:val="none"/>
    </w:rPr>
  </w:style>
  <w:style w:type="character" w:customStyle="1" w:styleId="148">
    <w:name w:val="font71"/>
    <w:basedOn w:val="33"/>
    <w:qFormat/>
    <w:uiPriority w:val="0"/>
    <w:rPr>
      <w:rFonts w:hint="eastAsia" w:ascii="宋体" w:hAnsi="宋体" w:eastAsia="宋体" w:cs="宋体"/>
      <w:color w:val="000000"/>
      <w:sz w:val="20"/>
      <w:szCs w:val="20"/>
      <w:u w:val="none"/>
    </w:rPr>
  </w:style>
  <w:style w:type="character" w:customStyle="1" w:styleId="149">
    <w:name w:val="font61"/>
    <w:basedOn w:val="33"/>
    <w:qFormat/>
    <w:uiPriority w:val="0"/>
    <w:rPr>
      <w:rFonts w:hint="eastAsia" w:ascii="宋体" w:hAnsi="宋体" w:eastAsia="宋体" w:cs="宋体"/>
      <w:color w:val="333333"/>
      <w:sz w:val="18"/>
      <w:szCs w:val="18"/>
      <w:u w:val="none"/>
    </w:rPr>
  </w:style>
  <w:style w:type="character" w:customStyle="1" w:styleId="150">
    <w:name w:val="font41"/>
    <w:basedOn w:val="33"/>
    <w:qFormat/>
    <w:uiPriority w:val="0"/>
    <w:rPr>
      <w:rFonts w:hint="default" w:ascii="Arial" w:hAnsi="Arial" w:cs="Arial"/>
      <w:color w:val="333333"/>
      <w:sz w:val="18"/>
      <w:szCs w:val="18"/>
      <w:u w:val="none"/>
    </w:rPr>
  </w:style>
  <w:style w:type="paragraph" w:customStyle="1" w:styleId="151">
    <w:name w:val="font5"/>
    <w:basedOn w:val="1"/>
    <w:qFormat/>
    <w:uiPriority w:val="0"/>
    <w:pPr>
      <w:widowControl/>
      <w:spacing w:before="100" w:beforeAutospacing="1" w:after="100" w:afterAutospacing="1"/>
      <w:jc w:val="left"/>
    </w:pPr>
    <w:rPr>
      <w:rFonts w:ascii="宋体" w:hAnsi="宋体" w:cs="宋体"/>
      <w:color w:val="333333"/>
      <w:kern w:val="0"/>
      <w:sz w:val="18"/>
      <w:szCs w:val="18"/>
    </w:rPr>
  </w:style>
  <w:style w:type="paragraph" w:customStyle="1" w:styleId="152">
    <w:name w:val="xl63"/>
    <w:basedOn w:val="1"/>
    <w:qFormat/>
    <w:uiPriority w:val="0"/>
    <w:pPr>
      <w:widowControl/>
      <w:pBdr>
        <w:top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5"/>
      <w:szCs w:val="15"/>
    </w:rPr>
  </w:style>
  <w:style w:type="paragraph" w:customStyle="1" w:styleId="153">
    <w:name w:val="xl64"/>
    <w:basedOn w:val="1"/>
    <w:qFormat/>
    <w:uiPriority w:val="0"/>
    <w:pPr>
      <w:widowControl/>
      <w:pBdr>
        <w:bottom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5"/>
      <w:szCs w:val="15"/>
    </w:rPr>
  </w:style>
  <w:style w:type="paragraph" w:customStyle="1" w:styleId="154">
    <w:name w:val="xl65"/>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5">
    <w:name w:val="xl66"/>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6">
    <w:name w:val="xl67"/>
    <w:basedOn w:val="1"/>
    <w:qFormat/>
    <w:uiPriority w:val="0"/>
    <w:pPr>
      <w:widowControl/>
      <w:pBdr>
        <w:bottom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8"/>
      <w:szCs w:val="18"/>
    </w:rPr>
  </w:style>
  <w:style w:type="paragraph" w:customStyle="1" w:styleId="157">
    <w:name w:val="xl68"/>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8">
    <w:name w:val="xl69"/>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9">
    <w:name w:val="xl70"/>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cs="宋体"/>
      <w:color w:val="000000"/>
      <w:kern w:val="0"/>
      <w:sz w:val="15"/>
      <w:szCs w:val="15"/>
    </w:rPr>
  </w:style>
  <w:style w:type="paragraph" w:customStyle="1" w:styleId="160">
    <w:name w:val="xl7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15"/>
      <w:szCs w:val="15"/>
    </w:rPr>
  </w:style>
  <w:style w:type="paragraph" w:customStyle="1" w:styleId="161">
    <w:name w:val="xl72"/>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62">
    <w:name w:val="xl73"/>
    <w:basedOn w:val="1"/>
    <w:qFormat/>
    <w:uiPriority w:val="0"/>
    <w:pPr>
      <w:widowControl/>
      <w:pBdr>
        <w:top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6"/>
      <w:szCs w:val="16"/>
    </w:rPr>
  </w:style>
  <w:style w:type="paragraph" w:customStyle="1" w:styleId="163">
    <w:name w:val="xl74"/>
    <w:basedOn w:val="1"/>
    <w:qFormat/>
    <w:uiPriority w:val="0"/>
    <w:pPr>
      <w:widowControl/>
      <w:pBdr>
        <w:bottom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6"/>
      <w:szCs w:val="16"/>
    </w:rPr>
  </w:style>
  <w:style w:type="paragraph" w:customStyle="1" w:styleId="164">
    <w:name w:val="xl75"/>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6"/>
      <w:szCs w:val="16"/>
    </w:rPr>
  </w:style>
  <w:style w:type="character" w:customStyle="1" w:styleId="165">
    <w:name w:val="font01"/>
    <w:basedOn w:val="33"/>
    <w:qFormat/>
    <w:uiPriority w:val="0"/>
    <w:rPr>
      <w:rFonts w:hint="default" w:ascii="Times New Roman" w:hAnsi="Times New Roman" w:cs="Times New Roman"/>
      <w:color w:val="000000"/>
      <w:sz w:val="22"/>
      <w:szCs w:val="22"/>
      <w:u w:val="none"/>
    </w:rPr>
  </w:style>
  <w:style w:type="character" w:customStyle="1" w:styleId="166">
    <w:name w:val="标题 1 Char"/>
    <w:basedOn w:val="33"/>
    <w:link w:val="2"/>
    <w:qFormat/>
    <w:uiPriority w:val="0"/>
    <w:rPr>
      <w:b/>
      <w:bCs/>
      <w:kern w:val="44"/>
      <w:sz w:val="44"/>
      <w:szCs w:val="44"/>
    </w:rPr>
  </w:style>
  <w:style w:type="paragraph" w:customStyle="1" w:styleId="167">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68">
    <w:name w:val="批注框文本 Char"/>
    <w:basedOn w:val="33"/>
    <w:link w:val="16"/>
    <w:semiHidden/>
    <w:qFormat/>
    <w:uiPriority w:val="0"/>
    <w:rPr>
      <w:kern w:val="2"/>
      <w:sz w:val="18"/>
      <w:szCs w:val="18"/>
    </w:rPr>
  </w:style>
  <w:style w:type="paragraph" w:customStyle="1" w:styleId="169">
    <w:name w:val="标准文件_前言、引言标题"/>
    <w:next w:val="1"/>
    <w:qFormat/>
    <w:uiPriority w:val="0"/>
    <w:pPr>
      <w:numPr>
        <w:ilvl w:val="0"/>
        <w:numId w:val="19"/>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17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71">
    <w:name w:val="标准文件_页脚奇数页"/>
    <w:qFormat/>
    <w:uiPriority w:val="0"/>
    <w:pPr>
      <w:ind w:right="227"/>
      <w:jc w:val="right"/>
    </w:pPr>
    <w:rPr>
      <w:rFonts w:ascii="宋体" w:hAnsi="Times New Roman" w:eastAsia="宋体" w:cs="Times New Roman"/>
      <w:sz w:val="18"/>
      <w:lang w:val="en-US" w:eastAsia="zh-CN" w:bidi="ar-SA"/>
    </w:rPr>
  </w:style>
  <w:style w:type="character" w:customStyle="1" w:styleId="172">
    <w:name w:val="Subtle Emphasis"/>
    <w:basedOn w:val="33"/>
    <w:qFormat/>
    <w:uiPriority w:val="19"/>
    <w:rPr>
      <w:i/>
      <w:iCs/>
      <w:color w:val="808080" w:themeColor="text1" w:themeTint="80"/>
      <w14:textFill>
        <w14:solidFill>
          <w14:schemeClr w14:val="tx1">
            <w14:lumMod w14:val="50000"/>
            <w14:lumOff w14:val="50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jpeg"/><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2549</Words>
  <Characters>2991</Characters>
  <Lines>24</Lines>
  <Paragraphs>6</Paragraphs>
  <TotalTime>2</TotalTime>
  <ScaleCrop>false</ScaleCrop>
  <LinksUpToDate>false</LinksUpToDate>
  <CharactersWithSpaces>3198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2024-05-08T01:32:00Z</dcterms:created>
  <dc:creator>CNIS</dc:creator>
  <cp:lastModifiedBy>songxy1</cp:lastModifiedBy>
  <cp:lastPrinted>2022-07-24T08:50:00Z</cp:lastPrinted>
  <dcterms:modified xsi:type="dcterms:W3CDTF">2025-05-09T09:50:39Z</dcterms:modified>
  <dc:title>标准名称</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KSOTemplateDocerSaveRecord">
    <vt:lpwstr>eyJoZGlkIjoiM2VkMWEwOGJiZTdjMTFiZWQxN2ViYjM3MGM1ZjY5YjMiLCJ1c2VySWQiOiIxNDE1NjM3NDEwIn0=</vt:lpwstr>
  </property>
  <property fmtid="{D5CDD505-2E9C-101B-9397-08002B2CF9AE}" pid="4" name="ICV">
    <vt:lpwstr>8B6C088131D34A4DBD85233ED9C5969F</vt:lpwstr>
  </property>
</Properties>
</file>