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F5F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982A99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7074619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65.150</w:t>
            </w:r>
            <w:r>
              <w:rPr>
                <w:rFonts w:ascii="黑体" w:hAnsi="黑体" w:eastAsia="黑体"/>
                <w:sz w:val="21"/>
                <w:szCs w:val="21"/>
              </w:rPr>
              <w:fldChar w:fldCharType="end"/>
            </w:r>
            <w:bookmarkEnd w:id="0"/>
          </w:p>
        </w:tc>
      </w:tr>
      <w:tr w14:paraId="2B3D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FE2E58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559A92C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1687E4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17305DD">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4404</w:t>
            </w:r>
            <w:r>
              <w:fldChar w:fldCharType="end"/>
            </w:r>
            <w:bookmarkEnd w:id="3"/>
          </w:p>
        </w:tc>
      </w:tr>
    </w:tbl>
    <w:p w14:paraId="582F5EA0">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珠海市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F7F3F3F">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4404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9BE8860">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D0C66E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3443A89C">
      <w:pPr>
        <w:pStyle w:val="50"/>
        <w:framePr w:w="9639" w:h="6976" w:hRule="exact" w:hSpace="0" w:vSpace="0" w:wrap="around" w:hAnchor="page" w:y="6408"/>
        <w:jc w:val="center"/>
        <w:rPr>
          <w:rFonts w:ascii="黑体" w:hAnsi="黑体" w:eastAsia="黑体"/>
          <w:b w:val="0"/>
          <w:bCs w:val="0"/>
          <w:w w:val="100"/>
        </w:rPr>
      </w:pPr>
    </w:p>
    <w:p w14:paraId="148BA556">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金鲳鱼产品溯源管理规范</w:t>
      </w:r>
      <w:r>
        <w:fldChar w:fldCharType="end"/>
      </w:r>
      <w:bookmarkEnd w:id="9"/>
    </w:p>
    <w:p w14:paraId="6DD728F3">
      <w:pPr>
        <w:framePr w:w="9639" w:h="6974" w:hRule="exact" w:wrap="around" w:vAnchor="page" w:hAnchor="page" w:x="1419" w:y="6408" w:anchorLock="1"/>
        <w:ind w:left="-1418"/>
      </w:pPr>
    </w:p>
    <w:p w14:paraId="2A11194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Traceability management for golden pomfret</w:t>
      </w:r>
      <w:r>
        <w:rPr>
          <w:rFonts w:eastAsia="黑体"/>
          <w:szCs w:val="28"/>
        </w:rPr>
        <w:fldChar w:fldCharType="end"/>
      </w:r>
      <w:bookmarkEnd w:id="10"/>
    </w:p>
    <w:p w14:paraId="256CC0DD">
      <w:pPr>
        <w:framePr w:w="9639" w:h="6974" w:hRule="exact" w:wrap="around" w:vAnchor="page" w:hAnchor="page" w:x="1419" w:y="6408" w:anchorLock="1"/>
        <w:spacing w:line="760" w:lineRule="exact"/>
        <w:ind w:left="-1418"/>
      </w:pPr>
    </w:p>
    <w:p w14:paraId="3C18C69A">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1"/>
      <w:r>
        <w:rPr>
          <w:rFonts w:ascii="黑体"/>
        </w:rPr>
        <w:t>-</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1C7A7888">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3141412D">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珠海市市场</w:t>
      </w:r>
      <w:r>
        <w:rPr>
          <w:rFonts w:hAnsi="黑体"/>
          <w:w w:val="100"/>
          <w:sz w:val="28"/>
        </w:rPr>
        <w:t>监督</w:t>
      </w:r>
      <w:r>
        <w:rPr>
          <w:rFonts w:hint="eastAsia" w:hAnsi="黑体"/>
          <w:w w:val="100"/>
          <w:sz w:val="28"/>
        </w:rPr>
        <w:t>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81523D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12906CB8">
      <w:pPr>
        <w:pStyle w:val="89"/>
        <w:spacing w:after="468"/>
      </w:pPr>
      <w:bookmarkStart w:id="18" w:name="BookMark2"/>
      <w:r>
        <w:rPr>
          <w:spacing w:val="320"/>
        </w:rPr>
        <w:t>前</w:t>
      </w:r>
      <w:r>
        <w:t>言</w:t>
      </w:r>
    </w:p>
    <w:p w14:paraId="7DFB5087">
      <w:pPr>
        <w:pStyle w:val="56"/>
        <w:ind w:firstLine="420"/>
      </w:pPr>
      <w:r>
        <w:rPr>
          <w:rFonts w:hint="eastAsia"/>
        </w:rPr>
        <w:t>本文件按照GB/T 1.1—2020《标准化工作导则  第1部分：标准化文件的结构和起草规则》的规定起草。</w:t>
      </w:r>
    </w:p>
    <w:p w14:paraId="3AADF19B">
      <w:pPr>
        <w:pStyle w:val="56"/>
        <w:ind w:firstLine="420"/>
      </w:pPr>
      <w:r>
        <w:rPr>
          <w:rFonts w:hint="eastAsia"/>
        </w:rPr>
        <w:t>本文件由珠海万山海洋开发试验区社会事业局提出。</w:t>
      </w:r>
    </w:p>
    <w:p w14:paraId="155C3577">
      <w:pPr>
        <w:pStyle w:val="56"/>
        <w:ind w:firstLine="420"/>
      </w:pPr>
      <w:r>
        <w:rPr>
          <w:rFonts w:hint="eastAsia"/>
        </w:rPr>
        <w:t>本文件由珠海市海洋发展局归口。</w:t>
      </w:r>
    </w:p>
    <w:p w14:paraId="48D39FF8">
      <w:pPr>
        <w:pStyle w:val="56"/>
        <w:ind w:firstLine="420"/>
      </w:pPr>
      <w:r>
        <w:rPr>
          <w:rFonts w:hint="eastAsia"/>
        </w:rPr>
        <w:t>本文件起草单位：</w:t>
      </w:r>
    </w:p>
    <w:p w14:paraId="038676BC">
      <w:pPr>
        <w:pStyle w:val="56"/>
        <w:ind w:firstLine="420"/>
      </w:pPr>
      <w:r>
        <w:rPr>
          <w:rFonts w:hint="eastAsia"/>
        </w:rPr>
        <w:t>本文件主要起草人：</w:t>
      </w:r>
    </w:p>
    <w:p w14:paraId="64352BD8">
      <w:pPr>
        <w:pStyle w:val="56"/>
        <w:ind w:firstLine="420"/>
      </w:pPr>
    </w:p>
    <w:p w14:paraId="0864DAFE">
      <w:pPr>
        <w:pStyle w:val="56"/>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p>
    <w:bookmarkEnd w:id="18"/>
    <w:p w14:paraId="1D84722B">
      <w:pPr>
        <w:spacing w:line="20" w:lineRule="exact"/>
        <w:jc w:val="center"/>
        <w:rPr>
          <w:rFonts w:ascii="黑体" w:hAnsi="黑体" w:eastAsia="黑体"/>
          <w:sz w:val="32"/>
          <w:szCs w:val="32"/>
        </w:rPr>
      </w:pPr>
      <w:bookmarkStart w:id="19" w:name="BookMark4"/>
    </w:p>
    <w:p w14:paraId="3425C11E">
      <w:pPr>
        <w:spacing w:line="20" w:lineRule="exact"/>
        <w:jc w:val="center"/>
        <w:rPr>
          <w:rFonts w:ascii="黑体" w:hAnsi="黑体" w:eastAsia="黑体"/>
          <w:sz w:val="32"/>
          <w:szCs w:val="32"/>
        </w:rPr>
      </w:pPr>
    </w:p>
    <w:sdt>
      <w:sdtPr>
        <w:tag w:val="NEW_STAND_NAME"/>
        <w:id w:val="595910757"/>
        <w:lock w:val="sdtLocked"/>
        <w:placeholder>
          <w:docPart w:val="FDDB321D89D646E89341EBFB407D8FF2"/>
        </w:placeholder>
      </w:sdtPr>
      <w:sdtContent>
        <w:p w14:paraId="46EFD5C9">
          <w:pPr>
            <w:pStyle w:val="177"/>
            <w:spacing w:before="3" w:beforeLines="1" w:after="686" w:afterLines="220"/>
          </w:pPr>
          <w:bookmarkStart w:id="20" w:name="NEW_STAND_NAME"/>
          <w:r>
            <w:rPr>
              <w:rFonts w:hint="eastAsia"/>
            </w:rPr>
            <w:t>金鲳鱼产品溯源管理规范</w:t>
          </w:r>
        </w:p>
      </w:sdtContent>
    </w:sdt>
    <w:bookmarkEnd w:id="20"/>
    <w:p w14:paraId="7980EF48">
      <w:pPr>
        <w:pStyle w:val="104"/>
        <w:spacing w:before="312" w:after="312"/>
      </w:pPr>
      <w:bookmarkStart w:id="21" w:name="_Toc26986771"/>
      <w:bookmarkStart w:id="22" w:name="_Toc26648465"/>
      <w:bookmarkStart w:id="23" w:name="_Toc26986530"/>
      <w:bookmarkStart w:id="24" w:name="_Toc24884218"/>
      <w:bookmarkStart w:id="25" w:name="_Toc24884211"/>
      <w:bookmarkStart w:id="26" w:name="_Toc26718930"/>
      <w:bookmarkStart w:id="27" w:name="_Toc17233325"/>
      <w:bookmarkStart w:id="28" w:name="_Toc17233333"/>
      <w:r>
        <w:rPr>
          <w:rFonts w:hint="eastAsia"/>
        </w:rPr>
        <w:t>范围</w:t>
      </w:r>
      <w:bookmarkEnd w:id="21"/>
      <w:bookmarkEnd w:id="22"/>
      <w:bookmarkEnd w:id="23"/>
      <w:bookmarkEnd w:id="24"/>
      <w:bookmarkEnd w:id="25"/>
      <w:bookmarkEnd w:id="26"/>
      <w:bookmarkEnd w:id="27"/>
      <w:bookmarkEnd w:id="28"/>
    </w:p>
    <w:p w14:paraId="78E667FF">
      <w:pPr>
        <w:pStyle w:val="56"/>
        <w:ind w:firstLine="420"/>
      </w:pPr>
      <w:bookmarkStart w:id="29" w:name="_Toc24884219"/>
      <w:bookmarkStart w:id="30" w:name="_Toc17233326"/>
      <w:bookmarkStart w:id="31" w:name="_Toc17233334"/>
      <w:bookmarkStart w:id="32" w:name="_Toc24884212"/>
      <w:bookmarkStart w:id="33" w:name="_Toc26648466"/>
      <w:r>
        <w:rPr>
          <w:rFonts w:hint="eastAsia"/>
        </w:rPr>
        <w:t>本文件规定了金鲳鱼</w:t>
      </w:r>
      <w:r>
        <w:t>产品</w:t>
      </w:r>
      <w:r>
        <w:rPr>
          <w:rFonts w:hint="eastAsia"/>
        </w:rPr>
        <w:t>追溯的术语与定义、实施原则与要求、追溯体系实施、追溯体系自查、安全问题处置、产品检测。</w:t>
      </w:r>
    </w:p>
    <w:p w14:paraId="51EECC36">
      <w:pPr>
        <w:pStyle w:val="56"/>
        <w:ind w:firstLine="420"/>
      </w:pPr>
      <w:r>
        <w:rPr>
          <w:rFonts w:hint="eastAsia"/>
        </w:rPr>
        <w:t>本文件适用于金鲳鱼产品安全追溯体系的建立与实施。</w:t>
      </w:r>
    </w:p>
    <w:p w14:paraId="2A6CFB7E">
      <w:pPr>
        <w:pStyle w:val="104"/>
        <w:spacing w:before="312" w:after="312"/>
      </w:pPr>
      <w:bookmarkStart w:id="34" w:name="_Toc26718931"/>
      <w:bookmarkStart w:id="35" w:name="_Toc26986772"/>
      <w:bookmarkStart w:id="36" w:name="_Toc26986531"/>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33E1AB63B59E440B8382F85252A8E0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03A439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F93DB20">
      <w:pPr>
        <w:pStyle w:val="56"/>
        <w:ind w:firstLine="420"/>
      </w:pPr>
      <w:r>
        <w:rPr>
          <w:rFonts w:hint="eastAsia"/>
        </w:rPr>
        <w:t>GB/T 25064 信息安全技术公钥基础设施电子签名格式规范</w:t>
      </w:r>
    </w:p>
    <w:p w14:paraId="699B4C48">
      <w:pPr>
        <w:pStyle w:val="104"/>
        <w:spacing w:before="312" w:after="312"/>
      </w:pPr>
      <w:r>
        <w:rPr>
          <w:rFonts w:hint="eastAsia"/>
          <w:szCs w:val="21"/>
        </w:rPr>
        <w:t>术语和定义</w:t>
      </w:r>
    </w:p>
    <w:sdt>
      <w:sdtPr>
        <w:id w:val="-1909835108"/>
        <w:placeholder>
          <w:docPart w:val="FD86BA13826844148D2952C129DDF6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DE092E5">
          <w:pPr>
            <w:pStyle w:val="56"/>
            <w:ind w:firstLine="420"/>
          </w:pPr>
          <w:bookmarkStart w:id="37" w:name="_Toc26986532"/>
          <w:bookmarkEnd w:id="37"/>
          <w:r>
            <w:t>本文件没有需要界定的术语和定义。</w:t>
          </w:r>
        </w:p>
      </w:sdtContent>
    </w:sdt>
    <w:p w14:paraId="1FA09581">
      <w:pPr>
        <w:pStyle w:val="104"/>
        <w:spacing w:before="312" w:after="312"/>
      </w:pPr>
      <w:r>
        <w:rPr>
          <w:rFonts w:hint="eastAsia"/>
        </w:rPr>
        <w:t>实施原则</w:t>
      </w:r>
      <w:r>
        <w:t>与基本</w:t>
      </w:r>
      <w:r>
        <w:rPr>
          <w:rFonts w:hint="eastAsia"/>
        </w:rPr>
        <w:t>要求</w:t>
      </w:r>
    </w:p>
    <w:p w14:paraId="711DDFF7">
      <w:pPr>
        <w:pStyle w:val="105"/>
        <w:spacing w:before="156" w:after="156"/>
      </w:pPr>
      <w:r>
        <w:t>实施原则</w:t>
      </w:r>
    </w:p>
    <w:p w14:paraId="1ACD30F2">
      <w:pPr>
        <w:pStyle w:val="65"/>
        <w:spacing w:before="156" w:after="156"/>
      </w:pPr>
      <w:r>
        <w:t>完整性原则</w:t>
      </w:r>
    </w:p>
    <w:p w14:paraId="2B00D814">
      <w:pPr>
        <w:pStyle w:val="56"/>
        <w:ind w:firstLine="420"/>
      </w:pPr>
      <w:r>
        <w:t>追溯信息应覆盖</w:t>
      </w:r>
      <w:r>
        <w:rPr>
          <w:rFonts w:hint="eastAsia"/>
        </w:rPr>
        <w:t>金鲳鱼</w:t>
      </w:r>
      <w:r>
        <w:t>养殖</w:t>
      </w:r>
      <w:r>
        <w:rPr>
          <w:rFonts w:hint="eastAsia"/>
        </w:rPr>
        <w:t>与</w:t>
      </w:r>
      <w:r>
        <w:t>加工全过程；信息内容应覆盖本环节操作时间、地点、责任主体、</w:t>
      </w:r>
      <w:r>
        <w:rPr>
          <w:rFonts w:hint="eastAsia"/>
        </w:rPr>
        <w:t>养殖</w:t>
      </w:r>
      <w:r>
        <w:rPr>
          <w:spacing w:val="-2"/>
        </w:rPr>
        <w:t>批次、</w:t>
      </w:r>
      <w:r>
        <w:rPr>
          <w:rFonts w:hint="eastAsia"/>
          <w:spacing w:val="-2"/>
        </w:rPr>
        <w:t>用药</w:t>
      </w:r>
      <w:r>
        <w:rPr>
          <w:spacing w:val="-2"/>
        </w:rPr>
        <w:t>安全</w:t>
      </w:r>
      <w:r>
        <w:rPr>
          <w:rFonts w:hint="eastAsia"/>
          <w:spacing w:val="-2"/>
        </w:rPr>
        <w:t>等</w:t>
      </w:r>
      <w:r>
        <w:rPr>
          <w:spacing w:val="-2"/>
        </w:rPr>
        <w:t>相关内容。</w:t>
      </w:r>
    </w:p>
    <w:p w14:paraId="4638B05B">
      <w:pPr>
        <w:pStyle w:val="65"/>
        <w:spacing w:before="156" w:after="156"/>
      </w:pPr>
      <w:r>
        <w:t>对应性原则</w:t>
      </w:r>
    </w:p>
    <w:p w14:paraId="5066F6A3">
      <w:pPr>
        <w:pStyle w:val="56"/>
        <w:ind w:firstLine="420"/>
      </w:pPr>
      <w:r>
        <w:t>应对</w:t>
      </w:r>
      <w:r>
        <w:rPr>
          <w:rFonts w:hint="eastAsia"/>
        </w:rPr>
        <w:t>金鲳鱼</w:t>
      </w:r>
      <w:r>
        <w:t>追溯过程中各相关单元进行代码化管理，确保</w:t>
      </w:r>
      <w:r>
        <w:rPr>
          <w:rFonts w:hint="eastAsia"/>
        </w:rPr>
        <w:t>养殖</w:t>
      </w:r>
      <w:r>
        <w:t>安全追溯信息与产品的唯一对应。</w:t>
      </w:r>
    </w:p>
    <w:p w14:paraId="1A4C1A9B">
      <w:pPr>
        <w:pStyle w:val="65"/>
        <w:spacing w:before="156" w:after="156"/>
      </w:pPr>
      <w:r>
        <w:t>高效性原则</w:t>
      </w:r>
    </w:p>
    <w:p w14:paraId="5B45362C">
      <w:pPr>
        <w:pStyle w:val="56"/>
        <w:ind w:firstLine="420"/>
      </w:pPr>
      <w:r>
        <w:t>应充分运用网络技术、通讯技术、条码技术等，建立高效、精准、快捷的</w:t>
      </w:r>
      <w:r>
        <w:rPr>
          <w:rFonts w:hint="eastAsia"/>
        </w:rPr>
        <w:t>金鲳鱼</w:t>
      </w:r>
      <w:r>
        <w:t>安全追溯系</w:t>
      </w:r>
      <w:r>
        <w:rPr>
          <w:spacing w:val="-6"/>
        </w:rPr>
        <w:t>统。</w:t>
      </w:r>
    </w:p>
    <w:p w14:paraId="2CBFE666">
      <w:pPr>
        <w:pStyle w:val="105"/>
        <w:spacing w:before="156" w:after="156"/>
      </w:pPr>
      <w:r>
        <w:t>基本要求</w:t>
      </w:r>
    </w:p>
    <w:p w14:paraId="716EB5F9">
      <w:pPr>
        <w:pStyle w:val="65"/>
        <w:spacing w:before="156" w:after="156"/>
      </w:pPr>
      <w:r>
        <w:t>制度要求</w:t>
      </w:r>
    </w:p>
    <w:p w14:paraId="61B3450D">
      <w:pPr>
        <w:pStyle w:val="164"/>
      </w:pPr>
      <w:r>
        <w:rPr>
          <w:rFonts w:hint="eastAsia"/>
        </w:rPr>
        <w:t>企业应建立信息记录制度，对金鲳鱼</w:t>
      </w:r>
      <w:r>
        <w:t>养殖加工</w:t>
      </w:r>
      <w:r>
        <w:rPr>
          <w:rFonts w:hint="eastAsia"/>
        </w:rPr>
        <w:t>环节信息详细记录，确保对金鲳鱼从鱼苗采购到销售的所有环节都可进行有效追溯。信息记录应有专人负责管理。</w:t>
      </w:r>
    </w:p>
    <w:p w14:paraId="48E869DC">
      <w:pPr>
        <w:pStyle w:val="164"/>
      </w:pPr>
      <w:r>
        <w:rPr>
          <w:rFonts w:hint="eastAsia"/>
        </w:rPr>
        <w:t>应建立信息记录文件的管理制度，对文件进行有效管理，确保各相关场所使用的文件均为有效版本，应定期对信息记录文件进行更新。</w:t>
      </w:r>
    </w:p>
    <w:p w14:paraId="19B52033">
      <w:pPr>
        <w:pStyle w:val="65"/>
        <w:spacing w:before="156" w:after="156"/>
      </w:pPr>
      <w:r>
        <w:rPr>
          <w:rFonts w:hint="eastAsia"/>
        </w:rPr>
        <w:t>形式要求</w:t>
      </w:r>
    </w:p>
    <w:p w14:paraId="564FFC0E">
      <w:pPr>
        <w:pStyle w:val="56"/>
        <w:ind w:firstLine="420"/>
      </w:pPr>
      <w:r>
        <w:rPr>
          <w:rFonts w:hint="eastAsia"/>
        </w:rPr>
        <w:t>信息记录可为电子化形式，且在必要时能够出示，可采用一维码、二维码、电子标签等作为信息记录的载体。</w:t>
      </w:r>
    </w:p>
    <w:p w14:paraId="5EA47D31">
      <w:pPr>
        <w:pStyle w:val="65"/>
        <w:spacing w:before="156" w:after="156"/>
      </w:pPr>
      <w:r>
        <w:rPr>
          <w:rFonts w:hint="eastAsia"/>
        </w:rPr>
        <w:t>填写要求</w:t>
      </w:r>
    </w:p>
    <w:p w14:paraId="6F6EEA70">
      <w:pPr>
        <w:pStyle w:val="164"/>
      </w:pPr>
      <w:r>
        <w:rPr>
          <w:rFonts w:hint="eastAsia"/>
        </w:rPr>
        <w:t>填写信息记录时内容应完整，单位名称的缩写或简写应统一，并提供与单位全名的对应表，其他内容不应简写、缩写。填写任何数据及文字包括签名时应做到清晰易懂，且不易擦掉，需修改时应在修改处签名或盖章。</w:t>
      </w:r>
    </w:p>
    <w:p w14:paraId="670A85DA">
      <w:pPr>
        <w:pStyle w:val="164"/>
      </w:pPr>
      <w:r>
        <w:rPr>
          <w:rFonts w:hint="eastAsia"/>
        </w:rPr>
        <w:t>信息记录应在当班填写或采集补写，不应事先预估填写。</w:t>
      </w:r>
    </w:p>
    <w:p w14:paraId="15E8D033">
      <w:pPr>
        <w:pStyle w:val="164"/>
      </w:pPr>
      <w:r>
        <w:rPr>
          <w:rFonts w:hint="eastAsia"/>
        </w:rPr>
        <w:t>信息记录应由记录填写人员和审核人员复核签字，记录内容应完整、清晰。电子化形式的信息记录的签名要求应符合GB/T 25064的规定。</w:t>
      </w:r>
    </w:p>
    <w:p w14:paraId="3A565BFD">
      <w:pPr>
        <w:pStyle w:val="65"/>
        <w:spacing w:before="156" w:after="156"/>
      </w:pPr>
      <w:r>
        <w:rPr>
          <w:rFonts w:hint="eastAsia"/>
        </w:rPr>
        <w:t>保存期限</w:t>
      </w:r>
    </w:p>
    <w:p w14:paraId="25327D88">
      <w:pPr>
        <w:pStyle w:val="56"/>
        <w:ind w:firstLine="420"/>
      </w:pPr>
      <w:r>
        <w:rPr>
          <w:rFonts w:hint="eastAsia"/>
        </w:rPr>
        <w:t>信息记录和相关凭证的保存期限不应少于产品保质期满后6个月；产品没有明保质期的，保存期限不应少于2年，法律法规另有规定的除外。宜至少保存一年。</w:t>
      </w:r>
    </w:p>
    <w:p w14:paraId="3E510343">
      <w:pPr>
        <w:pStyle w:val="104"/>
        <w:spacing w:before="312" w:after="312"/>
      </w:pPr>
      <w:r>
        <w:rPr>
          <w:rFonts w:hint="eastAsia"/>
        </w:rPr>
        <w:t>追溯</w:t>
      </w:r>
      <w:r>
        <w:t>体系</w:t>
      </w:r>
      <w:r>
        <w:rPr>
          <w:rFonts w:hint="eastAsia"/>
        </w:rPr>
        <w:t>实施</w:t>
      </w:r>
    </w:p>
    <w:p w14:paraId="725620AB">
      <w:pPr>
        <w:pStyle w:val="105"/>
        <w:spacing w:before="156" w:after="156"/>
      </w:pPr>
      <w:r>
        <w:t>确定追溯环节</w:t>
      </w:r>
    </w:p>
    <w:p w14:paraId="0AACC925">
      <w:pPr>
        <w:pStyle w:val="56"/>
        <w:ind w:firstLine="420"/>
      </w:pPr>
      <w:r>
        <w:t>按照</w:t>
      </w:r>
      <w:r>
        <w:rPr>
          <w:rFonts w:hint="eastAsia"/>
        </w:rPr>
        <w:t>金鲳鱼</w:t>
      </w:r>
      <w:r>
        <w:t>养殖工艺流程，划分追溯单元，确定</w:t>
      </w:r>
      <w:r>
        <w:rPr>
          <w:rFonts w:hint="eastAsia"/>
        </w:rPr>
        <w:t>养殖</w:t>
      </w:r>
      <w:r>
        <w:t>过程各环节的追溯精度。</w:t>
      </w:r>
    </w:p>
    <w:p w14:paraId="3121D843">
      <w:pPr>
        <w:pStyle w:val="105"/>
        <w:spacing w:before="156" w:after="156"/>
      </w:pPr>
      <w:r>
        <w:t>追溯标识</w:t>
      </w:r>
    </w:p>
    <w:p w14:paraId="44213E08">
      <w:pPr>
        <w:pStyle w:val="165"/>
      </w:pPr>
      <w:r>
        <w:rPr>
          <w:rFonts w:hint="eastAsia"/>
        </w:rPr>
        <w:t>金鲳鱼养殖按批次进行追溯，以同一时间段投放的同一规格苗种为一个批次。</w:t>
      </w:r>
    </w:p>
    <w:p w14:paraId="0443B1D4">
      <w:pPr>
        <w:pStyle w:val="165"/>
      </w:pPr>
      <w:r>
        <w:rPr>
          <w:rFonts w:hint="eastAsia"/>
        </w:rPr>
        <w:t>金鲳鱼养殖</w:t>
      </w:r>
      <w:r>
        <w:t>加工过程中形成</w:t>
      </w:r>
      <w:r>
        <w:rPr>
          <w:rFonts w:hint="eastAsia"/>
        </w:rPr>
        <w:t>各类投入品</w:t>
      </w:r>
      <w:r>
        <w:t>储存标识，</w:t>
      </w:r>
      <w:r>
        <w:rPr>
          <w:rFonts w:hint="eastAsia"/>
        </w:rPr>
        <w:t>金鲳鱼</w:t>
      </w:r>
      <w:r>
        <w:t>捕获销售时应同时形成追溯标识。</w:t>
      </w:r>
    </w:p>
    <w:p w14:paraId="38A5782D">
      <w:pPr>
        <w:pStyle w:val="165"/>
      </w:pPr>
      <w:r>
        <w:rPr>
          <w:rFonts w:hint="eastAsia"/>
        </w:rPr>
        <w:t>每批次收获时，</w:t>
      </w:r>
      <w:r>
        <w:rPr>
          <w:rFonts w:hint="eastAsia"/>
          <w:highlight w:val="none"/>
        </w:rPr>
        <w:t>附加“三品一标”标识或可追溯产</w:t>
      </w:r>
      <w:r>
        <w:rPr>
          <w:rFonts w:hint="eastAsia"/>
        </w:rPr>
        <w:t>品标签，有条件的生产单位可附加条码、二维码射频识别（RFID）标签，标签内容和样式应符合相关规定</w:t>
      </w:r>
      <w:r>
        <w:t>。</w:t>
      </w:r>
    </w:p>
    <w:p w14:paraId="2227BC27">
      <w:pPr>
        <w:pStyle w:val="105"/>
        <w:spacing w:before="156" w:after="156"/>
      </w:pPr>
      <w:r>
        <w:t>信息采集</w:t>
      </w:r>
      <w:bookmarkStart w:id="40" w:name="_GoBack"/>
      <w:bookmarkEnd w:id="40"/>
    </w:p>
    <w:p w14:paraId="490F6FB7">
      <w:pPr>
        <w:pStyle w:val="56"/>
        <w:ind w:firstLine="420"/>
      </w:pPr>
      <w:r>
        <w:rPr>
          <w:rFonts w:hint="eastAsia"/>
        </w:rPr>
        <w:t>金鲳鱼</w:t>
      </w:r>
      <w:r>
        <w:t>养殖加工安全溯源涉及的信息记录文件见表1。</w:t>
      </w:r>
    </w:p>
    <w:p w14:paraId="4BFB8E56">
      <w:pPr>
        <w:pStyle w:val="112"/>
        <w:spacing w:before="156" w:after="156"/>
      </w:pPr>
      <w:r>
        <w:rPr>
          <w:rFonts w:hint="eastAsia"/>
        </w:rPr>
        <w:t>信息记录文件</w:t>
      </w:r>
    </w:p>
    <w:tbl>
      <w:tblPr>
        <w:tblStyle w:val="2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1485"/>
        <w:gridCol w:w="6455"/>
      </w:tblGrid>
      <w:tr w14:paraId="68534769">
        <w:tblPrEx>
          <w:tblCellMar>
            <w:top w:w="0" w:type="dxa"/>
            <w:left w:w="108" w:type="dxa"/>
            <w:bottom w:w="0" w:type="dxa"/>
            <w:right w:w="108" w:type="dxa"/>
          </w:tblCellMar>
        </w:tblPrEx>
        <w:trPr>
          <w:trHeight w:val="454" w:hRule="atLeast"/>
        </w:trPr>
        <w:tc>
          <w:tcPr>
            <w:tcW w:w="1666" w:type="dxa"/>
            <w:vAlign w:val="center"/>
          </w:tcPr>
          <w:p w14:paraId="2A3B9118">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类别</w:t>
            </w:r>
          </w:p>
        </w:tc>
        <w:tc>
          <w:tcPr>
            <w:tcW w:w="7940" w:type="dxa"/>
            <w:gridSpan w:val="2"/>
            <w:vAlign w:val="center"/>
          </w:tcPr>
          <w:p w14:paraId="2C311921">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记录</w:t>
            </w:r>
            <w:r>
              <w:rPr>
                <w:sz w:val="18"/>
                <w:szCs w:val="18"/>
              </w:rPr>
              <w:t>内容</w:t>
            </w:r>
          </w:p>
        </w:tc>
      </w:tr>
      <w:tr w14:paraId="51E1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Align w:val="center"/>
          </w:tcPr>
          <w:p w14:paraId="11D69ABA">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生产前端</w:t>
            </w:r>
          </w:p>
        </w:tc>
        <w:tc>
          <w:tcPr>
            <w:tcW w:w="7940" w:type="dxa"/>
            <w:gridSpan w:val="2"/>
            <w:vAlign w:val="center"/>
          </w:tcPr>
          <w:p w14:paraId="009B0F65">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鱼苗采购的供货者名称、地址、日期、规格、数量、检验报告</w:t>
            </w:r>
          </w:p>
        </w:tc>
      </w:tr>
      <w:tr w14:paraId="7EE5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Merge w:val="restart"/>
            <w:vAlign w:val="center"/>
          </w:tcPr>
          <w:p w14:paraId="307E104D">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生产过程管理</w:t>
            </w:r>
          </w:p>
        </w:tc>
        <w:tc>
          <w:tcPr>
            <w:tcW w:w="1485" w:type="dxa"/>
            <w:vAlign w:val="center"/>
          </w:tcPr>
          <w:p w14:paraId="09493400">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产品信息</w:t>
            </w:r>
          </w:p>
        </w:tc>
        <w:tc>
          <w:tcPr>
            <w:tcW w:w="6455" w:type="dxa"/>
            <w:vAlign w:val="center"/>
          </w:tcPr>
          <w:p w14:paraId="6CB9A7BF">
            <w:pPr>
              <w:pStyle w:val="56"/>
              <w:keepNext w:val="0"/>
              <w:keepLines w:val="0"/>
              <w:pageBreakBefore w:val="0"/>
              <w:widowControl/>
              <w:kinsoku/>
              <w:wordWrap/>
              <w:overflowPunct/>
              <w:topLinePunct w:val="0"/>
              <w:autoSpaceDE w:val="0"/>
              <w:autoSpaceDN w:val="0"/>
              <w:bidi w:val="0"/>
              <w:adjustRightInd/>
              <w:snapToGrid/>
              <w:spacing w:line="240" w:lineRule="auto"/>
              <w:ind w:firstLine="360"/>
              <w:jc w:val="center"/>
              <w:textAlignment w:val="auto"/>
              <w:rPr>
                <w:sz w:val="18"/>
                <w:szCs w:val="18"/>
              </w:rPr>
            </w:pPr>
            <w:r>
              <w:rPr>
                <w:rFonts w:hint="eastAsia"/>
                <w:sz w:val="18"/>
                <w:szCs w:val="18"/>
              </w:rPr>
              <w:t>产品种类/名称、上市期、主要销售地、品牌名称</w:t>
            </w:r>
          </w:p>
        </w:tc>
      </w:tr>
      <w:tr w14:paraId="59DF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Merge w:val="continue"/>
            <w:vAlign w:val="center"/>
          </w:tcPr>
          <w:p w14:paraId="6FC2D270">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49F02670">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基地信息</w:t>
            </w:r>
          </w:p>
        </w:tc>
        <w:tc>
          <w:tcPr>
            <w:tcW w:w="6455" w:type="dxa"/>
            <w:vAlign w:val="center"/>
          </w:tcPr>
          <w:p w14:paraId="0B15A28A">
            <w:pPr>
              <w:pStyle w:val="56"/>
              <w:keepNext w:val="0"/>
              <w:keepLines w:val="0"/>
              <w:pageBreakBefore w:val="0"/>
              <w:widowControl/>
              <w:kinsoku/>
              <w:wordWrap/>
              <w:overflowPunct/>
              <w:topLinePunct w:val="0"/>
              <w:autoSpaceDE w:val="0"/>
              <w:autoSpaceDN w:val="0"/>
              <w:bidi w:val="0"/>
              <w:adjustRightInd/>
              <w:snapToGrid/>
              <w:spacing w:line="240" w:lineRule="auto"/>
              <w:ind w:firstLine="360"/>
              <w:jc w:val="center"/>
              <w:textAlignment w:val="auto"/>
              <w:rPr>
                <w:sz w:val="18"/>
                <w:szCs w:val="18"/>
              </w:rPr>
            </w:pPr>
            <w:r>
              <w:rPr>
                <w:rFonts w:hint="eastAsia"/>
                <w:sz w:val="18"/>
                <w:szCs w:val="18"/>
              </w:rPr>
              <w:t>养殖基地名称、基地地址、基地类型、基地规模/面积、基地平面图</w:t>
            </w:r>
          </w:p>
        </w:tc>
      </w:tr>
      <w:tr w14:paraId="3E85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Merge w:val="continue"/>
            <w:vAlign w:val="center"/>
          </w:tcPr>
          <w:p w14:paraId="256A13A7">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6CE14493">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生产批次档案</w:t>
            </w:r>
          </w:p>
        </w:tc>
        <w:tc>
          <w:tcPr>
            <w:tcW w:w="6455" w:type="dxa"/>
            <w:vAlign w:val="center"/>
          </w:tcPr>
          <w:p w14:paraId="747FD77E">
            <w:pPr>
              <w:pStyle w:val="56"/>
              <w:keepNext w:val="0"/>
              <w:keepLines w:val="0"/>
              <w:pageBreakBefore w:val="0"/>
              <w:widowControl/>
              <w:kinsoku/>
              <w:wordWrap/>
              <w:overflowPunct/>
              <w:topLinePunct w:val="0"/>
              <w:autoSpaceDE w:val="0"/>
              <w:autoSpaceDN w:val="0"/>
              <w:bidi w:val="0"/>
              <w:adjustRightInd/>
              <w:snapToGrid/>
              <w:spacing w:line="240" w:lineRule="auto"/>
              <w:ind w:firstLine="360"/>
              <w:jc w:val="center"/>
              <w:textAlignment w:val="auto"/>
              <w:rPr>
                <w:sz w:val="18"/>
                <w:szCs w:val="18"/>
              </w:rPr>
            </w:pPr>
            <w:r>
              <w:rPr>
                <w:rFonts w:hint="eastAsia"/>
                <w:sz w:val="18"/>
                <w:szCs w:val="18"/>
              </w:rPr>
              <w:t>生产批次、预产量、生产日期、批次二维码</w:t>
            </w:r>
          </w:p>
        </w:tc>
      </w:tr>
      <w:tr w14:paraId="7957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66" w:type="dxa"/>
            <w:vMerge w:val="continue"/>
            <w:vAlign w:val="center"/>
          </w:tcPr>
          <w:p w14:paraId="3443878B">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53836F2F">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供应商管理</w:t>
            </w:r>
          </w:p>
        </w:tc>
        <w:tc>
          <w:tcPr>
            <w:tcW w:w="6455" w:type="dxa"/>
            <w:vAlign w:val="center"/>
          </w:tcPr>
          <w:p w14:paraId="6EFF0087">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 xml:space="preserve">投入品供应商：名称、法人、统一社会信用代码、地址、联系方式、许可文件编号、产品质量标准 </w:t>
            </w:r>
          </w:p>
        </w:tc>
      </w:tr>
    </w:tbl>
    <w:p w14:paraId="076ABDED">
      <w:pPr>
        <w:pStyle w:val="112"/>
        <w:numPr>
          <w:ilvl w:val="0"/>
          <w:numId w:val="0"/>
        </w:numPr>
        <w:spacing w:before="156" w:after="156"/>
        <w:ind w:leftChars="0"/>
        <w:jc w:val="center"/>
        <w:rPr>
          <w:rFonts w:hint="eastAsia" w:eastAsia="黑体"/>
          <w:lang w:eastAsia="zh-CN"/>
        </w:rPr>
      </w:pPr>
      <w:r>
        <w:rPr>
          <w:rFonts w:hint="eastAsia"/>
          <w:lang w:val="en-US" w:eastAsia="zh-CN"/>
        </w:rPr>
        <w:t xml:space="preserve">表1  </w:t>
      </w:r>
      <w:r>
        <w:rPr>
          <w:rFonts w:hint="eastAsia"/>
        </w:rPr>
        <w:t>信息记录文件</w:t>
      </w:r>
      <w:r>
        <w:rPr>
          <w:rFonts w:hint="eastAsia" w:ascii="宋体" w:hAnsi="宋体" w:eastAsia="宋体" w:cs="宋体"/>
          <w:lang w:eastAsia="zh-CN"/>
        </w:rPr>
        <w:t>（</w:t>
      </w:r>
      <w:r>
        <w:rPr>
          <w:rFonts w:hint="eastAsia" w:ascii="宋体" w:hAnsi="宋体" w:eastAsia="宋体" w:cs="宋体"/>
          <w:lang w:val="en-US" w:eastAsia="zh-CN"/>
        </w:rPr>
        <w:t>续</w:t>
      </w:r>
      <w:r>
        <w:rPr>
          <w:rFonts w:hint="eastAsia" w:ascii="宋体" w:hAnsi="宋体" w:eastAsia="宋体" w:cs="宋体"/>
          <w:lang w:eastAsia="zh-CN"/>
        </w:rPr>
        <w:t>）</w:t>
      </w:r>
    </w:p>
    <w:tbl>
      <w:tblPr>
        <w:tblStyle w:val="2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1485"/>
        <w:gridCol w:w="6455"/>
      </w:tblGrid>
      <w:tr w14:paraId="5623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Align w:val="center"/>
          </w:tcPr>
          <w:p w14:paraId="0C48FE23">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类别</w:t>
            </w:r>
          </w:p>
        </w:tc>
        <w:tc>
          <w:tcPr>
            <w:tcW w:w="7940" w:type="dxa"/>
            <w:gridSpan w:val="2"/>
            <w:vAlign w:val="center"/>
          </w:tcPr>
          <w:p w14:paraId="1AC94FA3">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记录</w:t>
            </w:r>
            <w:r>
              <w:rPr>
                <w:sz w:val="18"/>
                <w:szCs w:val="18"/>
              </w:rPr>
              <w:t>内容</w:t>
            </w:r>
          </w:p>
        </w:tc>
      </w:tr>
      <w:tr w14:paraId="4F0C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666" w:type="dxa"/>
            <w:vMerge w:val="restart"/>
            <w:vAlign w:val="center"/>
          </w:tcPr>
          <w:p w14:paraId="7AF694DC">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42288CF0">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投入品购买记录</w:t>
            </w:r>
          </w:p>
        </w:tc>
        <w:tc>
          <w:tcPr>
            <w:tcW w:w="6455" w:type="dxa"/>
            <w:vAlign w:val="center"/>
          </w:tcPr>
          <w:p w14:paraId="17BC10DD">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投入品分类、投入品名称、生产厂家、购买人、销售商、购买日期、购买数量/重量</w:t>
            </w:r>
          </w:p>
        </w:tc>
      </w:tr>
      <w:tr w14:paraId="1627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666" w:type="dxa"/>
            <w:vMerge w:val="continue"/>
            <w:vAlign w:val="center"/>
          </w:tcPr>
          <w:p w14:paraId="566D4B19">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0E776CD4">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投入品使用信息记录</w:t>
            </w:r>
          </w:p>
        </w:tc>
        <w:tc>
          <w:tcPr>
            <w:tcW w:w="6455" w:type="dxa"/>
            <w:vAlign w:val="center"/>
          </w:tcPr>
          <w:p w14:paraId="4736C3F7">
            <w:pPr>
              <w:pStyle w:val="56"/>
              <w:keepNext w:val="0"/>
              <w:keepLines w:val="0"/>
              <w:pageBreakBefore w:val="0"/>
              <w:widowControl/>
              <w:kinsoku/>
              <w:wordWrap/>
              <w:overflowPunct/>
              <w:topLinePunct w:val="0"/>
              <w:autoSpaceDE w:val="0"/>
              <w:autoSpaceDN w:val="0"/>
              <w:bidi w:val="0"/>
              <w:adjustRightInd/>
              <w:snapToGrid/>
              <w:spacing w:line="240" w:lineRule="exact"/>
              <w:ind w:firstLine="360"/>
              <w:jc w:val="center"/>
              <w:textAlignment w:val="auto"/>
              <w:rPr>
                <w:sz w:val="18"/>
                <w:szCs w:val="18"/>
              </w:rPr>
            </w:pPr>
            <w:r>
              <w:rPr>
                <w:rFonts w:hint="eastAsia"/>
                <w:sz w:val="18"/>
                <w:szCs w:val="18"/>
              </w:rPr>
              <w:t>饲料名称、使用目的、使用数量、使用日期、使用人</w:t>
            </w:r>
          </w:p>
        </w:tc>
      </w:tr>
      <w:tr w14:paraId="7273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Merge w:val="continue"/>
            <w:vAlign w:val="center"/>
          </w:tcPr>
          <w:p w14:paraId="71001285">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57F68D48">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生产过程信息</w:t>
            </w:r>
          </w:p>
        </w:tc>
        <w:tc>
          <w:tcPr>
            <w:tcW w:w="6455" w:type="dxa"/>
            <w:vAlign w:val="center"/>
          </w:tcPr>
          <w:p w14:paraId="537C386D">
            <w:pPr>
              <w:pStyle w:val="56"/>
              <w:keepNext w:val="0"/>
              <w:keepLines w:val="0"/>
              <w:pageBreakBefore w:val="0"/>
              <w:widowControl/>
              <w:kinsoku/>
              <w:wordWrap/>
              <w:overflowPunct/>
              <w:topLinePunct w:val="0"/>
              <w:autoSpaceDE w:val="0"/>
              <w:autoSpaceDN w:val="0"/>
              <w:bidi w:val="0"/>
              <w:adjustRightInd/>
              <w:snapToGrid/>
              <w:spacing w:line="240" w:lineRule="exact"/>
              <w:ind w:firstLine="360"/>
              <w:jc w:val="center"/>
              <w:textAlignment w:val="auto"/>
              <w:rPr>
                <w:sz w:val="18"/>
                <w:szCs w:val="18"/>
              </w:rPr>
            </w:pPr>
            <w:r>
              <w:rPr>
                <w:rFonts w:hint="eastAsia"/>
                <w:sz w:val="18"/>
                <w:szCs w:val="18"/>
              </w:rPr>
              <w:t>生产过程图片、生产过程描述</w:t>
            </w:r>
          </w:p>
        </w:tc>
      </w:tr>
      <w:tr w14:paraId="592C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Merge w:val="continue"/>
            <w:vAlign w:val="center"/>
          </w:tcPr>
          <w:p w14:paraId="15C8EDE6">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128D0508">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生产环境信息</w:t>
            </w:r>
          </w:p>
        </w:tc>
        <w:tc>
          <w:tcPr>
            <w:tcW w:w="6455" w:type="dxa"/>
            <w:vAlign w:val="center"/>
          </w:tcPr>
          <w:p w14:paraId="3D394E93">
            <w:pPr>
              <w:pStyle w:val="56"/>
              <w:keepNext w:val="0"/>
              <w:keepLines w:val="0"/>
              <w:pageBreakBefore w:val="0"/>
              <w:widowControl/>
              <w:kinsoku/>
              <w:wordWrap/>
              <w:overflowPunct/>
              <w:topLinePunct w:val="0"/>
              <w:autoSpaceDE w:val="0"/>
              <w:autoSpaceDN w:val="0"/>
              <w:bidi w:val="0"/>
              <w:adjustRightInd/>
              <w:snapToGrid/>
              <w:spacing w:line="240" w:lineRule="exact"/>
              <w:ind w:firstLine="360"/>
              <w:jc w:val="center"/>
              <w:textAlignment w:val="auto"/>
              <w:rPr>
                <w:sz w:val="18"/>
                <w:szCs w:val="18"/>
              </w:rPr>
            </w:pPr>
            <w:r>
              <w:rPr>
                <w:rFonts w:hint="eastAsia"/>
                <w:sz w:val="18"/>
                <w:szCs w:val="18"/>
              </w:rPr>
              <w:t>环境图片、物联网链接、环境描述</w:t>
            </w:r>
          </w:p>
        </w:tc>
      </w:tr>
      <w:tr w14:paraId="0934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666" w:type="dxa"/>
            <w:vMerge w:val="continue"/>
            <w:vAlign w:val="center"/>
          </w:tcPr>
          <w:p w14:paraId="1E3F2A71">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4E0A7E0E">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药品使用记录</w:t>
            </w:r>
          </w:p>
        </w:tc>
        <w:tc>
          <w:tcPr>
            <w:tcW w:w="6455" w:type="dxa"/>
            <w:vAlign w:val="center"/>
          </w:tcPr>
          <w:p w14:paraId="1D0467BF">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药品名称、防治对象、使用方法、使用剂量、使用量、使用人、使用日期、职业兽医师处方笺</w:t>
            </w:r>
          </w:p>
        </w:tc>
      </w:tr>
      <w:tr w14:paraId="4A5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dxa"/>
            <w:vMerge w:val="continue"/>
            <w:vAlign w:val="center"/>
          </w:tcPr>
          <w:p w14:paraId="3967075A">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p>
        </w:tc>
        <w:tc>
          <w:tcPr>
            <w:tcW w:w="1485" w:type="dxa"/>
            <w:vAlign w:val="center"/>
          </w:tcPr>
          <w:p w14:paraId="5175AE5F">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检验报告</w:t>
            </w:r>
          </w:p>
        </w:tc>
        <w:tc>
          <w:tcPr>
            <w:tcW w:w="6455" w:type="dxa"/>
            <w:vAlign w:val="center"/>
          </w:tcPr>
          <w:p w14:paraId="11C0F928">
            <w:pPr>
              <w:pStyle w:val="56"/>
              <w:keepNext w:val="0"/>
              <w:keepLines w:val="0"/>
              <w:pageBreakBefore w:val="0"/>
              <w:widowControl/>
              <w:kinsoku/>
              <w:wordWrap/>
              <w:overflowPunct/>
              <w:topLinePunct w:val="0"/>
              <w:autoSpaceDE w:val="0"/>
              <w:autoSpaceDN w:val="0"/>
              <w:bidi w:val="0"/>
              <w:adjustRightInd/>
              <w:snapToGrid/>
              <w:spacing w:line="240" w:lineRule="exact"/>
              <w:ind w:firstLine="360"/>
              <w:jc w:val="center"/>
              <w:textAlignment w:val="auto"/>
              <w:rPr>
                <w:sz w:val="18"/>
                <w:szCs w:val="18"/>
              </w:rPr>
            </w:pPr>
            <w:r>
              <w:rPr>
                <w:rFonts w:hint="eastAsia"/>
                <w:sz w:val="18"/>
                <w:szCs w:val="18"/>
              </w:rPr>
              <w:t>检验单位、检验时间、检验结果、报告类型</w:t>
            </w:r>
          </w:p>
        </w:tc>
      </w:tr>
      <w:tr w14:paraId="520F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666" w:type="dxa"/>
            <w:vAlign w:val="center"/>
          </w:tcPr>
          <w:p w14:paraId="44300A16">
            <w:pPr>
              <w:pStyle w:val="56"/>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sz w:val="18"/>
                <w:szCs w:val="18"/>
              </w:rPr>
            </w:pPr>
            <w:r>
              <w:rPr>
                <w:rFonts w:hint="eastAsia"/>
                <w:sz w:val="18"/>
                <w:szCs w:val="18"/>
              </w:rPr>
              <w:t>销售信息</w:t>
            </w:r>
          </w:p>
        </w:tc>
        <w:tc>
          <w:tcPr>
            <w:tcW w:w="7940" w:type="dxa"/>
            <w:gridSpan w:val="2"/>
            <w:vAlign w:val="center"/>
          </w:tcPr>
          <w:p w14:paraId="5AD4858D">
            <w:pPr>
              <w:pStyle w:val="5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 w:val="18"/>
                <w:szCs w:val="18"/>
              </w:rPr>
            </w:pPr>
            <w:r>
              <w:rPr>
                <w:rFonts w:hint="eastAsia"/>
                <w:sz w:val="18"/>
                <w:szCs w:val="18"/>
              </w:rPr>
              <w:t>应记录产品名称、塘口作业负责人、销售批次、销售时间、数量、购货者名称、联系方式、目的地、承运人、产品质量标准、收货人</w:t>
            </w:r>
          </w:p>
        </w:tc>
      </w:tr>
    </w:tbl>
    <w:p w14:paraId="5DA2432E">
      <w:pPr>
        <w:pStyle w:val="104"/>
        <w:spacing w:before="312" w:after="312"/>
      </w:pPr>
      <w:r>
        <w:rPr>
          <w:rFonts w:hint="eastAsia"/>
        </w:rPr>
        <w:t>追溯</w:t>
      </w:r>
      <w:r>
        <w:t>体系</w:t>
      </w:r>
      <w:r>
        <w:rPr>
          <w:rFonts w:hint="eastAsia"/>
        </w:rPr>
        <w:t>自查</w:t>
      </w:r>
    </w:p>
    <w:p w14:paraId="03726CEC">
      <w:pPr>
        <w:pStyle w:val="56"/>
        <w:ind w:firstLine="420"/>
      </w:pPr>
      <w:r>
        <w:rPr>
          <w:rFonts w:hint="eastAsia"/>
        </w:rPr>
        <w:t xml:space="preserve">企业应建立追溯体系的自查制度，每年至少 1 次对食品安全追溯体系的实施计划及运行情况进行自查，以确定计划的可操作性、完善性与实施程度，测评追溯信息的真实性、及时性、有效性。  </w:t>
      </w:r>
      <w:r>
        <w:rPr>
          <w:rFonts w:hint="eastAsia"/>
        </w:rPr>
        <w:tab/>
      </w:r>
      <w:r>
        <w:rPr>
          <w:rFonts w:hint="eastAsia"/>
        </w:rPr>
        <w:t>检查结果应形成记录，必要时提出追溯体系的改进意见。</w:t>
      </w:r>
    </w:p>
    <w:p w14:paraId="19E66EBB">
      <w:pPr>
        <w:pStyle w:val="104"/>
        <w:spacing w:before="312" w:after="312"/>
      </w:pPr>
      <w:r>
        <w:rPr>
          <w:rFonts w:hint="eastAsia"/>
        </w:rPr>
        <w:t>安全问题处置</w:t>
      </w:r>
    </w:p>
    <w:p w14:paraId="5BB6B00A">
      <w:pPr>
        <w:pStyle w:val="56"/>
        <w:ind w:firstLine="420"/>
      </w:pPr>
      <w:r>
        <w:rPr>
          <w:rFonts w:hint="eastAsia"/>
        </w:rPr>
        <w:t>按照金鲳鱼养殖</w:t>
      </w:r>
      <w:r>
        <w:t>加工</w:t>
      </w:r>
      <w:r>
        <w:rPr>
          <w:rFonts w:hint="eastAsia"/>
        </w:rPr>
        <w:t>工艺流程，养殖负责人对追溯信息进行核实。如发现问题，按相关规定对该批次产品进行处理。</w:t>
      </w:r>
    </w:p>
    <w:p w14:paraId="23766453">
      <w:pPr>
        <w:pStyle w:val="56"/>
        <w:ind w:firstLine="420"/>
      </w:pPr>
      <w:r>
        <w:rPr>
          <w:rFonts w:hint="eastAsia"/>
        </w:rPr>
        <w:t>产品出现质量问题时，企业应依据追溯体系，迅速界定产品涉及范围，提供相关记录，确认追溯范围，确定质量问题发生的环节、追溯单元和责任主体，为问题处理提供依据。</w:t>
      </w:r>
    </w:p>
    <w:p w14:paraId="6DCFB85D">
      <w:pPr>
        <w:pStyle w:val="104"/>
        <w:spacing w:before="312" w:after="312"/>
      </w:pPr>
      <w:r>
        <w:rPr>
          <w:rFonts w:hint="eastAsia"/>
        </w:rPr>
        <w:t>产品检验</w:t>
      </w:r>
    </w:p>
    <w:p w14:paraId="1800184D">
      <w:pPr>
        <w:pStyle w:val="56"/>
        <w:ind w:firstLine="420"/>
      </w:pPr>
      <w:r>
        <w:rPr>
          <w:rFonts w:hint="eastAsia"/>
        </w:rPr>
        <w:t>金鲳鱼收货前，按照相关规定，对涉及产品质量安全的全部或部分指标进行自检，或委托有资质的检测单位进行检测。相关信息予以详细记录和保存。</w:t>
      </w:r>
    </w:p>
    <w:bookmarkEnd w:id="19"/>
    <w:p w14:paraId="02BDAEB1">
      <w:pPr>
        <w:pStyle w:val="56"/>
        <w:ind w:firstLine="420"/>
        <w:rPr>
          <w:highlight w:val="yellow"/>
        </w:rPr>
        <w:sectPr>
          <w:pgSz w:w="11906" w:h="16838"/>
          <w:pgMar w:top="2410" w:right="1134" w:bottom="1134" w:left="1134" w:header="1418" w:footer="1134" w:gutter="284"/>
          <w:pgNumType w:start="1"/>
          <w:cols w:space="425" w:num="1"/>
          <w:formProt w:val="0"/>
          <w:docGrid w:type="lines" w:linePitch="312" w:charSpace="0"/>
        </w:sectPr>
      </w:pPr>
      <w:bookmarkStart w:id="38" w:name="BookMark6"/>
    </w:p>
    <w:p w14:paraId="5C7E01B5">
      <w:pPr>
        <w:pStyle w:val="63"/>
        <w:spacing w:before="124" w:after="156"/>
      </w:pPr>
      <w:r>
        <w:rPr>
          <w:rFonts w:hint="eastAsia"/>
          <w:spacing w:val="105"/>
        </w:rPr>
        <w:t>参考文</w:t>
      </w:r>
      <w:r>
        <w:rPr>
          <w:rFonts w:hint="eastAsia"/>
        </w:rPr>
        <w:t>献</w:t>
      </w:r>
    </w:p>
    <w:p w14:paraId="643A48F7">
      <w:pPr>
        <w:pStyle w:val="56"/>
        <w:ind w:firstLine="420"/>
      </w:pPr>
      <w:r>
        <w:t xml:space="preserve">[1] </w:t>
      </w:r>
      <w:r>
        <w:rPr>
          <w:rFonts w:hint="eastAsia"/>
        </w:rPr>
        <w:t xml:space="preserve">GB/T 29568-2013 </w:t>
      </w:r>
      <w:r>
        <w:t xml:space="preserve"> </w:t>
      </w:r>
      <w:r>
        <w:rPr>
          <w:rFonts w:hint="eastAsia"/>
        </w:rPr>
        <w:t>农产品追溯要求水产品</w:t>
      </w:r>
    </w:p>
    <w:p w14:paraId="1B35B06D">
      <w:pPr>
        <w:pStyle w:val="56"/>
        <w:ind w:firstLine="420"/>
      </w:pPr>
      <w:r>
        <w:t xml:space="preserve">[2] </w:t>
      </w:r>
      <w:bookmarkEnd w:id="38"/>
      <w:r>
        <w:rPr>
          <w:rFonts w:hint="eastAsia"/>
        </w:rPr>
        <w:t>GB/T 38158-2019</w:t>
      </w:r>
      <w:r>
        <w:t xml:space="preserve">  </w:t>
      </w:r>
      <w:r>
        <w:rPr>
          <w:rFonts w:hint="eastAsia"/>
        </w:rPr>
        <w:t>重要产品追溯 产品追溯 系统基本要求</w:t>
      </w:r>
    </w:p>
    <w:p w14:paraId="03CC009C">
      <w:pPr>
        <w:pStyle w:val="56"/>
        <w:ind w:firstLine="0" w:firstLineChars="0"/>
        <w:jc w:val="center"/>
      </w:pPr>
      <w:bookmarkStart w:id="39"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9"/>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D544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AAE2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B20CD">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FC75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BD30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512B1">
    <w:pPr>
      <w:pStyle w:val="61"/>
    </w:pPr>
    <w:r>
      <w:fldChar w:fldCharType="begin"/>
    </w:r>
    <w:r>
      <w:instrText xml:space="preserve"> STYLEREF  标准文件_文件编号  \* MERGEFORMAT </w:instrText>
    </w:r>
    <w:r>
      <w:fldChar w:fldCharType="separate"/>
    </w:r>
    <w:r>
      <w:t>DB4404/TXXXX—XXXX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33584">
    <w:pPr>
      <w:pStyle w:val="18"/>
      <w:jc w:val="right"/>
      <w:rPr>
        <w:lang w:val="fr-FR"/>
      </w:rPr>
    </w:pPr>
    <w:r>
      <w:fldChar w:fldCharType="begin"/>
    </w:r>
    <w:r>
      <w:instrText xml:space="preserve"> STYLEREF  标准文件_文件编号  \* MERGEFORMAT </w:instrText>
    </w:r>
    <w:r>
      <w:fldChar w:fldCharType="separate"/>
    </w:r>
    <w:r>
      <w:t>DB4404/TXXXX—XXXX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Full" w:cryptAlgorithmClass="hash" w:cryptAlgorithmType="typeAny" w:cryptAlgorithmSid="4" w:cryptSpinCount="50000" w:hash="JAYeIkkKke3G/QZgZ12hE26GIgI=" w:salt="mVJY1n+zoDDscWmHYatqn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YzcxNmFjOWU0MDU0NjVlZWM4NTczMTA1ZTYwMDYifQ=="/>
  </w:docVars>
  <w:rsids>
    <w:rsidRoot w:val="00C94AAE"/>
    <w:rsid w:val="0000040A"/>
    <w:rsid w:val="00000A94"/>
    <w:rsid w:val="00001972"/>
    <w:rsid w:val="00001D9A"/>
    <w:rsid w:val="000069CF"/>
    <w:rsid w:val="00007B3A"/>
    <w:rsid w:val="000107E0"/>
    <w:rsid w:val="00011FDE"/>
    <w:rsid w:val="00012FFD"/>
    <w:rsid w:val="00014162"/>
    <w:rsid w:val="00014340"/>
    <w:rsid w:val="00016A9C"/>
    <w:rsid w:val="000208D3"/>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7F84"/>
    <w:rsid w:val="00141114"/>
    <w:rsid w:val="00142817"/>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BDA"/>
    <w:rsid w:val="0026148A"/>
    <w:rsid w:val="00262696"/>
    <w:rsid w:val="0026384C"/>
    <w:rsid w:val="00263D25"/>
    <w:rsid w:val="002643C3"/>
    <w:rsid w:val="00264A0C"/>
    <w:rsid w:val="00266EEB"/>
    <w:rsid w:val="00267EF4"/>
    <w:rsid w:val="00270CB8"/>
    <w:rsid w:val="00272B08"/>
    <w:rsid w:val="00280F4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9B5"/>
    <w:rsid w:val="003331E4"/>
    <w:rsid w:val="00336C64"/>
    <w:rsid w:val="00337162"/>
    <w:rsid w:val="0034194F"/>
    <w:rsid w:val="00344605"/>
    <w:rsid w:val="003474AA"/>
    <w:rsid w:val="00350D1D"/>
    <w:rsid w:val="00351CB9"/>
    <w:rsid w:val="00352C83"/>
    <w:rsid w:val="00360410"/>
    <w:rsid w:val="0036070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D16"/>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63F"/>
    <w:rsid w:val="003F6272"/>
    <w:rsid w:val="00400E72"/>
    <w:rsid w:val="00401400"/>
    <w:rsid w:val="00404869"/>
    <w:rsid w:val="00405884"/>
    <w:rsid w:val="00407D39"/>
    <w:rsid w:val="00412BD8"/>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4C4"/>
    <w:rsid w:val="00484936"/>
    <w:rsid w:val="00485C89"/>
    <w:rsid w:val="00486BE3"/>
    <w:rsid w:val="004905E4"/>
    <w:rsid w:val="00490A89"/>
    <w:rsid w:val="00490AB4"/>
    <w:rsid w:val="00492F02"/>
    <w:rsid w:val="004939AE"/>
    <w:rsid w:val="004974CB"/>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474"/>
    <w:rsid w:val="00516B0B"/>
    <w:rsid w:val="005220EC"/>
    <w:rsid w:val="00523F95"/>
    <w:rsid w:val="00524D65"/>
    <w:rsid w:val="00525B16"/>
    <w:rsid w:val="00527054"/>
    <w:rsid w:val="0053094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988"/>
    <w:rsid w:val="00555044"/>
    <w:rsid w:val="00561475"/>
    <w:rsid w:val="0056487B"/>
    <w:rsid w:val="00564FB9"/>
    <w:rsid w:val="00573D9E"/>
    <w:rsid w:val="00574665"/>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5DFE"/>
    <w:rsid w:val="005B6CF6"/>
    <w:rsid w:val="005B7422"/>
    <w:rsid w:val="005C29B8"/>
    <w:rsid w:val="005C5F21"/>
    <w:rsid w:val="005C7156"/>
    <w:rsid w:val="005D0C75"/>
    <w:rsid w:val="005D4171"/>
    <w:rsid w:val="005D6A95"/>
    <w:rsid w:val="005D6B2C"/>
    <w:rsid w:val="005D6D9C"/>
    <w:rsid w:val="005E173D"/>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478"/>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FA3"/>
    <w:rsid w:val="0078114B"/>
    <w:rsid w:val="00781DD2"/>
    <w:rsid w:val="00783ECF"/>
    <w:rsid w:val="0078413A"/>
    <w:rsid w:val="007959E8"/>
    <w:rsid w:val="00795E9C"/>
    <w:rsid w:val="00797B70"/>
    <w:rsid w:val="007A0521"/>
    <w:rsid w:val="007A2E12"/>
    <w:rsid w:val="007A3475"/>
    <w:rsid w:val="007A41C8"/>
    <w:rsid w:val="007A54CE"/>
    <w:rsid w:val="007A6FD9"/>
    <w:rsid w:val="007A7FFA"/>
    <w:rsid w:val="007B04EB"/>
    <w:rsid w:val="007B0D4F"/>
    <w:rsid w:val="007B327D"/>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67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139"/>
    <w:rsid w:val="00883F93"/>
    <w:rsid w:val="00884DB3"/>
    <w:rsid w:val="00885A9D"/>
    <w:rsid w:val="008864F6"/>
    <w:rsid w:val="0089049D"/>
    <w:rsid w:val="008928C9"/>
    <w:rsid w:val="008930CB"/>
    <w:rsid w:val="008938DC"/>
    <w:rsid w:val="00893FD1"/>
    <w:rsid w:val="00894836"/>
    <w:rsid w:val="00895172"/>
    <w:rsid w:val="00895680"/>
    <w:rsid w:val="008961DF"/>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01A"/>
    <w:rsid w:val="008E4BB6"/>
    <w:rsid w:val="008E5518"/>
    <w:rsid w:val="008E6A84"/>
    <w:rsid w:val="008F0CDC"/>
    <w:rsid w:val="008F17A3"/>
    <w:rsid w:val="008F1ED3"/>
    <w:rsid w:val="008F23A5"/>
    <w:rsid w:val="008F4C29"/>
    <w:rsid w:val="008F70BD"/>
    <w:rsid w:val="008F788F"/>
    <w:rsid w:val="008F7EA2"/>
    <w:rsid w:val="00902722"/>
    <w:rsid w:val="009027BC"/>
    <w:rsid w:val="00903676"/>
    <w:rsid w:val="0090404F"/>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588"/>
    <w:rsid w:val="00953604"/>
    <w:rsid w:val="0095496B"/>
    <w:rsid w:val="009610DC"/>
    <w:rsid w:val="00961490"/>
    <w:rsid w:val="0096381A"/>
    <w:rsid w:val="00965E04"/>
    <w:rsid w:val="009674AD"/>
    <w:rsid w:val="00970089"/>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E51"/>
    <w:rsid w:val="009C27F1"/>
    <w:rsid w:val="009C3152"/>
    <w:rsid w:val="009C4CFA"/>
    <w:rsid w:val="009C5070"/>
    <w:rsid w:val="009D112C"/>
    <w:rsid w:val="009D122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AF"/>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FF9"/>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2CE"/>
    <w:rsid w:val="00AF5398"/>
    <w:rsid w:val="00B01019"/>
    <w:rsid w:val="00B03B4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23B"/>
    <w:rsid w:val="00B54ABC"/>
    <w:rsid w:val="00B54DDE"/>
    <w:rsid w:val="00B56FBE"/>
    <w:rsid w:val="00B607A8"/>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55E"/>
    <w:rsid w:val="00C92D03"/>
    <w:rsid w:val="00C930DC"/>
    <w:rsid w:val="00C9319C"/>
    <w:rsid w:val="00C9435D"/>
    <w:rsid w:val="00C94AAE"/>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046"/>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531"/>
    <w:rsid w:val="00DA5C32"/>
    <w:rsid w:val="00DA64F8"/>
    <w:rsid w:val="00DA6C15"/>
    <w:rsid w:val="00DA6F77"/>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B7B"/>
    <w:rsid w:val="00E9311F"/>
    <w:rsid w:val="00E934D1"/>
    <w:rsid w:val="00E94AF0"/>
    <w:rsid w:val="00E95D13"/>
    <w:rsid w:val="00E95DD3"/>
    <w:rsid w:val="00E969D5"/>
    <w:rsid w:val="00EA58D1"/>
    <w:rsid w:val="00EA61BC"/>
    <w:rsid w:val="00EA681A"/>
    <w:rsid w:val="00EA735B"/>
    <w:rsid w:val="00EB0EC2"/>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669"/>
    <w:rsid w:val="00FC4090"/>
    <w:rsid w:val="00FC55B4"/>
    <w:rsid w:val="00FD00E6"/>
    <w:rsid w:val="00FD09A1"/>
    <w:rsid w:val="00FD1F45"/>
    <w:rsid w:val="00FD2A7C"/>
    <w:rsid w:val="00FD59EB"/>
    <w:rsid w:val="00FD7299"/>
    <w:rsid w:val="00FE1FBE"/>
    <w:rsid w:val="00FE3901"/>
    <w:rsid w:val="00FE39D3"/>
    <w:rsid w:val="00FE4BCE"/>
    <w:rsid w:val="00FE54AE"/>
    <w:rsid w:val="00FE576A"/>
    <w:rsid w:val="00FE7E79"/>
    <w:rsid w:val="00FF2A51"/>
    <w:rsid w:val="00FF3E7D"/>
    <w:rsid w:val="00FF5B99"/>
    <w:rsid w:val="00FF730C"/>
    <w:rsid w:val="00FF73F4"/>
    <w:rsid w:val="00FF7CE4"/>
    <w:rsid w:val="00FF7E39"/>
    <w:rsid w:val="0E105C20"/>
    <w:rsid w:val="14D32BDD"/>
    <w:rsid w:val="17861FC6"/>
    <w:rsid w:val="2EC42A28"/>
    <w:rsid w:val="45C81AEB"/>
    <w:rsid w:val="46394C35"/>
    <w:rsid w:val="542255C3"/>
    <w:rsid w:val="5B9052BA"/>
    <w:rsid w:val="63ED04B8"/>
    <w:rsid w:val="7F0741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autoRedefine/>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autoRedefine/>
    <w:qFormat/>
    <w:uiPriority w:val="99"/>
    <w:rPr>
      <w:rFonts w:ascii="Times New Roman" w:hAnsi="Times New Roman" w:eastAsia="宋体" w:cs="Times New Roman"/>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rPr>
  </w:style>
  <w:style w:type="character" w:customStyle="1" w:styleId="48">
    <w:name w:val="标题 字符"/>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Lines="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autoRedefine/>
    <w:qFormat/>
    <w:uiPriority w:val="0"/>
    <w:pPr>
      <w:spacing w:beforeLines="0" w:afterLines="0"/>
      <w:outlineLvl w:val="9"/>
    </w:pPr>
    <w:rPr>
      <w:rFonts w:ascii="宋体" w:eastAsia="宋体"/>
    </w:rPr>
  </w:style>
  <w:style w:type="paragraph" w:customStyle="1" w:styleId="163">
    <w:name w:val="标准文件_五级无标题"/>
    <w:basedOn w:val="103"/>
    <w:autoRedefine/>
    <w:qFormat/>
    <w:uiPriority w:val="0"/>
    <w:pPr>
      <w:spacing w:beforeLines="0" w:afterLines="0"/>
      <w:outlineLvl w:val="9"/>
    </w:pPr>
    <w:rPr>
      <w:rFonts w:ascii="宋体" w:eastAsia="宋体"/>
    </w:rPr>
  </w:style>
  <w:style w:type="paragraph" w:customStyle="1" w:styleId="164">
    <w:name w:val="标准文件_三级无标题"/>
    <w:basedOn w:val="94"/>
    <w:autoRedefine/>
    <w:qFormat/>
    <w:uiPriority w:val="0"/>
    <w:pPr>
      <w:spacing w:beforeLines="0" w:afterLines="0"/>
      <w:outlineLvl w:val="9"/>
    </w:pPr>
    <w:rPr>
      <w:rFonts w:ascii="宋体" w:eastAsia="宋体"/>
    </w:rPr>
  </w:style>
  <w:style w:type="paragraph" w:customStyle="1" w:styleId="165">
    <w:name w:val="标准文件_二级无标题"/>
    <w:basedOn w:val="65"/>
    <w:autoRedefine/>
    <w:qFormat/>
    <w:uiPriority w:val="0"/>
    <w:pPr>
      <w:spacing w:beforeLines="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left="1271" w:hanging="420" w:firstLineChars="0"/>
    </w:pPr>
  </w:style>
  <w:style w:type="paragraph" w:customStyle="1" w:styleId="188">
    <w:name w:val="标准文件_三级项2"/>
    <w:basedOn w:val="56"/>
    <w:autoRedefine/>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Lines="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Lines="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Lines="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Paragraph"/>
    <w:basedOn w:val="1"/>
    <w:qFormat/>
    <w:uiPriority w:val="1"/>
    <w:pPr>
      <w:autoSpaceDE w:val="0"/>
      <w:autoSpaceDN w:val="0"/>
      <w:adjustRightInd/>
      <w:spacing w:line="240" w:lineRule="auto"/>
      <w:jc w:val="left"/>
    </w:pPr>
    <w:rPr>
      <w:rFonts w:ascii="宋体" w:hAnsi="宋体" w:cs="宋体"/>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DDB321D89D646E89341EBFB407D8FF2"/>
        <w:style w:val=""/>
        <w:category>
          <w:name w:val="常规"/>
          <w:gallery w:val="placeholder"/>
        </w:category>
        <w:types>
          <w:type w:val="bbPlcHdr"/>
        </w:types>
        <w:behaviors>
          <w:behavior w:val="content"/>
        </w:behaviors>
        <w:description w:val=""/>
        <w:guid w:val="{0111F51F-B70C-49DD-A409-40717B7F1F25}"/>
      </w:docPartPr>
      <w:docPartBody>
        <w:p w14:paraId="317F8079">
          <w:pPr>
            <w:pStyle w:val="5"/>
          </w:pPr>
          <w:r>
            <w:rPr>
              <w:rStyle w:val="4"/>
              <w:rFonts w:hint="eastAsia"/>
            </w:rPr>
            <w:t>单击或点击此处输入文字。</w:t>
          </w:r>
        </w:p>
      </w:docPartBody>
    </w:docPart>
    <w:docPart>
      <w:docPartPr>
        <w:name w:val="33E1AB63B59E440B8382F85252A8E031"/>
        <w:style w:val=""/>
        <w:category>
          <w:name w:val="常规"/>
          <w:gallery w:val="placeholder"/>
        </w:category>
        <w:types>
          <w:type w:val="bbPlcHdr"/>
        </w:types>
        <w:behaviors>
          <w:behavior w:val="content"/>
        </w:behaviors>
        <w:description w:val=""/>
        <w:guid w:val="{3E7AA528-5FAE-47D3-AA49-C97C6FA5B7B0}"/>
      </w:docPartPr>
      <w:docPartBody>
        <w:p w14:paraId="726F86E8">
          <w:pPr>
            <w:pStyle w:val="6"/>
          </w:pPr>
          <w:r>
            <w:rPr>
              <w:rStyle w:val="4"/>
              <w:rFonts w:hint="eastAsia"/>
            </w:rPr>
            <w:t>选择一项。</w:t>
          </w:r>
        </w:p>
      </w:docPartBody>
    </w:docPart>
    <w:docPart>
      <w:docPartPr>
        <w:name w:val="FD86BA13826844148D2952C129DDF6BE"/>
        <w:style w:val=""/>
        <w:category>
          <w:name w:val="常规"/>
          <w:gallery w:val="placeholder"/>
        </w:category>
        <w:types>
          <w:type w:val="bbPlcHdr"/>
        </w:types>
        <w:behaviors>
          <w:behavior w:val="content"/>
        </w:behaviors>
        <w:description w:val=""/>
        <w:guid w:val="{FEE62BF7-0A8C-4331-A85F-0A528E60575A}"/>
      </w:docPartPr>
      <w:docPartBody>
        <w:p w14:paraId="2DDD88F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37EB0"/>
    <w:rsid w:val="000B5709"/>
    <w:rsid w:val="001D6F99"/>
    <w:rsid w:val="00347599"/>
    <w:rsid w:val="00437EB0"/>
    <w:rsid w:val="00692927"/>
    <w:rsid w:val="007210ED"/>
    <w:rsid w:val="00787868"/>
    <w:rsid w:val="00870DC2"/>
    <w:rsid w:val="00950588"/>
    <w:rsid w:val="00A72452"/>
    <w:rsid w:val="00A83FFE"/>
    <w:rsid w:val="00BF4822"/>
    <w:rsid w:val="00C86819"/>
    <w:rsid w:val="00CD08A0"/>
    <w:rsid w:val="00CF588F"/>
    <w:rsid w:val="00E633FC"/>
    <w:rsid w:val="00F711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DDB321D89D646E89341EBFB407D8FF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3E1AB63B59E440B8382F85252A8E0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D86BA13826844148D2952C129DDF6B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64294-B6EF-4ACD-B996-511B22006DA8}">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2025</Words>
  <Characters>2162</Characters>
  <Lines>18</Lines>
  <Paragraphs>5</Paragraphs>
  <TotalTime>7</TotalTime>
  <ScaleCrop>false</ScaleCrop>
  <LinksUpToDate>false</LinksUpToDate>
  <CharactersWithSpaces>2191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2025-04-01T02:58:00Z</dcterms:created>
  <dc:creator>杨国欢-惠州标码所</dc:creator>
  <dc:description>&lt;config cover="true" show_menu="true" version="1.0.0" doctype="SDKXY"&gt;_x000d_
&lt;/config&gt;</dc:description>
  <cp:lastModifiedBy>珠海标准与编码</cp:lastModifiedBy>
  <cp:lastPrinted>2020-08-30T10:00:00Z</cp:lastPrinted>
  <dcterms:modified xsi:type="dcterms:W3CDTF">2025-05-07T09:06:42Z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C9000DEBAD454712964E328C4436E5F7_13</vt:lpwstr>
  </property>
  <property fmtid="{D5CDD505-2E9C-101B-9397-08002B2CF9AE}" pid="16" name="KSOTemplateDocerSaveRecord">
    <vt:lpwstr>eyJoZGlkIjoiZjc4NGZhNTVhZTFjNzA2MmM0M2NkZDNjYWRhMDIwNGUiLCJ1c2VySWQiOiIzNTYxNDk4NDAifQ==</vt:lpwstr>
  </property>
</Properties>
</file>