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5A9B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3A146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64D039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7BFF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C1BD6F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BA9227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450BE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67AD70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4404</w:t>
            </w:r>
            <w:r>
              <w:fldChar w:fldCharType="end"/>
            </w:r>
            <w:bookmarkEnd w:id="3"/>
          </w:p>
        </w:tc>
      </w:tr>
    </w:tbl>
    <w:p w14:paraId="70BE432C">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珠</w:t>
      </w:r>
      <w:r>
        <w:rPr>
          <w:rFonts w:hint="eastAsia" w:ascii="黑体" w:eastAsia="黑体"/>
          <w:b w:val="0"/>
          <w:w w:val="100"/>
          <w:sz w:val="48"/>
        </w:rPr>
        <w:t>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8F10E4A">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4404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F9E1E3D">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00CBD4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A7C04AC">
      <w:pPr>
        <w:pStyle w:val="50"/>
        <w:framePr w:w="9639" w:h="6976" w:hRule="exact" w:hSpace="0" w:vSpace="0" w:wrap="around" w:hAnchor="page" w:y="6408"/>
        <w:jc w:val="center"/>
        <w:rPr>
          <w:rFonts w:ascii="黑体" w:hAnsi="黑体" w:eastAsia="黑体"/>
          <w:b w:val="0"/>
          <w:bCs w:val="0"/>
          <w:w w:val="100"/>
        </w:rPr>
      </w:pPr>
    </w:p>
    <w:p w14:paraId="18539EE7">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金鲳鱼加工产业园区建设指南</w:t>
      </w:r>
      <w:r>
        <w:fldChar w:fldCharType="end"/>
      </w:r>
      <w:bookmarkEnd w:id="9"/>
    </w:p>
    <w:p w14:paraId="25F17622">
      <w:pPr>
        <w:framePr w:w="9639" w:h="6974" w:hRule="exact" w:wrap="around" w:vAnchor="page" w:hAnchor="page" w:x="1419" w:y="6408" w:anchorLock="1"/>
        <w:ind w:left="-1418"/>
      </w:pPr>
    </w:p>
    <w:p w14:paraId="5C6B92DA">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Guidelines for the construction of the golden pomfret processing industrial park</w:t>
      </w:r>
      <w:r>
        <w:rPr>
          <w:rFonts w:ascii="黑体" w:hAnsi="黑体" w:eastAsia="黑体"/>
          <w:szCs w:val="28"/>
        </w:rPr>
        <w:fldChar w:fldCharType="end"/>
      </w:r>
      <w:bookmarkEnd w:id="10"/>
    </w:p>
    <w:p w14:paraId="53FDC6C2">
      <w:pPr>
        <w:framePr w:w="9639" w:h="6974" w:hRule="exact" w:wrap="around" w:vAnchor="page" w:hAnchor="page" w:x="1419" w:y="6408" w:anchorLock="1"/>
        <w:spacing w:line="760" w:lineRule="exact"/>
        <w:ind w:left="-1418"/>
      </w:pPr>
    </w:p>
    <w:p w14:paraId="3E7E3BF8">
      <w:pPr>
        <w:pStyle w:val="125"/>
        <w:framePr w:w="9639" w:h="6974" w:hRule="exact" w:wrap="around" w:vAnchor="page" w:hAnchor="page" w:x="1419" w:y="6408" w:anchorLock="1"/>
        <w:textAlignment w:val="bottom"/>
        <w:rPr>
          <w:rFonts w:eastAsia="黑体"/>
          <w:szCs w:val="28"/>
        </w:rPr>
      </w:pPr>
    </w:p>
    <w:p w14:paraId="2844497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33E685D">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3BF38B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510C66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08D267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052C18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珠海市市场监督管理局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11890D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3119C65">
      <w:pPr>
        <w:pStyle w:val="89"/>
        <w:spacing w:before="900" w:after="468"/>
      </w:pPr>
      <w:bookmarkStart w:id="21" w:name="BookMark2"/>
      <w:r>
        <w:rPr>
          <w:spacing w:val="320"/>
        </w:rPr>
        <w:t>前</w:t>
      </w:r>
      <w:r>
        <w:t>言</w:t>
      </w:r>
    </w:p>
    <w:p w14:paraId="5B71C7F7">
      <w:pPr>
        <w:pStyle w:val="56"/>
        <w:ind w:firstLine="420"/>
      </w:pPr>
      <w:r>
        <w:rPr>
          <w:rFonts w:hint="eastAsia"/>
        </w:rPr>
        <w:t>本文件按照GB/T 1.1—2020《标准化工作导则  第1部分：标准化文件的结构和起草规则》的规定起草。</w:t>
      </w:r>
    </w:p>
    <w:p w14:paraId="52BD84A7">
      <w:pPr>
        <w:pStyle w:val="56"/>
        <w:ind w:firstLine="420"/>
      </w:pPr>
      <w:r>
        <w:rPr>
          <w:rFonts w:hint="eastAsia"/>
        </w:rPr>
        <w:t>请注意本文件的某些内容可能涉及专利。本文件的发布机构不承担识别专利的责任。</w:t>
      </w:r>
    </w:p>
    <w:p w14:paraId="398C793F">
      <w:pPr>
        <w:pStyle w:val="56"/>
        <w:ind w:firstLine="420"/>
      </w:pPr>
      <w:r>
        <w:rPr>
          <w:rFonts w:hint="eastAsia"/>
        </w:rPr>
        <w:t>本文件由珠海万山海洋开发试验区海洋渔业科技发展促进中心提出。</w:t>
      </w:r>
    </w:p>
    <w:p w14:paraId="35C30114">
      <w:pPr>
        <w:pStyle w:val="56"/>
        <w:ind w:firstLine="420"/>
      </w:pPr>
      <w:r>
        <w:rPr>
          <w:rFonts w:hint="eastAsia"/>
        </w:rPr>
        <w:t>本文件由珠海市海洋发展局归口。</w:t>
      </w:r>
    </w:p>
    <w:p w14:paraId="5B88C24E">
      <w:pPr>
        <w:pStyle w:val="56"/>
        <w:ind w:firstLine="420"/>
      </w:pPr>
      <w:r>
        <w:rPr>
          <w:rFonts w:hint="eastAsia"/>
        </w:rPr>
        <w:t>本文件起草单位：</w:t>
      </w:r>
    </w:p>
    <w:p w14:paraId="61A5702A">
      <w:pPr>
        <w:pStyle w:val="56"/>
        <w:ind w:firstLine="420"/>
      </w:pPr>
      <w:r>
        <w:rPr>
          <w:rFonts w:hint="eastAsia"/>
        </w:rPr>
        <w:t>本文件主要起草人：</w:t>
      </w:r>
    </w:p>
    <w:p w14:paraId="19A4BBCB">
      <w:pPr>
        <w:pStyle w:val="56"/>
        <w:ind w:firstLine="420"/>
      </w:pPr>
    </w:p>
    <w:p w14:paraId="458FA311">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05415DF">
      <w:pPr>
        <w:spacing w:line="20" w:lineRule="exact"/>
        <w:jc w:val="center"/>
        <w:rPr>
          <w:rFonts w:ascii="黑体" w:hAnsi="黑体" w:eastAsia="黑体"/>
          <w:sz w:val="32"/>
          <w:szCs w:val="32"/>
        </w:rPr>
      </w:pPr>
      <w:bookmarkStart w:id="22" w:name="BookMark4"/>
    </w:p>
    <w:p w14:paraId="48A58423">
      <w:pPr>
        <w:spacing w:line="20" w:lineRule="exact"/>
        <w:jc w:val="center"/>
        <w:rPr>
          <w:rFonts w:ascii="黑体" w:hAnsi="黑体" w:eastAsia="黑体"/>
          <w:sz w:val="32"/>
          <w:szCs w:val="32"/>
        </w:rPr>
      </w:pPr>
    </w:p>
    <w:sdt>
      <w:sdtPr>
        <w:tag w:val="NEW_STAND_NAME"/>
        <w:id w:val="595910757"/>
        <w:lock w:val="sdtLocked"/>
        <w:placeholder>
          <w:docPart w:val="7F95B5F20C54406FAEE79FEF7672C127"/>
        </w:placeholder>
      </w:sdtPr>
      <w:sdtContent>
        <w:p w14:paraId="4821D23C">
          <w:pPr>
            <w:pStyle w:val="177"/>
            <w:spacing w:before="3" w:beforeLines="1" w:after="686" w:afterLines="220"/>
          </w:pPr>
          <w:bookmarkStart w:id="23" w:name="NEW_STAND_NAME"/>
          <w:r>
            <w:rPr>
              <w:rFonts w:hint="eastAsia"/>
            </w:rPr>
            <w:t>金鲳鱼加工产业园区建设指南</w:t>
          </w:r>
        </w:p>
      </w:sdtContent>
    </w:sdt>
    <w:bookmarkEnd w:id="23"/>
    <w:p w14:paraId="422C763F">
      <w:pPr>
        <w:pStyle w:val="104"/>
        <w:spacing w:before="312" w:after="312"/>
      </w:pPr>
      <w:bookmarkStart w:id="24" w:name="_Toc26986530"/>
      <w:bookmarkStart w:id="25" w:name="_Toc26718930"/>
      <w:bookmarkStart w:id="26" w:name="_Toc26986771"/>
      <w:bookmarkStart w:id="27" w:name="_Toc26648465"/>
      <w:bookmarkStart w:id="28" w:name="_Toc17233325"/>
      <w:bookmarkStart w:id="29" w:name="_Toc24884211"/>
      <w:bookmarkStart w:id="30" w:name="_Toc24884218"/>
      <w:bookmarkStart w:id="31" w:name="_Toc97191423"/>
      <w:bookmarkStart w:id="32" w:name="_Toc17233333"/>
      <w:r>
        <w:rPr>
          <w:rFonts w:hint="eastAsia"/>
        </w:rPr>
        <w:t>范围</w:t>
      </w:r>
      <w:bookmarkEnd w:id="24"/>
      <w:bookmarkEnd w:id="25"/>
      <w:bookmarkEnd w:id="26"/>
      <w:bookmarkEnd w:id="27"/>
      <w:bookmarkEnd w:id="28"/>
      <w:bookmarkEnd w:id="29"/>
      <w:bookmarkEnd w:id="30"/>
      <w:bookmarkEnd w:id="31"/>
      <w:bookmarkEnd w:id="32"/>
    </w:p>
    <w:p w14:paraId="16B224CF">
      <w:pPr>
        <w:pStyle w:val="56"/>
        <w:ind w:firstLine="420"/>
      </w:pPr>
      <w:bookmarkStart w:id="33" w:name="_Toc17233334"/>
      <w:bookmarkStart w:id="34" w:name="_Toc17233326"/>
      <w:bookmarkStart w:id="35" w:name="_Toc24884212"/>
      <w:bookmarkStart w:id="36" w:name="_Toc26648466"/>
      <w:bookmarkStart w:id="37" w:name="_Toc24884219"/>
      <w:r>
        <w:rPr>
          <w:rFonts w:hint="eastAsia"/>
        </w:rPr>
        <w:t>本文件提供了金鲳鱼加工产业园区建设的基本原则、选址要求、规划与布局、公共服务区建设、研发区建设、加工区建设、冷链物流区建设、文化体验区建设和金融服务区建设等方面的指导。</w:t>
      </w:r>
    </w:p>
    <w:p w14:paraId="2C983EB5">
      <w:pPr>
        <w:pStyle w:val="56"/>
        <w:ind w:firstLine="420"/>
      </w:pPr>
      <w:r>
        <w:rPr>
          <w:rFonts w:hint="eastAsia"/>
        </w:rPr>
        <w:t>本文件适用于金鲳鱼加工产业园区的建设，其他类型的产业园区建设可参考执行。</w:t>
      </w:r>
    </w:p>
    <w:p w14:paraId="58706C30">
      <w:pPr>
        <w:pStyle w:val="104"/>
        <w:spacing w:before="312" w:after="312"/>
      </w:pPr>
      <w:bookmarkStart w:id="38" w:name="_Toc97191424"/>
      <w:bookmarkStart w:id="39" w:name="_Toc26718931"/>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0AD25A2C05B4BB09E71951A2F4F06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AA3033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DE0215">
      <w:pPr>
        <w:pStyle w:val="56"/>
        <w:ind w:firstLine="420"/>
      </w:pPr>
      <w:r>
        <w:rPr>
          <w:rFonts w:hint="eastAsia"/>
        </w:rPr>
        <w:t>GB 3095  环境空气质量标准</w:t>
      </w:r>
    </w:p>
    <w:p w14:paraId="7CD01B9E">
      <w:pPr>
        <w:pStyle w:val="56"/>
        <w:ind w:firstLine="420"/>
      </w:pPr>
      <w:r>
        <w:rPr>
          <w:rFonts w:hint="eastAsia"/>
        </w:rPr>
        <w:t>GB 3096  声环境质量标准</w:t>
      </w:r>
    </w:p>
    <w:p w14:paraId="6BBC01AA">
      <w:pPr>
        <w:pStyle w:val="56"/>
        <w:ind w:firstLine="420"/>
        <w:rPr>
          <w:rFonts w:hint="eastAsia"/>
        </w:rPr>
      </w:pPr>
      <w:r>
        <w:rPr>
          <w:rFonts w:hint="eastAsia"/>
        </w:rPr>
        <w:t>GB 5749  生活饮用水卫生标准</w:t>
      </w:r>
    </w:p>
    <w:p w14:paraId="4DF4F992">
      <w:pPr>
        <w:pStyle w:val="56"/>
        <w:ind w:firstLine="420"/>
        <w:rPr>
          <w:rFonts w:hint="default" w:eastAsia="宋体"/>
          <w:highlight w:val="none"/>
          <w:lang w:val="en-US" w:eastAsia="zh-CN"/>
        </w:rPr>
      </w:pPr>
      <w:r>
        <w:rPr>
          <w:rFonts w:hint="eastAsia"/>
          <w:highlight w:val="none"/>
        </w:rPr>
        <w:t>GB 5768</w:t>
      </w:r>
      <w:r>
        <w:rPr>
          <w:rFonts w:hint="eastAsia"/>
          <w:highlight w:val="none"/>
          <w:lang w:eastAsia="zh-CN"/>
        </w:rPr>
        <w:t>（</w:t>
      </w:r>
      <w:r>
        <w:rPr>
          <w:rFonts w:hint="eastAsia"/>
          <w:highlight w:val="none"/>
          <w:lang w:val="en-US" w:eastAsia="zh-CN"/>
        </w:rPr>
        <w:t>所有部分</w:t>
      </w:r>
      <w:r>
        <w:rPr>
          <w:rFonts w:hint="eastAsia"/>
          <w:highlight w:val="none"/>
          <w:lang w:eastAsia="zh-CN"/>
        </w:rPr>
        <w:t>）</w:t>
      </w:r>
      <w:r>
        <w:rPr>
          <w:rFonts w:hint="eastAsia"/>
          <w:highlight w:val="none"/>
          <w:lang w:val="en-US" w:eastAsia="zh-CN"/>
        </w:rPr>
        <w:t xml:space="preserve"> 道路交通标志和标线</w:t>
      </w:r>
    </w:p>
    <w:p w14:paraId="759BB6FF">
      <w:pPr>
        <w:pStyle w:val="56"/>
        <w:ind w:firstLine="420"/>
        <w:rPr>
          <w:rFonts w:hint="eastAsia"/>
        </w:rPr>
      </w:pPr>
      <w:r>
        <w:rPr>
          <w:rFonts w:hint="eastAsia"/>
        </w:rPr>
        <w:t>GB 14881</w:t>
      </w:r>
      <w:r>
        <w:t xml:space="preserve">  </w:t>
      </w:r>
      <w:r>
        <w:rPr>
          <w:rFonts w:hint="eastAsia"/>
        </w:rPr>
        <w:t>食品安全国家标准 食品生产通用卫生规范</w:t>
      </w:r>
    </w:p>
    <w:p w14:paraId="77F57AD0">
      <w:pPr>
        <w:pStyle w:val="56"/>
        <w:ind w:firstLine="420"/>
        <w:rPr>
          <w:rFonts w:hint="default" w:eastAsia="宋体"/>
          <w:lang w:val="en-US" w:eastAsia="zh-CN"/>
        </w:rPr>
      </w:pPr>
      <w:r>
        <w:rPr>
          <w:rFonts w:hint="eastAsia"/>
        </w:rPr>
        <w:t>GB 18484</w:t>
      </w:r>
      <w:r>
        <w:rPr>
          <w:rFonts w:hint="eastAsia"/>
          <w:lang w:val="en-US" w:eastAsia="zh-CN"/>
        </w:rPr>
        <w:t xml:space="preserve">  危险废物焚烧污染控制标准</w:t>
      </w:r>
    </w:p>
    <w:p w14:paraId="3FF747CF">
      <w:pPr>
        <w:pStyle w:val="56"/>
        <w:ind w:firstLine="420"/>
        <w:rPr>
          <w:rFonts w:hint="eastAsia"/>
        </w:rPr>
      </w:pPr>
      <w:r>
        <w:rPr>
          <w:rFonts w:hint="eastAsia"/>
        </w:rPr>
        <w:t>GB/T 25180  生活垃圾综合处理与资源利用技术要求</w:t>
      </w:r>
    </w:p>
    <w:p w14:paraId="6ADEA392">
      <w:pPr>
        <w:pStyle w:val="56"/>
        <w:ind w:firstLine="420"/>
        <w:rPr>
          <w:rFonts w:hint="default" w:eastAsia="宋体"/>
          <w:lang w:val="en-US" w:eastAsia="zh-CN"/>
        </w:rPr>
      </w:pPr>
      <w:r>
        <w:rPr>
          <w:rFonts w:hint="eastAsia"/>
        </w:rPr>
        <w:t>GB/T 27304</w:t>
      </w:r>
      <w:r>
        <w:rPr>
          <w:rFonts w:hint="eastAsia"/>
          <w:lang w:val="en-US" w:eastAsia="zh-CN"/>
        </w:rPr>
        <w:t xml:space="preserve">  食品安全管理体系 水产品加工企业要求</w:t>
      </w:r>
    </w:p>
    <w:p w14:paraId="581625D9">
      <w:pPr>
        <w:pStyle w:val="56"/>
        <w:ind w:firstLine="420"/>
      </w:pPr>
      <w:r>
        <w:rPr>
          <w:rFonts w:hint="eastAsia"/>
        </w:rPr>
        <w:t>GB/T 28843  食品冷链物流追溯管理要求</w:t>
      </w:r>
    </w:p>
    <w:p w14:paraId="73D8D1BA">
      <w:pPr>
        <w:pStyle w:val="56"/>
        <w:ind w:firstLine="420"/>
      </w:pPr>
      <w:r>
        <w:rPr>
          <w:rFonts w:hint="eastAsia"/>
        </w:rPr>
        <w:t>GB 31603</w:t>
      </w:r>
      <w:r>
        <w:t xml:space="preserve">  </w:t>
      </w:r>
      <w:r>
        <w:rPr>
          <w:rFonts w:hint="eastAsia"/>
        </w:rPr>
        <w:t>食品安全国家标准 食品接触材料及制品生产通用卫生规范</w:t>
      </w:r>
    </w:p>
    <w:p w14:paraId="58E5DD1D">
      <w:pPr>
        <w:pStyle w:val="56"/>
        <w:ind w:firstLine="420"/>
      </w:pPr>
      <w:r>
        <w:rPr>
          <w:rFonts w:hint="eastAsia"/>
        </w:rPr>
        <w:t>GB 31605</w:t>
      </w:r>
      <w:r>
        <w:t xml:space="preserve">  </w:t>
      </w:r>
      <w:r>
        <w:rPr>
          <w:rFonts w:hint="eastAsia"/>
        </w:rPr>
        <w:t>食品安全国家标准 食品冷链物流卫生规范</w:t>
      </w:r>
    </w:p>
    <w:p w14:paraId="00F8BF6F">
      <w:pPr>
        <w:pStyle w:val="56"/>
        <w:ind w:firstLine="420"/>
        <w:rPr>
          <w:rFonts w:hint="eastAsia"/>
        </w:rPr>
      </w:pPr>
      <w:r>
        <w:rPr>
          <w:rFonts w:hint="eastAsia"/>
        </w:rPr>
        <w:t>GB 31621</w:t>
      </w:r>
      <w:r>
        <w:t xml:space="preserve">  </w:t>
      </w:r>
      <w:r>
        <w:rPr>
          <w:rFonts w:hint="eastAsia"/>
        </w:rPr>
        <w:t>食品安全国家标准 食品经营过程卫生规范</w:t>
      </w:r>
    </w:p>
    <w:p w14:paraId="3979089F">
      <w:pPr>
        <w:pStyle w:val="56"/>
        <w:ind w:firstLine="420"/>
        <w:rPr>
          <w:rFonts w:hint="default" w:eastAsia="宋体"/>
          <w:highlight w:val="none"/>
          <w:lang w:val="en-US" w:eastAsia="zh-CN"/>
        </w:rPr>
      </w:pPr>
      <w:r>
        <w:rPr>
          <w:rFonts w:hint="eastAsia"/>
          <w:highlight w:val="none"/>
        </w:rPr>
        <w:t>GB/T 32146.3</w:t>
      </w:r>
      <w:r>
        <w:rPr>
          <w:rFonts w:hint="eastAsia"/>
          <w:highlight w:val="none"/>
          <w:lang w:val="en-US" w:eastAsia="zh-CN"/>
        </w:rPr>
        <w:t xml:space="preserve">  检验检测实验室设计与建设技术要求 第3部分：食品实验室</w:t>
      </w:r>
    </w:p>
    <w:p w14:paraId="2A9D89F1">
      <w:pPr>
        <w:pStyle w:val="56"/>
        <w:ind w:firstLine="420"/>
        <w:rPr>
          <w:rFonts w:hint="default" w:eastAsia="宋体"/>
          <w:lang w:val="en-US" w:eastAsia="zh-CN"/>
        </w:rPr>
      </w:pPr>
      <w:r>
        <w:rPr>
          <w:rFonts w:hint="eastAsia"/>
        </w:rPr>
        <w:t>GB/T 42779-2023</w:t>
      </w:r>
      <w:r>
        <w:rPr>
          <w:rFonts w:hint="eastAsia"/>
          <w:lang w:val="en-US" w:eastAsia="zh-CN"/>
        </w:rPr>
        <w:t xml:space="preserve">  海洋牧场基本术语</w:t>
      </w:r>
    </w:p>
    <w:p w14:paraId="57AF5EBD">
      <w:pPr>
        <w:pStyle w:val="56"/>
        <w:ind w:firstLine="420"/>
        <w:rPr>
          <w:rFonts w:hint="default" w:eastAsia="宋体"/>
          <w:highlight w:val="none"/>
          <w:lang w:val="en-US" w:eastAsia="zh-CN"/>
        </w:rPr>
      </w:pPr>
      <w:r>
        <w:rPr>
          <w:rFonts w:hint="eastAsia"/>
          <w:highlight w:val="none"/>
        </w:rPr>
        <w:t>GB/T 50006</w:t>
      </w:r>
      <w:r>
        <w:rPr>
          <w:rFonts w:hint="eastAsia"/>
          <w:highlight w:val="none"/>
          <w:lang w:val="en-US" w:eastAsia="zh-CN"/>
        </w:rPr>
        <w:t xml:space="preserve">  厂房建筑模数协调标准</w:t>
      </w:r>
    </w:p>
    <w:p w14:paraId="3C0CB165">
      <w:pPr>
        <w:pStyle w:val="56"/>
        <w:ind w:firstLine="420"/>
        <w:rPr>
          <w:rFonts w:hint="default" w:eastAsia="宋体"/>
          <w:highlight w:val="none"/>
          <w:lang w:val="en-US" w:eastAsia="zh-CN"/>
        </w:rPr>
      </w:pPr>
      <w:r>
        <w:rPr>
          <w:rFonts w:hint="eastAsia"/>
          <w:highlight w:val="none"/>
        </w:rPr>
        <w:t>GB 50016</w:t>
      </w:r>
      <w:r>
        <w:rPr>
          <w:rFonts w:hint="eastAsia"/>
          <w:highlight w:val="none"/>
          <w:lang w:val="en-US" w:eastAsia="zh-CN"/>
        </w:rPr>
        <w:t xml:space="preserve">  建筑设计防火规范</w:t>
      </w:r>
    </w:p>
    <w:p w14:paraId="768D8869">
      <w:pPr>
        <w:pStyle w:val="56"/>
        <w:ind w:firstLine="420"/>
        <w:rPr>
          <w:rFonts w:hint="default" w:eastAsia="宋体"/>
          <w:highlight w:val="none"/>
          <w:lang w:val="en-US" w:eastAsia="zh-CN"/>
        </w:rPr>
      </w:pPr>
      <w:r>
        <w:rPr>
          <w:rFonts w:hint="eastAsia"/>
          <w:highlight w:val="none"/>
        </w:rPr>
        <w:t>GB 50052</w:t>
      </w:r>
      <w:r>
        <w:rPr>
          <w:rFonts w:hint="eastAsia"/>
          <w:highlight w:val="none"/>
          <w:lang w:val="en-US" w:eastAsia="zh-CN"/>
        </w:rPr>
        <w:t xml:space="preserve">  供配电系统设计规范</w:t>
      </w:r>
    </w:p>
    <w:p w14:paraId="42C60819">
      <w:pPr>
        <w:pStyle w:val="56"/>
        <w:ind w:firstLine="420"/>
        <w:rPr>
          <w:rFonts w:hint="default" w:eastAsia="宋体"/>
          <w:highlight w:val="none"/>
          <w:lang w:val="en-US" w:eastAsia="zh-CN"/>
        </w:rPr>
      </w:pPr>
      <w:r>
        <w:rPr>
          <w:rFonts w:hint="eastAsia"/>
          <w:highlight w:val="none"/>
        </w:rPr>
        <w:t>GB 50072</w:t>
      </w:r>
      <w:r>
        <w:rPr>
          <w:rFonts w:hint="eastAsia"/>
          <w:highlight w:val="none"/>
          <w:lang w:val="en-US" w:eastAsia="zh-CN"/>
        </w:rPr>
        <w:t xml:space="preserve">  冷库设计标准</w:t>
      </w:r>
    </w:p>
    <w:p w14:paraId="651E273E">
      <w:pPr>
        <w:pStyle w:val="56"/>
        <w:ind w:firstLine="420"/>
        <w:rPr>
          <w:rFonts w:hint="default" w:eastAsia="宋体"/>
          <w:highlight w:val="none"/>
          <w:lang w:val="en-US" w:eastAsia="zh-CN"/>
        </w:rPr>
      </w:pPr>
      <w:r>
        <w:rPr>
          <w:rFonts w:hint="eastAsia"/>
          <w:highlight w:val="none"/>
        </w:rPr>
        <w:t>GB 50282</w:t>
      </w:r>
      <w:r>
        <w:rPr>
          <w:rFonts w:hint="eastAsia"/>
          <w:highlight w:val="none"/>
          <w:lang w:val="en-US" w:eastAsia="zh-CN"/>
        </w:rPr>
        <w:t xml:space="preserve">  城市给水工程规划规范</w:t>
      </w:r>
    </w:p>
    <w:p w14:paraId="25B68CD1">
      <w:pPr>
        <w:pStyle w:val="56"/>
        <w:ind w:firstLine="420"/>
        <w:rPr>
          <w:rFonts w:hint="default" w:eastAsia="宋体"/>
          <w:highlight w:val="none"/>
          <w:lang w:val="en-US" w:eastAsia="zh-CN"/>
        </w:rPr>
      </w:pPr>
      <w:r>
        <w:rPr>
          <w:rFonts w:hint="eastAsia"/>
          <w:highlight w:val="none"/>
        </w:rPr>
        <w:t>GB/T 50293</w:t>
      </w:r>
      <w:r>
        <w:rPr>
          <w:rFonts w:hint="eastAsia"/>
          <w:highlight w:val="none"/>
          <w:lang w:val="en-US" w:eastAsia="zh-CN"/>
        </w:rPr>
        <w:t xml:space="preserve">  城市电力规划规范</w:t>
      </w:r>
    </w:p>
    <w:p w14:paraId="201344BD">
      <w:pPr>
        <w:pStyle w:val="56"/>
        <w:ind w:firstLine="420"/>
        <w:rPr>
          <w:rFonts w:hint="eastAsia"/>
        </w:rPr>
      </w:pPr>
      <w:r>
        <w:rPr>
          <w:rFonts w:hint="eastAsia"/>
        </w:rPr>
        <w:t>GB 50300</w:t>
      </w:r>
      <w:r>
        <w:t xml:space="preserve">  </w:t>
      </w:r>
      <w:r>
        <w:rPr>
          <w:rFonts w:hint="eastAsia"/>
        </w:rPr>
        <w:t>建筑工程施工质量验收统一标准</w:t>
      </w:r>
    </w:p>
    <w:p w14:paraId="6823931B">
      <w:pPr>
        <w:pStyle w:val="56"/>
        <w:ind w:firstLine="420"/>
        <w:rPr>
          <w:rFonts w:hint="default" w:eastAsia="宋体"/>
          <w:lang w:val="en-US" w:eastAsia="zh-CN"/>
        </w:rPr>
      </w:pPr>
      <w:r>
        <w:rPr>
          <w:rFonts w:hint="eastAsia"/>
        </w:rPr>
        <w:t>GB 50318</w:t>
      </w:r>
      <w:r>
        <w:rPr>
          <w:rFonts w:hint="eastAsia"/>
          <w:lang w:val="en-US" w:eastAsia="zh-CN"/>
        </w:rPr>
        <w:t xml:space="preserve">  城市排水工程规划规范</w:t>
      </w:r>
    </w:p>
    <w:p w14:paraId="25016EAC">
      <w:pPr>
        <w:pStyle w:val="56"/>
        <w:rPr>
          <w:rFonts w:hint="default" w:eastAsia="宋体"/>
          <w:highlight w:val="none"/>
          <w:lang w:val="en-US" w:eastAsia="zh-CN"/>
        </w:rPr>
      </w:pPr>
      <w:r>
        <w:rPr>
          <w:rFonts w:hint="eastAsia"/>
          <w:highlight w:val="none"/>
        </w:rPr>
        <w:t>GB 50352</w:t>
      </w:r>
      <w:r>
        <w:rPr>
          <w:rFonts w:hint="eastAsia"/>
          <w:highlight w:val="none"/>
          <w:lang w:val="en-US" w:eastAsia="zh-CN"/>
        </w:rPr>
        <w:t xml:space="preserve">  民用建筑设计统一标准</w:t>
      </w:r>
    </w:p>
    <w:p w14:paraId="30E38335">
      <w:pPr>
        <w:pStyle w:val="56"/>
        <w:ind w:firstLine="420"/>
        <w:rPr>
          <w:rFonts w:hint="eastAsia"/>
          <w:highlight w:val="none"/>
        </w:rPr>
      </w:pPr>
      <w:r>
        <w:rPr>
          <w:rFonts w:hint="eastAsia"/>
          <w:highlight w:val="none"/>
        </w:rPr>
        <w:t>GB 50687  食品工业洁净用房建筑技术规范</w:t>
      </w:r>
    </w:p>
    <w:p w14:paraId="19FEF5D0">
      <w:pPr>
        <w:pStyle w:val="56"/>
        <w:ind w:firstLine="420"/>
        <w:rPr>
          <w:rFonts w:hint="eastAsia"/>
          <w:highlight w:val="none"/>
        </w:rPr>
      </w:pPr>
      <w:r>
        <w:rPr>
          <w:rFonts w:hint="eastAsia"/>
          <w:highlight w:val="none"/>
        </w:rPr>
        <w:t>GB 50688</w:t>
      </w:r>
      <w:r>
        <w:rPr>
          <w:rFonts w:hint="eastAsia"/>
          <w:highlight w:val="none"/>
          <w:lang w:val="en-US" w:eastAsia="zh-CN"/>
        </w:rPr>
        <w:t xml:space="preserve">  城市道路交通设施设计规范</w:t>
      </w:r>
      <w:r>
        <w:rPr>
          <w:rFonts w:hint="eastAsia"/>
          <w:highlight w:val="none"/>
        </w:rPr>
        <w:t xml:space="preserve"> </w:t>
      </w:r>
    </w:p>
    <w:p w14:paraId="05C80B95">
      <w:pPr>
        <w:pStyle w:val="56"/>
        <w:ind w:firstLine="420"/>
        <w:rPr>
          <w:rFonts w:hint="default" w:eastAsia="宋体"/>
          <w:highlight w:val="none"/>
          <w:lang w:val="en-US" w:eastAsia="zh-CN"/>
        </w:rPr>
      </w:pPr>
      <w:r>
        <w:rPr>
          <w:rFonts w:hint="eastAsia"/>
          <w:highlight w:val="none"/>
        </w:rPr>
        <w:t>GB/T 51223</w:t>
      </w:r>
      <w:r>
        <w:rPr>
          <w:rFonts w:hint="eastAsia"/>
          <w:highlight w:val="none"/>
          <w:lang w:val="en-US" w:eastAsia="zh-CN"/>
        </w:rPr>
        <w:t xml:space="preserve">  公共建筑标识系统技术规范</w:t>
      </w:r>
    </w:p>
    <w:p w14:paraId="532CA2D5">
      <w:pPr>
        <w:pStyle w:val="56"/>
        <w:ind w:firstLine="420"/>
        <w:rPr>
          <w:rFonts w:hint="eastAsia"/>
        </w:rPr>
      </w:pPr>
      <w:r>
        <w:rPr>
          <w:rFonts w:hint="eastAsia"/>
        </w:rPr>
        <w:t>GB 51440  冷库施工及验收标准</w:t>
      </w:r>
    </w:p>
    <w:p w14:paraId="1C6A0832">
      <w:pPr>
        <w:pStyle w:val="56"/>
        <w:ind w:firstLine="420"/>
        <w:rPr>
          <w:rFonts w:hint="default" w:eastAsia="宋体"/>
          <w:lang w:val="en-US" w:eastAsia="zh-CN"/>
        </w:rPr>
      </w:pPr>
      <w:r>
        <w:rPr>
          <w:rFonts w:hint="eastAsia"/>
        </w:rPr>
        <w:t>GB 55009</w:t>
      </w:r>
      <w:r>
        <w:rPr>
          <w:rFonts w:hint="eastAsia"/>
          <w:lang w:val="en-US" w:eastAsia="zh-CN"/>
        </w:rPr>
        <w:t xml:space="preserve">  燃气工程项目规范</w:t>
      </w:r>
    </w:p>
    <w:p w14:paraId="08349FA7">
      <w:pPr>
        <w:pStyle w:val="56"/>
        <w:rPr>
          <w:rFonts w:hint="default" w:eastAsia="宋体"/>
          <w:highlight w:val="none"/>
          <w:lang w:val="en-US" w:eastAsia="zh-CN"/>
        </w:rPr>
      </w:pPr>
      <w:r>
        <w:rPr>
          <w:rFonts w:hint="eastAsia"/>
          <w:highlight w:val="none"/>
        </w:rPr>
        <w:t>GB 55031</w:t>
      </w:r>
      <w:r>
        <w:rPr>
          <w:rFonts w:hint="eastAsia"/>
          <w:highlight w:val="none"/>
          <w:lang w:val="en-US" w:eastAsia="zh-CN"/>
        </w:rPr>
        <w:t xml:space="preserve">  民用建筑通用规范</w:t>
      </w:r>
    </w:p>
    <w:p w14:paraId="54EC1D62">
      <w:pPr>
        <w:pStyle w:val="56"/>
        <w:rPr>
          <w:rFonts w:hint="default" w:eastAsia="宋体"/>
          <w:highlight w:val="none"/>
          <w:lang w:val="en-US" w:eastAsia="zh-CN"/>
        </w:rPr>
      </w:pPr>
      <w:r>
        <w:rPr>
          <w:rFonts w:hint="eastAsia"/>
          <w:highlight w:val="none"/>
        </w:rPr>
        <w:t>GB 55036</w:t>
      </w:r>
      <w:r>
        <w:rPr>
          <w:rFonts w:hint="eastAsia"/>
          <w:highlight w:val="none"/>
          <w:lang w:val="en-US" w:eastAsia="zh-CN"/>
        </w:rPr>
        <w:t xml:space="preserve">  消防设施通用规范</w:t>
      </w:r>
    </w:p>
    <w:p w14:paraId="2E5CB7BF">
      <w:pPr>
        <w:pStyle w:val="56"/>
        <w:ind w:firstLine="420"/>
      </w:pPr>
      <w:r>
        <w:rPr>
          <w:rFonts w:hint="eastAsia"/>
        </w:rPr>
        <w:t>DB44/ 26</w:t>
      </w:r>
      <w:r>
        <w:t xml:space="preserve">  </w:t>
      </w:r>
      <w:r>
        <w:rPr>
          <w:rFonts w:hint="eastAsia"/>
        </w:rPr>
        <w:t>水污染物排放限值</w:t>
      </w:r>
    </w:p>
    <w:p w14:paraId="144D03BB">
      <w:pPr>
        <w:pStyle w:val="104"/>
        <w:spacing w:before="312" w:after="312"/>
      </w:pPr>
      <w:bookmarkStart w:id="42" w:name="_Toc97191425"/>
      <w:r>
        <w:rPr>
          <w:rFonts w:hint="eastAsia"/>
          <w:szCs w:val="21"/>
        </w:rPr>
        <w:t>术语和定义</w:t>
      </w:r>
      <w:bookmarkEnd w:id="42"/>
    </w:p>
    <w:sdt>
      <w:sdtPr>
        <w:rPr>
          <w:highlight w:val="none"/>
        </w:rPr>
        <w:id w:val="-1909835108"/>
        <w:placeholder>
          <w:docPart w:val="4B44B591AAB04341AA3D808426470F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p w14:paraId="6073203E">
          <w:pPr>
            <w:pStyle w:val="56"/>
            <w:ind w:firstLine="420"/>
          </w:pPr>
          <w:bookmarkStart w:id="43" w:name="_Toc26986532"/>
          <w:bookmarkEnd w:id="43"/>
          <w:r>
            <w:rPr>
              <w:highlight w:val="none"/>
            </w:rPr>
            <w:t>GB/T 42779-2023界定的以及下列术</w:t>
          </w:r>
          <w:r>
            <w:t>语和定义适用于本文件。</w:t>
          </w:r>
        </w:p>
      </w:sdtContent>
    </w:sdt>
    <w:p w14:paraId="0619166F">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产业园区 industrial park</w:t>
      </w:r>
    </w:p>
    <w:p w14:paraId="19EBF0F0">
      <w:pPr>
        <w:pStyle w:val="56"/>
        <w:ind w:firstLine="420"/>
      </w:pPr>
      <w:r>
        <w:rPr>
          <w:rFonts w:hint="eastAsia"/>
        </w:rPr>
        <w:t>聚集若干工业企业的区域,是区域经济发展、产业调整和升级的重要空间聚集形式。</w:t>
      </w:r>
    </w:p>
    <w:p w14:paraId="6B19E4D7">
      <w:pPr>
        <w:pStyle w:val="179"/>
      </w:pPr>
      <w:r>
        <w:rPr>
          <w:rFonts w:hint="eastAsia"/>
        </w:rPr>
        <w:t>产业园区的具体形式主要包括高新区、开发区、科技园、工业区、产业基地、特色产业园区、产业新城、科技新城等用于修复和优化海域生态环境,建设海洋生物生息场的人工设施。</w:t>
      </w:r>
    </w:p>
    <w:p w14:paraId="4B4313FE">
      <w:pPr>
        <w:pStyle w:val="56"/>
        <w:ind w:firstLine="420"/>
      </w:pPr>
      <w:bookmarkStart w:id="45" w:name="_GoBack"/>
      <w:bookmarkEnd w:id="45"/>
      <w:r>
        <w:rPr>
          <w:rFonts w:hint="eastAsia"/>
        </w:rPr>
        <w:t>[来源：</w:t>
      </w:r>
      <w:r>
        <w:t>G</w:t>
      </w:r>
      <w:r>
        <w:rPr>
          <w:rFonts w:hint="eastAsia"/>
        </w:rPr>
        <w:t>B/T 36575-2018，3.1]</w:t>
      </w:r>
    </w:p>
    <w:p w14:paraId="6036276C">
      <w:pPr>
        <w:pStyle w:val="104"/>
        <w:spacing w:before="312" w:after="312"/>
        <w:rPr>
          <w:szCs w:val="21"/>
        </w:rPr>
      </w:pPr>
      <w:r>
        <w:rPr>
          <w:rFonts w:hint="eastAsia"/>
        </w:rPr>
        <w:t>基本原则</w:t>
      </w:r>
    </w:p>
    <w:p w14:paraId="6179DE3D">
      <w:pPr>
        <w:pStyle w:val="105"/>
        <w:spacing w:before="156" w:after="156"/>
      </w:pPr>
      <w:r>
        <w:rPr>
          <w:rFonts w:hint="eastAsia"/>
        </w:rPr>
        <w:t>目标性</w:t>
      </w:r>
    </w:p>
    <w:p w14:paraId="3D323BFB">
      <w:pPr>
        <w:pStyle w:val="56"/>
        <w:ind w:firstLine="420"/>
      </w:pPr>
      <w:r>
        <w:rPr>
          <w:rFonts w:hint="eastAsia"/>
        </w:rPr>
        <w:t>发挥区位优势，以本地区的主要农产品生产及其加工为主导，结合多产业融合发展。秉承创新、协调、绿色、开放、共享的发展理念，坚持经济效益和生态效益并重的合作模式，推进产业高质量发展。</w:t>
      </w:r>
    </w:p>
    <w:p w14:paraId="558EE972">
      <w:pPr>
        <w:pStyle w:val="105"/>
        <w:spacing w:before="156" w:after="156"/>
      </w:pPr>
      <w:r>
        <w:rPr>
          <w:rFonts w:hint="eastAsia"/>
        </w:rPr>
        <w:t>实用性</w:t>
      </w:r>
    </w:p>
    <w:p w14:paraId="19D9A11D">
      <w:pPr>
        <w:pStyle w:val="56"/>
        <w:ind w:firstLine="420"/>
      </w:pPr>
      <w:r>
        <w:rPr>
          <w:rFonts w:hint="eastAsia"/>
        </w:rPr>
        <w:t>统筹谋划和分步实施，因地制宜，科学规划，合理布局。既要符合现代化农业产业园区的一般要求，也要体现金鲳鱼加工产业园区特色，守住食品安全底线，提高农产品的利用率，为消费者提供更加健康营养的金鲳鱼加工食品。</w:t>
      </w:r>
    </w:p>
    <w:p w14:paraId="315921F7">
      <w:pPr>
        <w:pStyle w:val="105"/>
        <w:spacing w:before="156" w:after="156"/>
      </w:pPr>
      <w:r>
        <w:rPr>
          <w:rFonts w:hint="eastAsia"/>
        </w:rPr>
        <w:t>创新性</w:t>
      </w:r>
    </w:p>
    <w:p w14:paraId="464A9940">
      <w:pPr>
        <w:pStyle w:val="56"/>
        <w:ind w:firstLine="420"/>
      </w:pPr>
      <w:r>
        <w:rPr>
          <w:rFonts w:hint="eastAsia"/>
        </w:rPr>
        <w:t>坚持科技创新、管理创新、服务创新，以市场需求为主导，调动和发挥市场主体的积极性、主动性和创造性，持续优化产业园区的建设，不断升级。</w:t>
      </w:r>
    </w:p>
    <w:p w14:paraId="4365F639">
      <w:pPr>
        <w:pStyle w:val="104"/>
        <w:spacing w:before="312" w:after="312"/>
      </w:pPr>
      <w:r>
        <w:rPr>
          <w:rFonts w:hint="eastAsia"/>
        </w:rPr>
        <w:t>选址要求</w:t>
      </w:r>
    </w:p>
    <w:p w14:paraId="41595A02">
      <w:pPr>
        <w:pStyle w:val="162"/>
      </w:pPr>
      <w:r>
        <w:rPr>
          <w:rFonts w:hint="eastAsia"/>
        </w:rPr>
        <w:t>金鲳鱼加工产业园区周边宜毗邻城市道路，地形平坦开阔，交通便利，基础设施配套较为完善的地区。</w:t>
      </w:r>
    </w:p>
    <w:p w14:paraId="5A9A919D">
      <w:pPr>
        <w:pStyle w:val="162"/>
      </w:pPr>
      <w:r>
        <w:rPr>
          <w:rFonts w:hint="eastAsia"/>
        </w:rPr>
        <w:t>金鲳鱼加工产业园区不宜选择有害废弃物以及粉尘、有害气体、放射性物质和其他扩散性污染源的地址。</w:t>
      </w:r>
    </w:p>
    <w:p w14:paraId="72386982">
      <w:pPr>
        <w:pStyle w:val="162"/>
      </w:pPr>
      <w:r>
        <w:rPr>
          <w:rFonts w:hint="eastAsia"/>
        </w:rPr>
        <w:t>金鲳鱼加工产业园区不宜选择易发生山体滑坡、洪涝灾害、台风等自然灾害的区域，难以避开时宜设计必要的防范措施。</w:t>
      </w:r>
    </w:p>
    <w:p w14:paraId="5A1635B6">
      <w:pPr>
        <w:pStyle w:val="162"/>
      </w:pPr>
      <w:r>
        <w:rPr>
          <w:rFonts w:hint="eastAsia"/>
        </w:rPr>
        <w:t>金鲳鱼加工产业园区周边环境不宜给产业链带来的潜在污染风险,当风险较大难以避开时采取措施将风险隆至安全水平。</w:t>
      </w:r>
    </w:p>
    <w:p w14:paraId="31AC967F">
      <w:pPr>
        <w:pStyle w:val="162"/>
      </w:pPr>
      <w:r>
        <w:rPr>
          <w:rFonts w:hint="eastAsia"/>
        </w:rPr>
        <w:t>金鲳鱼加工产业园区宜选择主要的食品加工资源易于获取的地区，例如有配套的原材料生产基地。</w:t>
      </w:r>
    </w:p>
    <w:p w14:paraId="216BB12A">
      <w:pPr>
        <w:pStyle w:val="162"/>
      </w:pPr>
      <w:r>
        <w:rPr>
          <w:rFonts w:hint="eastAsia"/>
        </w:rPr>
        <w:t>金鲳鱼加工产业园区宜选择具备覆盖全产业链的基础条件，以便形成产业集群。</w:t>
      </w:r>
    </w:p>
    <w:p w14:paraId="1E5F3454">
      <w:pPr>
        <w:pStyle w:val="104"/>
        <w:spacing w:before="312" w:after="312"/>
        <w:rPr>
          <w:rFonts w:hAnsi="黑体" w:cs="宋体"/>
        </w:rPr>
      </w:pPr>
      <w:r>
        <w:rPr>
          <w:rFonts w:hint="eastAsia"/>
        </w:rPr>
        <w:t>规划与布局</w:t>
      </w:r>
    </w:p>
    <w:p w14:paraId="7E3E9ACC">
      <w:pPr>
        <w:pStyle w:val="162"/>
      </w:pPr>
      <w:r>
        <w:rPr>
          <w:rFonts w:hint="eastAsia"/>
        </w:rPr>
        <w:t>结合国家和地方经济社会发展规划要求，协调金鲳鱼加工产业园区与区域发展关系，符合所在地城市建设、土地利用、产业发展等总体规划。针对金鲳鱼加工产业园区建设设定总体工作规划，并明确近期目标和长期目标等。</w:t>
      </w:r>
    </w:p>
    <w:p w14:paraId="375DD66D">
      <w:pPr>
        <w:pStyle w:val="162"/>
      </w:pPr>
      <w:r>
        <w:rPr>
          <w:rFonts w:hint="eastAsia"/>
        </w:rPr>
        <w:t>坚持生态共生、科技共享、产业共兴的设计理念，遵循产业优化、整体协调、布局合理、配套完善、安全环保、绿色低碳、集约高效等要求。</w:t>
      </w:r>
    </w:p>
    <w:p w14:paraId="259D3D0B">
      <w:pPr>
        <w:pStyle w:val="162"/>
      </w:pPr>
      <w:r>
        <w:rPr>
          <w:rFonts w:hint="eastAsia"/>
        </w:rPr>
        <w:t>以金鲳鱼加工为基础，综合考虑当地产业资源，产业全链条统筹配置，多产业和谐发展。</w:t>
      </w:r>
    </w:p>
    <w:p w14:paraId="43D5A13D">
      <w:pPr>
        <w:pStyle w:val="162"/>
      </w:pPr>
      <w:r>
        <w:rPr>
          <w:rFonts w:hint="eastAsia"/>
        </w:rPr>
        <w:t>结合金鲳鱼加工产业园区发展需求，布局科学合理，功能区分明确，统筹配置土地，公共服务区的建设加强资源的优化配置和节能减排的原则，争取实现园区的碳中和。功能区建设宜包括但不限于研发区、加工区、冷链物流区、文化体验区和金融服务区等。</w:t>
      </w:r>
    </w:p>
    <w:p w14:paraId="22B11614">
      <w:pPr>
        <w:pStyle w:val="104"/>
        <w:spacing w:before="312" w:after="312"/>
        <w:rPr>
          <w:rFonts w:hAnsi="黑体" w:cs="宋体"/>
        </w:rPr>
      </w:pPr>
      <w:r>
        <w:rPr>
          <w:rFonts w:hint="eastAsia"/>
        </w:rPr>
        <w:t>公共服务区建设</w:t>
      </w:r>
    </w:p>
    <w:p w14:paraId="2DB3FE50">
      <w:pPr>
        <w:pStyle w:val="105"/>
        <w:spacing w:before="156" w:after="156"/>
        <w:rPr>
          <w:highlight w:val="none"/>
        </w:rPr>
      </w:pPr>
      <w:r>
        <w:rPr>
          <w:rFonts w:hint="eastAsia"/>
          <w:highlight w:val="none"/>
        </w:rPr>
        <w:t>环境要求</w:t>
      </w:r>
    </w:p>
    <w:p w14:paraId="42B703A8">
      <w:pPr>
        <w:pStyle w:val="165"/>
        <w:rPr>
          <w:highlight w:val="none"/>
        </w:rPr>
      </w:pPr>
      <w:r>
        <w:rPr>
          <w:rFonts w:hint="eastAsia"/>
          <w:highlight w:val="none"/>
        </w:rPr>
        <w:t>金鲳鱼加工产业园区的环境空气达到GB 3095中要求的二类环境空气功能区质量。</w:t>
      </w:r>
    </w:p>
    <w:p w14:paraId="139B6838">
      <w:pPr>
        <w:pStyle w:val="165"/>
        <w:rPr>
          <w:highlight w:val="none"/>
        </w:rPr>
      </w:pPr>
      <w:r>
        <w:rPr>
          <w:rFonts w:hint="eastAsia"/>
          <w:highlight w:val="none"/>
        </w:rPr>
        <w:t>金鲳鱼加工产业园区的环境噪声达到GB 3096中“3类声环境功能区”的环境噪声限值要求。</w:t>
      </w:r>
    </w:p>
    <w:p w14:paraId="431198FD">
      <w:pPr>
        <w:pStyle w:val="165"/>
        <w:rPr>
          <w:highlight w:val="none"/>
        </w:rPr>
      </w:pPr>
      <w:r>
        <w:rPr>
          <w:rFonts w:hint="eastAsia"/>
          <w:highlight w:val="none"/>
        </w:rPr>
        <w:t>污水排放限额达到DB44/</w:t>
      </w:r>
      <w:r>
        <w:rPr>
          <w:rFonts w:hint="eastAsia"/>
          <w:highlight w:val="none"/>
          <w:lang w:val="en-US" w:eastAsia="zh-CN"/>
        </w:rPr>
        <w:t xml:space="preserve"> </w:t>
      </w:r>
      <w:r>
        <w:rPr>
          <w:rFonts w:hint="eastAsia"/>
          <w:highlight w:val="none"/>
        </w:rPr>
        <w:t>26要求，其他污染物排放符合GB 18484</w:t>
      </w:r>
      <w:r>
        <w:rPr>
          <w:rFonts w:hint="eastAsia"/>
          <w:highlight w:val="none"/>
          <w:lang w:val="en-US" w:eastAsia="zh-CN"/>
        </w:rPr>
        <w:t>的要求</w:t>
      </w:r>
      <w:r>
        <w:rPr>
          <w:rFonts w:hint="eastAsia"/>
          <w:highlight w:val="none"/>
        </w:rPr>
        <w:t>。</w:t>
      </w:r>
    </w:p>
    <w:p w14:paraId="3E36EB87">
      <w:pPr>
        <w:pStyle w:val="165"/>
        <w:rPr>
          <w:highlight w:val="none"/>
        </w:rPr>
      </w:pPr>
      <w:r>
        <w:rPr>
          <w:rFonts w:hint="eastAsia"/>
          <w:highlight w:val="none"/>
        </w:rPr>
        <w:t>实行垃圾分类，及时开展垃圾的分类、收集、转运及处理，垃圾处理参考GB 3096。</w:t>
      </w:r>
    </w:p>
    <w:p w14:paraId="693FE5A5">
      <w:pPr>
        <w:pStyle w:val="165"/>
        <w:rPr>
          <w:highlight w:val="none"/>
        </w:rPr>
      </w:pPr>
      <w:r>
        <w:rPr>
          <w:rFonts w:hint="eastAsia"/>
          <w:highlight w:val="none"/>
        </w:rPr>
        <w:t>采取有效措施对温室气体排放进行监测，做到节能减排。</w:t>
      </w:r>
    </w:p>
    <w:p w14:paraId="5B36E85C">
      <w:pPr>
        <w:pStyle w:val="105"/>
        <w:spacing w:before="156" w:after="156"/>
        <w:rPr>
          <w:highlight w:val="none"/>
        </w:rPr>
      </w:pPr>
      <w:r>
        <w:rPr>
          <w:rFonts w:hint="eastAsia"/>
          <w:highlight w:val="none"/>
        </w:rPr>
        <w:t>其他要求</w:t>
      </w:r>
    </w:p>
    <w:p w14:paraId="0C3602AF">
      <w:pPr>
        <w:pStyle w:val="165"/>
        <w:rPr>
          <w:highlight w:val="none"/>
        </w:rPr>
      </w:pPr>
      <w:r>
        <w:rPr>
          <w:rFonts w:hint="eastAsia"/>
          <w:highlight w:val="none"/>
        </w:rPr>
        <w:t>配套建设与金鲳鱼加工产业园区产业发展相适应的道路、电力、供排水、通讯、消防、防汛和燃气等基础设施。</w:t>
      </w:r>
    </w:p>
    <w:p w14:paraId="3214C103">
      <w:pPr>
        <w:pStyle w:val="165"/>
        <w:rPr>
          <w:highlight w:val="none"/>
        </w:rPr>
      </w:pPr>
      <w:r>
        <w:rPr>
          <w:rFonts w:hint="eastAsia"/>
          <w:highlight w:val="none"/>
        </w:rPr>
        <w:t>建筑设施：建设满足园区不同规模和功能需要的建筑设施，厂房建筑参照GB/T 50006的规定建设，居住建筑和公共建筑的设计和建设符合GB 50352、GB 55031等要求，以及符合GB 50300验收要求。</w:t>
      </w:r>
    </w:p>
    <w:p w14:paraId="7655A0CE">
      <w:pPr>
        <w:pStyle w:val="165"/>
        <w:rPr>
          <w:highlight w:val="none"/>
        </w:rPr>
      </w:pPr>
      <w:r>
        <w:rPr>
          <w:rFonts w:hint="eastAsia"/>
          <w:highlight w:val="none"/>
        </w:rPr>
        <w:t>道路交通：因地制宜，合理布局道路设计。园区范围内的城市道路设施符合GB 50688相关规定。相关的标志标识导览符合GB 5768、GB/T 51223的规定。</w:t>
      </w:r>
    </w:p>
    <w:p w14:paraId="33C25C4F">
      <w:pPr>
        <w:pStyle w:val="165"/>
        <w:rPr>
          <w:highlight w:val="none"/>
        </w:rPr>
      </w:pPr>
      <w:r>
        <w:rPr>
          <w:rFonts w:hint="eastAsia"/>
          <w:highlight w:val="none"/>
        </w:rPr>
        <w:t>能源供给：根据电力和燃气需求，配套相应的设备设施。其中电网系统符合GB 50052和GB/T 50293的规定，燃气系统符合GB 55009的规定。</w:t>
      </w:r>
    </w:p>
    <w:p w14:paraId="7D2A3177">
      <w:pPr>
        <w:pStyle w:val="165"/>
        <w:rPr>
          <w:highlight w:val="none"/>
        </w:rPr>
      </w:pPr>
      <w:r>
        <w:rPr>
          <w:rFonts w:hint="eastAsia"/>
          <w:highlight w:val="none"/>
        </w:rPr>
        <w:t>供水系统：按照GB 50282的规定建设供水设施，水质、水压、水量等要求符合生产、生活和消防需要，其中生产加工用水的水质应符合GB 5749的规定。排水设施设计和建造符合GB 50318的规定。</w:t>
      </w:r>
    </w:p>
    <w:p w14:paraId="68898229">
      <w:pPr>
        <w:pStyle w:val="165"/>
        <w:rPr>
          <w:highlight w:val="none"/>
        </w:rPr>
      </w:pPr>
      <w:r>
        <w:rPr>
          <w:rFonts w:hint="eastAsia"/>
          <w:highlight w:val="none"/>
        </w:rPr>
        <w:t>消防安全：消防安全布局、防火分区、消防安全管理等符合GB 50016规定的要求。消防设施设置及性能符合GB 50016和GB 55036规定的要求。</w:t>
      </w:r>
    </w:p>
    <w:p w14:paraId="56B57551">
      <w:pPr>
        <w:pStyle w:val="104"/>
        <w:spacing w:before="312" w:after="312"/>
      </w:pPr>
      <w:r>
        <w:rPr>
          <w:rFonts w:hint="eastAsia"/>
        </w:rPr>
        <w:t>研发区建设</w:t>
      </w:r>
    </w:p>
    <w:p w14:paraId="1C6A96EF">
      <w:pPr>
        <w:pStyle w:val="162"/>
      </w:pPr>
      <w:r>
        <w:rPr>
          <w:rFonts w:hint="eastAsia"/>
        </w:rPr>
        <w:t>建立金鲳鱼产品研发中心，配备科学研究、技术创新、产品开发等所需的设施设备。</w:t>
      </w:r>
    </w:p>
    <w:p w14:paraId="3C2DA685">
      <w:pPr>
        <w:pStyle w:val="162"/>
      </w:pPr>
      <w:r>
        <w:rPr>
          <w:rFonts w:hint="eastAsia"/>
        </w:rPr>
        <w:t>搭建科技成果转化平台、知识产权服务平台，提升知识产权创造、运用、保护、管理和服务水平。</w:t>
      </w:r>
    </w:p>
    <w:p w14:paraId="4D132161">
      <w:pPr>
        <w:pStyle w:val="162"/>
      </w:pPr>
      <w:r>
        <w:rPr>
          <w:rFonts w:hint="eastAsia"/>
        </w:rPr>
        <w:t>宜建设人才交流服务中心，开展学术交流、人才招聘、人才培训等服务，引进和培养高素质科研人才。</w:t>
      </w:r>
    </w:p>
    <w:p w14:paraId="4C541797">
      <w:pPr>
        <w:pStyle w:val="162"/>
      </w:pPr>
      <w:r>
        <w:rPr>
          <w:rFonts w:hint="eastAsia"/>
        </w:rPr>
        <w:t>宜搭建科技资源共享平台，为园区企业提供信息知识、科技标准等资源服务。</w:t>
      </w:r>
    </w:p>
    <w:p w14:paraId="39009DD6">
      <w:pPr>
        <w:pStyle w:val="104"/>
        <w:spacing w:before="312" w:after="312"/>
        <w:rPr>
          <w:rFonts w:hAnsi="黑体" w:cs="宋体"/>
          <w:highlight w:val="none"/>
        </w:rPr>
      </w:pPr>
      <w:r>
        <w:rPr>
          <w:rFonts w:hint="eastAsia"/>
          <w:highlight w:val="none"/>
        </w:rPr>
        <w:t>加工区建设</w:t>
      </w:r>
    </w:p>
    <w:p w14:paraId="0AF63B12">
      <w:pPr>
        <w:pStyle w:val="162"/>
        <w:rPr>
          <w:highlight w:val="none"/>
        </w:rPr>
      </w:pPr>
      <w:r>
        <w:rPr>
          <w:rFonts w:hint="eastAsia"/>
          <w:highlight w:val="none"/>
        </w:rPr>
        <w:t>根据产业园区规划设计，建设与生产的金鲳鱼产品品种、数量相适应的食品加工厂房和车间。宜引入规模化食品生产加工企业，入驻食品生产加工企业持有的资质均齐全。</w:t>
      </w:r>
    </w:p>
    <w:p w14:paraId="5858602D">
      <w:pPr>
        <w:pStyle w:val="162"/>
        <w:rPr>
          <w:highlight w:val="none"/>
        </w:rPr>
      </w:pPr>
      <w:r>
        <w:rPr>
          <w:rFonts w:hint="eastAsia"/>
          <w:highlight w:val="none"/>
        </w:rPr>
        <w:t>生产加工区厂房和车间的设计布局、建筑内部结构与材料、设施与设备、卫生管理、制度建设等符合GB 14881、GB/T 27304等规定。</w:t>
      </w:r>
    </w:p>
    <w:p w14:paraId="0A97EBC3">
      <w:pPr>
        <w:pStyle w:val="162"/>
        <w:rPr>
          <w:highlight w:val="none"/>
        </w:rPr>
      </w:pPr>
      <w:r>
        <w:rPr>
          <w:rFonts w:hint="eastAsia"/>
          <w:highlight w:val="none"/>
        </w:rPr>
        <w:t>生产金鲳鱼产品的中央厨房、集体用餐配送单位的加工经营场所按照国家和地方食品经营许可管理和审查的相关规定建设。</w:t>
      </w:r>
    </w:p>
    <w:p w14:paraId="5052E9FC">
      <w:pPr>
        <w:pStyle w:val="162"/>
        <w:rPr>
          <w:highlight w:val="none"/>
        </w:rPr>
      </w:pPr>
      <w:r>
        <w:rPr>
          <w:rFonts w:hint="eastAsia"/>
          <w:highlight w:val="none"/>
        </w:rPr>
        <w:t>建设金鲳鱼相关食品接触材料及制品的生产厂房和车间符合GB 31603规定的要求。</w:t>
      </w:r>
    </w:p>
    <w:p w14:paraId="6D71EAD0">
      <w:pPr>
        <w:pStyle w:val="162"/>
        <w:rPr>
          <w:highlight w:val="none"/>
        </w:rPr>
      </w:pPr>
      <w:r>
        <w:rPr>
          <w:rFonts w:hint="eastAsia"/>
          <w:highlight w:val="none"/>
        </w:rPr>
        <w:t>配套检验检测机构，建设检验检测服务平台。检验检测实验室参照GB/T 32146.3设计与建设。</w:t>
      </w:r>
    </w:p>
    <w:p w14:paraId="68A0FF16">
      <w:pPr>
        <w:pStyle w:val="104"/>
        <w:spacing w:before="312" w:after="312"/>
        <w:rPr>
          <w:rFonts w:hAnsi="黑体" w:cs="宋体"/>
          <w:highlight w:val="none"/>
        </w:rPr>
      </w:pPr>
      <w:r>
        <w:rPr>
          <w:rFonts w:hint="eastAsia"/>
          <w:highlight w:val="none"/>
        </w:rPr>
        <w:t>冷链物流区建设</w:t>
      </w:r>
    </w:p>
    <w:p w14:paraId="694EF4F5">
      <w:pPr>
        <w:pStyle w:val="162"/>
        <w:rPr>
          <w:highlight w:val="none"/>
        </w:rPr>
      </w:pPr>
      <w:r>
        <w:rPr>
          <w:rFonts w:hint="eastAsia"/>
          <w:highlight w:val="none"/>
        </w:rPr>
        <w:t>仓储集散区规划和建设符合GB 31621、GB 31605、GB 51440规定的要求。</w:t>
      </w:r>
    </w:p>
    <w:p w14:paraId="1C41288D">
      <w:pPr>
        <w:pStyle w:val="162"/>
        <w:rPr>
          <w:highlight w:val="none"/>
        </w:rPr>
      </w:pPr>
      <w:r>
        <w:rPr>
          <w:rFonts w:hint="eastAsia"/>
          <w:highlight w:val="none"/>
        </w:rPr>
        <w:t>冷库功能区规划符合GB 50072规定的要求。冷库建设还需依据地方相关规定进行环境及安全评价，同时也要考虑货物运输等生产过程对周边产生的噪声影响。</w:t>
      </w:r>
    </w:p>
    <w:p w14:paraId="523D4FBE">
      <w:pPr>
        <w:pStyle w:val="162"/>
        <w:rPr>
          <w:highlight w:val="none"/>
        </w:rPr>
      </w:pPr>
      <w:r>
        <w:rPr>
          <w:rFonts w:hint="eastAsia"/>
          <w:highlight w:val="none"/>
        </w:rPr>
        <w:t>物流集散区宜设在交通方便且具备辐射能力的区域。根据园区企业的物流需求、产品流通规模，确定物流设施布局和建设规模，配备开展仓储、包装、运输、配送、贸易等活动的必要设施。</w:t>
      </w:r>
    </w:p>
    <w:p w14:paraId="400DF23F">
      <w:pPr>
        <w:pStyle w:val="162"/>
        <w:rPr>
          <w:highlight w:val="none"/>
        </w:rPr>
      </w:pPr>
      <w:r>
        <w:rPr>
          <w:rFonts w:hint="eastAsia"/>
          <w:highlight w:val="none"/>
        </w:rPr>
        <w:t>宜建设物流服务商务平台，与快递、物流企业实现数据联互通，实现全流程物流跟踪。有条件宜建设冷链物流的追溯管理平台，符合GB/T 28843规定的要求。</w:t>
      </w:r>
    </w:p>
    <w:p w14:paraId="44BD81B8">
      <w:pPr>
        <w:pStyle w:val="104"/>
        <w:spacing w:before="312" w:after="312"/>
        <w:rPr>
          <w:rFonts w:hAnsi="黑体" w:cs="宋体"/>
          <w:highlight w:val="none"/>
        </w:rPr>
      </w:pPr>
      <w:r>
        <w:rPr>
          <w:rFonts w:hint="eastAsia"/>
          <w:highlight w:val="none"/>
        </w:rPr>
        <w:t>文化体验区建设</w:t>
      </w:r>
    </w:p>
    <w:p w14:paraId="2CA7A4FF">
      <w:pPr>
        <w:pStyle w:val="162"/>
      </w:pPr>
      <w:r>
        <w:rPr>
          <w:rFonts w:hint="eastAsia"/>
        </w:rPr>
        <w:t>根据园区规模合理划分体验区域，配备金鲳鱼产品加工、开放式厨房体验所需的原料与辅料、设施设备、工作装备等。</w:t>
      </w:r>
    </w:p>
    <w:p w14:paraId="39FDAF62">
      <w:pPr>
        <w:pStyle w:val="162"/>
      </w:pPr>
      <w:r>
        <w:rPr>
          <w:rFonts w:hint="eastAsia"/>
        </w:rPr>
        <w:t>设置金鲳鱼及产品的展示区域。运用实物、文字、图片、视频、音频、动画等多种展览手段,展示相关的产品、历史、文化和生产工艺。</w:t>
      </w:r>
    </w:p>
    <w:p w14:paraId="0E15EF81">
      <w:pPr>
        <w:pStyle w:val="162"/>
      </w:pPr>
      <w:r>
        <w:rPr>
          <w:rFonts w:hint="eastAsia"/>
        </w:rPr>
        <w:t>设置产品销售体验区，以及电商直播区域、包装体验等。</w:t>
      </w:r>
    </w:p>
    <w:p w14:paraId="3C2AF4B7">
      <w:pPr>
        <w:pStyle w:val="162"/>
      </w:pPr>
      <w:r>
        <w:rPr>
          <w:rFonts w:hint="eastAsia"/>
        </w:rPr>
        <w:t>建立品牌服务中心，从品牌规划、设计、宣传、管理等为园区企业提供全过程服务。</w:t>
      </w:r>
    </w:p>
    <w:p w14:paraId="7DEB7639">
      <w:pPr>
        <w:pStyle w:val="104"/>
        <w:spacing w:before="312" w:after="312"/>
        <w:rPr>
          <w:rFonts w:hAnsi="黑体" w:cs="宋体"/>
        </w:rPr>
      </w:pPr>
      <w:r>
        <w:rPr>
          <w:rFonts w:hint="eastAsia"/>
        </w:rPr>
        <w:t>金融服务区</w:t>
      </w:r>
    </w:p>
    <w:p w14:paraId="10983DDD">
      <w:pPr>
        <w:pStyle w:val="162"/>
      </w:pPr>
      <w:r>
        <w:rPr>
          <w:rFonts w:hint="eastAsia"/>
        </w:rPr>
        <w:t>宜引进银行、保险、证券、财务、法律、咨询等机构，为园区企业提供一体化商务服务。</w:t>
      </w:r>
    </w:p>
    <w:p w14:paraId="751B7833">
      <w:pPr>
        <w:pStyle w:val="162"/>
      </w:pPr>
      <w:r>
        <w:rPr>
          <w:rFonts w:hint="eastAsia"/>
        </w:rPr>
        <w:t>覆盖普惠金融基础服务、普惠信贷、普惠保险、融资担保等事项，提供多元化的金融服务。</w:t>
      </w:r>
    </w:p>
    <w:bookmarkEnd w:id="22"/>
    <w:p w14:paraId="7770C5C6">
      <w:pPr>
        <w:pStyle w:val="56"/>
        <w:ind w:firstLine="0" w:firstLineChars="0"/>
        <w:jc w:val="center"/>
      </w:pPr>
      <w:bookmarkStart w:id="4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DC265">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6FA0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A58B4">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0AA9">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2614">
    <w:pPr>
      <w:pStyle w:val="52"/>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99248">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579B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BF89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D0B">
    <w:pPr>
      <w:pStyle w:val="61"/>
    </w:pPr>
    <w:r>
      <w:fldChar w:fldCharType="begin"/>
    </w:r>
    <w:r>
      <w:instrText xml:space="preserve"> STYLEREF  标准文件_文件编号  \* MERGEFORMAT </w:instrText>
    </w:r>
    <w:r>
      <w:fldChar w:fldCharType="separate"/>
    </w:r>
    <w:r>
      <w:t>DB 4404/T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5FB8">
    <w:pPr>
      <w:pStyle w:val="62"/>
    </w:pPr>
    <w:r>
      <w:fldChar w:fldCharType="begin"/>
    </w:r>
    <w:r>
      <w:instrText xml:space="preserve"> STYLEREF  标准文件_文件编号 \* MERGEFORMAT </w:instrText>
    </w:r>
    <w:r>
      <w:fldChar w:fldCharType="separate"/>
    </w:r>
    <w:r>
      <w:t>DB 4404/T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39F79">
    <w:pPr>
      <w:pStyle w:val="61"/>
    </w:pPr>
    <w:r>
      <w:fldChar w:fldCharType="begin"/>
    </w:r>
    <w:r>
      <w:instrText xml:space="preserve"> STYLEREF  标准文件_文件编号  \* MERGEFORMAT </w:instrText>
    </w:r>
    <w:r>
      <w:fldChar w:fldCharType="separate"/>
    </w:r>
    <w:r>
      <w:t>DB 4404/T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3895D">
    <w:pPr>
      <w:pStyle w:val="62"/>
    </w:pPr>
    <w:r>
      <w:fldChar w:fldCharType="begin"/>
    </w:r>
    <w:r>
      <w:instrText xml:space="preserve"> STYLEREF  标准文件_文件编号 \* MERGEFORMAT </w:instrText>
    </w:r>
    <w:r>
      <w:fldChar w:fldCharType="separate"/>
    </w:r>
    <w:r>
      <w:t>DB 4404/T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AES" w:cryptAlgorithmClass="hash" w:cryptAlgorithmType="typeAny" w:cryptAlgorithmSid="14" w:cryptSpinCount="100000" w:hash="rHXIwxyTBoKVpiF8WZer5bbTBLwwtaTYEcif4Yl6GbqwFnBttmdHZEYFmDiA3G1jsg28oReZFpwAf/NZHuhF3w==" w:salt="I4F+e9YuNNSbROTslx7oT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76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8E4"/>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85E"/>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61A"/>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F5C"/>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476D"/>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004"/>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3B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DFF"/>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E53"/>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E98"/>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F6A"/>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AED"/>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3A9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872"/>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8BF"/>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740CA3"/>
    <w:rsid w:val="20B82E6B"/>
    <w:rsid w:val="442F041A"/>
    <w:rsid w:val="47FA5757"/>
    <w:rsid w:val="482A5989"/>
    <w:rsid w:val="4D5A2018"/>
    <w:rsid w:val="578335A1"/>
    <w:rsid w:val="5B6C2124"/>
    <w:rsid w:val="758F784A"/>
    <w:rsid w:val="78823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95B5F20C54406FAEE79FEF7672C127"/>
        <w:style w:val=""/>
        <w:category>
          <w:name w:val="常规"/>
          <w:gallery w:val="placeholder"/>
        </w:category>
        <w:types>
          <w:type w:val="bbPlcHdr"/>
        </w:types>
        <w:behaviors>
          <w:behavior w:val="content"/>
        </w:behaviors>
        <w:description w:val=""/>
        <w:guid w:val="{E5FB3106-BF23-4BDE-89BF-DF122EEDE837}"/>
      </w:docPartPr>
      <w:docPartBody>
        <w:p w14:paraId="20104C80">
          <w:pPr>
            <w:pStyle w:val="5"/>
          </w:pPr>
          <w:r>
            <w:rPr>
              <w:rStyle w:val="4"/>
              <w:rFonts w:hint="eastAsia"/>
            </w:rPr>
            <w:t>单击或点击此处输入文字。</w:t>
          </w:r>
        </w:p>
      </w:docPartBody>
    </w:docPart>
    <w:docPart>
      <w:docPartPr>
        <w:name w:val="90AD25A2C05B4BB09E71951A2F4F0609"/>
        <w:style w:val=""/>
        <w:category>
          <w:name w:val="常规"/>
          <w:gallery w:val="placeholder"/>
        </w:category>
        <w:types>
          <w:type w:val="bbPlcHdr"/>
        </w:types>
        <w:behaviors>
          <w:behavior w:val="content"/>
        </w:behaviors>
        <w:description w:val=""/>
        <w:guid w:val="{B64E01B8-8CBC-4C80-8B5F-B009DF0E95B5}"/>
      </w:docPartPr>
      <w:docPartBody>
        <w:p w14:paraId="33855FE8">
          <w:pPr>
            <w:pStyle w:val="6"/>
          </w:pPr>
          <w:r>
            <w:rPr>
              <w:rStyle w:val="4"/>
              <w:rFonts w:hint="eastAsia"/>
            </w:rPr>
            <w:t>选择一项。</w:t>
          </w:r>
        </w:p>
      </w:docPartBody>
    </w:docPart>
    <w:docPart>
      <w:docPartPr>
        <w:name w:val="4B44B591AAB04341AA3D808426470F72"/>
        <w:style w:val=""/>
        <w:category>
          <w:name w:val="常规"/>
          <w:gallery w:val="placeholder"/>
        </w:category>
        <w:types>
          <w:type w:val="bbPlcHdr"/>
        </w:types>
        <w:behaviors>
          <w:behavior w:val="content"/>
        </w:behaviors>
        <w:description w:val=""/>
        <w:guid w:val="{7113599F-44BE-4B8A-9691-35B4E68C7540}"/>
      </w:docPartPr>
      <w:docPartBody>
        <w:p w14:paraId="6DF8CB7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74E"/>
    <w:rsid w:val="007903C2"/>
    <w:rsid w:val="00832960"/>
    <w:rsid w:val="00E97137"/>
    <w:rsid w:val="00F47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F95B5F20C54406FAEE79FEF7672C12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0AD25A2C05B4BB09E71951A2F4F06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B44B591AAB04341AA3D808426470F72"/>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B3AFDD-7CB5-4CFA-8032-FDCDB388FE3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3396</Words>
  <Characters>3875</Characters>
  <Lines>29</Lines>
  <Paragraphs>8</Paragraphs>
  <TotalTime>15</TotalTime>
  <ScaleCrop>false</ScaleCrop>
  <LinksUpToDate>false</LinksUpToDate>
  <CharactersWithSpaces>4037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2025-05-06T02:45:00Z</dcterms:created>
  <dc:creator>W X</dc:creator>
  <dc:description>&lt;config cover="true" show_menu="true" version="1.0.0" doctype="SDKXY"&gt;_x000d_
&lt;/config&gt;</dc:description>
  <cp:lastModifiedBy>珠海标准与编码</cp:lastModifiedBy>
  <cp:lastPrinted>2020-08-30T10:00:00Z</cp:lastPrinted>
  <dcterms:modified xsi:type="dcterms:W3CDTF">2025-05-07T09:01:43Z</dcterms:modified>
  <dc:title>地方标准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eyJoZGlkIjoiZmRmOWE5ZmNmZDc2ZDhlZWVmODA3ZDY4NWVlOTMzZTgiLCJ1c2VySWQiOiIzNTYxNDk4NDAifQ==</vt:lpwstr>
  </property>
  <property fmtid="{D5CDD505-2E9C-101B-9397-08002B2CF9AE}" pid="16" name="KSOProductBuildVer">
    <vt:lpwstr>2052-12.1.0.20784</vt:lpwstr>
  </property>
  <property fmtid="{D5CDD505-2E9C-101B-9397-08002B2CF9AE}" pid="17" name="ICV">
    <vt:lpwstr>FA76AF1E8FBF4E2BBFBF179954B28053_13</vt:lpwstr>
  </property>
</Properties>
</file>