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7367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94B3DC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68CEB9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14:paraId="23DA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91B16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BC1B44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04E6D3E">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SZNB</w:t>
                  </w:r>
                  <w:r>
                    <w:fldChar w:fldCharType="end"/>
                  </w:r>
                  <w:bookmarkEnd w:id="1"/>
                </w:p>
              </w:tc>
            </w:tr>
          </w:tbl>
          <w:p w14:paraId="712E9A1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14:paraId="1D7BADE2">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CCA86FA">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SZNB</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0A8F06C">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C1C43A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35BAD58">
      <w:pPr>
        <w:pStyle w:val="50"/>
        <w:framePr w:w="9639" w:h="6976" w:hRule="exact" w:hSpace="0" w:vSpace="0" w:wrap="around" w:hAnchor="page" w:y="6408"/>
        <w:jc w:val="center"/>
        <w:rPr>
          <w:rFonts w:hint="eastAsia" w:ascii="黑体" w:hAnsi="黑体" w:eastAsia="黑体"/>
          <w:b w:val="0"/>
          <w:bCs w:val="0"/>
          <w:w w:val="100"/>
        </w:rPr>
      </w:pPr>
    </w:p>
    <w:p w14:paraId="6F15B65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瘦肉型牛肉质量分级</w:t>
      </w:r>
      <w:r>
        <w:fldChar w:fldCharType="end"/>
      </w:r>
      <w:bookmarkEnd w:id="9"/>
    </w:p>
    <w:p w14:paraId="2F025D90">
      <w:pPr>
        <w:framePr w:w="9639" w:h="6974" w:hRule="exact" w:wrap="around" w:vAnchor="page" w:hAnchor="page" w:x="1419" w:y="6408" w:anchorLock="1"/>
        <w:ind w:left="-1418"/>
      </w:pPr>
    </w:p>
    <w:p w14:paraId="08CC2B5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Quality grading for lean-type beef</w:t>
      </w:r>
      <w:r>
        <w:rPr>
          <w:rFonts w:eastAsia="黑体"/>
          <w:szCs w:val="28"/>
        </w:rPr>
        <w:fldChar w:fldCharType="end"/>
      </w:r>
      <w:bookmarkEnd w:id="10"/>
    </w:p>
    <w:p w14:paraId="1BA67947">
      <w:pPr>
        <w:framePr w:w="9639" w:h="6974" w:hRule="exact" w:wrap="around" w:vAnchor="page" w:hAnchor="page" w:x="1419" w:y="6408" w:anchorLock="1"/>
        <w:spacing w:line="760" w:lineRule="exact"/>
        <w:ind w:left="-1418"/>
      </w:pPr>
    </w:p>
    <w:p w14:paraId="5C874AC5">
      <w:pPr>
        <w:pStyle w:val="125"/>
        <w:framePr w:w="9639" w:h="6974" w:hRule="exact" w:wrap="around" w:vAnchor="page" w:hAnchor="page" w:x="1419" w:y="6408" w:anchorLock="1"/>
        <w:textAlignment w:val="bottom"/>
        <w:rPr>
          <w:rFonts w:eastAsia="黑体"/>
          <w:szCs w:val="28"/>
        </w:rPr>
      </w:pPr>
    </w:p>
    <w:p w14:paraId="4D4C475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2591A3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505CE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90882A7">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68919C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4AE0032">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深圳市农业产业化龙头企业协会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24A340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82ED2F">
      <w:pPr>
        <w:pStyle w:val="91"/>
        <w:spacing w:after="360"/>
        <w:rPr>
          <w:rFonts w:hint="eastAsia"/>
        </w:rPr>
      </w:pPr>
      <w:bookmarkStart w:id="21" w:name="BookMark1"/>
      <w:bookmarkStart w:id="22" w:name="_Toc197888153"/>
      <w:bookmarkStart w:id="23" w:name="_Toc197855365"/>
      <w:bookmarkStart w:id="24" w:name="_Toc197861372"/>
      <w:bookmarkStart w:id="25" w:name="_Toc197867593"/>
      <w:bookmarkStart w:id="26" w:name="_Toc197857194"/>
      <w:r>
        <w:rPr>
          <w:rFonts w:hint="eastAsia"/>
          <w:spacing w:val="320"/>
        </w:rPr>
        <w:t>目</w:t>
      </w:r>
      <w:r>
        <w:rPr>
          <w:rFonts w:hint="eastAsia"/>
        </w:rPr>
        <w:t>次</w:t>
      </w:r>
    </w:p>
    <w:p w14:paraId="37CB5FE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"_Toc198892525"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_Toc198892525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102A363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"_Toc198892526"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_Toc198892526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E6EE9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"_Toc198892527"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_Toc198892527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FFBB1F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"_Toc198892528"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_Toc198892528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5E7ED8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"_Toc198892529" </w:instrText>
      </w:r>
      <w:r>
        <w:fldChar w:fldCharType="separate"/>
      </w:r>
      <w:r>
        <w:rPr>
          <w:rStyle w:val="32"/>
          <w:rFonts w:hint="eastAsia"/>
        </w:rPr>
        <w:t>4</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_Toc198892529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1D9064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"_Toc198892530" </w:instrText>
      </w:r>
      <w:r>
        <w:fldChar w:fldCharType="separate"/>
      </w:r>
      <w:r>
        <w:rPr>
          <w:rStyle w:val="32"/>
          <w:rFonts w:hint="eastAsia"/>
        </w:rPr>
        <w:t>5</w:t>
      </w:r>
      <w:r>
        <w:rPr>
          <w:rStyle w:val="32"/>
        </w:rPr>
        <w:t xml:space="preserve"> </w:t>
      </w:r>
      <w:r>
        <w:rPr>
          <w:rStyle w:val="32"/>
          <w:rFonts w:hint="eastAsia"/>
        </w:rPr>
        <w:t xml:space="preserve"> 评定方法</w:t>
      </w:r>
      <w:r>
        <w:rPr>
          <w:rFonts w:hint="eastAsia"/>
        </w:rPr>
        <w:tab/>
      </w:r>
      <w:r>
        <w:rPr>
          <w:rFonts w:hint="eastAsia"/>
        </w:rPr>
        <w:fldChar w:fldCharType="begin"/>
      </w:r>
      <w:r>
        <w:rPr>
          <w:rFonts w:hint="eastAsia"/>
        </w:rPr>
        <w:instrText xml:space="preserve"> </w:instrText>
      </w:r>
      <w:r>
        <w:instrText xml:space="preserve">PAGEREF _Toc198892530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47610B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"_Toc198892531" </w:instrText>
      </w:r>
      <w:r>
        <w:fldChar w:fldCharType="separate"/>
      </w:r>
      <w:r>
        <w:rPr>
          <w:rStyle w:val="32"/>
          <w:rFonts w:hint="eastAsia"/>
        </w:rPr>
        <w:t>6</w:t>
      </w:r>
      <w:r>
        <w:rPr>
          <w:rStyle w:val="32"/>
        </w:rPr>
        <w:t xml:space="preserve"> </w:t>
      </w:r>
      <w:r>
        <w:rPr>
          <w:rStyle w:val="32"/>
          <w:rFonts w:hint="eastAsia"/>
        </w:rPr>
        <w:t xml:space="preserve"> 测定方法</w:t>
      </w:r>
      <w:r>
        <w:rPr>
          <w:rFonts w:hint="eastAsia"/>
        </w:rPr>
        <w:tab/>
      </w:r>
      <w:r>
        <w:rPr>
          <w:rFonts w:hint="eastAsia"/>
        </w:rPr>
        <w:fldChar w:fldCharType="begin"/>
      </w:r>
      <w:r>
        <w:rPr>
          <w:rFonts w:hint="eastAsia"/>
        </w:rPr>
        <w:instrText xml:space="preserve"> </w:instrText>
      </w:r>
      <w:r>
        <w:instrText xml:space="preserve">PAGEREF _Toc198892531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70F0500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"_Toc198892532" </w:instrText>
      </w:r>
      <w:r>
        <w:fldChar w:fldCharType="separate"/>
      </w:r>
      <w:r>
        <w:rPr>
          <w:rStyle w:val="32"/>
          <w:rFonts w:hint="eastAsia"/>
        </w:rPr>
        <w:t>7</w:t>
      </w:r>
      <w:r>
        <w:rPr>
          <w:rStyle w:val="32"/>
        </w:rPr>
        <w:t xml:space="preserve"> </w:t>
      </w:r>
      <w:r>
        <w:rPr>
          <w:rStyle w:val="32"/>
          <w:rFonts w:hint="eastAsia"/>
        </w:rPr>
        <w:t xml:space="preserve"> 标识、包装、贮存和运输</w:t>
      </w:r>
      <w:r>
        <w:rPr>
          <w:rFonts w:hint="eastAsia"/>
        </w:rPr>
        <w:tab/>
      </w:r>
      <w:r>
        <w:rPr>
          <w:rFonts w:hint="eastAsia"/>
        </w:rPr>
        <w:fldChar w:fldCharType="begin"/>
      </w:r>
      <w:r>
        <w:rPr>
          <w:rFonts w:hint="eastAsia"/>
        </w:rPr>
        <w:instrText xml:space="preserve"> </w:instrText>
      </w:r>
      <w:r>
        <w:instrText xml:space="preserve">PAGEREF _Toc198892532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E3BD40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"_Toc198892533" </w:instrText>
      </w:r>
      <w:r>
        <w:fldChar w:fldCharType="separate"/>
      </w:r>
      <w:r>
        <w:rPr>
          <w:rStyle w:val="32"/>
          <w:rFonts w:hint="eastAsia"/>
        </w:rPr>
        <w:t>附录A（规范性）</w:t>
      </w:r>
      <w:r>
        <w:rPr>
          <w:rStyle w:val="32"/>
        </w:rPr>
        <w:t xml:space="preserve"> </w:t>
      </w:r>
      <w:r>
        <w:rPr>
          <w:rStyle w:val="32"/>
          <w:rFonts w:hint="eastAsia"/>
        </w:rPr>
        <w:t xml:space="preserve"> 具体指标评价部位和测试时间</w:t>
      </w:r>
      <w:r>
        <w:rPr>
          <w:rFonts w:hint="eastAsia"/>
        </w:rPr>
        <w:tab/>
      </w:r>
      <w:r>
        <w:rPr>
          <w:rFonts w:hint="eastAsia"/>
        </w:rPr>
        <w:fldChar w:fldCharType="begin"/>
      </w:r>
      <w:r>
        <w:rPr>
          <w:rFonts w:hint="eastAsia"/>
        </w:rPr>
        <w:instrText xml:space="preserve"> </w:instrText>
      </w:r>
      <w:r>
        <w:instrText xml:space="preserve">PAGEREF _Toc198892533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841A0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"_Toc198892534" </w:instrText>
      </w:r>
      <w:r>
        <w:fldChar w:fldCharType="separate"/>
      </w:r>
      <w:r>
        <w:rPr>
          <w:rStyle w:val="32"/>
          <w:rFonts w:hint="eastAsia"/>
        </w:rPr>
        <w:t>附录B（规范性）</w:t>
      </w:r>
      <w:r>
        <w:rPr>
          <w:rStyle w:val="32"/>
        </w:rPr>
        <w:t xml:space="preserve"> </w:t>
      </w:r>
      <w:r>
        <w:rPr>
          <w:rStyle w:val="32"/>
          <w:rFonts w:hint="eastAsia"/>
        </w:rPr>
        <w:t xml:space="preserve"> 肉色评级图谱</w:t>
      </w:r>
      <w:r>
        <w:rPr>
          <w:rFonts w:hint="eastAsia"/>
        </w:rPr>
        <w:tab/>
      </w:r>
      <w:r>
        <w:rPr>
          <w:rFonts w:hint="eastAsia"/>
        </w:rPr>
        <w:fldChar w:fldCharType="begin"/>
      </w:r>
      <w:r>
        <w:rPr>
          <w:rFonts w:hint="eastAsia"/>
        </w:rPr>
        <w:instrText xml:space="preserve"> </w:instrText>
      </w:r>
      <w:r>
        <w:instrText xml:space="preserve">PAGEREF _Toc198892534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8C2C2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"_Toc198892535" </w:instrText>
      </w:r>
      <w:r>
        <w:fldChar w:fldCharType="separate"/>
      </w:r>
      <w:r>
        <w:rPr>
          <w:rStyle w:val="32"/>
          <w:rFonts w:hint="eastAsia"/>
        </w:rPr>
        <w:t>附录C（规范性）</w:t>
      </w:r>
      <w:r>
        <w:rPr>
          <w:rStyle w:val="32"/>
        </w:rPr>
        <w:t xml:space="preserve"> </w:t>
      </w:r>
      <w:r>
        <w:rPr>
          <w:rStyle w:val="32"/>
          <w:rFonts w:hint="eastAsia"/>
        </w:rPr>
        <w:t xml:space="preserve"> 综合评定规则</w:t>
      </w:r>
      <w:r>
        <w:rPr>
          <w:rFonts w:hint="eastAsia"/>
        </w:rPr>
        <w:tab/>
      </w:r>
      <w:r>
        <w:rPr>
          <w:rFonts w:hint="eastAsia"/>
        </w:rPr>
        <w:fldChar w:fldCharType="begin"/>
      </w:r>
      <w:r>
        <w:rPr>
          <w:rFonts w:hint="eastAsia"/>
        </w:rPr>
        <w:instrText xml:space="preserve"> </w:instrText>
      </w:r>
      <w:r>
        <w:instrText xml:space="preserve">PAGEREF _Toc198892535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2A3BD3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"_Toc198892536" </w:instrText>
      </w:r>
      <w:r>
        <w:fldChar w:fldCharType="separate"/>
      </w:r>
      <w:r>
        <w:rPr>
          <w:rStyle w:val="32"/>
          <w:rFonts w:hint="eastAsia"/>
        </w:rPr>
        <w:t>附录D（规范性）</w:t>
      </w:r>
      <w:r>
        <w:rPr>
          <w:rStyle w:val="32"/>
        </w:rPr>
        <w:t xml:space="preserve"> </w:t>
      </w:r>
      <w:r>
        <w:rPr>
          <w:rStyle w:val="32"/>
          <w:rFonts w:hint="eastAsia"/>
        </w:rPr>
        <w:t xml:space="preserve"> 肌苷酸含量的测定</w:t>
      </w:r>
      <w:r>
        <w:rPr>
          <w:rFonts w:hint="eastAsia"/>
        </w:rPr>
        <w:tab/>
      </w:r>
      <w:r>
        <w:rPr>
          <w:rFonts w:hint="eastAsia"/>
        </w:rPr>
        <w:fldChar w:fldCharType="begin"/>
      </w:r>
      <w:r>
        <w:rPr>
          <w:rFonts w:hint="eastAsia"/>
        </w:rPr>
        <w:instrText xml:space="preserve"> </w:instrText>
      </w:r>
      <w:r>
        <w:instrText xml:space="preserve">PAGEREF _Toc198892536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7E9DB86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"_Toc198892537" </w:instrText>
      </w:r>
      <w:r>
        <w:fldChar w:fldCharType="separate"/>
      </w:r>
      <w:r>
        <w:rPr>
          <w:rStyle w:val="32"/>
          <w:rFonts w:hint="eastAsia"/>
        </w:rPr>
        <w:t>附录E（规范性）</w:t>
      </w:r>
      <w:r>
        <w:rPr>
          <w:rStyle w:val="32"/>
        </w:rPr>
        <w:t xml:space="preserve"> </w:t>
      </w:r>
      <w:r>
        <w:rPr>
          <w:rStyle w:val="32"/>
          <w:rFonts w:hint="eastAsia"/>
        </w:rPr>
        <w:t xml:space="preserve"> 瘦肉型牛肉综合等级标识</w:t>
      </w:r>
      <w:r>
        <w:rPr>
          <w:rFonts w:hint="eastAsia"/>
        </w:rPr>
        <w:tab/>
      </w:r>
      <w:r>
        <w:rPr>
          <w:rFonts w:hint="eastAsia"/>
        </w:rPr>
        <w:fldChar w:fldCharType="begin"/>
      </w:r>
      <w:r>
        <w:rPr>
          <w:rFonts w:hint="eastAsia"/>
        </w:rPr>
        <w:instrText xml:space="preserve"> </w:instrText>
      </w:r>
      <w:r>
        <w:instrText xml:space="preserve">PAGEREF _Toc198892537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23B8DD90">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3827BB34">
      <w:pPr>
        <w:pStyle w:val="89"/>
        <w:spacing w:before="560" w:after="360"/>
      </w:pPr>
      <w:bookmarkStart w:id="27" w:name="_Toc198892525"/>
      <w:bookmarkStart w:id="28" w:name="BookMark2"/>
      <w:r>
        <w:rPr>
          <w:rFonts w:hint="eastAsia"/>
          <w:spacing w:val="320"/>
        </w:rPr>
        <w:t>前</w:t>
      </w:r>
      <w:r>
        <w:rPr>
          <w:rFonts w:hint="eastAsia"/>
        </w:rPr>
        <w:t>言</w:t>
      </w:r>
      <w:bookmarkEnd w:id="22"/>
      <w:bookmarkEnd w:id="23"/>
      <w:bookmarkEnd w:id="24"/>
      <w:bookmarkEnd w:id="25"/>
      <w:bookmarkEnd w:id="26"/>
      <w:bookmarkEnd w:id="27"/>
    </w:p>
    <w:p w14:paraId="67458C3C">
      <w:pPr>
        <w:pStyle w:val="56"/>
        <w:ind w:firstLine="420"/>
      </w:pPr>
      <w:r>
        <w:rPr>
          <w:rFonts w:hint="eastAsia"/>
        </w:rPr>
        <w:t>本文件按照GB/T 1.1—2020《标准化工作导则  第1部分：标准化文件的结构和起草规则》的规定起草。</w:t>
      </w:r>
    </w:p>
    <w:p w14:paraId="7344E20C">
      <w:pPr>
        <w:pStyle w:val="56"/>
        <w:ind w:firstLine="420"/>
      </w:pPr>
      <w:r>
        <w:rPr>
          <w:rFonts w:hint="eastAsia"/>
        </w:rPr>
        <w:t>请注意本文件的某些内容可能涉及专利，本文件的发布机构不承担识别专利的责任。</w:t>
      </w:r>
    </w:p>
    <w:p w14:paraId="34A0E657">
      <w:pPr>
        <w:pStyle w:val="56"/>
        <w:ind w:firstLine="420"/>
      </w:pPr>
      <w:r>
        <w:rPr>
          <w:rFonts w:hint="eastAsia"/>
        </w:rPr>
        <w:t>本文件由××××提出、归口并实施。</w:t>
      </w:r>
    </w:p>
    <w:p w14:paraId="7CFEA643">
      <w:pPr>
        <w:pStyle w:val="56"/>
        <w:ind w:firstLine="420"/>
      </w:pPr>
      <w:r>
        <w:rPr>
          <w:rFonts w:hint="eastAsia"/>
        </w:rPr>
        <w:t>本文件起草单位：</w:t>
      </w:r>
    </w:p>
    <w:p w14:paraId="503D4BCE">
      <w:pPr>
        <w:pStyle w:val="56"/>
        <w:ind w:firstLine="420"/>
      </w:pPr>
      <w:r>
        <w:rPr>
          <w:rFonts w:hint="eastAsia"/>
        </w:rPr>
        <w:t>本文件主要起草人：</w:t>
      </w:r>
    </w:p>
    <w:p w14:paraId="5A91F43A">
      <w:pPr>
        <w:pStyle w:val="56"/>
        <w:ind w:firstLine="420"/>
      </w:pPr>
    </w:p>
    <w:p w14:paraId="2C533F78">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8"/>
    <w:p w14:paraId="10B6B5BD">
      <w:pPr>
        <w:spacing w:line="20" w:lineRule="exact"/>
        <w:jc w:val="center"/>
        <w:rPr>
          <w:rFonts w:hint="eastAsia" w:ascii="黑体" w:hAnsi="黑体" w:eastAsia="黑体"/>
          <w:sz w:val="32"/>
          <w:szCs w:val="32"/>
        </w:rPr>
      </w:pPr>
      <w:bookmarkStart w:id="29" w:name="BookMark4"/>
    </w:p>
    <w:p w14:paraId="4C66D0A7">
      <w:pPr>
        <w:spacing w:line="20" w:lineRule="exact"/>
        <w:jc w:val="center"/>
        <w:rPr>
          <w:rFonts w:hint="eastAsia" w:ascii="黑体" w:hAnsi="黑体" w:eastAsia="黑体"/>
          <w:sz w:val="32"/>
          <w:szCs w:val="32"/>
        </w:rPr>
      </w:pPr>
    </w:p>
    <w:sdt>
      <w:sdtPr>
        <w:tag w:val="NEW_STAND_NAME"/>
        <w:id w:val="595910757"/>
        <w:lock w:val="sdtLocked"/>
        <w:placeholder>
          <w:docPart w:val="AC2FE891478E40D4ABFF2B733F68EF7E"/>
        </w:placeholder>
      </w:sdtPr>
      <w:sdtContent>
        <w:p w14:paraId="1F5F6AF7">
          <w:pPr>
            <w:pStyle w:val="177"/>
            <w:spacing w:before="2" w:beforeLines="1" w:after="528" w:afterLines="220"/>
            <w:rPr>
              <w:rFonts w:hint="eastAsia"/>
            </w:rPr>
          </w:pPr>
          <w:bookmarkStart w:id="30" w:name="NEW_STAND_NAME"/>
          <w:r>
            <w:rPr>
              <w:rFonts w:hint="eastAsia"/>
            </w:rPr>
            <w:t>瘦肉型牛肉质量分级</w:t>
          </w:r>
        </w:p>
      </w:sdtContent>
    </w:sdt>
    <w:bookmarkEnd w:id="30"/>
    <w:p w14:paraId="2A974678">
      <w:pPr>
        <w:pStyle w:val="104"/>
        <w:spacing w:before="240" w:after="240"/>
      </w:pPr>
      <w:bookmarkStart w:id="31" w:name="_Toc26718930"/>
      <w:bookmarkStart w:id="32" w:name="_Toc17233325"/>
      <w:bookmarkStart w:id="33" w:name="_Toc197855280"/>
      <w:bookmarkStart w:id="34" w:name="_Toc197888154"/>
      <w:bookmarkStart w:id="35" w:name="_Toc198892526"/>
      <w:bookmarkStart w:id="36" w:name="_Toc26986530"/>
      <w:bookmarkStart w:id="37" w:name="_Toc197857195"/>
      <w:bookmarkStart w:id="38" w:name="_Toc197855366"/>
      <w:bookmarkStart w:id="39" w:name="_Toc197867594"/>
      <w:bookmarkStart w:id="40" w:name="_Toc26648465"/>
      <w:bookmarkStart w:id="41" w:name="_Toc97192964"/>
      <w:bookmarkStart w:id="42" w:name="_Toc24884211"/>
      <w:bookmarkStart w:id="43" w:name="_Toc26986771"/>
      <w:bookmarkStart w:id="44" w:name="_Toc197861373"/>
      <w:bookmarkStart w:id="45" w:name="_Toc17233333"/>
      <w:bookmarkStart w:id="46" w:name="_Toc24884218"/>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77410A">
      <w:pPr>
        <w:pStyle w:val="56"/>
        <w:ind w:firstLine="420"/>
      </w:pPr>
      <w:bookmarkStart w:id="47" w:name="_Toc24884219"/>
      <w:bookmarkStart w:id="48" w:name="_Toc17233326"/>
      <w:bookmarkStart w:id="49" w:name="_Toc17233334"/>
      <w:bookmarkStart w:id="50" w:name="_Toc24884212"/>
      <w:bookmarkStart w:id="51" w:name="_Toc26648466"/>
      <w:r>
        <w:rPr>
          <w:rFonts w:hint="eastAsia"/>
        </w:rPr>
        <w:t>本文件规定了瘦肉型牛肉质量分级的术语和定义、基本要求、评定方法、测试方法以及标识、包装、贮存和运输要求。</w:t>
      </w:r>
    </w:p>
    <w:p w14:paraId="6206CF22">
      <w:pPr>
        <w:pStyle w:val="56"/>
        <w:ind w:firstLine="420"/>
      </w:pPr>
      <w:r>
        <w:rPr>
          <w:rFonts w:hint="eastAsia"/>
        </w:rPr>
        <w:t>本文件适用于瘦肉型牛肉的质量分级。</w:t>
      </w:r>
    </w:p>
    <w:p w14:paraId="3A453587">
      <w:pPr>
        <w:pStyle w:val="104"/>
        <w:spacing w:before="240" w:after="240"/>
      </w:pPr>
      <w:bookmarkStart w:id="52" w:name="_Toc197855281"/>
      <w:bookmarkStart w:id="53" w:name="_Toc97192965"/>
      <w:bookmarkStart w:id="54" w:name="_Toc197861374"/>
      <w:bookmarkStart w:id="55" w:name="_Toc26986772"/>
      <w:bookmarkStart w:id="56" w:name="_Toc198892527"/>
      <w:bookmarkStart w:id="57" w:name="_Toc26718931"/>
      <w:bookmarkStart w:id="58" w:name="_Toc26986531"/>
      <w:bookmarkStart w:id="59" w:name="_Toc197888155"/>
      <w:bookmarkStart w:id="60" w:name="_Toc197857196"/>
      <w:bookmarkStart w:id="61" w:name="_Toc197855367"/>
      <w:bookmarkStart w:id="62" w:name="_Toc197867595"/>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AF52C161FEF849B787D281A76015EC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233E4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191983">
      <w:pPr>
        <w:pStyle w:val="56"/>
        <w:ind w:firstLine="420"/>
      </w:pPr>
      <w:r>
        <w:rPr>
          <w:rFonts w:hint="eastAsia"/>
        </w:rPr>
        <w:t>GB/T 19480 肉与肉制品术语</w:t>
      </w:r>
    </w:p>
    <w:p w14:paraId="40F489C3">
      <w:pPr>
        <w:pStyle w:val="56"/>
        <w:ind w:firstLine="420"/>
      </w:pPr>
      <w:r>
        <w:rPr>
          <w:rFonts w:hint="eastAsia"/>
        </w:rPr>
        <w:t>GB/T 27643 牛胴体及鲜肉分割</w:t>
      </w:r>
    </w:p>
    <w:p w14:paraId="0055C926">
      <w:pPr>
        <w:pStyle w:val="56"/>
        <w:ind w:firstLine="420"/>
      </w:pPr>
      <w:r>
        <w:rPr>
          <w:rFonts w:hint="eastAsia"/>
        </w:rPr>
        <w:t>GB/T 43838 肉牛生产性能测定技术规范</w:t>
      </w:r>
    </w:p>
    <w:p w14:paraId="483BFDE5">
      <w:pPr>
        <w:pStyle w:val="56"/>
        <w:ind w:firstLine="420"/>
      </w:pPr>
      <w:r>
        <w:rPr>
          <w:rFonts w:hint="eastAsia"/>
          <w:highlight w:val="yellow"/>
        </w:rPr>
        <w:t>T/SZNB XXXXX（优质牛肉生产技术规程）</w:t>
      </w:r>
    </w:p>
    <w:p w14:paraId="38EC1BB4">
      <w:pPr>
        <w:pStyle w:val="56"/>
        <w:ind w:firstLine="420"/>
      </w:pPr>
      <w:r>
        <w:rPr>
          <w:rFonts w:hint="eastAsia"/>
        </w:rPr>
        <w:t>GB 12694 食品安全国家标准 畜禽屠宰加工卫生规范</w:t>
      </w:r>
    </w:p>
    <w:p w14:paraId="54EFA91F">
      <w:pPr>
        <w:pStyle w:val="56"/>
        <w:ind w:firstLine="420"/>
      </w:pPr>
      <w:r>
        <w:rPr>
          <w:rFonts w:hint="eastAsia"/>
        </w:rPr>
        <w:t>GB 5009.5 食品安全国家标准 食品中蛋白质的测定</w:t>
      </w:r>
    </w:p>
    <w:p w14:paraId="0937F736">
      <w:pPr>
        <w:pStyle w:val="56"/>
        <w:ind w:firstLine="420"/>
      </w:pPr>
      <w:r>
        <w:rPr>
          <w:rFonts w:hint="eastAsia"/>
        </w:rPr>
        <w:t>GB 5009.268 食品安全国家标准 食品中多元素的测定</w:t>
      </w:r>
    </w:p>
    <w:p w14:paraId="43138A24">
      <w:pPr>
        <w:pStyle w:val="56"/>
        <w:ind w:firstLine="420"/>
      </w:pPr>
      <w:r>
        <w:rPr>
          <w:rFonts w:hint="eastAsia"/>
        </w:rPr>
        <w:t>GB 5009.14 食品安全国家标准 食品中锌的测定</w:t>
      </w:r>
    </w:p>
    <w:p w14:paraId="5FA75168">
      <w:pPr>
        <w:pStyle w:val="56"/>
        <w:ind w:firstLine="420"/>
      </w:pPr>
      <w:r>
        <w:rPr>
          <w:rFonts w:hint="eastAsia"/>
        </w:rPr>
        <w:t>GB 5009.90 食品安全国家标准 食品中铁的测定</w:t>
      </w:r>
    </w:p>
    <w:p w14:paraId="30EAE3D1">
      <w:pPr>
        <w:pStyle w:val="56"/>
        <w:ind w:firstLine="420"/>
      </w:pPr>
      <w:r>
        <w:rPr>
          <w:rFonts w:hint="eastAsia"/>
        </w:rPr>
        <w:t>GB 5009.93 食品安全国家标准 食品中硒的测定</w:t>
      </w:r>
    </w:p>
    <w:p w14:paraId="3E328505">
      <w:pPr>
        <w:pStyle w:val="56"/>
        <w:ind w:firstLine="420"/>
      </w:pPr>
      <w:r>
        <w:rPr>
          <w:rFonts w:hint="eastAsia"/>
        </w:rPr>
        <w:t>GB 5009.124 食品安全国家标准 食品中氨基酸的测定</w:t>
      </w:r>
    </w:p>
    <w:p w14:paraId="3325DE38">
      <w:pPr>
        <w:pStyle w:val="56"/>
        <w:ind w:firstLine="420"/>
      </w:pPr>
      <w:r>
        <w:rPr>
          <w:rFonts w:hint="eastAsia"/>
        </w:rPr>
        <w:t>GB 5009.168 食品安全国家标准 食品中脂肪酸的测定</w:t>
      </w:r>
    </w:p>
    <w:p w14:paraId="4ECAD62C">
      <w:pPr>
        <w:pStyle w:val="56"/>
        <w:ind w:firstLine="420"/>
      </w:pPr>
      <w:r>
        <w:rPr>
          <w:rFonts w:hint="eastAsia"/>
        </w:rPr>
        <w:t>NY/T 1180 肉嫩度的测定 剪切力测定法</w:t>
      </w:r>
    </w:p>
    <w:p w14:paraId="568728EE">
      <w:pPr>
        <w:pStyle w:val="56"/>
        <w:ind w:firstLine="420"/>
      </w:pPr>
      <w:r>
        <w:rPr>
          <w:rFonts w:hint="eastAsia"/>
        </w:rPr>
        <w:t>NY/T 3383 畜禽产品包装与标识</w:t>
      </w:r>
    </w:p>
    <w:p w14:paraId="1A3A0F3A">
      <w:pPr>
        <w:pStyle w:val="56"/>
        <w:ind w:firstLine="420"/>
      </w:pPr>
      <w:r>
        <w:rPr>
          <w:rFonts w:hint="eastAsia"/>
        </w:rPr>
        <w:t>GB/T 191 包装储运图示标志</w:t>
      </w:r>
    </w:p>
    <w:p w14:paraId="4066D29A">
      <w:pPr>
        <w:pStyle w:val="56"/>
        <w:ind w:firstLine="420"/>
      </w:pPr>
      <w:r>
        <w:rPr>
          <w:rFonts w:hint="eastAsia"/>
        </w:rPr>
        <w:t>GB 20799  食品安全国家标准 肉和肉制品经营卫生规范</w:t>
      </w:r>
    </w:p>
    <w:p w14:paraId="4BC1EA6E">
      <w:pPr>
        <w:pStyle w:val="56"/>
        <w:ind w:firstLine="420"/>
      </w:pPr>
      <w:r>
        <w:rPr>
          <w:rFonts w:hint="eastAsia"/>
        </w:rPr>
        <w:t>GB/T 6682 分析实验室用水规格和试验方法</w:t>
      </w:r>
    </w:p>
    <w:p w14:paraId="43AA3011">
      <w:pPr>
        <w:pStyle w:val="104"/>
        <w:spacing w:before="240" w:after="240"/>
      </w:pPr>
      <w:bookmarkStart w:id="63" w:name="_Toc197867596"/>
      <w:bookmarkStart w:id="64" w:name="_Toc197861375"/>
      <w:bookmarkStart w:id="65" w:name="_Toc197888156"/>
      <w:bookmarkStart w:id="66" w:name="_Toc97192966"/>
      <w:bookmarkStart w:id="67" w:name="_Toc197857197"/>
      <w:bookmarkStart w:id="68" w:name="_Toc198892528"/>
      <w:bookmarkStart w:id="69" w:name="_Toc197855282"/>
      <w:bookmarkStart w:id="70" w:name="_Toc197855368"/>
      <w:r>
        <w:rPr>
          <w:rFonts w:hint="eastAsia"/>
          <w:szCs w:val="21"/>
        </w:rPr>
        <w:t>术语和定义</w:t>
      </w:r>
      <w:bookmarkEnd w:id="63"/>
      <w:bookmarkEnd w:id="64"/>
      <w:bookmarkEnd w:id="65"/>
      <w:bookmarkEnd w:id="66"/>
      <w:bookmarkEnd w:id="67"/>
      <w:bookmarkEnd w:id="68"/>
      <w:bookmarkEnd w:id="69"/>
      <w:bookmarkEnd w:id="70"/>
    </w:p>
    <w:sdt>
      <w:sdtPr>
        <w:id w:val="-1909835108"/>
        <w:placeholder>
          <w:docPart w:val="443D717105FD4881B88A4FCEBCD734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02D902">
          <w:pPr>
            <w:pStyle w:val="56"/>
            <w:ind w:firstLine="420"/>
          </w:pPr>
          <w:bookmarkStart w:id="71" w:name="_Toc26986532"/>
          <w:bookmarkEnd w:id="71"/>
          <w:r>
            <w:rPr>
              <w:rFonts w:hint="eastAsia"/>
            </w:rPr>
            <w:t>GB/T 19480、GB/T 27643、GB/T 43838</w:t>
          </w:r>
          <w:r>
            <w:t>界定的以及下列术语和定义适用于本文件。</w:t>
          </w:r>
        </w:p>
      </w:sdtContent>
    </w:sdt>
    <w:p w14:paraId="4F4C23F4">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瘦肉型牛肉 lean-type beef</w:t>
      </w:r>
    </w:p>
    <w:p w14:paraId="370C15CB">
      <w:pPr>
        <w:pStyle w:val="56"/>
        <w:ind w:firstLine="420"/>
      </w:pPr>
      <w:r>
        <w:rPr>
          <w:rFonts w:hint="eastAsia"/>
        </w:rPr>
        <w:t>蛋白质含量高，肌间无明显脂肪沉积的牛肉。</w:t>
      </w:r>
    </w:p>
    <w:p w14:paraId="65ACD18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宰前活重 </w:t>
      </w:r>
      <w:r>
        <w:rPr>
          <w:rFonts w:ascii="黑体" w:hAnsi="黑体" w:eastAsia="黑体"/>
        </w:rPr>
        <w:t>slaughter weight</w:t>
      </w:r>
    </w:p>
    <w:p w14:paraId="31EF1E81">
      <w:pPr>
        <w:pStyle w:val="56"/>
        <w:ind w:firstLine="420"/>
      </w:pPr>
      <w:r>
        <w:rPr>
          <w:rFonts w:hint="eastAsia"/>
        </w:rPr>
        <w:t>待宰牛宰前禁食24小时、禁水3小时后的体重，单位为千克（kg）。</w:t>
      </w:r>
    </w:p>
    <w:p w14:paraId="3D721B5F">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胴体重 </w:t>
      </w:r>
      <w:r>
        <w:rPr>
          <w:rFonts w:ascii="黑体" w:hAnsi="黑体" w:eastAsia="黑体"/>
        </w:rPr>
        <w:t>carcass weight</w:t>
      </w:r>
    </w:p>
    <w:p w14:paraId="5D90E38D">
      <w:pPr>
        <w:pStyle w:val="56"/>
        <w:ind w:firstLine="420"/>
      </w:pPr>
      <w:r>
        <w:rPr>
          <w:rFonts w:hint="eastAsia"/>
        </w:rPr>
        <w:t>牛在经屠宰放血后，去除头、蹄、皮、尾、内脏和生殖器（母牛去除乳房）后的躯体部分重量，单位为千克（kg）。</w:t>
      </w:r>
    </w:p>
    <w:p w14:paraId="1A76827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屠宰率 dressing percentage</w:t>
      </w:r>
    </w:p>
    <w:p w14:paraId="4F782529">
      <w:pPr>
        <w:pStyle w:val="56"/>
        <w:ind w:firstLine="420"/>
      </w:pPr>
      <w:r>
        <w:rPr>
          <w:rFonts w:hint="eastAsia"/>
        </w:rPr>
        <w:t>胴体重占宰前活重的百分比。</w:t>
      </w:r>
    </w:p>
    <w:p w14:paraId="559D336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净肉重lean meat weight</w:t>
      </w:r>
    </w:p>
    <w:p w14:paraId="0B782B05">
      <w:pPr>
        <w:pStyle w:val="56"/>
        <w:ind w:firstLine="420"/>
      </w:pPr>
      <w:r>
        <w:rPr>
          <w:rFonts w:hint="eastAsia"/>
        </w:rPr>
        <w:t>胴体去骨后的全部肉重。</w:t>
      </w:r>
    </w:p>
    <w:p w14:paraId="4F36817E">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净肉率 </w:t>
      </w:r>
      <w:r>
        <w:rPr>
          <w:rFonts w:ascii="黑体" w:hAnsi="黑体" w:eastAsia="黑体"/>
        </w:rPr>
        <w:t>lean meat percentage</w:t>
      </w:r>
    </w:p>
    <w:p w14:paraId="79129251">
      <w:pPr>
        <w:pStyle w:val="56"/>
        <w:ind w:firstLine="420"/>
      </w:pPr>
      <w:r>
        <w:rPr>
          <w:rFonts w:hint="eastAsia"/>
        </w:rPr>
        <w:t>净肉重占宰前活重的百分比。</w:t>
      </w:r>
    </w:p>
    <w:p w14:paraId="58841B92">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肉色 meat color</w:t>
      </w:r>
    </w:p>
    <w:p w14:paraId="5F228A7A">
      <w:pPr>
        <w:pStyle w:val="56"/>
        <w:ind w:firstLine="420"/>
      </w:pPr>
      <w:r>
        <w:rPr>
          <w:rFonts w:hint="eastAsia"/>
        </w:rPr>
        <w:t>宰后规定时间内，眼肉中背最长肌横切面的颜色。</w:t>
      </w:r>
    </w:p>
    <w:p w14:paraId="4B274D60">
      <w:pPr>
        <w:pStyle w:val="104"/>
        <w:spacing w:before="240" w:after="240"/>
      </w:pPr>
      <w:bookmarkStart w:id="72" w:name="_Toc198892529"/>
      <w:bookmarkStart w:id="73" w:name="_Toc197861376"/>
      <w:bookmarkStart w:id="74" w:name="_Toc197888157"/>
      <w:bookmarkStart w:id="75" w:name="_Toc197857198"/>
      <w:bookmarkStart w:id="76" w:name="_Toc197867597"/>
      <w:r>
        <w:rPr>
          <w:rFonts w:hint="eastAsia"/>
        </w:rPr>
        <w:t>基本要求</w:t>
      </w:r>
      <w:bookmarkEnd w:id="72"/>
      <w:bookmarkEnd w:id="73"/>
      <w:bookmarkEnd w:id="74"/>
      <w:bookmarkEnd w:id="75"/>
      <w:bookmarkEnd w:id="76"/>
    </w:p>
    <w:p w14:paraId="3DD03AA9">
      <w:pPr>
        <w:pStyle w:val="105"/>
        <w:spacing w:before="120" w:after="120"/>
      </w:pPr>
      <w:r>
        <w:rPr>
          <w:rFonts w:hint="eastAsia"/>
        </w:rPr>
        <w:t>屠宰加工</w:t>
      </w:r>
    </w:p>
    <w:p w14:paraId="7867369D">
      <w:pPr>
        <w:pStyle w:val="56"/>
        <w:ind w:firstLine="420"/>
      </w:pPr>
      <w:r>
        <w:rPr>
          <w:rFonts w:hint="eastAsia"/>
        </w:rPr>
        <w:t>参照</w:t>
      </w:r>
      <w:r>
        <w:rPr>
          <w:rFonts w:hint="eastAsia"/>
          <w:highlight w:val="yellow"/>
        </w:rPr>
        <w:t>T/SZNB XXXXX（优质牛肉生产技术规程）</w:t>
      </w:r>
      <w:r>
        <w:rPr>
          <w:rFonts w:hint="eastAsia"/>
        </w:rPr>
        <w:t>的规定执行。</w:t>
      </w:r>
    </w:p>
    <w:p w14:paraId="2AA72158">
      <w:pPr>
        <w:pStyle w:val="105"/>
        <w:spacing w:before="120" w:after="120"/>
      </w:pPr>
      <w:r>
        <w:rPr>
          <w:rFonts w:hint="eastAsia"/>
        </w:rPr>
        <w:t>卫生要求</w:t>
      </w:r>
    </w:p>
    <w:p w14:paraId="68B6EDA1">
      <w:pPr>
        <w:pStyle w:val="56"/>
        <w:ind w:firstLine="420"/>
      </w:pPr>
      <w:r>
        <w:rPr>
          <w:rFonts w:hint="eastAsia"/>
        </w:rPr>
        <w:t>屠宰加工过程的卫生规范应符合GB 12694的规定。</w:t>
      </w:r>
    </w:p>
    <w:p w14:paraId="4CC73053">
      <w:pPr>
        <w:pStyle w:val="105"/>
        <w:spacing w:before="120" w:after="120"/>
      </w:pPr>
      <w:r>
        <w:rPr>
          <w:rFonts w:hint="eastAsia"/>
        </w:rPr>
        <w:t>月龄要求</w:t>
      </w:r>
    </w:p>
    <w:p w14:paraId="1095BD24">
      <w:pPr>
        <w:pStyle w:val="56"/>
        <w:ind w:firstLine="420"/>
      </w:pPr>
      <w:r>
        <w:rPr>
          <w:rFonts w:hint="eastAsia"/>
        </w:rPr>
        <w:t>屠宰的肉牛应≤36月龄。</w:t>
      </w:r>
    </w:p>
    <w:p w14:paraId="5B85D183">
      <w:pPr>
        <w:pStyle w:val="105"/>
        <w:spacing w:before="120" w:after="120"/>
      </w:pPr>
      <w:r>
        <w:rPr>
          <w:rFonts w:hint="eastAsia"/>
        </w:rPr>
        <w:t>安全指标</w:t>
      </w:r>
    </w:p>
    <w:p w14:paraId="37C37AB6">
      <w:pPr>
        <w:pStyle w:val="56"/>
        <w:ind w:firstLine="420"/>
      </w:pPr>
      <w:r>
        <w:rPr>
          <w:rFonts w:hint="eastAsia"/>
        </w:rPr>
        <w:t>安全指标应符合有关国家标准、法律法规的规定。</w:t>
      </w:r>
    </w:p>
    <w:p w14:paraId="61477613">
      <w:pPr>
        <w:pStyle w:val="104"/>
        <w:spacing w:before="240" w:after="240"/>
      </w:pPr>
      <w:bookmarkStart w:id="77" w:name="_Toc197888158"/>
      <w:bookmarkStart w:id="78" w:name="_Toc197857199"/>
      <w:bookmarkStart w:id="79" w:name="_Toc198892530"/>
      <w:bookmarkStart w:id="80" w:name="_Toc197867598"/>
      <w:bookmarkStart w:id="81" w:name="_Toc197861377"/>
      <w:r>
        <w:rPr>
          <w:rFonts w:hint="eastAsia"/>
        </w:rPr>
        <w:t>评定方法</w:t>
      </w:r>
      <w:bookmarkEnd w:id="77"/>
      <w:bookmarkEnd w:id="78"/>
      <w:bookmarkEnd w:id="79"/>
      <w:bookmarkEnd w:id="80"/>
      <w:bookmarkEnd w:id="81"/>
    </w:p>
    <w:p w14:paraId="0D89AE91">
      <w:pPr>
        <w:pStyle w:val="105"/>
        <w:spacing w:before="120" w:after="120"/>
      </w:pPr>
      <w:r>
        <w:rPr>
          <w:rFonts w:hint="eastAsia"/>
        </w:rPr>
        <w:t>评定方式</w:t>
      </w:r>
    </w:p>
    <w:p w14:paraId="75FAA738">
      <w:pPr>
        <w:pStyle w:val="56"/>
        <w:ind w:firstLine="420"/>
      </w:pPr>
      <w:r>
        <w:rPr>
          <w:rFonts w:hint="eastAsia"/>
        </w:rPr>
        <w:t>以肉牛屠宰分割后的鲜肉为评定对象，测定选定部位肉的核心指标和营养风味理化指标，对测定指标开展综合评定确定牛肉质量等级。</w:t>
      </w:r>
    </w:p>
    <w:p w14:paraId="2BEE188A">
      <w:pPr>
        <w:pStyle w:val="105"/>
        <w:spacing w:before="120" w:after="120"/>
      </w:pPr>
      <w:r>
        <w:rPr>
          <w:rFonts w:hint="eastAsia"/>
        </w:rPr>
        <w:t>评定部位和时间</w:t>
      </w:r>
    </w:p>
    <w:p w14:paraId="68303016">
      <w:pPr>
        <w:pStyle w:val="56"/>
        <w:ind w:firstLine="420"/>
      </w:pPr>
      <w:r>
        <w:rPr>
          <w:rFonts w:hint="eastAsia"/>
        </w:rPr>
        <w:t>肉色的评定选取眼肉中第6肋至第7肋间，或第12肋至第13肋间背最长肌横切面；营养风味理化指标的评定，根据中国消费者主流烹饪方式和饮食习惯，选取具有代表性且适用于炖、煮的腹肉和炒的大黄瓜条等主要部位肉。各指标具体评价部位和测试时间见附录A。</w:t>
      </w:r>
    </w:p>
    <w:p w14:paraId="1BB1A08C">
      <w:pPr>
        <w:pStyle w:val="105"/>
        <w:spacing w:before="120" w:after="120"/>
      </w:pPr>
      <w:r>
        <w:rPr>
          <w:rFonts w:hint="eastAsia"/>
        </w:rPr>
        <w:t>评定指标</w:t>
      </w:r>
    </w:p>
    <w:p w14:paraId="0868EB90">
      <w:pPr>
        <w:pStyle w:val="65"/>
        <w:spacing w:before="120" w:after="120"/>
      </w:pPr>
      <w:r>
        <w:rPr>
          <w:rFonts w:hint="eastAsia"/>
        </w:rPr>
        <w:t>核心指标</w:t>
      </w:r>
    </w:p>
    <w:p w14:paraId="3C21987A">
      <w:pPr>
        <w:pStyle w:val="56"/>
        <w:ind w:firstLine="420"/>
      </w:pPr>
      <w:r>
        <w:rPr>
          <w:rFonts w:hint="eastAsia"/>
        </w:rPr>
        <w:t>选定屠宰率、净肉率和肉色三个指标作为瘦肉型牛肉质量分级评价的核心指标。</w:t>
      </w:r>
    </w:p>
    <w:p w14:paraId="6FE35DC1">
      <w:pPr>
        <w:pStyle w:val="56"/>
        <w:ind w:firstLine="420"/>
      </w:pPr>
      <w:r>
        <w:rPr>
          <w:rFonts w:hint="eastAsia"/>
        </w:rPr>
        <w:t>核心指标评定对照附录C。</w:t>
      </w:r>
    </w:p>
    <w:p w14:paraId="0090A25D">
      <w:pPr>
        <w:pStyle w:val="65"/>
        <w:spacing w:before="120" w:after="120"/>
      </w:pPr>
      <w:r>
        <w:rPr>
          <w:rFonts w:hint="eastAsia"/>
        </w:rPr>
        <w:t>营养风味理化指标</w:t>
      </w:r>
    </w:p>
    <w:p w14:paraId="47B176F7">
      <w:pPr>
        <w:pStyle w:val="56"/>
        <w:ind w:firstLine="420"/>
      </w:pPr>
      <w:r>
        <w:rPr>
          <w:rFonts w:hint="eastAsia"/>
        </w:rPr>
        <w:t>选定锌、铁、硒等矿物质元素为基础指标；选定蛋白质、总氨基酸、必需氨基酸与非必需氨基酸比例、不饱和脂肪酸与饱和脂肪酸比例、n-6与n-3不饱和脂肪酸比例、嫩度、失水率、肌苷酸等为分级指标，指标评定对照附录C。</w:t>
      </w:r>
    </w:p>
    <w:p w14:paraId="7E2DCFDF">
      <w:pPr>
        <w:pStyle w:val="105"/>
        <w:spacing w:before="120" w:after="120"/>
      </w:pPr>
      <w:r>
        <w:rPr>
          <w:rFonts w:hint="eastAsia"/>
        </w:rPr>
        <w:t>综合评定</w:t>
      </w:r>
    </w:p>
    <w:p w14:paraId="3E8CAA21">
      <w:pPr>
        <w:pStyle w:val="56"/>
        <w:ind w:firstLine="420"/>
      </w:pPr>
      <w:r>
        <w:rPr>
          <w:rFonts w:hint="eastAsia"/>
        </w:rPr>
        <w:t>结合核心指标和营养风味理化指标测定结果进行综合评定，将瘦肉型牛肉的质量等级分为A+、A、B三个等级，评定规则对照附录C。其中，屠宰率、净肉率、肉色等核心指标必须同时符合相应等级要求，以三者最低等级确认。在此前提下，若腹肉、大黄瓜条部位肉营养风味理化指标中至少有1项符合核心指标对应的理化指标等级要求，则采用核心指标等级为牛肉综合评价等级；若均不符合要求的，应将其评为下一等级。</w:t>
      </w:r>
    </w:p>
    <w:p w14:paraId="3567813E">
      <w:pPr>
        <w:pStyle w:val="104"/>
        <w:spacing w:before="240" w:after="240"/>
      </w:pPr>
      <w:bookmarkStart w:id="82" w:name="_Toc198892531"/>
      <w:bookmarkStart w:id="83" w:name="_Toc197857200"/>
      <w:bookmarkStart w:id="84" w:name="_Toc197867599"/>
      <w:bookmarkStart w:id="85" w:name="_Toc197861378"/>
      <w:bookmarkStart w:id="86" w:name="_Toc197888159"/>
      <w:r>
        <w:rPr>
          <w:rFonts w:hint="eastAsia"/>
        </w:rPr>
        <w:t>测定方法</w:t>
      </w:r>
      <w:bookmarkEnd w:id="82"/>
      <w:bookmarkEnd w:id="83"/>
      <w:bookmarkEnd w:id="84"/>
      <w:bookmarkEnd w:id="85"/>
      <w:bookmarkEnd w:id="86"/>
    </w:p>
    <w:p w14:paraId="5ED5E56A">
      <w:pPr>
        <w:pStyle w:val="105"/>
        <w:spacing w:before="120" w:after="120"/>
      </w:pPr>
      <w:r>
        <w:rPr>
          <w:rFonts w:hint="eastAsia"/>
        </w:rPr>
        <w:t>屠宰率</w:t>
      </w:r>
    </w:p>
    <w:p w14:paraId="4ECEEEB2">
      <w:pPr>
        <w:pStyle w:val="56"/>
        <w:ind w:firstLine="420"/>
      </w:pPr>
      <w:r>
        <w:rPr>
          <w:rFonts w:hint="eastAsia"/>
        </w:rPr>
        <w:t>称重法。</w:t>
      </w:r>
    </w:p>
    <w:p w14:paraId="73A7FEAC">
      <w:pPr>
        <w:pStyle w:val="105"/>
        <w:spacing w:before="120" w:after="120"/>
      </w:pPr>
      <w:r>
        <w:rPr>
          <w:rFonts w:hint="eastAsia"/>
        </w:rPr>
        <w:t>净肉率</w:t>
      </w:r>
    </w:p>
    <w:p w14:paraId="0EE20ECA">
      <w:pPr>
        <w:pStyle w:val="56"/>
        <w:ind w:firstLine="420"/>
      </w:pPr>
      <w:r>
        <w:rPr>
          <w:rFonts w:hint="eastAsia"/>
        </w:rPr>
        <w:t>称重法。</w:t>
      </w:r>
    </w:p>
    <w:p w14:paraId="115E0A11">
      <w:pPr>
        <w:pStyle w:val="105"/>
        <w:spacing w:before="120" w:after="120"/>
      </w:pPr>
      <w:r>
        <w:rPr>
          <w:rFonts w:hint="eastAsia"/>
        </w:rPr>
        <w:t>肉色</w:t>
      </w:r>
    </w:p>
    <w:p w14:paraId="5FB4E7DE">
      <w:pPr>
        <w:pStyle w:val="56"/>
        <w:ind w:firstLine="420"/>
      </w:pPr>
      <w:r>
        <w:rPr>
          <w:rFonts w:hint="eastAsia"/>
        </w:rPr>
        <w:t>肉色评定时相应部位肉需经分割暴露于空气中30 min至2h，在660 lx光照条件下，对照附录B进行测试。</w:t>
      </w:r>
    </w:p>
    <w:p w14:paraId="3A302A9B">
      <w:pPr>
        <w:pStyle w:val="105"/>
        <w:spacing w:before="120" w:after="120"/>
      </w:pPr>
      <w:r>
        <w:rPr>
          <w:rFonts w:hint="eastAsia"/>
        </w:rPr>
        <w:t>蛋白质</w:t>
      </w:r>
    </w:p>
    <w:p w14:paraId="64DF58EB">
      <w:pPr>
        <w:pStyle w:val="56"/>
        <w:ind w:firstLine="420"/>
      </w:pPr>
      <w:r>
        <w:rPr>
          <w:rFonts w:hint="eastAsia"/>
        </w:rPr>
        <w:t>按照GB 5009.5的规定执行。</w:t>
      </w:r>
    </w:p>
    <w:p w14:paraId="67631CB0">
      <w:pPr>
        <w:pStyle w:val="105"/>
        <w:spacing w:before="120" w:after="120"/>
      </w:pPr>
      <w:r>
        <w:rPr>
          <w:rFonts w:hint="eastAsia"/>
        </w:rPr>
        <w:t>锌</w:t>
      </w:r>
    </w:p>
    <w:p w14:paraId="60508CAA">
      <w:pPr>
        <w:pStyle w:val="56"/>
        <w:ind w:firstLine="420"/>
      </w:pPr>
      <w:r>
        <w:rPr>
          <w:rFonts w:hint="eastAsia"/>
        </w:rPr>
        <w:t>按照</w:t>
      </w:r>
      <w:r>
        <w:t>GB 5009.268</w:t>
      </w:r>
      <w:r>
        <w:rPr>
          <w:rFonts w:hint="eastAsia"/>
        </w:rPr>
        <w:t>或GB 5009.14的规定执行。</w:t>
      </w:r>
    </w:p>
    <w:p w14:paraId="0D3131D9">
      <w:pPr>
        <w:pStyle w:val="105"/>
        <w:spacing w:before="120" w:after="120"/>
      </w:pPr>
      <w:r>
        <w:rPr>
          <w:rFonts w:hint="eastAsia"/>
        </w:rPr>
        <w:t>铁</w:t>
      </w:r>
    </w:p>
    <w:p w14:paraId="33520E60">
      <w:pPr>
        <w:pStyle w:val="56"/>
        <w:ind w:firstLine="420"/>
      </w:pPr>
      <w:r>
        <w:rPr>
          <w:rFonts w:hint="eastAsia"/>
        </w:rPr>
        <w:t>按照</w:t>
      </w:r>
      <w:r>
        <w:t>GB 5009.268</w:t>
      </w:r>
      <w:r>
        <w:rPr>
          <w:rFonts w:hint="eastAsia"/>
        </w:rPr>
        <w:t>或GB 5009.90的规定执行。</w:t>
      </w:r>
    </w:p>
    <w:p w14:paraId="6DFE49B8">
      <w:pPr>
        <w:pStyle w:val="105"/>
        <w:spacing w:before="120" w:after="120"/>
      </w:pPr>
      <w:r>
        <w:rPr>
          <w:rFonts w:hint="eastAsia"/>
        </w:rPr>
        <w:t>硒</w:t>
      </w:r>
    </w:p>
    <w:p w14:paraId="4F5F17AC">
      <w:pPr>
        <w:pStyle w:val="56"/>
        <w:ind w:firstLine="420"/>
      </w:pPr>
      <w:r>
        <w:rPr>
          <w:rFonts w:hint="eastAsia"/>
        </w:rPr>
        <w:t>按照</w:t>
      </w:r>
      <w:r>
        <w:t>GB 5009.268</w:t>
      </w:r>
      <w:r>
        <w:rPr>
          <w:rFonts w:hint="eastAsia"/>
        </w:rPr>
        <w:t>或GB 5009.93的规定执行。</w:t>
      </w:r>
    </w:p>
    <w:p w14:paraId="0E1BF6D5">
      <w:pPr>
        <w:pStyle w:val="105"/>
        <w:spacing w:before="120" w:after="120"/>
      </w:pPr>
      <w:r>
        <w:rPr>
          <w:rFonts w:hint="eastAsia"/>
        </w:rPr>
        <w:t>氨基酸</w:t>
      </w:r>
    </w:p>
    <w:p w14:paraId="61D8F895">
      <w:pPr>
        <w:pStyle w:val="56"/>
        <w:ind w:firstLine="420"/>
      </w:pPr>
      <w:r>
        <w:rPr>
          <w:rFonts w:hint="eastAsia"/>
        </w:rPr>
        <w:t>按照GB 5009.124的规定执行。</w:t>
      </w:r>
    </w:p>
    <w:p w14:paraId="5BC5569A">
      <w:pPr>
        <w:pStyle w:val="105"/>
        <w:spacing w:before="120" w:after="120"/>
      </w:pPr>
      <w:r>
        <w:rPr>
          <w:rFonts w:hint="eastAsia"/>
        </w:rPr>
        <w:t>脂肪酸</w:t>
      </w:r>
    </w:p>
    <w:p w14:paraId="3C98300E">
      <w:pPr>
        <w:pStyle w:val="56"/>
        <w:ind w:firstLine="420"/>
      </w:pPr>
      <w:r>
        <w:rPr>
          <w:rFonts w:hint="eastAsia"/>
        </w:rPr>
        <w:t>按照GB 5009.168的规定执行。</w:t>
      </w:r>
    </w:p>
    <w:p w14:paraId="35786852">
      <w:pPr>
        <w:pStyle w:val="105"/>
        <w:spacing w:before="120" w:after="120"/>
      </w:pPr>
      <w:r>
        <w:rPr>
          <w:rFonts w:hint="eastAsia"/>
        </w:rPr>
        <w:t>嫩度</w:t>
      </w:r>
    </w:p>
    <w:p w14:paraId="6746E675">
      <w:pPr>
        <w:pStyle w:val="56"/>
        <w:ind w:firstLine="420"/>
      </w:pPr>
      <w:r>
        <w:rPr>
          <w:rFonts w:hint="eastAsia"/>
        </w:rPr>
        <w:t>按照NY/T 1180的规定执行。</w:t>
      </w:r>
    </w:p>
    <w:p w14:paraId="2603FA16">
      <w:pPr>
        <w:pStyle w:val="105"/>
        <w:spacing w:before="120" w:after="120"/>
      </w:pPr>
      <w:r>
        <w:rPr>
          <w:rFonts w:hint="eastAsia"/>
        </w:rPr>
        <w:t>失水率</w:t>
      </w:r>
    </w:p>
    <w:p w14:paraId="019DE0D5">
      <w:pPr>
        <w:pStyle w:val="56"/>
        <w:ind w:firstLine="420"/>
      </w:pPr>
      <w:r>
        <w:rPr>
          <w:rFonts w:hint="eastAsia"/>
        </w:rPr>
        <w:t>按照GB/T 43838的规定执行。</w:t>
      </w:r>
    </w:p>
    <w:p w14:paraId="20C6FFC2">
      <w:pPr>
        <w:pStyle w:val="105"/>
        <w:spacing w:before="120" w:after="120"/>
      </w:pPr>
      <w:r>
        <w:rPr>
          <w:rFonts w:hint="eastAsia"/>
        </w:rPr>
        <w:t>肌苷酸</w:t>
      </w:r>
    </w:p>
    <w:p w14:paraId="0D4E67AF">
      <w:pPr>
        <w:pStyle w:val="56"/>
        <w:ind w:firstLine="420"/>
      </w:pPr>
      <w:r>
        <w:rPr>
          <w:rFonts w:hint="eastAsia"/>
        </w:rPr>
        <w:t>按照附录D的规定执行。</w:t>
      </w:r>
    </w:p>
    <w:p w14:paraId="13EC5804">
      <w:pPr>
        <w:pStyle w:val="104"/>
        <w:spacing w:before="240" w:after="240"/>
      </w:pPr>
      <w:bookmarkStart w:id="87" w:name="_Toc197867600"/>
      <w:bookmarkStart w:id="88" w:name="_Toc197857201"/>
      <w:bookmarkStart w:id="89" w:name="_Toc198892532"/>
      <w:bookmarkStart w:id="90" w:name="_Toc197861379"/>
      <w:bookmarkStart w:id="91" w:name="_Toc197888160"/>
      <w:r>
        <w:rPr>
          <w:rFonts w:hint="eastAsia"/>
        </w:rPr>
        <w:t>标识、包装、贮存和运输</w:t>
      </w:r>
      <w:bookmarkEnd w:id="87"/>
      <w:bookmarkEnd w:id="88"/>
      <w:bookmarkEnd w:id="89"/>
      <w:bookmarkEnd w:id="90"/>
      <w:bookmarkEnd w:id="91"/>
    </w:p>
    <w:p w14:paraId="6CF94C75">
      <w:pPr>
        <w:pStyle w:val="105"/>
        <w:spacing w:before="120" w:after="120"/>
      </w:pPr>
      <w:r>
        <w:rPr>
          <w:rFonts w:hint="eastAsia"/>
        </w:rPr>
        <w:t>标识</w:t>
      </w:r>
    </w:p>
    <w:p w14:paraId="32F71323">
      <w:pPr>
        <w:pStyle w:val="165"/>
      </w:pPr>
      <w:r>
        <w:rPr>
          <w:rFonts w:hint="eastAsia"/>
        </w:rPr>
        <w:t>符合本文件综合评定结果的瘦肉型肉牛，其任何部位分割肉均可在包装上标识相应的等级标识，具体标识见附录E。</w:t>
      </w:r>
    </w:p>
    <w:p w14:paraId="4BA5F3DD">
      <w:pPr>
        <w:pStyle w:val="165"/>
      </w:pPr>
      <w:r>
        <w:rPr>
          <w:rFonts w:hint="eastAsia"/>
        </w:rPr>
        <w:t>等级标识的规格为长3.5cm、高2.5cm的椭圆形，椭圆形内居中标注等级（如“A+级”）。</w:t>
      </w:r>
    </w:p>
    <w:p w14:paraId="3889506F">
      <w:pPr>
        <w:pStyle w:val="165"/>
      </w:pPr>
      <w:r>
        <w:rPr>
          <w:rFonts w:hint="eastAsia"/>
        </w:rPr>
        <w:t>贮运过程不得造成等级标识损坏或丢失。</w:t>
      </w:r>
    </w:p>
    <w:p w14:paraId="06DF826D">
      <w:pPr>
        <w:pStyle w:val="105"/>
        <w:spacing w:before="120" w:after="120"/>
      </w:pPr>
      <w:r>
        <w:rPr>
          <w:rFonts w:hint="eastAsia"/>
        </w:rPr>
        <w:t>包装、贮存和运输</w:t>
      </w:r>
    </w:p>
    <w:p w14:paraId="479B49BE">
      <w:pPr>
        <w:pStyle w:val="165"/>
      </w:pPr>
      <w:r>
        <w:rPr>
          <w:rFonts w:hint="eastAsia"/>
        </w:rPr>
        <w:t>包装和标签应符合NY/T 3383的规定，运输包装应符合GB/T 191的规定。</w:t>
      </w:r>
    </w:p>
    <w:p w14:paraId="2B68D611">
      <w:pPr>
        <w:pStyle w:val="165"/>
      </w:pPr>
      <w:r>
        <w:rPr>
          <w:rFonts w:hint="eastAsia"/>
        </w:rPr>
        <w:t>贮存和运输应符合GB 20799的规定。</w:t>
      </w:r>
    </w:p>
    <w:p w14:paraId="6FE90E0F">
      <w:pPr>
        <w:pStyle w:val="165"/>
        <w:sectPr>
          <w:pgSz w:w="11906" w:h="16838"/>
          <w:pgMar w:top="1928" w:right="1134" w:bottom="1134" w:left="1134" w:header="1418" w:footer="1134" w:gutter="284"/>
          <w:pgNumType w:start="1"/>
          <w:cols w:space="425" w:num="1"/>
          <w:formProt w:val="0"/>
          <w:docGrid w:linePitch="312" w:charSpace="0"/>
        </w:sectPr>
      </w:pPr>
    </w:p>
    <w:bookmarkEnd w:id="29"/>
    <w:p w14:paraId="5ACD4504">
      <w:pPr>
        <w:pStyle w:val="198"/>
        <w:rPr>
          <w:rFonts w:hint="eastAsia"/>
          <w:vanish w:val="0"/>
        </w:rPr>
      </w:pPr>
      <w:bookmarkStart w:id="92" w:name="BookMark5"/>
    </w:p>
    <w:p w14:paraId="0FDD9621">
      <w:pPr>
        <w:pStyle w:val="199"/>
        <w:rPr>
          <w:vanish w:val="0"/>
        </w:rPr>
      </w:pPr>
    </w:p>
    <w:p w14:paraId="42D52423">
      <w:pPr>
        <w:pStyle w:val="76"/>
        <w:spacing w:after="120"/>
      </w:pPr>
      <w:r>
        <w:br w:type="textWrapping"/>
      </w:r>
      <w:bookmarkStart w:id="93" w:name="_Toc198892533"/>
      <w:bookmarkStart w:id="94" w:name="_Toc197867601"/>
      <w:bookmarkStart w:id="95" w:name="_Toc197888161"/>
      <w:bookmarkStart w:id="96" w:name="_Toc197861380"/>
      <w:r>
        <w:rPr>
          <w:rFonts w:hint="eastAsia"/>
        </w:rPr>
        <w:t>（规范性）</w:t>
      </w:r>
      <w:r>
        <w:br w:type="textWrapping"/>
      </w:r>
      <w:r>
        <w:rPr>
          <w:rFonts w:hint="eastAsia"/>
        </w:rPr>
        <w:t>具体指标评价部位和测试时间</w:t>
      </w:r>
      <w:bookmarkEnd w:id="93"/>
      <w:bookmarkEnd w:id="94"/>
      <w:bookmarkEnd w:id="95"/>
      <w:bookmarkEnd w:id="96"/>
    </w:p>
    <w:p w14:paraId="05D83CBE">
      <w:pPr>
        <w:pStyle w:val="56"/>
        <w:ind w:firstLine="420"/>
      </w:pPr>
      <w:r>
        <w:rPr>
          <w:rFonts w:hint="eastAsia"/>
        </w:rPr>
        <w:t>表A.1是各项核心指标和营养风味理化指标的评价部位和测试时间。</w:t>
      </w:r>
    </w:p>
    <w:p w14:paraId="539EF953">
      <w:pPr>
        <w:pStyle w:val="77"/>
        <w:spacing w:before="120" w:after="120"/>
      </w:pPr>
      <w:r>
        <w:rPr>
          <w:rFonts w:hint="eastAsia"/>
        </w:rPr>
        <w:t>评价部位和时间</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843"/>
        <w:gridCol w:w="2917"/>
        <w:gridCol w:w="1869"/>
        <w:gridCol w:w="1869"/>
      </w:tblGrid>
      <w:tr w14:paraId="52EB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4CFB6C1">
            <w:pPr>
              <w:pStyle w:val="56"/>
              <w:ind w:firstLine="0" w:firstLineChars="0"/>
              <w:jc w:val="center"/>
              <w:rPr>
                <w:rFonts w:hint="eastAsia" w:hAnsi="宋体"/>
              </w:rPr>
            </w:pPr>
            <w:r>
              <w:rPr>
                <w:rFonts w:hAnsi="宋体"/>
              </w:rPr>
              <w:t>序号</w:t>
            </w:r>
          </w:p>
        </w:tc>
        <w:tc>
          <w:tcPr>
            <w:tcW w:w="1843" w:type="dxa"/>
            <w:vAlign w:val="center"/>
          </w:tcPr>
          <w:p w14:paraId="7FA2B62B">
            <w:pPr>
              <w:pStyle w:val="56"/>
              <w:ind w:firstLine="0" w:firstLineChars="0"/>
              <w:jc w:val="center"/>
              <w:rPr>
                <w:rFonts w:hint="eastAsia" w:hAnsi="宋体"/>
              </w:rPr>
            </w:pPr>
            <w:r>
              <w:rPr>
                <w:rFonts w:hAnsi="宋体"/>
              </w:rPr>
              <w:t>指标类型</w:t>
            </w:r>
          </w:p>
        </w:tc>
        <w:tc>
          <w:tcPr>
            <w:tcW w:w="2917" w:type="dxa"/>
            <w:vAlign w:val="center"/>
          </w:tcPr>
          <w:p w14:paraId="20338855">
            <w:pPr>
              <w:pStyle w:val="56"/>
              <w:ind w:firstLine="0" w:firstLineChars="0"/>
              <w:jc w:val="center"/>
              <w:rPr>
                <w:rFonts w:hint="eastAsia" w:hAnsi="宋体"/>
              </w:rPr>
            </w:pPr>
            <w:r>
              <w:rPr>
                <w:rFonts w:hAnsi="宋体"/>
              </w:rPr>
              <w:t>指标名称</w:t>
            </w:r>
          </w:p>
        </w:tc>
        <w:tc>
          <w:tcPr>
            <w:tcW w:w="1869" w:type="dxa"/>
            <w:vAlign w:val="center"/>
          </w:tcPr>
          <w:p w14:paraId="7401F054">
            <w:pPr>
              <w:pStyle w:val="56"/>
              <w:ind w:firstLine="0" w:firstLineChars="0"/>
              <w:jc w:val="center"/>
              <w:rPr>
                <w:rFonts w:hint="eastAsia" w:hAnsi="宋体"/>
              </w:rPr>
            </w:pPr>
            <w:r>
              <w:rPr>
                <w:rFonts w:hAnsi="宋体"/>
              </w:rPr>
              <w:t>测定部位</w:t>
            </w:r>
          </w:p>
        </w:tc>
        <w:tc>
          <w:tcPr>
            <w:tcW w:w="1869" w:type="dxa"/>
            <w:vAlign w:val="center"/>
          </w:tcPr>
          <w:p w14:paraId="096DC35A">
            <w:pPr>
              <w:pStyle w:val="56"/>
              <w:ind w:firstLine="0" w:firstLineChars="0"/>
              <w:jc w:val="center"/>
              <w:rPr>
                <w:rFonts w:hint="eastAsia" w:hAnsi="宋体"/>
              </w:rPr>
            </w:pPr>
            <w:r>
              <w:rPr>
                <w:rFonts w:hint="eastAsia" w:hAnsi="宋体"/>
              </w:rPr>
              <w:t>测试</w:t>
            </w:r>
            <w:r>
              <w:rPr>
                <w:rFonts w:hAnsi="宋体"/>
              </w:rPr>
              <w:t>时间</w:t>
            </w:r>
          </w:p>
        </w:tc>
      </w:tr>
      <w:tr w14:paraId="18AC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1A88E01">
            <w:pPr>
              <w:pStyle w:val="56"/>
              <w:ind w:firstLine="0" w:firstLineChars="0"/>
              <w:jc w:val="center"/>
              <w:rPr>
                <w:rFonts w:hint="eastAsia" w:hAnsi="宋体"/>
              </w:rPr>
            </w:pPr>
            <w:r>
              <w:rPr>
                <w:rFonts w:hAnsi="宋体"/>
              </w:rPr>
              <w:t>1</w:t>
            </w:r>
          </w:p>
        </w:tc>
        <w:tc>
          <w:tcPr>
            <w:tcW w:w="1843" w:type="dxa"/>
            <w:vMerge w:val="restart"/>
            <w:vAlign w:val="center"/>
          </w:tcPr>
          <w:p w14:paraId="7A5C97D9">
            <w:pPr>
              <w:pStyle w:val="56"/>
              <w:ind w:firstLine="0" w:firstLineChars="0"/>
              <w:jc w:val="center"/>
              <w:rPr>
                <w:rFonts w:hint="eastAsia" w:hAnsi="宋体"/>
              </w:rPr>
            </w:pPr>
            <w:r>
              <w:rPr>
                <w:rFonts w:hAnsi="宋体"/>
              </w:rPr>
              <w:t>核心指标</w:t>
            </w:r>
          </w:p>
        </w:tc>
        <w:tc>
          <w:tcPr>
            <w:tcW w:w="2917" w:type="dxa"/>
          </w:tcPr>
          <w:p w14:paraId="4D3A57B8">
            <w:pPr>
              <w:pStyle w:val="56"/>
              <w:ind w:firstLine="0" w:firstLineChars="0"/>
              <w:jc w:val="center"/>
              <w:rPr>
                <w:rFonts w:hint="eastAsia" w:hAnsi="宋体"/>
              </w:rPr>
            </w:pPr>
            <w:r>
              <w:rPr>
                <w:rFonts w:hAnsi="宋体"/>
              </w:rPr>
              <w:t>屠宰率</w:t>
            </w:r>
          </w:p>
        </w:tc>
        <w:tc>
          <w:tcPr>
            <w:tcW w:w="1869" w:type="dxa"/>
          </w:tcPr>
          <w:p w14:paraId="5243F94C">
            <w:pPr>
              <w:pStyle w:val="56"/>
              <w:ind w:firstLine="0" w:firstLineChars="0"/>
              <w:jc w:val="center"/>
              <w:rPr>
                <w:rFonts w:hint="eastAsia" w:hAnsi="宋体"/>
              </w:rPr>
            </w:pPr>
            <w:r>
              <w:rPr>
                <w:rFonts w:hAnsi="宋体"/>
              </w:rPr>
              <w:t>/</w:t>
            </w:r>
          </w:p>
        </w:tc>
        <w:tc>
          <w:tcPr>
            <w:tcW w:w="1869" w:type="dxa"/>
          </w:tcPr>
          <w:p w14:paraId="14BFAF14">
            <w:pPr>
              <w:pStyle w:val="56"/>
              <w:ind w:firstLine="0" w:firstLineChars="0"/>
              <w:jc w:val="center"/>
              <w:rPr>
                <w:rFonts w:hint="eastAsia" w:hAnsi="宋体"/>
              </w:rPr>
            </w:pPr>
            <w:r>
              <w:rPr>
                <w:rFonts w:hAnsi="宋体"/>
              </w:rPr>
              <w:t>宰后1h内</w:t>
            </w:r>
          </w:p>
        </w:tc>
      </w:tr>
      <w:tr w14:paraId="2879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782F317">
            <w:pPr>
              <w:pStyle w:val="56"/>
              <w:ind w:firstLine="0" w:firstLineChars="0"/>
              <w:jc w:val="center"/>
              <w:rPr>
                <w:rFonts w:hint="eastAsia" w:hAnsi="宋体"/>
              </w:rPr>
            </w:pPr>
            <w:r>
              <w:rPr>
                <w:rFonts w:hAnsi="宋体"/>
              </w:rPr>
              <w:t>2</w:t>
            </w:r>
          </w:p>
        </w:tc>
        <w:tc>
          <w:tcPr>
            <w:tcW w:w="1843" w:type="dxa"/>
            <w:vMerge w:val="continue"/>
            <w:vAlign w:val="center"/>
          </w:tcPr>
          <w:p w14:paraId="65B476B8">
            <w:pPr>
              <w:pStyle w:val="56"/>
              <w:ind w:firstLine="0" w:firstLineChars="0"/>
              <w:jc w:val="center"/>
              <w:rPr>
                <w:rFonts w:hint="eastAsia" w:hAnsi="宋体"/>
              </w:rPr>
            </w:pPr>
          </w:p>
        </w:tc>
        <w:tc>
          <w:tcPr>
            <w:tcW w:w="2917" w:type="dxa"/>
          </w:tcPr>
          <w:p w14:paraId="573B67FB">
            <w:pPr>
              <w:pStyle w:val="56"/>
              <w:ind w:firstLine="0" w:firstLineChars="0"/>
              <w:jc w:val="center"/>
              <w:rPr>
                <w:rFonts w:hint="eastAsia" w:hAnsi="宋体"/>
              </w:rPr>
            </w:pPr>
            <w:r>
              <w:rPr>
                <w:rFonts w:hAnsi="宋体"/>
              </w:rPr>
              <w:t>净肉率</w:t>
            </w:r>
          </w:p>
        </w:tc>
        <w:tc>
          <w:tcPr>
            <w:tcW w:w="1869" w:type="dxa"/>
          </w:tcPr>
          <w:p w14:paraId="1D10DAAF">
            <w:pPr>
              <w:pStyle w:val="56"/>
              <w:ind w:firstLine="0" w:firstLineChars="0"/>
              <w:jc w:val="center"/>
              <w:rPr>
                <w:rFonts w:hint="eastAsia" w:hAnsi="宋体"/>
              </w:rPr>
            </w:pPr>
            <w:r>
              <w:rPr>
                <w:rFonts w:hAnsi="宋体"/>
              </w:rPr>
              <w:t>/</w:t>
            </w:r>
          </w:p>
        </w:tc>
        <w:tc>
          <w:tcPr>
            <w:tcW w:w="1869" w:type="dxa"/>
          </w:tcPr>
          <w:p w14:paraId="2AA21E87">
            <w:pPr>
              <w:pStyle w:val="56"/>
              <w:ind w:firstLine="0" w:firstLineChars="0"/>
              <w:jc w:val="center"/>
              <w:rPr>
                <w:rFonts w:hint="eastAsia" w:hAnsi="宋体"/>
              </w:rPr>
            </w:pPr>
            <w:r>
              <w:rPr>
                <w:rFonts w:hAnsi="宋体"/>
              </w:rPr>
              <w:t>宰后1h内</w:t>
            </w:r>
          </w:p>
        </w:tc>
      </w:tr>
      <w:tr w14:paraId="6EE4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7D1A1D8">
            <w:pPr>
              <w:pStyle w:val="56"/>
              <w:ind w:firstLine="0" w:firstLineChars="0"/>
              <w:jc w:val="center"/>
              <w:rPr>
                <w:rFonts w:hint="eastAsia" w:hAnsi="宋体"/>
              </w:rPr>
            </w:pPr>
            <w:r>
              <w:rPr>
                <w:rFonts w:hAnsi="宋体"/>
              </w:rPr>
              <w:t>3</w:t>
            </w:r>
          </w:p>
        </w:tc>
        <w:tc>
          <w:tcPr>
            <w:tcW w:w="1843" w:type="dxa"/>
            <w:vMerge w:val="continue"/>
            <w:vAlign w:val="center"/>
          </w:tcPr>
          <w:p w14:paraId="703ACD6F">
            <w:pPr>
              <w:pStyle w:val="56"/>
              <w:ind w:firstLine="0" w:firstLineChars="0"/>
              <w:jc w:val="center"/>
              <w:rPr>
                <w:rFonts w:hint="eastAsia" w:hAnsi="宋体"/>
              </w:rPr>
            </w:pPr>
          </w:p>
        </w:tc>
        <w:tc>
          <w:tcPr>
            <w:tcW w:w="2917" w:type="dxa"/>
          </w:tcPr>
          <w:p w14:paraId="1AE7FFBB">
            <w:pPr>
              <w:pStyle w:val="56"/>
              <w:ind w:firstLine="0" w:firstLineChars="0"/>
              <w:jc w:val="center"/>
              <w:rPr>
                <w:rFonts w:hint="eastAsia" w:hAnsi="宋体"/>
              </w:rPr>
            </w:pPr>
            <w:r>
              <w:rPr>
                <w:rFonts w:hAnsi="宋体"/>
              </w:rPr>
              <w:t>肉色</w:t>
            </w:r>
          </w:p>
        </w:tc>
        <w:tc>
          <w:tcPr>
            <w:tcW w:w="1869" w:type="dxa"/>
          </w:tcPr>
          <w:p w14:paraId="514A6BB2">
            <w:pPr>
              <w:pStyle w:val="56"/>
              <w:ind w:firstLine="0" w:firstLineChars="0"/>
              <w:jc w:val="center"/>
              <w:rPr>
                <w:rFonts w:hint="eastAsia" w:hAnsi="宋体"/>
              </w:rPr>
            </w:pPr>
            <w:r>
              <w:rPr>
                <w:rFonts w:hAnsi="宋体"/>
              </w:rPr>
              <w:t>眼肉</w:t>
            </w:r>
          </w:p>
        </w:tc>
        <w:tc>
          <w:tcPr>
            <w:tcW w:w="1869" w:type="dxa"/>
          </w:tcPr>
          <w:p w14:paraId="2F125F6F">
            <w:pPr>
              <w:pStyle w:val="56"/>
              <w:ind w:firstLine="0" w:firstLineChars="0"/>
              <w:jc w:val="center"/>
              <w:rPr>
                <w:rFonts w:hint="eastAsia" w:hAnsi="宋体"/>
              </w:rPr>
            </w:pPr>
            <w:r>
              <w:rPr>
                <w:rFonts w:hAnsi="宋体"/>
              </w:rPr>
              <w:t>宰后30min</w:t>
            </w:r>
            <w:r>
              <w:rPr>
                <w:rFonts w:ascii="Times New Roman"/>
                <w:sz w:val="18"/>
                <w:szCs w:val="18"/>
              </w:rPr>
              <w:t>~</w:t>
            </w:r>
            <w:r>
              <w:rPr>
                <w:rFonts w:hAnsi="宋体"/>
              </w:rPr>
              <w:t>2h内</w:t>
            </w:r>
          </w:p>
        </w:tc>
      </w:tr>
      <w:tr w14:paraId="0D4F9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C2DFB04">
            <w:pPr>
              <w:pStyle w:val="56"/>
              <w:ind w:firstLine="0" w:firstLineChars="0"/>
              <w:jc w:val="center"/>
              <w:rPr>
                <w:rFonts w:hint="eastAsia" w:hAnsi="宋体"/>
              </w:rPr>
            </w:pPr>
            <w:r>
              <w:rPr>
                <w:rFonts w:hAnsi="宋体"/>
              </w:rPr>
              <w:t>4</w:t>
            </w:r>
          </w:p>
        </w:tc>
        <w:tc>
          <w:tcPr>
            <w:tcW w:w="1843" w:type="dxa"/>
            <w:vMerge w:val="restart"/>
            <w:vAlign w:val="center"/>
          </w:tcPr>
          <w:p w14:paraId="4B039EB2">
            <w:pPr>
              <w:pStyle w:val="56"/>
              <w:ind w:firstLine="0" w:firstLineChars="0"/>
              <w:jc w:val="center"/>
              <w:rPr>
                <w:rFonts w:hint="eastAsia" w:hAnsi="宋体"/>
              </w:rPr>
            </w:pPr>
            <w:r>
              <w:rPr>
                <w:rFonts w:hAnsi="宋体"/>
              </w:rPr>
              <w:t>营养风味</w:t>
            </w:r>
            <w:r>
              <w:rPr>
                <w:rFonts w:hAnsi="宋体"/>
              </w:rPr>
              <w:br w:type="textWrapping"/>
            </w:r>
            <w:r>
              <w:rPr>
                <w:rFonts w:hAnsi="宋体"/>
              </w:rPr>
              <w:t>理化指标</w:t>
            </w:r>
          </w:p>
        </w:tc>
        <w:tc>
          <w:tcPr>
            <w:tcW w:w="2917" w:type="dxa"/>
          </w:tcPr>
          <w:p w14:paraId="64EBEF20">
            <w:pPr>
              <w:pStyle w:val="56"/>
              <w:ind w:firstLine="0" w:firstLineChars="0"/>
              <w:jc w:val="center"/>
              <w:rPr>
                <w:rFonts w:hint="eastAsia" w:hAnsi="宋体"/>
              </w:rPr>
            </w:pPr>
            <w:r>
              <w:rPr>
                <w:rFonts w:hAnsi="宋体"/>
              </w:rPr>
              <w:t>嫩度</w:t>
            </w:r>
          </w:p>
        </w:tc>
        <w:tc>
          <w:tcPr>
            <w:tcW w:w="1869" w:type="dxa"/>
          </w:tcPr>
          <w:p w14:paraId="4A417E02">
            <w:pPr>
              <w:pStyle w:val="56"/>
              <w:ind w:firstLine="0" w:firstLineChars="0"/>
              <w:jc w:val="center"/>
              <w:rPr>
                <w:rFonts w:hint="eastAsia" w:hAnsi="宋体"/>
              </w:rPr>
            </w:pPr>
            <w:r>
              <w:rPr>
                <w:rFonts w:hAnsi="宋体"/>
              </w:rPr>
              <w:t>腹肉、大黄瓜条</w:t>
            </w:r>
          </w:p>
        </w:tc>
        <w:tc>
          <w:tcPr>
            <w:tcW w:w="1869" w:type="dxa"/>
          </w:tcPr>
          <w:p w14:paraId="4D8BF555">
            <w:pPr>
              <w:pStyle w:val="56"/>
              <w:ind w:firstLine="0" w:firstLineChars="0"/>
              <w:jc w:val="center"/>
              <w:rPr>
                <w:rFonts w:hint="eastAsia" w:hAnsi="宋体"/>
              </w:rPr>
            </w:pPr>
            <w:r>
              <w:rPr>
                <w:rFonts w:hAnsi="宋体"/>
              </w:rPr>
              <w:t>宰后72h内</w:t>
            </w:r>
          </w:p>
        </w:tc>
      </w:tr>
      <w:tr w14:paraId="3415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1B5BCEE">
            <w:pPr>
              <w:pStyle w:val="56"/>
              <w:ind w:firstLine="0" w:firstLineChars="0"/>
              <w:jc w:val="center"/>
              <w:rPr>
                <w:rFonts w:hint="eastAsia" w:hAnsi="宋体"/>
              </w:rPr>
            </w:pPr>
            <w:r>
              <w:rPr>
                <w:rFonts w:hAnsi="宋体"/>
              </w:rPr>
              <w:t>5</w:t>
            </w:r>
          </w:p>
        </w:tc>
        <w:tc>
          <w:tcPr>
            <w:tcW w:w="1843" w:type="dxa"/>
            <w:vMerge w:val="continue"/>
            <w:vAlign w:val="center"/>
          </w:tcPr>
          <w:p w14:paraId="741DCA27">
            <w:pPr>
              <w:pStyle w:val="56"/>
              <w:ind w:firstLine="0" w:firstLineChars="0"/>
              <w:jc w:val="center"/>
              <w:rPr>
                <w:rFonts w:hint="eastAsia" w:hAnsi="宋体"/>
              </w:rPr>
            </w:pPr>
          </w:p>
        </w:tc>
        <w:tc>
          <w:tcPr>
            <w:tcW w:w="2917" w:type="dxa"/>
          </w:tcPr>
          <w:p w14:paraId="35E13640">
            <w:pPr>
              <w:pStyle w:val="56"/>
              <w:ind w:firstLine="0" w:firstLineChars="0"/>
              <w:jc w:val="center"/>
              <w:rPr>
                <w:rFonts w:hint="eastAsia" w:hAnsi="宋体"/>
              </w:rPr>
            </w:pPr>
            <w:r>
              <w:rPr>
                <w:rFonts w:hAnsi="宋体"/>
              </w:rPr>
              <w:t>失水率</w:t>
            </w:r>
          </w:p>
        </w:tc>
        <w:tc>
          <w:tcPr>
            <w:tcW w:w="1869" w:type="dxa"/>
          </w:tcPr>
          <w:p w14:paraId="1BEB074D">
            <w:pPr>
              <w:pStyle w:val="56"/>
              <w:ind w:firstLine="0" w:firstLineChars="0"/>
              <w:jc w:val="center"/>
              <w:rPr>
                <w:rFonts w:hint="eastAsia" w:hAnsi="宋体"/>
              </w:rPr>
            </w:pPr>
            <w:r>
              <w:rPr>
                <w:rFonts w:hAnsi="宋体"/>
              </w:rPr>
              <w:t>腹肉、大黄瓜条</w:t>
            </w:r>
          </w:p>
        </w:tc>
        <w:tc>
          <w:tcPr>
            <w:tcW w:w="1869" w:type="dxa"/>
          </w:tcPr>
          <w:p w14:paraId="2283C47B">
            <w:pPr>
              <w:pStyle w:val="56"/>
              <w:ind w:firstLine="0" w:firstLineChars="0"/>
              <w:jc w:val="center"/>
              <w:rPr>
                <w:rFonts w:hint="eastAsia" w:hAnsi="宋体"/>
              </w:rPr>
            </w:pPr>
            <w:r>
              <w:rPr>
                <w:rFonts w:hAnsi="宋体"/>
              </w:rPr>
              <w:t>宰后72h内</w:t>
            </w:r>
          </w:p>
        </w:tc>
      </w:tr>
      <w:tr w14:paraId="73DC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282E9F6">
            <w:pPr>
              <w:pStyle w:val="56"/>
              <w:ind w:firstLine="0" w:firstLineChars="0"/>
              <w:jc w:val="center"/>
              <w:rPr>
                <w:rFonts w:hint="eastAsia" w:hAnsi="宋体"/>
              </w:rPr>
            </w:pPr>
            <w:r>
              <w:rPr>
                <w:rFonts w:hAnsi="宋体"/>
              </w:rPr>
              <w:t>6</w:t>
            </w:r>
          </w:p>
        </w:tc>
        <w:tc>
          <w:tcPr>
            <w:tcW w:w="1843" w:type="dxa"/>
            <w:vMerge w:val="continue"/>
            <w:vAlign w:val="center"/>
          </w:tcPr>
          <w:p w14:paraId="63566319">
            <w:pPr>
              <w:pStyle w:val="56"/>
              <w:ind w:firstLine="0" w:firstLineChars="0"/>
              <w:jc w:val="center"/>
              <w:rPr>
                <w:rFonts w:hint="eastAsia" w:hAnsi="宋体"/>
              </w:rPr>
            </w:pPr>
          </w:p>
        </w:tc>
        <w:tc>
          <w:tcPr>
            <w:tcW w:w="2917" w:type="dxa"/>
          </w:tcPr>
          <w:p w14:paraId="0424A308">
            <w:pPr>
              <w:pStyle w:val="56"/>
              <w:ind w:firstLine="0" w:firstLineChars="0"/>
              <w:jc w:val="center"/>
              <w:rPr>
                <w:rFonts w:hint="eastAsia" w:hAnsi="宋体"/>
              </w:rPr>
            </w:pPr>
            <w:r>
              <w:rPr>
                <w:rFonts w:hAnsi="宋体"/>
              </w:rPr>
              <w:t>肌苷酸</w:t>
            </w:r>
          </w:p>
        </w:tc>
        <w:tc>
          <w:tcPr>
            <w:tcW w:w="1869" w:type="dxa"/>
          </w:tcPr>
          <w:p w14:paraId="0C8F216E">
            <w:pPr>
              <w:pStyle w:val="56"/>
              <w:ind w:firstLine="0" w:firstLineChars="0"/>
              <w:jc w:val="center"/>
              <w:rPr>
                <w:rFonts w:hint="eastAsia" w:hAnsi="宋体"/>
              </w:rPr>
            </w:pPr>
            <w:r>
              <w:rPr>
                <w:rFonts w:hAnsi="宋体"/>
              </w:rPr>
              <w:t>腹肉、大黄瓜条</w:t>
            </w:r>
          </w:p>
        </w:tc>
        <w:tc>
          <w:tcPr>
            <w:tcW w:w="1869" w:type="dxa"/>
          </w:tcPr>
          <w:p w14:paraId="6A02434A">
            <w:pPr>
              <w:pStyle w:val="56"/>
              <w:ind w:firstLine="0" w:firstLineChars="0"/>
              <w:jc w:val="center"/>
              <w:rPr>
                <w:rFonts w:hint="eastAsia" w:hAnsi="宋体"/>
              </w:rPr>
            </w:pPr>
            <w:r>
              <w:rPr>
                <w:rFonts w:hAnsi="宋体"/>
              </w:rPr>
              <w:t>宰后</w:t>
            </w:r>
            <w:r>
              <w:rPr>
                <w:rFonts w:hint="eastAsia" w:hAnsi="宋体"/>
              </w:rPr>
              <w:t>48</w:t>
            </w:r>
            <w:r>
              <w:rPr>
                <w:rFonts w:ascii="Times New Roman"/>
              </w:rPr>
              <w:t>~</w:t>
            </w:r>
            <w:r>
              <w:rPr>
                <w:rFonts w:hAnsi="宋体"/>
              </w:rPr>
              <w:t>72h内</w:t>
            </w:r>
          </w:p>
        </w:tc>
      </w:tr>
      <w:tr w14:paraId="5AC3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5CC4976">
            <w:pPr>
              <w:pStyle w:val="56"/>
              <w:ind w:firstLine="0" w:firstLineChars="0"/>
              <w:jc w:val="center"/>
              <w:rPr>
                <w:rFonts w:hint="eastAsia" w:hAnsi="宋体"/>
              </w:rPr>
            </w:pPr>
            <w:r>
              <w:rPr>
                <w:rFonts w:hAnsi="宋体"/>
              </w:rPr>
              <w:t>7</w:t>
            </w:r>
          </w:p>
        </w:tc>
        <w:tc>
          <w:tcPr>
            <w:tcW w:w="1843" w:type="dxa"/>
            <w:vMerge w:val="continue"/>
            <w:vAlign w:val="center"/>
          </w:tcPr>
          <w:p w14:paraId="692B27C7">
            <w:pPr>
              <w:pStyle w:val="56"/>
              <w:ind w:firstLine="0" w:firstLineChars="0"/>
              <w:jc w:val="center"/>
              <w:rPr>
                <w:rFonts w:hint="eastAsia" w:hAnsi="宋体"/>
              </w:rPr>
            </w:pPr>
          </w:p>
        </w:tc>
        <w:tc>
          <w:tcPr>
            <w:tcW w:w="2917" w:type="dxa"/>
          </w:tcPr>
          <w:p w14:paraId="37A1FD6C">
            <w:pPr>
              <w:pStyle w:val="56"/>
              <w:ind w:firstLine="0" w:firstLineChars="0"/>
              <w:jc w:val="center"/>
              <w:rPr>
                <w:rFonts w:hint="eastAsia" w:hAnsi="宋体"/>
              </w:rPr>
            </w:pPr>
            <w:r>
              <w:rPr>
                <w:rFonts w:hAnsi="宋体"/>
              </w:rPr>
              <w:t>蛋白质</w:t>
            </w:r>
          </w:p>
        </w:tc>
        <w:tc>
          <w:tcPr>
            <w:tcW w:w="1869" w:type="dxa"/>
          </w:tcPr>
          <w:p w14:paraId="5C83E2F0">
            <w:pPr>
              <w:pStyle w:val="56"/>
              <w:ind w:firstLine="0" w:firstLineChars="0"/>
              <w:jc w:val="center"/>
              <w:rPr>
                <w:rFonts w:hint="eastAsia" w:hAnsi="宋体"/>
              </w:rPr>
            </w:pPr>
            <w:r>
              <w:rPr>
                <w:rFonts w:hAnsi="宋体"/>
              </w:rPr>
              <w:t>腹肉、大黄瓜条</w:t>
            </w:r>
          </w:p>
        </w:tc>
        <w:tc>
          <w:tcPr>
            <w:tcW w:w="1869" w:type="dxa"/>
          </w:tcPr>
          <w:p w14:paraId="4AA5EEB3">
            <w:pPr>
              <w:pStyle w:val="56"/>
              <w:ind w:firstLine="0" w:firstLineChars="0"/>
              <w:jc w:val="center"/>
              <w:rPr>
                <w:rFonts w:hint="eastAsia" w:hAnsi="宋体"/>
              </w:rPr>
            </w:pPr>
            <w:r>
              <w:rPr>
                <w:rFonts w:hAnsi="宋体"/>
              </w:rPr>
              <w:t>宰后10天内</w:t>
            </w:r>
          </w:p>
        </w:tc>
      </w:tr>
      <w:tr w14:paraId="2D93B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9518504">
            <w:pPr>
              <w:pStyle w:val="56"/>
              <w:ind w:firstLine="0" w:firstLineChars="0"/>
              <w:jc w:val="center"/>
              <w:rPr>
                <w:rFonts w:hint="eastAsia" w:hAnsi="宋体"/>
              </w:rPr>
            </w:pPr>
            <w:r>
              <w:rPr>
                <w:rFonts w:hAnsi="宋体"/>
              </w:rPr>
              <w:t>8</w:t>
            </w:r>
          </w:p>
        </w:tc>
        <w:tc>
          <w:tcPr>
            <w:tcW w:w="1843" w:type="dxa"/>
            <w:vMerge w:val="continue"/>
            <w:vAlign w:val="center"/>
          </w:tcPr>
          <w:p w14:paraId="1768A4AD">
            <w:pPr>
              <w:pStyle w:val="56"/>
              <w:ind w:firstLine="0" w:firstLineChars="0"/>
              <w:jc w:val="center"/>
              <w:rPr>
                <w:rFonts w:hint="eastAsia" w:hAnsi="宋体"/>
              </w:rPr>
            </w:pPr>
          </w:p>
        </w:tc>
        <w:tc>
          <w:tcPr>
            <w:tcW w:w="2917" w:type="dxa"/>
          </w:tcPr>
          <w:p w14:paraId="2482397F">
            <w:pPr>
              <w:pStyle w:val="56"/>
              <w:ind w:firstLine="0" w:firstLineChars="0"/>
              <w:jc w:val="center"/>
              <w:rPr>
                <w:rFonts w:hint="eastAsia" w:hAnsi="宋体"/>
              </w:rPr>
            </w:pPr>
            <w:r>
              <w:rPr>
                <w:rFonts w:hAnsi="宋体"/>
              </w:rPr>
              <w:t>总氨基酸</w:t>
            </w:r>
          </w:p>
        </w:tc>
        <w:tc>
          <w:tcPr>
            <w:tcW w:w="1869" w:type="dxa"/>
          </w:tcPr>
          <w:p w14:paraId="32E47CE7">
            <w:pPr>
              <w:pStyle w:val="56"/>
              <w:ind w:firstLine="0" w:firstLineChars="0"/>
              <w:jc w:val="center"/>
              <w:rPr>
                <w:rFonts w:hint="eastAsia" w:hAnsi="宋体"/>
              </w:rPr>
            </w:pPr>
            <w:r>
              <w:rPr>
                <w:rFonts w:hAnsi="宋体"/>
              </w:rPr>
              <w:t>腹肉、大黄瓜条</w:t>
            </w:r>
          </w:p>
        </w:tc>
        <w:tc>
          <w:tcPr>
            <w:tcW w:w="1869" w:type="dxa"/>
          </w:tcPr>
          <w:p w14:paraId="02987380">
            <w:pPr>
              <w:pStyle w:val="56"/>
              <w:ind w:firstLine="0" w:firstLineChars="0"/>
              <w:jc w:val="center"/>
              <w:rPr>
                <w:rFonts w:hint="eastAsia" w:hAnsi="宋体"/>
              </w:rPr>
            </w:pPr>
            <w:r>
              <w:rPr>
                <w:rFonts w:hAnsi="宋体"/>
              </w:rPr>
              <w:t>宰后10天内</w:t>
            </w:r>
          </w:p>
        </w:tc>
      </w:tr>
      <w:tr w14:paraId="54FA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6E877ED">
            <w:pPr>
              <w:pStyle w:val="56"/>
              <w:ind w:firstLine="0" w:firstLineChars="0"/>
              <w:jc w:val="center"/>
              <w:rPr>
                <w:rFonts w:hint="eastAsia" w:hAnsi="宋体"/>
              </w:rPr>
            </w:pPr>
            <w:r>
              <w:rPr>
                <w:rFonts w:hAnsi="宋体"/>
              </w:rPr>
              <w:t>9</w:t>
            </w:r>
          </w:p>
        </w:tc>
        <w:tc>
          <w:tcPr>
            <w:tcW w:w="1843" w:type="dxa"/>
            <w:vMerge w:val="continue"/>
            <w:vAlign w:val="center"/>
          </w:tcPr>
          <w:p w14:paraId="6F4D7964">
            <w:pPr>
              <w:pStyle w:val="56"/>
              <w:ind w:firstLine="0" w:firstLineChars="0"/>
              <w:jc w:val="center"/>
              <w:rPr>
                <w:rFonts w:hint="eastAsia" w:hAnsi="宋体"/>
              </w:rPr>
            </w:pPr>
          </w:p>
        </w:tc>
        <w:tc>
          <w:tcPr>
            <w:tcW w:w="2917" w:type="dxa"/>
          </w:tcPr>
          <w:p w14:paraId="0A36D74F">
            <w:pPr>
              <w:pStyle w:val="56"/>
              <w:ind w:firstLine="0" w:firstLineChars="0"/>
              <w:jc w:val="center"/>
              <w:rPr>
                <w:rFonts w:hint="eastAsia" w:hAnsi="宋体"/>
              </w:rPr>
            </w:pPr>
            <w:r>
              <w:rPr>
                <w:rFonts w:hAnsi="宋体"/>
              </w:rPr>
              <w:t>必需氨基酸/非必需氨基酸</w:t>
            </w:r>
          </w:p>
        </w:tc>
        <w:tc>
          <w:tcPr>
            <w:tcW w:w="1869" w:type="dxa"/>
          </w:tcPr>
          <w:p w14:paraId="74EEAD6A">
            <w:pPr>
              <w:pStyle w:val="56"/>
              <w:ind w:firstLine="0" w:firstLineChars="0"/>
              <w:jc w:val="center"/>
              <w:rPr>
                <w:rFonts w:hint="eastAsia" w:hAnsi="宋体"/>
              </w:rPr>
            </w:pPr>
            <w:r>
              <w:rPr>
                <w:rFonts w:hAnsi="宋体"/>
              </w:rPr>
              <w:t>腹肉、大黄瓜条</w:t>
            </w:r>
          </w:p>
        </w:tc>
        <w:tc>
          <w:tcPr>
            <w:tcW w:w="1869" w:type="dxa"/>
          </w:tcPr>
          <w:p w14:paraId="037FB2CC">
            <w:pPr>
              <w:pStyle w:val="56"/>
              <w:ind w:firstLine="0" w:firstLineChars="0"/>
              <w:jc w:val="center"/>
              <w:rPr>
                <w:rFonts w:hint="eastAsia" w:hAnsi="宋体"/>
              </w:rPr>
            </w:pPr>
            <w:r>
              <w:rPr>
                <w:rFonts w:hAnsi="宋体"/>
              </w:rPr>
              <w:t>宰后10天内</w:t>
            </w:r>
          </w:p>
        </w:tc>
      </w:tr>
      <w:tr w14:paraId="2B0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AC313C9">
            <w:pPr>
              <w:pStyle w:val="56"/>
              <w:ind w:firstLine="0" w:firstLineChars="0"/>
              <w:jc w:val="center"/>
              <w:rPr>
                <w:rFonts w:hint="eastAsia" w:hAnsi="宋体"/>
              </w:rPr>
            </w:pPr>
            <w:r>
              <w:rPr>
                <w:rFonts w:hAnsi="宋体"/>
              </w:rPr>
              <w:t>10</w:t>
            </w:r>
          </w:p>
        </w:tc>
        <w:tc>
          <w:tcPr>
            <w:tcW w:w="1843" w:type="dxa"/>
            <w:vMerge w:val="continue"/>
            <w:vAlign w:val="center"/>
          </w:tcPr>
          <w:p w14:paraId="68DACE06">
            <w:pPr>
              <w:pStyle w:val="56"/>
              <w:ind w:firstLine="0" w:firstLineChars="0"/>
              <w:jc w:val="center"/>
              <w:rPr>
                <w:rFonts w:hint="eastAsia" w:hAnsi="宋体"/>
              </w:rPr>
            </w:pPr>
          </w:p>
        </w:tc>
        <w:tc>
          <w:tcPr>
            <w:tcW w:w="2917" w:type="dxa"/>
          </w:tcPr>
          <w:p w14:paraId="2D1EAB60">
            <w:pPr>
              <w:pStyle w:val="56"/>
              <w:ind w:firstLine="0" w:firstLineChars="0"/>
              <w:jc w:val="center"/>
              <w:rPr>
                <w:rFonts w:hint="eastAsia" w:hAnsi="宋体"/>
              </w:rPr>
            </w:pPr>
            <w:r>
              <w:rPr>
                <w:rFonts w:hAnsi="宋体"/>
              </w:rPr>
              <w:t>不饱和脂肪酸/饱和脂肪酸</w:t>
            </w:r>
          </w:p>
        </w:tc>
        <w:tc>
          <w:tcPr>
            <w:tcW w:w="1869" w:type="dxa"/>
          </w:tcPr>
          <w:p w14:paraId="0CA14AA2">
            <w:pPr>
              <w:pStyle w:val="56"/>
              <w:ind w:firstLine="0" w:firstLineChars="0"/>
              <w:jc w:val="center"/>
              <w:rPr>
                <w:rFonts w:hint="eastAsia" w:hAnsi="宋体"/>
              </w:rPr>
            </w:pPr>
            <w:r>
              <w:rPr>
                <w:rFonts w:hAnsi="宋体"/>
              </w:rPr>
              <w:t>腹肉、大黄瓜条</w:t>
            </w:r>
          </w:p>
        </w:tc>
        <w:tc>
          <w:tcPr>
            <w:tcW w:w="1869" w:type="dxa"/>
          </w:tcPr>
          <w:p w14:paraId="22B8EAA4">
            <w:pPr>
              <w:pStyle w:val="56"/>
              <w:ind w:firstLine="0" w:firstLineChars="0"/>
              <w:jc w:val="center"/>
              <w:rPr>
                <w:rFonts w:hint="eastAsia" w:hAnsi="宋体"/>
              </w:rPr>
            </w:pPr>
            <w:r>
              <w:rPr>
                <w:rFonts w:hAnsi="宋体"/>
              </w:rPr>
              <w:t>宰后10天内</w:t>
            </w:r>
          </w:p>
        </w:tc>
      </w:tr>
      <w:tr w14:paraId="3750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0D88FF1">
            <w:pPr>
              <w:pStyle w:val="56"/>
              <w:ind w:firstLine="0" w:firstLineChars="0"/>
              <w:jc w:val="center"/>
              <w:rPr>
                <w:rFonts w:hint="eastAsia" w:hAnsi="宋体"/>
              </w:rPr>
            </w:pPr>
            <w:r>
              <w:rPr>
                <w:rFonts w:hAnsi="宋体"/>
              </w:rPr>
              <w:t>11</w:t>
            </w:r>
          </w:p>
        </w:tc>
        <w:tc>
          <w:tcPr>
            <w:tcW w:w="1843" w:type="dxa"/>
            <w:vMerge w:val="continue"/>
            <w:vAlign w:val="center"/>
          </w:tcPr>
          <w:p w14:paraId="6F16FFF7">
            <w:pPr>
              <w:pStyle w:val="56"/>
              <w:ind w:firstLine="0" w:firstLineChars="0"/>
              <w:jc w:val="center"/>
              <w:rPr>
                <w:rFonts w:hint="eastAsia" w:hAnsi="宋体"/>
              </w:rPr>
            </w:pPr>
          </w:p>
        </w:tc>
        <w:tc>
          <w:tcPr>
            <w:tcW w:w="2917" w:type="dxa"/>
          </w:tcPr>
          <w:p w14:paraId="6066AAC1">
            <w:pPr>
              <w:pStyle w:val="56"/>
              <w:ind w:firstLine="0" w:firstLineChars="0"/>
              <w:jc w:val="center"/>
              <w:rPr>
                <w:rFonts w:hint="eastAsia" w:hAnsi="宋体"/>
              </w:rPr>
            </w:pPr>
            <w:r>
              <w:rPr>
                <w:rFonts w:hAnsi="宋体"/>
              </w:rPr>
              <w:t xml:space="preserve">n-6不饱和脂肪酸/ </w:t>
            </w:r>
          </w:p>
          <w:p w14:paraId="5DB18A0C">
            <w:pPr>
              <w:pStyle w:val="56"/>
              <w:ind w:firstLine="0" w:firstLineChars="0"/>
              <w:jc w:val="center"/>
              <w:rPr>
                <w:rFonts w:hint="eastAsia" w:hAnsi="宋体"/>
              </w:rPr>
            </w:pPr>
            <w:r>
              <w:rPr>
                <w:rFonts w:hAnsi="宋体"/>
              </w:rPr>
              <w:t>n-3不饱和脂肪酸</w:t>
            </w:r>
          </w:p>
        </w:tc>
        <w:tc>
          <w:tcPr>
            <w:tcW w:w="1869" w:type="dxa"/>
            <w:vAlign w:val="center"/>
          </w:tcPr>
          <w:p w14:paraId="7F09E9B0">
            <w:pPr>
              <w:pStyle w:val="56"/>
              <w:ind w:firstLine="0" w:firstLineChars="0"/>
              <w:jc w:val="center"/>
              <w:rPr>
                <w:rFonts w:hint="eastAsia" w:hAnsi="宋体"/>
              </w:rPr>
            </w:pPr>
            <w:r>
              <w:rPr>
                <w:rFonts w:hAnsi="宋体"/>
              </w:rPr>
              <w:t>腹肉、大黄瓜条</w:t>
            </w:r>
          </w:p>
        </w:tc>
        <w:tc>
          <w:tcPr>
            <w:tcW w:w="1869" w:type="dxa"/>
            <w:vAlign w:val="center"/>
          </w:tcPr>
          <w:p w14:paraId="3A570464">
            <w:pPr>
              <w:pStyle w:val="56"/>
              <w:ind w:firstLine="0" w:firstLineChars="0"/>
              <w:jc w:val="center"/>
              <w:rPr>
                <w:rFonts w:hint="eastAsia" w:hAnsi="宋体"/>
              </w:rPr>
            </w:pPr>
            <w:r>
              <w:rPr>
                <w:rFonts w:hAnsi="宋体"/>
              </w:rPr>
              <w:t>宰后10天内</w:t>
            </w:r>
          </w:p>
        </w:tc>
      </w:tr>
      <w:tr w14:paraId="6021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E11E71B">
            <w:pPr>
              <w:pStyle w:val="56"/>
              <w:ind w:firstLine="0" w:firstLineChars="0"/>
              <w:jc w:val="center"/>
              <w:rPr>
                <w:rFonts w:hint="eastAsia" w:hAnsi="宋体"/>
              </w:rPr>
            </w:pPr>
            <w:r>
              <w:rPr>
                <w:rFonts w:hAnsi="宋体"/>
              </w:rPr>
              <w:t>12</w:t>
            </w:r>
          </w:p>
        </w:tc>
        <w:tc>
          <w:tcPr>
            <w:tcW w:w="1843" w:type="dxa"/>
            <w:vMerge w:val="continue"/>
            <w:vAlign w:val="center"/>
          </w:tcPr>
          <w:p w14:paraId="2FDBBD2B">
            <w:pPr>
              <w:pStyle w:val="56"/>
              <w:ind w:firstLine="0" w:firstLineChars="0"/>
              <w:jc w:val="center"/>
              <w:rPr>
                <w:rFonts w:hint="eastAsia" w:hAnsi="宋体"/>
              </w:rPr>
            </w:pPr>
          </w:p>
        </w:tc>
        <w:tc>
          <w:tcPr>
            <w:tcW w:w="2917" w:type="dxa"/>
          </w:tcPr>
          <w:p w14:paraId="1BF4E39B">
            <w:pPr>
              <w:pStyle w:val="56"/>
              <w:ind w:firstLine="0" w:firstLineChars="0"/>
              <w:jc w:val="center"/>
              <w:rPr>
                <w:rFonts w:hint="eastAsia" w:hAnsi="宋体"/>
              </w:rPr>
            </w:pPr>
            <w:r>
              <w:rPr>
                <w:rFonts w:hAnsi="宋体"/>
              </w:rPr>
              <w:t>锌</w:t>
            </w:r>
          </w:p>
        </w:tc>
        <w:tc>
          <w:tcPr>
            <w:tcW w:w="1869" w:type="dxa"/>
          </w:tcPr>
          <w:p w14:paraId="1CCC61A4">
            <w:pPr>
              <w:pStyle w:val="56"/>
              <w:ind w:firstLine="0" w:firstLineChars="0"/>
              <w:jc w:val="center"/>
              <w:rPr>
                <w:rFonts w:hint="eastAsia" w:hAnsi="宋体"/>
              </w:rPr>
            </w:pPr>
            <w:r>
              <w:rPr>
                <w:rFonts w:hAnsi="宋体"/>
              </w:rPr>
              <w:t>腹肉、大黄瓜条</w:t>
            </w:r>
          </w:p>
        </w:tc>
        <w:tc>
          <w:tcPr>
            <w:tcW w:w="1869" w:type="dxa"/>
          </w:tcPr>
          <w:p w14:paraId="67CA8A1F">
            <w:pPr>
              <w:pStyle w:val="56"/>
              <w:ind w:firstLine="0" w:firstLineChars="0"/>
              <w:jc w:val="center"/>
              <w:rPr>
                <w:rFonts w:hint="eastAsia" w:hAnsi="宋体"/>
              </w:rPr>
            </w:pPr>
            <w:r>
              <w:rPr>
                <w:rFonts w:hAnsi="宋体"/>
              </w:rPr>
              <w:t>宰后10天内</w:t>
            </w:r>
          </w:p>
        </w:tc>
      </w:tr>
      <w:tr w14:paraId="6143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80E1303">
            <w:pPr>
              <w:pStyle w:val="56"/>
              <w:ind w:firstLine="0" w:firstLineChars="0"/>
              <w:jc w:val="center"/>
              <w:rPr>
                <w:rFonts w:hint="eastAsia" w:hAnsi="宋体"/>
              </w:rPr>
            </w:pPr>
            <w:r>
              <w:rPr>
                <w:rFonts w:hAnsi="宋体"/>
              </w:rPr>
              <w:t>13</w:t>
            </w:r>
          </w:p>
        </w:tc>
        <w:tc>
          <w:tcPr>
            <w:tcW w:w="1843" w:type="dxa"/>
            <w:vMerge w:val="continue"/>
            <w:vAlign w:val="center"/>
          </w:tcPr>
          <w:p w14:paraId="1EFC204D">
            <w:pPr>
              <w:pStyle w:val="56"/>
              <w:ind w:firstLine="0" w:firstLineChars="0"/>
              <w:jc w:val="center"/>
              <w:rPr>
                <w:rFonts w:hint="eastAsia" w:hAnsi="宋体"/>
              </w:rPr>
            </w:pPr>
          </w:p>
        </w:tc>
        <w:tc>
          <w:tcPr>
            <w:tcW w:w="2917" w:type="dxa"/>
          </w:tcPr>
          <w:p w14:paraId="496FE504">
            <w:pPr>
              <w:pStyle w:val="56"/>
              <w:ind w:firstLine="0" w:firstLineChars="0"/>
              <w:jc w:val="center"/>
              <w:rPr>
                <w:rFonts w:hint="eastAsia" w:hAnsi="宋体"/>
              </w:rPr>
            </w:pPr>
            <w:r>
              <w:rPr>
                <w:rFonts w:hAnsi="宋体"/>
              </w:rPr>
              <w:t>铁</w:t>
            </w:r>
          </w:p>
        </w:tc>
        <w:tc>
          <w:tcPr>
            <w:tcW w:w="1869" w:type="dxa"/>
          </w:tcPr>
          <w:p w14:paraId="64B1A963">
            <w:pPr>
              <w:pStyle w:val="56"/>
              <w:ind w:firstLine="0" w:firstLineChars="0"/>
              <w:jc w:val="center"/>
              <w:rPr>
                <w:rFonts w:hint="eastAsia" w:hAnsi="宋体"/>
              </w:rPr>
            </w:pPr>
            <w:r>
              <w:rPr>
                <w:rFonts w:hAnsi="宋体"/>
              </w:rPr>
              <w:t>腹肉、大黄瓜条</w:t>
            </w:r>
          </w:p>
        </w:tc>
        <w:tc>
          <w:tcPr>
            <w:tcW w:w="1869" w:type="dxa"/>
          </w:tcPr>
          <w:p w14:paraId="0EBC1A21">
            <w:pPr>
              <w:pStyle w:val="56"/>
              <w:ind w:firstLine="0" w:firstLineChars="0"/>
              <w:jc w:val="center"/>
              <w:rPr>
                <w:rFonts w:hint="eastAsia" w:hAnsi="宋体"/>
              </w:rPr>
            </w:pPr>
            <w:r>
              <w:rPr>
                <w:rFonts w:hAnsi="宋体"/>
              </w:rPr>
              <w:t>宰后10天内</w:t>
            </w:r>
          </w:p>
        </w:tc>
      </w:tr>
      <w:tr w14:paraId="5025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641656DA">
            <w:pPr>
              <w:pStyle w:val="56"/>
              <w:ind w:firstLine="0" w:firstLineChars="0"/>
              <w:jc w:val="center"/>
              <w:rPr>
                <w:rFonts w:hint="eastAsia" w:hAnsi="宋体"/>
              </w:rPr>
            </w:pPr>
            <w:r>
              <w:rPr>
                <w:rFonts w:hAnsi="宋体"/>
              </w:rPr>
              <w:t>14</w:t>
            </w:r>
          </w:p>
        </w:tc>
        <w:tc>
          <w:tcPr>
            <w:tcW w:w="1843" w:type="dxa"/>
            <w:vMerge w:val="continue"/>
            <w:vAlign w:val="center"/>
          </w:tcPr>
          <w:p w14:paraId="480ED205">
            <w:pPr>
              <w:pStyle w:val="56"/>
              <w:ind w:firstLine="0" w:firstLineChars="0"/>
              <w:jc w:val="center"/>
              <w:rPr>
                <w:rFonts w:hint="eastAsia" w:hAnsi="宋体"/>
              </w:rPr>
            </w:pPr>
          </w:p>
        </w:tc>
        <w:tc>
          <w:tcPr>
            <w:tcW w:w="2917" w:type="dxa"/>
          </w:tcPr>
          <w:p w14:paraId="7B9BE813">
            <w:pPr>
              <w:pStyle w:val="56"/>
              <w:ind w:firstLine="0" w:firstLineChars="0"/>
              <w:jc w:val="center"/>
              <w:rPr>
                <w:rFonts w:hint="eastAsia" w:hAnsi="宋体"/>
              </w:rPr>
            </w:pPr>
            <w:r>
              <w:rPr>
                <w:rFonts w:hAnsi="宋体"/>
              </w:rPr>
              <w:t>硒</w:t>
            </w:r>
          </w:p>
        </w:tc>
        <w:tc>
          <w:tcPr>
            <w:tcW w:w="1869" w:type="dxa"/>
          </w:tcPr>
          <w:p w14:paraId="27230E13">
            <w:pPr>
              <w:pStyle w:val="56"/>
              <w:ind w:firstLine="0" w:firstLineChars="0"/>
              <w:jc w:val="center"/>
              <w:rPr>
                <w:rFonts w:hint="eastAsia" w:hAnsi="宋体"/>
              </w:rPr>
            </w:pPr>
            <w:r>
              <w:rPr>
                <w:rFonts w:hAnsi="宋体"/>
              </w:rPr>
              <w:t>腹肉、大黄瓜条</w:t>
            </w:r>
          </w:p>
        </w:tc>
        <w:tc>
          <w:tcPr>
            <w:tcW w:w="1869" w:type="dxa"/>
          </w:tcPr>
          <w:p w14:paraId="06DFBB68">
            <w:pPr>
              <w:pStyle w:val="56"/>
              <w:ind w:firstLine="0" w:firstLineChars="0"/>
              <w:jc w:val="center"/>
              <w:rPr>
                <w:rFonts w:hint="eastAsia" w:hAnsi="宋体"/>
              </w:rPr>
            </w:pPr>
            <w:r>
              <w:rPr>
                <w:rFonts w:hAnsi="宋体"/>
              </w:rPr>
              <w:t>宰后10天内</w:t>
            </w:r>
          </w:p>
        </w:tc>
      </w:tr>
    </w:tbl>
    <w:p w14:paraId="4189CF84">
      <w:pPr>
        <w:pStyle w:val="56"/>
        <w:ind w:firstLine="0" w:firstLineChars="0"/>
      </w:pPr>
    </w:p>
    <w:p w14:paraId="5EEAD338">
      <w:pPr>
        <w:pStyle w:val="56"/>
        <w:ind w:firstLine="420"/>
      </w:pPr>
    </w:p>
    <w:p w14:paraId="71B5E422">
      <w:pPr>
        <w:pStyle w:val="56"/>
        <w:ind w:firstLine="420"/>
      </w:pPr>
    </w:p>
    <w:p w14:paraId="69FDCF8E">
      <w:pPr>
        <w:pStyle w:val="56"/>
        <w:ind w:firstLine="420"/>
        <w:sectPr>
          <w:pgSz w:w="11906" w:h="16838"/>
          <w:pgMar w:top="1928" w:right="1134" w:bottom="1134" w:left="1134" w:header="1418" w:footer="1134" w:gutter="284"/>
          <w:cols w:space="425" w:num="1"/>
          <w:formProt w:val="0"/>
          <w:docGrid w:linePitch="312" w:charSpace="0"/>
        </w:sectPr>
      </w:pPr>
    </w:p>
    <w:p w14:paraId="4910674F">
      <w:pPr>
        <w:pStyle w:val="198"/>
        <w:rPr>
          <w:rFonts w:hint="eastAsia"/>
          <w:vanish w:val="0"/>
        </w:rPr>
      </w:pPr>
    </w:p>
    <w:p w14:paraId="15580AAF">
      <w:pPr>
        <w:pStyle w:val="199"/>
        <w:rPr>
          <w:vanish w:val="0"/>
        </w:rPr>
      </w:pPr>
    </w:p>
    <w:p w14:paraId="6D9E8BE7">
      <w:pPr>
        <w:pStyle w:val="76"/>
        <w:spacing w:after="120"/>
      </w:pPr>
      <w:r>
        <w:br w:type="textWrapping"/>
      </w:r>
      <w:bookmarkStart w:id="97" w:name="_Toc197861381"/>
      <w:bookmarkStart w:id="98" w:name="_Toc197867602"/>
      <w:bookmarkStart w:id="99" w:name="_Toc198892534"/>
      <w:bookmarkStart w:id="100" w:name="_Toc197888162"/>
      <w:r>
        <w:rPr>
          <w:rFonts w:hint="eastAsia"/>
        </w:rPr>
        <w:t>（规范性）</w:t>
      </w:r>
      <w:r>
        <w:br w:type="textWrapping"/>
      </w:r>
      <w:r>
        <w:rPr>
          <w:rFonts w:hint="eastAsia"/>
        </w:rPr>
        <w:t>肉色评级图谱</w:t>
      </w:r>
      <w:bookmarkEnd w:id="97"/>
      <w:bookmarkEnd w:id="98"/>
      <w:bookmarkEnd w:id="99"/>
      <w:bookmarkEnd w:id="100"/>
    </w:p>
    <w:p w14:paraId="7669FCD3">
      <w:pPr>
        <w:pStyle w:val="56"/>
        <w:ind w:firstLine="420"/>
      </w:pPr>
      <w:r>
        <w:rPr>
          <w:rFonts w:hint="eastAsia"/>
        </w:rPr>
        <w:t>图B.1为眼肉中背最长肌横切面的肉色等级评级图谱，表B.1列出了肉色等级对应的参数。</w:t>
      </w:r>
    </w:p>
    <w:p w14:paraId="5B1517AC">
      <w:pPr>
        <w:pStyle w:val="56"/>
        <w:ind w:firstLine="0" w:firstLineChars="0"/>
        <w:jc w:val="center"/>
      </w:pPr>
      <w:r>
        <w:drawing>
          <wp:inline distT="0" distB="0" distL="0" distR="0">
            <wp:extent cx="5939790" cy="1789430"/>
            <wp:effectExtent l="0" t="0" r="3810" b="1270"/>
            <wp:docPr id="14107273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727392"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39790" cy="1789430"/>
                    </a:xfrm>
                    <a:prstGeom prst="rect">
                      <a:avLst/>
                    </a:prstGeom>
                    <a:noFill/>
                    <a:ln>
                      <a:noFill/>
                    </a:ln>
                  </pic:spPr>
                </pic:pic>
              </a:graphicData>
            </a:graphic>
          </wp:inline>
        </w:drawing>
      </w:r>
    </w:p>
    <w:p w14:paraId="533A0669">
      <w:pPr>
        <w:pStyle w:val="83"/>
        <w:spacing w:before="120" w:after="120"/>
      </w:pPr>
      <w:r>
        <w:rPr>
          <w:rFonts w:hint="eastAsia"/>
        </w:rPr>
        <w:t>肉色评级图谱</w:t>
      </w:r>
    </w:p>
    <w:p w14:paraId="7414DDAE">
      <w:pPr>
        <w:pStyle w:val="56"/>
        <w:ind w:firstLine="420"/>
      </w:pPr>
    </w:p>
    <w:p w14:paraId="5F895FDC">
      <w:pPr>
        <w:pStyle w:val="77"/>
        <w:spacing w:before="120" w:after="120"/>
      </w:pPr>
      <w:r>
        <w:rPr>
          <w:rFonts w:hint="eastAsia"/>
        </w:rPr>
        <w:t>肉色等级对应的色谱参数表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869"/>
        <w:gridCol w:w="1869"/>
        <w:gridCol w:w="1869"/>
        <w:gridCol w:w="1869"/>
      </w:tblGrid>
      <w:tr w14:paraId="7C85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342F5A4E">
            <w:pPr>
              <w:pStyle w:val="56"/>
              <w:ind w:firstLine="0" w:firstLineChars="0"/>
              <w:jc w:val="center"/>
              <w:rPr>
                <w:rFonts w:hint="eastAsia" w:hAnsi="宋体"/>
              </w:rPr>
            </w:pPr>
            <w:r>
              <w:rPr>
                <w:rFonts w:hAnsi="宋体"/>
              </w:rPr>
              <w:t>肉色等级</w:t>
            </w:r>
          </w:p>
        </w:tc>
        <w:tc>
          <w:tcPr>
            <w:tcW w:w="1869" w:type="dxa"/>
          </w:tcPr>
          <w:p w14:paraId="17A844F2">
            <w:pPr>
              <w:pStyle w:val="56"/>
              <w:ind w:firstLine="0" w:firstLineChars="0"/>
              <w:jc w:val="center"/>
              <w:rPr>
                <w:rFonts w:hint="eastAsia" w:hAnsi="宋体"/>
              </w:rPr>
            </w:pPr>
            <w:r>
              <w:rPr>
                <w:rFonts w:hAnsi="宋体"/>
              </w:rPr>
              <w:t>颜色模式</w:t>
            </w:r>
          </w:p>
        </w:tc>
        <w:tc>
          <w:tcPr>
            <w:tcW w:w="1869" w:type="dxa"/>
          </w:tcPr>
          <w:p w14:paraId="2D69ACE4">
            <w:pPr>
              <w:pStyle w:val="56"/>
              <w:ind w:firstLine="0" w:firstLineChars="0"/>
              <w:jc w:val="center"/>
              <w:rPr>
                <w:rFonts w:hint="eastAsia" w:hAnsi="宋体"/>
              </w:rPr>
            </w:pPr>
            <w:r>
              <w:rPr>
                <w:rFonts w:hAnsi="宋体"/>
              </w:rPr>
              <w:t>红色（R）</w:t>
            </w:r>
          </w:p>
        </w:tc>
        <w:tc>
          <w:tcPr>
            <w:tcW w:w="1869" w:type="dxa"/>
          </w:tcPr>
          <w:p w14:paraId="4A1A6A6A">
            <w:pPr>
              <w:pStyle w:val="56"/>
              <w:ind w:firstLine="0" w:firstLineChars="0"/>
              <w:jc w:val="center"/>
              <w:rPr>
                <w:rFonts w:hint="eastAsia" w:hAnsi="宋体"/>
              </w:rPr>
            </w:pPr>
            <w:r>
              <w:rPr>
                <w:rFonts w:hAnsi="宋体"/>
              </w:rPr>
              <w:t>绿色（G）</w:t>
            </w:r>
          </w:p>
        </w:tc>
        <w:tc>
          <w:tcPr>
            <w:tcW w:w="1869" w:type="dxa"/>
          </w:tcPr>
          <w:p w14:paraId="72713833">
            <w:pPr>
              <w:pStyle w:val="56"/>
              <w:ind w:firstLine="0" w:firstLineChars="0"/>
              <w:jc w:val="center"/>
              <w:rPr>
                <w:rFonts w:hint="eastAsia" w:hAnsi="宋体"/>
              </w:rPr>
            </w:pPr>
            <w:r>
              <w:rPr>
                <w:rFonts w:hAnsi="宋体"/>
              </w:rPr>
              <w:t>蓝色（B）</w:t>
            </w:r>
          </w:p>
        </w:tc>
      </w:tr>
      <w:tr w14:paraId="1893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3A9F4AB8">
            <w:pPr>
              <w:pStyle w:val="56"/>
              <w:ind w:firstLine="0" w:firstLineChars="0"/>
              <w:jc w:val="center"/>
              <w:rPr>
                <w:rFonts w:hint="eastAsia" w:hAnsi="宋体"/>
              </w:rPr>
            </w:pPr>
            <w:r>
              <w:rPr>
                <w:rFonts w:hAnsi="宋体"/>
              </w:rPr>
              <w:t>1</w:t>
            </w:r>
          </w:p>
        </w:tc>
        <w:tc>
          <w:tcPr>
            <w:tcW w:w="1869" w:type="dxa"/>
          </w:tcPr>
          <w:p w14:paraId="0C024ACA">
            <w:pPr>
              <w:pStyle w:val="56"/>
              <w:ind w:firstLine="0" w:firstLineChars="0"/>
              <w:jc w:val="center"/>
              <w:rPr>
                <w:rFonts w:hint="eastAsia" w:hAnsi="宋体"/>
              </w:rPr>
            </w:pPr>
            <w:r>
              <w:rPr>
                <w:rFonts w:hAnsi="宋体"/>
              </w:rPr>
              <w:t>RGB</w:t>
            </w:r>
          </w:p>
        </w:tc>
        <w:tc>
          <w:tcPr>
            <w:tcW w:w="1869" w:type="dxa"/>
          </w:tcPr>
          <w:p w14:paraId="4EFBE7F8">
            <w:pPr>
              <w:pStyle w:val="56"/>
              <w:ind w:firstLine="0" w:firstLineChars="0"/>
              <w:jc w:val="center"/>
              <w:rPr>
                <w:rFonts w:hint="eastAsia" w:hAnsi="宋体"/>
              </w:rPr>
            </w:pPr>
            <w:r>
              <w:rPr>
                <w:rFonts w:hAnsi="宋体"/>
              </w:rPr>
              <w:t>236</w:t>
            </w:r>
          </w:p>
        </w:tc>
        <w:tc>
          <w:tcPr>
            <w:tcW w:w="1869" w:type="dxa"/>
          </w:tcPr>
          <w:p w14:paraId="30FF04F7">
            <w:pPr>
              <w:pStyle w:val="56"/>
              <w:ind w:firstLine="0" w:firstLineChars="0"/>
              <w:jc w:val="center"/>
              <w:rPr>
                <w:rFonts w:hint="eastAsia" w:hAnsi="宋体"/>
              </w:rPr>
            </w:pPr>
            <w:r>
              <w:rPr>
                <w:rFonts w:hAnsi="宋体"/>
              </w:rPr>
              <w:t>219</w:t>
            </w:r>
          </w:p>
        </w:tc>
        <w:tc>
          <w:tcPr>
            <w:tcW w:w="1869" w:type="dxa"/>
          </w:tcPr>
          <w:p w14:paraId="426E3279">
            <w:pPr>
              <w:pStyle w:val="56"/>
              <w:ind w:firstLine="0" w:firstLineChars="0"/>
              <w:jc w:val="center"/>
              <w:rPr>
                <w:rFonts w:hint="eastAsia" w:hAnsi="宋体"/>
              </w:rPr>
            </w:pPr>
            <w:r>
              <w:rPr>
                <w:rFonts w:hAnsi="宋体"/>
              </w:rPr>
              <w:t>209</w:t>
            </w:r>
          </w:p>
        </w:tc>
      </w:tr>
      <w:tr w14:paraId="54BF9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6273B9E1">
            <w:pPr>
              <w:pStyle w:val="56"/>
              <w:ind w:firstLine="0" w:firstLineChars="0"/>
              <w:jc w:val="center"/>
              <w:rPr>
                <w:rFonts w:hint="eastAsia" w:hAnsi="宋体"/>
              </w:rPr>
            </w:pPr>
            <w:r>
              <w:rPr>
                <w:rFonts w:hAnsi="宋体"/>
              </w:rPr>
              <w:t>2</w:t>
            </w:r>
          </w:p>
        </w:tc>
        <w:tc>
          <w:tcPr>
            <w:tcW w:w="1869" w:type="dxa"/>
          </w:tcPr>
          <w:p w14:paraId="0CAEDF4F">
            <w:pPr>
              <w:pStyle w:val="56"/>
              <w:ind w:firstLine="0" w:firstLineChars="0"/>
              <w:jc w:val="center"/>
              <w:rPr>
                <w:rFonts w:hint="eastAsia" w:hAnsi="宋体"/>
              </w:rPr>
            </w:pPr>
            <w:r>
              <w:rPr>
                <w:rFonts w:hAnsi="宋体"/>
              </w:rPr>
              <w:t>RGB</w:t>
            </w:r>
          </w:p>
        </w:tc>
        <w:tc>
          <w:tcPr>
            <w:tcW w:w="1869" w:type="dxa"/>
          </w:tcPr>
          <w:p w14:paraId="2BB982C3">
            <w:pPr>
              <w:pStyle w:val="56"/>
              <w:ind w:firstLine="0" w:firstLineChars="0"/>
              <w:jc w:val="center"/>
              <w:rPr>
                <w:rFonts w:hint="eastAsia" w:hAnsi="宋体"/>
              </w:rPr>
            </w:pPr>
            <w:r>
              <w:rPr>
                <w:rFonts w:hAnsi="宋体"/>
              </w:rPr>
              <w:t>238</w:t>
            </w:r>
          </w:p>
        </w:tc>
        <w:tc>
          <w:tcPr>
            <w:tcW w:w="1869" w:type="dxa"/>
          </w:tcPr>
          <w:p w14:paraId="06DA3B00">
            <w:pPr>
              <w:pStyle w:val="56"/>
              <w:ind w:firstLine="0" w:firstLineChars="0"/>
              <w:jc w:val="center"/>
              <w:rPr>
                <w:rFonts w:hint="eastAsia" w:hAnsi="宋体"/>
              </w:rPr>
            </w:pPr>
            <w:r>
              <w:rPr>
                <w:rFonts w:hAnsi="宋体"/>
              </w:rPr>
              <w:t>188</w:t>
            </w:r>
          </w:p>
        </w:tc>
        <w:tc>
          <w:tcPr>
            <w:tcW w:w="1869" w:type="dxa"/>
          </w:tcPr>
          <w:p w14:paraId="7D161F66">
            <w:pPr>
              <w:pStyle w:val="56"/>
              <w:ind w:firstLine="0" w:firstLineChars="0"/>
              <w:jc w:val="center"/>
              <w:rPr>
                <w:rFonts w:hint="eastAsia" w:hAnsi="宋体"/>
              </w:rPr>
            </w:pPr>
            <w:r>
              <w:rPr>
                <w:rFonts w:hAnsi="宋体"/>
              </w:rPr>
              <w:t>163</w:t>
            </w:r>
          </w:p>
        </w:tc>
      </w:tr>
      <w:tr w14:paraId="7B48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5568BB38">
            <w:pPr>
              <w:pStyle w:val="56"/>
              <w:ind w:firstLine="0" w:firstLineChars="0"/>
              <w:jc w:val="center"/>
              <w:rPr>
                <w:rFonts w:hint="eastAsia" w:hAnsi="宋体"/>
              </w:rPr>
            </w:pPr>
            <w:r>
              <w:rPr>
                <w:rFonts w:hAnsi="宋体"/>
              </w:rPr>
              <w:t>3</w:t>
            </w:r>
          </w:p>
        </w:tc>
        <w:tc>
          <w:tcPr>
            <w:tcW w:w="1869" w:type="dxa"/>
          </w:tcPr>
          <w:p w14:paraId="2DE33F8B">
            <w:pPr>
              <w:pStyle w:val="56"/>
              <w:ind w:firstLine="0" w:firstLineChars="0"/>
              <w:jc w:val="center"/>
              <w:rPr>
                <w:rFonts w:hint="eastAsia" w:hAnsi="宋体"/>
              </w:rPr>
            </w:pPr>
            <w:r>
              <w:rPr>
                <w:rFonts w:hAnsi="宋体"/>
              </w:rPr>
              <w:t>RGB</w:t>
            </w:r>
          </w:p>
        </w:tc>
        <w:tc>
          <w:tcPr>
            <w:tcW w:w="1869" w:type="dxa"/>
          </w:tcPr>
          <w:p w14:paraId="02097611">
            <w:pPr>
              <w:pStyle w:val="56"/>
              <w:ind w:firstLine="0" w:firstLineChars="0"/>
              <w:jc w:val="center"/>
              <w:rPr>
                <w:rFonts w:hint="eastAsia" w:hAnsi="宋体"/>
              </w:rPr>
            </w:pPr>
            <w:r>
              <w:rPr>
                <w:rFonts w:hAnsi="宋体"/>
              </w:rPr>
              <w:t>204</w:t>
            </w:r>
          </w:p>
        </w:tc>
        <w:tc>
          <w:tcPr>
            <w:tcW w:w="1869" w:type="dxa"/>
          </w:tcPr>
          <w:p w14:paraId="400310FD">
            <w:pPr>
              <w:pStyle w:val="56"/>
              <w:ind w:firstLine="0" w:firstLineChars="0"/>
              <w:jc w:val="center"/>
              <w:rPr>
                <w:rFonts w:hint="eastAsia" w:hAnsi="宋体"/>
              </w:rPr>
            </w:pPr>
            <w:r>
              <w:rPr>
                <w:rFonts w:hAnsi="宋体"/>
              </w:rPr>
              <w:t>98</w:t>
            </w:r>
          </w:p>
        </w:tc>
        <w:tc>
          <w:tcPr>
            <w:tcW w:w="1869" w:type="dxa"/>
          </w:tcPr>
          <w:p w14:paraId="50AF9733">
            <w:pPr>
              <w:pStyle w:val="56"/>
              <w:ind w:firstLine="0" w:firstLineChars="0"/>
              <w:jc w:val="center"/>
              <w:rPr>
                <w:rFonts w:hint="eastAsia" w:hAnsi="宋体"/>
              </w:rPr>
            </w:pPr>
            <w:r>
              <w:rPr>
                <w:rFonts w:hAnsi="宋体"/>
              </w:rPr>
              <w:t>22</w:t>
            </w:r>
          </w:p>
        </w:tc>
      </w:tr>
      <w:tr w14:paraId="6AE4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201DCDE5">
            <w:pPr>
              <w:pStyle w:val="56"/>
              <w:ind w:firstLine="0" w:firstLineChars="0"/>
              <w:jc w:val="center"/>
              <w:rPr>
                <w:rFonts w:hint="eastAsia" w:hAnsi="宋体"/>
              </w:rPr>
            </w:pPr>
            <w:r>
              <w:rPr>
                <w:rFonts w:hAnsi="宋体"/>
              </w:rPr>
              <w:t>4</w:t>
            </w:r>
          </w:p>
        </w:tc>
        <w:tc>
          <w:tcPr>
            <w:tcW w:w="1869" w:type="dxa"/>
          </w:tcPr>
          <w:p w14:paraId="32708443">
            <w:pPr>
              <w:pStyle w:val="56"/>
              <w:ind w:firstLine="0" w:firstLineChars="0"/>
              <w:jc w:val="center"/>
              <w:rPr>
                <w:rFonts w:hint="eastAsia" w:hAnsi="宋体"/>
              </w:rPr>
            </w:pPr>
            <w:r>
              <w:rPr>
                <w:rFonts w:hAnsi="宋体"/>
              </w:rPr>
              <w:t>RGB</w:t>
            </w:r>
          </w:p>
        </w:tc>
        <w:tc>
          <w:tcPr>
            <w:tcW w:w="1869" w:type="dxa"/>
          </w:tcPr>
          <w:p w14:paraId="218ECF6A">
            <w:pPr>
              <w:pStyle w:val="56"/>
              <w:ind w:firstLine="0" w:firstLineChars="0"/>
              <w:jc w:val="center"/>
              <w:rPr>
                <w:rFonts w:hint="eastAsia" w:hAnsi="宋体"/>
              </w:rPr>
            </w:pPr>
            <w:r>
              <w:rPr>
                <w:rFonts w:hAnsi="宋体"/>
              </w:rPr>
              <w:t>207</w:t>
            </w:r>
          </w:p>
        </w:tc>
        <w:tc>
          <w:tcPr>
            <w:tcW w:w="1869" w:type="dxa"/>
          </w:tcPr>
          <w:p w14:paraId="7EB7DD83">
            <w:pPr>
              <w:pStyle w:val="56"/>
              <w:ind w:firstLine="0" w:firstLineChars="0"/>
              <w:jc w:val="center"/>
              <w:rPr>
                <w:rFonts w:hint="eastAsia" w:hAnsi="宋体"/>
              </w:rPr>
            </w:pPr>
            <w:r>
              <w:rPr>
                <w:rFonts w:hAnsi="宋体"/>
              </w:rPr>
              <w:t>33</w:t>
            </w:r>
          </w:p>
        </w:tc>
        <w:tc>
          <w:tcPr>
            <w:tcW w:w="1869" w:type="dxa"/>
          </w:tcPr>
          <w:p w14:paraId="6EB9D9C8">
            <w:pPr>
              <w:pStyle w:val="56"/>
              <w:ind w:firstLine="0" w:firstLineChars="0"/>
              <w:jc w:val="center"/>
              <w:rPr>
                <w:rFonts w:hint="eastAsia" w:hAnsi="宋体"/>
              </w:rPr>
            </w:pPr>
            <w:r>
              <w:rPr>
                <w:rFonts w:hAnsi="宋体"/>
              </w:rPr>
              <w:t>34</w:t>
            </w:r>
          </w:p>
        </w:tc>
      </w:tr>
      <w:tr w14:paraId="7745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642AE027">
            <w:pPr>
              <w:pStyle w:val="56"/>
              <w:ind w:firstLine="0" w:firstLineChars="0"/>
              <w:jc w:val="center"/>
              <w:rPr>
                <w:rFonts w:hint="eastAsia" w:hAnsi="宋体"/>
              </w:rPr>
            </w:pPr>
            <w:r>
              <w:rPr>
                <w:rFonts w:hAnsi="宋体"/>
              </w:rPr>
              <w:t>5</w:t>
            </w:r>
          </w:p>
        </w:tc>
        <w:tc>
          <w:tcPr>
            <w:tcW w:w="1869" w:type="dxa"/>
          </w:tcPr>
          <w:p w14:paraId="5BE62B7B">
            <w:pPr>
              <w:pStyle w:val="56"/>
              <w:ind w:firstLine="0" w:firstLineChars="0"/>
              <w:jc w:val="center"/>
              <w:rPr>
                <w:rFonts w:hint="eastAsia" w:hAnsi="宋体"/>
              </w:rPr>
            </w:pPr>
            <w:r>
              <w:rPr>
                <w:rFonts w:hAnsi="宋体"/>
              </w:rPr>
              <w:t>RGB</w:t>
            </w:r>
          </w:p>
        </w:tc>
        <w:tc>
          <w:tcPr>
            <w:tcW w:w="1869" w:type="dxa"/>
          </w:tcPr>
          <w:p w14:paraId="281EFC6E">
            <w:pPr>
              <w:pStyle w:val="56"/>
              <w:ind w:firstLine="0" w:firstLineChars="0"/>
              <w:jc w:val="center"/>
              <w:rPr>
                <w:rFonts w:hint="eastAsia" w:hAnsi="宋体"/>
              </w:rPr>
            </w:pPr>
            <w:r>
              <w:rPr>
                <w:rFonts w:hAnsi="宋体"/>
              </w:rPr>
              <w:t>203</w:t>
            </w:r>
          </w:p>
        </w:tc>
        <w:tc>
          <w:tcPr>
            <w:tcW w:w="1869" w:type="dxa"/>
          </w:tcPr>
          <w:p w14:paraId="47C6CD45">
            <w:pPr>
              <w:pStyle w:val="56"/>
              <w:ind w:firstLine="0" w:firstLineChars="0"/>
              <w:jc w:val="center"/>
              <w:rPr>
                <w:rFonts w:hint="eastAsia" w:hAnsi="宋体"/>
              </w:rPr>
            </w:pPr>
            <w:r>
              <w:rPr>
                <w:rFonts w:hAnsi="宋体"/>
              </w:rPr>
              <w:t>18</w:t>
            </w:r>
          </w:p>
        </w:tc>
        <w:tc>
          <w:tcPr>
            <w:tcW w:w="1869" w:type="dxa"/>
          </w:tcPr>
          <w:p w14:paraId="30BDAA95">
            <w:pPr>
              <w:pStyle w:val="56"/>
              <w:ind w:firstLine="0" w:firstLineChars="0"/>
              <w:jc w:val="center"/>
              <w:rPr>
                <w:rFonts w:hint="eastAsia" w:hAnsi="宋体"/>
              </w:rPr>
            </w:pPr>
            <w:r>
              <w:rPr>
                <w:rFonts w:hAnsi="宋体"/>
              </w:rPr>
              <w:t>15</w:t>
            </w:r>
          </w:p>
        </w:tc>
      </w:tr>
      <w:tr w14:paraId="0A49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4DC0F50C">
            <w:pPr>
              <w:pStyle w:val="56"/>
              <w:ind w:firstLine="0" w:firstLineChars="0"/>
              <w:jc w:val="center"/>
              <w:rPr>
                <w:rFonts w:hint="eastAsia" w:hAnsi="宋体"/>
              </w:rPr>
            </w:pPr>
            <w:r>
              <w:rPr>
                <w:rFonts w:hAnsi="宋体"/>
              </w:rPr>
              <w:t>6</w:t>
            </w:r>
          </w:p>
        </w:tc>
        <w:tc>
          <w:tcPr>
            <w:tcW w:w="1869" w:type="dxa"/>
          </w:tcPr>
          <w:p w14:paraId="7E859F1A">
            <w:pPr>
              <w:pStyle w:val="56"/>
              <w:ind w:firstLine="0" w:firstLineChars="0"/>
              <w:jc w:val="center"/>
              <w:rPr>
                <w:rFonts w:hint="eastAsia" w:hAnsi="宋体"/>
              </w:rPr>
            </w:pPr>
            <w:r>
              <w:rPr>
                <w:rFonts w:hAnsi="宋体"/>
              </w:rPr>
              <w:t>RGB</w:t>
            </w:r>
          </w:p>
        </w:tc>
        <w:tc>
          <w:tcPr>
            <w:tcW w:w="1869" w:type="dxa"/>
          </w:tcPr>
          <w:p w14:paraId="6735AF2A">
            <w:pPr>
              <w:pStyle w:val="56"/>
              <w:ind w:firstLine="0" w:firstLineChars="0"/>
              <w:jc w:val="center"/>
              <w:rPr>
                <w:rFonts w:hint="eastAsia" w:hAnsi="宋体"/>
              </w:rPr>
            </w:pPr>
            <w:r>
              <w:rPr>
                <w:rFonts w:hAnsi="宋体"/>
              </w:rPr>
              <w:t>191</w:t>
            </w:r>
          </w:p>
        </w:tc>
        <w:tc>
          <w:tcPr>
            <w:tcW w:w="1869" w:type="dxa"/>
          </w:tcPr>
          <w:p w14:paraId="118DCEE1">
            <w:pPr>
              <w:pStyle w:val="56"/>
              <w:ind w:firstLine="0" w:firstLineChars="0"/>
              <w:jc w:val="center"/>
              <w:rPr>
                <w:rFonts w:hint="eastAsia" w:hAnsi="宋体"/>
              </w:rPr>
            </w:pPr>
            <w:r>
              <w:rPr>
                <w:rFonts w:hAnsi="宋体"/>
              </w:rPr>
              <w:t>21</w:t>
            </w:r>
          </w:p>
        </w:tc>
        <w:tc>
          <w:tcPr>
            <w:tcW w:w="1869" w:type="dxa"/>
          </w:tcPr>
          <w:p w14:paraId="08464171">
            <w:pPr>
              <w:pStyle w:val="56"/>
              <w:ind w:firstLine="0" w:firstLineChars="0"/>
              <w:jc w:val="center"/>
              <w:rPr>
                <w:rFonts w:hint="eastAsia" w:hAnsi="宋体"/>
              </w:rPr>
            </w:pPr>
            <w:r>
              <w:rPr>
                <w:rFonts w:hAnsi="宋体"/>
              </w:rPr>
              <w:t>22</w:t>
            </w:r>
          </w:p>
        </w:tc>
      </w:tr>
      <w:tr w14:paraId="0182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38FF99BB">
            <w:pPr>
              <w:pStyle w:val="56"/>
              <w:ind w:firstLine="0" w:firstLineChars="0"/>
              <w:jc w:val="center"/>
              <w:rPr>
                <w:rFonts w:hint="eastAsia" w:hAnsi="宋体"/>
              </w:rPr>
            </w:pPr>
            <w:r>
              <w:rPr>
                <w:rFonts w:hAnsi="宋体"/>
              </w:rPr>
              <w:t>7</w:t>
            </w:r>
          </w:p>
        </w:tc>
        <w:tc>
          <w:tcPr>
            <w:tcW w:w="1869" w:type="dxa"/>
          </w:tcPr>
          <w:p w14:paraId="40B96A48">
            <w:pPr>
              <w:pStyle w:val="56"/>
              <w:ind w:firstLine="0" w:firstLineChars="0"/>
              <w:jc w:val="center"/>
              <w:rPr>
                <w:rFonts w:hint="eastAsia" w:hAnsi="宋体"/>
              </w:rPr>
            </w:pPr>
            <w:r>
              <w:rPr>
                <w:rFonts w:hAnsi="宋体"/>
              </w:rPr>
              <w:t>RGB</w:t>
            </w:r>
          </w:p>
        </w:tc>
        <w:tc>
          <w:tcPr>
            <w:tcW w:w="1869" w:type="dxa"/>
          </w:tcPr>
          <w:p w14:paraId="242F33B6">
            <w:pPr>
              <w:pStyle w:val="56"/>
              <w:ind w:firstLine="0" w:firstLineChars="0"/>
              <w:jc w:val="center"/>
              <w:rPr>
                <w:rFonts w:hint="eastAsia" w:hAnsi="宋体"/>
              </w:rPr>
            </w:pPr>
            <w:r>
              <w:rPr>
                <w:rFonts w:hAnsi="宋体"/>
              </w:rPr>
              <w:t>178</w:t>
            </w:r>
          </w:p>
        </w:tc>
        <w:tc>
          <w:tcPr>
            <w:tcW w:w="1869" w:type="dxa"/>
          </w:tcPr>
          <w:p w14:paraId="41DF81A4">
            <w:pPr>
              <w:pStyle w:val="56"/>
              <w:ind w:firstLine="0" w:firstLineChars="0"/>
              <w:jc w:val="center"/>
              <w:rPr>
                <w:rFonts w:hint="eastAsia" w:hAnsi="宋体"/>
              </w:rPr>
            </w:pPr>
            <w:r>
              <w:rPr>
                <w:rFonts w:hAnsi="宋体"/>
              </w:rPr>
              <w:t>10</w:t>
            </w:r>
          </w:p>
        </w:tc>
        <w:tc>
          <w:tcPr>
            <w:tcW w:w="1869" w:type="dxa"/>
          </w:tcPr>
          <w:p w14:paraId="367D5715">
            <w:pPr>
              <w:pStyle w:val="56"/>
              <w:ind w:firstLine="0" w:firstLineChars="0"/>
              <w:jc w:val="center"/>
              <w:rPr>
                <w:rFonts w:hint="eastAsia" w:hAnsi="宋体"/>
              </w:rPr>
            </w:pPr>
            <w:r>
              <w:rPr>
                <w:rFonts w:hAnsi="宋体"/>
              </w:rPr>
              <w:t>25</w:t>
            </w:r>
          </w:p>
        </w:tc>
      </w:tr>
      <w:tr w14:paraId="652C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8" w:type="dxa"/>
          </w:tcPr>
          <w:p w14:paraId="0775E169">
            <w:pPr>
              <w:pStyle w:val="56"/>
              <w:ind w:firstLine="0" w:firstLineChars="0"/>
              <w:jc w:val="center"/>
              <w:rPr>
                <w:rFonts w:hint="eastAsia" w:hAnsi="宋体"/>
              </w:rPr>
            </w:pPr>
            <w:r>
              <w:rPr>
                <w:rFonts w:hAnsi="宋体"/>
              </w:rPr>
              <w:t>8</w:t>
            </w:r>
          </w:p>
        </w:tc>
        <w:tc>
          <w:tcPr>
            <w:tcW w:w="1869" w:type="dxa"/>
          </w:tcPr>
          <w:p w14:paraId="505539F5">
            <w:pPr>
              <w:pStyle w:val="56"/>
              <w:ind w:firstLine="0" w:firstLineChars="0"/>
              <w:jc w:val="center"/>
              <w:rPr>
                <w:rFonts w:hint="eastAsia" w:hAnsi="宋体"/>
              </w:rPr>
            </w:pPr>
            <w:r>
              <w:rPr>
                <w:rFonts w:hAnsi="宋体"/>
              </w:rPr>
              <w:t>RGB</w:t>
            </w:r>
          </w:p>
        </w:tc>
        <w:tc>
          <w:tcPr>
            <w:tcW w:w="1869" w:type="dxa"/>
          </w:tcPr>
          <w:p w14:paraId="709D55EA">
            <w:pPr>
              <w:pStyle w:val="56"/>
              <w:ind w:firstLine="0" w:firstLineChars="0"/>
              <w:jc w:val="center"/>
              <w:rPr>
                <w:rFonts w:hint="eastAsia" w:hAnsi="宋体"/>
              </w:rPr>
            </w:pPr>
            <w:r>
              <w:rPr>
                <w:rFonts w:hAnsi="宋体"/>
              </w:rPr>
              <w:t>150</w:t>
            </w:r>
          </w:p>
        </w:tc>
        <w:tc>
          <w:tcPr>
            <w:tcW w:w="1869" w:type="dxa"/>
          </w:tcPr>
          <w:p w14:paraId="5EF5D55C">
            <w:pPr>
              <w:pStyle w:val="56"/>
              <w:ind w:firstLine="0" w:firstLineChars="0"/>
              <w:jc w:val="center"/>
              <w:rPr>
                <w:rFonts w:hint="eastAsia" w:hAnsi="宋体"/>
              </w:rPr>
            </w:pPr>
            <w:r>
              <w:rPr>
                <w:rFonts w:hAnsi="宋体"/>
              </w:rPr>
              <w:t>15</w:t>
            </w:r>
          </w:p>
        </w:tc>
        <w:tc>
          <w:tcPr>
            <w:tcW w:w="1869" w:type="dxa"/>
          </w:tcPr>
          <w:p w14:paraId="1807253B">
            <w:pPr>
              <w:pStyle w:val="56"/>
              <w:ind w:firstLine="0" w:firstLineChars="0"/>
              <w:jc w:val="center"/>
              <w:rPr>
                <w:rFonts w:hint="eastAsia" w:hAnsi="宋体"/>
              </w:rPr>
            </w:pPr>
            <w:r>
              <w:rPr>
                <w:rFonts w:hAnsi="宋体"/>
              </w:rPr>
              <w:t>21</w:t>
            </w:r>
          </w:p>
        </w:tc>
      </w:tr>
    </w:tbl>
    <w:p w14:paraId="677F5C5E">
      <w:pPr>
        <w:pStyle w:val="56"/>
        <w:ind w:firstLine="0" w:firstLineChars="0"/>
      </w:pPr>
    </w:p>
    <w:p w14:paraId="1C078221">
      <w:pPr>
        <w:pStyle w:val="56"/>
        <w:ind w:firstLine="420"/>
      </w:pPr>
    </w:p>
    <w:p w14:paraId="6717E8C1">
      <w:pPr>
        <w:pStyle w:val="56"/>
        <w:ind w:firstLine="420"/>
        <w:sectPr>
          <w:pgSz w:w="11906" w:h="16838"/>
          <w:pgMar w:top="1928" w:right="1134" w:bottom="1134" w:left="1134" w:header="1418" w:footer="1134" w:gutter="284"/>
          <w:cols w:space="425" w:num="1"/>
          <w:formProt w:val="0"/>
          <w:docGrid w:linePitch="312" w:charSpace="0"/>
        </w:sectPr>
      </w:pPr>
    </w:p>
    <w:p w14:paraId="1B4919DE">
      <w:pPr>
        <w:pStyle w:val="198"/>
        <w:rPr>
          <w:rFonts w:hint="eastAsia"/>
          <w:vanish w:val="0"/>
        </w:rPr>
      </w:pPr>
    </w:p>
    <w:p w14:paraId="5E7226C0">
      <w:pPr>
        <w:pStyle w:val="199"/>
        <w:rPr>
          <w:vanish w:val="0"/>
        </w:rPr>
      </w:pPr>
    </w:p>
    <w:p w14:paraId="5C456A11">
      <w:pPr>
        <w:pStyle w:val="76"/>
        <w:spacing w:after="120"/>
      </w:pPr>
      <w:r>
        <w:br w:type="textWrapping"/>
      </w:r>
      <w:bookmarkStart w:id="101" w:name="_Toc197888163"/>
      <w:bookmarkStart w:id="102" w:name="_Toc198892535"/>
      <w:bookmarkStart w:id="103" w:name="_Toc197867603"/>
      <w:bookmarkStart w:id="104" w:name="_Toc197861382"/>
      <w:r>
        <w:rPr>
          <w:rFonts w:hint="eastAsia"/>
        </w:rPr>
        <w:t>（规范性）</w:t>
      </w:r>
      <w:r>
        <w:br w:type="textWrapping"/>
      </w:r>
      <w:r>
        <w:rPr>
          <w:rFonts w:hint="eastAsia"/>
        </w:rPr>
        <w:t>综合评定规则</w:t>
      </w:r>
      <w:bookmarkEnd w:id="101"/>
      <w:bookmarkEnd w:id="102"/>
      <w:bookmarkEnd w:id="103"/>
      <w:bookmarkEnd w:id="104"/>
    </w:p>
    <w:p w14:paraId="6E02F19A">
      <w:pPr>
        <w:pStyle w:val="56"/>
        <w:ind w:firstLine="420"/>
      </w:pPr>
      <w:r>
        <w:rPr>
          <w:rFonts w:hint="eastAsia"/>
        </w:rPr>
        <w:t>表C.1是瘦肉型牛肉质量分级综合评定规则。</w:t>
      </w:r>
    </w:p>
    <w:p w14:paraId="01FBA293">
      <w:pPr>
        <w:pStyle w:val="77"/>
        <w:spacing w:before="120" w:after="120"/>
      </w:pPr>
      <w:r>
        <w:rPr>
          <w:rFonts w:hint="eastAsia"/>
        </w:rPr>
        <w:t>综合评定规则</w:t>
      </w:r>
    </w:p>
    <w:tbl>
      <w:tblPr>
        <w:tblStyle w:val="27"/>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6"/>
        <w:gridCol w:w="817"/>
        <w:gridCol w:w="817"/>
        <w:gridCol w:w="1096"/>
        <w:gridCol w:w="1097"/>
        <w:gridCol w:w="1096"/>
        <w:gridCol w:w="1097"/>
        <w:gridCol w:w="1096"/>
        <w:gridCol w:w="1097"/>
      </w:tblGrid>
      <w:tr w14:paraId="78ED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6" w:type="dxa"/>
            <w:tcBorders>
              <w:top w:val="single" w:color="auto" w:sz="4" w:space="0"/>
              <w:left w:val="single" w:color="auto" w:sz="4" w:space="0"/>
              <w:bottom w:val="single" w:color="auto" w:sz="4" w:space="0"/>
              <w:right w:val="single" w:color="auto" w:sz="4" w:space="0"/>
            </w:tcBorders>
            <w:vAlign w:val="center"/>
          </w:tcPr>
          <w:p w14:paraId="2D989E2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指标类型</w:t>
            </w: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52F8BD60">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指标名称</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2B85EFFB">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A+</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4C543D6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A</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56C5AF9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B</w:t>
            </w:r>
          </w:p>
        </w:tc>
      </w:tr>
      <w:tr w14:paraId="06A1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6" w:type="dxa"/>
            <w:vMerge w:val="restart"/>
            <w:tcBorders>
              <w:top w:val="nil"/>
              <w:left w:val="single" w:color="auto" w:sz="4" w:space="0"/>
              <w:bottom w:val="single" w:color="auto" w:sz="4" w:space="0"/>
              <w:right w:val="single" w:color="auto" w:sz="4" w:space="0"/>
            </w:tcBorders>
            <w:vAlign w:val="center"/>
          </w:tcPr>
          <w:p w14:paraId="4E84BBA7">
            <w:pPr>
              <w:autoSpaceDE w:val="0"/>
              <w:autoSpaceDN w:val="0"/>
              <w:spacing w:line="240" w:lineRule="auto"/>
              <w:jc w:val="center"/>
              <w:rPr>
                <w:rFonts w:hint="eastAsia" w:ascii="宋体" w:hAnsi="宋体"/>
                <w:kern w:val="0"/>
                <w:sz w:val="18"/>
                <w:szCs w:val="18"/>
              </w:rPr>
            </w:pPr>
            <w:r>
              <w:rPr>
                <w:rFonts w:ascii="宋体" w:hAnsi="宋体"/>
                <w:kern w:val="0"/>
                <w:sz w:val="18"/>
                <w:szCs w:val="18"/>
              </w:rPr>
              <w:t>核心指标</w:t>
            </w: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551FD19B">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屠宰率</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40B8FC47">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≥58.0%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13B308E3">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56.0%</w:t>
            </w:r>
            <w:r>
              <w:rPr>
                <w:rFonts w:ascii="Times New Roman" w:hAnsi="Times New Roman"/>
                <w:kern w:val="0"/>
                <w:sz w:val="18"/>
                <w:szCs w:val="18"/>
              </w:rPr>
              <w:t>~</w:t>
            </w:r>
            <w:r>
              <w:rPr>
                <w:rFonts w:ascii="宋体" w:hAnsi="宋体"/>
                <w:kern w:val="0"/>
                <w:sz w:val="18"/>
                <w:szCs w:val="18"/>
              </w:rPr>
              <w:t>57.9%</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56689ED1">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54.0%</w:t>
            </w:r>
            <w:r>
              <w:rPr>
                <w:rFonts w:ascii="Times New Roman" w:hAnsi="Times New Roman"/>
                <w:kern w:val="0"/>
                <w:sz w:val="18"/>
                <w:szCs w:val="18"/>
              </w:rPr>
              <w:t>~</w:t>
            </w:r>
            <w:r>
              <w:rPr>
                <w:rFonts w:ascii="宋体" w:hAnsi="宋体"/>
                <w:kern w:val="0"/>
                <w:sz w:val="18"/>
                <w:szCs w:val="18"/>
              </w:rPr>
              <w:t>55.9%</w:t>
            </w:r>
          </w:p>
        </w:tc>
      </w:tr>
      <w:tr w14:paraId="68C1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7FBDD9BC">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3156F04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净肉率</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6F4C3AFD">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≥42.0%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5A7FF76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40.0%</w:t>
            </w:r>
            <w:r>
              <w:rPr>
                <w:rFonts w:ascii="Times New Roman" w:hAnsi="Times New Roman"/>
                <w:kern w:val="0"/>
                <w:sz w:val="18"/>
                <w:szCs w:val="18"/>
              </w:rPr>
              <w:t>~</w:t>
            </w:r>
            <w:r>
              <w:rPr>
                <w:rFonts w:ascii="宋体" w:hAnsi="宋体"/>
                <w:kern w:val="0"/>
                <w:sz w:val="18"/>
                <w:szCs w:val="18"/>
              </w:rPr>
              <w:t>41.9%</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7A429E5A">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38.0%</w:t>
            </w:r>
            <w:r>
              <w:rPr>
                <w:rFonts w:ascii="Times New Roman" w:hAnsi="Times New Roman"/>
                <w:kern w:val="0"/>
                <w:sz w:val="18"/>
                <w:szCs w:val="18"/>
              </w:rPr>
              <w:t>~</w:t>
            </w:r>
            <w:r>
              <w:rPr>
                <w:rFonts w:ascii="宋体" w:hAnsi="宋体"/>
                <w:kern w:val="0"/>
                <w:sz w:val="18"/>
                <w:szCs w:val="18"/>
              </w:rPr>
              <w:t>39.9%</w:t>
            </w:r>
          </w:p>
        </w:tc>
      </w:tr>
      <w:tr w14:paraId="69AF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6FC3138A">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29D18CD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肉色</w:t>
            </w:r>
          </w:p>
        </w:tc>
        <w:tc>
          <w:tcPr>
            <w:tcW w:w="4386" w:type="dxa"/>
            <w:gridSpan w:val="4"/>
            <w:tcBorders>
              <w:top w:val="single" w:color="auto" w:sz="4" w:space="0"/>
              <w:left w:val="single" w:color="auto" w:sz="4" w:space="0"/>
              <w:bottom w:val="single" w:color="auto" w:sz="4" w:space="0"/>
              <w:right w:val="single" w:color="auto" w:sz="4" w:space="0"/>
            </w:tcBorders>
            <w:vAlign w:val="center"/>
          </w:tcPr>
          <w:p w14:paraId="671604AD">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4</w:t>
            </w:r>
            <w:r>
              <w:rPr>
                <w:rFonts w:ascii="Times New Roman" w:hAnsi="Times New Roman"/>
                <w:kern w:val="0"/>
                <w:sz w:val="18"/>
                <w:szCs w:val="18"/>
              </w:rPr>
              <w:t>~</w:t>
            </w:r>
            <w:r>
              <w:rPr>
                <w:rFonts w:ascii="宋体" w:hAnsi="宋体"/>
                <w:kern w:val="0"/>
                <w:sz w:val="18"/>
                <w:szCs w:val="18"/>
              </w:rPr>
              <w:t>7级</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52BE4D7E">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3级、8级</w:t>
            </w:r>
          </w:p>
        </w:tc>
      </w:tr>
      <w:tr w14:paraId="772C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760" w:type="dxa"/>
            <w:gridSpan w:val="3"/>
            <w:tcBorders>
              <w:top w:val="single" w:color="auto" w:sz="4" w:space="0"/>
              <w:left w:val="single" w:color="auto" w:sz="4" w:space="0"/>
              <w:bottom w:val="single" w:color="auto" w:sz="4" w:space="0"/>
              <w:right w:val="single" w:color="auto" w:sz="4" w:space="0"/>
            </w:tcBorders>
            <w:vAlign w:val="center"/>
          </w:tcPr>
          <w:p w14:paraId="16DE639F">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测定部位</w:t>
            </w:r>
          </w:p>
        </w:tc>
        <w:tc>
          <w:tcPr>
            <w:tcW w:w="1096" w:type="dxa"/>
            <w:tcBorders>
              <w:top w:val="single" w:color="auto" w:sz="4" w:space="0"/>
              <w:left w:val="single" w:color="auto" w:sz="4" w:space="0"/>
              <w:bottom w:val="single" w:color="auto" w:sz="4" w:space="0"/>
              <w:right w:val="single" w:color="auto" w:sz="4" w:space="0"/>
            </w:tcBorders>
            <w:vAlign w:val="center"/>
          </w:tcPr>
          <w:p w14:paraId="6CA083EE">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腹肉</w:t>
            </w:r>
          </w:p>
        </w:tc>
        <w:tc>
          <w:tcPr>
            <w:tcW w:w="1097" w:type="dxa"/>
            <w:tcBorders>
              <w:top w:val="single" w:color="auto" w:sz="4" w:space="0"/>
              <w:left w:val="single" w:color="auto" w:sz="4" w:space="0"/>
              <w:bottom w:val="single" w:color="auto" w:sz="4" w:space="0"/>
              <w:right w:val="single" w:color="auto" w:sz="4" w:space="0"/>
            </w:tcBorders>
            <w:vAlign w:val="center"/>
          </w:tcPr>
          <w:p w14:paraId="64F23200">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大黄瓜条</w:t>
            </w:r>
          </w:p>
        </w:tc>
        <w:tc>
          <w:tcPr>
            <w:tcW w:w="1096" w:type="dxa"/>
            <w:tcBorders>
              <w:top w:val="single" w:color="auto" w:sz="4" w:space="0"/>
              <w:left w:val="single" w:color="auto" w:sz="4" w:space="0"/>
              <w:bottom w:val="single" w:color="auto" w:sz="4" w:space="0"/>
              <w:right w:val="single" w:color="auto" w:sz="4" w:space="0"/>
            </w:tcBorders>
            <w:vAlign w:val="center"/>
          </w:tcPr>
          <w:p w14:paraId="3A75239C">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腹肉</w:t>
            </w:r>
          </w:p>
        </w:tc>
        <w:tc>
          <w:tcPr>
            <w:tcW w:w="1097" w:type="dxa"/>
            <w:tcBorders>
              <w:top w:val="single" w:color="auto" w:sz="4" w:space="0"/>
              <w:left w:val="single" w:color="auto" w:sz="4" w:space="0"/>
              <w:bottom w:val="single" w:color="auto" w:sz="4" w:space="0"/>
              <w:right w:val="single" w:color="auto" w:sz="4" w:space="0"/>
            </w:tcBorders>
            <w:vAlign w:val="center"/>
          </w:tcPr>
          <w:p w14:paraId="3AE3E9F2">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大黄瓜条</w:t>
            </w:r>
          </w:p>
        </w:tc>
        <w:tc>
          <w:tcPr>
            <w:tcW w:w="1096" w:type="dxa"/>
            <w:tcBorders>
              <w:top w:val="single" w:color="auto" w:sz="4" w:space="0"/>
              <w:left w:val="single" w:color="auto" w:sz="4" w:space="0"/>
              <w:bottom w:val="single" w:color="auto" w:sz="4" w:space="0"/>
              <w:right w:val="single" w:color="auto" w:sz="4" w:space="0"/>
            </w:tcBorders>
            <w:vAlign w:val="center"/>
          </w:tcPr>
          <w:p w14:paraId="5492AD53">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腹肉</w:t>
            </w:r>
          </w:p>
        </w:tc>
        <w:tc>
          <w:tcPr>
            <w:tcW w:w="1097" w:type="dxa"/>
            <w:tcBorders>
              <w:top w:val="single" w:color="auto" w:sz="4" w:space="0"/>
              <w:left w:val="single" w:color="auto" w:sz="4" w:space="0"/>
              <w:bottom w:val="single" w:color="auto" w:sz="4" w:space="0"/>
              <w:right w:val="single" w:color="auto" w:sz="4" w:space="0"/>
            </w:tcBorders>
            <w:vAlign w:val="center"/>
          </w:tcPr>
          <w:p w14:paraId="1A101CC6">
            <w:pPr>
              <w:widowControl/>
              <w:autoSpaceDE w:val="0"/>
              <w:autoSpaceDN w:val="0"/>
              <w:spacing w:line="240" w:lineRule="auto"/>
              <w:jc w:val="center"/>
              <w:rPr>
                <w:rFonts w:hint="eastAsia" w:ascii="宋体" w:hAnsi="宋体"/>
                <w:b/>
                <w:bCs/>
                <w:kern w:val="0"/>
                <w:sz w:val="18"/>
                <w:szCs w:val="18"/>
              </w:rPr>
            </w:pPr>
            <w:r>
              <w:rPr>
                <w:rFonts w:ascii="宋体" w:hAnsi="宋体"/>
                <w:b/>
                <w:bCs/>
                <w:kern w:val="0"/>
                <w:sz w:val="18"/>
                <w:szCs w:val="18"/>
              </w:rPr>
              <w:t>大黄瓜条</w:t>
            </w:r>
          </w:p>
        </w:tc>
      </w:tr>
      <w:tr w14:paraId="54E1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6" w:type="dxa"/>
            <w:vMerge w:val="restart"/>
            <w:tcBorders>
              <w:top w:val="nil"/>
              <w:left w:val="single" w:color="auto" w:sz="4" w:space="0"/>
              <w:bottom w:val="single" w:color="auto" w:sz="4" w:space="0"/>
              <w:right w:val="single" w:color="auto" w:sz="4" w:space="0"/>
            </w:tcBorders>
            <w:vAlign w:val="center"/>
          </w:tcPr>
          <w:p w14:paraId="07033762">
            <w:pPr>
              <w:widowControl/>
              <w:spacing w:line="240" w:lineRule="auto"/>
              <w:jc w:val="center"/>
              <w:rPr>
                <w:rFonts w:hint="eastAsia" w:ascii="宋体" w:hAnsi="宋体"/>
                <w:kern w:val="0"/>
                <w:sz w:val="18"/>
                <w:szCs w:val="18"/>
              </w:rPr>
            </w:pPr>
            <w:r>
              <w:rPr>
                <w:rFonts w:hint="eastAsia" w:ascii="宋体" w:hAnsi="宋体"/>
                <w:kern w:val="0"/>
                <w:sz w:val="18"/>
                <w:szCs w:val="18"/>
              </w:rPr>
              <w:t>营养风味</w:t>
            </w:r>
          </w:p>
          <w:p w14:paraId="217059E2">
            <w:pPr>
              <w:widowControl/>
              <w:spacing w:line="240" w:lineRule="auto"/>
              <w:jc w:val="center"/>
              <w:rPr>
                <w:rFonts w:hint="eastAsia" w:ascii="宋体" w:hAnsi="宋体"/>
                <w:kern w:val="0"/>
                <w:sz w:val="18"/>
                <w:szCs w:val="18"/>
              </w:rPr>
            </w:pPr>
            <w:r>
              <w:rPr>
                <w:rFonts w:hint="eastAsia" w:ascii="宋体" w:hAnsi="宋体"/>
                <w:kern w:val="0"/>
                <w:sz w:val="18"/>
                <w:szCs w:val="18"/>
              </w:rPr>
              <w:t>理化指标</w:t>
            </w: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6E34FE2D">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蛋白质</w:t>
            </w:r>
            <w:r>
              <w:rPr>
                <w:rFonts w:hint="eastAsia" w:ascii="宋体" w:hAnsi="宋体"/>
                <w:kern w:val="0"/>
                <w:sz w:val="18"/>
                <w:szCs w:val="18"/>
              </w:rPr>
              <w:t>（g/100g）</w:t>
            </w:r>
          </w:p>
        </w:tc>
        <w:tc>
          <w:tcPr>
            <w:tcW w:w="1096" w:type="dxa"/>
            <w:tcBorders>
              <w:top w:val="single" w:color="auto" w:sz="4" w:space="0"/>
              <w:left w:val="single" w:color="auto" w:sz="4" w:space="0"/>
              <w:bottom w:val="single" w:color="auto" w:sz="4" w:space="0"/>
              <w:right w:val="single" w:color="auto" w:sz="4" w:space="0"/>
            </w:tcBorders>
            <w:vAlign w:val="center"/>
          </w:tcPr>
          <w:p w14:paraId="020804B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≥18.0</w:t>
            </w:r>
          </w:p>
        </w:tc>
        <w:tc>
          <w:tcPr>
            <w:tcW w:w="1097" w:type="dxa"/>
            <w:tcBorders>
              <w:top w:val="single" w:color="auto" w:sz="4" w:space="0"/>
              <w:left w:val="single" w:color="auto" w:sz="4" w:space="0"/>
              <w:bottom w:val="single" w:color="auto" w:sz="4" w:space="0"/>
              <w:right w:val="single" w:color="auto" w:sz="4" w:space="0"/>
            </w:tcBorders>
            <w:vAlign w:val="center"/>
          </w:tcPr>
          <w:p w14:paraId="08A926B7">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≥2</w:t>
            </w:r>
            <w:r>
              <w:rPr>
                <w:rFonts w:hint="eastAsia" w:ascii="宋体" w:hAnsi="宋体"/>
                <w:kern w:val="0"/>
                <w:sz w:val="18"/>
                <w:szCs w:val="18"/>
              </w:rPr>
              <w:t>3</w:t>
            </w:r>
            <w:r>
              <w:rPr>
                <w:rFonts w:ascii="宋体" w:hAnsi="宋体"/>
                <w:kern w:val="0"/>
                <w:sz w:val="18"/>
                <w:szCs w:val="18"/>
              </w:rPr>
              <w:t>.0</w:t>
            </w:r>
          </w:p>
        </w:tc>
        <w:tc>
          <w:tcPr>
            <w:tcW w:w="1096" w:type="dxa"/>
            <w:tcBorders>
              <w:top w:val="single" w:color="auto" w:sz="4" w:space="0"/>
              <w:left w:val="single" w:color="auto" w:sz="4" w:space="0"/>
              <w:bottom w:val="single" w:color="auto" w:sz="4" w:space="0"/>
              <w:right w:val="single" w:color="auto" w:sz="4" w:space="0"/>
            </w:tcBorders>
            <w:vAlign w:val="center"/>
          </w:tcPr>
          <w:p w14:paraId="5C3EEC3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17.0</w:t>
            </w:r>
            <w:r>
              <w:rPr>
                <w:rFonts w:ascii="Times New Roman" w:hAnsi="Times New Roman"/>
                <w:kern w:val="0"/>
                <w:sz w:val="18"/>
                <w:szCs w:val="18"/>
              </w:rPr>
              <w:t>~</w:t>
            </w:r>
            <w:r>
              <w:rPr>
                <w:rFonts w:ascii="宋体" w:hAnsi="宋体"/>
                <w:kern w:val="0"/>
                <w:sz w:val="18"/>
                <w:szCs w:val="18"/>
              </w:rPr>
              <w:t>17.9</w:t>
            </w:r>
          </w:p>
        </w:tc>
        <w:tc>
          <w:tcPr>
            <w:tcW w:w="1097" w:type="dxa"/>
            <w:tcBorders>
              <w:top w:val="single" w:color="auto" w:sz="4" w:space="0"/>
              <w:left w:val="single" w:color="auto" w:sz="4" w:space="0"/>
              <w:bottom w:val="single" w:color="auto" w:sz="4" w:space="0"/>
              <w:right w:val="single" w:color="auto" w:sz="4" w:space="0"/>
            </w:tcBorders>
            <w:vAlign w:val="center"/>
          </w:tcPr>
          <w:p w14:paraId="74F99BA4">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20</w:t>
            </w:r>
            <w:r>
              <w:rPr>
                <w:rFonts w:ascii="宋体" w:hAnsi="宋体"/>
                <w:kern w:val="0"/>
                <w:sz w:val="18"/>
                <w:szCs w:val="18"/>
              </w:rPr>
              <w:t>.0</w:t>
            </w:r>
            <w:r>
              <w:rPr>
                <w:rFonts w:ascii="Times New Roman" w:hAnsi="Times New Roman"/>
                <w:kern w:val="0"/>
                <w:sz w:val="18"/>
                <w:szCs w:val="18"/>
              </w:rPr>
              <w:t>~</w:t>
            </w:r>
            <w:r>
              <w:rPr>
                <w:rFonts w:ascii="宋体" w:hAnsi="宋体"/>
                <w:kern w:val="0"/>
                <w:sz w:val="18"/>
                <w:szCs w:val="18"/>
              </w:rPr>
              <w:t>2</w:t>
            </w:r>
            <w:r>
              <w:rPr>
                <w:rFonts w:hint="eastAsia" w:ascii="宋体" w:hAnsi="宋体"/>
                <w:kern w:val="0"/>
                <w:sz w:val="18"/>
                <w:szCs w:val="18"/>
              </w:rPr>
              <w:t>2</w:t>
            </w:r>
            <w:r>
              <w:rPr>
                <w:rFonts w:ascii="宋体" w:hAnsi="宋体"/>
                <w:kern w:val="0"/>
                <w:sz w:val="18"/>
                <w:szCs w:val="18"/>
              </w:rPr>
              <w:t>.9</w:t>
            </w:r>
          </w:p>
        </w:tc>
        <w:tc>
          <w:tcPr>
            <w:tcW w:w="1096" w:type="dxa"/>
            <w:tcBorders>
              <w:top w:val="single" w:color="auto" w:sz="4" w:space="0"/>
              <w:left w:val="single" w:color="auto" w:sz="4" w:space="0"/>
              <w:bottom w:val="single" w:color="auto" w:sz="4" w:space="0"/>
              <w:right w:val="single" w:color="auto" w:sz="4" w:space="0"/>
            </w:tcBorders>
            <w:vAlign w:val="center"/>
          </w:tcPr>
          <w:p w14:paraId="26D4DC0A">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16.0</w:t>
            </w:r>
            <w:r>
              <w:rPr>
                <w:rFonts w:ascii="Times New Roman" w:hAnsi="Times New Roman"/>
                <w:kern w:val="0"/>
                <w:sz w:val="18"/>
                <w:szCs w:val="18"/>
              </w:rPr>
              <w:t>~</w:t>
            </w:r>
            <w:r>
              <w:rPr>
                <w:rFonts w:ascii="宋体" w:hAnsi="宋体"/>
                <w:kern w:val="0"/>
                <w:sz w:val="18"/>
                <w:szCs w:val="18"/>
              </w:rPr>
              <w:t>16.9</w:t>
            </w:r>
          </w:p>
        </w:tc>
        <w:tc>
          <w:tcPr>
            <w:tcW w:w="1097" w:type="dxa"/>
            <w:tcBorders>
              <w:top w:val="single" w:color="auto" w:sz="4" w:space="0"/>
              <w:left w:val="single" w:color="auto" w:sz="4" w:space="0"/>
              <w:bottom w:val="single" w:color="auto" w:sz="4" w:space="0"/>
              <w:right w:val="single" w:color="auto" w:sz="4" w:space="0"/>
            </w:tcBorders>
            <w:vAlign w:val="center"/>
          </w:tcPr>
          <w:p w14:paraId="4F0A300B">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18.0</w:t>
            </w:r>
            <w:r>
              <w:rPr>
                <w:rFonts w:ascii="Times New Roman" w:hAnsi="Times New Roman"/>
                <w:kern w:val="0"/>
                <w:sz w:val="18"/>
                <w:szCs w:val="18"/>
              </w:rPr>
              <w:t>~</w:t>
            </w:r>
            <w:r>
              <w:rPr>
                <w:rFonts w:ascii="宋体" w:hAnsi="宋体"/>
                <w:kern w:val="0"/>
                <w:sz w:val="18"/>
                <w:szCs w:val="18"/>
              </w:rPr>
              <w:t>1</w:t>
            </w:r>
            <w:r>
              <w:rPr>
                <w:rFonts w:hint="eastAsia" w:ascii="宋体" w:hAnsi="宋体"/>
                <w:kern w:val="0"/>
                <w:sz w:val="18"/>
                <w:szCs w:val="18"/>
              </w:rPr>
              <w:t>9</w:t>
            </w:r>
            <w:r>
              <w:rPr>
                <w:rFonts w:ascii="宋体" w:hAnsi="宋体"/>
                <w:kern w:val="0"/>
                <w:sz w:val="18"/>
                <w:szCs w:val="18"/>
              </w:rPr>
              <w:t>.9</w:t>
            </w:r>
          </w:p>
        </w:tc>
      </w:tr>
      <w:tr w14:paraId="716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79CC2125">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272084F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总氨基酸</w:t>
            </w:r>
            <w:r>
              <w:rPr>
                <w:rFonts w:hint="eastAsia" w:ascii="宋体" w:hAnsi="宋体"/>
                <w:kern w:val="0"/>
                <w:sz w:val="18"/>
                <w:szCs w:val="18"/>
              </w:rPr>
              <w:t>（g/100g）</w:t>
            </w:r>
          </w:p>
        </w:tc>
        <w:tc>
          <w:tcPr>
            <w:tcW w:w="1096" w:type="dxa"/>
            <w:tcBorders>
              <w:top w:val="single" w:color="auto" w:sz="4" w:space="0"/>
              <w:left w:val="single" w:color="auto" w:sz="4" w:space="0"/>
              <w:bottom w:val="single" w:color="auto" w:sz="4" w:space="0"/>
              <w:right w:val="single" w:color="auto" w:sz="4" w:space="0"/>
            </w:tcBorders>
            <w:vAlign w:val="center"/>
          </w:tcPr>
          <w:p w14:paraId="259A1A1A">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≥18.0</w:t>
            </w:r>
          </w:p>
        </w:tc>
        <w:tc>
          <w:tcPr>
            <w:tcW w:w="1097" w:type="dxa"/>
            <w:tcBorders>
              <w:top w:val="single" w:color="auto" w:sz="4" w:space="0"/>
              <w:left w:val="single" w:color="auto" w:sz="4" w:space="0"/>
              <w:bottom w:val="single" w:color="auto" w:sz="4" w:space="0"/>
              <w:right w:val="single" w:color="auto" w:sz="4" w:space="0"/>
            </w:tcBorders>
            <w:vAlign w:val="center"/>
          </w:tcPr>
          <w:p w14:paraId="23E82287">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≥21.0</w:t>
            </w:r>
          </w:p>
        </w:tc>
        <w:tc>
          <w:tcPr>
            <w:tcW w:w="1096" w:type="dxa"/>
            <w:tcBorders>
              <w:top w:val="single" w:color="auto" w:sz="4" w:space="0"/>
              <w:left w:val="single" w:color="auto" w:sz="4" w:space="0"/>
              <w:bottom w:val="single" w:color="auto" w:sz="4" w:space="0"/>
              <w:right w:val="single" w:color="auto" w:sz="4" w:space="0"/>
            </w:tcBorders>
            <w:vAlign w:val="center"/>
          </w:tcPr>
          <w:p w14:paraId="1B8148AC">
            <w:pPr>
              <w:widowControl/>
              <w:autoSpaceDE w:val="0"/>
              <w:autoSpaceDN w:val="0"/>
              <w:spacing w:line="240" w:lineRule="auto"/>
              <w:jc w:val="center"/>
              <w:rPr>
                <w:rFonts w:hint="eastAsia" w:ascii="宋体" w:hAnsi="宋体"/>
                <w:kern w:val="0"/>
                <w:sz w:val="18"/>
                <w:szCs w:val="18"/>
              </w:rPr>
            </w:pPr>
            <w:r>
              <w:rPr>
                <w:rFonts w:hint="eastAsia" w:ascii="宋体" w:hAnsi="Times New Roman"/>
                <w:kern w:val="0"/>
                <w:sz w:val="18"/>
                <w:szCs w:val="18"/>
              </w:rPr>
              <w:t>16.0</w:t>
            </w:r>
            <w:r>
              <w:rPr>
                <w:rFonts w:ascii="Times New Roman" w:hAnsi="Times New Roman"/>
                <w:kern w:val="0"/>
                <w:sz w:val="18"/>
                <w:szCs w:val="18"/>
              </w:rPr>
              <w:t>~</w:t>
            </w:r>
            <w:r>
              <w:rPr>
                <w:rFonts w:hint="eastAsia" w:ascii="宋体" w:hAnsi="宋体"/>
                <w:kern w:val="0"/>
                <w:sz w:val="18"/>
                <w:szCs w:val="18"/>
              </w:rPr>
              <w:t>17.9</w:t>
            </w:r>
          </w:p>
        </w:tc>
        <w:tc>
          <w:tcPr>
            <w:tcW w:w="1097" w:type="dxa"/>
            <w:tcBorders>
              <w:top w:val="single" w:color="auto" w:sz="4" w:space="0"/>
              <w:left w:val="single" w:color="auto" w:sz="4" w:space="0"/>
              <w:bottom w:val="single" w:color="auto" w:sz="4" w:space="0"/>
              <w:right w:val="single" w:color="auto" w:sz="4" w:space="0"/>
            </w:tcBorders>
            <w:vAlign w:val="center"/>
          </w:tcPr>
          <w:p w14:paraId="49CDA7BB">
            <w:pPr>
              <w:widowControl/>
              <w:autoSpaceDE w:val="0"/>
              <w:autoSpaceDN w:val="0"/>
              <w:spacing w:line="240" w:lineRule="auto"/>
              <w:jc w:val="center"/>
              <w:rPr>
                <w:rFonts w:hint="eastAsia" w:ascii="宋体" w:hAnsi="宋体"/>
                <w:kern w:val="0"/>
                <w:sz w:val="18"/>
                <w:szCs w:val="18"/>
              </w:rPr>
            </w:pPr>
            <w:r>
              <w:rPr>
                <w:rFonts w:hint="eastAsia" w:ascii="宋体" w:hAnsi="Times New Roman"/>
                <w:kern w:val="0"/>
                <w:sz w:val="18"/>
                <w:szCs w:val="18"/>
              </w:rPr>
              <w:t>19.0</w:t>
            </w:r>
            <w:r>
              <w:rPr>
                <w:rFonts w:ascii="Times New Roman" w:hAnsi="Times New Roman"/>
                <w:kern w:val="0"/>
                <w:sz w:val="18"/>
                <w:szCs w:val="18"/>
              </w:rPr>
              <w:t>~</w:t>
            </w:r>
            <w:r>
              <w:rPr>
                <w:rFonts w:hint="eastAsia" w:ascii="宋体" w:hAnsi="宋体"/>
                <w:kern w:val="0"/>
                <w:sz w:val="18"/>
                <w:szCs w:val="18"/>
              </w:rPr>
              <w:t>20.9</w:t>
            </w:r>
          </w:p>
        </w:tc>
        <w:tc>
          <w:tcPr>
            <w:tcW w:w="1096" w:type="dxa"/>
            <w:tcBorders>
              <w:top w:val="single" w:color="auto" w:sz="4" w:space="0"/>
              <w:left w:val="single" w:color="auto" w:sz="4" w:space="0"/>
              <w:bottom w:val="single" w:color="auto" w:sz="4" w:space="0"/>
              <w:right w:val="single" w:color="auto" w:sz="4" w:space="0"/>
            </w:tcBorders>
            <w:vAlign w:val="center"/>
          </w:tcPr>
          <w:p w14:paraId="71A88214">
            <w:pPr>
              <w:widowControl/>
              <w:autoSpaceDE w:val="0"/>
              <w:autoSpaceDN w:val="0"/>
              <w:spacing w:line="240" w:lineRule="auto"/>
              <w:jc w:val="center"/>
              <w:rPr>
                <w:rFonts w:hint="eastAsia" w:ascii="宋体" w:hAnsi="宋体"/>
                <w:kern w:val="0"/>
                <w:sz w:val="18"/>
                <w:szCs w:val="18"/>
              </w:rPr>
            </w:pPr>
            <w:r>
              <w:rPr>
                <w:rFonts w:hint="eastAsia" w:ascii="宋体" w:hAnsi="Times New Roman"/>
                <w:kern w:val="0"/>
                <w:sz w:val="18"/>
                <w:szCs w:val="18"/>
              </w:rPr>
              <w:t>14.0</w:t>
            </w:r>
            <w:r>
              <w:rPr>
                <w:rFonts w:ascii="Times New Roman" w:hAnsi="Times New Roman"/>
                <w:kern w:val="0"/>
                <w:sz w:val="18"/>
                <w:szCs w:val="18"/>
              </w:rPr>
              <w:t>~</w:t>
            </w:r>
            <w:r>
              <w:rPr>
                <w:rFonts w:hint="eastAsia" w:ascii="宋体" w:hAnsi="宋体"/>
                <w:kern w:val="0"/>
                <w:sz w:val="18"/>
                <w:szCs w:val="18"/>
              </w:rPr>
              <w:t>15.9</w:t>
            </w:r>
          </w:p>
        </w:tc>
        <w:tc>
          <w:tcPr>
            <w:tcW w:w="1097" w:type="dxa"/>
            <w:tcBorders>
              <w:top w:val="single" w:color="auto" w:sz="4" w:space="0"/>
              <w:left w:val="single" w:color="auto" w:sz="4" w:space="0"/>
              <w:bottom w:val="single" w:color="auto" w:sz="4" w:space="0"/>
              <w:right w:val="single" w:color="auto" w:sz="4" w:space="0"/>
            </w:tcBorders>
            <w:vAlign w:val="center"/>
          </w:tcPr>
          <w:p w14:paraId="68932E9A">
            <w:pPr>
              <w:widowControl/>
              <w:autoSpaceDE w:val="0"/>
              <w:autoSpaceDN w:val="0"/>
              <w:spacing w:line="240" w:lineRule="auto"/>
              <w:jc w:val="center"/>
              <w:rPr>
                <w:rFonts w:hint="eastAsia" w:ascii="宋体" w:hAnsi="宋体"/>
                <w:kern w:val="0"/>
                <w:sz w:val="18"/>
                <w:szCs w:val="18"/>
              </w:rPr>
            </w:pPr>
            <w:r>
              <w:rPr>
                <w:rFonts w:hint="eastAsia" w:ascii="宋体" w:hAnsi="Times New Roman"/>
                <w:kern w:val="0"/>
                <w:sz w:val="18"/>
                <w:szCs w:val="18"/>
              </w:rPr>
              <w:t>17.0</w:t>
            </w:r>
            <w:r>
              <w:rPr>
                <w:rFonts w:ascii="Times New Roman" w:hAnsi="Times New Roman"/>
                <w:kern w:val="0"/>
                <w:sz w:val="18"/>
                <w:szCs w:val="18"/>
              </w:rPr>
              <w:t>~</w:t>
            </w:r>
            <w:r>
              <w:rPr>
                <w:rFonts w:hint="eastAsia" w:ascii="宋体" w:hAnsi="宋体"/>
                <w:kern w:val="0"/>
                <w:sz w:val="18"/>
                <w:szCs w:val="18"/>
              </w:rPr>
              <w:t>18.9</w:t>
            </w:r>
          </w:p>
        </w:tc>
      </w:tr>
      <w:tr w14:paraId="017FB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658609B0">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622E817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必需氨基酸/</w:t>
            </w:r>
          </w:p>
          <w:p w14:paraId="2D29E550">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非必需氨基酸</w:t>
            </w:r>
          </w:p>
        </w:tc>
        <w:tc>
          <w:tcPr>
            <w:tcW w:w="1096" w:type="dxa"/>
            <w:tcBorders>
              <w:top w:val="single" w:color="auto" w:sz="4" w:space="0"/>
              <w:left w:val="single" w:color="auto" w:sz="4" w:space="0"/>
              <w:bottom w:val="single" w:color="auto" w:sz="4" w:space="0"/>
              <w:right w:val="single" w:color="auto" w:sz="4" w:space="0"/>
            </w:tcBorders>
            <w:vAlign w:val="center"/>
          </w:tcPr>
          <w:p w14:paraId="3B4EE62F">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≥0.760</w:t>
            </w:r>
          </w:p>
        </w:tc>
        <w:tc>
          <w:tcPr>
            <w:tcW w:w="1097" w:type="dxa"/>
            <w:tcBorders>
              <w:top w:val="single" w:color="auto" w:sz="4" w:space="0"/>
              <w:left w:val="single" w:color="auto" w:sz="4" w:space="0"/>
              <w:bottom w:val="single" w:color="auto" w:sz="4" w:space="0"/>
              <w:right w:val="single" w:color="auto" w:sz="4" w:space="0"/>
            </w:tcBorders>
            <w:vAlign w:val="center"/>
          </w:tcPr>
          <w:p w14:paraId="5CE174C9">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≥0.840</w:t>
            </w:r>
          </w:p>
        </w:tc>
        <w:tc>
          <w:tcPr>
            <w:tcW w:w="1096" w:type="dxa"/>
            <w:tcBorders>
              <w:top w:val="single" w:color="auto" w:sz="4" w:space="0"/>
              <w:left w:val="single" w:color="auto" w:sz="4" w:space="0"/>
              <w:bottom w:val="single" w:color="auto" w:sz="4" w:space="0"/>
              <w:right w:val="single" w:color="auto" w:sz="4" w:space="0"/>
            </w:tcBorders>
            <w:vAlign w:val="center"/>
          </w:tcPr>
          <w:p w14:paraId="504A2972">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0.740</w:t>
            </w:r>
            <w:r>
              <w:rPr>
                <w:rFonts w:ascii="Times New Roman" w:hAnsi="Times New Roman"/>
                <w:kern w:val="0"/>
                <w:sz w:val="18"/>
                <w:szCs w:val="18"/>
              </w:rPr>
              <w:t>~</w:t>
            </w:r>
            <w:r>
              <w:rPr>
                <w:rFonts w:hint="eastAsia" w:ascii="宋体" w:hAnsi="宋体"/>
                <w:kern w:val="0"/>
                <w:sz w:val="18"/>
                <w:szCs w:val="18"/>
              </w:rPr>
              <w:t>0.759</w:t>
            </w:r>
          </w:p>
        </w:tc>
        <w:tc>
          <w:tcPr>
            <w:tcW w:w="1097" w:type="dxa"/>
            <w:tcBorders>
              <w:top w:val="single" w:color="auto" w:sz="4" w:space="0"/>
              <w:left w:val="single" w:color="auto" w:sz="4" w:space="0"/>
              <w:bottom w:val="single" w:color="auto" w:sz="4" w:space="0"/>
              <w:right w:val="single" w:color="auto" w:sz="4" w:space="0"/>
            </w:tcBorders>
            <w:vAlign w:val="center"/>
          </w:tcPr>
          <w:p w14:paraId="4824DFDE">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0.820</w:t>
            </w:r>
            <w:r>
              <w:rPr>
                <w:rFonts w:ascii="Times New Roman" w:hAnsi="Times New Roman"/>
                <w:kern w:val="0"/>
                <w:sz w:val="18"/>
                <w:szCs w:val="18"/>
              </w:rPr>
              <w:t>~</w:t>
            </w:r>
            <w:r>
              <w:rPr>
                <w:rFonts w:hint="eastAsia" w:ascii="宋体" w:hAnsi="宋体"/>
                <w:kern w:val="0"/>
                <w:sz w:val="18"/>
                <w:szCs w:val="18"/>
              </w:rPr>
              <w:t>0.839</w:t>
            </w:r>
          </w:p>
        </w:tc>
        <w:tc>
          <w:tcPr>
            <w:tcW w:w="1096" w:type="dxa"/>
            <w:tcBorders>
              <w:top w:val="single" w:color="auto" w:sz="4" w:space="0"/>
              <w:left w:val="single" w:color="auto" w:sz="4" w:space="0"/>
              <w:bottom w:val="single" w:color="auto" w:sz="4" w:space="0"/>
              <w:right w:val="single" w:color="auto" w:sz="4" w:space="0"/>
            </w:tcBorders>
            <w:vAlign w:val="center"/>
          </w:tcPr>
          <w:p w14:paraId="49AD1F3D">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0.720</w:t>
            </w:r>
            <w:r>
              <w:rPr>
                <w:rFonts w:ascii="Times New Roman" w:hAnsi="Times New Roman"/>
                <w:kern w:val="0"/>
                <w:sz w:val="18"/>
                <w:szCs w:val="18"/>
              </w:rPr>
              <w:t>~</w:t>
            </w:r>
            <w:r>
              <w:rPr>
                <w:rFonts w:hint="eastAsia" w:ascii="宋体" w:hAnsi="宋体"/>
                <w:kern w:val="0"/>
                <w:sz w:val="18"/>
                <w:szCs w:val="18"/>
              </w:rPr>
              <w:t>0.739</w:t>
            </w:r>
          </w:p>
        </w:tc>
        <w:tc>
          <w:tcPr>
            <w:tcW w:w="1097" w:type="dxa"/>
            <w:tcBorders>
              <w:top w:val="single" w:color="auto" w:sz="4" w:space="0"/>
              <w:left w:val="single" w:color="auto" w:sz="4" w:space="0"/>
              <w:bottom w:val="single" w:color="auto" w:sz="4" w:space="0"/>
              <w:right w:val="single" w:color="auto" w:sz="4" w:space="0"/>
            </w:tcBorders>
            <w:vAlign w:val="center"/>
          </w:tcPr>
          <w:p w14:paraId="11944DF7">
            <w:pPr>
              <w:widowControl/>
              <w:autoSpaceDE w:val="0"/>
              <w:autoSpaceDN w:val="0"/>
              <w:spacing w:line="240" w:lineRule="auto"/>
              <w:jc w:val="center"/>
              <w:rPr>
                <w:rFonts w:hint="eastAsia" w:ascii="宋体" w:hAnsi="宋体"/>
                <w:kern w:val="0"/>
                <w:sz w:val="18"/>
                <w:szCs w:val="18"/>
              </w:rPr>
            </w:pPr>
            <w:r>
              <w:rPr>
                <w:rFonts w:hint="eastAsia" w:ascii="宋体" w:hAnsi="宋体"/>
                <w:kern w:val="0"/>
                <w:sz w:val="18"/>
                <w:szCs w:val="18"/>
              </w:rPr>
              <w:t>0.800</w:t>
            </w:r>
            <w:r>
              <w:rPr>
                <w:rFonts w:ascii="Times New Roman" w:hAnsi="Times New Roman"/>
                <w:kern w:val="0"/>
                <w:sz w:val="18"/>
                <w:szCs w:val="18"/>
              </w:rPr>
              <w:t>~</w:t>
            </w:r>
            <w:r>
              <w:rPr>
                <w:rFonts w:hint="eastAsia" w:ascii="宋体" w:hAnsi="宋体"/>
                <w:kern w:val="0"/>
                <w:sz w:val="18"/>
                <w:szCs w:val="18"/>
              </w:rPr>
              <w:t>0.819</w:t>
            </w:r>
          </w:p>
        </w:tc>
      </w:tr>
      <w:tr w14:paraId="5AB1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1BCE24F6">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4E6CB3AE">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不饱和脂肪酸/</w:t>
            </w:r>
          </w:p>
          <w:p w14:paraId="3B35F60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饱和脂肪酸</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202C94E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≥0.930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695A4A3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0.920</w:t>
            </w:r>
            <w:r>
              <w:rPr>
                <w:rFonts w:ascii="Times New Roman" w:hAnsi="Times New Roman"/>
                <w:kern w:val="0"/>
                <w:sz w:val="18"/>
                <w:szCs w:val="18"/>
              </w:rPr>
              <w:t>~</w:t>
            </w:r>
            <w:r>
              <w:rPr>
                <w:rFonts w:ascii="宋体" w:hAnsi="宋体"/>
                <w:kern w:val="0"/>
                <w:sz w:val="18"/>
                <w:szCs w:val="18"/>
              </w:rPr>
              <w:t>0.929</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47DF4048">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0.900</w:t>
            </w:r>
            <w:r>
              <w:rPr>
                <w:rFonts w:ascii="Times New Roman" w:hAnsi="Times New Roman"/>
                <w:kern w:val="0"/>
                <w:sz w:val="18"/>
                <w:szCs w:val="18"/>
              </w:rPr>
              <w:t>~</w:t>
            </w:r>
            <w:r>
              <w:rPr>
                <w:rFonts w:ascii="宋体" w:hAnsi="宋体"/>
                <w:kern w:val="0"/>
                <w:sz w:val="18"/>
                <w:szCs w:val="18"/>
              </w:rPr>
              <w:t>0.919</w:t>
            </w:r>
          </w:p>
        </w:tc>
      </w:tr>
      <w:tr w14:paraId="5F23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76A3F25F">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0A96302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n-6不饱和脂肪酸/</w:t>
            </w:r>
          </w:p>
          <w:p w14:paraId="3EC23BE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n-3不饱和脂肪酸</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3C820BA7">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≤5.00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6405D89D">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5.01</w:t>
            </w:r>
            <w:r>
              <w:rPr>
                <w:rFonts w:ascii="Times New Roman" w:hAnsi="Times New Roman"/>
                <w:kern w:val="0"/>
                <w:sz w:val="18"/>
                <w:szCs w:val="18"/>
              </w:rPr>
              <w:t>~</w:t>
            </w:r>
            <w:r>
              <w:rPr>
                <w:rFonts w:ascii="宋体" w:hAnsi="宋体"/>
                <w:kern w:val="0"/>
                <w:sz w:val="18"/>
                <w:szCs w:val="18"/>
              </w:rPr>
              <w:t>6.00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4F53DBC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6.01</w:t>
            </w:r>
            <w:r>
              <w:rPr>
                <w:rFonts w:ascii="Times New Roman" w:hAnsi="Times New Roman"/>
                <w:kern w:val="0"/>
                <w:sz w:val="18"/>
                <w:szCs w:val="18"/>
              </w:rPr>
              <w:t>~</w:t>
            </w:r>
            <w:r>
              <w:rPr>
                <w:rFonts w:ascii="宋体" w:hAnsi="宋体"/>
                <w:kern w:val="0"/>
                <w:sz w:val="18"/>
                <w:szCs w:val="18"/>
              </w:rPr>
              <w:t>7.00</w:t>
            </w:r>
          </w:p>
        </w:tc>
      </w:tr>
      <w:tr w14:paraId="1A59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01A1567D">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257FAFE3">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嫩度</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2E8B4CF7">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≤40.0 N</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3114793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40.1 N</w:t>
            </w:r>
            <w:r>
              <w:rPr>
                <w:rFonts w:ascii="Times New Roman" w:hAnsi="Times New Roman"/>
                <w:kern w:val="0"/>
                <w:sz w:val="18"/>
                <w:szCs w:val="18"/>
              </w:rPr>
              <w:t>~</w:t>
            </w:r>
            <w:r>
              <w:rPr>
                <w:rFonts w:ascii="宋体" w:hAnsi="宋体"/>
                <w:kern w:val="0"/>
                <w:sz w:val="18"/>
                <w:szCs w:val="18"/>
              </w:rPr>
              <w:t>50.0 N</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797BB84A">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50.1 N</w:t>
            </w:r>
            <w:r>
              <w:rPr>
                <w:rFonts w:ascii="Times New Roman" w:hAnsi="Times New Roman"/>
                <w:kern w:val="0"/>
                <w:sz w:val="18"/>
                <w:szCs w:val="18"/>
              </w:rPr>
              <w:t>~</w:t>
            </w:r>
            <w:r>
              <w:rPr>
                <w:rFonts w:ascii="宋体" w:hAnsi="宋体"/>
                <w:kern w:val="0"/>
                <w:sz w:val="18"/>
                <w:szCs w:val="18"/>
              </w:rPr>
              <w:t>60.0 N</w:t>
            </w:r>
          </w:p>
        </w:tc>
      </w:tr>
      <w:tr w14:paraId="717E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070C42A8">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7C65D38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失水率</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69712AE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≤5.00%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35889F30">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5.01%</w:t>
            </w:r>
            <w:r>
              <w:rPr>
                <w:rFonts w:ascii="Times New Roman" w:hAnsi="Times New Roman"/>
                <w:kern w:val="0"/>
                <w:sz w:val="18"/>
                <w:szCs w:val="18"/>
              </w:rPr>
              <w:t>~</w:t>
            </w:r>
            <w:r>
              <w:rPr>
                <w:rFonts w:ascii="宋体" w:hAnsi="宋体"/>
                <w:kern w:val="0"/>
                <w:sz w:val="18"/>
                <w:szCs w:val="18"/>
              </w:rPr>
              <w:t>7.00%</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554FCD27">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7.01%</w:t>
            </w:r>
            <w:r>
              <w:rPr>
                <w:rFonts w:ascii="Times New Roman" w:hAnsi="Times New Roman"/>
                <w:kern w:val="0"/>
                <w:sz w:val="18"/>
                <w:szCs w:val="18"/>
              </w:rPr>
              <w:t>~</w:t>
            </w:r>
            <w:r>
              <w:rPr>
                <w:rFonts w:ascii="宋体" w:hAnsi="宋体"/>
                <w:kern w:val="0"/>
                <w:sz w:val="18"/>
                <w:szCs w:val="18"/>
              </w:rPr>
              <w:t>10.0%</w:t>
            </w:r>
          </w:p>
        </w:tc>
      </w:tr>
      <w:tr w14:paraId="25B3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10A0B943">
            <w:pPr>
              <w:widowControl/>
              <w:adjustRightInd/>
              <w:spacing w:line="240" w:lineRule="auto"/>
              <w:jc w:val="left"/>
              <w:rPr>
                <w:rFonts w:hint="eastAsia" w:ascii="宋体" w:hAnsi="宋体"/>
                <w:kern w:val="0"/>
                <w:sz w:val="18"/>
                <w:szCs w:val="18"/>
              </w:rPr>
            </w:pPr>
          </w:p>
        </w:tc>
        <w:tc>
          <w:tcPr>
            <w:tcW w:w="1634" w:type="dxa"/>
            <w:gridSpan w:val="2"/>
            <w:tcBorders>
              <w:top w:val="single" w:color="auto" w:sz="4" w:space="0"/>
              <w:left w:val="single" w:color="auto" w:sz="4" w:space="0"/>
              <w:bottom w:val="single" w:color="auto" w:sz="4" w:space="0"/>
              <w:right w:val="single" w:color="auto" w:sz="4" w:space="0"/>
            </w:tcBorders>
            <w:vAlign w:val="center"/>
          </w:tcPr>
          <w:p w14:paraId="00F0081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肌苷酸</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137368D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1.</w:t>
            </w:r>
            <w:r>
              <w:rPr>
                <w:rFonts w:hint="eastAsia" w:ascii="宋体" w:hAnsi="宋体"/>
                <w:kern w:val="0"/>
                <w:sz w:val="18"/>
                <w:szCs w:val="18"/>
              </w:rPr>
              <w:t>0</w:t>
            </w:r>
            <w:r>
              <w:rPr>
                <w:rFonts w:ascii="宋体" w:hAnsi="宋体"/>
                <w:kern w:val="0"/>
                <w:sz w:val="18"/>
                <w:szCs w:val="18"/>
              </w:rPr>
              <w:t>0 g/kg</w:t>
            </w:r>
            <w:r>
              <w:rPr>
                <w:rFonts w:ascii="Times New Roman" w:hAnsi="Times New Roman"/>
                <w:kern w:val="0"/>
                <w:sz w:val="18"/>
                <w:szCs w:val="18"/>
              </w:rPr>
              <w:t>~</w:t>
            </w:r>
            <w:r>
              <w:rPr>
                <w:rFonts w:ascii="宋体" w:hAnsi="宋体"/>
                <w:kern w:val="0"/>
                <w:sz w:val="18"/>
                <w:szCs w:val="18"/>
              </w:rPr>
              <w:t>2.49 g/kg</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4D8AF8EC">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2.50 g/kg</w:t>
            </w:r>
            <w:r>
              <w:rPr>
                <w:rFonts w:ascii="Times New Roman" w:hAnsi="Times New Roman"/>
                <w:kern w:val="0"/>
                <w:sz w:val="18"/>
                <w:szCs w:val="18"/>
              </w:rPr>
              <w:t>~</w:t>
            </w:r>
            <w:r>
              <w:rPr>
                <w:rFonts w:ascii="宋体" w:hAnsi="宋体"/>
                <w:kern w:val="0"/>
                <w:sz w:val="18"/>
                <w:szCs w:val="18"/>
              </w:rPr>
              <w:t>3.50 g/kg</w:t>
            </w:r>
          </w:p>
        </w:tc>
        <w:tc>
          <w:tcPr>
            <w:tcW w:w="2193" w:type="dxa"/>
            <w:gridSpan w:val="2"/>
            <w:tcBorders>
              <w:top w:val="single" w:color="auto" w:sz="4" w:space="0"/>
              <w:left w:val="single" w:color="auto" w:sz="4" w:space="0"/>
              <w:bottom w:val="single" w:color="auto" w:sz="4" w:space="0"/>
              <w:right w:val="single" w:color="auto" w:sz="4" w:space="0"/>
            </w:tcBorders>
            <w:vAlign w:val="center"/>
          </w:tcPr>
          <w:p w14:paraId="677C46C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0.</w:t>
            </w:r>
            <w:r>
              <w:rPr>
                <w:rFonts w:hint="eastAsia" w:ascii="宋体" w:hAnsi="宋体"/>
                <w:kern w:val="0"/>
                <w:sz w:val="18"/>
                <w:szCs w:val="18"/>
              </w:rPr>
              <w:t>5</w:t>
            </w:r>
            <w:r>
              <w:rPr>
                <w:rFonts w:ascii="宋体" w:hAnsi="宋体"/>
                <w:kern w:val="0"/>
                <w:sz w:val="18"/>
                <w:szCs w:val="18"/>
              </w:rPr>
              <w:t>00 g/kg</w:t>
            </w:r>
            <w:r>
              <w:rPr>
                <w:rFonts w:ascii="Times New Roman" w:hAnsi="Times New Roman"/>
                <w:kern w:val="0"/>
                <w:sz w:val="18"/>
                <w:szCs w:val="18"/>
              </w:rPr>
              <w:t>~</w:t>
            </w:r>
            <w:r>
              <w:rPr>
                <w:rFonts w:hint="eastAsia" w:ascii="宋体" w:hAnsi="宋体"/>
                <w:kern w:val="0"/>
                <w:sz w:val="18"/>
                <w:szCs w:val="18"/>
              </w:rPr>
              <w:t>0.990</w:t>
            </w:r>
            <w:r>
              <w:rPr>
                <w:rFonts w:ascii="宋体" w:hAnsi="宋体"/>
                <w:kern w:val="0"/>
                <w:sz w:val="18"/>
                <w:szCs w:val="18"/>
              </w:rPr>
              <w:t xml:space="preserve"> g/kg</w:t>
            </w:r>
          </w:p>
        </w:tc>
      </w:tr>
      <w:tr w14:paraId="20C6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7D888433">
            <w:pPr>
              <w:widowControl/>
              <w:adjustRightInd/>
              <w:spacing w:line="240" w:lineRule="auto"/>
              <w:jc w:val="left"/>
              <w:rPr>
                <w:rFonts w:hint="eastAsia" w:ascii="宋体" w:hAnsi="宋体"/>
                <w:kern w:val="0"/>
                <w:sz w:val="18"/>
                <w:szCs w:val="18"/>
              </w:rPr>
            </w:pPr>
          </w:p>
        </w:tc>
        <w:tc>
          <w:tcPr>
            <w:tcW w:w="817" w:type="dxa"/>
            <w:tcBorders>
              <w:top w:val="single" w:color="auto" w:sz="4" w:space="0"/>
              <w:left w:val="single" w:color="auto" w:sz="4" w:space="0"/>
              <w:bottom w:val="single" w:color="auto" w:sz="4" w:space="0"/>
              <w:right w:val="single" w:color="auto" w:sz="4" w:space="0"/>
            </w:tcBorders>
            <w:vAlign w:val="center"/>
          </w:tcPr>
          <w:p w14:paraId="79449CB3">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锌</w:t>
            </w:r>
          </w:p>
        </w:tc>
        <w:tc>
          <w:tcPr>
            <w:tcW w:w="817" w:type="dxa"/>
            <w:vMerge w:val="restart"/>
            <w:tcBorders>
              <w:top w:val="nil"/>
              <w:left w:val="single" w:color="auto" w:sz="4" w:space="0"/>
              <w:bottom w:val="single" w:color="auto" w:sz="4" w:space="0"/>
              <w:right w:val="single" w:color="auto" w:sz="4" w:space="0"/>
            </w:tcBorders>
            <w:vAlign w:val="center"/>
          </w:tcPr>
          <w:p w14:paraId="583C68C0">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至少符合3项中1项</w:t>
            </w:r>
          </w:p>
        </w:tc>
        <w:tc>
          <w:tcPr>
            <w:tcW w:w="6579" w:type="dxa"/>
            <w:gridSpan w:val="6"/>
            <w:tcBorders>
              <w:top w:val="single" w:color="auto" w:sz="4" w:space="0"/>
              <w:left w:val="single" w:color="auto" w:sz="4" w:space="0"/>
              <w:bottom w:val="single" w:color="auto" w:sz="4" w:space="0"/>
              <w:right w:val="single" w:color="auto" w:sz="4" w:space="0"/>
            </w:tcBorders>
            <w:vAlign w:val="center"/>
          </w:tcPr>
          <w:p w14:paraId="208B72FB">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≥27.0 mg/kg（腹肉）；≥54.0 mg/kg（大黄瓜条）</w:t>
            </w:r>
          </w:p>
        </w:tc>
      </w:tr>
      <w:tr w14:paraId="575F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053B3CD1">
            <w:pPr>
              <w:widowControl/>
              <w:adjustRightInd/>
              <w:spacing w:line="240" w:lineRule="auto"/>
              <w:jc w:val="left"/>
              <w:rPr>
                <w:rFonts w:hint="eastAsia" w:ascii="宋体" w:hAnsi="宋体"/>
                <w:kern w:val="0"/>
                <w:sz w:val="18"/>
                <w:szCs w:val="18"/>
              </w:rPr>
            </w:pPr>
          </w:p>
        </w:tc>
        <w:tc>
          <w:tcPr>
            <w:tcW w:w="817" w:type="dxa"/>
            <w:tcBorders>
              <w:top w:val="single" w:color="auto" w:sz="4" w:space="0"/>
              <w:left w:val="single" w:color="auto" w:sz="4" w:space="0"/>
              <w:bottom w:val="single" w:color="auto" w:sz="4" w:space="0"/>
              <w:right w:val="single" w:color="auto" w:sz="4" w:space="0"/>
            </w:tcBorders>
            <w:vAlign w:val="center"/>
          </w:tcPr>
          <w:p w14:paraId="4C98D85F">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铁</w:t>
            </w:r>
          </w:p>
        </w:tc>
        <w:tc>
          <w:tcPr>
            <w:tcW w:w="0" w:type="auto"/>
            <w:vMerge w:val="continue"/>
            <w:tcBorders>
              <w:top w:val="nil"/>
              <w:left w:val="single" w:color="auto" w:sz="4" w:space="0"/>
              <w:bottom w:val="single" w:color="auto" w:sz="4" w:space="0"/>
              <w:right w:val="single" w:color="auto" w:sz="4" w:space="0"/>
            </w:tcBorders>
            <w:vAlign w:val="center"/>
          </w:tcPr>
          <w:p w14:paraId="1EB18211">
            <w:pPr>
              <w:widowControl/>
              <w:adjustRightInd/>
              <w:spacing w:line="240" w:lineRule="auto"/>
              <w:jc w:val="left"/>
              <w:rPr>
                <w:rFonts w:hint="eastAsia" w:ascii="宋体" w:hAnsi="宋体"/>
                <w:kern w:val="0"/>
                <w:sz w:val="18"/>
                <w:szCs w:val="18"/>
              </w:rPr>
            </w:pPr>
          </w:p>
        </w:tc>
        <w:tc>
          <w:tcPr>
            <w:tcW w:w="6579" w:type="dxa"/>
            <w:gridSpan w:val="6"/>
            <w:tcBorders>
              <w:top w:val="single" w:color="auto" w:sz="4" w:space="0"/>
              <w:left w:val="single" w:color="auto" w:sz="4" w:space="0"/>
              <w:bottom w:val="single" w:color="auto" w:sz="4" w:space="0"/>
              <w:right w:val="single" w:color="auto" w:sz="4" w:space="0"/>
            </w:tcBorders>
            <w:vAlign w:val="center"/>
          </w:tcPr>
          <w:p w14:paraId="1AD7799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≥6.00 mg/kg（腹肉）；≥14.0 mg/kg（大黄瓜条）</w:t>
            </w:r>
          </w:p>
        </w:tc>
      </w:tr>
      <w:tr w14:paraId="2A63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1625F21B">
            <w:pPr>
              <w:widowControl/>
              <w:adjustRightInd/>
              <w:spacing w:line="240" w:lineRule="auto"/>
              <w:jc w:val="left"/>
              <w:rPr>
                <w:rFonts w:hint="eastAsia" w:ascii="宋体" w:hAnsi="宋体"/>
                <w:kern w:val="0"/>
                <w:sz w:val="18"/>
                <w:szCs w:val="18"/>
              </w:rPr>
            </w:pPr>
          </w:p>
        </w:tc>
        <w:tc>
          <w:tcPr>
            <w:tcW w:w="817" w:type="dxa"/>
            <w:tcBorders>
              <w:top w:val="single" w:color="auto" w:sz="4" w:space="0"/>
              <w:left w:val="single" w:color="auto" w:sz="4" w:space="0"/>
              <w:bottom w:val="single" w:color="auto" w:sz="4" w:space="0"/>
              <w:right w:val="single" w:color="auto" w:sz="4" w:space="0"/>
            </w:tcBorders>
            <w:vAlign w:val="center"/>
          </w:tcPr>
          <w:p w14:paraId="48C5C3A9">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硒</w:t>
            </w:r>
          </w:p>
        </w:tc>
        <w:tc>
          <w:tcPr>
            <w:tcW w:w="0" w:type="auto"/>
            <w:vMerge w:val="continue"/>
            <w:tcBorders>
              <w:top w:val="nil"/>
              <w:left w:val="single" w:color="auto" w:sz="4" w:space="0"/>
              <w:bottom w:val="single" w:color="auto" w:sz="4" w:space="0"/>
              <w:right w:val="single" w:color="auto" w:sz="4" w:space="0"/>
            </w:tcBorders>
            <w:vAlign w:val="center"/>
          </w:tcPr>
          <w:p w14:paraId="65EFF9AB">
            <w:pPr>
              <w:widowControl/>
              <w:adjustRightInd/>
              <w:spacing w:line="240" w:lineRule="auto"/>
              <w:jc w:val="left"/>
              <w:rPr>
                <w:rFonts w:hint="eastAsia" w:ascii="宋体" w:hAnsi="宋体"/>
                <w:kern w:val="0"/>
                <w:sz w:val="18"/>
                <w:szCs w:val="18"/>
              </w:rPr>
            </w:pPr>
          </w:p>
        </w:tc>
        <w:tc>
          <w:tcPr>
            <w:tcW w:w="6579" w:type="dxa"/>
            <w:gridSpan w:val="6"/>
            <w:tcBorders>
              <w:top w:val="single" w:color="auto" w:sz="4" w:space="0"/>
              <w:left w:val="single" w:color="auto" w:sz="4" w:space="0"/>
              <w:bottom w:val="single" w:color="auto" w:sz="4" w:space="0"/>
              <w:right w:val="single" w:color="auto" w:sz="4" w:space="0"/>
            </w:tcBorders>
            <w:vAlign w:val="center"/>
          </w:tcPr>
          <w:p w14:paraId="4249F5B4">
            <w:pPr>
              <w:widowControl/>
              <w:autoSpaceDE w:val="0"/>
              <w:autoSpaceDN w:val="0"/>
              <w:spacing w:line="240" w:lineRule="auto"/>
              <w:jc w:val="center"/>
              <w:rPr>
                <w:rFonts w:hint="eastAsia" w:ascii="宋体" w:hAnsi="宋体"/>
                <w:kern w:val="0"/>
                <w:sz w:val="18"/>
                <w:szCs w:val="18"/>
              </w:rPr>
            </w:pPr>
            <w:r>
              <w:rPr>
                <w:rFonts w:ascii="宋体" w:hAnsi="宋体"/>
                <w:kern w:val="0"/>
                <w:sz w:val="18"/>
                <w:szCs w:val="18"/>
              </w:rPr>
              <w:t>≥32.0 μg/kg（腹肉）；≥36.0 μg/kg（大黄瓜条）</w:t>
            </w:r>
          </w:p>
        </w:tc>
      </w:tr>
      <w:tr w14:paraId="09E5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339" w:type="dxa"/>
            <w:gridSpan w:val="9"/>
            <w:tcBorders>
              <w:top w:val="single" w:color="auto" w:sz="4" w:space="0"/>
              <w:left w:val="single" w:color="auto" w:sz="4" w:space="0"/>
              <w:bottom w:val="single" w:color="auto" w:sz="4" w:space="0"/>
              <w:right w:val="single" w:color="auto" w:sz="4" w:space="0"/>
            </w:tcBorders>
            <w:vAlign w:val="center"/>
          </w:tcPr>
          <w:p w14:paraId="5398042E">
            <w:pPr>
              <w:widowControl/>
              <w:autoSpaceDE w:val="0"/>
              <w:autoSpaceDN w:val="0"/>
              <w:spacing w:line="240" w:lineRule="auto"/>
              <w:rPr>
                <w:rFonts w:hint="eastAsia" w:ascii="宋体" w:hAnsi="宋体"/>
                <w:kern w:val="0"/>
                <w:sz w:val="18"/>
                <w:szCs w:val="18"/>
              </w:rPr>
            </w:pPr>
            <w:r>
              <w:rPr>
                <w:rFonts w:ascii="宋体" w:hAnsi="宋体"/>
                <w:kern w:val="0"/>
                <w:sz w:val="18"/>
                <w:szCs w:val="18"/>
              </w:rPr>
              <w:t>注：</w:t>
            </w:r>
            <w:r>
              <w:rPr>
                <w:rFonts w:hint="eastAsia" w:ascii="宋体" w:hAnsi="宋体"/>
                <w:kern w:val="0"/>
                <w:sz w:val="18"/>
                <w:szCs w:val="18"/>
              </w:rPr>
              <w:t>1.上表中总氨基酸、必需氨基酸/非必需氨基酸的计算，均依据GB/T 5009.124规定的适用范围所检项目进行测定和分析。2.上表中不饱和脂肪酸/饱和脂肪酸、n-6不饱和脂肪酸/n-3不饱和脂肪酸的计算，均依据GB/T 5009.168规定的适用范围所检项目进行测定和分析。3</w:t>
            </w:r>
            <w:r>
              <w:rPr>
                <w:rFonts w:ascii="宋体" w:hAnsi="宋体"/>
                <w:kern w:val="0"/>
                <w:sz w:val="18"/>
                <w:szCs w:val="18"/>
              </w:rPr>
              <w:t>.n-6不饱和脂肪酸</w:t>
            </w:r>
            <w:r>
              <w:rPr>
                <w:rFonts w:hint="eastAsia" w:ascii="宋体" w:hAnsi="宋体"/>
                <w:kern w:val="0"/>
                <w:sz w:val="18"/>
                <w:szCs w:val="18"/>
              </w:rPr>
              <w:t>：</w:t>
            </w:r>
            <w:r>
              <w:rPr>
                <w:rFonts w:ascii="宋体" w:hAnsi="宋体"/>
                <w:kern w:val="0"/>
                <w:sz w:val="18"/>
                <w:szCs w:val="18"/>
              </w:rPr>
              <w:t>第一个双键位于甲基端第6个碳原子的不饱和脂肪酸；n-3不饱和脂肪酸</w:t>
            </w:r>
            <w:r>
              <w:rPr>
                <w:rFonts w:hint="eastAsia" w:ascii="宋体" w:hAnsi="宋体"/>
                <w:kern w:val="0"/>
                <w:sz w:val="18"/>
                <w:szCs w:val="18"/>
              </w:rPr>
              <w:t>：</w:t>
            </w:r>
            <w:r>
              <w:rPr>
                <w:rFonts w:ascii="宋体" w:hAnsi="宋体"/>
                <w:kern w:val="0"/>
                <w:sz w:val="18"/>
                <w:szCs w:val="18"/>
              </w:rPr>
              <w:t>第一个双键位于甲基端第3个碳原子的不饱和脂肪酸</w:t>
            </w:r>
            <w:r>
              <w:rPr>
                <w:rFonts w:hint="eastAsia" w:ascii="宋体" w:hAnsi="宋体"/>
                <w:kern w:val="0"/>
                <w:sz w:val="18"/>
                <w:szCs w:val="18"/>
              </w:rPr>
              <w:t>。4</w:t>
            </w:r>
            <w:r>
              <w:rPr>
                <w:rFonts w:ascii="宋体" w:hAnsi="宋体"/>
                <w:kern w:val="0"/>
                <w:sz w:val="18"/>
                <w:szCs w:val="18"/>
              </w:rPr>
              <w:t>.以上结果均保留三位有效数字。</w:t>
            </w:r>
          </w:p>
        </w:tc>
      </w:tr>
    </w:tbl>
    <w:p w14:paraId="3C2116BE">
      <w:pPr>
        <w:pStyle w:val="56"/>
        <w:ind w:firstLine="420"/>
      </w:pPr>
    </w:p>
    <w:p w14:paraId="5C725C53">
      <w:pPr>
        <w:pStyle w:val="56"/>
        <w:ind w:firstLine="420"/>
        <w:sectPr>
          <w:pgSz w:w="11906" w:h="16838"/>
          <w:pgMar w:top="1928" w:right="1134" w:bottom="1134" w:left="1134" w:header="1418" w:footer="1134" w:gutter="284"/>
          <w:cols w:space="425" w:num="1"/>
          <w:formProt w:val="0"/>
          <w:docGrid w:linePitch="312" w:charSpace="0"/>
        </w:sectPr>
      </w:pPr>
    </w:p>
    <w:p w14:paraId="2A4CCC2C">
      <w:pPr>
        <w:pStyle w:val="198"/>
        <w:rPr>
          <w:rFonts w:hint="eastAsia"/>
          <w:vanish w:val="0"/>
        </w:rPr>
      </w:pPr>
    </w:p>
    <w:p w14:paraId="5F417CAA">
      <w:pPr>
        <w:pStyle w:val="199"/>
        <w:rPr>
          <w:vanish w:val="0"/>
        </w:rPr>
      </w:pPr>
    </w:p>
    <w:p w14:paraId="6E5866F0">
      <w:pPr>
        <w:pStyle w:val="76"/>
        <w:spacing w:after="120"/>
      </w:pPr>
      <w:r>
        <w:br w:type="textWrapping"/>
      </w:r>
      <w:bookmarkStart w:id="105" w:name="_Toc197867604"/>
      <w:bookmarkStart w:id="106" w:name="_Toc197888164"/>
      <w:bookmarkStart w:id="107" w:name="_Toc198892536"/>
      <w:bookmarkStart w:id="108" w:name="_Toc197861383"/>
      <w:r>
        <w:rPr>
          <w:rFonts w:hint="eastAsia"/>
        </w:rPr>
        <w:t>（规范性）</w:t>
      </w:r>
      <w:r>
        <w:br w:type="textWrapping"/>
      </w:r>
      <w:r>
        <w:rPr>
          <w:rFonts w:hint="eastAsia"/>
        </w:rPr>
        <w:t>肌苷酸含量的测定</w:t>
      </w:r>
      <w:bookmarkEnd w:id="105"/>
      <w:bookmarkEnd w:id="106"/>
      <w:bookmarkEnd w:id="107"/>
      <w:bookmarkEnd w:id="108"/>
    </w:p>
    <w:p w14:paraId="5071F594">
      <w:pPr>
        <w:pStyle w:val="78"/>
        <w:spacing w:before="120" w:after="120"/>
      </w:pPr>
      <w:bookmarkStart w:id="109" w:name="_Hlk198891540"/>
      <w:bookmarkStart w:id="110" w:name="_Hlk198891490"/>
      <w:r>
        <w:rPr>
          <w:rFonts w:hint="eastAsia"/>
        </w:rPr>
        <w:t>试剂与材料</w:t>
      </w:r>
    </w:p>
    <w:p w14:paraId="68161D8F">
      <w:pPr>
        <w:pStyle w:val="56"/>
        <w:ind w:firstLine="420"/>
      </w:pPr>
      <w:r>
        <w:rPr>
          <w:rFonts w:hint="eastAsia"/>
        </w:rPr>
        <w:t>以下所用的试剂，除特别注明外均为分析纯试剂；水为GB/T 6682规定的一级水。</w:t>
      </w:r>
    </w:p>
    <w:p w14:paraId="3EE71A4A">
      <w:pPr>
        <w:pStyle w:val="79"/>
        <w:spacing w:before="120" w:after="120"/>
      </w:pPr>
      <w:r>
        <w:rPr>
          <w:rFonts w:hint="eastAsia"/>
        </w:rPr>
        <w:t>试剂</w:t>
      </w:r>
    </w:p>
    <w:p w14:paraId="5786FE8B">
      <w:pPr>
        <w:pStyle w:val="213"/>
      </w:pPr>
      <w:r>
        <w:rPr>
          <w:rFonts w:hint="eastAsia"/>
        </w:rPr>
        <w:t>甲醇（CH</w:t>
      </w:r>
      <w:r>
        <w:rPr>
          <w:rFonts w:hint="eastAsia"/>
          <w:vertAlign w:val="subscript"/>
        </w:rPr>
        <w:t>3</w:t>
      </w:r>
      <w:r>
        <w:rPr>
          <w:rFonts w:hint="eastAsia"/>
        </w:rPr>
        <w:t>OH）：色谱纯。</w:t>
      </w:r>
    </w:p>
    <w:p w14:paraId="058AAB48">
      <w:pPr>
        <w:pStyle w:val="213"/>
      </w:pPr>
      <w:r>
        <w:rPr>
          <w:rFonts w:hint="eastAsia"/>
        </w:rPr>
        <w:t>磷酸（H</w:t>
      </w:r>
      <w:r>
        <w:rPr>
          <w:rFonts w:hint="eastAsia"/>
          <w:vertAlign w:val="subscript"/>
        </w:rPr>
        <w:t>3</w:t>
      </w:r>
      <w:r>
        <w:rPr>
          <w:rFonts w:hint="eastAsia"/>
        </w:rPr>
        <w:t>PO</w:t>
      </w:r>
      <w:r>
        <w:rPr>
          <w:rFonts w:hint="eastAsia"/>
          <w:vertAlign w:val="subscript"/>
        </w:rPr>
        <w:t>4</w:t>
      </w:r>
      <w:r>
        <w:rPr>
          <w:rFonts w:hint="eastAsia"/>
        </w:rPr>
        <w:t>）：优级纯。</w:t>
      </w:r>
    </w:p>
    <w:p w14:paraId="4EAE4E5E">
      <w:pPr>
        <w:pStyle w:val="213"/>
      </w:pPr>
      <w:r>
        <w:rPr>
          <w:rFonts w:hint="eastAsia"/>
        </w:rPr>
        <w:t>三乙胺（</w:t>
      </w:r>
      <w:r>
        <w:t>C</w:t>
      </w:r>
      <w:r>
        <w:rPr>
          <w:vertAlign w:val="subscript"/>
        </w:rPr>
        <w:t>6</w:t>
      </w:r>
      <w:r>
        <w:t>H</w:t>
      </w:r>
      <w:r>
        <w:rPr>
          <w:vertAlign w:val="subscript"/>
        </w:rPr>
        <w:t>15</w:t>
      </w:r>
      <w:r>
        <w:t>N</w:t>
      </w:r>
      <w:r>
        <w:rPr>
          <w:rFonts w:hint="eastAsia"/>
        </w:rPr>
        <w:t>）。</w:t>
      </w:r>
    </w:p>
    <w:p w14:paraId="515D6862">
      <w:pPr>
        <w:pStyle w:val="79"/>
        <w:spacing w:before="120" w:after="120"/>
      </w:pPr>
      <w:r>
        <w:rPr>
          <w:rFonts w:hint="eastAsia"/>
        </w:rPr>
        <w:t>标准品</w:t>
      </w:r>
    </w:p>
    <w:p w14:paraId="42E85576">
      <w:pPr>
        <w:pStyle w:val="56"/>
        <w:ind w:firstLine="420"/>
      </w:pPr>
      <w:r>
        <w:rPr>
          <w:rFonts w:hint="eastAsia"/>
        </w:rPr>
        <w:t>肌苷酸（</w:t>
      </w:r>
      <w:r>
        <w:t>5'-Inosinic acid</w:t>
      </w:r>
      <w:r>
        <w:rPr>
          <w:rFonts w:hint="eastAsia"/>
        </w:rPr>
        <w:t>，C10H13N4O8P，CAS号：131-99-7</w:t>
      </w:r>
      <w:r>
        <w:t>)</w:t>
      </w:r>
      <w:r>
        <w:rPr>
          <w:rFonts w:hint="eastAsia"/>
        </w:rPr>
        <w:t>，含量≥</w:t>
      </w:r>
      <w:r>
        <w:t>99.0%</w:t>
      </w:r>
      <w:r>
        <w:rPr>
          <w:rFonts w:hint="eastAsia"/>
        </w:rPr>
        <w:t>。</w:t>
      </w:r>
    </w:p>
    <w:p w14:paraId="5B9DB87F">
      <w:pPr>
        <w:pStyle w:val="79"/>
        <w:spacing w:before="120" w:after="120"/>
      </w:pPr>
      <w:r>
        <w:rPr>
          <w:rFonts w:hint="eastAsia"/>
        </w:rPr>
        <w:t>溶液配制</w:t>
      </w:r>
    </w:p>
    <w:p w14:paraId="4E45D330">
      <w:pPr>
        <w:pStyle w:val="56"/>
        <w:ind w:firstLine="420"/>
        <w:rPr>
          <w:highlight w:val="yellow"/>
        </w:rPr>
      </w:pPr>
      <w:r>
        <w:rPr>
          <w:rFonts w:hint="eastAsia"/>
        </w:rPr>
        <w:t>0.05 mol/L 磷酸三乙胺溶液：准确量取7 mL磷酸（D.1.1.2）于1000 mL容量瓶中，加入14.4 mL三乙胺（D.1.1.3）和200 mL水，混匀后用水稀释并定容。用三乙胺（D.1.1.3）调节pH至6.5，0.45μm水系膜过滤，超声脱气 30 min</w:t>
      </w:r>
    </w:p>
    <w:p w14:paraId="7A9C2EA6">
      <w:pPr>
        <w:pStyle w:val="79"/>
        <w:spacing w:before="120" w:after="120"/>
      </w:pPr>
      <w:r>
        <w:rPr>
          <w:rFonts w:hint="eastAsia"/>
        </w:rPr>
        <w:t>标准溶液制备</w:t>
      </w:r>
    </w:p>
    <w:p w14:paraId="19F3A48F">
      <w:pPr>
        <w:pStyle w:val="56"/>
        <w:ind w:firstLine="420"/>
      </w:pPr>
      <w:r>
        <w:rPr>
          <w:rFonts w:hint="eastAsia"/>
        </w:rPr>
        <w:t>标准储备液：取肌苷酸标准品约10 mg，精密称定，用水溶解并定容至10 mL，配制成1 mg/mL的肌苷酸标准储备液，于2℃</w:t>
      </w:r>
      <w:r>
        <w:rPr>
          <w:rFonts w:ascii="Times New Roman"/>
        </w:rPr>
        <w:t>~</w:t>
      </w:r>
      <w:r>
        <w:rPr>
          <w:rFonts w:hint="eastAsia"/>
        </w:rPr>
        <w:t>8℃保存，有效期3个月。</w:t>
      </w:r>
    </w:p>
    <w:p w14:paraId="63E716CB">
      <w:pPr>
        <w:pStyle w:val="79"/>
        <w:spacing w:before="120" w:after="120"/>
      </w:pPr>
      <w:r>
        <w:rPr>
          <w:rFonts w:hint="eastAsia"/>
        </w:rPr>
        <w:t>材料</w:t>
      </w:r>
    </w:p>
    <w:p w14:paraId="4E553F4A">
      <w:pPr>
        <w:pStyle w:val="213"/>
      </w:pPr>
      <w:r>
        <w:rPr>
          <w:rFonts w:hint="eastAsia"/>
        </w:rPr>
        <w:t>容量瓶：规格为20mL、25 mL和50 mL。</w:t>
      </w:r>
    </w:p>
    <w:p w14:paraId="7C232D1C">
      <w:pPr>
        <w:pStyle w:val="213"/>
      </w:pPr>
      <w:r>
        <w:rPr>
          <w:rFonts w:hint="eastAsia"/>
        </w:rPr>
        <w:t>0.45μm水系膜。</w:t>
      </w:r>
    </w:p>
    <w:p w14:paraId="5B91901A">
      <w:pPr>
        <w:pStyle w:val="213"/>
        <w:rPr>
          <w:rFonts w:hint="eastAsia"/>
        </w:rPr>
      </w:pPr>
      <w:r>
        <w:t>0.22 μm</w:t>
      </w:r>
      <w:r>
        <w:rPr>
          <w:rFonts w:hint="eastAsia"/>
        </w:rPr>
        <w:t>水溶性微孔滤膜。</w:t>
      </w:r>
    </w:p>
    <w:p w14:paraId="36306E7F">
      <w:pPr>
        <w:pStyle w:val="78"/>
        <w:spacing w:before="120" w:after="120"/>
      </w:pPr>
      <w:r>
        <w:rPr>
          <w:rFonts w:hint="eastAsia"/>
        </w:rPr>
        <w:t>仪器和设备</w:t>
      </w:r>
    </w:p>
    <w:p w14:paraId="632610ED">
      <w:pPr>
        <w:pStyle w:val="212"/>
      </w:pPr>
      <w:r>
        <w:rPr>
          <w:rFonts w:hint="eastAsia"/>
        </w:rPr>
        <w:t>高效液相色谱仪（配有紫外检测器）。</w:t>
      </w:r>
    </w:p>
    <w:p w14:paraId="0DC0562F">
      <w:pPr>
        <w:pStyle w:val="212"/>
      </w:pPr>
      <w:r>
        <w:rPr>
          <w:rFonts w:hint="eastAsia"/>
        </w:rPr>
        <w:t>分析天平（感量</w:t>
      </w:r>
      <w:r>
        <w:t>0.00001 g</w:t>
      </w:r>
      <w:r>
        <w:rPr>
          <w:rFonts w:hint="eastAsia"/>
        </w:rPr>
        <w:t>和</w:t>
      </w:r>
      <w:r>
        <w:t>0.01 g</w:t>
      </w:r>
      <w:r>
        <w:rPr>
          <w:rFonts w:hint="eastAsia"/>
        </w:rPr>
        <w:t>）。</w:t>
      </w:r>
    </w:p>
    <w:p w14:paraId="0A85E2FE">
      <w:pPr>
        <w:pStyle w:val="212"/>
      </w:pPr>
      <w:r>
        <w:rPr>
          <w:rFonts w:hint="eastAsia"/>
        </w:rPr>
        <w:t>高速冷冻离心机。</w:t>
      </w:r>
    </w:p>
    <w:p w14:paraId="7B0BD3C7">
      <w:pPr>
        <w:pStyle w:val="212"/>
      </w:pPr>
      <w:r>
        <w:rPr>
          <w:rFonts w:hint="eastAsia"/>
        </w:rPr>
        <w:t>涡旋混合器。</w:t>
      </w:r>
    </w:p>
    <w:p w14:paraId="0FC86ABD">
      <w:pPr>
        <w:pStyle w:val="78"/>
        <w:spacing w:before="120" w:after="120"/>
        <w:rPr>
          <w:rFonts w:ascii="Times New Roman"/>
        </w:rPr>
      </w:pPr>
      <w:r>
        <w:rPr>
          <w:rFonts w:hint="eastAsia"/>
        </w:rPr>
        <w:t>试样的制备与保存</w:t>
      </w:r>
    </w:p>
    <w:p w14:paraId="41B8C853">
      <w:pPr>
        <w:pStyle w:val="79"/>
        <w:spacing w:before="120" w:after="120"/>
      </w:pPr>
      <w:r>
        <w:rPr>
          <w:rFonts w:hint="eastAsia"/>
        </w:rPr>
        <w:t>试样的制备</w:t>
      </w:r>
    </w:p>
    <w:p w14:paraId="71A1DA34">
      <w:pPr>
        <w:pStyle w:val="56"/>
        <w:ind w:firstLine="420"/>
        <w:rPr>
          <w:rFonts w:hAnsi="宋体"/>
        </w:rPr>
      </w:pPr>
      <w:r>
        <w:rPr>
          <w:rFonts w:hint="eastAsia" w:hAnsi="宋体"/>
        </w:rPr>
        <w:t>取适量新鲜或解冻后的肌肉组织用组织粉碎机绞碎，并使均质。</w:t>
      </w:r>
    </w:p>
    <w:p w14:paraId="24761E76">
      <w:pPr>
        <w:pStyle w:val="79"/>
        <w:spacing w:before="120" w:after="120"/>
      </w:pPr>
      <w:r>
        <w:rPr>
          <w:rFonts w:hint="eastAsia"/>
        </w:rPr>
        <w:t>试样的保存</w:t>
      </w:r>
    </w:p>
    <w:p w14:paraId="341028A1">
      <w:pPr>
        <w:pStyle w:val="56"/>
        <w:ind w:firstLine="420"/>
        <w:rPr>
          <w:rFonts w:hint="eastAsia" w:hAnsi="宋体"/>
        </w:rPr>
      </w:pPr>
      <w:r>
        <w:rPr>
          <w:rFonts w:hint="eastAsia" w:hAnsi="宋体"/>
        </w:rPr>
        <w:t>制备后的试样应尽快完成测定；若不能及时测定，应于-18</w:t>
      </w:r>
      <w:r>
        <w:rPr>
          <w:rFonts w:hAnsi="宋体"/>
        </w:rPr>
        <w:t>℃</w:t>
      </w:r>
      <w:r>
        <w:rPr>
          <w:rFonts w:hint="eastAsia" w:hAnsi="宋体"/>
        </w:rPr>
        <w:t>以下保存。</w:t>
      </w:r>
    </w:p>
    <w:p w14:paraId="2E82EEEB">
      <w:pPr>
        <w:pStyle w:val="78"/>
        <w:spacing w:before="120" w:after="120"/>
        <w:rPr>
          <w:rFonts w:ascii="Times New Roman"/>
        </w:rPr>
      </w:pPr>
      <w:r>
        <w:rPr>
          <w:rFonts w:hint="eastAsia"/>
        </w:rPr>
        <w:t>测定步骤</w:t>
      </w:r>
    </w:p>
    <w:p w14:paraId="21052A2A">
      <w:pPr>
        <w:pStyle w:val="56"/>
        <w:ind w:firstLine="420"/>
      </w:pPr>
      <w:r>
        <w:rPr>
          <w:rFonts w:hint="eastAsia"/>
        </w:rPr>
        <w:t>准确称取经均质后的试料2 g（精确到</w:t>
      </w:r>
      <w:r>
        <w:t>0.01 g</w:t>
      </w:r>
      <w:r>
        <w:rPr>
          <w:rFonts w:hint="eastAsia"/>
        </w:rPr>
        <w:t>）于</w:t>
      </w:r>
      <w:r>
        <w:t>50 mL</w:t>
      </w:r>
      <w:r>
        <w:rPr>
          <w:rFonts w:hint="eastAsia"/>
        </w:rPr>
        <w:t>离心管中，加入10 mL 0.05 mol/L 磷酸三乙胺溶液（D.1.3），涡旋振荡2 min，于</w:t>
      </w:r>
      <w:r>
        <w:t>0</w:t>
      </w:r>
      <w:r>
        <w:rPr>
          <w:rFonts w:ascii="Times New Roman"/>
        </w:rPr>
        <w:t>~</w:t>
      </w:r>
      <w:r>
        <w:t>4℃</w:t>
      </w:r>
      <w:r>
        <w:rPr>
          <w:rFonts w:hint="eastAsia"/>
        </w:rPr>
        <w:t xml:space="preserve"> 6000 r/min离心5 min，收集上清液，重复操作两次。合并上清液，混匀并转移至</w:t>
      </w:r>
      <w:r>
        <w:t>50 mL</w:t>
      </w:r>
      <w:r>
        <w:rPr>
          <w:rFonts w:hint="eastAsia"/>
        </w:rPr>
        <w:t>容量瓶中，用0.05 mol/L 磷酸三乙胺溶液定容，摇匀。取适量定容后上清液过</w:t>
      </w:r>
      <w:bookmarkStart w:id="111" w:name="OLE_LINK1"/>
      <w:r>
        <w:t>0.22 μm</w:t>
      </w:r>
      <w:r>
        <w:rPr>
          <w:rFonts w:hint="eastAsia"/>
        </w:rPr>
        <w:t>水溶性微孔滤膜</w:t>
      </w:r>
      <w:bookmarkEnd w:id="111"/>
      <w:r>
        <w:rPr>
          <w:rFonts w:hint="eastAsia"/>
        </w:rPr>
        <w:t>，滤液于</w:t>
      </w:r>
      <w:r>
        <w:t>4℃</w:t>
      </w:r>
      <w:r>
        <w:rPr>
          <w:rFonts w:hint="eastAsia"/>
        </w:rPr>
        <w:t>保存，待测。</w:t>
      </w:r>
    </w:p>
    <w:p w14:paraId="6DA3CECF">
      <w:pPr>
        <w:pStyle w:val="78"/>
        <w:spacing w:before="120" w:after="120"/>
        <w:rPr>
          <w:rFonts w:ascii="Times New Roman"/>
        </w:rPr>
      </w:pPr>
      <w:r>
        <w:rPr>
          <w:rFonts w:hint="eastAsia"/>
        </w:rPr>
        <w:t>标准曲线的制备</w:t>
      </w:r>
    </w:p>
    <w:p w14:paraId="523EB029">
      <w:pPr>
        <w:pStyle w:val="56"/>
        <w:ind w:firstLine="420"/>
        <w:rPr>
          <w:rFonts w:hAnsi="宋体"/>
        </w:rPr>
      </w:pPr>
      <w:r>
        <w:rPr>
          <w:rFonts w:hint="eastAsia"/>
        </w:rPr>
        <w:t>精密量取0.05 mL、0.1 mL、0.25 mL、0.5mL、1 mL肌苷酸标准储备液（D.1.4）分别置于25 mL容量瓶中，用水定容。配制成浓度分别为2μg/mL、4 μg/mL、10μg/mL、20 μg/mL、40 μg/mL的系列混合标准溶液，现配现用，供高效液相色谱测定。以测得的峰面积为纵坐标，对应的标准溶液浓度为横坐标，绘制标准曲线。求回归方程和相关系数。</w:t>
      </w:r>
      <w:r>
        <w:rPr>
          <w:rFonts w:hint="eastAsia" w:hAnsi="宋体"/>
        </w:rPr>
        <w:t>标准曲线相关系数不低于</w:t>
      </w:r>
      <w:r>
        <w:rPr>
          <w:rFonts w:hAnsi="宋体"/>
        </w:rPr>
        <w:t>0.999</w:t>
      </w:r>
      <w:r>
        <w:rPr>
          <w:rFonts w:hint="eastAsia" w:hAnsi="宋体"/>
        </w:rPr>
        <w:t>。</w:t>
      </w:r>
    </w:p>
    <w:p w14:paraId="0CB36C1F">
      <w:pPr>
        <w:pStyle w:val="78"/>
        <w:spacing w:before="120" w:after="120"/>
        <w:rPr>
          <w:rFonts w:ascii="Times New Roman"/>
        </w:rPr>
      </w:pPr>
      <w:r>
        <w:rPr>
          <w:rFonts w:hint="eastAsia"/>
        </w:rPr>
        <w:t>测定</w:t>
      </w:r>
    </w:p>
    <w:p w14:paraId="5FC41711">
      <w:pPr>
        <w:pStyle w:val="79"/>
        <w:spacing w:before="120" w:after="120"/>
      </w:pPr>
      <w:r>
        <w:rPr>
          <w:rFonts w:hint="eastAsia"/>
        </w:rPr>
        <w:t>液相色谱参考条件</w:t>
      </w:r>
    </w:p>
    <w:p w14:paraId="5B08F7CA">
      <w:pPr>
        <w:pStyle w:val="56"/>
        <w:ind w:firstLine="420"/>
      </w:pPr>
      <w:r>
        <w:rPr>
          <w:rFonts w:hint="eastAsia"/>
        </w:rPr>
        <w:t>a）色谱柱：</w:t>
      </w:r>
      <w:r>
        <w:t>C</w:t>
      </w:r>
      <w:r>
        <w:rPr>
          <w:vertAlign w:val="subscript"/>
        </w:rPr>
        <w:t>18</w:t>
      </w:r>
      <w:r>
        <w:rPr>
          <w:rFonts w:hint="eastAsia"/>
        </w:rPr>
        <w:t>柱，柱长150 mm，内径</w:t>
      </w:r>
      <w:r>
        <w:t>4.6 mm</w:t>
      </w:r>
      <w:r>
        <w:rPr>
          <w:rFonts w:hint="eastAsia"/>
        </w:rPr>
        <w:t>，填料粒径</w:t>
      </w:r>
      <w:r>
        <w:t>5</w:t>
      </w:r>
      <w:r>
        <w:rPr>
          <w:rFonts w:hint="eastAsia"/>
        </w:rPr>
        <w:t xml:space="preserve"> </w:t>
      </w:r>
      <w:r>
        <w:t>μm</w:t>
      </w:r>
      <w:r>
        <w:rPr>
          <w:rFonts w:hint="eastAsia"/>
        </w:rPr>
        <w:t>，或相当者；</w:t>
      </w:r>
    </w:p>
    <w:p w14:paraId="0A1F249B">
      <w:pPr>
        <w:pStyle w:val="56"/>
        <w:ind w:firstLine="420"/>
      </w:pPr>
      <w:r>
        <w:rPr>
          <w:rFonts w:hint="eastAsia"/>
        </w:rPr>
        <w:t>b）流动相：</w:t>
      </w:r>
      <w:r>
        <w:t>0.05 mol/L</w:t>
      </w:r>
      <w:r>
        <w:rPr>
          <w:rFonts w:hint="eastAsia"/>
        </w:rPr>
        <w:t>磷酸三乙胺溶液-甲醇（95:5）；</w:t>
      </w:r>
    </w:p>
    <w:p w14:paraId="060B7344">
      <w:pPr>
        <w:pStyle w:val="56"/>
        <w:ind w:firstLine="420"/>
        <w:rPr>
          <w:rFonts w:hint="eastAsia"/>
        </w:rPr>
      </w:pPr>
      <w:r>
        <w:rPr>
          <w:rFonts w:hint="eastAsia"/>
        </w:rPr>
        <w:t>c）流速：</w:t>
      </w:r>
      <w:r>
        <w:t>1.0 mL/min</w:t>
      </w:r>
      <w:r>
        <w:rPr>
          <w:rFonts w:hint="eastAsia"/>
        </w:rPr>
        <w:t>，等度洗脱；</w:t>
      </w:r>
    </w:p>
    <w:p w14:paraId="0051A45D">
      <w:pPr>
        <w:pStyle w:val="56"/>
        <w:ind w:firstLine="420"/>
        <w:rPr>
          <w:rFonts w:hint="eastAsia"/>
        </w:rPr>
      </w:pPr>
      <w:r>
        <w:rPr>
          <w:rFonts w:hint="eastAsia"/>
        </w:rPr>
        <w:t>d）柱温：</w:t>
      </w:r>
      <w:r>
        <w:t>25℃</w:t>
      </w:r>
      <w:r>
        <w:rPr>
          <w:rFonts w:hint="eastAsia"/>
        </w:rPr>
        <w:t>；</w:t>
      </w:r>
    </w:p>
    <w:p w14:paraId="571B4126">
      <w:pPr>
        <w:pStyle w:val="56"/>
        <w:ind w:firstLine="420"/>
        <w:rPr>
          <w:rFonts w:hint="eastAsia"/>
        </w:rPr>
      </w:pPr>
      <w:r>
        <w:rPr>
          <w:rFonts w:hint="eastAsia"/>
        </w:rPr>
        <w:t>e）检测波长：</w:t>
      </w:r>
      <w:r>
        <w:t>254 nm</w:t>
      </w:r>
      <w:r>
        <w:rPr>
          <w:rFonts w:hint="eastAsia"/>
        </w:rPr>
        <w:t>；</w:t>
      </w:r>
    </w:p>
    <w:p w14:paraId="04DFC9C6">
      <w:pPr>
        <w:pStyle w:val="56"/>
        <w:ind w:firstLine="420"/>
        <w:rPr>
          <w:rFonts w:hint="eastAsia" w:ascii="Times New Roman"/>
        </w:rPr>
      </w:pPr>
      <w:r>
        <w:rPr>
          <w:rFonts w:hint="eastAsia"/>
        </w:rPr>
        <w:t>f）进样体积：</w:t>
      </w:r>
      <w:r>
        <w:t>10 μL</w:t>
      </w:r>
      <w:r>
        <w:rPr>
          <w:rFonts w:hint="eastAsia"/>
        </w:rPr>
        <w:t>。</w:t>
      </w:r>
    </w:p>
    <w:p w14:paraId="349FC8CF">
      <w:pPr>
        <w:pStyle w:val="79"/>
        <w:spacing w:before="120" w:after="120"/>
        <w:rPr>
          <w:rFonts w:ascii="Times New Roman"/>
        </w:rPr>
      </w:pPr>
      <w:r>
        <w:rPr>
          <w:rFonts w:hint="eastAsia"/>
        </w:rPr>
        <w:t>测定</w:t>
      </w:r>
    </w:p>
    <w:p w14:paraId="44F9E0E3">
      <w:pPr>
        <w:pStyle w:val="56"/>
        <w:ind w:firstLine="420"/>
        <w:rPr>
          <w:rFonts w:hAnsi="宋体"/>
        </w:rPr>
      </w:pPr>
      <w:r>
        <w:rPr>
          <w:rFonts w:hint="eastAsia" w:hAnsi="宋体"/>
        </w:rPr>
        <w:t>取试料溶液和相应的标准溶液，作单点或多点校准，以色谱峰面积定量，按外标法计算。标准溶液及试料溶液中肌苷酸的响应值应在仪器检测的线性范围内。试料中肌苷酸的保留时间与标准溶液相应峰的保留时间相对偏差应±</w:t>
      </w:r>
      <w:r>
        <w:rPr>
          <w:rFonts w:hAnsi="宋体"/>
        </w:rPr>
        <w:t>2.5%</w:t>
      </w:r>
      <w:r>
        <w:rPr>
          <w:rFonts w:hint="eastAsia" w:hAnsi="宋体"/>
        </w:rPr>
        <w:t>以内。在上述色谱条件下，标准溶液的高效液相色谱图见图D.1。</w:t>
      </w:r>
    </w:p>
    <w:p w14:paraId="2622F5A8">
      <w:pPr>
        <w:pStyle w:val="78"/>
        <w:spacing w:before="120" w:after="120"/>
        <w:rPr>
          <w:rFonts w:ascii="Times New Roman"/>
        </w:rPr>
      </w:pPr>
      <w:r>
        <w:rPr>
          <w:rFonts w:hint="eastAsia"/>
        </w:rPr>
        <w:t>结果计算与表述</w:t>
      </w:r>
    </w:p>
    <w:p w14:paraId="2636EE52">
      <w:pPr>
        <w:pStyle w:val="56"/>
        <w:ind w:firstLine="420"/>
        <w:rPr>
          <w:rFonts w:hint="eastAsia"/>
        </w:rPr>
      </w:pPr>
      <w:r>
        <w:rPr>
          <w:rFonts w:hint="eastAsia"/>
        </w:rPr>
        <w:t xml:space="preserve">试样中肌苷酸含量按标准曲线或式（1）计算。 </w:t>
      </w:r>
    </w:p>
    <w:p w14:paraId="246193C9">
      <w:pPr>
        <w:pStyle w:val="56"/>
        <w:ind w:firstLine="560"/>
        <w:jc w:val="right"/>
        <w:rPr>
          <w:rFonts w:ascii="Times New Roman"/>
        </w:rPr>
      </w:pPr>
      <m:oMath>
        <m:sSub>
          <m:sSubPr>
            <m:ctrlPr>
              <w:rPr>
                <w:rFonts w:ascii="Cambria Math" w:hAnsi="Cambria Math"/>
                <w:i/>
                <w:iCs/>
                <w:sz w:val="28"/>
                <w:szCs w:val="28"/>
              </w:rPr>
            </m:ctrlPr>
          </m:sSubPr>
          <m:e>
            <m:r>
              <m:rPr/>
              <w:rPr>
                <w:rFonts w:ascii="Cambria Math" w:hAnsi="Cambria Math"/>
                <w:sz w:val="28"/>
                <w:szCs w:val="28"/>
              </w:rPr>
              <m:t>X</m:t>
            </m:r>
            <m:ctrlPr>
              <w:rPr>
                <w:rFonts w:ascii="Cambria Math" w:hAnsi="Cambria Math"/>
                <w:i/>
                <w:iCs/>
                <w:sz w:val="28"/>
                <w:szCs w:val="28"/>
              </w:rPr>
            </m:ctrlPr>
          </m:e>
          <m:sub>
            <m:r>
              <m:rPr/>
              <w:rPr>
                <w:rFonts w:ascii="Cambria Math" w:hAnsi="Cambria Math"/>
                <w:sz w:val="28"/>
                <w:szCs w:val="28"/>
              </w:rPr>
              <m:t>i</m:t>
            </m:r>
            <m:ctrlPr>
              <w:rPr>
                <w:rFonts w:ascii="Cambria Math" w:hAnsi="Cambria Math"/>
                <w:i/>
                <w:iCs/>
                <w:sz w:val="28"/>
                <w:szCs w:val="28"/>
              </w:rPr>
            </m:ctrlPr>
          </m:sub>
        </m:sSub>
        <m:r>
          <m:rPr/>
          <w:rPr>
            <w:rFonts w:ascii="Cambria Math" w:hAnsi="Cambria Math"/>
            <w:sz w:val="28"/>
            <w:szCs w:val="28"/>
          </w:rPr>
          <m:t>=</m:t>
        </m:r>
        <m:f>
          <m:fPr>
            <m:ctrlPr>
              <w:rPr>
                <w:rFonts w:ascii="Cambria Math" w:hAnsi="Cambria Math"/>
                <w:i/>
                <w:iCs/>
                <w:sz w:val="28"/>
                <w:szCs w:val="28"/>
              </w:rPr>
            </m:ctrlPr>
          </m:fPr>
          <m:num>
            <m:sSub>
              <m:sSubPr>
                <m:ctrlPr>
                  <w:rPr>
                    <w:rFonts w:ascii="Cambria Math" w:hAnsi="Cambria Math"/>
                    <w:i/>
                    <w:iCs/>
                    <w:sz w:val="28"/>
                    <w:szCs w:val="28"/>
                  </w:rPr>
                </m:ctrlPr>
              </m:sSubPr>
              <m:e>
                <m:r>
                  <m:rPr/>
                  <w:rPr>
                    <w:rFonts w:ascii="Cambria Math" w:hAnsi="Cambria Math"/>
                    <w:sz w:val="28"/>
                    <w:szCs w:val="28"/>
                  </w:rPr>
                  <m:t>C</m:t>
                </m:r>
                <m:ctrlPr>
                  <w:rPr>
                    <w:rFonts w:ascii="Cambria Math" w:hAnsi="Cambria Math"/>
                    <w:i/>
                    <w:iCs/>
                    <w:sz w:val="28"/>
                    <w:szCs w:val="28"/>
                  </w:rPr>
                </m:ctrlPr>
              </m:e>
              <m:sub>
                <m:r>
                  <m:rPr/>
                  <w:rPr>
                    <w:rFonts w:ascii="Cambria Math" w:hAnsi="Cambria Math"/>
                    <w:sz w:val="28"/>
                    <w:szCs w:val="28"/>
                  </w:rPr>
                  <m:t>i</m:t>
                </m:r>
                <m:ctrlPr>
                  <w:rPr>
                    <w:rFonts w:ascii="Cambria Math" w:hAnsi="Cambria Math"/>
                    <w:i/>
                    <w:iCs/>
                    <w:sz w:val="28"/>
                    <w:szCs w:val="28"/>
                  </w:rPr>
                </m:ctrlPr>
              </m:sub>
            </m:sSub>
            <m:r>
              <m:rPr/>
              <w:rPr>
                <w:rFonts w:ascii="Cambria Math" w:hAnsi="Cambria Math"/>
                <w:sz w:val="28"/>
                <w:szCs w:val="28"/>
              </w:rPr>
              <m:t>×V×1000</m:t>
            </m:r>
            <m:ctrlPr>
              <w:rPr>
                <w:rFonts w:ascii="Cambria Math" w:hAnsi="Cambria Math"/>
                <w:i/>
                <w:iCs/>
                <w:sz w:val="28"/>
                <w:szCs w:val="28"/>
              </w:rPr>
            </m:ctrlPr>
          </m:num>
          <m:den>
            <m:r>
              <m:rPr/>
              <w:rPr>
                <w:rFonts w:ascii="Cambria Math" w:hAnsi="Cambria Math"/>
                <w:sz w:val="28"/>
                <w:szCs w:val="28"/>
              </w:rPr>
              <m:t>m×1000×1000</m:t>
            </m:r>
            <m:ctrlPr>
              <w:rPr>
                <w:rFonts w:ascii="Cambria Math" w:hAnsi="Cambria Math"/>
                <w:i/>
                <w:iCs/>
                <w:sz w:val="28"/>
                <w:szCs w:val="28"/>
              </w:rPr>
            </m:ctrlPr>
          </m:den>
        </m:f>
      </m:oMath>
      <w:r>
        <w:rPr>
          <w:rFonts w:ascii="Times New Roman"/>
        </w:rPr>
        <w:t>.....................................................................</w:t>
      </w:r>
      <w:r>
        <w:rPr>
          <w:rFonts w:hint="eastAsia"/>
        </w:rPr>
        <w:t>（</w:t>
      </w:r>
      <w:r>
        <w:rPr>
          <w:rFonts w:hint="eastAsia" w:ascii="Times New Roman"/>
        </w:rPr>
        <w:t>1</w:t>
      </w:r>
      <w:r>
        <w:rPr>
          <w:rFonts w:hint="eastAsia"/>
        </w:rPr>
        <w:t>）</w:t>
      </w:r>
    </w:p>
    <w:p w14:paraId="4E6F513F">
      <w:pPr>
        <w:pStyle w:val="56"/>
        <w:ind w:firstLine="420"/>
        <w:rPr>
          <w:rFonts w:hint="eastAsia"/>
        </w:rPr>
      </w:pPr>
      <w:r>
        <w:rPr>
          <w:rFonts w:hint="eastAsia"/>
          <w:i/>
          <w:iCs/>
        </w:rPr>
        <w:t>X</w:t>
      </w:r>
      <w:r>
        <w:rPr>
          <w:rFonts w:hint="eastAsia"/>
          <w:i/>
          <w:iCs/>
          <w:vertAlign w:val="subscript"/>
        </w:rPr>
        <w:t>i</w:t>
      </w:r>
      <w:r>
        <w:rPr>
          <w:rFonts w:hint="eastAsia"/>
        </w:rPr>
        <w:t>——试样中肌苷酸含量，单位为克每千克（g</w:t>
      </w:r>
      <w:r>
        <w:t>/</w:t>
      </w:r>
      <w:r>
        <w:rPr>
          <w:rFonts w:hint="eastAsia"/>
        </w:rPr>
        <w:t>k</w:t>
      </w:r>
      <w:r>
        <w:t>g</w:t>
      </w:r>
      <w:r>
        <w:rPr>
          <w:rFonts w:hint="eastAsia"/>
        </w:rPr>
        <w:t>）；</w:t>
      </w:r>
    </w:p>
    <w:p w14:paraId="1F8CC5D1">
      <w:pPr>
        <w:pStyle w:val="56"/>
        <w:ind w:firstLine="420"/>
        <w:rPr>
          <w:rFonts w:hint="eastAsia"/>
        </w:rPr>
      </w:pPr>
      <w:r>
        <w:rPr>
          <w:i/>
          <w:iCs/>
        </w:rPr>
        <w:t>C</w:t>
      </w:r>
      <w:r>
        <w:rPr>
          <w:i/>
          <w:iCs/>
          <w:vertAlign w:val="subscript"/>
        </w:rPr>
        <w:t>i</w:t>
      </w:r>
      <w:r>
        <w:t>——</w:t>
      </w:r>
      <w:r>
        <w:rPr>
          <w:rFonts w:hint="eastAsia"/>
        </w:rPr>
        <w:t>标准溶液中肌苷酸的浓度，单位为毫克每升（</w:t>
      </w:r>
      <w:r>
        <w:t>mg/L</w:t>
      </w:r>
      <w:r>
        <w:rPr>
          <w:rFonts w:hint="eastAsia"/>
        </w:rPr>
        <w:t>）；</w:t>
      </w:r>
    </w:p>
    <w:p w14:paraId="768D93ED">
      <w:pPr>
        <w:pStyle w:val="56"/>
        <w:ind w:firstLine="420"/>
        <w:rPr>
          <w:rFonts w:hint="eastAsia"/>
        </w:rPr>
      </w:pPr>
      <w:r>
        <w:rPr>
          <w:i/>
          <w:iCs/>
        </w:rPr>
        <w:t>V</w:t>
      </w:r>
      <w:r>
        <w:t>——</w:t>
      </w:r>
      <w:r>
        <w:rPr>
          <w:rFonts w:hint="eastAsia"/>
        </w:rPr>
        <w:t>最终定容体积，单位为毫升（</w:t>
      </w:r>
      <w:r>
        <w:t>mL</w:t>
      </w:r>
      <w:r>
        <w:rPr>
          <w:rFonts w:hint="eastAsia"/>
        </w:rPr>
        <w:t>）；</w:t>
      </w:r>
    </w:p>
    <w:p w14:paraId="3330F118">
      <w:pPr>
        <w:pStyle w:val="56"/>
        <w:ind w:firstLine="420"/>
      </w:pPr>
      <w:r>
        <w:rPr>
          <w:i/>
          <w:iCs/>
        </w:rPr>
        <w:t>m</w:t>
      </w:r>
      <w:r>
        <w:t>——</w:t>
      </w:r>
      <w:r>
        <w:rPr>
          <w:rFonts w:hint="eastAsia"/>
        </w:rPr>
        <w:t>称取的试样质量，单位为克（</w:t>
      </w:r>
      <w:r>
        <w:t>g</w:t>
      </w:r>
      <w:r>
        <w:rPr>
          <w:rFonts w:hint="eastAsia"/>
        </w:rPr>
        <w:t>）。</w:t>
      </w:r>
    </w:p>
    <w:p w14:paraId="3070E35C">
      <w:pPr>
        <w:pStyle w:val="56"/>
        <w:ind w:firstLine="420"/>
        <w:rPr>
          <w:rFonts w:hint="eastAsia"/>
        </w:rPr>
      </w:pPr>
      <w:r>
        <w:rPr>
          <w:rFonts w:hint="eastAsia"/>
        </w:rPr>
        <w:t>计算结果保留</w:t>
      </w:r>
      <w:r>
        <w:rPr>
          <w:rFonts w:hint="eastAsia"/>
          <w:lang w:val="en-US" w:eastAsia="zh-CN"/>
        </w:rPr>
        <w:t>三</w:t>
      </w:r>
      <w:bookmarkStart w:id="119" w:name="_GoBack"/>
      <w:bookmarkEnd w:id="119"/>
      <w:r>
        <w:rPr>
          <w:rFonts w:hint="eastAsia"/>
        </w:rPr>
        <w:t>位有效数字。</w:t>
      </w:r>
    </w:p>
    <w:p w14:paraId="75CF086D">
      <w:pPr>
        <w:pStyle w:val="78"/>
        <w:spacing w:before="120" w:after="120"/>
        <w:rPr>
          <w:rFonts w:ascii="Times New Roman"/>
        </w:rPr>
      </w:pPr>
      <w:r>
        <w:rPr>
          <w:rFonts w:hint="eastAsia"/>
        </w:rPr>
        <w:t>检测方法的灵敏度、准确度和精密度</w:t>
      </w:r>
    </w:p>
    <w:p w14:paraId="3C7C6B01">
      <w:pPr>
        <w:pStyle w:val="79"/>
        <w:spacing w:before="120" w:after="120"/>
      </w:pPr>
      <w:r>
        <w:rPr>
          <w:rFonts w:hint="eastAsia"/>
        </w:rPr>
        <w:t>灵敏度</w:t>
      </w:r>
    </w:p>
    <w:p w14:paraId="75DF1D36">
      <w:pPr>
        <w:pStyle w:val="56"/>
        <w:ind w:firstLine="420"/>
        <w:rPr>
          <w:rFonts w:hint="eastAsia" w:eastAsia="宋体"/>
          <w:lang w:eastAsia="zh-CN"/>
        </w:rPr>
      </w:pPr>
      <w:r>
        <w:rPr>
          <w:rFonts w:hint="eastAsia"/>
        </w:rPr>
        <w:t>本方法的测定低限为0.05 g/kg</w:t>
      </w:r>
      <w:r>
        <w:rPr>
          <w:rFonts w:hint="eastAsia"/>
          <w:lang w:eastAsia="zh-CN"/>
        </w:rPr>
        <w:t>。</w:t>
      </w:r>
    </w:p>
    <w:p w14:paraId="01E0E981">
      <w:pPr>
        <w:pStyle w:val="79"/>
        <w:spacing w:before="120" w:after="120"/>
      </w:pPr>
      <w:r>
        <w:rPr>
          <w:rFonts w:hint="eastAsia"/>
        </w:rPr>
        <w:t>准确度</w:t>
      </w:r>
    </w:p>
    <w:p w14:paraId="61C7B616">
      <w:pPr>
        <w:pStyle w:val="56"/>
        <w:ind w:firstLine="420"/>
        <w:rPr>
          <w:rFonts w:hint="eastAsia"/>
        </w:rPr>
      </w:pPr>
      <w:r>
        <w:rPr>
          <w:rFonts w:hint="eastAsia"/>
        </w:rPr>
        <w:t>本方法在0.05 g/kg</w:t>
      </w:r>
      <w:r>
        <w:rPr>
          <w:rFonts w:ascii="Times New Roman"/>
        </w:rPr>
        <w:t xml:space="preserve"> ~</w:t>
      </w:r>
      <w:r>
        <w:t>1 g/kg</w:t>
      </w:r>
      <w:r>
        <w:rPr>
          <w:rFonts w:hint="eastAsia"/>
        </w:rPr>
        <w:t>添加浓度的回收率为80%</w:t>
      </w:r>
      <w:r>
        <w:rPr>
          <w:rFonts w:ascii="Times New Roman"/>
        </w:rPr>
        <w:t>~</w:t>
      </w:r>
      <w:r>
        <w:rPr>
          <w:rFonts w:hint="eastAsia"/>
        </w:rPr>
        <w:t>110%，在大于</w:t>
      </w:r>
      <w:r>
        <w:t>1</w:t>
      </w:r>
      <w:r>
        <w:rPr>
          <w:rFonts w:hint="eastAsia"/>
        </w:rPr>
        <w:t xml:space="preserve"> </w:t>
      </w:r>
      <w:r>
        <w:t>g/kg</w:t>
      </w:r>
      <w:r>
        <w:rPr>
          <w:rFonts w:hint="eastAsia"/>
        </w:rPr>
        <w:t>添加浓度的回收率为90%</w:t>
      </w:r>
      <w:r>
        <w:rPr>
          <w:rFonts w:ascii="Times New Roman"/>
        </w:rPr>
        <w:t>~</w:t>
      </w:r>
      <w:r>
        <w:rPr>
          <w:rFonts w:hint="eastAsia"/>
        </w:rPr>
        <w:t>105%。</w:t>
      </w:r>
    </w:p>
    <w:p w14:paraId="48B58F11">
      <w:pPr>
        <w:pStyle w:val="79"/>
        <w:spacing w:before="120" w:after="120"/>
        <w:rPr>
          <w:rFonts w:hint="eastAsia"/>
        </w:rPr>
      </w:pPr>
      <w:r>
        <w:rPr>
          <w:rFonts w:hint="eastAsia"/>
        </w:rPr>
        <w:t>精密度</w:t>
      </w:r>
    </w:p>
    <w:p w14:paraId="22832CCB">
      <w:pPr>
        <w:pStyle w:val="56"/>
        <w:ind w:firstLine="420"/>
        <w:rPr>
          <w:rFonts w:hAnsi="宋体"/>
        </w:rPr>
      </w:pPr>
      <w:r>
        <w:rPr>
          <w:rFonts w:hint="eastAsia" w:hAnsi="宋体"/>
        </w:rPr>
        <w:t>本方法在重复性条件下获得的两次独立测试结果的批内相对标准偏差</w:t>
      </w:r>
      <w:r>
        <w:rPr>
          <w:rFonts w:hAnsi="宋体"/>
        </w:rPr>
        <w:t>≤15%</w:t>
      </w:r>
      <w:r>
        <w:rPr>
          <w:rFonts w:hint="eastAsia" w:hAnsi="宋体"/>
        </w:rPr>
        <w:t>，批间相对标准偏差</w:t>
      </w:r>
      <w:r>
        <w:rPr>
          <w:rFonts w:hAnsi="宋体"/>
        </w:rPr>
        <w:t>≤20%</w:t>
      </w:r>
      <w:r>
        <w:rPr>
          <w:rFonts w:hint="eastAsia" w:hAnsi="宋体"/>
        </w:rPr>
        <w:t>。</w:t>
      </w:r>
    </w:p>
    <w:p w14:paraId="2016D5C8">
      <w:pPr>
        <w:pStyle w:val="78"/>
        <w:spacing w:before="120" w:after="120"/>
      </w:pPr>
      <w:r>
        <w:rPr>
          <w:rFonts w:hint="eastAsia"/>
        </w:rPr>
        <w:t>肌苷酸基质溶液色谱图</w:t>
      </w:r>
    </w:p>
    <w:bookmarkEnd w:id="109"/>
    <w:p w14:paraId="5D86036A">
      <w:pPr>
        <w:pStyle w:val="56"/>
        <w:ind w:firstLine="0" w:firstLineChars="0"/>
      </w:pPr>
      <w:r>
        <w:drawing>
          <wp:inline distT="0" distB="0" distL="0" distR="0">
            <wp:extent cx="5939790" cy="3199765"/>
            <wp:effectExtent l="0" t="0" r="1905" b="9525"/>
            <wp:docPr id="14572119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211996"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39790" cy="3199765"/>
                    </a:xfrm>
                    <a:prstGeom prst="rect">
                      <a:avLst/>
                    </a:prstGeom>
                    <a:noFill/>
                    <a:ln>
                      <a:noFill/>
                    </a:ln>
                  </pic:spPr>
                </pic:pic>
              </a:graphicData>
            </a:graphic>
          </wp:inline>
        </w:drawing>
      </w:r>
    </w:p>
    <w:p w14:paraId="2A517A94">
      <w:pPr>
        <w:pStyle w:val="83"/>
        <w:spacing w:before="120" w:after="120"/>
        <w:rPr>
          <w:rFonts w:hint="eastAsia"/>
        </w:rPr>
        <w:sectPr>
          <w:pgSz w:w="11906" w:h="16838"/>
          <w:pgMar w:top="1928" w:right="1134" w:bottom="1134" w:left="1134" w:header="1418" w:footer="1134" w:gutter="284"/>
          <w:cols w:space="425" w:num="1"/>
          <w:formProt w:val="0"/>
          <w:docGrid w:linePitch="312" w:charSpace="0"/>
        </w:sectPr>
      </w:pPr>
      <w:bookmarkStart w:id="112" w:name="_Hlk198891748"/>
      <w:r>
        <w:rPr>
          <w:rFonts w:hint="eastAsia"/>
        </w:rPr>
        <w:t>肌苷酸基质溶液色谱图（</w:t>
      </w:r>
      <w:bookmarkStart w:id="113" w:name="_Hlk198891805"/>
      <w:r>
        <w:rPr>
          <w:rFonts w:hint="eastAsia"/>
        </w:rPr>
        <w:t>0.05 g/kg</w:t>
      </w:r>
      <w:bookmarkEnd w:id="113"/>
      <w:r>
        <w:rPr>
          <w:rFonts w:hint="eastAsia"/>
        </w:rPr>
        <w:t>）</w:t>
      </w:r>
    </w:p>
    <w:bookmarkEnd w:id="110"/>
    <w:bookmarkEnd w:id="112"/>
    <w:p w14:paraId="12D8454D">
      <w:pPr>
        <w:pStyle w:val="198"/>
        <w:rPr>
          <w:rFonts w:hint="eastAsia"/>
          <w:vanish w:val="0"/>
        </w:rPr>
      </w:pPr>
    </w:p>
    <w:p w14:paraId="0DE76408">
      <w:pPr>
        <w:pStyle w:val="199"/>
        <w:rPr>
          <w:vanish w:val="0"/>
        </w:rPr>
      </w:pPr>
    </w:p>
    <w:p w14:paraId="00F53E35">
      <w:pPr>
        <w:pStyle w:val="76"/>
        <w:spacing w:after="120"/>
      </w:pPr>
      <w:r>
        <w:br w:type="textWrapping"/>
      </w:r>
      <w:bookmarkStart w:id="114" w:name="_Toc197861384"/>
      <w:bookmarkStart w:id="115" w:name="_Toc198892537"/>
      <w:bookmarkStart w:id="116" w:name="_Toc197888165"/>
      <w:bookmarkStart w:id="117" w:name="_Toc197867605"/>
      <w:r>
        <w:rPr>
          <w:rFonts w:hint="eastAsia"/>
        </w:rPr>
        <w:t>（规范性）</w:t>
      </w:r>
      <w:r>
        <w:br w:type="textWrapping"/>
      </w:r>
      <w:r>
        <w:rPr>
          <w:rFonts w:hint="eastAsia"/>
        </w:rPr>
        <w:t>瘦肉型牛肉综合等级</w:t>
      </w:r>
      <w:bookmarkEnd w:id="114"/>
      <w:r>
        <w:rPr>
          <w:rFonts w:hint="eastAsia"/>
        </w:rPr>
        <w:t>标识</w:t>
      </w:r>
      <w:bookmarkEnd w:id="115"/>
      <w:bookmarkEnd w:id="116"/>
      <w:bookmarkEnd w:id="117"/>
    </w:p>
    <w:p w14:paraId="5B602CAD">
      <w:pPr>
        <w:pStyle w:val="56"/>
        <w:ind w:firstLine="420"/>
      </w:pPr>
      <w:r>
        <w:rPr>
          <w:rFonts w:hint="eastAsia"/>
        </w:rPr>
        <w:t>图E.1、图E.2、图E.3分别是等级为A+、A、B的瘦肉型牛肉综合等级标识。</w:t>
      </w:r>
    </w:p>
    <w:p w14:paraId="139ED63F">
      <w:pPr>
        <w:pStyle w:val="56"/>
        <w:ind w:firstLine="0" w:firstLineChars="0"/>
        <w:jc w:val="center"/>
      </w:pPr>
      <w:r>
        <w:drawing>
          <wp:inline distT="0" distB="0" distL="0" distR="0">
            <wp:extent cx="1261745" cy="905510"/>
            <wp:effectExtent l="0" t="0" r="0" b="8890"/>
            <wp:docPr id="8"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1"/>
                    <pic:cNvPicPr>
                      <a:picLocks noChangeAspect="1"/>
                    </pic:cNvPicPr>
                  </pic:nvPicPr>
                  <pic:blipFill>
                    <a:blip r:embed="rId19"/>
                    <a:stretch>
                      <a:fillRect/>
                    </a:stretch>
                  </pic:blipFill>
                  <pic:spPr>
                    <a:xfrm>
                      <a:off x="0" y="0"/>
                      <a:ext cx="1261745" cy="905510"/>
                    </a:xfrm>
                    <a:prstGeom prst="rect">
                      <a:avLst/>
                    </a:prstGeom>
                  </pic:spPr>
                </pic:pic>
              </a:graphicData>
            </a:graphic>
          </wp:inline>
        </w:drawing>
      </w:r>
      <w:r>
        <w:rPr>
          <w:rFonts w:hint="eastAsia"/>
        </w:rPr>
        <w:t xml:space="preserve"> </w:t>
      </w:r>
      <w:r>
        <w:drawing>
          <wp:inline distT="0" distB="0" distL="0" distR="0">
            <wp:extent cx="1261745" cy="905510"/>
            <wp:effectExtent l="0" t="0" r="0" b="8890"/>
            <wp:docPr id="9"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2"/>
                    <pic:cNvPicPr>
                      <a:picLocks noChangeAspect="1"/>
                    </pic:cNvPicPr>
                  </pic:nvPicPr>
                  <pic:blipFill>
                    <a:blip r:embed="rId20"/>
                    <a:stretch>
                      <a:fillRect/>
                    </a:stretch>
                  </pic:blipFill>
                  <pic:spPr>
                    <a:xfrm>
                      <a:off x="0" y="0"/>
                      <a:ext cx="1261745" cy="905510"/>
                    </a:xfrm>
                    <a:prstGeom prst="rect">
                      <a:avLst/>
                    </a:prstGeom>
                  </pic:spPr>
                </pic:pic>
              </a:graphicData>
            </a:graphic>
          </wp:inline>
        </w:drawing>
      </w:r>
      <w:r>
        <w:rPr>
          <w:rFonts w:hint="eastAsia"/>
        </w:rPr>
        <w:t xml:space="preserve"> </w:t>
      </w:r>
      <w:r>
        <w:drawing>
          <wp:inline distT="0" distB="0" distL="0" distR="0">
            <wp:extent cx="1261745" cy="902335"/>
            <wp:effectExtent l="0" t="0" r="0" b="0"/>
            <wp:docPr id="7"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3"/>
                    <pic:cNvPicPr>
                      <a:picLocks noChangeAspect="1"/>
                    </pic:cNvPicPr>
                  </pic:nvPicPr>
                  <pic:blipFill>
                    <a:blip r:embed="rId21"/>
                    <a:stretch>
                      <a:fillRect/>
                    </a:stretch>
                  </pic:blipFill>
                  <pic:spPr>
                    <a:xfrm>
                      <a:off x="0" y="0"/>
                      <a:ext cx="1261745" cy="902335"/>
                    </a:xfrm>
                    <a:prstGeom prst="rect">
                      <a:avLst/>
                    </a:prstGeom>
                  </pic:spPr>
                </pic:pic>
              </a:graphicData>
            </a:graphic>
          </wp:inline>
        </w:drawing>
      </w:r>
    </w:p>
    <w:p w14:paraId="4F8DF552">
      <w:pPr>
        <w:pStyle w:val="83"/>
        <w:spacing w:before="120" w:after="120"/>
      </w:pPr>
      <w:r>
        <w:rPr>
          <w:rFonts w:hint="eastAsia"/>
        </w:rPr>
        <w:t>A+级瘦肉型牛肉</w:t>
      </w:r>
    </w:p>
    <w:p w14:paraId="14091ABE">
      <w:pPr>
        <w:pStyle w:val="56"/>
        <w:ind w:firstLine="0" w:firstLineChars="0"/>
        <w:jc w:val="center"/>
      </w:pPr>
      <w:r>
        <w:drawing>
          <wp:inline distT="0" distB="0" distL="0" distR="0">
            <wp:extent cx="1261745" cy="902335"/>
            <wp:effectExtent l="0" t="0" r="0" b="0"/>
            <wp:docPr id="6" name="图片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4"/>
                    <pic:cNvPicPr>
                      <a:picLocks noChangeAspect="1"/>
                    </pic:cNvPicPr>
                  </pic:nvPicPr>
                  <pic:blipFill>
                    <a:blip r:embed="rId22"/>
                    <a:stretch>
                      <a:fillRect/>
                    </a:stretch>
                  </pic:blipFill>
                  <pic:spPr>
                    <a:xfrm>
                      <a:off x="0" y="0"/>
                      <a:ext cx="1261745" cy="902335"/>
                    </a:xfrm>
                    <a:prstGeom prst="rect">
                      <a:avLst/>
                    </a:prstGeom>
                  </pic:spPr>
                </pic:pic>
              </a:graphicData>
            </a:graphic>
          </wp:inline>
        </w:drawing>
      </w:r>
      <w:r>
        <w:rPr>
          <w:rFonts w:hint="eastAsia"/>
        </w:rPr>
        <w:t xml:space="preserve"> </w:t>
      </w:r>
      <w:r>
        <w:drawing>
          <wp:inline distT="0" distB="0" distL="0" distR="0">
            <wp:extent cx="1261745" cy="902335"/>
            <wp:effectExtent l="0" t="0" r="0" b="0"/>
            <wp:docPr id="1753971843" name="图片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1843" name="图片 1" descr="5"/>
                    <pic:cNvPicPr>
                      <a:picLocks noChangeAspect="1"/>
                    </pic:cNvPicPr>
                  </pic:nvPicPr>
                  <pic:blipFill>
                    <a:blip r:embed="rId23"/>
                    <a:stretch>
                      <a:fillRect/>
                    </a:stretch>
                  </pic:blipFill>
                  <pic:spPr>
                    <a:xfrm>
                      <a:off x="0" y="0"/>
                      <a:ext cx="1261745" cy="902335"/>
                    </a:xfrm>
                    <a:prstGeom prst="rect">
                      <a:avLst/>
                    </a:prstGeom>
                  </pic:spPr>
                </pic:pic>
              </a:graphicData>
            </a:graphic>
          </wp:inline>
        </w:drawing>
      </w:r>
      <w:r>
        <w:rPr>
          <w:rFonts w:hint="eastAsia"/>
        </w:rPr>
        <w:t xml:space="preserve"> </w:t>
      </w:r>
      <w:r>
        <w:drawing>
          <wp:inline distT="0" distB="0" distL="0" distR="0">
            <wp:extent cx="1261745" cy="902335"/>
            <wp:effectExtent l="0" t="0" r="0" b="0"/>
            <wp:docPr id="1601619788"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19788" name="图片 1" descr="6"/>
                    <pic:cNvPicPr>
                      <a:picLocks noChangeAspect="1"/>
                    </pic:cNvPicPr>
                  </pic:nvPicPr>
                  <pic:blipFill>
                    <a:blip r:embed="rId24"/>
                    <a:stretch>
                      <a:fillRect/>
                    </a:stretch>
                  </pic:blipFill>
                  <pic:spPr>
                    <a:xfrm>
                      <a:off x="0" y="0"/>
                      <a:ext cx="1261745" cy="902335"/>
                    </a:xfrm>
                    <a:prstGeom prst="rect">
                      <a:avLst/>
                    </a:prstGeom>
                  </pic:spPr>
                </pic:pic>
              </a:graphicData>
            </a:graphic>
          </wp:inline>
        </w:drawing>
      </w:r>
    </w:p>
    <w:p w14:paraId="3C53973B">
      <w:pPr>
        <w:pStyle w:val="83"/>
        <w:spacing w:before="120" w:after="120"/>
      </w:pPr>
      <w:r>
        <w:rPr>
          <w:rFonts w:hint="eastAsia"/>
        </w:rPr>
        <w:t>A级瘦肉型牛肉</w:t>
      </w:r>
    </w:p>
    <w:p w14:paraId="6DDD92B7">
      <w:pPr>
        <w:pStyle w:val="56"/>
        <w:ind w:firstLine="0" w:firstLineChars="0"/>
        <w:jc w:val="center"/>
      </w:pPr>
      <w:r>
        <w:drawing>
          <wp:inline distT="0" distB="0" distL="0" distR="0">
            <wp:extent cx="1261745" cy="902335"/>
            <wp:effectExtent l="0" t="0" r="0" b="0"/>
            <wp:docPr id="3" name="图片 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7"/>
                    <pic:cNvPicPr>
                      <a:picLocks noChangeAspect="1"/>
                    </pic:cNvPicPr>
                  </pic:nvPicPr>
                  <pic:blipFill>
                    <a:blip r:embed="rId25"/>
                    <a:stretch>
                      <a:fillRect/>
                    </a:stretch>
                  </pic:blipFill>
                  <pic:spPr>
                    <a:xfrm>
                      <a:off x="0" y="0"/>
                      <a:ext cx="1261745" cy="902335"/>
                    </a:xfrm>
                    <a:prstGeom prst="rect">
                      <a:avLst/>
                    </a:prstGeom>
                  </pic:spPr>
                </pic:pic>
              </a:graphicData>
            </a:graphic>
          </wp:inline>
        </w:drawing>
      </w:r>
      <w:r>
        <w:rPr>
          <w:rFonts w:hint="eastAsia"/>
        </w:rPr>
        <w:t xml:space="preserve"> </w:t>
      </w:r>
      <w:r>
        <w:drawing>
          <wp:inline distT="0" distB="0" distL="0" distR="0">
            <wp:extent cx="1261745" cy="902335"/>
            <wp:effectExtent l="0" t="0" r="0" b="0"/>
            <wp:docPr id="757880066" name="图片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880066" name="图片 1" descr="8"/>
                    <pic:cNvPicPr>
                      <a:picLocks noChangeAspect="1"/>
                    </pic:cNvPicPr>
                  </pic:nvPicPr>
                  <pic:blipFill>
                    <a:blip r:embed="rId26"/>
                    <a:stretch>
                      <a:fillRect/>
                    </a:stretch>
                  </pic:blipFill>
                  <pic:spPr>
                    <a:xfrm>
                      <a:off x="0" y="0"/>
                      <a:ext cx="1261745" cy="902335"/>
                    </a:xfrm>
                    <a:prstGeom prst="rect">
                      <a:avLst/>
                    </a:prstGeom>
                  </pic:spPr>
                </pic:pic>
              </a:graphicData>
            </a:graphic>
          </wp:inline>
        </w:drawing>
      </w:r>
      <w:r>
        <w:rPr>
          <w:rFonts w:hint="eastAsia"/>
        </w:rPr>
        <w:t xml:space="preserve"> </w:t>
      </w:r>
      <w:r>
        <w:drawing>
          <wp:inline distT="0" distB="0" distL="0" distR="0">
            <wp:extent cx="1261745" cy="902335"/>
            <wp:effectExtent l="0" t="0" r="0" b="0"/>
            <wp:docPr id="1433306638" name="图片 143330663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06638" name="图片 1433306638" descr="9"/>
                    <pic:cNvPicPr>
                      <a:picLocks noChangeAspect="1"/>
                    </pic:cNvPicPr>
                  </pic:nvPicPr>
                  <pic:blipFill>
                    <a:blip r:embed="rId27"/>
                    <a:stretch>
                      <a:fillRect/>
                    </a:stretch>
                  </pic:blipFill>
                  <pic:spPr>
                    <a:xfrm>
                      <a:off x="0" y="0"/>
                      <a:ext cx="1261745" cy="902335"/>
                    </a:xfrm>
                    <a:prstGeom prst="rect">
                      <a:avLst/>
                    </a:prstGeom>
                  </pic:spPr>
                </pic:pic>
              </a:graphicData>
            </a:graphic>
          </wp:inline>
        </w:drawing>
      </w:r>
    </w:p>
    <w:p w14:paraId="68525FFA">
      <w:pPr>
        <w:pStyle w:val="83"/>
        <w:spacing w:before="120" w:after="120"/>
      </w:pPr>
      <w:r>
        <w:rPr>
          <w:rFonts w:hint="eastAsia"/>
        </w:rPr>
        <w:t>B级瘦肉型牛肉</w:t>
      </w:r>
    </w:p>
    <w:p w14:paraId="3B38F06F">
      <w:pPr>
        <w:pStyle w:val="198"/>
        <w:rPr>
          <w:rFonts w:hint="eastAsia"/>
          <w:kern w:val="2"/>
          <w:sz w:val="21"/>
        </w:rPr>
      </w:pPr>
      <w:r>
        <w:rPr>
          <w:rFonts w:hint="eastAsia"/>
        </w:rPr>
        <w:t>SA+级瘦肉型牛肉</w:t>
      </w:r>
    </w:p>
    <w:p w14:paraId="126C9A69">
      <w:pPr>
        <w:pStyle w:val="198"/>
        <w:numPr>
          <w:ilvl w:val="0"/>
          <w:numId w:val="0"/>
        </w:numPr>
        <w:spacing w:before="120" w:after="120"/>
        <w:jc w:val="both"/>
        <w:rPr>
          <w:rFonts w:hint="eastAsia"/>
        </w:rPr>
      </w:pPr>
    </w:p>
    <w:p w14:paraId="5DC25D5A">
      <w:pPr>
        <w:pStyle w:val="56"/>
        <w:ind w:firstLine="420"/>
      </w:pPr>
    </w:p>
    <w:p w14:paraId="1F850221">
      <w:pPr>
        <w:pStyle w:val="56"/>
        <w:ind w:firstLine="420"/>
      </w:pPr>
    </w:p>
    <w:bookmarkEnd w:id="92"/>
    <w:p w14:paraId="1D2E9E41">
      <w:pPr>
        <w:pStyle w:val="56"/>
        <w:ind w:firstLine="0" w:firstLineChars="0"/>
        <w:jc w:val="center"/>
        <w:rPr>
          <w:rFonts w:hint="eastAsia"/>
        </w:rPr>
      </w:pPr>
      <w:bookmarkStart w:id="118" w:name="BookMark8"/>
      <w:r>
        <w:rPr>
          <w:rFonts w:hint="eastAsia"/>
        </w:rPr>
        <w:drawing>
          <wp:inline distT="0" distB="0" distL="0" distR="0">
            <wp:extent cx="1485900" cy="317500"/>
            <wp:effectExtent l="0" t="0" r="0" b="6350"/>
            <wp:docPr id="969228508" name="图片 4"/>
            <wp:cNvGraphicFramePr/>
            <a:graphic xmlns:a="http://schemas.openxmlformats.org/drawingml/2006/main">
              <a:graphicData uri="http://schemas.openxmlformats.org/drawingml/2006/picture">
                <pic:pic xmlns:pic="http://schemas.openxmlformats.org/drawingml/2006/picture">
                  <pic:nvPicPr>
                    <pic:cNvPr id="969228508" name="图片 4"/>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8"/>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F4C5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607D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2E92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D3F06">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286E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D466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9472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7FC0D">
    <w:pPr>
      <w:pStyle w:val="61"/>
      <w:rPr>
        <w:rFonts w:hint="eastAsia"/>
      </w:rPr>
    </w:pPr>
    <w:r>
      <w:fldChar w:fldCharType="begin"/>
    </w:r>
    <w:r>
      <w:instrText xml:space="preserve"> STYLEREF  标准文件_文件编号  \* MERGEFORMAT </w:instrText>
    </w:r>
    <w:r>
      <w:fldChar w:fldCharType="separate"/>
    </w:r>
    <w:r>
      <w:t>T/SZNB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A4DB5">
    <w:pPr>
      <w:pStyle w:val="18"/>
      <w:jc w:val="right"/>
    </w:pPr>
    <w:r>
      <w:fldChar w:fldCharType="begin"/>
    </w:r>
    <w:r>
      <w:instrText xml:space="preserve"> STYLEREF  标准文件_文件编号  \* MERGEFORMAT </w:instrText>
    </w:r>
    <w:r>
      <w:fldChar w:fldCharType="separate"/>
    </w:r>
    <w:r>
      <w:t>T/SZNB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1418"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UOBwGGMarqRT9rZ+btfOrONUY8OGzQ8GBYRLLoZZ9iKFKVtdekW+mU9mP5+KorHmQ4m/yeMmG5HuBC8WPn0UFA==" w:salt="c9KgCtiF+9twUYNx8wCz4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66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43A"/>
    <w:rsid w:val="000346A5"/>
    <w:rsid w:val="000359C3"/>
    <w:rsid w:val="00035A7D"/>
    <w:rsid w:val="000365ED"/>
    <w:rsid w:val="0004249A"/>
    <w:rsid w:val="00043282"/>
    <w:rsid w:val="00044286"/>
    <w:rsid w:val="00047F28"/>
    <w:rsid w:val="000503AA"/>
    <w:rsid w:val="000506A1"/>
    <w:rsid w:val="000508D4"/>
    <w:rsid w:val="000515DD"/>
    <w:rsid w:val="0005265A"/>
    <w:rsid w:val="000539DD"/>
    <w:rsid w:val="00053BD3"/>
    <w:rsid w:val="000556ED"/>
    <w:rsid w:val="00055FE2"/>
    <w:rsid w:val="0005616F"/>
    <w:rsid w:val="00060C2E"/>
    <w:rsid w:val="00061033"/>
    <w:rsid w:val="000619E9"/>
    <w:rsid w:val="000622D4"/>
    <w:rsid w:val="00062B80"/>
    <w:rsid w:val="0006357D"/>
    <w:rsid w:val="00067ACE"/>
    <w:rsid w:val="00067F1E"/>
    <w:rsid w:val="00071CC0"/>
    <w:rsid w:val="00071CFC"/>
    <w:rsid w:val="00073C8C"/>
    <w:rsid w:val="00077B64"/>
    <w:rsid w:val="00080A1C"/>
    <w:rsid w:val="000821D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3C8"/>
    <w:rsid w:val="000B060F"/>
    <w:rsid w:val="000B1592"/>
    <w:rsid w:val="000B1F3B"/>
    <w:rsid w:val="000B1FF2"/>
    <w:rsid w:val="000B3CDA"/>
    <w:rsid w:val="000B6A0B"/>
    <w:rsid w:val="000C0F6C"/>
    <w:rsid w:val="000C11DB"/>
    <w:rsid w:val="000C1492"/>
    <w:rsid w:val="000C2FBD"/>
    <w:rsid w:val="000C4B41"/>
    <w:rsid w:val="000C57D6"/>
    <w:rsid w:val="000C6362"/>
    <w:rsid w:val="000C7666"/>
    <w:rsid w:val="000D0998"/>
    <w:rsid w:val="000D0A9C"/>
    <w:rsid w:val="000D1795"/>
    <w:rsid w:val="000D329A"/>
    <w:rsid w:val="000D4B9C"/>
    <w:rsid w:val="000D4EB6"/>
    <w:rsid w:val="000D753B"/>
    <w:rsid w:val="000E184E"/>
    <w:rsid w:val="000E4C9E"/>
    <w:rsid w:val="000E4F35"/>
    <w:rsid w:val="000E6FD7"/>
    <w:rsid w:val="000E7144"/>
    <w:rsid w:val="000F06E1"/>
    <w:rsid w:val="000F0E3C"/>
    <w:rsid w:val="000F19D5"/>
    <w:rsid w:val="000F4050"/>
    <w:rsid w:val="000F4AEA"/>
    <w:rsid w:val="000F67E9"/>
    <w:rsid w:val="00104926"/>
    <w:rsid w:val="001112AC"/>
    <w:rsid w:val="00113B1E"/>
    <w:rsid w:val="0011711C"/>
    <w:rsid w:val="00122F6B"/>
    <w:rsid w:val="00124E4F"/>
    <w:rsid w:val="001260B7"/>
    <w:rsid w:val="001265CB"/>
    <w:rsid w:val="001321C6"/>
    <w:rsid w:val="001325C4"/>
    <w:rsid w:val="00133010"/>
    <w:rsid w:val="001338EE"/>
    <w:rsid w:val="00133AAE"/>
    <w:rsid w:val="00135323"/>
    <w:rsid w:val="001356C4"/>
    <w:rsid w:val="00137565"/>
    <w:rsid w:val="00141114"/>
    <w:rsid w:val="00142969"/>
    <w:rsid w:val="00144076"/>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D2C"/>
    <w:rsid w:val="00173FB1"/>
    <w:rsid w:val="0017406D"/>
    <w:rsid w:val="00176DFD"/>
    <w:rsid w:val="001852C9"/>
    <w:rsid w:val="00187A0B"/>
    <w:rsid w:val="00190087"/>
    <w:rsid w:val="001913C4"/>
    <w:rsid w:val="0019348F"/>
    <w:rsid w:val="00193A07"/>
    <w:rsid w:val="00194C95"/>
    <w:rsid w:val="00195C34"/>
    <w:rsid w:val="00196EF5"/>
    <w:rsid w:val="001A0DC1"/>
    <w:rsid w:val="001A1A53"/>
    <w:rsid w:val="001A234A"/>
    <w:rsid w:val="001A4CF3"/>
    <w:rsid w:val="001A6696"/>
    <w:rsid w:val="001B06E8"/>
    <w:rsid w:val="001B27DB"/>
    <w:rsid w:val="001B4830"/>
    <w:rsid w:val="001B71D0"/>
    <w:rsid w:val="001B71EE"/>
    <w:rsid w:val="001C04A8"/>
    <w:rsid w:val="001C09B8"/>
    <w:rsid w:val="001C2C03"/>
    <w:rsid w:val="001C42F7"/>
    <w:rsid w:val="001C49E5"/>
    <w:rsid w:val="001C680C"/>
    <w:rsid w:val="001C7FEA"/>
    <w:rsid w:val="001D0499"/>
    <w:rsid w:val="001D0AAF"/>
    <w:rsid w:val="001D0BBE"/>
    <w:rsid w:val="001D0ED4"/>
    <w:rsid w:val="001D19E7"/>
    <w:rsid w:val="001D212F"/>
    <w:rsid w:val="001D29D7"/>
    <w:rsid w:val="001D2DE7"/>
    <w:rsid w:val="001D411C"/>
    <w:rsid w:val="001E1805"/>
    <w:rsid w:val="001E1B6A"/>
    <w:rsid w:val="001E2484"/>
    <w:rsid w:val="001E3CC4"/>
    <w:rsid w:val="001E4882"/>
    <w:rsid w:val="001E64FD"/>
    <w:rsid w:val="001E69FE"/>
    <w:rsid w:val="001E73AB"/>
    <w:rsid w:val="001F092D"/>
    <w:rsid w:val="001F143A"/>
    <w:rsid w:val="001F1605"/>
    <w:rsid w:val="001F2508"/>
    <w:rsid w:val="001F4816"/>
    <w:rsid w:val="001F69B4"/>
    <w:rsid w:val="001F77C7"/>
    <w:rsid w:val="00200183"/>
    <w:rsid w:val="002002E1"/>
    <w:rsid w:val="00200333"/>
    <w:rsid w:val="0020107D"/>
    <w:rsid w:val="0020215E"/>
    <w:rsid w:val="00202AA4"/>
    <w:rsid w:val="002031F7"/>
    <w:rsid w:val="002040E6"/>
    <w:rsid w:val="0020527B"/>
    <w:rsid w:val="00205F2C"/>
    <w:rsid w:val="00210B15"/>
    <w:rsid w:val="00212E73"/>
    <w:rsid w:val="002142EA"/>
    <w:rsid w:val="00215ADD"/>
    <w:rsid w:val="002204BB"/>
    <w:rsid w:val="00221B79"/>
    <w:rsid w:val="00221C6B"/>
    <w:rsid w:val="002253A1"/>
    <w:rsid w:val="00225CF8"/>
    <w:rsid w:val="0022794E"/>
    <w:rsid w:val="00233D64"/>
    <w:rsid w:val="0023482A"/>
    <w:rsid w:val="002359CB"/>
    <w:rsid w:val="0023681B"/>
    <w:rsid w:val="00243540"/>
    <w:rsid w:val="0024497B"/>
    <w:rsid w:val="002450C1"/>
    <w:rsid w:val="0024515B"/>
    <w:rsid w:val="00246021"/>
    <w:rsid w:val="0024666E"/>
    <w:rsid w:val="00247F52"/>
    <w:rsid w:val="00250B25"/>
    <w:rsid w:val="00250BBE"/>
    <w:rsid w:val="002515C2"/>
    <w:rsid w:val="0025194F"/>
    <w:rsid w:val="002571C0"/>
    <w:rsid w:val="0026148A"/>
    <w:rsid w:val="00262696"/>
    <w:rsid w:val="00263D02"/>
    <w:rsid w:val="00263D25"/>
    <w:rsid w:val="002643C3"/>
    <w:rsid w:val="00264A0C"/>
    <w:rsid w:val="00265881"/>
    <w:rsid w:val="00266EEB"/>
    <w:rsid w:val="002671D4"/>
    <w:rsid w:val="00267EF4"/>
    <w:rsid w:val="00270CB8"/>
    <w:rsid w:val="00272B08"/>
    <w:rsid w:val="00281BB8"/>
    <w:rsid w:val="00281E9E"/>
    <w:rsid w:val="00282405"/>
    <w:rsid w:val="00285170"/>
    <w:rsid w:val="00285361"/>
    <w:rsid w:val="0028778B"/>
    <w:rsid w:val="00292D60"/>
    <w:rsid w:val="00293B30"/>
    <w:rsid w:val="00294D34"/>
    <w:rsid w:val="00294E3B"/>
    <w:rsid w:val="00296193"/>
    <w:rsid w:val="00296C66"/>
    <w:rsid w:val="00296EBE"/>
    <w:rsid w:val="002974E3"/>
    <w:rsid w:val="002A02E8"/>
    <w:rsid w:val="002A084B"/>
    <w:rsid w:val="002A1260"/>
    <w:rsid w:val="002A1589"/>
    <w:rsid w:val="002A1608"/>
    <w:rsid w:val="002A1B15"/>
    <w:rsid w:val="002A25DC"/>
    <w:rsid w:val="002A2B57"/>
    <w:rsid w:val="002A3AAB"/>
    <w:rsid w:val="002A4CEA"/>
    <w:rsid w:val="002A53E1"/>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448"/>
    <w:rsid w:val="002D79AC"/>
    <w:rsid w:val="002E039D"/>
    <w:rsid w:val="002E3BB3"/>
    <w:rsid w:val="002E4D5A"/>
    <w:rsid w:val="002E6326"/>
    <w:rsid w:val="002F30E0"/>
    <w:rsid w:val="002F35E4"/>
    <w:rsid w:val="002F3730"/>
    <w:rsid w:val="002F38E1"/>
    <w:rsid w:val="002F7AF6"/>
    <w:rsid w:val="00300E63"/>
    <w:rsid w:val="00302F5F"/>
    <w:rsid w:val="0030441D"/>
    <w:rsid w:val="00306063"/>
    <w:rsid w:val="00311CF6"/>
    <w:rsid w:val="00313B85"/>
    <w:rsid w:val="00317988"/>
    <w:rsid w:val="003221B4"/>
    <w:rsid w:val="0032258D"/>
    <w:rsid w:val="00322E62"/>
    <w:rsid w:val="00324D13"/>
    <w:rsid w:val="00324EDD"/>
    <w:rsid w:val="003331E4"/>
    <w:rsid w:val="00333A00"/>
    <w:rsid w:val="00336C64"/>
    <w:rsid w:val="00337162"/>
    <w:rsid w:val="0034194F"/>
    <w:rsid w:val="00344605"/>
    <w:rsid w:val="00345B49"/>
    <w:rsid w:val="003474AA"/>
    <w:rsid w:val="00350D1D"/>
    <w:rsid w:val="0035209B"/>
    <w:rsid w:val="00352C83"/>
    <w:rsid w:val="00352F1A"/>
    <w:rsid w:val="00356138"/>
    <w:rsid w:val="0036107C"/>
    <w:rsid w:val="003615D2"/>
    <w:rsid w:val="0036429C"/>
    <w:rsid w:val="00364A53"/>
    <w:rsid w:val="003654CB"/>
    <w:rsid w:val="00365AA9"/>
    <w:rsid w:val="00365F86"/>
    <w:rsid w:val="00365F87"/>
    <w:rsid w:val="00366E89"/>
    <w:rsid w:val="003705F4"/>
    <w:rsid w:val="00370D58"/>
    <w:rsid w:val="00371316"/>
    <w:rsid w:val="0037447C"/>
    <w:rsid w:val="00376713"/>
    <w:rsid w:val="0037676C"/>
    <w:rsid w:val="00381815"/>
    <w:rsid w:val="003819AF"/>
    <w:rsid w:val="003820E9"/>
    <w:rsid w:val="00382DE7"/>
    <w:rsid w:val="00384FFC"/>
    <w:rsid w:val="003869AB"/>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10E"/>
    <w:rsid w:val="003C5A43"/>
    <w:rsid w:val="003D0519"/>
    <w:rsid w:val="003D0FF6"/>
    <w:rsid w:val="003D262C"/>
    <w:rsid w:val="003D6D61"/>
    <w:rsid w:val="003E019F"/>
    <w:rsid w:val="003E091D"/>
    <w:rsid w:val="003E1C53"/>
    <w:rsid w:val="003E2A69"/>
    <w:rsid w:val="003E2D49"/>
    <w:rsid w:val="003E2FD4"/>
    <w:rsid w:val="003E49F6"/>
    <w:rsid w:val="003E61C7"/>
    <w:rsid w:val="003E660F"/>
    <w:rsid w:val="003F0841"/>
    <w:rsid w:val="003F23D3"/>
    <w:rsid w:val="003F3F08"/>
    <w:rsid w:val="003F49F1"/>
    <w:rsid w:val="003F573C"/>
    <w:rsid w:val="003F6272"/>
    <w:rsid w:val="00400E72"/>
    <w:rsid w:val="00401400"/>
    <w:rsid w:val="00403ECC"/>
    <w:rsid w:val="00404869"/>
    <w:rsid w:val="00405884"/>
    <w:rsid w:val="00407D39"/>
    <w:rsid w:val="0041149C"/>
    <w:rsid w:val="0041477A"/>
    <w:rsid w:val="004167A3"/>
    <w:rsid w:val="004244B6"/>
    <w:rsid w:val="00425029"/>
    <w:rsid w:val="00432DAA"/>
    <w:rsid w:val="00434305"/>
    <w:rsid w:val="00435DF7"/>
    <w:rsid w:val="0043741A"/>
    <w:rsid w:val="0044083F"/>
    <w:rsid w:val="00440C2E"/>
    <w:rsid w:val="00441AE7"/>
    <w:rsid w:val="00445574"/>
    <w:rsid w:val="004467FB"/>
    <w:rsid w:val="00452D6B"/>
    <w:rsid w:val="00454484"/>
    <w:rsid w:val="0045509E"/>
    <w:rsid w:val="0045517B"/>
    <w:rsid w:val="00463B77"/>
    <w:rsid w:val="00463C7B"/>
    <w:rsid w:val="004644A6"/>
    <w:rsid w:val="004659BD"/>
    <w:rsid w:val="00470775"/>
    <w:rsid w:val="004746B1"/>
    <w:rsid w:val="0047583F"/>
    <w:rsid w:val="00475DE8"/>
    <w:rsid w:val="004811DF"/>
    <w:rsid w:val="00481C44"/>
    <w:rsid w:val="00484936"/>
    <w:rsid w:val="00485C89"/>
    <w:rsid w:val="00486BE3"/>
    <w:rsid w:val="00487B6E"/>
    <w:rsid w:val="00487B99"/>
    <w:rsid w:val="004905E4"/>
    <w:rsid w:val="00490A89"/>
    <w:rsid w:val="00490AB4"/>
    <w:rsid w:val="00492F02"/>
    <w:rsid w:val="004939AE"/>
    <w:rsid w:val="004A12DF"/>
    <w:rsid w:val="004A1BA8"/>
    <w:rsid w:val="004A4B57"/>
    <w:rsid w:val="004A63FA"/>
    <w:rsid w:val="004A6A3D"/>
    <w:rsid w:val="004A799D"/>
    <w:rsid w:val="004B0272"/>
    <w:rsid w:val="004B2701"/>
    <w:rsid w:val="004B2E1B"/>
    <w:rsid w:val="004B3AA8"/>
    <w:rsid w:val="004B3E93"/>
    <w:rsid w:val="004C1C4D"/>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CFA"/>
    <w:rsid w:val="00501139"/>
    <w:rsid w:val="00502F24"/>
    <w:rsid w:val="0050363E"/>
    <w:rsid w:val="005039BC"/>
    <w:rsid w:val="005043BB"/>
    <w:rsid w:val="00504A3D"/>
    <w:rsid w:val="00505767"/>
    <w:rsid w:val="005073F0"/>
    <w:rsid w:val="00510A7B"/>
    <w:rsid w:val="00512F6E"/>
    <w:rsid w:val="00513038"/>
    <w:rsid w:val="00514174"/>
    <w:rsid w:val="00516088"/>
    <w:rsid w:val="00516B0B"/>
    <w:rsid w:val="005220EC"/>
    <w:rsid w:val="005236E0"/>
    <w:rsid w:val="00523F95"/>
    <w:rsid w:val="00524D65"/>
    <w:rsid w:val="00525B16"/>
    <w:rsid w:val="00533D04"/>
    <w:rsid w:val="00534804"/>
    <w:rsid w:val="00534BDF"/>
    <w:rsid w:val="005354EA"/>
    <w:rsid w:val="0053585F"/>
    <w:rsid w:val="00535EC4"/>
    <w:rsid w:val="00535ED9"/>
    <w:rsid w:val="0053692B"/>
    <w:rsid w:val="00541853"/>
    <w:rsid w:val="00543AD6"/>
    <w:rsid w:val="00543BDA"/>
    <w:rsid w:val="005441CC"/>
    <w:rsid w:val="00547942"/>
    <w:rsid w:val="005479DA"/>
    <w:rsid w:val="00547BCC"/>
    <w:rsid w:val="0055013B"/>
    <w:rsid w:val="00551F6F"/>
    <w:rsid w:val="00555044"/>
    <w:rsid w:val="00561475"/>
    <w:rsid w:val="00562308"/>
    <w:rsid w:val="0056487B"/>
    <w:rsid w:val="00564FB9"/>
    <w:rsid w:val="00573D9E"/>
    <w:rsid w:val="005801E3"/>
    <w:rsid w:val="00581802"/>
    <w:rsid w:val="00582CC7"/>
    <w:rsid w:val="005836A8"/>
    <w:rsid w:val="0058409C"/>
    <w:rsid w:val="00584262"/>
    <w:rsid w:val="00586630"/>
    <w:rsid w:val="00587ADD"/>
    <w:rsid w:val="00587DCA"/>
    <w:rsid w:val="0059032D"/>
    <w:rsid w:val="00593A49"/>
    <w:rsid w:val="00596160"/>
    <w:rsid w:val="005966E2"/>
    <w:rsid w:val="00597007"/>
    <w:rsid w:val="005A0966"/>
    <w:rsid w:val="005A11B7"/>
    <w:rsid w:val="005A260B"/>
    <w:rsid w:val="005A4A1B"/>
    <w:rsid w:val="005A7830"/>
    <w:rsid w:val="005A7FCE"/>
    <w:rsid w:val="005B0F3F"/>
    <w:rsid w:val="005B191C"/>
    <w:rsid w:val="005B23ED"/>
    <w:rsid w:val="005B4903"/>
    <w:rsid w:val="005B51CE"/>
    <w:rsid w:val="005B5885"/>
    <w:rsid w:val="005B5CD7"/>
    <w:rsid w:val="005B6CF6"/>
    <w:rsid w:val="005B7422"/>
    <w:rsid w:val="005C1D9E"/>
    <w:rsid w:val="005C29B8"/>
    <w:rsid w:val="005C5F21"/>
    <w:rsid w:val="005C7156"/>
    <w:rsid w:val="005D0C75"/>
    <w:rsid w:val="005D4171"/>
    <w:rsid w:val="005D6A95"/>
    <w:rsid w:val="005D6B2C"/>
    <w:rsid w:val="005D6D9C"/>
    <w:rsid w:val="005E2335"/>
    <w:rsid w:val="005E34CA"/>
    <w:rsid w:val="005E3C18"/>
    <w:rsid w:val="005E4250"/>
    <w:rsid w:val="005E5AA6"/>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D65"/>
    <w:rsid w:val="00634D9E"/>
    <w:rsid w:val="00636E3E"/>
    <w:rsid w:val="006379F7"/>
    <w:rsid w:val="00637E4D"/>
    <w:rsid w:val="00640620"/>
    <w:rsid w:val="00641A1F"/>
    <w:rsid w:val="00645904"/>
    <w:rsid w:val="00651ACB"/>
    <w:rsid w:val="00651C47"/>
    <w:rsid w:val="00652AB2"/>
    <w:rsid w:val="00653698"/>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669A"/>
    <w:rsid w:val="006A07AA"/>
    <w:rsid w:val="006A25E5"/>
    <w:rsid w:val="006A2B46"/>
    <w:rsid w:val="006A336D"/>
    <w:rsid w:val="006A37B9"/>
    <w:rsid w:val="006B2672"/>
    <w:rsid w:val="006B54BF"/>
    <w:rsid w:val="006B5F44"/>
    <w:rsid w:val="006B5F90"/>
    <w:rsid w:val="006B62E4"/>
    <w:rsid w:val="006C1BBA"/>
    <w:rsid w:val="006C2079"/>
    <w:rsid w:val="006C4AEE"/>
    <w:rsid w:val="006C4B06"/>
    <w:rsid w:val="006C5A62"/>
    <w:rsid w:val="006C5D68"/>
    <w:rsid w:val="006C6976"/>
    <w:rsid w:val="006C6DD0"/>
    <w:rsid w:val="006D04EA"/>
    <w:rsid w:val="006D05D9"/>
    <w:rsid w:val="006D0C5F"/>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72C"/>
    <w:rsid w:val="00712A01"/>
    <w:rsid w:val="00714F58"/>
    <w:rsid w:val="00722FBF"/>
    <w:rsid w:val="00722FC2"/>
    <w:rsid w:val="00724E1B"/>
    <w:rsid w:val="00725949"/>
    <w:rsid w:val="00727FA2"/>
    <w:rsid w:val="007322D9"/>
    <w:rsid w:val="00732BC0"/>
    <w:rsid w:val="0073720F"/>
    <w:rsid w:val="00737216"/>
    <w:rsid w:val="00737796"/>
    <w:rsid w:val="0074165C"/>
    <w:rsid w:val="00742C35"/>
    <w:rsid w:val="007432CA"/>
    <w:rsid w:val="007439EB"/>
    <w:rsid w:val="00743CB4"/>
    <w:rsid w:val="00743F0A"/>
    <w:rsid w:val="007444E8"/>
    <w:rsid w:val="0074548E"/>
    <w:rsid w:val="00745773"/>
    <w:rsid w:val="00746800"/>
    <w:rsid w:val="007501A8"/>
    <w:rsid w:val="00750D61"/>
    <w:rsid w:val="00750D89"/>
    <w:rsid w:val="00750EE1"/>
    <w:rsid w:val="00752B4D"/>
    <w:rsid w:val="00754446"/>
    <w:rsid w:val="00755402"/>
    <w:rsid w:val="00756B26"/>
    <w:rsid w:val="00756EDF"/>
    <w:rsid w:val="007600E3"/>
    <w:rsid w:val="00765C43"/>
    <w:rsid w:val="00765EFB"/>
    <w:rsid w:val="007671CA"/>
    <w:rsid w:val="00767A49"/>
    <w:rsid w:val="00767C61"/>
    <w:rsid w:val="0077008A"/>
    <w:rsid w:val="00773C1F"/>
    <w:rsid w:val="00774DA4"/>
    <w:rsid w:val="00776599"/>
    <w:rsid w:val="00777974"/>
    <w:rsid w:val="0078114B"/>
    <w:rsid w:val="00781DD2"/>
    <w:rsid w:val="00783ECF"/>
    <w:rsid w:val="0078413A"/>
    <w:rsid w:val="00792FF4"/>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3D5"/>
    <w:rsid w:val="007C2D89"/>
    <w:rsid w:val="007C4593"/>
    <w:rsid w:val="007C5309"/>
    <w:rsid w:val="007C6069"/>
    <w:rsid w:val="007D06C4"/>
    <w:rsid w:val="007D1352"/>
    <w:rsid w:val="007D2508"/>
    <w:rsid w:val="007D346A"/>
    <w:rsid w:val="007D6518"/>
    <w:rsid w:val="007D76BD"/>
    <w:rsid w:val="007E0BF1"/>
    <w:rsid w:val="007E1F45"/>
    <w:rsid w:val="007E676D"/>
    <w:rsid w:val="007F0ED8"/>
    <w:rsid w:val="007F0F63"/>
    <w:rsid w:val="007F2BEA"/>
    <w:rsid w:val="007F4178"/>
    <w:rsid w:val="007F75CE"/>
    <w:rsid w:val="008013A4"/>
    <w:rsid w:val="00801E3A"/>
    <w:rsid w:val="008027CE"/>
    <w:rsid w:val="00802F42"/>
    <w:rsid w:val="00804383"/>
    <w:rsid w:val="00804BB7"/>
    <w:rsid w:val="00804D41"/>
    <w:rsid w:val="008071A2"/>
    <w:rsid w:val="00810257"/>
    <w:rsid w:val="008104F5"/>
    <w:rsid w:val="00811072"/>
    <w:rsid w:val="00811369"/>
    <w:rsid w:val="00815419"/>
    <w:rsid w:val="008163C8"/>
    <w:rsid w:val="008164A1"/>
    <w:rsid w:val="00817325"/>
    <w:rsid w:val="00817726"/>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6E6"/>
    <w:rsid w:val="008603CE"/>
    <w:rsid w:val="008620FC"/>
    <w:rsid w:val="008627A5"/>
    <w:rsid w:val="00863E05"/>
    <w:rsid w:val="00865ACA"/>
    <w:rsid w:val="00865D28"/>
    <w:rsid w:val="00865F85"/>
    <w:rsid w:val="00867C10"/>
    <w:rsid w:val="00870439"/>
    <w:rsid w:val="00870DA1"/>
    <w:rsid w:val="008741EE"/>
    <w:rsid w:val="00883F93"/>
    <w:rsid w:val="00884DB3"/>
    <w:rsid w:val="00885A9D"/>
    <w:rsid w:val="008864F6"/>
    <w:rsid w:val="0089049D"/>
    <w:rsid w:val="008928C9"/>
    <w:rsid w:val="00892F58"/>
    <w:rsid w:val="008930CB"/>
    <w:rsid w:val="008938DC"/>
    <w:rsid w:val="00893FD1"/>
    <w:rsid w:val="00894836"/>
    <w:rsid w:val="00895172"/>
    <w:rsid w:val="00895680"/>
    <w:rsid w:val="00896DFF"/>
    <w:rsid w:val="0089762C"/>
    <w:rsid w:val="008A173B"/>
    <w:rsid w:val="008A1893"/>
    <w:rsid w:val="008A57E6"/>
    <w:rsid w:val="008A5817"/>
    <w:rsid w:val="008A6F81"/>
    <w:rsid w:val="008A769A"/>
    <w:rsid w:val="008B0C9C"/>
    <w:rsid w:val="008B166D"/>
    <w:rsid w:val="008B17C1"/>
    <w:rsid w:val="008B17F4"/>
    <w:rsid w:val="008B19FB"/>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19C"/>
    <w:rsid w:val="008F17A3"/>
    <w:rsid w:val="008F1ED3"/>
    <w:rsid w:val="008F4C29"/>
    <w:rsid w:val="008F70BD"/>
    <w:rsid w:val="008F788F"/>
    <w:rsid w:val="008F7EA2"/>
    <w:rsid w:val="00902722"/>
    <w:rsid w:val="009027BC"/>
    <w:rsid w:val="009062E6"/>
    <w:rsid w:val="00911A1F"/>
    <w:rsid w:val="00911BE5"/>
    <w:rsid w:val="00913CA9"/>
    <w:rsid w:val="009145AE"/>
    <w:rsid w:val="009146CE"/>
    <w:rsid w:val="00914CA7"/>
    <w:rsid w:val="0091596A"/>
    <w:rsid w:val="00915C3E"/>
    <w:rsid w:val="009161A8"/>
    <w:rsid w:val="00921A74"/>
    <w:rsid w:val="009245AE"/>
    <w:rsid w:val="009245F5"/>
    <w:rsid w:val="009249EC"/>
    <w:rsid w:val="009273B3"/>
    <w:rsid w:val="009305B5"/>
    <w:rsid w:val="00933647"/>
    <w:rsid w:val="009378DD"/>
    <w:rsid w:val="009429D5"/>
    <w:rsid w:val="00942BF1"/>
    <w:rsid w:val="00945180"/>
    <w:rsid w:val="00945428"/>
    <w:rsid w:val="0094567D"/>
    <w:rsid w:val="0094607B"/>
    <w:rsid w:val="00947331"/>
    <w:rsid w:val="00953604"/>
    <w:rsid w:val="00954289"/>
    <w:rsid w:val="0095496B"/>
    <w:rsid w:val="00955FF8"/>
    <w:rsid w:val="00960F1E"/>
    <w:rsid w:val="009610DC"/>
    <w:rsid w:val="00961490"/>
    <w:rsid w:val="0096381A"/>
    <w:rsid w:val="00965E04"/>
    <w:rsid w:val="009674AD"/>
    <w:rsid w:val="00970BDD"/>
    <w:rsid w:val="00970CDC"/>
    <w:rsid w:val="00975727"/>
    <w:rsid w:val="00977010"/>
    <w:rsid w:val="00977D02"/>
    <w:rsid w:val="00977FF9"/>
    <w:rsid w:val="009809BB"/>
    <w:rsid w:val="0098364B"/>
    <w:rsid w:val="009908A3"/>
    <w:rsid w:val="009911AF"/>
    <w:rsid w:val="00991875"/>
    <w:rsid w:val="00991F92"/>
    <w:rsid w:val="00992985"/>
    <w:rsid w:val="00993889"/>
    <w:rsid w:val="00993C86"/>
    <w:rsid w:val="0099551B"/>
    <w:rsid w:val="00996BD2"/>
    <w:rsid w:val="00997BF1"/>
    <w:rsid w:val="009A089C"/>
    <w:rsid w:val="009A118E"/>
    <w:rsid w:val="009A21CD"/>
    <w:rsid w:val="009A278C"/>
    <w:rsid w:val="009A2A48"/>
    <w:rsid w:val="009A2BC2"/>
    <w:rsid w:val="009A42C1"/>
    <w:rsid w:val="009A5429"/>
    <w:rsid w:val="009A72AD"/>
    <w:rsid w:val="009B09E0"/>
    <w:rsid w:val="009B0BC5"/>
    <w:rsid w:val="009B1247"/>
    <w:rsid w:val="009B1676"/>
    <w:rsid w:val="009B6029"/>
    <w:rsid w:val="009B6971"/>
    <w:rsid w:val="009C27F1"/>
    <w:rsid w:val="009C3152"/>
    <w:rsid w:val="009C3257"/>
    <w:rsid w:val="009C4CFA"/>
    <w:rsid w:val="009C5070"/>
    <w:rsid w:val="009C6A6A"/>
    <w:rsid w:val="009D112C"/>
    <w:rsid w:val="009D1385"/>
    <w:rsid w:val="009D1604"/>
    <w:rsid w:val="009D47FA"/>
    <w:rsid w:val="009D4C5B"/>
    <w:rsid w:val="009D50D2"/>
    <w:rsid w:val="009D6BCA"/>
    <w:rsid w:val="009E0F62"/>
    <w:rsid w:val="009E4A58"/>
    <w:rsid w:val="009E5A2D"/>
    <w:rsid w:val="009E5AB2"/>
    <w:rsid w:val="009E6219"/>
    <w:rsid w:val="009E7175"/>
    <w:rsid w:val="009F03B3"/>
    <w:rsid w:val="009F6009"/>
    <w:rsid w:val="00A0096C"/>
    <w:rsid w:val="00A01757"/>
    <w:rsid w:val="00A028C0"/>
    <w:rsid w:val="00A02BAE"/>
    <w:rsid w:val="00A05EBA"/>
    <w:rsid w:val="00A06A6B"/>
    <w:rsid w:val="00A07E47"/>
    <w:rsid w:val="00A129D0"/>
    <w:rsid w:val="00A12C33"/>
    <w:rsid w:val="00A138BA"/>
    <w:rsid w:val="00A14C8E"/>
    <w:rsid w:val="00A153D9"/>
    <w:rsid w:val="00A15F09"/>
    <w:rsid w:val="00A1611B"/>
    <w:rsid w:val="00A169B6"/>
    <w:rsid w:val="00A174D8"/>
    <w:rsid w:val="00A2271D"/>
    <w:rsid w:val="00A237D5"/>
    <w:rsid w:val="00A30EFC"/>
    <w:rsid w:val="00A31984"/>
    <w:rsid w:val="00A32D73"/>
    <w:rsid w:val="00A3367B"/>
    <w:rsid w:val="00A33BD6"/>
    <w:rsid w:val="00A33C67"/>
    <w:rsid w:val="00A346B3"/>
    <w:rsid w:val="00A3597D"/>
    <w:rsid w:val="00A36DD1"/>
    <w:rsid w:val="00A4006C"/>
    <w:rsid w:val="00A40091"/>
    <w:rsid w:val="00A4030F"/>
    <w:rsid w:val="00A41C79"/>
    <w:rsid w:val="00A41CB5"/>
    <w:rsid w:val="00A42CDF"/>
    <w:rsid w:val="00A4452E"/>
    <w:rsid w:val="00A4472C"/>
    <w:rsid w:val="00A44E69"/>
    <w:rsid w:val="00A45FAF"/>
    <w:rsid w:val="00A4661E"/>
    <w:rsid w:val="00A55BD6"/>
    <w:rsid w:val="00A55D50"/>
    <w:rsid w:val="00A57142"/>
    <w:rsid w:val="00A648CD"/>
    <w:rsid w:val="00A6537A"/>
    <w:rsid w:val="00A67866"/>
    <w:rsid w:val="00A70B07"/>
    <w:rsid w:val="00A722EA"/>
    <w:rsid w:val="00A723F8"/>
    <w:rsid w:val="00A75C64"/>
    <w:rsid w:val="00A77CCB"/>
    <w:rsid w:val="00A811A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35E"/>
    <w:rsid w:val="00AA672E"/>
    <w:rsid w:val="00AA6EC9"/>
    <w:rsid w:val="00AB6309"/>
    <w:rsid w:val="00AB6C5F"/>
    <w:rsid w:val="00AB7129"/>
    <w:rsid w:val="00AC27A6"/>
    <w:rsid w:val="00AC30F7"/>
    <w:rsid w:val="00AC3633"/>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550A"/>
    <w:rsid w:val="00AF7AEF"/>
    <w:rsid w:val="00B049AF"/>
    <w:rsid w:val="00B058EC"/>
    <w:rsid w:val="00B07242"/>
    <w:rsid w:val="00B10534"/>
    <w:rsid w:val="00B113DB"/>
    <w:rsid w:val="00B11D8A"/>
    <w:rsid w:val="00B12981"/>
    <w:rsid w:val="00B14286"/>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B65"/>
    <w:rsid w:val="00B65149"/>
    <w:rsid w:val="00B66567"/>
    <w:rsid w:val="00B6666B"/>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827"/>
    <w:rsid w:val="00BB5F8F"/>
    <w:rsid w:val="00BB657A"/>
    <w:rsid w:val="00BC1A4E"/>
    <w:rsid w:val="00BC5DC7"/>
    <w:rsid w:val="00BC6B8B"/>
    <w:rsid w:val="00BC73D8"/>
    <w:rsid w:val="00BD33B3"/>
    <w:rsid w:val="00BD52D7"/>
    <w:rsid w:val="00BD5AD2"/>
    <w:rsid w:val="00BE22F3"/>
    <w:rsid w:val="00BE5B52"/>
    <w:rsid w:val="00BE6EB2"/>
    <w:rsid w:val="00BE7B8D"/>
    <w:rsid w:val="00BF0993"/>
    <w:rsid w:val="00BF10A9"/>
    <w:rsid w:val="00BF1703"/>
    <w:rsid w:val="00BF231C"/>
    <w:rsid w:val="00BF4964"/>
    <w:rsid w:val="00BF51E5"/>
    <w:rsid w:val="00BF74A6"/>
    <w:rsid w:val="00C013AD"/>
    <w:rsid w:val="00C01B82"/>
    <w:rsid w:val="00C04904"/>
    <w:rsid w:val="00C056B3"/>
    <w:rsid w:val="00C103E5"/>
    <w:rsid w:val="00C13319"/>
    <w:rsid w:val="00C13EE9"/>
    <w:rsid w:val="00C20B0B"/>
    <w:rsid w:val="00C21540"/>
    <w:rsid w:val="00C21906"/>
    <w:rsid w:val="00C21BFA"/>
    <w:rsid w:val="00C22BAA"/>
    <w:rsid w:val="00C24C8D"/>
    <w:rsid w:val="00C25FE2"/>
    <w:rsid w:val="00C26B53"/>
    <w:rsid w:val="00C279B2"/>
    <w:rsid w:val="00C3367B"/>
    <w:rsid w:val="00C33E50"/>
    <w:rsid w:val="00C343B6"/>
    <w:rsid w:val="00C34C20"/>
    <w:rsid w:val="00C35A3E"/>
    <w:rsid w:val="00C415E1"/>
    <w:rsid w:val="00C42130"/>
    <w:rsid w:val="00C423A4"/>
    <w:rsid w:val="00C423E3"/>
    <w:rsid w:val="00C43ADD"/>
    <w:rsid w:val="00C44BF5"/>
    <w:rsid w:val="00C521D6"/>
    <w:rsid w:val="00C55232"/>
    <w:rsid w:val="00C553A4"/>
    <w:rsid w:val="00C55A06"/>
    <w:rsid w:val="00C55D03"/>
    <w:rsid w:val="00C55F0C"/>
    <w:rsid w:val="00C579F0"/>
    <w:rsid w:val="00C601BC"/>
    <w:rsid w:val="00C6329F"/>
    <w:rsid w:val="00C63340"/>
    <w:rsid w:val="00C633B6"/>
    <w:rsid w:val="00C643F9"/>
    <w:rsid w:val="00C64E95"/>
    <w:rsid w:val="00C71372"/>
    <w:rsid w:val="00C72410"/>
    <w:rsid w:val="00C7287F"/>
    <w:rsid w:val="00C750FC"/>
    <w:rsid w:val="00C80CB8"/>
    <w:rsid w:val="00C819F8"/>
    <w:rsid w:val="00C8248C"/>
    <w:rsid w:val="00C84E33"/>
    <w:rsid w:val="00C86D6F"/>
    <w:rsid w:val="00C905FC"/>
    <w:rsid w:val="00C92D03"/>
    <w:rsid w:val="00C9319C"/>
    <w:rsid w:val="00C9435D"/>
    <w:rsid w:val="00C94DF2"/>
    <w:rsid w:val="00C96741"/>
    <w:rsid w:val="00CA2D1B"/>
    <w:rsid w:val="00CA375D"/>
    <w:rsid w:val="00CA4E34"/>
    <w:rsid w:val="00CA662A"/>
    <w:rsid w:val="00CA7AFD"/>
    <w:rsid w:val="00CA7C3C"/>
    <w:rsid w:val="00CB0189"/>
    <w:rsid w:val="00CB0BA2"/>
    <w:rsid w:val="00CB1A42"/>
    <w:rsid w:val="00CB1B0C"/>
    <w:rsid w:val="00CB2C0B"/>
    <w:rsid w:val="00CB517D"/>
    <w:rsid w:val="00CC038D"/>
    <w:rsid w:val="00CC08DB"/>
    <w:rsid w:val="00CC39FF"/>
    <w:rsid w:val="00CC3C2F"/>
    <w:rsid w:val="00CC4571"/>
    <w:rsid w:val="00CC4AC8"/>
    <w:rsid w:val="00CC5233"/>
    <w:rsid w:val="00CC59D4"/>
    <w:rsid w:val="00CC5DE6"/>
    <w:rsid w:val="00CC6E4E"/>
    <w:rsid w:val="00CC6FE8"/>
    <w:rsid w:val="00CC7202"/>
    <w:rsid w:val="00CD05EA"/>
    <w:rsid w:val="00CD2306"/>
    <w:rsid w:val="00CD2808"/>
    <w:rsid w:val="00CD28BF"/>
    <w:rsid w:val="00CD4092"/>
    <w:rsid w:val="00CD4A20"/>
    <w:rsid w:val="00CD50A1"/>
    <w:rsid w:val="00CD519E"/>
    <w:rsid w:val="00CD532B"/>
    <w:rsid w:val="00CE0C4F"/>
    <w:rsid w:val="00CE2661"/>
    <w:rsid w:val="00CE30EA"/>
    <w:rsid w:val="00CE3A93"/>
    <w:rsid w:val="00CE3F4D"/>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3A5"/>
    <w:rsid w:val="00D32719"/>
    <w:rsid w:val="00D33333"/>
    <w:rsid w:val="00D352A2"/>
    <w:rsid w:val="00D4162B"/>
    <w:rsid w:val="00D4514F"/>
    <w:rsid w:val="00D451E2"/>
    <w:rsid w:val="00D45E89"/>
    <w:rsid w:val="00D45E8D"/>
    <w:rsid w:val="00D466AE"/>
    <w:rsid w:val="00D4734F"/>
    <w:rsid w:val="00D51BF3"/>
    <w:rsid w:val="00D66846"/>
    <w:rsid w:val="00D675FB"/>
    <w:rsid w:val="00D714E9"/>
    <w:rsid w:val="00D71F25"/>
    <w:rsid w:val="00D72615"/>
    <w:rsid w:val="00D72A9C"/>
    <w:rsid w:val="00D77031"/>
    <w:rsid w:val="00D80D7B"/>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974"/>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0E5"/>
    <w:rsid w:val="00DF1961"/>
    <w:rsid w:val="00DF44DE"/>
    <w:rsid w:val="00E01138"/>
    <w:rsid w:val="00E02DFB"/>
    <w:rsid w:val="00E030F9"/>
    <w:rsid w:val="00E0311A"/>
    <w:rsid w:val="00E03138"/>
    <w:rsid w:val="00E06404"/>
    <w:rsid w:val="00E11A85"/>
    <w:rsid w:val="00E12495"/>
    <w:rsid w:val="00E12AB0"/>
    <w:rsid w:val="00E15CCD"/>
    <w:rsid w:val="00E202EF"/>
    <w:rsid w:val="00E210B5"/>
    <w:rsid w:val="00E25422"/>
    <w:rsid w:val="00E2552F"/>
    <w:rsid w:val="00E30E9D"/>
    <w:rsid w:val="00E3137A"/>
    <w:rsid w:val="00E32CCF"/>
    <w:rsid w:val="00E336D7"/>
    <w:rsid w:val="00E34A98"/>
    <w:rsid w:val="00E35D1E"/>
    <w:rsid w:val="00E364F9"/>
    <w:rsid w:val="00E365FA"/>
    <w:rsid w:val="00E36789"/>
    <w:rsid w:val="00E44015"/>
    <w:rsid w:val="00E444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EBA"/>
    <w:rsid w:val="00E70388"/>
    <w:rsid w:val="00E70F92"/>
    <w:rsid w:val="00E74313"/>
    <w:rsid w:val="00E74C54"/>
    <w:rsid w:val="00E75B9B"/>
    <w:rsid w:val="00E77A03"/>
    <w:rsid w:val="00E822E8"/>
    <w:rsid w:val="00E82554"/>
    <w:rsid w:val="00E82606"/>
    <w:rsid w:val="00E831C1"/>
    <w:rsid w:val="00E846C8"/>
    <w:rsid w:val="00E84957"/>
    <w:rsid w:val="00E84A55"/>
    <w:rsid w:val="00E85BFF"/>
    <w:rsid w:val="00E87F25"/>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331"/>
    <w:rsid w:val="00EB74DB"/>
    <w:rsid w:val="00EC5359"/>
    <w:rsid w:val="00EC562A"/>
    <w:rsid w:val="00ED046F"/>
    <w:rsid w:val="00ED067A"/>
    <w:rsid w:val="00ED1FF2"/>
    <w:rsid w:val="00ED2B50"/>
    <w:rsid w:val="00EE0350"/>
    <w:rsid w:val="00EE0719"/>
    <w:rsid w:val="00EE0E80"/>
    <w:rsid w:val="00EE613F"/>
    <w:rsid w:val="00EE7295"/>
    <w:rsid w:val="00EE7869"/>
    <w:rsid w:val="00EF054A"/>
    <w:rsid w:val="00EF3235"/>
    <w:rsid w:val="00EF4621"/>
    <w:rsid w:val="00EF7E72"/>
    <w:rsid w:val="00F05267"/>
    <w:rsid w:val="00F06D37"/>
    <w:rsid w:val="00F06E93"/>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7DD"/>
    <w:rsid w:val="00F356C2"/>
    <w:rsid w:val="00F3640A"/>
    <w:rsid w:val="00F36BAD"/>
    <w:rsid w:val="00F420D5"/>
    <w:rsid w:val="00F451EA"/>
    <w:rsid w:val="00F45447"/>
    <w:rsid w:val="00F456C6"/>
    <w:rsid w:val="00F4577B"/>
    <w:rsid w:val="00F46496"/>
    <w:rsid w:val="00F474D0"/>
    <w:rsid w:val="00F47863"/>
    <w:rsid w:val="00F50179"/>
    <w:rsid w:val="00F515EE"/>
    <w:rsid w:val="00F523FC"/>
    <w:rsid w:val="00F56511"/>
    <w:rsid w:val="00F565D5"/>
    <w:rsid w:val="00F576D5"/>
    <w:rsid w:val="00F6194E"/>
    <w:rsid w:val="00F623AC"/>
    <w:rsid w:val="00F6412A"/>
    <w:rsid w:val="00F65893"/>
    <w:rsid w:val="00F66A4A"/>
    <w:rsid w:val="00F71E22"/>
    <w:rsid w:val="00F72142"/>
    <w:rsid w:val="00F72AE7"/>
    <w:rsid w:val="00F72DBF"/>
    <w:rsid w:val="00F833BA"/>
    <w:rsid w:val="00F83F99"/>
    <w:rsid w:val="00F84FD0"/>
    <w:rsid w:val="00F85777"/>
    <w:rsid w:val="00F859A8"/>
    <w:rsid w:val="00F86A4F"/>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BE6"/>
    <w:rsid w:val="00FD00E6"/>
    <w:rsid w:val="00FD09A1"/>
    <w:rsid w:val="00FD0C80"/>
    <w:rsid w:val="00FD2A7C"/>
    <w:rsid w:val="00FD385D"/>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C219C7"/>
    <w:rsid w:val="138228A6"/>
    <w:rsid w:val="2CA23219"/>
    <w:rsid w:val="3B9308FD"/>
    <w:rsid w:val="4808425A"/>
    <w:rsid w:val="4A343F97"/>
    <w:rsid w:val="4DDD7D19"/>
    <w:rsid w:val="54907555"/>
    <w:rsid w:val="5AF34DBE"/>
    <w:rsid w:val="644F0FB6"/>
    <w:rsid w:val="741E3D47"/>
    <w:rsid w:val="75B06DCC"/>
    <w:rsid w:val="7DC4338F"/>
    <w:rsid w:val="7F8D1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ind w:left="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1">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14.jpe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2FE891478E40D4ABFF2B733F68EF7E"/>
        <w:style w:val=""/>
        <w:category>
          <w:name w:val="常规"/>
          <w:gallery w:val="placeholder"/>
        </w:category>
        <w:types>
          <w:type w:val="bbPlcHdr"/>
        </w:types>
        <w:behaviors>
          <w:behavior w:val="content"/>
        </w:behaviors>
        <w:description w:val=""/>
        <w:guid w:val="{2405DED2-E80C-4D74-BF73-A58C98F4D220}"/>
      </w:docPartPr>
      <w:docPartBody>
        <w:p w14:paraId="4AF9A8CF">
          <w:pPr>
            <w:pStyle w:val="5"/>
            <w:rPr>
              <w:rFonts w:hint="eastAsia"/>
            </w:rPr>
          </w:pPr>
          <w:r>
            <w:rPr>
              <w:rStyle w:val="4"/>
              <w:rFonts w:hint="eastAsia"/>
            </w:rPr>
            <w:t>单击或点击此处输入文字。</w:t>
          </w:r>
        </w:p>
      </w:docPartBody>
    </w:docPart>
    <w:docPart>
      <w:docPartPr>
        <w:name w:val="AF52C161FEF849B787D281A76015ECE7"/>
        <w:style w:val=""/>
        <w:category>
          <w:name w:val="常规"/>
          <w:gallery w:val="placeholder"/>
        </w:category>
        <w:types>
          <w:type w:val="bbPlcHdr"/>
        </w:types>
        <w:behaviors>
          <w:behavior w:val="content"/>
        </w:behaviors>
        <w:description w:val=""/>
        <w:guid w:val="{82AB45F2-5A54-4F0A-9731-B354A75CA6F6}"/>
      </w:docPartPr>
      <w:docPartBody>
        <w:p w14:paraId="75751A25">
          <w:pPr>
            <w:pStyle w:val="6"/>
            <w:rPr>
              <w:rFonts w:hint="eastAsia"/>
            </w:rPr>
          </w:pPr>
          <w:r>
            <w:rPr>
              <w:rStyle w:val="4"/>
              <w:rFonts w:hint="eastAsia"/>
            </w:rPr>
            <w:t>选择一项。</w:t>
          </w:r>
        </w:p>
      </w:docPartBody>
    </w:docPart>
    <w:docPart>
      <w:docPartPr>
        <w:name w:val="443D717105FD4881B88A4FCEBCD734C8"/>
        <w:style w:val=""/>
        <w:category>
          <w:name w:val="常规"/>
          <w:gallery w:val="placeholder"/>
        </w:category>
        <w:types>
          <w:type w:val="bbPlcHdr"/>
        </w:types>
        <w:behaviors>
          <w:behavior w:val="content"/>
        </w:behaviors>
        <w:description w:val=""/>
        <w:guid w:val="{AA347D16-CE0E-4F6A-9149-91213B075C0D}"/>
      </w:docPartPr>
      <w:docPartBody>
        <w:p w14:paraId="237AEC8F">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C85"/>
    <w:rsid w:val="00007528"/>
    <w:rsid w:val="001F611F"/>
    <w:rsid w:val="003D5DA3"/>
    <w:rsid w:val="0041449B"/>
    <w:rsid w:val="00592F24"/>
    <w:rsid w:val="006C1BA4"/>
    <w:rsid w:val="006C4AEE"/>
    <w:rsid w:val="006E3C85"/>
    <w:rsid w:val="00892F58"/>
    <w:rsid w:val="009E7175"/>
    <w:rsid w:val="00A717A8"/>
    <w:rsid w:val="00AA635E"/>
    <w:rsid w:val="00BB5A2B"/>
    <w:rsid w:val="00BB6B4B"/>
    <w:rsid w:val="00C3367B"/>
    <w:rsid w:val="00C415E1"/>
    <w:rsid w:val="00C633B6"/>
    <w:rsid w:val="00CE2908"/>
    <w:rsid w:val="00D359CD"/>
    <w:rsid w:val="00E336D7"/>
    <w:rsid w:val="00EF0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C2FE891478E40D4ABFF2B733F68EF7E"/>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F52C161FEF849B787D281A76015ECE7"/>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443D717105FD4881B88A4FCEBCD734C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14</Pages>
  <Words>2403</Words>
  <Characters>2890</Characters>
  <Lines>391</Lines>
  <Paragraphs>497</Paragraphs>
  <TotalTime>347</TotalTime>
  <ScaleCrop>false</ScaleCrop>
  <LinksUpToDate>false</LinksUpToDate>
  <CharactersWithSpaces>3028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2025-05-11T03:27:00Z</dcterms:created>
  <dc:creator>80718</dc:creator>
  <dc:description>&lt;config cover="true" show_menu="true" version="1.0.0" doctype="SDKXY"&gt;_x000d_
&lt;/config&gt;</dc:description>
  <cp:lastModifiedBy>钟名琴</cp:lastModifiedBy>
  <cp:lastPrinted>2021-02-02T08:22:00Z</cp:lastPrinted>
  <dcterms:modified xsi:type="dcterms:W3CDTF">2025-05-27T07:23:35Z</dcterms:modified>
  <dc:title>团体标准</dc:title>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eyJoZGlkIjoiOWM4OTM2ODkzYTFlOTk3MTlmNDJmOTQ2NDlmMjdhZjgiLCJ1c2VySWQiOiIzMTY0MjUzOTAifQ==</vt:lpwstr>
  </property>
  <property fmtid="{D5CDD505-2E9C-101B-9397-08002B2CF9AE}" pid="15" name="KSOProductBuildVer">
    <vt:lpwstr>2052-12.1.0.20784</vt:lpwstr>
  </property>
  <property fmtid="{D5CDD505-2E9C-101B-9397-08002B2CF9AE}" pid="16" name="ICV">
    <vt:lpwstr>8182501178BC40D3991E7FDDA67A300B_12</vt:lpwstr>
  </property>
</Properties>
</file>