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15"/>
        <w:gridCol w:w="8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15" w:type="dxa"/>
          </w:tcPr>
          <w:p>
            <w:pPr>
              <w:pStyle w:val="19"/>
              <w:framePr w:wrap="notBeside" w:vAnchor="page" w:hAnchor="page" w:x="1372" w:y="568"/>
              <w:tabs>
                <w:tab w:val="clear" w:pos="4153"/>
                <w:tab w:val="clear" w:pos="8306"/>
              </w:tabs>
              <w:spacing w:line="240" w:lineRule="auto"/>
              <w:ind w:right="-130" w:rightChars="-62"/>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49"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03.080.20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1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4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A16</w:t>
            </w:r>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4"/>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4404</w:t>
            </w:r>
            <w:r>
              <w:fldChar w:fldCharType="end"/>
            </w:r>
            <w:bookmarkEnd w:id="1"/>
          </w:p>
        </w:tc>
      </w:tr>
    </w:tbl>
    <w:p>
      <w:pPr>
        <w:pStyle w:val="55"/>
        <w:framePr w:w="9422"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珠</w:t>
      </w:r>
      <w:r>
        <w:rPr>
          <w:rFonts w:hint="eastAsia" w:ascii="黑体" w:eastAsia="黑体"/>
          <w:b w:val="0"/>
          <w:w w:val="100"/>
          <w:sz w:val="48"/>
        </w:rPr>
        <w:t>海市</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200"/>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4404</w:t>
      </w:r>
      <w:r>
        <w:rPr>
          <w:lang w:val="fr-FR"/>
        </w:rPr>
        <w:t>/T</w:t>
      </w:r>
      <w:r>
        <w:fldChar w:fldCharType="end"/>
      </w:r>
      <w:bookmarkEnd w:id="3"/>
      <w:r>
        <w:rPr>
          <w:lang w:val="fr-FR"/>
        </w:rPr>
        <w:t xml:space="preserve"> </w:t>
      </w:r>
      <w:bookmarkStart w:id="4" w:name="NSTD_CODE_F"/>
      <w:r>
        <w:rPr>
          <w:lang w:val="fr-FR"/>
        </w:rPr>
        <w:fldChar w:fldCharType="begin">
          <w:ffData>
            <w:name w:val="NSTD_CODE_F"/>
            <w:enabled/>
            <w:calcOnExit w:val="0"/>
            <w:textInput>
              <w:default w:val="XXXX"/>
            </w:textInput>
          </w:ffData>
        </w:fldChar>
      </w:r>
      <w:r>
        <w:rPr>
          <w:lang w:val="fr-FR"/>
        </w:rPr>
        <w:instrText xml:space="preserve">FORMTEXT</w:instrText>
      </w:r>
      <w:r>
        <w:rPr>
          <w:lang w:val="fr-FR"/>
        </w:rPr>
        <w:fldChar w:fldCharType="separate"/>
      </w:r>
      <w:r>
        <w:rPr>
          <w:lang w:val="fr-FR"/>
        </w:rPr>
        <w:t>XXXX</w:t>
      </w:r>
      <w:r>
        <w:rPr>
          <w:lang w:val="fr-FR"/>
        </w:rPr>
        <w:fldChar w:fldCharType="end"/>
      </w:r>
      <w:bookmarkEnd w:id="4"/>
      <w:r>
        <w:rPr>
          <w:rFonts w:hint="eastAsia"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pPr>
        <w:pStyle w:val="201"/>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Ang0mW2AAAAAwBAAAPAAAAAAAAAAEAIAAAADgAAABkcnMvZG93&#10;bnJldi54bWxQSwECFAAUAAAACACHTuJA7q4dUeoBAAC6AwAADgAAAAAAAAABACAAAAA9AQAAZHJz&#10;L2Uyb0RvYy54bWxQSwUGAAAAAAYABgBZAQAAmQUAAAAA&#10;">
                <v:fill on="f" focussize="0,0"/>
                <v:stroke color="#000000" joinstyle="round"/>
                <v:imagedata o:title=""/>
                <o:lock v:ext="edit" aspectratio="f"/>
              </v:line>
            </w:pict>
          </mc:Fallback>
        </mc:AlternateContent>
      </w:r>
    </w:p>
    <w:p>
      <w:pPr>
        <w:pStyle w:val="55"/>
        <w:framePr w:w="9639" w:h="6976" w:hRule="exact" w:hSpace="0" w:vSpace="0" w:wrap="around" w:hAnchor="page" w:y="6408"/>
        <w:jc w:val="center"/>
        <w:rPr>
          <w:rFonts w:ascii="黑体" w:hAnsi="黑体" w:eastAsia="黑体"/>
          <w:b w:val="0"/>
          <w:bCs w:val="0"/>
          <w:w w:val="100"/>
        </w:rPr>
      </w:pPr>
    </w:p>
    <w:p>
      <w:pPr>
        <w:pStyle w:val="202"/>
        <w:framePr w:w="9273" w:h="6974" w:hRule="exact" w:wrap="around" w:x="1334" w:y="6341" w:anchorLock="1"/>
      </w:pPr>
      <w:bookmarkStart w:id="7" w:name="CSTD_NAME"/>
      <w:r>
        <w:rPr>
          <w:rFonts w:hint="eastAsia"/>
        </w:rPr>
        <w:fldChar w:fldCharType="begin">
          <w:ffData>
            <w:name w:val="CSTD_NAME"/>
            <w:enabled/>
            <w:calcOnExit w:val="0"/>
            <w:textInput>
              <w:default w:val="中小学食堂食材配送服务规范"/>
            </w:textInput>
          </w:ffData>
        </w:fldChar>
      </w:r>
      <w:r>
        <w:rPr>
          <w:rFonts w:hint="eastAsia"/>
        </w:rPr>
        <w:instrText xml:space="preserve">FORMTEXT</w:instrText>
      </w:r>
      <w:r>
        <w:rPr>
          <w:rFonts w:hint="eastAsia"/>
        </w:rPr>
        <w:fldChar w:fldCharType="separate"/>
      </w:r>
      <w:r>
        <w:rPr>
          <w:rFonts w:hint="eastAsia"/>
        </w:rPr>
        <w:t>中小学校食堂食材配送服务规范</w:t>
      </w:r>
      <w:r>
        <w:rPr>
          <w:rFonts w:hint="eastAsia"/>
        </w:rPr>
        <w:fldChar w:fldCharType="end"/>
      </w:r>
      <w:bookmarkEnd w:id="7"/>
    </w:p>
    <w:p>
      <w:pPr>
        <w:framePr w:w="9273" w:h="6974" w:hRule="exact" w:wrap="around" w:vAnchor="page" w:hAnchor="page" w:x="1334" w:y="6341" w:anchorLock="1"/>
        <w:ind w:left="-1418"/>
      </w:pPr>
    </w:p>
    <w:p>
      <w:pPr>
        <w:pStyle w:val="130"/>
        <w:framePr w:w="9273" w:h="6974" w:hRule="exact" w:wrap="around" w:vAnchor="page" w:hAnchor="page" w:x="1334" w:y="6341" w:anchorLock="1"/>
        <w:textAlignment w:val="bottom"/>
        <w:rPr>
          <w:rFonts w:ascii="黑体" w:hAnsi="黑体" w:eastAsia="黑体"/>
          <w:szCs w:val="28"/>
        </w:rPr>
      </w:pPr>
      <w:bookmarkStart w:id="8" w:name="ESTD_NAME"/>
      <w:r>
        <w:rPr>
          <w:rFonts w:ascii="黑体" w:hAnsi="黑体" w:eastAsia="黑体"/>
          <w:szCs w:val="28"/>
        </w:rPr>
        <w:fldChar w:fldCharType="begin">
          <w:ffData>
            <w:name w:val="ESTD_NAME"/>
            <w:enabled/>
            <w:calcOnExit w:val="0"/>
            <w:textInput>
              <w:default w:val="Specification for the distribution of ingredients in primary and secondary school canteens"/>
            </w:textInput>
          </w:ffData>
        </w:fldChar>
      </w:r>
      <w:r>
        <w:rPr>
          <w:rFonts w:ascii="黑体" w:hAnsi="黑体" w:eastAsia="黑体"/>
          <w:szCs w:val="28"/>
        </w:rPr>
        <w:instrText xml:space="preserve">FORMTEXT</w:instrText>
      </w:r>
      <w:r>
        <w:rPr>
          <w:rFonts w:ascii="黑体" w:hAnsi="黑体" w:eastAsia="黑体"/>
          <w:szCs w:val="28"/>
        </w:rPr>
        <w:fldChar w:fldCharType="separate"/>
      </w:r>
      <w:r>
        <w:rPr>
          <w:rFonts w:ascii="黑体" w:hAnsi="黑体" w:eastAsia="黑体"/>
          <w:szCs w:val="28"/>
        </w:rPr>
        <w:t>Specification for the distribution of ingredients in primary and secondary school canteens</w:t>
      </w:r>
      <w:r>
        <w:rPr>
          <w:rFonts w:ascii="黑体" w:hAnsi="黑体" w:eastAsia="黑体"/>
          <w:szCs w:val="28"/>
        </w:rPr>
        <w:fldChar w:fldCharType="end"/>
      </w:r>
      <w:bookmarkEnd w:id="8"/>
    </w:p>
    <w:p>
      <w:pPr>
        <w:framePr w:w="9273" w:h="6974" w:hRule="exact" w:wrap="around" w:vAnchor="page" w:hAnchor="page" w:x="1334" w:y="6341" w:anchorLock="1"/>
        <w:spacing w:line="760" w:lineRule="exact"/>
        <w:ind w:left="-1418"/>
      </w:pPr>
    </w:p>
    <w:p>
      <w:pPr>
        <w:pStyle w:val="130"/>
        <w:framePr w:w="9273" w:h="6974" w:hRule="exact" w:wrap="around" w:vAnchor="page" w:hAnchor="page" w:x="1334" w:y="6341" w:anchorLock="1"/>
        <w:textAlignment w:val="bottom"/>
        <w:rPr>
          <w:rFonts w:eastAsia="黑体"/>
          <w:szCs w:val="28"/>
        </w:rPr>
      </w:pPr>
    </w:p>
    <w:p>
      <w:pPr>
        <w:pStyle w:val="130"/>
        <w:framePr w:w="9273" w:h="6974" w:hRule="exact" w:wrap="around" w:vAnchor="page" w:hAnchor="page" w:x="1334" w:y="6341" w:anchorLock="1"/>
        <w:spacing w:before="440" w:after="160"/>
        <w:textAlignment w:val="bottom"/>
        <w:rPr>
          <w:sz w:val="24"/>
          <w:szCs w:val="28"/>
        </w:rPr>
      </w:pPr>
      <w:bookmarkStart w:id="9"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9"/>
    </w:p>
    <w:p>
      <w:pPr>
        <w:pStyle w:val="130"/>
        <w:framePr w:w="9273" w:h="6974" w:hRule="exact" w:wrap="around" w:vAnchor="page" w:hAnchor="page" w:x="1334" w:y="6341" w:anchorLock="1"/>
        <w:spacing w:before="180" w:line="240" w:lineRule="atLeast"/>
        <w:textAlignment w:val="bottom"/>
        <w:rPr>
          <w:sz w:val="21"/>
          <w:szCs w:val="28"/>
        </w:rPr>
      </w:pPr>
    </w:p>
    <w:p>
      <w:pPr>
        <w:pStyle w:val="130"/>
        <w:framePr w:w="9273" w:h="6974" w:hRule="exact" w:wrap="around" w:vAnchor="page" w:hAnchor="page" w:x="1334" w:y="6341" w:anchorLock="1"/>
        <w:spacing w:beforeLines="300" w:afterLines="30" w:line="240" w:lineRule="auto"/>
        <w:textAlignment w:val="bottom"/>
        <w:rPr>
          <w:b/>
          <w:sz w:val="21"/>
          <w:szCs w:val="28"/>
        </w:rPr>
      </w:pPr>
    </w:p>
    <w:p>
      <w:pPr>
        <w:pStyle w:val="130"/>
        <w:framePr w:w="9273" w:h="6974" w:hRule="exact" w:wrap="around" w:vAnchor="page" w:hAnchor="page" w:x="1334" w:y="6341" w:anchorLock="1"/>
        <w:spacing w:beforeLines="300" w:afterLines="30" w:line="240" w:lineRule="auto"/>
        <w:textAlignment w:val="bottom"/>
        <w:rPr>
          <w:b/>
          <w:sz w:val="21"/>
          <w:szCs w:val="28"/>
        </w:rPr>
      </w:pPr>
      <w:r>
        <w:rPr>
          <w:rFonts w:hint="eastAsia"/>
          <w:b/>
          <w:sz w:val="21"/>
          <w:szCs w:val="28"/>
          <w:highlight w:val="none"/>
        </w:rPr>
        <w:t>在提交反馈意见时，请将您知道的相关专利连同支持性文件一并附上。</w:t>
      </w:r>
    </w:p>
    <w:p>
      <w:pPr>
        <w:pStyle w:val="198"/>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9"/>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珠海市市场监督管理局</w:t>
      </w:r>
      <w:r>
        <w:rPr>
          <w:rFonts w:hAnsi="黑体"/>
          <w:w w:val="100"/>
          <w:sz w:val="28"/>
        </w:rPr>
        <w:fldChar w:fldCharType="end"/>
      </w:r>
      <w:bookmarkEnd w:id="16"/>
      <w:r>
        <w:rPr>
          <w:rFonts w:ascii="Times New Roman"/>
          <w:w w:val="100"/>
          <w:sz w:val="28"/>
        </w:rPr>
        <w:t>  </w:t>
      </w:r>
      <w:r>
        <w:rPr>
          <w:rStyle w:val="234"/>
          <w:rFonts w:hint="eastAsia" w:hAnsi="黑体"/>
          <w:position w:val="0"/>
        </w:rPr>
        <w:t>发</w:t>
      </w:r>
      <w:r>
        <w:rPr>
          <w:rStyle w:val="234"/>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CrMxz71wAAAA4BAAAPAAAAAAAAAAEAIAAAADgAAABkcnMvZG93bnJl&#10;di54bWxQSwECFAAUAAAACACHTuJAd2JouegBAAC4AwAADgAAAAAAAAABACAAAAA8AQAAZHJzL2Uy&#10;b0RvYy54bWxQSwUGAAAAAAYABgBZAQAAlgUAAAAA&#10;">
                <v:fill on="f" focussize="0,0"/>
                <v:stroke color="#000000" joinstyle="round"/>
                <v:imagedata o:title=""/>
                <o:lock v:ext="edit" aspectratio="f"/>
                <w10:anchorlock/>
              </v:line>
            </w:pict>
          </mc:Fallback>
        </mc:AlternateContent>
      </w:r>
      <w:r>
        <w:rPr>
          <w:rFonts w:hint="eastAsia" w:ascii="宋体" w:hAnsi="宋体"/>
          <w:sz w:val="28"/>
          <w:szCs w:val="28"/>
        </w:rPr>
        <w:t xml:space="preserve"> </w:t>
      </w:r>
    </w:p>
    <w:p>
      <w:pPr>
        <w:pStyle w:val="94"/>
        <w:adjustRightInd w:val="0"/>
        <w:snapToGrid w:val="0"/>
        <w:spacing w:before="120" w:afterLines="0"/>
        <w:rPr>
          <w:spacing w:val="320"/>
        </w:rPr>
      </w:pPr>
      <w:bookmarkStart w:id="17" w:name="_Toc13605"/>
      <w:bookmarkStart w:id="18" w:name="BookMark2"/>
      <w:r>
        <w:rPr>
          <w:rFonts w:hint="eastAsia"/>
          <w:spacing w:val="320"/>
        </w:rPr>
        <w:t>目</w:t>
      </w:r>
      <w:r>
        <w:rPr>
          <w:rFonts w:hint="eastAsia"/>
        </w:rPr>
        <w:t>录</w:t>
      </w:r>
      <w:bookmarkEnd w:id="17"/>
    </w:p>
    <w:p>
      <w:pPr>
        <w:pStyle w:val="20"/>
        <w:tabs>
          <w:tab w:val="right" w:leader="dot" w:pos="9354"/>
        </w:tabs>
      </w:pPr>
      <w:r>
        <w:rPr>
          <w:rFonts w:hint="eastAsia" w:hAnsi="宋体" w:cs="宋体"/>
        </w:rPr>
        <w:fldChar w:fldCharType="begin"/>
      </w:r>
      <w:r>
        <w:rPr>
          <w:rFonts w:hint="eastAsia" w:hAnsi="宋体" w:cs="宋体"/>
        </w:rPr>
        <w:instrText xml:space="preserve">TOC \o "1-2" \h \u </w:instrText>
      </w:r>
      <w:r>
        <w:rPr>
          <w:rFonts w:hint="eastAsia" w:hAnsi="宋体" w:cs="宋体"/>
        </w:rPr>
        <w:fldChar w:fldCharType="separate"/>
      </w:r>
      <w:r>
        <w:rPr>
          <w:rFonts w:hint="eastAsia" w:hAnsi="宋体" w:cs="宋体"/>
        </w:rPr>
        <w:fldChar w:fldCharType="begin"/>
      </w:r>
      <w:r>
        <w:rPr>
          <w:rFonts w:hint="eastAsia" w:hAnsi="宋体" w:cs="宋体"/>
        </w:rPr>
        <w:instrText xml:space="preserve"> HYPERLINK \l _Toc6557 </w:instrText>
      </w:r>
      <w:r>
        <w:rPr>
          <w:rFonts w:hint="eastAsia" w:hAnsi="宋体" w:cs="宋体"/>
        </w:rPr>
        <w:fldChar w:fldCharType="separate"/>
      </w:r>
      <w:r>
        <w:rPr>
          <w:rFonts w:hint="eastAsia" w:ascii="宋体" w:eastAsia="宋体" w:cs="Times New Roman"/>
          <w:lang w:val="en-US" w:eastAsia="zh-CN"/>
        </w:rPr>
        <w:t>前言</w:t>
      </w:r>
      <w:r>
        <w:tab/>
      </w:r>
      <w:r>
        <w:fldChar w:fldCharType="begin"/>
      </w:r>
      <w:r>
        <w:instrText xml:space="preserve"> PAGEREF _Toc6557 \h </w:instrText>
      </w:r>
      <w:r>
        <w:fldChar w:fldCharType="separate"/>
      </w:r>
      <w:r>
        <w:t>II</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_Toc30864 </w:instrText>
      </w:r>
      <w:r>
        <w:rPr>
          <w:rFonts w:hint="eastAsia" w:hAnsi="宋体" w:cs="宋体"/>
        </w:rPr>
        <w:fldChar w:fldCharType="separate"/>
      </w:r>
      <w:r>
        <w:rPr>
          <w:rFonts w:hint="eastAsia" w:ascii="黑体" w:eastAsia="黑体"/>
          <w:i w:val="0"/>
        </w:rPr>
        <w:t xml:space="preserve">1 </w:t>
      </w:r>
      <w:r>
        <w:rPr>
          <w:rFonts w:hint="eastAsia"/>
        </w:rPr>
        <w:t>范围</w:t>
      </w:r>
      <w:r>
        <w:tab/>
      </w:r>
      <w:r>
        <w:fldChar w:fldCharType="begin"/>
      </w:r>
      <w:r>
        <w:instrText xml:space="preserve"> PAGEREF _Toc30864 \h </w:instrText>
      </w:r>
      <w:r>
        <w:fldChar w:fldCharType="separate"/>
      </w:r>
      <w:r>
        <w:t>1</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_Toc23252 </w:instrText>
      </w:r>
      <w:r>
        <w:rPr>
          <w:rFonts w:hint="eastAsia" w:hAnsi="宋体" w:cs="宋体"/>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_Toc23252 \h </w:instrText>
      </w:r>
      <w:r>
        <w:fldChar w:fldCharType="separate"/>
      </w:r>
      <w:r>
        <w:t>1</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_Toc2591 </w:instrText>
      </w:r>
      <w:r>
        <w:rPr>
          <w:rFonts w:hint="eastAsia" w:hAnsi="宋体" w:cs="宋体"/>
        </w:rP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_Toc2591 \h </w:instrText>
      </w:r>
      <w:r>
        <w:fldChar w:fldCharType="separate"/>
      </w:r>
      <w:r>
        <w:t>2</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_Toc16299 </w:instrText>
      </w:r>
      <w:r>
        <w:rPr>
          <w:rFonts w:hint="eastAsia" w:hAnsi="宋体" w:cs="宋体"/>
        </w:rPr>
        <w:fldChar w:fldCharType="separate"/>
      </w:r>
      <w:r>
        <w:rPr>
          <w:rFonts w:hint="eastAsia" w:ascii="黑体" w:eastAsia="黑体"/>
          <w:i w:val="0"/>
        </w:rPr>
        <w:t xml:space="preserve">4 </w:t>
      </w:r>
      <w:r>
        <w:rPr>
          <w:rFonts w:hint="eastAsia"/>
        </w:rPr>
        <w:t>一般要求</w:t>
      </w:r>
      <w:r>
        <w:tab/>
      </w:r>
      <w:r>
        <w:fldChar w:fldCharType="begin"/>
      </w:r>
      <w:r>
        <w:instrText xml:space="preserve"> PAGEREF _Toc16299 \h </w:instrText>
      </w:r>
      <w:r>
        <w:fldChar w:fldCharType="separate"/>
      </w:r>
      <w:r>
        <w:t>3</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_Toc17323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4.1 </w:t>
      </w:r>
      <w:r>
        <w:rPr>
          <w:rFonts w:hint="eastAsia"/>
        </w:rPr>
        <w:t>食材</w:t>
      </w:r>
      <w:r>
        <w:tab/>
      </w:r>
      <w:r>
        <w:fldChar w:fldCharType="begin"/>
      </w:r>
      <w:r>
        <w:instrText xml:space="preserve"> PAGEREF _Toc17323 \h </w:instrText>
      </w:r>
      <w:r>
        <w:fldChar w:fldCharType="separate"/>
      </w:r>
      <w:r>
        <w:t>3</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_Toc15603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4.2 </w:t>
      </w:r>
      <w:r>
        <w:rPr>
          <w:rFonts w:hint="eastAsia"/>
        </w:rPr>
        <w:t>服务</w:t>
      </w:r>
      <w:r>
        <w:tab/>
      </w:r>
      <w:r>
        <w:fldChar w:fldCharType="begin"/>
      </w:r>
      <w:r>
        <w:instrText xml:space="preserve"> PAGEREF _Toc15603 \h </w:instrText>
      </w:r>
      <w:r>
        <w:fldChar w:fldCharType="separate"/>
      </w:r>
      <w:r>
        <w:t>3</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_Toc10166 </w:instrText>
      </w:r>
      <w:r>
        <w:rPr>
          <w:rFonts w:hint="eastAsia" w:hAnsi="宋体" w:cs="宋体"/>
        </w:rPr>
        <w:fldChar w:fldCharType="separate"/>
      </w:r>
      <w:r>
        <w:rPr>
          <w:rFonts w:hint="eastAsia" w:ascii="黑体" w:eastAsia="黑体"/>
          <w:i w:val="0"/>
        </w:rPr>
        <w:t xml:space="preserve">5 </w:t>
      </w:r>
      <w:r>
        <w:rPr>
          <w:rFonts w:hint="eastAsia"/>
        </w:rPr>
        <w:t>服务商要求</w:t>
      </w:r>
      <w:r>
        <w:tab/>
      </w:r>
      <w:r>
        <w:fldChar w:fldCharType="begin"/>
      </w:r>
      <w:r>
        <w:instrText xml:space="preserve"> PAGEREF _Toc10166 \h </w:instrText>
      </w:r>
      <w:r>
        <w:fldChar w:fldCharType="separate"/>
      </w:r>
      <w:r>
        <w:t>3</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_Toc28747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5.1 </w:t>
      </w:r>
      <w:r>
        <w:rPr>
          <w:rFonts w:hint="eastAsia"/>
        </w:rPr>
        <w:t>资质</w:t>
      </w:r>
      <w:r>
        <w:tab/>
      </w:r>
      <w:r>
        <w:fldChar w:fldCharType="begin"/>
      </w:r>
      <w:r>
        <w:instrText xml:space="preserve"> PAGEREF _Toc28747 \h </w:instrText>
      </w:r>
      <w:r>
        <w:fldChar w:fldCharType="separate"/>
      </w:r>
      <w:r>
        <w:t>3</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_Toc5602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5.2 </w:t>
      </w:r>
      <w:r>
        <w:rPr>
          <w:rFonts w:hint="eastAsia"/>
        </w:rPr>
        <w:t>组织</w:t>
      </w:r>
      <w:r>
        <w:tab/>
      </w:r>
      <w:r>
        <w:fldChar w:fldCharType="begin"/>
      </w:r>
      <w:r>
        <w:instrText xml:space="preserve"> PAGEREF _Toc5602 \h </w:instrText>
      </w:r>
      <w:r>
        <w:fldChar w:fldCharType="separate"/>
      </w:r>
      <w:r>
        <w:t>3</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_Toc6474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5.3 </w:t>
      </w:r>
      <w:r>
        <w:rPr>
          <w:rFonts w:hint="eastAsia"/>
        </w:rPr>
        <w:t>人员</w:t>
      </w:r>
      <w:r>
        <w:tab/>
      </w:r>
      <w:r>
        <w:fldChar w:fldCharType="begin"/>
      </w:r>
      <w:r>
        <w:instrText xml:space="preserve"> PAGEREF _Toc6474 \h </w:instrText>
      </w:r>
      <w:r>
        <w:fldChar w:fldCharType="separate"/>
      </w:r>
      <w:r>
        <w:t>3</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_Toc7167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5.4 </w:t>
      </w:r>
      <w:r>
        <w:rPr>
          <w:rFonts w:hint="eastAsia"/>
        </w:rPr>
        <w:t>管理体系</w:t>
      </w:r>
      <w:r>
        <w:tab/>
      </w:r>
      <w:r>
        <w:fldChar w:fldCharType="begin"/>
      </w:r>
      <w:r>
        <w:instrText xml:space="preserve"> PAGEREF _Toc7167 \h </w:instrText>
      </w:r>
      <w:r>
        <w:fldChar w:fldCharType="separate"/>
      </w:r>
      <w:r>
        <w:t>4</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_Toc28873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5.5 </w:t>
      </w:r>
      <w:r>
        <w:rPr>
          <w:rFonts w:hint="eastAsia"/>
        </w:rPr>
        <w:t>场所和设备设施</w:t>
      </w:r>
      <w:r>
        <w:tab/>
      </w:r>
      <w:r>
        <w:fldChar w:fldCharType="begin"/>
      </w:r>
      <w:r>
        <w:instrText xml:space="preserve"> PAGEREF _Toc28873 \h </w:instrText>
      </w:r>
      <w:r>
        <w:fldChar w:fldCharType="separate"/>
      </w:r>
      <w:r>
        <w:t>4</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_Toc4257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5.6 </w:t>
      </w:r>
      <w:r>
        <w:rPr>
          <w:rFonts w:hint="eastAsia"/>
        </w:rPr>
        <w:t>检测</w:t>
      </w:r>
      <w:r>
        <w:tab/>
      </w:r>
      <w:r>
        <w:fldChar w:fldCharType="begin"/>
      </w:r>
      <w:r>
        <w:instrText xml:space="preserve"> PAGEREF _Toc4257 \h </w:instrText>
      </w:r>
      <w:r>
        <w:fldChar w:fldCharType="separate"/>
      </w:r>
      <w:r>
        <w:t>5</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_Toc30629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5.7 </w:t>
      </w:r>
      <w:r>
        <w:rPr>
          <w:rFonts w:hint="eastAsia"/>
        </w:rPr>
        <w:t>信息溯源</w:t>
      </w:r>
      <w:r>
        <w:tab/>
      </w:r>
      <w:r>
        <w:fldChar w:fldCharType="begin"/>
      </w:r>
      <w:r>
        <w:instrText xml:space="preserve"> PAGEREF _Toc30629 \h </w:instrText>
      </w:r>
      <w:r>
        <w:fldChar w:fldCharType="separate"/>
      </w:r>
      <w:r>
        <w:t>6</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_Toc19300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5.8 </w:t>
      </w:r>
      <w:r>
        <w:rPr>
          <w:rFonts w:hint="eastAsia"/>
        </w:rPr>
        <w:t>安全责任保险</w:t>
      </w:r>
      <w:r>
        <w:tab/>
      </w:r>
      <w:r>
        <w:fldChar w:fldCharType="begin"/>
      </w:r>
      <w:r>
        <w:instrText xml:space="preserve"> PAGEREF _Toc19300 \h </w:instrText>
      </w:r>
      <w:r>
        <w:fldChar w:fldCharType="separate"/>
      </w:r>
      <w:r>
        <w:t>6</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_Toc24694 </w:instrText>
      </w:r>
      <w:r>
        <w:rPr>
          <w:rFonts w:hint="eastAsia" w:hAnsi="宋体" w:cs="宋体"/>
        </w:rPr>
        <w:fldChar w:fldCharType="separate"/>
      </w:r>
      <w:r>
        <w:rPr>
          <w:rFonts w:hint="eastAsia" w:ascii="黑体" w:eastAsia="黑体"/>
          <w:i w:val="0"/>
        </w:rPr>
        <w:t xml:space="preserve">6 </w:t>
      </w:r>
      <w:r>
        <w:rPr>
          <w:rFonts w:hint="eastAsia"/>
        </w:rPr>
        <w:t>配送流程及要求</w:t>
      </w:r>
      <w:r>
        <w:tab/>
      </w:r>
      <w:r>
        <w:fldChar w:fldCharType="begin"/>
      </w:r>
      <w:r>
        <w:instrText xml:space="preserve"> PAGEREF _Toc24694 \h </w:instrText>
      </w:r>
      <w:r>
        <w:fldChar w:fldCharType="separate"/>
      </w:r>
      <w:r>
        <w:t>6</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_Toc12353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6.1 </w:t>
      </w:r>
      <w:r>
        <w:rPr>
          <w:rFonts w:hint="eastAsia"/>
        </w:rPr>
        <w:t>接受订单</w:t>
      </w:r>
      <w:r>
        <w:tab/>
      </w:r>
      <w:r>
        <w:fldChar w:fldCharType="begin"/>
      </w:r>
      <w:r>
        <w:instrText xml:space="preserve"> PAGEREF _Toc12353 \h </w:instrText>
      </w:r>
      <w:r>
        <w:fldChar w:fldCharType="separate"/>
      </w:r>
      <w:r>
        <w:t>7</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_Toc5129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6.2 </w:t>
      </w:r>
      <w:r>
        <w:rPr>
          <w:rFonts w:hint="eastAsia"/>
        </w:rPr>
        <w:t>采购原料</w:t>
      </w:r>
      <w:r>
        <w:tab/>
      </w:r>
      <w:r>
        <w:fldChar w:fldCharType="begin"/>
      </w:r>
      <w:r>
        <w:instrText xml:space="preserve"> PAGEREF _Toc5129 \h </w:instrText>
      </w:r>
      <w:r>
        <w:fldChar w:fldCharType="separate"/>
      </w:r>
      <w:r>
        <w:t>7</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_Toc11942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6.3 </w:t>
      </w:r>
      <w:r>
        <w:rPr>
          <w:rFonts w:hint="eastAsia"/>
        </w:rPr>
        <w:t>验收入库</w:t>
      </w:r>
      <w:r>
        <w:tab/>
      </w:r>
      <w:r>
        <w:fldChar w:fldCharType="begin"/>
      </w:r>
      <w:r>
        <w:instrText xml:space="preserve"> PAGEREF _Toc11942 \h </w:instrText>
      </w:r>
      <w:r>
        <w:fldChar w:fldCharType="separate"/>
      </w:r>
      <w:r>
        <w:t>7</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_Toc3744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6.4 </w:t>
      </w:r>
      <w:r>
        <w:rPr>
          <w:rFonts w:hint="eastAsia"/>
        </w:rPr>
        <w:t>贮藏出库</w:t>
      </w:r>
      <w:r>
        <w:tab/>
      </w:r>
      <w:r>
        <w:fldChar w:fldCharType="begin"/>
      </w:r>
      <w:r>
        <w:instrText xml:space="preserve"> PAGEREF _Toc3744 \h </w:instrText>
      </w:r>
      <w:r>
        <w:fldChar w:fldCharType="separate"/>
      </w:r>
      <w:r>
        <w:t>7</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_Toc6701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6.5 </w:t>
      </w:r>
      <w:r>
        <w:rPr>
          <w:rFonts w:hint="eastAsia"/>
        </w:rPr>
        <w:t>加工处理</w:t>
      </w:r>
      <w:r>
        <w:tab/>
      </w:r>
      <w:r>
        <w:fldChar w:fldCharType="begin"/>
      </w:r>
      <w:r>
        <w:instrText xml:space="preserve"> PAGEREF _Toc6701 \h </w:instrText>
      </w:r>
      <w:r>
        <w:fldChar w:fldCharType="separate"/>
      </w:r>
      <w:r>
        <w:t>7</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_Toc1096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6.6 </w:t>
      </w:r>
      <w:r>
        <w:rPr>
          <w:rFonts w:hint="eastAsia"/>
        </w:rPr>
        <w:t>配送运输</w:t>
      </w:r>
      <w:r>
        <w:tab/>
      </w:r>
      <w:r>
        <w:fldChar w:fldCharType="begin"/>
      </w:r>
      <w:r>
        <w:instrText xml:space="preserve"> PAGEREF _Toc1096 \h </w:instrText>
      </w:r>
      <w:r>
        <w:fldChar w:fldCharType="separate"/>
      </w:r>
      <w:r>
        <w:t>7</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_Toc12835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6.7 </w:t>
      </w:r>
      <w:r>
        <w:rPr>
          <w:rFonts w:hint="eastAsia"/>
        </w:rPr>
        <w:t>订单交付</w:t>
      </w:r>
      <w:r>
        <w:tab/>
      </w:r>
      <w:r>
        <w:fldChar w:fldCharType="begin"/>
      </w:r>
      <w:r>
        <w:instrText xml:space="preserve"> PAGEREF _Toc12835 \h </w:instrText>
      </w:r>
      <w:r>
        <w:fldChar w:fldCharType="separate"/>
      </w:r>
      <w:r>
        <w:t>8</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_Toc27841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6.8 </w:t>
      </w:r>
      <w:r>
        <w:rPr>
          <w:rFonts w:hint="eastAsia"/>
        </w:rPr>
        <w:t>售后服务</w:t>
      </w:r>
      <w:r>
        <w:tab/>
      </w:r>
      <w:r>
        <w:fldChar w:fldCharType="begin"/>
      </w:r>
      <w:r>
        <w:instrText xml:space="preserve"> PAGEREF _Toc27841 \h </w:instrText>
      </w:r>
      <w:r>
        <w:fldChar w:fldCharType="separate"/>
      </w:r>
      <w:r>
        <w:t>8</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_Toc5700 </w:instrText>
      </w:r>
      <w:r>
        <w:rPr>
          <w:rFonts w:hint="eastAsia" w:hAnsi="宋体" w:cs="宋体"/>
        </w:rPr>
        <w:fldChar w:fldCharType="separate"/>
      </w:r>
      <w:r>
        <w:rPr>
          <w:rFonts w:hint="eastAsia" w:ascii="黑体" w:eastAsia="黑体"/>
          <w:i w:val="0"/>
        </w:rPr>
        <w:t xml:space="preserve">7 </w:t>
      </w:r>
      <w:r>
        <w:rPr>
          <w:rFonts w:hint="eastAsia"/>
        </w:rPr>
        <w:t>应急管理</w:t>
      </w:r>
      <w:r>
        <w:tab/>
      </w:r>
      <w:r>
        <w:fldChar w:fldCharType="begin"/>
      </w:r>
      <w:r>
        <w:instrText xml:space="preserve"> PAGEREF _Toc5700 \h </w:instrText>
      </w:r>
      <w:r>
        <w:fldChar w:fldCharType="separate"/>
      </w:r>
      <w:r>
        <w:t>8</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_Toc23506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7.1 </w:t>
      </w:r>
      <w:r>
        <w:rPr>
          <w:rFonts w:hint="eastAsia"/>
        </w:rPr>
        <w:t>产品召回</w:t>
      </w:r>
      <w:r>
        <w:tab/>
      </w:r>
      <w:r>
        <w:fldChar w:fldCharType="begin"/>
      </w:r>
      <w:r>
        <w:instrText xml:space="preserve"> PAGEREF _Toc23506 \h </w:instrText>
      </w:r>
      <w:r>
        <w:fldChar w:fldCharType="separate"/>
      </w:r>
      <w:r>
        <w:t>8</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_Toc6741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7.2 </w:t>
      </w:r>
      <w:r>
        <w:rPr>
          <w:rFonts w:hint="eastAsia"/>
        </w:rPr>
        <w:t>应急预案</w:t>
      </w:r>
      <w:r>
        <w:tab/>
      </w:r>
      <w:r>
        <w:fldChar w:fldCharType="begin"/>
      </w:r>
      <w:r>
        <w:instrText xml:space="preserve"> PAGEREF _Toc6741 \h </w:instrText>
      </w:r>
      <w:r>
        <w:fldChar w:fldCharType="separate"/>
      </w:r>
      <w:r>
        <w:t>9</w:t>
      </w:r>
      <w:r>
        <w:fldChar w:fldCharType="end"/>
      </w:r>
      <w:r>
        <w:rPr>
          <w:rFonts w:hint="eastAsia" w:hAnsi="宋体" w:cs="宋体"/>
        </w:rPr>
        <w:fldChar w:fldCharType="end"/>
      </w:r>
    </w:p>
    <w:p>
      <w:pPr>
        <w:pStyle w:val="25"/>
        <w:tabs>
          <w:tab w:val="right" w:leader="dot" w:pos="9354"/>
          <w:tab w:val="clear" w:pos="9344"/>
        </w:tabs>
      </w:pPr>
      <w:r>
        <w:rPr>
          <w:rFonts w:hint="eastAsia" w:hAnsi="宋体" w:cs="宋体"/>
        </w:rPr>
        <w:fldChar w:fldCharType="begin"/>
      </w:r>
      <w:r>
        <w:rPr>
          <w:rFonts w:hint="eastAsia" w:hAnsi="宋体" w:cs="宋体"/>
        </w:rPr>
        <w:instrText xml:space="preserve"> HYPERLINK \l _Toc28919 </w:instrText>
      </w:r>
      <w:r>
        <w:rPr>
          <w:rFonts w:hint="eastAsia" w:hAnsi="宋体" w:cs="宋体"/>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7.3 </w:t>
      </w:r>
      <w:r>
        <w:rPr>
          <w:rFonts w:hint="eastAsia"/>
        </w:rPr>
        <w:t>应急响应</w:t>
      </w:r>
      <w:r>
        <w:tab/>
      </w:r>
      <w:r>
        <w:fldChar w:fldCharType="begin"/>
      </w:r>
      <w:r>
        <w:instrText xml:space="preserve"> PAGEREF _Toc28919 \h </w:instrText>
      </w:r>
      <w:r>
        <w:fldChar w:fldCharType="separate"/>
      </w:r>
      <w:r>
        <w:t>9</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_Toc14207 </w:instrText>
      </w:r>
      <w:r>
        <w:rPr>
          <w:rFonts w:hint="eastAsia" w:hAnsi="宋体" w:cs="宋体"/>
        </w:rPr>
        <w:fldChar w:fldCharType="separate"/>
      </w:r>
      <w:r>
        <w:rPr>
          <w:rFonts w:hint="eastAsia" w:ascii="黑体" w:eastAsia="黑体"/>
          <w:i w:val="0"/>
        </w:rPr>
        <w:t xml:space="preserve">8 </w:t>
      </w:r>
      <w:r>
        <w:rPr>
          <w:rFonts w:hint="eastAsia"/>
        </w:rPr>
        <w:t>检查、评审与改进</w:t>
      </w:r>
      <w:r>
        <w:tab/>
      </w:r>
      <w:r>
        <w:fldChar w:fldCharType="begin"/>
      </w:r>
      <w:r>
        <w:instrText xml:space="preserve"> PAGEREF _Toc14207 \h </w:instrText>
      </w:r>
      <w:r>
        <w:fldChar w:fldCharType="separate"/>
      </w:r>
      <w:r>
        <w:t>9</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_Toc17213 </w:instrText>
      </w:r>
      <w:r>
        <w:rPr>
          <w:rFonts w:hint="eastAsia" w:hAnsi="宋体" w:cs="宋体"/>
        </w:rPr>
        <w:fldChar w:fldCharType="separate"/>
      </w:r>
      <w:r>
        <w:rPr>
          <w:rFonts w:hint="eastAsia" w:ascii="宋体" w:eastAsia="宋体" w:cs="Times New Roman"/>
          <w:lang w:val="en-US" w:eastAsia="zh-CN"/>
        </w:rPr>
        <w:t>附录A</w:t>
      </w:r>
      <w:r>
        <w:tab/>
      </w:r>
      <w:r>
        <w:fldChar w:fldCharType="begin"/>
      </w:r>
      <w:r>
        <w:instrText xml:space="preserve"> PAGEREF _Toc17213 \h </w:instrText>
      </w:r>
      <w:r>
        <w:fldChar w:fldCharType="separate"/>
      </w:r>
      <w:r>
        <w:t>10</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_Toc7095 </w:instrText>
      </w:r>
      <w:r>
        <w:rPr>
          <w:rFonts w:hint="eastAsia" w:hAnsi="宋体" w:cs="宋体"/>
        </w:rPr>
        <w:fldChar w:fldCharType="separate"/>
      </w:r>
      <w:r>
        <w:rPr>
          <w:rFonts w:hint="eastAsia" w:ascii="宋体" w:eastAsia="宋体" w:cs="Times New Roman"/>
          <w:lang w:val="en-US" w:eastAsia="zh-CN"/>
        </w:rPr>
        <w:t>附录B</w:t>
      </w:r>
      <w:r>
        <w:tab/>
      </w:r>
      <w:r>
        <w:fldChar w:fldCharType="begin"/>
      </w:r>
      <w:r>
        <w:instrText xml:space="preserve"> PAGEREF _Toc7095 \h </w:instrText>
      </w:r>
      <w:r>
        <w:fldChar w:fldCharType="separate"/>
      </w:r>
      <w:r>
        <w:t>13</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_Toc19290 </w:instrText>
      </w:r>
      <w:r>
        <w:rPr>
          <w:rFonts w:hint="eastAsia" w:hAnsi="宋体" w:cs="宋体"/>
        </w:rPr>
        <w:fldChar w:fldCharType="separate"/>
      </w:r>
      <w:r>
        <w:rPr>
          <w:rFonts w:hint="eastAsia" w:ascii="宋体" w:eastAsia="宋体" w:cs="Times New Roman"/>
          <w:lang w:val="en-US" w:eastAsia="zh-CN"/>
        </w:rPr>
        <w:t>附录C</w:t>
      </w:r>
      <w:r>
        <w:tab/>
      </w:r>
      <w:r>
        <w:fldChar w:fldCharType="begin"/>
      </w:r>
      <w:r>
        <w:instrText xml:space="preserve"> PAGEREF _Toc19290 \h </w:instrText>
      </w:r>
      <w:r>
        <w:fldChar w:fldCharType="separate"/>
      </w:r>
      <w:r>
        <w:t>16</w:t>
      </w:r>
      <w:r>
        <w:fldChar w:fldCharType="end"/>
      </w:r>
      <w:r>
        <w:rPr>
          <w:rFonts w:hint="eastAsia" w:hAnsi="宋体" w:cs="宋体"/>
        </w:rPr>
        <w:fldChar w:fldCharType="end"/>
      </w:r>
    </w:p>
    <w:p>
      <w:pPr>
        <w:pStyle w:val="20"/>
        <w:tabs>
          <w:tab w:val="right" w:leader="dot" w:pos="9354"/>
        </w:tabs>
      </w:pPr>
      <w:r>
        <w:rPr>
          <w:rFonts w:hint="eastAsia" w:hAnsi="宋体" w:cs="宋体"/>
        </w:rPr>
        <w:fldChar w:fldCharType="begin"/>
      </w:r>
      <w:r>
        <w:rPr>
          <w:rFonts w:hint="eastAsia" w:hAnsi="宋体" w:cs="宋体"/>
        </w:rPr>
        <w:instrText xml:space="preserve"> HYPERLINK \l _Toc15470 </w:instrText>
      </w:r>
      <w:r>
        <w:rPr>
          <w:rFonts w:hint="eastAsia" w:hAnsi="宋体" w:cs="宋体"/>
        </w:rPr>
        <w:fldChar w:fldCharType="separate"/>
      </w:r>
      <w:r>
        <w:rPr>
          <w:rFonts w:hint="eastAsia" w:ascii="宋体" w:eastAsia="宋体" w:cs="Times New Roman"/>
          <w:lang w:val="en-US" w:eastAsia="zh-CN"/>
        </w:rPr>
        <w:t>参考文献</w:t>
      </w:r>
      <w:r>
        <w:tab/>
      </w:r>
      <w:r>
        <w:fldChar w:fldCharType="begin"/>
      </w:r>
      <w:r>
        <w:instrText xml:space="preserve"> PAGEREF _Toc15470 \h </w:instrText>
      </w:r>
      <w:r>
        <w:fldChar w:fldCharType="separate"/>
      </w:r>
      <w:r>
        <w:t>17</w:t>
      </w:r>
      <w:r>
        <w:fldChar w:fldCharType="end"/>
      </w:r>
      <w:r>
        <w:rPr>
          <w:rFonts w:hint="eastAsia" w:hAnsi="宋体" w:cs="宋体"/>
        </w:rPr>
        <w:fldChar w:fldCharType="end"/>
      </w:r>
    </w:p>
    <w:p>
      <w:pPr>
        <w:pStyle w:val="25"/>
        <w:tabs>
          <w:tab w:val="right" w:leader="dot" w:pos="9354"/>
          <w:tab w:val="clear" w:pos="9344"/>
        </w:tabs>
        <w:ind w:left="0"/>
      </w:pPr>
      <w:r>
        <w:rPr>
          <w:rFonts w:hint="eastAsia" w:hAnsi="宋体" w:cs="宋体"/>
        </w:rPr>
        <w:fldChar w:fldCharType="end"/>
      </w:r>
    </w:p>
    <w:p>
      <w:pPr>
        <w:pStyle w:val="94"/>
        <w:spacing w:before="900" w:after="468"/>
      </w:pPr>
      <w:bookmarkStart w:id="19" w:name="_Toc6557"/>
      <w:r>
        <w:rPr>
          <w:spacing w:val="320"/>
        </w:rPr>
        <w:t>前</w:t>
      </w:r>
      <w:r>
        <w:t>言</w:t>
      </w:r>
      <w:bookmarkEnd w:id="19"/>
    </w:p>
    <w:p>
      <w:pPr>
        <w:pStyle w:val="61"/>
        <w:ind w:left="210" w:leftChars="100" w:firstLine="210" w:firstLineChars="100"/>
      </w:pPr>
      <w:r>
        <w:rPr>
          <w:rFonts w:hint="eastAsia"/>
        </w:rPr>
        <w:t>本文件按照GB/T 1.1—2020《标准化工作导则  第1部分：标准化文件的结构和起草规则》的规定起草。</w:t>
      </w:r>
    </w:p>
    <w:p>
      <w:pPr>
        <w:pStyle w:val="61"/>
        <w:ind w:firstLine="420"/>
      </w:pPr>
      <w:r>
        <w:rPr>
          <w:rFonts w:hint="eastAsia"/>
        </w:rPr>
        <w:t>请注意本文件的某些内容可能涉及专利。本文件的发布机构不承担识别专利的责任。</w:t>
      </w:r>
    </w:p>
    <w:p>
      <w:pPr>
        <w:pStyle w:val="61"/>
        <w:ind w:firstLine="420"/>
      </w:pPr>
      <w:r>
        <w:rPr>
          <w:rFonts w:hint="eastAsia"/>
        </w:rPr>
        <w:t>本文件由珠海市农产品供应链管理协会提出。</w:t>
      </w:r>
    </w:p>
    <w:p>
      <w:pPr>
        <w:pStyle w:val="61"/>
        <w:ind w:firstLine="420"/>
      </w:pPr>
      <w:r>
        <w:rPr>
          <w:rFonts w:hint="eastAsia"/>
        </w:rPr>
        <w:t>本文件由珠海市市场监督管理局归口。</w:t>
      </w:r>
    </w:p>
    <w:p>
      <w:pPr>
        <w:pStyle w:val="61"/>
        <w:ind w:firstLine="420"/>
      </w:pPr>
      <w:r>
        <w:rPr>
          <w:rFonts w:hint="eastAsia"/>
        </w:rPr>
        <w:t>本文件起草单位：</w:t>
      </w:r>
      <w:r>
        <w:rPr>
          <w:rFonts w:hint="eastAsia"/>
          <w:lang w:val="en-US" w:eastAsia="zh-CN"/>
        </w:rPr>
        <w:t>……</w:t>
      </w:r>
    </w:p>
    <w:p>
      <w:pPr>
        <w:pStyle w:val="61"/>
        <w:ind w:firstLine="420"/>
        <w:rPr>
          <w:rFonts w:hint="eastAsia" w:eastAsia="宋体"/>
          <w:lang w:val="en-US" w:eastAsia="zh-CN"/>
        </w:rPr>
      </w:pPr>
      <w:r>
        <w:rPr>
          <w:rFonts w:hint="eastAsia"/>
        </w:rPr>
        <w:t>本文件主要起草人：</w:t>
      </w:r>
      <w:r>
        <w:rPr>
          <w:rFonts w:hint="eastAsia"/>
          <w:lang w:val="en-US" w:eastAsia="zh-CN"/>
        </w:rPr>
        <w:t>……</w:t>
      </w:r>
    </w:p>
    <w:p>
      <w:pPr>
        <w:pStyle w:val="61"/>
        <w:ind w:firstLine="420"/>
      </w:pPr>
      <w:r>
        <w:rPr>
          <w:rFonts w:hint="eastAsia"/>
        </w:rPr>
        <w:t>本文件首次发布。</w:t>
      </w:r>
    </w:p>
    <w:p>
      <w:pPr>
        <w:pStyle w:val="61"/>
        <w:ind w:firstLine="420"/>
      </w:pPr>
    </w:p>
    <w:p>
      <w:pPr>
        <w:pStyle w:val="61"/>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p>
      <w:pPr>
        <w:pStyle w:val="182"/>
      </w:pPr>
      <w:bookmarkStart w:id="21" w:name="_Toc26986530"/>
      <w:bookmarkStart w:id="22" w:name="_Toc17233333"/>
      <w:bookmarkStart w:id="23" w:name="_Toc26718930"/>
      <w:bookmarkStart w:id="24" w:name="_Toc24884218"/>
      <w:bookmarkStart w:id="25" w:name="_Toc26648465"/>
      <w:bookmarkStart w:id="26" w:name="_Toc24884211"/>
      <w:bookmarkStart w:id="27" w:name="_Toc17233325"/>
      <w:bookmarkStart w:id="28" w:name="_Toc26986771"/>
      <w:bookmarkStart w:id="29" w:name="_Toc97191423"/>
      <w:r>
        <w:rPr>
          <w:rFonts w:hint="eastAsia"/>
        </w:rPr>
        <w:t>中小学校食堂食材配送服务规范</w:t>
      </w:r>
    </w:p>
    <w:p>
      <w:pPr>
        <w:pStyle w:val="109"/>
        <w:spacing w:before="240" w:after="240"/>
      </w:pPr>
      <w:bookmarkStart w:id="30" w:name="_Toc30864"/>
      <w:r>
        <w:rPr>
          <w:rFonts w:hint="eastAsia"/>
        </w:rPr>
        <w:t>范围</w:t>
      </w:r>
      <w:bookmarkEnd w:id="21"/>
      <w:bookmarkEnd w:id="22"/>
      <w:bookmarkEnd w:id="23"/>
      <w:bookmarkEnd w:id="24"/>
      <w:bookmarkEnd w:id="25"/>
      <w:bookmarkEnd w:id="26"/>
      <w:bookmarkEnd w:id="27"/>
      <w:bookmarkEnd w:id="28"/>
      <w:bookmarkEnd w:id="29"/>
      <w:bookmarkEnd w:id="30"/>
    </w:p>
    <w:p>
      <w:pPr>
        <w:spacing w:line="300" w:lineRule="auto"/>
        <w:ind w:firstLine="420" w:firstLineChars="200"/>
        <w:rPr>
          <w:rFonts w:ascii="宋体" w:hAnsi="宋体"/>
        </w:rPr>
      </w:pPr>
      <w:bookmarkStart w:id="31" w:name="_Toc24884219"/>
      <w:bookmarkStart w:id="32" w:name="_Toc17233334"/>
      <w:bookmarkStart w:id="33" w:name="_Toc26648466"/>
      <w:bookmarkStart w:id="34" w:name="_Toc24884212"/>
      <w:bookmarkStart w:id="35" w:name="_Toc17233326"/>
      <w:r>
        <w:rPr>
          <w:rFonts w:hint="eastAsia" w:ascii="宋体" w:hAnsi="宋体"/>
        </w:rPr>
        <w:t>本文件规定了中小学食堂食材配送服务的食材质量安全及验收要求、服务商要求、配送服务流程及要求、产品召回与应急响应、检查、评价与改进等内容。</w:t>
      </w:r>
    </w:p>
    <w:p>
      <w:pPr>
        <w:spacing w:line="300" w:lineRule="auto"/>
        <w:ind w:firstLine="420" w:firstLineChars="200"/>
        <w:rPr>
          <w:rFonts w:ascii="宋体" w:hAnsi="宋体"/>
        </w:rPr>
      </w:pPr>
      <w:r>
        <w:rPr>
          <w:rFonts w:hint="eastAsia" w:ascii="宋体" w:hAnsi="宋体"/>
        </w:rPr>
        <w:t>本文件适用于珠海市中小学校食堂食材配送服务，其他单位食堂也可参照使用。</w:t>
      </w:r>
    </w:p>
    <w:p>
      <w:pPr>
        <w:pStyle w:val="109"/>
        <w:spacing w:before="240" w:after="240"/>
      </w:pPr>
      <w:bookmarkStart w:id="36" w:name="_Toc23252"/>
      <w:r>
        <w:rPr>
          <w:rFonts w:hint="eastAsia"/>
        </w:rPr>
        <w:t>规范性引用文件</w:t>
      </w:r>
      <w:bookmarkEnd w:id="36"/>
      <w:r>
        <w:rPr>
          <w:rFonts w:hint="eastAsia"/>
        </w:rPr>
        <w:t xml:space="preserve"> </w:t>
      </w:r>
    </w:p>
    <w:sdt>
      <w:sdtPr>
        <w:rPr>
          <w:rFonts w:hint="eastAsia" w:ascii="宋体" w:hAnsi="宋体"/>
        </w:rPr>
        <w:id w:val="147472705"/>
        <w:placeholder>
          <w:docPart w:val="{82f36f48-8971-4c7c-a44f-192b6da026a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宋体"/>
        </w:rPr>
      </w:sdtEndPr>
      <w:sdtContent>
        <w:p>
          <w:pPr>
            <w:spacing w:line="300" w:lineRule="auto"/>
            <w:ind w:firstLine="420" w:firstLineChars="200"/>
            <w:rPr>
              <w:rFonts w:ascii="宋体" w:hAnsi="宋体"/>
            </w:rPr>
          </w:pPr>
          <w:r>
            <w:rPr>
              <w:rFonts w:hint="eastAsia" w:ascii="宋体" w:hAnsi="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spacing w:line="300" w:lineRule="auto"/>
        <w:ind w:firstLine="420" w:firstLineChars="200"/>
        <w:rPr>
          <w:rFonts w:ascii="宋体" w:hAnsi="宋体"/>
        </w:rPr>
      </w:pPr>
      <w:r>
        <w:rPr>
          <w:rFonts w:hint="eastAsia" w:ascii="宋体" w:hAnsi="宋体"/>
        </w:rPr>
        <w:t>GB 4806.1  食品安全国家标准 食品接触材料及制品通用安全要求</w:t>
      </w:r>
    </w:p>
    <w:p>
      <w:pPr>
        <w:spacing w:line="300" w:lineRule="auto"/>
        <w:ind w:firstLine="420" w:firstLineChars="200"/>
        <w:rPr>
          <w:rFonts w:ascii="宋体" w:hAnsi="宋体"/>
        </w:rPr>
      </w:pPr>
      <w:r>
        <w:rPr>
          <w:rFonts w:hint="eastAsia" w:ascii="宋体" w:hAnsi="宋体"/>
        </w:rPr>
        <w:t>GB 4806.7  食品安全国家标准 食品接触用塑料材料及制品</w:t>
      </w:r>
    </w:p>
    <w:p>
      <w:pPr>
        <w:spacing w:line="300" w:lineRule="auto"/>
        <w:ind w:firstLine="420" w:firstLineChars="200"/>
        <w:rPr>
          <w:rFonts w:ascii="宋体" w:hAnsi="宋体"/>
        </w:rPr>
      </w:pPr>
      <w:r>
        <w:rPr>
          <w:rFonts w:hint="eastAsia" w:ascii="宋体" w:hAnsi="宋体"/>
        </w:rPr>
        <w:t>GB 4806.8  食品安全国家标准 食品接触用纸和纸板材料及制品</w:t>
      </w:r>
    </w:p>
    <w:p>
      <w:pPr>
        <w:spacing w:line="300" w:lineRule="auto"/>
        <w:ind w:firstLine="420" w:firstLineChars="200"/>
        <w:rPr>
          <w:rFonts w:ascii="宋体" w:hAnsi="宋体"/>
        </w:rPr>
      </w:pPr>
      <w:r>
        <w:rPr>
          <w:rFonts w:hint="eastAsia" w:ascii="宋体" w:hAnsi="宋体"/>
        </w:rPr>
        <w:t>GB 4806.11  食品安全国家标准 食品接触用胶材料及制品</w:t>
      </w:r>
    </w:p>
    <w:p>
      <w:pPr>
        <w:spacing w:line="300" w:lineRule="auto"/>
        <w:ind w:firstLine="420" w:firstLineChars="200"/>
        <w:rPr>
          <w:rFonts w:ascii="宋体" w:hAnsi="宋体"/>
        </w:rPr>
      </w:pPr>
      <w:r>
        <w:rPr>
          <w:rFonts w:hint="eastAsia" w:ascii="宋体" w:hAnsi="宋体"/>
        </w:rPr>
        <w:t>GB 4806.12  食品安全国家标准 食品接触用竹木材料及制品</w:t>
      </w:r>
    </w:p>
    <w:p>
      <w:pPr>
        <w:spacing w:line="300" w:lineRule="auto"/>
        <w:ind w:firstLine="420" w:firstLineChars="200"/>
        <w:rPr>
          <w:rFonts w:ascii="宋体" w:hAnsi="宋体"/>
        </w:rPr>
      </w:pPr>
      <w:r>
        <w:rPr>
          <w:rFonts w:hint="eastAsia" w:ascii="宋体" w:hAnsi="宋体"/>
        </w:rPr>
        <w:t>GB 5749  食品安全国家标准 生活饮用水卫生标准</w:t>
      </w:r>
    </w:p>
    <w:p>
      <w:pPr>
        <w:spacing w:line="300" w:lineRule="auto"/>
        <w:ind w:firstLine="420" w:firstLineChars="200"/>
        <w:rPr>
          <w:rFonts w:ascii="宋体" w:hAnsi="宋体"/>
        </w:rPr>
      </w:pPr>
      <w:r>
        <w:rPr>
          <w:rFonts w:hint="eastAsia" w:ascii="宋体" w:hAnsi="宋体"/>
        </w:rPr>
        <w:t>GB 7718  食品安全国家标准 预包装食品标签通则</w:t>
      </w:r>
    </w:p>
    <w:p>
      <w:pPr>
        <w:spacing w:line="300" w:lineRule="auto"/>
        <w:ind w:firstLine="420" w:firstLineChars="200"/>
        <w:rPr>
          <w:rFonts w:ascii="宋体" w:hAnsi="宋体"/>
        </w:rPr>
      </w:pPr>
      <w:r>
        <w:rPr>
          <w:rFonts w:hint="eastAsia" w:ascii="宋体" w:hAnsi="宋体"/>
        </w:rPr>
        <w:t>GB 14881  食品安全国家标准 食品生产通用卫生规范</w:t>
      </w:r>
    </w:p>
    <w:p>
      <w:pPr>
        <w:spacing w:line="300" w:lineRule="auto"/>
        <w:ind w:firstLine="420" w:firstLineChars="200"/>
        <w:rPr>
          <w:rFonts w:ascii="宋体" w:hAnsi="宋体"/>
        </w:rPr>
      </w:pPr>
      <w:r>
        <w:rPr>
          <w:rFonts w:hint="eastAsia" w:ascii="宋体" w:hAnsi="宋体" w:cs="宋体"/>
        </w:rPr>
        <w:t>GB 14930.1  食品</w:t>
      </w:r>
      <w:r>
        <w:rPr>
          <w:rFonts w:hint="eastAsia" w:ascii="宋体" w:hAnsi="宋体"/>
        </w:rPr>
        <w:t>安全国家标准 洗涤剂</w:t>
      </w:r>
    </w:p>
    <w:p>
      <w:pPr>
        <w:spacing w:line="300" w:lineRule="auto"/>
        <w:ind w:firstLine="420" w:firstLineChars="200"/>
        <w:rPr>
          <w:rFonts w:ascii="宋体" w:hAnsi="宋体"/>
        </w:rPr>
      </w:pPr>
      <w:r>
        <w:rPr>
          <w:rFonts w:hint="eastAsia" w:ascii="宋体" w:hAnsi="宋体" w:cs="宋体"/>
        </w:rPr>
        <w:t>GB 14930.2  食品</w:t>
      </w:r>
      <w:r>
        <w:rPr>
          <w:rFonts w:hint="eastAsia" w:ascii="宋体" w:hAnsi="宋体"/>
        </w:rPr>
        <w:t>安全国家标准 消毒剂</w:t>
      </w:r>
    </w:p>
    <w:p>
      <w:pPr>
        <w:spacing w:line="300" w:lineRule="auto"/>
        <w:ind w:firstLine="420" w:firstLineChars="200"/>
        <w:rPr>
          <w:rFonts w:ascii="宋体" w:hAnsi="宋体" w:cs="宋体"/>
        </w:rPr>
      </w:pPr>
      <w:r>
        <w:rPr>
          <w:rFonts w:hint="eastAsia" w:ascii="宋体" w:hAnsi="宋体" w:cs="宋体"/>
        </w:rPr>
        <w:t>GB/T 19001  质量管理体系 要求</w:t>
      </w:r>
      <w:r>
        <w:rPr>
          <w:rFonts w:hint="eastAsia" w:ascii="宋体" w:hAnsi="宋体"/>
        </w:rPr>
        <w:t>（ISO 9001，IDT）</w:t>
      </w:r>
    </w:p>
    <w:p>
      <w:pPr>
        <w:spacing w:line="300" w:lineRule="auto"/>
        <w:ind w:firstLine="420" w:firstLineChars="200"/>
        <w:rPr>
          <w:rFonts w:ascii="宋体" w:hAnsi="宋体"/>
        </w:rPr>
      </w:pPr>
      <w:r>
        <w:rPr>
          <w:rFonts w:hint="eastAsia" w:ascii="宋体" w:hAnsi="宋体"/>
        </w:rPr>
        <w:t xml:space="preserve">GB 20799  食品安全国家标准 肉和肉制品经营卫生规范 </w:t>
      </w:r>
    </w:p>
    <w:p>
      <w:pPr>
        <w:spacing w:line="300" w:lineRule="auto"/>
        <w:ind w:firstLine="420" w:firstLineChars="200"/>
        <w:rPr>
          <w:rFonts w:ascii="宋体" w:hAnsi="宋体"/>
        </w:rPr>
      </w:pPr>
      <w:r>
        <w:rPr>
          <w:rFonts w:hint="eastAsia" w:ascii="宋体" w:hAnsi="宋体"/>
        </w:rPr>
        <w:t>GB/T 22000  食品安全管理体系 食品链中各类组织的要求（ISO 22000，IDT）</w:t>
      </w:r>
    </w:p>
    <w:p>
      <w:pPr>
        <w:spacing w:line="300" w:lineRule="auto"/>
        <w:ind w:firstLine="420" w:firstLineChars="200"/>
        <w:rPr>
          <w:rFonts w:ascii="宋体" w:hAnsi="宋体" w:cs="宋体"/>
        </w:rPr>
      </w:pPr>
      <w:r>
        <w:rPr>
          <w:rFonts w:hint="eastAsia" w:ascii="宋体" w:hAnsi="宋体" w:cs="宋体"/>
        </w:rPr>
        <w:t>GB/T 24001  环境管理体系 要求及使用指南</w:t>
      </w:r>
      <w:r>
        <w:rPr>
          <w:rFonts w:hint="eastAsia" w:ascii="宋体" w:hAnsi="宋体"/>
        </w:rPr>
        <w:t>（ISO 14001，IDT）</w:t>
      </w:r>
    </w:p>
    <w:p>
      <w:pPr>
        <w:spacing w:line="300" w:lineRule="auto"/>
        <w:ind w:firstLine="420" w:firstLineChars="200"/>
        <w:rPr>
          <w:rFonts w:ascii="宋体" w:hAnsi="宋体"/>
        </w:rPr>
      </w:pPr>
      <w:r>
        <w:rPr>
          <w:rFonts w:hint="eastAsia" w:ascii="宋体" w:hAnsi="宋体"/>
        </w:rPr>
        <w:t>GB/T 24616  冷藏、冷冻食品物流包装、标志、运输和储存</w:t>
      </w:r>
    </w:p>
    <w:p>
      <w:pPr>
        <w:spacing w:line="300" w:lineRule="auto"/>
        <w:ind w:firstLine="420" w:firstLineChars="200"/>
        <w:rPr>
          <w:rFonts w:ascii="宋体" w:hAnsi="宋体"/>
        </w:rPr>
      </w:pPr>
      <w:r>
        <w:rPr>
          <w:rFonts w:hint="eastAsia" w:ascii="宋体" w:hAnsi="宋体"/>
        </w:rPr>
        <w:t>GB/T 27341  危害分析与关键控制点(HACCP)体系 食品生产企业通用要求</w:t>
      </w:r>
    </w:p>
    <w:p>
      <w:pPr>
        <w:spacing w:line="300" w:lineRule="auto"/>
        <w:ind w:firstLine="420" w:firstLineChars="200"/>
        <w:rPr>
          <w:rFonts w:ascii="宋体" w:hAnsi="宋体"/>
        </w:rPr>
      </w:pPr>
      <w:r>
        <w:rPr>
          <w:rFonts w:hint="eastAsia" w:ascii="宋体" w:hAnsi="宋体"/>
        </w:rPr>
        <w:t>GB 28050  食品安全国家标准 预包装食品营养标签通则</w:t>
      </w:r>
    </w:p>
    <w:p>
      <w:pPr>
        <w:spacing w:line="300" w:lineRule="auto"/>
        <w:ind w:firstLine="420" w:firstLineChars="200"/>
        <w:rPr>
          <w:rFonts w:ascii="宋体" w:hAnsi="宋体"/>
        </w:rPr>
      </w:pPr>
      <w:r>
        <w:rPr>
          <w:rFonts w:hint="eastAsia" w:ascii="宋体" w:hAnsi="宋体"/>
        </w:rPr>
        <w:t>GB/T 29372  食用农产品保鲜贮藏管理规范</w:t>
      </w:r>
    </w:p>
    <w:p>
      <w:pPr>
        <w:spacing w:line="300" w:lineRule="auto"/>
        <w:ind w:firstLine="420" w:firstLineChars="200"/>
        <w:rPr>
          <w:rFonts w:ascii="宋体" w:hAnsi="宋体"/>
        </w:rPr>
      </w:pPr>
      <w:r>
        <w:rPr>
          <w:rFonts w:hint="eastAsia" w:ascii="宋体" w:hAnsi="宋体"/>
        </w:rPr>
        <w:t>GB 31605  食品安全国家标准 食品冷链物流卫生规范</w:t>
      </w:r>
    </w:p>
    <w:p>
      <w:pPr>
        <w:spacing w:line="300" w:lineRule="auto"/>
        <w:ind w:firstLine="420" w:firstLineChars="200"/>
        <w:rPr>
          <w:rFonts w:ascii="宋体" w:hAnsi="宋体"/>
        </w:rPr>
      </w:pPr>
      <w:r>
        <w:rPr>
          <w:rFonts w:hint="eastAsia" w:ascii="宋体" w:hAnsi="宋体"/>
        </w:rPr>
        <w:t xml:space="preserve">GB 31621  食品安全国家标准 食品经营过程卫生规范 </w:t>
      </w:r>
    </w:p>
    <w:p>
      <w:pPr>
        <w:spacing w:line="300" w:lineRule="auto"/>
        <w:ind w:firstLine="420" w:firstLineChars="200"/>
        <w:rPr>
          <w:rFonts w:ascii="宋体" w:hAnsi="宋体"/>
        </w:rPr>
      </w:pPr>
      <w:r>
        <w:rPr>
          <w:rFonts w:hint="eastAsia" w:ascii="宋体" w:hAnsi="宋体"/>
        </w:rPr>
        <w:t>GB 31646  食品安全国家标准 速冻食品生产和经营卫生规范</w:t>
      </w:r>
    </w:p>
    <w:p>
      <w:pPr>
        <w:spacing w:line="300" w:lineRule="auto"/>
        <w:ind w:firstLine="420" w:firstLineChars="200"/>
        <w:rPr>
          <w:rFonts w:hint="eastAsia" w:ascii="宋体" w:hAnsi="宋体"/>
        </w:rPr>
      </w:pPr>
      <w:r>
        <w:rPr>
          <w:rFonts w:hint="eastAsia" w:ascii="宋体" w:hAnsi="宋体"/>
        </w:rPr>
        <w:t>GB 31654  食品安全国家标准 餐饮服务通用卫生规范</w:t>
      </w:r>
    </w:p>
    <w:p>
      <w:pPr>
        <w:spacing w:line="300" w:lineRule="auto"/>
        <w:ind w:firstLine="420" w:firstLineChars="200"/>
        <w:rPr>
          <w:rFonts w:ascii="宋体" w:hAnsi="宋体"/>
        </w:rPr>
      </w:pPr>
      <w:r>
        <w:rPr>
          <w:rFonts w:hint="eastAsia" w:ascii="宋体" w:hAnsi="宋体"/>
        </w:rPr>
        <w:t>GB/T 34344  农产品物流包装材料通用技术要求</w:t>
      </w:r>
    </w:p>
    <w:p>
      <w:pPr>
        <w:spacing w:line="300" w:lineRule="auto"/>
        <w:ind w:firstLine="420" w:firstLineChars="200"/>
        <w:rPr>
          <w:rFonts w:ascii="宋体" w:hAnsi="宋体"/>
        </w:rPr>
      </w:pPr>
      <w:r>
        <w:rPr>
          <w:rFonts w:hint="eastAsia" w:ascii="宋体" w:hAnsi="宋体"/>
        </w:rPr>
        <w:t>GB/T 37029  食品追溯 信息记录要求</w:t>
      </w:r>
    </w:p>
    <w:p>
      <w:pPr>
        <w:spacing w:line="300" w:lineRule="auto"/>
        <w:ind w:firstLine="420" w:firstLineChars="200"/>
        <w:rPr>
          <w:rFonts w:ascii="宋体" w:hAnsi="宋体"/>
        </w:rPr>
      </w:pPr>
      <w:r>
        <w:rPr>
          <w:rFonts w:hint="eastAsia" w:ascii="宋体" w:hAnsi="宋体"/>
        </w:rPr>
        <w:t>GB/T 43133.1  运输包装 可重复使用的塑料周转箱 第1部分：通用要求</w:t>
      </w:r>
    </w:p>
    <w:p>
      <w:pPr>
        <w:spacing w:line="300" w:lineRule="auto"/>
        <w:ind w:firstLine="420" w:firstLineChars="200"/>
        <w:rPr>
          <w:rFonts w:ascii="宋体" w:hAnsi="宋体"/>
        </w:rPr>
      </w:pPr>
      <w:r>
        <w:rPr>
          <w:rFonts w:hint="eastAsia" w:ascii="宋体" w:hAnsi="宋体" w:cs="宋体"/>
        </w:rPr>
        <w:t>GB/T 45001  职业健康安全管理体系要求及使用指南</w:t>
      </w:r>
      <w:r>
        <w:rPr>
          <w:rFonts w:hint="eastAsia" w:ascii="宋体" w:hAnsi="宋体"/>
        </w:rPr>
        <w:t>（ISO 45001，IDT）</w:t>
      </w:r>
    </w:p>
    <w:p>
      <w:pPr>
        <w:spacing w:line="300" w:lineRule="auto"/>
        <w:ind w:firstLine="420" w:firstLineChars="200"/>
        <w:rPr>
          <w:rFonts w:ascii="宋体" w:hAnsi="宋体"/>
        </w:rPr>
      </w:pPr>
      <w:r>
        <w:rPr>
          <w:rFonts w:hint="eastAsia" w:ascii="宋体" w:hAnsi="宋体"/>
        </w:rPr>
        <w:t>JT/T 1371  电动营运货车选型技术要求</w:t>
      </w:r>
    </w:p>
    <w:p>
      <w:pPr>
        <w:pStyle w:val="61"/>
        <w:ind w:firstLine="420"/>
      </w:pPr>
      <w:r>
        <w:rPr>
          <w:rFonts w:hint="eastAsia"/>
        </w:rPr>
        <w:t>国家市场监督管理总局公告 2018年第12号 《餐饮服务食品安全操作规范》</w:t>
      </w:r>
    </w:p>
    <w:p>
      <w:pPr>
        <w:pStyle w:val="109"/>
        <w:spacing w:before="240" w:after="240"/>
      </w:pPr>
      <w:bookmarkStart w:id="37" w:name="_Toc2591"/>
      <w:r>
        <w:rPr>
          <w:rFonts w:hint="eastAsia"/>
        </w:rPr>
        <w:t>术语和定义</w:t>
      </w:r>
      <w:bookmarkEnd w:id="37"/>
    </w:p>
    <w:p>
      <w:pPr>
        <w:spacing w:line="300" w:lineRule="auto"/>
        <w:ind w:firstLine="420" w:firstLineChars="200"/>
        <w:rPr>
          <w:rFonts w:ascii="宋体" w:hAnsi="宋体"/>
        </w:rPr>
      </w:pPr>
      <w:r>
        <w:rPr>
          <w:rFonts w:hint="eastAsia" w:ascii="宋体" w:hAnsi="宋体"/>
        </w:rPr>
        <w:t>GB 7718界定的及下列术语和定义适用于本文件。</w:t>
      </w:r>
    </w:p>
    <w:p>
      <w:pPr>
        <w:numPr>
          <w:ilvl w:val="1"/>
          <w:numId w:val="33"/>
        </w:numPr>
        <w:rPr>
          <w:rFonts w:ascii="黑体" w:hAnsi="黑体" w:eastAsia="黑体" w:cs="黑体"/>
        </w:rPr>
      </w:pPr>
    </w:p>
    <w:p>
      <w:pPr>
        <w:spacing w:line="288" w:lineRule="auto"/>
        <w:ind w:firstLine="420" w:firstLineChars="200"/>
        <w:rPr>
          <w:rFonts w:ascii="黑体" w:hAnsi="黑体" w:eastAsia="黑体" w:cs="黑体"/>
        </w:rPr>
      </w:pPr>
      <w:r>
        <w:rPr>
          <w:rFonts w:hint="eastAsia" w:ascii="黑体" w:hAnsi="黑体" w:eastAsia="黑体" w:cs="黑体"/>
        </w:rPr>
        <w:t>中小学校食堂</w:t>
      </w:r>
    </w:p>
    <w:p>
      <w:pPr>
        <w:spacing w:line="288" w:lineRule="auto"/>
        <w:ind w:firstLine="420" w:firstLineChars="200"/>
        <w:rPr>
          <w:rFonts w:ascii="黑体" w:hAnsi="黑体" w:eastAsia="黑体" w:cs="黑体"/>
        </w:rPr>
      </w:pPr>
      <w:r>
        <w:rPr>
          <w:rFonts w:hint="eastAsia" w:ascii="黑体" w:hAnsi="黑体" w:eastAsia="黑体" w:cs="黑体"/>
        </w:rPr>
        <w:t>学校食堂</w:t>
      </w:r>
    </w:p>
    <w:p>
      <w:pPr>
        <w:spacing w:line="300" w:lineRule="auto"/>
        <w:ind w:firstLine="420" w:firstLineChars="200"/>
        <w:rPr>
          <w:rFonts w:ascii="宋体" w:hAnsi="宋体"/>
        </w:rPr>
      </w:pPr>
      <w:r>
        <w:rPr>
          <w:rFonts w:hint="eastAsia" w:ascii="宋体" w:hAnsi="宋体"/>
        </w:rPr>
        <w:t>中小</w:t>
      </w:r>
      <w:r>
        <w:rPr>
          <w:rFonts w:ascii="宋体" w:hAnsi="宋体"/>
        </w:rPr>
        <w:t>学校为学生和教职工提供</w:t>
      </w:r>
      <w:r>
        <w:rPr>
          <w:rFonts w:hint="eastAsia" w:ascii="宋体" w:hAnsi="宋体"/>
        </w:rPr>
        <w:t>集体</w:t>
      </w:r>
      <w:r>
        <w:rPr>
          <w:rFonts w:ascii="宋体" w:hAnsi="宋体"/>
        </w:rPr>
        <w:t>就餐服务，</w:t>
      </w:r>
      <w:r>
        <w:rPr>
          <w:rFonts w:hint="eastAsia" w:ascii="宋体" w:hAnsi="宋体"/>
        </w:rPr>
        <w:t>设立的</w:t>
      </w:r>
      <w:r>
        <w:rPr>
          <w:rFonts w:ascii="宋体" w:hAnsi="宋体"/>
        </w:rPr>
        <w:t>具有相对独立的原料存放、食品加工制作、食品供应及就餐空间的餐饮服务</w:t>
      </w:r>
      <w:r>
        <w:rPr>
          <w:rFonts w:hint="eastAsia" w:ascii="宋体" w:hAnsi="宋体"/>
        </w:rPr>
        <w:t>提供单位</w:t>
      </w:r>
      <w:r>
        <w:rPr>
          <w:rFonts w:ascii="宋体" w:hAnsi="宋体"/>
        </w:rPr>
        <w:t>。</w:t>
      </w:r>
    </w:p>
    <w:p>
      <w:pPr>
        <w:spacing w:line="300" w:lineRule="auto"/>
        <w:ind w:firstLine="360" w:firstLineChars="200"/>
        <w:rPr>
          <w:rFonts w:ascii="宋体" w:hAnsi="宋体"/>
          <w:sz w:val="18"/>
          <w:szCs w:val="18"/>
        </w:rPr>
      </w:pPr>
      <w:r>
        <w:rPr>
          <w:rFonts w:hint="eastAsia" w:ascii="微软雅黑" w:hAnsi="微软雅黑" w:eastAsia="微软雅黑" w:cs="微软雅黑"/>
          <w:sz w:val="18"/>
          <w:szCs w:val="18"/>
        </w:rPr>
        <w:t>［</w:t>
      </w:r>
      <w:r>
        <w:rPr>
          <w:rFonts w:hint="eastAsia" w:ascii="宋体" w:hAnsi="宋体"/>
          <w:sz w:val="18"/>
          <w:szCs w:val="18"/>
        </w:rPr>
        <w:t>来源：国家市场监督管理总局公告 2018年 第12号，</w:t>
      </w:r>
      <w:r>
        <w:rPr>
          <w:rFonts w:hint="eastAsia"/>
          <w:sz w:val="18"/>
          <w:szCs w:val="18"/>
        </w:rPr>
        <w:t>第八章，第六十二条，有修改</w:t>
      </w:r>
      <w:r>
        <w:rPr>
          <w:rFonts w:hint="eastAsia" w:ascii="微软雅黑" w:hAnsi="微软雅黑" w:eastAsia="微软雅黑" w:cs="微软雅黑"/>
          <w:sz w:val="18"/>
          <w:szCs w:val="18"/>
        </w:rPr>
        <w:t>］</w:t>
      </w:r>
    </w:p>
    <w:p>
      <w:pPr>
        <w:numPr>
          <w:ilvl w:val="1"/>
          <w:numId w:val="33"/>
        </w:numPr>
        <w:rPr>
          <w:rFonts w:ascii="黑体" w:hAnsi="黑体" w:eastAsia="黑体" w:cs="黑体"/>
        </w:rPr>
      </w:pPr>
    </w:p>
    <w:p>
      <w:pPr>
        <w:spacing w:line="288" w:lineRule="auto"/>
        <w:ind w:firstLine="420" w:firstLineChars="200"/>
        <w:rPr>
          <w:rFonts w:ascii="黑体" w:hAnsi="黑体" w:eastAsia="黑体" w:cs="黑体"/>
        </w:rPr>
      </w:pPr>
      <w:r>
        <w:rPr>
          <w:rFonts w:hint="eastAsia" w:ascii="黑体" w:hAnsi="黑体" w:eastAsia="黑体" w:cs="黑体"/>
        </w:rPr>
        <w:t>食材</w:t>
      </w:r>
    </w:p>
    <w:p>
      <w:pPr>
        <w:spacing w:line="300" w:lineRule="auto"/>
        <w:ind w:firstLine="421" w:firstLineChars="200"/>
        <w:rPr>
          <w:rFonts w:ascii="宋体" w:hAnsi="宋体"/>
        </w:rPr>
      </w:pPr>
      <w:r>
        <w:rPr>
          <w:rFonts w:ascii="宋体" w:hAnsi="宋体"/>
          <w:b/>
          <w:bCs/>
        </w:rPr>
        <w:t>学校</w:t>
      </w:r>
      <w:r>
        <w:rPr>
          <w:rFonts w:hint="eastAsia" w:ascii="宋体" w:hAnsi="宋体"/>
          <w:b/>
          <w:bCs/>
        </w:rPr>
        <w:t>食堂（3.1）</w:t>
      </w:r>
      <w:r>
        <w:rPr>
          <w:rFonts w:hint="eastAsia" w:ascii="宋体" w:hAnsi="宋体"/>
        </w:rPr>
        <w:t>在加工制作食品和提供餐饮服务过程中所使用的各种食物原料（如粮油、蔬果、肉、蛋、奶及奶制品、豆及豆制品、调味品、饮品等）、半成品或成品。</w:t>
      </w:r>
    </w:p>
    <w:p>
      <w:pPr>
        <w:numPr>
          <w:ilvl w:val="1"/>
          <w:numId w:val="33"/>
        </w:numPr>
        <w:rPr>
          <w:rFonts w:ascii="黑体" w:hAnsi="黑体" w:eastAsia="黑体" w:cs="黑体"/>
        </w:rPr>
      </w:pPr>
    </w:p>
    <w:p>
      <w:pPr>
        <w:spacing w:line="288" w:lineRule="auto"/>
        <w:ind w:firstLine="420" w:firstLineChars="200"/>
        <w:rPr>
          <w:rFonts w:ascii="黑体" w:hAnsi="黑体" w:eastAsia="黑体" w:cs="黑体"/>
        </w:rPr>
      </w:pPr>
      <w:r>
        <w:rPr>
          <w:rFonts w:hint="eastAsia" w:ascii="黑体" w:hAnsi="黑体" w:eastAsia="黑体" w:cs="黑体"/>
        </w:rPr>
        <w:t>配送</w:t>
      </w:r>
    </w:p>
    <w:p>
      <w:pPr>
        <w:spacing w:line="300" w:lineRule="auto"/>
        <w:ind w:firstLine="421" w:firstLineChars="200"/>
        <w:rPr>
          <w:rFonts w:ascii="宋体" w:hAnsi="宋体"/>
        </w:rPr>
      </w:pPr>
      <w:r>
        <w:rPr>
          <w:rFonts w:hint="eastAsia" w:ascii="宋体" w:hAnsi="宋体"/>
          <w:b/>
          <w:bCs/>
        </w:rPr>
        <w:t>服务商（3.4）</w:t>
      </w:r>
      <w:r>
        <w:rPr>
          <w:rFonts w:hint="eastAsia" w:ascii="宋体" w:hAnsi="宋体"/>
        </w:rPr>
        <w:t>根据</w:t>
      </w:r>
      <w:r>
        <w:rPr>
          <w:rFonts w:hint="eastAsia" w:ascii="宋体" w:hAnsi="宋体"/>
          <w:b/>
          <w:bCs/>
        </w:rPr>
        <w:t>学校食堂（3.1）</w:t>
      </w:r>
      <w:r>
        <w:rPr>
          <w:rFonts w:hint="eastAsia" w:ascii="宋体" w:hAnsi="宋体"/>
        </w:rPr>
        <w:t>的订单要求，对</w:t>
      </w:r>
      <w:r>
        <w:rPr>
          <w:rFonts w:hint="eastAsia" w:ascii="宋体" w:hAnsi="宋体"/>
          <w:b/>
          <w:bCs/>
        </w:rPr>
        <w:t>食材（3.2）</w:t>
      </w:r>
      <w:r>
        <w:rPr>
          <w:rFonts w:hint="eastAsia" w:ascii="宋体" w:hAnsi="宋体"/>
        </w:rPr>
        <w:t>进行采购、拣选、整理、清洗、切分、加工、包装、组配、检验、贮存、运输等一项或多项作业处理，并送达指定地点的生产经营活动。</w:t>
      </w:r>
    </w:p>
    <w:p>
      <w:pPr>
        <w:numPr>
          <w:ilvl w:val="1"/>
          <w:numId w:val="33"/>
        </w:numPr>
        <w:rPr>
          <w:rFonts w:ascii="黑体" w:hAnsi="黑体" w:eastAsia="黑体" w:cs="黑体"/>
        </w:rPr>
      </w:pPr>
    </w:p>
    <w:p>
      <w:pPr>
        <w:spacing w:line="300" w:lineRule="auto"/>
        <w:ind w:firstLine="420" w:firstLineChars="200"/>
        <w:rPr>
          <w:rFonts w:ascii="黑体" w:hAnsi="黑体" w:eastAsia="黑体" w:cs="黑体"/>
        </w:rPr>
      </w:pPr>
      <w:r>
        <w:rPr>
          <w:rFonts w:hint="eastAsia" w:ascii="黑体" w:hAnsi="黑体" w:eastAsia="黑体" w:cs="黑体"/>
        </w:rPr>
        <w:t>服务商</w:t>
      </w:r>
    </w:p>
    <w:p>
      <w:pPr>
        <w:spacing w:line="300" w:lineRule="auto"/>
        <w:ind w:firstLine="420" w:firstLineChars="200"/>
        <w:rPr>
          <w:rFonts w:ascii="宋体" w:hAnsi="宋体"/>
        </w:rPr>
      </w:pPr>
      <w:r>
        <w:rPr>
          <w:rFonts w:hint="eastAsia" w:ascii="宋体" w:hAnsi="宋体"/>
        </w:rPr>
        <w:t>为</w:t>
      </w:r>
      <w:r>
        <w:rPr>
          <w:rFonts w:hint="eastAsia" w:ascii="宋体" w:hAnsi="宋体"/>
          <w:b/>
          <w:bCs/>
        </w:rPr>
        <w:t>学校食堂（3.1）</w:t>
      </w:r>
      <w:r>
        <w:rPr>
          <w:rFonts w:hint="eastAsia" w:ascii="宋体" w:hAnsi="宋体"/>
        </w:rPr>
        <w:t>提供</w:t>
      </w:r>
      <w:r>
        <w:rPr>
          <w:rFonts w:hint="eastAsia" w:ascii="宋体" w:hAnsi="宋体"/>
          <w:b/>
          <w:bCs/>
        </w:rPr>
        <w:t>食材（3.2）配送（3.3）</w:t>
      </w:r>
      <w:r>
        <w:rPr>
          <w:rFonts w:hint="eastAsia" w:ascii="宋体" w:hAnsi="宋体"/>
        </w:rPr>
        <w:t>服务的单位。</w:t>
      </w:r>
    </w:p>
    <w:p>
      <w:pPr>
        <w:numPr>
          <w:ilvl w:val="1"/>
          <w:numId w:val="33"/>
        </w:numPr>
        <w:rPr>
          <w:rFonts w:ascii="黑体" w:hAnsi="黑体" w:eastAsia="黑体" w:cs="黑体"/>
        </w:rPr>
      </w:pPr>
    </w:p>
    <w:p>
      <w:pPr>
        <w:spacing w:line="300" w:lineRule="auto"/>
        <w:ind w:firstLine="420" w:firstLineChars="200"/>
        <w:rPr>
          <w:rFonts w:ascii="黑体" w:hAnsi="黑体" w:eastAsia="黑体" w:cs="黑体"/>
        </w:rPr>
      </w:pPr>
      <w:r>
        <w:rPr>
          <w:rFonts w:hint="eastAsia" w:ascii="黑体" w:hAnsi="黑体" w:eastAsia="黑体" w:cs="黑体"/>
        </w:rPr>
        <w:t>供货方</w:t>
      </w:r>
    </w:p>
    <w:p>
      <w:pPr>
        <w:spacing w:line="300" w:lineRule="auto"/>
        <w:ind w:firstLine="420" w:firstLineChars="200"/>
        <w:rPr>
          <w:rFonts w:ascii="宋体" w:hAnsi="宋体"/>
        </w:rPr>
      </w:pPr>
      <w:r>
        <w:rPr>
          <w:rFonts w:hint="eastAsia" w:ascii="宋体" w:hAnsi="宋体"/>
        </w:rPr>
        <w:t>为</w:t>
      </w:r>
      <w:r>
        <w:rPr>
          <w:rFonts w:hint="eastAsia" w:ascii="宋体" w:hAnsi="宋体"/>
          <w:b/>
          <w:bCs/>
        </w:rPr>
        <w:t>服务商（3.4）</w:t>
      </w:r>
      <w:r>
        <w:rPr>
          <w:rFonts w:hint="eastAsia" w:ascii="宋体" w:hAnsi="宋体"/>
        </w:rPr>
        <w:t>供应</w:t>
      </w:r>
      <w:r>
        <w:rPr>
          <w:rFonts w:hint="eastAsia" w:ascii="宋体" w:hAnsi="宋体"/>
          <w:b/>
          <w:bCs/>
        </w:rPr>
        <w:t>食材（3.2）</w:t>
      </w:r>
      <w:r>
        <w:rPr>
          <w:rFonts w:hint="eastAsia" w:ascii="宋体" w:hAnsi="宋体"/>
        </w:rPr>
        <w:t>的单位或个人。</w:t>
      </w:r>
    </w:p>
    <w:p>
      <w:pPr>
        <w:numPr>
          <w:ilvl w:val="1"/>
          <w:numId w:val="33"/>
        </w:numPr>
        <w:rPr>
          <w:rFonts w:ascii="黑体" w:hAnsi="黑体" w:eastAsia="黑体" w:cs="黑体"/>
        </w:rPr>
      </w:pPr>
    </w:p>
    <w:p>
      <w:pPr>
        <w:spacing w:line="300" w:lineRule="auto"/>
        <w:ind w:firstLine="420" w:firstLineChars="200"/>
        <w:rPr>
          <w:rFonts w:ascii="黑体" w:hAnsi="黑体" w:eastAsia="黑体" w:cs="黑体"/>
        </w:rPr>
      </w:pPr>
      <w:r>
        <w:rPr>
          <w:rFonts w:hint="eastAsia" w:ascii="黑体" w:hAnsi="黑体" w:eastAsia="黑体" w:cs="黑体"/>
        </w:rPr>
        <w:t>不安全食品</w:t>
      </w:r>
    </w:p>
    <w:p>
      <w:pPr>
        <w:spacing w:line="300" w:lineRule="auto"/>
        <w:ind w:firstLine="420" w:firstLineChars="200"/>
        <w:rPr>
          <w:rFonts w:ascii="宋体" w:hAnsi="宋体"/>
        </w:rPr>
      </w:pPr>
      <w:r>
        <w:rPr>
          <w:rFonts w:hint="eastAsia" w:ascii="宋体" w:hAnsi="宋体"/>
        </w:rPr>
        <w:t>食品安全法律法规规定禁止生产经营的食品以及其他有证据证明可能危害人体健康的食品。</w:t>
      </w:r>
    </w:p>
    <w:p>
      <w:pPr>
        <w:spacing w:line="300" w:lineRule="auto"/>
        <w:ind w:firstLine="360" w:firstLineChars="200"/>
        <w:rPr>
          <w:rFonts w:ascii="宋体" w:hAnsi="宋体"/>
        </w:rPr>
      </w:pPr>
      <w:r>
        <w:rPr>
          <w:rFonts w:hint="eastAsia" w:ascii="微软雅黑" w:hAnsi="微软雅黑" w:eastAsia="微软雅黑" w:cs="微软雅黑"/>
          <w:sz w:val="18"/>
          <w:szCs w:val="18"/>
        </w:rPr>
        <w:t>［</w:t>
      </w:r>
      <w:r>
        <w:rPr>
          <w:rFonts w:hint="eastAsia" w:ascii="宋体" w:hAnsi="宋体"/>
          <w:sz w:val="18"/>
          <w:szCs w:val="18"/>
        </w:rPr>
        <w:t>来源：国家食品药品监督管理总局令〔2020〕第31号《食品召回管理办法》，</w:t>
      </w:r>
      <w:r>
        <w:rPr>
          <w:rFonts w:hint="eastAsia"/>
          <w:sz w:val="18"/>
          <w:szCs w:val="18"/>
        </w:rPr>
        <w:t>第一章，第二条</w:t>
      </w:r>
      <w:r>
        <w:rPr>
          <w:rFonts w:hint="eastAsia" w:ascii="微软雅黑" w:hAnsi="微软雅黑" w:eastAsia="微软雅黑" w:cs="微软雅黑"/>
          <w:sz w:val="18"/>
          <w:szCs w:val="18"/>
        </w:rPr>
        <w:t>］</w:t>
      </w:r>
    </w:p>
    <w:p>
      <w:pPr>
        <w:numPr>
          <w:ilvl w:val="1"/>
          <w:numId w:val="33"/>
        </w:numPr>
        <w:rPr>
          <w:rFonts w:ascii="黑体" w:hAnsi="黑体" w:eastAsia="黑体" w:cs="黑体"/>
        </w:rPr>
      </w:pPr>
    </w:p>
    <w:p>
      <w:pPr>
        <w:spacing w:line="300" w:lineRule="auto"/>
        <w:ind w:firstLine="420" w:firstLineChars="200"/>
        <w:rPr>
          <w:rFonts w:ascii="黑体" w:hAnsi="黑体" w:eastAsia="黑体" w:cs="黑体"/>
        </w:rPr>
      </w:pPr>
      <w:r>
        <w:rPr>
          <w:rFonts w:hint="eastAsia" w:ascii="黑体" w:hAnsi="黑体" w:eastAsia="黑体" w:cs="黑体"/>
        </w:rPr>
        <w:t>召回</w:t>
      </w:r>
    </w:p>
    <w:p>
      <w:pPr>
        <w:spacing w:line="300" w:lineRule="auto"/>
        <w:ind w:firstLine="421" w:firstLineChars="200"/>
        <w:rPr>
          <w:rFonts w:ascii="宋体" w:hAnsi="宋体"/>
        </w:rPr>
      </w:pPr>
      <w:r>
        <w:rPr>
          <w:rFonts w:hint="eastAsia" w:ascii="宋体" w:hAnsi="宋体"/>
          <w:b/>
          <w:bCs/>
        </w:rPr>
        <w:t>服务商（3.4）</w:t>
      </w:r>
      <w:r>
        <w:rPr>
          <w:rFonts w:hint="eastAsia" w:ascii="宋体" w:hAnsi="宋体"/>
        </w:rPr>
        <w:t>发现其供应的</w:t>
      </w:r>
      <w:r>
        <w:rPr>
          <w:rFonts w:hint="eastAsia" w:ascii="宋体" w:hAnsi="宋体"/>
          <w:b/>
          <w:bCs/>
        </w:rPr>
        <w:t>食材（3.2）</w:t>
      </w:r>
      <w:r>
        <w:rPr>
          <w:rFonts w:hint="eastAsia" w:ascii="宋体" w:hAnsi="宋体"/>
        </w:rPr>
        <w:t>属于</w:t>
      </w:r>
      <w:r>
        <w:rPr>
          <w:rFonts w:hint="eastAsia" w:ascii="宋体" w:hAnsi="宋体"/>
          <w:b/>
          <w:bCs/>
        </w:rPr>
        <w:t>不安全食品（3.6）</w:t>
      </w:r>
      <w:r>
        <w:rPr>
          <w:rFonts w:hint="eastAsia" w:ascii="宋体" w:hAnsi="宋体"/>
        </w:rPr>
        <w:t>的，向属地市场监管部门报告，将相关信息及时有效通知</w:t>
      </w:r>
      <w:r>
        <w:rPr>
          <w:rFonts w:hint="eastAsia" w:ascii="宋体" w:hAnsi="宋体"/>
          <w:b/>
          <w:bCs/>
        </w:rPr>
        <w:t>学校食堂（3.1）</w:t>
      </w:r>
      <w:r>
        <w:rPr>
          <w:rFonts w:hint="eastAsia" w:ascii="宋体" w:hAnsi="宋体"/>
        </w:rPr>
        <w:t>，并按计划对该批次食材采取针对性措施，防控食品安全风险的活动。</w:t>
      </w:r>
    </w:p>
    <w:p>
      <w:pPr>
        <w:spacing w:line="300" w:lineRule="auto"/>
        <w:ind w:firstLine="360" w:firstLineChars="200"/>
        <w:rPr>
          <w:rFonts w:ascii="宋体" w:hAnsi="宋体"/>
        </w:rPr>
      </w:pPr>
      <w:r>
        <w:rPr>
          <w:rFonts w:hint="eastAsia" w:ascii="微软雅黑" w:hAnsi="微软雅黑" w:eastAsia="微软雅黑" w:cs="微软雅黑"/>
          <w:sz w:val="18"/>
          <w:szCs w:val="18"/>
        </w:rPr>
        <w:t>［</w:t>
      </w:r>
      <w:r>
        <w:rPr>
          <w:rFonts w:hint="eastAsia" w:ascii="宋体" w:hAnsi="宋体"/>
          <w:sz w:val="18"/>
          <w:szCs w:val="18"/>
        </w:rPr>
        <w:t>来源：GB/T 43387-2023《产品召回 术语》，3.3，有修改］</w:t>
      </w:r>
    </w:p>
    <w:p>
      <w:pPr>
        <w:pStyle w:val="109"/>
        <w:spacing w:before="240" w:after="240"/>
      </w:pPr>
      <w:bookmarkStart w:id="38" w:name="_Toc16299"/>
      <w:r>
        <w:rPr>
          <w:rFonts w:hint="eastAsia"/>
        </w:rPr>
        <w:t>一般要求</w:t>
      </w:r>
      <w:bookmarkEnd w:id="38"/>
    </w:p>
    <w:p>
      <w:pPr>
        <w:pStyle w:val="110"/>
        <w:spacing w:before="120" w:after="120"/>
      </w:pPr>
      <w:bookmarkStart w:id="39" w:name="_Toc17323"/>
      <w:r>
        <w:rPr>
          <w:rFonts w:hint="eastAsia"/>
        </w:rPr>
        <w:t>食材</w:t>
      </w:r>
      <w:bookmarkEnd w:id="39"/>
    </w:p>
    <w:p>
      <w:pPr>
        <w:pStyle w:val="70"/>
        <w:spacing w:before="120" w:after="120"/>
        <w:rPr>
          <w:rFonts w:ascii="宋体" w:hAnsi="宋体" w:eastAsia="宋体" w:cs="宋体"/>
        </w:rPr>
      </w:pPr>
      <w:r>
        <w:rPr>
          <w:rFonts w:hint="eastAsia" w:ascii="宋体" w:hAnsi="宋体" w:eastAsia="宋体" w:cs="宋体"/>
        </w:rPr>
        <w:t>食材应新鲜、无毒、卫生</w:t>
      </w:r>
      <w:r>
        <w:rPr>
          <w:rFonts w:hint="eastAsia" w:ascii="宋体" w:hAnsi="宋体" w:eastAsia="宋体" w:cs="宋体"/>
          <w:lang w:eastAsia="zh-CN"/>
        </w:rPr>
        <w:t>（</w:t>
      </w:r>
      <w:r>
        <w:rPr>
          <w:rFonts w:hint="eastAsia" w:ascii="宋体" w:hAnsi="宋体" w:eastAsia="宋体" w:cs="宋体"/>
          <w:lang w:val="en-US" w:eastAsia="zh-CN"/>
        </w:rPr>
        <w:t>主要食材感官质量要求参见附录A</w:t>
      </w:r>
      <w:r>
        <w:rPr>
          <w:rFonts w:hint="eastAsia" w:ascii="宋体" w:hAnsi="宋体" w:eastAsia="宋体" w:cs="宋体"/>
          <w:lang w:eastAsia="zh-CN"/>
        </w:rPr>
        <w:t>）</w:t>
      </w:r>
      <w:r>
        <w:rPr>
          <w:rFonts w:hint="eastAsia" w:ascii="宋体" w:hAnsi="宋体" w:eastAsia="宋体" w:cs="宋体"/>
        </w:rPr>
        <w:t>，符合食品安全国家标准及其产品标准的要求，并有有效产品合格证明。</w:t>
      </w:r>
    </w:p>
    <w:p>
      <w:pPr>
        <w:pStyle w:val="70"/>
        <w:spacing w:before="120" w:after="120"/>
        <w:rPr>
          <w:rFonts w:ascii="宋体" w:hAnsi="宋体" w:eastAsia="宋体" w:cs="宋体"/>
        </w:rPr>
      </w:pPr>
      <w:r>
        <w:rPr>
          <w:rFonts w:hint="eastAsia" w:ascii="宋体" w:hAnsi="宋体" w:eastAsia="宋体" w:cs="宋体"/>
        </w:rPr>
        <w:t>预包装食材的标签应符合GB 7718、GB 28050的要求及相关法律法规的规定，且剩余保质期应不少于三分之二。</w:t>
      </w:r>
    </w:p>
    <w:p>
      <w:pPr>
        <w:pStyle w:val="70"/>
        <w:spacing w:before="120" w:after="120"/>
        <w:rPr>
          <w:rFonts w:ascii="宋体" w:hAnsi="宋体" w:eastAsia="宋体" w:cs="宋体"/>
        </w:rPr>
      </w:pPr>
      <w:r>
        <w:rPr>
          <w:rFonts w:hint="eastAsia" w:ascii="宋体" w:hAnsi="宋体" w:eastAsia="宋体" w:cs="宋体"/>
        </w:rPr>
        <w:t>不应配送以下食材：</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 国家明令禁止或不符合食品安全标准的食材、食品添加剂及食材相关产品；</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 秋刀鱼、鲭鱼、金枪鱼、沙丁鱼、河豚等易引发中毒危险的水产品；</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四季豆、扁豆、鲜黄花菜、野生菌菇、发芽土豆、五指毛桃、苦杏仁、枇杷仁、泡发木耳和银耳、湿米粉、凉拌菜、三明治、裱花蛋糕等高风险食品；</w:t>
      </w:r>
    </w:p>
    <w:p>
      <w:pPr>
        <w:pStyle w:val="61"/>
        <w:ind w:left="840" w:leftChars="200" w:hanging="420" w:hangingChars="200"/>
        <w:rPr>
          <w:rFonts w:hint="eastAsia" w:hAnsi="宋体" w:cs="宋体"/>
        </w:rPr>
      </w:pPr>
      <w:r>
        <w:rPr>
          <w:rFonts w:hint="eastAsia" w:hAnsi="宋体" w:cs="宋体"/>
        </w:rPr>
        <w:t>—— 亚硝酸盐（包括亚硝酸钠、亚硝酸钾），</w:t>
      </w:r>
      <w:r>
        <w:rPr>
          <w:rFonts w:hint="eastAsia"/>
        </w:rPr>
        <w:t>含铝膨松剂、乳化剂、稳定剂及含铝面制品，含人工色素</w:t>
      </w:r>
      <w:r>
        <w:rPr>
          <w:rFonts w:hint="eastAsia" w:hAnsi="宋体" w:cs="宋体"/>
        </w:rPr>
        <w:t>的肉制品</w:t>
      </w:r>
      <w:r>
        <w:rPr>
          <w:rFonts w:hint="eastAsia"/>
        </w:rPr>
        <w:t>和</w:t>
      </w:r>
      <w:r>
        <w:rPr>
          <w:rFonts w:hint="eastAsia" w:hAnsi="宋体" w:cs="宋体"/>
        </w:rPr>
        <w:t>调味品。</w:t>
      </w:r>
    </w:p>
    <w:p>
      <w:pPr>
        <w:pStyle w:val="110"/>
        <w:spacing w:before="120" w:after="120"/>
      </w:pPr>
      <w:bookmarkStart w:id="40" w:name="_Toc15603"/>
      <w:r>
        <w:rPr>
          <w:rFonts w:hint="eastAsia"/>
        </w:rPr>
        <w:t>服务</w:t>
      </w:r>
      <w:bookmarkEnd w:id="40"/>
    </w:p>
    <w:p>
      <w:pPr>
        <w:pStyle w:val="70"/>
        <w:spacing w:before="120" w:after="120"/>
        <w:rPr>
          <w:rFonts w:ascii="宋体" w:hAnsi="宋体" w:eastAsia="宋体" w:cs="宋体"/>
        </w:rPr>
      </w:pPr>
      <w:r>
        <w:rPr>
          <w:rFonts w:hint="eastAsia" w:ascii="宋体" w:hAnsi="宋体" w:eastAsia="宋体" w:cs="宋体"/>
        </w:rPr>
        <w:t>服务商应将顾客满意度管理贯穿于服务全过程，按双方约定内容及食材订单要求配送食材。</w:t>
      </w:r>
    </w:p>
    <w:p>
      <w:pPr>
        <w:pStyle w:val="70"/>
        <w:spacing w:before="120" w:after="120"/>
        <w:rPr>
          <w:rFonts w:ascii="宋体" w:hAnsi="宋体" w:eastAsia="宋体" w:cs="宋体"/>
        </w:rPr>
      </w:pPr>
      <w:r>
        <w:rPr>
          <w:rFonts w:hint="eastAsia" w:ascii="宋体" w:hAnsi="宋体" w:eastAsia="宋体" w:cs="宋体"/>
        </w:rPr>
        <w:t>服务商与学校食堂应建立多渠道沟通协商机制，包括但不限于电话、微信、短信、电子邮件、信函、会议、走访等方式。</w:t>
      </w:r>
    </w:p>
    <w:p>
      <w:pPr>
        <w:pStyle w:val="70"/>
        <w:spacing w:before="120" w:after="120"/>
      </w:pPr>
      <w:r>
        <w:rPr>
          <w:rFonts w:hint="eastAsia" w:ascii="宋体" w:hAnsi="宋体" w:eastAsia="宋体" w:cs="宋体"/>
        </w:rPr>
        <w:t>学校食堂应制定合理的食材验收流程，安排专人依据相关标准和订单要求及时査验食材。</w:t>
      </w:r>
    </w:p>
    <w:p>
      <w:pPr>
        <w:pStyle w:val="109"/>
        <w:spacing w:before="240" w:after="240"/>
      </w:pPr>
      <w:bookmarkStart w:id="41" w:name="_Toc10166"/>
      <w:r>
        <w:rPr>
          <w:rFonts w:hint="eastAsia"/>
        </w:rPr>
        <w:t>服务商要求</w:t>
      </w:r>
      <w:bookmarkEnd w:id="41"/>
    </w:p>
    <w:p>
      <w:pPr>
        <w:pStyle w:val="110"/>
        <w:spacing w:before="120" w:after="120"/>
      </w:pPr>
      <w:bookmarkStart w:id="42" w:name="_Toc28747"/>
      <w:r>
        <w:rPr>
          <w:rFonts w:hint="eastAsia"/>
        </w:rPr>
        <w:t>资质</w:t>
      </w:r>
      <w:bookmarkEnd w:id="42"/>
    </w:p>
    <w:p>
      <w:pPr>
        <w:pStyle w:val="70"/>
        <w:spacing w:before="120" w:after="120"/>
        <w:rPr>
          <w:rFonts w:ascii="宋体" w:hAnsi="宋体" w:eastAsia="宋体" w:cs="宋体"/>
        </w:rPr>
      </w:pPr>
      <w:r>
        <w:rPr>
          <w:rFonts w:hint="eastAsia" w:ascii="宋体" w:hAnsi="宋体" w:eastAsia="宋体" w:cs="宋体"/>
        </w:rPr>
        <w:t>应依法取得营业执照及食品生产许可证、食品经营许可证或仅销售预包装食品备案登记证，经营项目范围应包括所供应的食材品类。</w:t>
      </w:r>
    </w:p>
    <w:p>
      <w:pPr>
        <w:pStyle w:val="70"/>
        <w:spacing w:before="120" w:after="120"/>
        <w:rPr>
          <w:rFonts w:ascii="宋体" w:hAnsi="宋体" w:eastAsia="宋体" w:cs="宋体"/>
        </w:rPr>
      </w:pPr>
      <w:r>
        <w:rPr>
          <w:rFonts w:hint="eastAsia" w:ascii="宋体" w:hAnsi="宋体" w:eastAsia="宋体" w:cs="宋体"/>
        </w:rPr>
        <w:t>应依法开展食材配送服务，近一年应无严重违法失信行为、未被市场监管部门列入经营异常名录、未因食品安全问题被责令停产停业或10万元以上罚款等行政处罚。</w:t>
      </w:r>
    </w:p>
    <w:p>
      <w:pPr>
        <w:pStyle w:val="110"/>
        <w:spacing w:before="120" w:after="120"/>
      </w:pPr>
      <w:bookmarkStart w:id="43" w:name="_Toc5602"/>
      <w:r>
        <w:rPr>
          <w:rFonts w:hint="eastAsia"/>
        </w:rPr>
        <w:t>组织</w:t>
      </w:r>
      <w:bookmarkEnd w:id="43"/>
    </w:p>
    <w:p>
      <w:pPr>
        <w:pStyle w:val="70"/>
        <w:spacing w:before="120" w:after="120"/>
        <w:rPr>
          <w:rFonts w:ascii="宋体" w:hAnsi="宋体" w:eastAsia="宋体" w:cs="宋体"/>
        </w:rPr>
      </w:pPr>
      <w:r>
        <w:rPr>
          <w:rFonts w:hint="eastAsia" w:ascii="宋体" w:hAnsi="宋体" w:eastAsia="宋体" w:cs="宋体"/>
        </w:rPr>
        <w:t>应构建食材供应链全链条质量安全管控组织体系，通过质量追溯机制与配送服务闭环优化，确保食材配送安全性和时效性。</w:t>
      </w:r>
    </w:p>
    <w:p>
      <w:pPr>
        <w:pStyle w:val="70"/>
        <w:spacing w:before="120" w:after="120"/>
        <w:rPr>
          <w:rFonts w:ascii="宋体" w:hAnsi="宋体" w:eastAsia="宋体" w:cs="宋体"/>
        </w:rPr>
      </w:pPr>
      <w:r>
        <w:rPr>
          <w:rFonts w:hint="eastAsia" w:ascii="宋体" w:hAnsi="宋体" w:eastAsia="宋体" w:cs="宋体"/>
        </w:rPr>
        <w:t>应配备至少1名食品安全总监和1名食品安全员等专职或兼职食品安全管理人员，依法落实食品安全主体责任。</w:t>
      </w:r>
    </w:p>
    <w:p>
      <w:pPr>
        <w:pStyle w:val="70"/>
        <w:spacing w:before="120" w:after="120"/>
        <w:rPr>
          <w:rFonts w:ascii="宋体" w:hAnsi="宋体" w:eastAsia="宋体" w:cs="宋体"/>
        </w:rPr>
      </w:pPr>
      <w:r>
        <w:rPr>
          <w:rFonts w:hint="eastAsia" w:ascii="宋体" w:hAnsi="宋体" w:eastAsia="宋体" w:cs="宋体"/>
        </w:rPr>
        <w:t>应配备至少1名专职或兼职的食品检验专业人员，开展食材质量检验工作。</w:t>
      </w:r>
    </w:p>
    <w:p>
      <w:pPr>
        <w:pStyle w:val="70"/>
        <w:spacing w:before="120" w:after="120"/>
        <w:rPr>
          <w:rFonts w:ascii="宋体" w:hAnsi="宋体" w:eastAsia="宋体" w:cs="宋体"/>
        </w:rPr>
      </w:pPr>
      <w:r>
        <w:rPr>
          <w:rFonts w:hint="eastAsia" w:ascii="宋体" w:hAnsi="宋体" w:eastAsia="宋体" w:cs="宋体"/>
        </w:rPr>
        <w:t>应每年对其从业人员进行不少于一次的培训和考核，内容包括食品安全相关法律法规、基本知识、作业规范及本单位的相关管理制度等。</w:t>
      </w:r>
    </w:p>
    <w:p>
      <w:pPr>
        <w:pStyle w:val="110"/>
        <w:spacing w:before="120" w:after="120"/>
      </w:pPr>
      <w:bookmarkStart w:id="44" w:name="_Toc6474"/>
      <w:r>
        <w:rPr>
          <w:rFonts w:hint="eastAsia"/>
        </w:rPr>
        <w:t>人员</w:t>
      </w:r>
      <w:bookmarkEnd w:id="44"/>
    </w:p>
    <w:p>
      <w:pPr>
        <w:pStyle w:val="70"/>
        <w:spacing w:before="120" w:after="120"/>
        <w:rPr>
          <w:rFonts w:ascii="宋体" w:hAnsi="宋体" w:eastAsia="宋体" w:cs="宋体"/>
        </w:rPr>
      </w:pPr>
      <w:r>
        <w:rPr>
          <w:rFonts w:hint="eastAsia" w:ascii="宋体" w:hAnsi="宋体" w:eastAsia="宋体" w:cs="宋体"/>
        </w:rPr>
        <w:t>直接接触食材的人员应依法每年进行健康检查，并取得由广东省食品从业人员健康检查信息化管理系统公布的医疗卫生机构出具的《广东省食品从业人员健康证明》。</w:t>
      </w:r>
    </w:p>
    <w:p>
      <w:pPr>
        <w:pStyle w:val="70"/>
        <w:spacing w:before="120" w:after="120"/>
        <w:rPr>
          <w:rFonts w:ascii="宋体" w:hAnsi="宋体" w:eastAsia="宋体" w:cs="宋体"/>
        </w:rPr>
      </w:pPr>
      <w:r>
        <w:rPr>
          <w:rFonts w:hint="eastAsia" w:ascii="宋体" w:hAnsi="宋体" w:eastAsia="宋体" w:cs="宋体"/>
        </w:rPr>
        <w:t>从业人员应经过上岗培训并考核合格，具备相应岗位的业务知识和技能。</w:t>
      </w:r>
    </w:p>
    <w:p>
      <w:pPr>
        <w:pStyle w:val="70"/>
        <w:spacing w:before="120" w:after="120"/>
        <w:rPr>
          <w:rFonts w:ascii="宋体" w:hAnsi="宋体" w:eastAsia="宋体" w:cs="宋体"/>
        </w:rPr>
      </w:pPr>
      <w:r>
        <w:rPr>
          <w:rFonts w:hint="eastAsia" w:ascii="宋体" w:hAnsi="宋体" w:eastAsia="宋体" w:cs="宋体"/>
        </w:rPr>
        <w:t>食品安全管理人员（除具备国家食品安全管理人员执业资格的人员外）应依法参加食品安全专业培训并取得由广东省市场监督管理局签发的《广东省食品安全管理人员考试合格证明》，并应依法参加继续教育和考核，保持证书的有效性。</w:t>
      </w:r>
    </w:p>
    <w:p>
      <w:pPr>
        <w:pStyle w:val="70"/>
        <w:spacing w:before="120" w:after="120"/>
        <w:rPr>
          <w:rFonts w:ascii="宋体" w:hAnsi="宋体" w:eastAsia="宋体" w:cs="宋体"/>
        </w:rPr>
      </w:pPr>
      <w:r>
        <w:rPr>
          <w:rFonts w:hint="eastAsia" w:ascii="宋体" w:hAnsi="宋体" w:eastAsia="宋体" w:cs="宋体"/>
        </w:rPr>
        <w:t>食品检验人员应参加食品检验检测专业培训并取得培训合格证明。</w:t>
      </w:r>
    </w:p>
    <w:p>
      <w:pPr>
        <w:pStyle w:val="70"/>
        <w:spacing w:before="120" w:after="120"/>
        <w:rPr>
          <w:rFonts w:ascii="宋体" w:hAnsi="宋体" w:eastAsia="宋体" w:cs="宋体"/>
        </w:rPr>
      </w:pPr>
      <w:r>
        <w:rPr>
          <w:rFonts w:hint="eastAsia" w:ascii="宋体" w:hAnsi="宋体" w:eastAsia="宋体" w:cs="宋体"/>
        </w:rPr>
        <w:t>叉车、货车等车辆驾驶员应依法取得特种设备操作证、驾驶证等，方可上岗。</w:t>
      </w:r>
    </w:p>
    <w:p>
      <w:pPr>
        <w:pStyle w:val="110"/>
        <w:spacing w:before="120" w:after="120"/>
      </w:pPr>
      <w:bookmarkStart w:id="45" w:name="_Toc7167"/>
      <w:r>
        <w:rPr>
          <w:rFonts w:hint="eastAsia"/>
        </w:rPr>
        <w:t>管理体系</w:t>
      </w:r>
      <w:bookmarkEnd w:id="45"/>
    </w:p>
    <w:p>
      <w:pPr>
        <w:pStyle w:val="70"/>
        <w:spacing w:before="120" w:after="120"/>
        <w:rPr>
          <w:rFonts w:ascii="宋体" w:hAnsi="宋体" w:eastAsia="宋体" w:cs="宋体"/>
        </w:rPr>
      </w:pPr>
      <w:r>
        <w:rPr>
          <w:rFonts w:hint="eastAsia" w:ascii="宋体" w:hAnsi="宋体" w:eastAsia="宋体" w:cs="宋体"/>
        </w:rPr>
        <w:t>应按GB/T 22000的要求建立和运行食品安全管理体系，并取得合格认证机构出具的有效认证证书。</w:t>
      </w:r>
    </w:p>
    <w:p>
      <w:pPr>
        <w:pStyle w:val="70"/>
        <w:spacing w:before="120" w:after="120"/>
        <w:rPr>
          <w:rFonts w:ascii="宋体" w:hAnsi="宋体" w:eastAsia="宋体" w:cs="宋体"/>
        </w:rPr>
      </w:pPr>
      <w:r>
        <w:rPr>
          <w:rFonts w:hint="eastAsia" w:ascii="宋体" w:hAnsi="宋体" w:eastAsia="宋体" w:cs="宋体"/>
        </w:rPr>
        <w:t>宜按</w:t>
      </w:r>
      <w:r>
        <w:rPr>
          <w:rFonts w:hint="eastAsia" w:ascii="宋体" w:hAnsi="宋体" w:eastAsia="宋体"/>
        </w:rPr>
        <w:t>GB/T 27341</w:t>
      </w:r>
      <w:r>
        <w:rPr>
          <w:rFonts w:hint="eastAsia" w:ascii="宋体" w:hAnsi="宋体" w:eastAsia="宋体" w:cs="宋体"/>
        </w:rPr>
        <w:t>、GB/T 19001、GB/T 24001、GB/T 45001等的要求建立和运行危害分析及关键控制点（HACCP）、质量、环境、职业健康安全管理体系，并取得合格认证机构出具的有效认证证书。</w:t>
      </w:r>
    </w:p>
    <w:p>
      <w:pPr>
        <w:pStyle w:val="70"/>
        <w:spacing w:before="120" w:after="120"/>
        <w:rPr>
          <w:rFonts w:ascii="宋体" w:hAnsi="宋体" w:eastAsia="宋体" w:cs="宋体"/>
        </w:rPr>
      </w:pPr>
      <w:r>
        <w:rPr>
          <w:rFonts w:hint="eastAsia" w:ascii="宋体" w:hAnsi="宋体" w:eastAsia="宋体" w:cs="宋体"/>
        </w:rPr>
        <w:t>应建立健全食材配送服务提供、服务保障及岗位责任等管理制度和相应的记录文件（可参考附录</w:t>
      </w:r>
      <w:r>
        <w:rPr>
          <w:rFonts w:hint="eastAsia" w:ascii="宋体" w:hAnsi="宋体" w:eastAsia="宋体" w:cs="宋体"/>
          <w:lang w:val="en-US" w:eastAsia="zh-CN"/>
        </w:rPr>
        <w:t>B</w:t>
      </w:r>
      <w:r>
        <w:rPr>
          <w:rFonts w:hint="eastAsia" w:ascii="宋体" w:hAnsi="宋体" w:eastAsia="宋体" w:cs="宋体"/>
        </w:rPr>
        <w:t>），并组织学习、督促执行。</w:t>
      </w:r>
    </w:p>
    <w:p>
      <w:pPr>
        <w:pStyle w:val="110"/>
        <w:spacing w:before="120" w:after="120"/>
      </w:pPr>
      <w:bookmarkStart w:id="46" w:name="_Toc28873"/>
      <w:r>
        <w:rPr>
          <w:rFonts w:hint="eastAsia"/>
        </w:rPr>
        <w:t>场所和设备设施</w:t>
      </w:r>
      <w:bookmarkEnd w:id="46"/>
    </w:p>
    <w:p>
      <w:pPr>
        <w:pStyle w:val="70"/>
        <w:spacing w:before="120" w:after="120"/>
        <w:rPr>
          <w:rFonts w:hAnsi="黑体" w:cs="黑体"/>
        </w:rPr>
      </w:pPr>
      <w:r>
        <w:rPr>
          <w:rFonts w:hint="eastAsia" w:hAnsi="黑体" w:cs="黑体"/>
        </w:rPr>
        <w:t>场所</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应具有满足食材配送所必需的作业场所、贮藏场所，其卫生要求应符合GB 14881、GB 31621的规定。</w:t>
      </w:r>
    </w:p>
    <w:p>
      <w:pPr>
        <w:pStyle w:val="99"/>
        <w:spacing w:before="120" w:after="120"/>
        <w:rPr>
          <w:rFonts w:hAnsi="黑体" w:cs="黑体"/>
        </w:rPr>
      </w:pPr>
      <w:r>
        <w:rPr>
          <w:rFonts w:hint="eastAsia" w:hAnsi="黑体" w:cs="黑体"/>
        </w:rPr>
        <w:t>作业场所</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应分设食材拣选、整理、组配、检测、包装、发货等作业区域，并明确标识；</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地面应硬化处理，并建设排水设施，使其易于清洁、消毒，避免积水；</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应配备良好的通风、排风装置，保证照明充足；</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应配备员工清洁和消毒设施、器具洗消设施、垃圾回收与盛装设施。</w:t>
      </w:r>
    </w:p>
    <w:p>
      <w:pPr>
        <w:pStyle w:val="99"/>
        <w:spacing w:before="120" w:after="120"/>
        <w:rPr>
          <w:rFonts w:hAnsi="黑体" w:cs="黑体"/>
        </w:rPr>
      </w:pPr>
      <w:r>
        <w:rPr>
          <w:rFonts w:hint="eastAsia" w:hAnsi="黑体" w:cs="黑体"/>
        </w:rPr>
        <w:t>贮藏场所</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应配备必要的冷藏柜、冷冻柜、冷藏库、冷冻库等冷藏冷冻设备设施；</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食材常温储存库房应配备必要的抽风、排湿、降温等设备设施，并安装温度、湿度监控仪器、防鼠防蝇设施等。</w:t>
      </w:r>
    </w:p>
    <w:p>
      <w:pPr>
        <w:pStyle w:val="70"/>
        <w:spacing w:before="120" w:after="120"/>
        <w:rPr>
          <w:rFonts w:hAnsi="黑体" w:cs="黑体"/>
        </w:rPr>
      </w:pPr>
      <w:r>
        <w:rPr>
          <w:rFonts w:hint="eastAsia" w:hAnsi="黑体" w:cs="黑体"/>
        </w:rPr>
        <w:t>设备设施</w:t>
      </w:r>
    </w:p>
    <w:p>
      <w:pPr>
        <w:pStyle w:val="70"/>
        <w:numPr>
          <w:ilvl w:val="3"/>
          <w:numId w:val="0"/>
        </w:numPr>
        <w:spacing w:before="120" w:after="120"/>
        <w:ind w:firstLine="420" w:firstLineChars="200"/>
      </w:pPr>
      <w:r>
        <w:rPr>
          <w:rFonts w:hint="eastAsia" w:ascii="宋体" w:hAnsi="宋体" w:eastAsia="宋体" w:cs="宋体"/>
        </w:rPr>
        <w:t>应配备必要的加工、计量、检测、运输设备、容器包装物和其他设施，并依工艺流程合理布局。</w:t>
      </w:r>
    </w:p>
    <w:p>
      <w:pPr>
        <w:pStyle w:val="99"/>
        <w:spacing w:before="120" w:after="120"/>
        <w:rPr>
          <w:rFonts w:hAnsi="黑体" w:cs="黑体"/>
        </w:rPr>
      </w:pPr>
      <w:r>
        <w:rPr>
          <w:rFonts w:hint="eastAsia" w:hAnsi="黑体" w:cs="黑体"/>
        </w:rPr>
        <w:t>加工设备</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应配备必要的用于食材清洗、加工、盛装、消毒、短时冷藏/冷冻的食材加工设备设施；</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设备材质应满足安全、无害、无异味、耐腐蚀、不易发霉、易于清洁和保养，以保证食材不受污染，并保持食材的形状和质地不被损坏。</w:t>
      </w:r>
    </w:p>
    <w:p>
      <w:pPr>
        <w:pStyle w:val="99"/>
        <w:spacing w:before="120" w:after="120"/>
        <w:rPr>
          <w:rFonts w:hAnsi="黑体" w:cs="黑体"/>
        </w:rPr>
      </w:pPr>
      <w:r>
        <w:rPr>
          <w:rFonts w:hint="eastAsia" w:hAnsi="黑体" w:cs="黑体"/>
        </w:rPr>
        <w:t>计量与检测设备</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应根据其经营范围、销售规模及食材品类，配备满足计量与检测需求的仪器设备和工具；</w:t>
      </w:r>
    </w:p>
    <w:p>
      <w:pPr>
        <w:pStyle w:val="70"/>
        <w:numPr>
          <w:ilvl w:val="3"/>
          <w:numId w:val="0"/>
        </w:numPr>
        <w:spacing w:before="120" w:after="120"/>
        <w:ind w:left="837" w:leftChars="200" w:hanging="417" w:hangingChars="199"/>
        <w:rPr>
          <w:rFonts w:hint="eastAsia" w:ascii="宋体" w:hAnsi="宋体" w:eastAsia="宋体" w:cs="宋体"/>
        </w:rPr>
      </w:pPr>
      <w:r>
        <w:rPr>
          <w:rFonts w:hint="eastAsia" w:ascii="宋体" w:hAnsi="宋体" w:eastAsia="宋体" w:cs="宋体"/>
        </w:rPr>
        <w:t>—— 计量器具应定期进行维护、校准，依法取得检定或校准合格证书；</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快检产品和试剂宜选用经符合性评价或获得认证的，以确保其来源合法、质量可靠。</w:t>
      </w:r>
    </w:p>
    <w:p>
      <w:pPr>
        <w:pStyle w:val="99"/>
        <w:spacing w:before="120" w:after="120"/>
        <w:rPr>
          <w:rFonts w:hAnsi="黑体" w:cs="黑体"/>
        </w:rPr>
      </w:pPr>
      <w:r>
        <w:rPr>
          <w:rFonts w:hint="eastAsia" w:hAnsi="黑体" w:cs="黑体"/>
        </w:rPr>
        <w:t>运输设备</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应配备厢式货车、冷链运输车等车辆，宜按JT/T 1371的要求选用新能源车辆；</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冷链运输车辆应配备温度监控显示器；</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冷链运输车辆宜配备卫星定位系统终端，实现实时位置监控。</w:t>
      </w:r>
    </w:p>
    <w:p>
      <w:pPr>
        <w:pStyle w:val="99"/>
        <w:spacing w:before="120" w:after="120"/>
        <w:rPr>
          <w:rFonts w:hAnsi="黑体" w:cs="黑体"/>
        </w:rPr>
      </w:pPr>
      <w:r>
        <w:rPr>
          <w:rFonts w:hint="eastAsia" w:hAnsi="黑体" w:cs="黑体"/>
        </w:rPr>
        <w:t>容器与包装物</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与食材接触的容器应符合GB 4806.1/7/8/11/12 的要求；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农产品物流包装材料应符合GB/T 34344 的要求；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冷藏冷冻食材包装应符合GB/T 24616的要求；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宜按GB/T 43133.1的要求配备和使用可循环利用的绿色包装物。</w:t>
      </w:r>
    </w:p>
    <w:p>
      <w:pPr>
        <w:pStyle w:val="99"/>
        <w:spacing w:before="120" w:after="120"/>
        <w:rPr>
          <w:rFonts w:hAnsi="黑体" w:cs="黑体"/>
        </w:rPr>
      </w:pPr>
      <w:r>
        <w:rPr>
          <w:rFonts w:hint="eastAsia" w:hAnsi="黑体" w:cs="黑体"/>
        </w:rPr>
        <w:t>其他设备设施</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电梯、叉车等特种设备应依法登记、年检，并取得有效检验合格证。</w:t>
      </w:r>
    </w:p>
    <w:p>
      <w:pPr>
        <w:pStyle w:val="110"/>
        <w:spacing w:before="120" w:after="120"/>
      </w:pPr>
      <w:bookmarkStart w:id="47" w:name="_Toc4257"/>
      <w:r>
        <w:rPr>
          <w:rFonts w:hint="eastAsia"/>
        </w:rPr>
        <w:t>检测</w:t>
      </w:r>
      <w:bookmarkEnd w:id="47"/>
    </w:p>
    <w:p>
      <w:pPr>
        <w:pStyle w:val="70"/>
        <w:spacing w:before="120" w:after="120"/>
        <w:rPr>
          <w:rFonts w:hAnsi="黑体" w:cs="黑体"/>
        </w:rPr>
      </w:pPr>
      <w:r>
        <w:rPr>
          <w:rFonts w:hint="eastAsia" w:hAnsi="黑体" w:cs="黑体"/>
        </w:rPr>
        <w:t>检测能力</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应按市场监管部门规定的食品单位实验室检验检测能力建设要求设立独立封闭的检测室（间），并保持检测环境整洁、干燥、通风良好，以确保检测结果的准确性和可靠性。</w:t>
      </w:r>
    </w:p>
    <w:p>
      <w:pPr>
        <w:pStyle w:val="70"/>
        <w:spacing w:before="120" w:after="120"/>
        <w:rPr>
          <w:rFonts w:hAnsi="黑体" w:cs="黑体"/>
        </w:rPr>
      </w:pPr>
      <w:r>
        <w:rPr>
          <w:rFonts w:hint="eastAsia" w:hAnsi="黑体" w:cs="黑体"/>
        </w:rPr>
        <w:t>检测计划</w:t>
      </w:r>
    </w:p>
    <w:p>
      <w:pPr>
        <w:pStyle w:val="99"/>
        <w:numPr>
          <w:ilvl w:val="4"/>
          <w:numId w:val="0"/>
        </w:numPr>
        <w:spacing w:before="120" w:after="120"/>
        <w:ind w:firstLine="420" w:firstLineChars="200"/>
        <w:rPr>
          <w:rFonts w:ascii="宋体" w:hAnsi="宋体" w:eastAsia="宋体" w:cs="宋体"/>
        </w:rPr>
      </w:pPr>
      <w:r>
        <w:rPr>
          <w:rFonts w:hint="eastAsia" w:ascii="宋体" w:hAnsi="宋体" w:eastAsia="宋体" w:cs="宋体"/>
        </w:rPr>
        <w:t>应根据经营食材类别、自身管理需要及监管部门要求，制定农产品快速检测计划，明确检测项目、检测频次及检测方法。</w:t>
      </w:r>
    </w:p>
    <w:p>
      <w:pPr>
        <w:pStyle w:val="70"/>
        <w:spacing w:before="120" w:after="120"/>
        <w:rPr>
          <w:rFonts w:hAnsi="黑体" w:cs="黑体"/>
        </w:rPr>
      </w:pPr>
      <w:r>
        <w:rPr>
          <w:rFonts w:hint="eastAsia" w:hAnsi="黑体" w:cs="黑体"/>
        </w:rPr>
        <w:t>检测过程</w:t>
      </w:r>
    </w:p>
    <w:p>
      <w:pPr>
        <w:pStyle w:val="99"/>
        <w:spacing w:before="120" w:after="120"/>
        <w:rPr>
          <w:rFonts w:ascii="宋体" w:hAnsi="宋体" w:eastAsia="宋体" w:cs="宋体"/>
        </w:rPr>
      </w:pPr>
      <w:r>
        <w:rPr>
          <w:rFonts w:hint="eastAsia" w:ascii="宋体" w:hAnsi="宋体" w:eastAsia="宋体" w:cs="宋体"/>
        </w:rPr>
        <w:t>应按照市场监管部门的规定和相关标准要求开展食材质量安全检测工作。对检测合格的食材，应出具产品合格证。</w:t>
      </w:r>
    </w:p>
    <w:p>
      <w:pPr>
        <w:pStyle w:val="99"/>
        <w:spacing w:before="120" w:after="120"/>
        <w:rPr>
          <w:rFonts w:ascii="宋体" w:hAnsi="宋体" w:eastAsia="宋体" w:cs="宋体"/>
        </w:rPr>
      </w:pPr>
      <w:r>
        <w:rPr>
          <w:rFonts w:hint="eastAsia" w:ascii="宋体" w:hAnsi="宋体" w:eastAsia="宋体" w:cs="宋体"/>
        </w:rPr>
        <w:t>对超出自行检测能力的食材，应委托符合资质的第三方检测机构进行检测，并取得有效的合格证明。</w:t>
      </w:r>
    </w:p>
    <w:p>
      <w:pPr>
        <w:pStyle w:val="70"/>
        <w:spacing w:before="120" w:after="120"/>
        <w:rPr>
          <w:rFonts w:hAnsi="黑体" w:cs="黑体"/>
        </w:rPr>
      </w:pPr>
      <w:r>
        <w:rPr>
          <w:rFonts w:hint="eastAsia" w:hAnsi="黑体" w:cs="黑体"/>
        </w:rPr>
        <w:t>检测记录</w:t>
      </w:r>
    </w:p>
    <w:p>
      <w:pPr>
        <w:pStyle w:val="99"/>
        <w:numPr>
          <w:ilvl w:val="4"/>
          <w:numId w:val="0"/>
        </w:numPr>
        <w:spacing w:before="120" w:after="120"/>
        <w:ind w:firstLine="420" w:firstLineChars="200"/>
        <w:rPr>
          <w:rFonts w:ascii="宋体" w:hAnsi="宋体" w:eastAsia="宋体" w:cs="宋体"/>
        </w:rPr>
      </w:pPr>
      <w:r>
        <w:rPr>
          <w:rFonts w:hint="eastAsia" w:ascii="宋体" w:hAnsi="宋体" w:eastAsia="宋体" w:cs="宋体"/>
        </w:rPr>
        <w:t>应建立规范、完整的检测记录，并确保记录的真实性和可追溯性。内容应包括但不限于：</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检测样品名称、来源及数量；</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检测项目、方法及依据标准；</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检测结果及判定结论；</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检测人员及复核人员签名；</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检测日期及检测环境条件。</w:t>
      </w:r>
    </w:p>
    <w:p>
      <w:pPr>
        <w:pStyle w:val="70"/>
        <w:spacing w:before="120" w:after="120"/>
        <w:rPr>
          <w:rFonts w:hAnsi="黑体" w:cs="黑体"/>
        </w:rPr>
      </w:pPr>
      <w:r>
        <w:rPr>
          <w:rFonts w:hint="eastAsia" w:hAnsi="黑体" w:cs="黑体"/>
        </w:rPr>
        <w:t>不合格品控制</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对于检测不合格的食材（可在采取正确的方法处理后），应进行复检；</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对于复检仍不合格的，应立即封存食材，启动不合格品溯源工作程序；</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对于封存的不合格品应及时组织退货或依制度或规范销毁，并保留相关记录；</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因封存食材可能影响配送的，应将相关信息通报学校食堂，并按应急预案或临时议定方案处置。</w:t>
      </w:r>
    </w:p>
    <w:p>
      <w:pPr>
        <w:pStyle w:val="70"/>
        <w:spacing w:before="120" w:after="120"/>
        <w:rPr>
          <w:rFonts w:hAnsi="黑体" w:cs="黑体"/>
        </w:rPr>
      </w:pPr>
      <w:r>
        <w:rPr>
          <w:rFonts w:hint="eastAsia" w:hAnsi="黑体" w:cs="黑体"/>
        </w:rPr>
        <w:t>留样管理</w:t>
      </w:r>
    </w:p>
    <w:p>
      <w:pPr>
        <w:pStyle w:val="99"/>
        <w:spacing w:before="120" w:after="120"/>
        <w:rPr>
          <w:rFonts w:ascii="宋体" w:hAnsi="宋体" w:eastAsia="宋体" w:cs="宋体"/>
        </w:rPr>
      </w:pPr>
      <w:r>
        <w:rPr>
          <w:rFonts w:hint="eastAsia" w:ascii="宋体" w:hAnsi="宋体" w:eastAsia="宋体" w:cs="宋体"/>
        </w:rPr>
        <w:t>每批次食材检测后，应按以下要求做好留样管理：</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留样数量应满足后续检测需求；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留样食材应单独存放，并标注样品名称、批次及留样日期；</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留样记录应包括样品名称、批次、留样数量、留样日期及留样人员签名等内容；</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留样食材应按食材存放条件妥善保存，并定期检查其状态；</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如发现异常情况（如变质、损坏等），应立即封存留样食材，并送至相关检测部门检验；</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留样食材保留期限应不少于48h。</w:t>
      </w:r>
    </w:p>
    <w:p>
      <w:pPr>
        <w:pStyle w:val="110"/>
        <w:spacing w:before="120" w:after="120"/>
      </w:pPr>
      <w:bookmarkStart w:id="48" w:name="_Toc30629"/>
      <w:r>
        <w:rPr>
          <w:rFonts w:hint="eastAsia"/>
        </w:rPr>
        <w:t>信息溯源</w:t>
      </w:r>
      <w:bookmarkEnd w:id="48"/>
      <w:r>
        <w:rPr>
          <w:rFonts w:hint="eastAsia"/>
        </w:rPr>
        <w:t xml:space="preserve">  </w:t>
      </w:r>
    </w:p>
    <w:p>
      <w:pPr>
        <w:pStyle w:val="70"/>
        <w:spacing w:before="120" w:after="120"/>
        <w:rPr>
          <w:rFonts w:hAnsi="黑体" w:cs="黑体"/>
        </w:rPr>
      </w:pPr>
      <w:r>
        <w:rPr>
          <w:rFonts w:hint="eastAsia" w:hAnsi="黑体" w:cs="黑体"/>
        </w:rPr>
        <w:t>供货方管理</w:t>
      </w:r>
    </w:p>
    <w:p>
      <w:pPr>
        <w:pStyle w:val="99"/>
        <w:spacing w:before="120" w:after="120"/>
        <w:rPr>
          <w:rFonts w:ascii="宋体" w:hAnsi="宋体" w:eastAsia="宋体" w:cs="宋体"/>
        </w:rPr>
      </w:pPr>
      <w:r>
        <w:rPr>
          <w:rFonts w:hint="eastAsia" w:ascii="宋体" w:hAnsi="宋体" w:eastAsia="宋体" w:cs="宋体"/>
        </w:rPr>
        <w:t>应对供货方建档管理，内容包括营业执照、食品生产经营许可证等资质证明及评价记录等。</w:t>
      </w:r>
    </w:p>
    <w:p>
      <w:pPr>
        <w:pStyle w:val="99"/>
        <w:spacing w:before="120" w:after="120"/>
        <w:rPr>
          <w:rFonts w:ascii="宋体" w:hAnsi="宋体" w:eastAsia="宋体" w:cs="宋体"/>
        </w:rPr>
      </w:pPr>
      <w:r>
        <w:rPr>
          <w:rFonts w:hint="eastAsia" w:ascii="宋体" w:hAnsi="宋体" w:eastAsia="宋体" w:cs="宋体"/>
        </w:rPr>
        <w:t>直接从农户处收购食用农产品的，应留存经其签章确认的身份证复印件、常住地址、联系方式等。</w:t>
      </w:r>
    </w:p>
    <w:p>
      <w:pPr>
        <w:pStyle w:val="99"/>
        <w:spacing w:before="120" w:after="120"/>
        <w:rPr>
          <w:rFonts w:ascii="宋体" w:hAnsi="宋体" w:eastAsia="宋体" w:cs="宋体"/>
        </w:rPr>
      </w:pPr>
      <w:r>
        <w:rPr>
          <w:rFonts w:hint="eastAsia" w:ascii="宋体" w:hAnsi="宋体" w:eastAsia="宋体" w:cs="宋体"/>
        </w:rPr>
        <w:t>应建立供货方评价和退出机制。每年对供货方进行绩效评价，包括但不限于合同执行率、产品检验合格率、及时交付率、投诉记录、信用评价等内容；并根据评价结果动态更新合格供货方名录，提升食材保障能力。</w:t>
      </w:r>
    </w:p>
    <w:p>
      <w:pPr>
        <w:pStyle w:val="70"/>
        <w:spacing w:before="120" w:after="120"/>
        <w:rPr>
          <w:rFonts w:hAnsi="黑体" w:cs="黑体"/>
        </w:rPr>
      </w:pPr>
      <w:r>
        <w:rPr>
          <w:rFonts w:hint="eastAsia" w:hAnsi="黑体" w:cs="黑体"/>
        </w:rPr>
        <w:t>索证索票</w:t>
      </w:r>
    </w:p>
    <w:p>
      <w:pPr>
        <w:pStyle w:val="99"/>
        <w:spacing w:before="120" w:after="120"/>
        <w:rPr>
          <w:rFonts w:ascii="宋体" w:hAnsi="宋体" w:eastAsia="宋体" w:cs="宋体"/>
        </w:rPr>
      </w:pPr>
      <w:r>
        <w:rPr>
          <w:rFonts w:hint="eastAsia" w:ascii="宋体" w:hAnsi="宋体" w:eastAsia="宋体" w:cs="宋体"/>
        </w:rPr>
        <w:t>应当查验并保存供货方的许可证，包括但不限于：营业执照、食品生产许可证或食品经营许可证等。</w:t>
      </w:r>
    </w:p>
    <w:p>
      <w:pPr>
        <w:pStyle w:val="99"/>
        <w:spacing w:before="120" w:after="120"/>
        <w:rPr>
          <w:rFonts w:ascii="宋体" w:hAnsi="宋体" w:eastAsia="宋体" w:cs="宋体"/>
        </w:rPr>
      </w:pPr>
      <w:r>
        <w:rPr>
          <w:rFonts w:hint="eastAsia" w:ascii="宋体" w:hAnsi="宋体" w:eastAsia="宋体" w:cs="宋体"/>
        </w:rPr>
        <w:t>应索取并留存每批次食材的合格证明等票证，核对时间、品种、批次、数量等信息对应关系：</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肉类：如猪肉、牛肉、羊肉等，应有动物检疫合格证明、肉品品质检验合格证明等。</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禽类：如鸡肉、鸭肉等，应有动物检疫合格证明；</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水产品：如鱼、虾等，应有产地证明或购货凭证、质量检验合格证明等；</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蔬菜：应有购货凭证或供货清单；宜有农药残留检验合格证明；</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粮食及其制品：如大米、面粉等，应有生产厂家的食品生产许可证、产品合格证明、购货发票等；</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食用油：应有食品生产许可证、产品检验报告、</w:t>
      </w:r>
      <w:bookmarkStart w:id="49" w:name="OLE_LINK13"/>
      <w:bookmarkStart w:id="50" w:name="OLE_LINK12"/>
      <w:r>
        <w:rPr>
          <w:rFonts w:hint="eastAsia" w:ascii="宋体" w:hAnsi="宋体" w:eastAsia="宋体" w:cs="宋体"/>
        </w:rPr>
        <w:t>购货发票</w:t>
      </w:r>
      <w:bookmarkEnd w:id="49"/>
      <w:bookmarkEnd w:id="50"/>
      <w:r>
        <w:rPr>
          <w:rFonts w:hint="eastAsia" w:ascii="宋体" w:hAnsi="宋体" w:eastAsia="宋体" w:cs="宋体"/>
        </w:rPr>
        <w:t>等；</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调味品：如酱油、醋、盐、糖等，应有生产许可证、产品合格证明、购货凭证等。</w:t>
      </w:r>
    </w:p>
    <w:p>
      <w:pPr>
        <w:pStyle w:val="70"/>
        <w:spacing w:before="120" w:after="120"/>
        <w:rPr>
          <w:rFonts w:hAnsi="黑体" w:cs="黑体"/>
        </w:rPr>
      </w:pPr>
      <w:r>
        <w:rPr>
          <w:rFonts w:hint="eastAsia" w:hAnsi="黑体" w:cs="黑体"/>
        </w:rPr>
        <w:t>信息管理</w:t>
      </w:r>
    </w:p>
    <w:p>
      <w:pPr>
        <w:pStyle w:val="99"/>
        <w:spacing w:before="120" w:after="120"/>
        <w:rPr>
          <w:rFonts w:ascii="宋体" w:hAnsi="宋体" w:eastAsia="宋体" w:cs="宋体"/>
        </w:rPr>
      </w:pPr>
      <w:r>
        <w:rPr>
          <w:rFonts w:hint="eastAsia" w:ascii="宋体" w:hAnsi="宋体" w:eastAsia="宋体" w:cs="宋体"/>
        </w:rPr>
        <w:t>应建立与学校食堂食材配送相适应的生产经营信息管理制度，宜建立信息化溯源管理系统，详细记录食堂订单、食材原料采购、加工、检测、包装、贮存和运输及售后服务等食材配送全过程信息。</w:t>
      </w:r>
    </w:p>
    <w:p>
      <w:pPr>
        <w:pStyle w:val="99"/>
        <w:spacing w:before="120" w:after="120"/>
        <w:rPr>
          <w:rFonts w:ascii="宋体" w:hAnsi="宋体" w:eastAsia="宋体" w:cs="宋体"/>
        </w:rPr>
      </w:pPr>
      <w:r>
        <w:rPr>
          <w:rFonts w:hint="eastAsia" w:ascii="宋体" w:hAnsi="宋体" w:eastAsia="宋体" w:cs="宋体"/>
        </w:rPr>
        <w:t>应将每一批次、每一类食材的采购信息记录存档，内容包括供应商名称、进货入库时间、进货数量、单价、产品名牌与规格、采购人、检验单号及检验结论等。</w:t>
      </w:r>
    </w:p>
    <w:p>
      <w:pPr>
        <w:pStyle w:val="99"/>
        <w:spacing w:before="120" w:after="120"/>
        <w:rPr>
          <w:rFonts w:ascii="宋体" w:hAnsi="宋体" w:eastAsia="宋体" w:cs="宋体"/>
        </w:rPr>
      </w:pPr>
      <w:bookmarkStart w:id="51" w:name="_Toc17238"/>
      <w:bookmarkStart w:id="52" w:name="_Toc20932"/>
      <w:bookmarkStart w:id="53" w:name="_Toc27178"/>
      <w:bookmarkStart w:id="54" w:name="_Toc2322"/>
      <w:bookmarkStart w:id="55" w:name="_Toc2818"/>
      <w:bookmarkStart w:id="56" w:name="_Toc21810"/>
      <w:r>
        <w:rPr>
          <w:rFonts w:hint="eastAsia" w:ascii="宋体" w:hAnsi="宋体" w:eastAsia="宋体" w:cs="宋体"/>
        </w:rPr>
        <w:t>应按以下要求进行信息记录管理：</w:t>
      </w:r>
    </w:p>
    <w:p>
      <w:pPr>
        <w:pStyle w:val="99"/>
        <w:numPr>
          <w:ilvl w:val="4"/>
          <w:numId w:val="0"/>
        </w:numPr>
        <w:spacing w:before="120" w:after="120"/>
        <w:ind w:firstLine="420" w:firstLineChars="200"/>
        <w:rPr>
          <w:rFonts w:ascii="宋体" w:hAnsi="宋体" w:eastAsia="宋体" w:cs="宋体"/>
        </w:rPr>
      </w:pPr>
      <w:r>
        <w:rPr>
          <w:rFonts w:hint="eastAsia" w:ascii="宋体" w:hAnsi="宋体" w:eastAsia="宋体" w:cs="宋体"/>
        </w:rPr>
        <w:t>—— 信息记录应符合GB/T 37029的追溯要求</w:t>
      </w:r>
      <w:bookmarkEnd w:id="51"/>
      <w:bookmarkEnd w:id="52"/>
      <w:bookmarkEnd w:id="53"/>
      <w:bookmarkEnd w:id="54"/>
      <w:bookmarkEnd w:id="55"/>
      <w:bookmarkEnd w:id="56"/>
      <w:r>
        <w:rPr>
          <w:rFonts w:hint="eastAsia" w:ascii="宋体" w:hAnsi="宋体" w:eastAsia="宋体" w:cs="宋体"/>
        </w:rPr>
        <w:t>；</w:t>
      </w:r>
    </w:p>
    <w:p>
      <w:pPr>
        <w:pStyle w:val="99"/>
        <w:numPr>
          <w:ilvl w:val="4"/>
          <w:numId w:val="0"/>
        </w:numPr>
        <w:spacing w:before="120" w:after="120"/>
        <w:ind w:firstLine="420" w:firstLineChars="200"/>
        <w:rPr>
          <w:rFonts w:ascii="宋体" w:hAnsi="宋体" w:eastAsia="宋体" w:cs="宋体"/>
        </w:rPr>
      </w:pPr>
      <w:bookmarkStart w:id="57" w:name="_Toc25993"/>
      <w:bookmarkStart w:id="58" w:name="_Toc27734"/>
      <w:bookmarkStart w:id="59" w:name="_Toc17191"/>
      <w:bookmarkStart w:id="60" w:name="_Toc1252"/>
      <w:r>
        <w:rPr>
          <w:rFonts w:hint="eastAsia" w:ascii="宋体" w:hAnsi="宋体" w:eastAsia="宋体" w:cs="宋体"/>
        </w:rPr>
        <w:t>—— 信息记录的保存期限应不少于2年</w:t>
      </w:r>
      <w:bookmarkEnd w:id="57"/>
      <w:bookmarkEnd w:id="58"/>
      <w:bookmarkEnd w:id="59"/>
      <w:bookmarkEnd w:id="60"/>
      <w:r>
        <w:rPr>
          <w:rFonts w:hint="eastAsia" w:ascii="宋体" w:hAnsi="宋体" w:eastAsia="宋体" w:cs="宋体"/>
        </w:rPr>
        <w:t>。</w:t>
      </w:r>
    </w:p>
    <w:p>
      <w:pPr>
        <w:pStyle w:val="110"/>
        <w:spacing w:before="120" w:after="120"/>
      </w:pPr>
      <w:bookmarkStart w:id="61" w:name="_Toc19300"/>
      <w:bookmarkStart w:id="62" w:name="_Toc12767"/>
      <w:bookmarkStart w:id="63" w:name="_Toc28176"/>
      <w:r>
        <w:rPr>
          <w:rFonts w:hint="eastAsia"/>
        </w:rPr>
        <w:t>安全责任保险</w:t>
      </w:r>
      <w:bookmarkEnd w:id="61"/>
    </w:p>
    <w:p>
      <w:pPr>
        <w:pStyle w:val="70"/>
        <w:numPr>
          <w:ilvl w:val="3"/>
          <w:numId w:val="0"/>
        </w:numPr>
        <w:spacing w:before="120" w:after="120"/>
        <w:ind w:firstLine="420" w:firstLineChars="200"/>
      </w:pPr>
      <w:bookmarkStart w:id="64" w:name="_Toc1076"/>
      <w:r>
        <w:rPr>
          <w:rFonts w:hint="eastAsia" w:ascii="宋体" w:hAnsi="宋体" w:eastAsia="宋体" w:cs="宋体"/>
        </w:rPr>
        <w:t>应依法购买食品安全责任保险，确保事故发生后具备赔付能力，保障受害者合法权益。</w:t>
      </w:r>
      <w:bookmarkEnd w:id="62"/>
      <w:bookmarkEnd w:id="63"/>
      <w:bookmarkEnd w:id="64"/>
    </w:p>
    <w:p>
      <w:pPr>
        <w:pStyle w:val="109"/>
        <w:spacing w:before="240" w:after="240"/>
      </w:pPr>
      <w:bookmarkStart w:id="65" w:name="_Toc24694"/>
      <w:r>
        <w:rPr>
          <w:rFonts w:hint="eastAsia"/>
        </w:rPr>
        <w:t>配送流程及要求</w:t>
      </w:r>
      <w:bookmarkEnd w:id="65"/>
    </w:p>
    <w:p>
      <w:pPr>
        <w:pStyle w:val="110"/>
        <w:spacing w:before="120" w:after="120"/>
      </w:pPr>
      <w:bookmarkStart w:id="66" w:name="_Toc12353"/>
      <w:r>
        <w:rPr>
          <w:rFonts w:hint="eastAsia"/>
        </w:rPr>
        <w:t>接受订单</w:t>
      </w:r>
      <w:bookmarkEnd w:id="66"/>
    </w:p>
    <w:p>
      <w:pPr>
        <w:pStyle w:val="70"/>
        <w:spacing w:before="120" w:after="120"/>
        <w:rPr>
          <w:rFonts w:ascii="宋体" w:hAnsi="宋体" w:eastAsia="宋体" w:cs="宋体"/>
        </w:rPr>
      </w:pPr>
      <w:r>
        <w:rPr>
          <w:rFonts w:hint="eastAsia" w:ascii="宋体" w:hAnsi="宋体" w:eastAsia="宋体" w:cs="宋体"/>
        </w:rPr>
        <w:t>在收到订单后，应仔细核对订单信息，如有疑问，应及时沟通处理。</w:t>
      </w:r>
    </w:p>
    <w:p>
      <w:pPr>
        <w:pStyle w:val="70"/>
        <w:spacing w:before="120" w:after="120"/>
        <w:rPr>
          <w:rFonts w:ascii="宋体" w:hAnsi="宋体" w:eastAsia="宋体" w:cs="宋体"/>
        </w:rPr>
      </w:pPr>
      <w:r>
        <w:rPr>
          <w:rFonts w:hint="eastAsia" w:ascii="宋体" w:hAnsi="宋体" w:eastAsia="宋体" w:cs="宋体"/>
        </w:rPr>
        <w:t>应拒绝接受包含4.1.3列明食材的订单。</w:t>
      </w:r>
    </w:p>
    <w:p>
      <w:pPr>
        <w:pStyle w:val="110"/>
        <w:spacing w:before="120" w:after="120"/>
      </w:pPr>
      <w:bookmarkStart w:id="67" w:name="_Toc5129"/>
      <w:r>
        <w:rPr>
          <w:rFonts w:hint="eastAsia"/>
        </w:rPr>
        <w:t>采购原料</w:t>
      </w:r>
      <w:bookmarkEnd w:id="67"/>
      <w:r>
        <w:rPr>
          <w:rFonts w:hint="eastAsia"/>
        </w:rPr>
        <w:t xml:space="preserve"> </w:t>
      </w:r>
    </w:p>
    <w:p>
      <w:pPr>
        <w:pStyle w:val="70"/>
        <w:spacing w:before="120" w:after="120"/>
        <w:rPr>
          <w:rFonts w:ascii="宋体" w:hAnsi="宋体" w:eastAsia="宋体" w:cs="宋体"/>
        </w:rPr>
      </w:pPr>
      <w:r>
        <w:rPr>
          <w:rFonts w:hint="eastAsia" w:ascii="宋体" w:hAnsi="宋体" w:eastAsia="宋体" w:cs="宋体"/>
        </w:rPr>
        <w:t>应根据食材订单需求，结合库存情况，制定食材原料采购计划。</w:t>
      </w:r>
    </w:p>
    <w:p>
      <w:pPr>
        <w:pStyle w:val="70"/>
        <w:spacing w:before="120" w:after="120"/>
        <w:rPr>
          <w:rFonts w:ascii="宋体" w:hAnsi="宋体" w:eastAsia="宋体" w:cs="宋体"/>
        </w:rPr>
      </w:pPr>
      <w:r>
        <w:rPr>
          <w:rFonts w:hint="eastAsia" w:ascii="宋体" w:hAnsi="宋体" w:eastAsia="宋体" w:cs="宋体"/>
        </w:rPr>
        <w:t>应及时向合格供货方名录的单位或个人下达采购计划，并监督计划的执行情况。</w:t>
      </w:r>
    </w:p>
    <w:p>
      <w:pPr>
        <w:pStyle w:val="110"/>
        <w:spacing w:before="120" w:after="120"/>
      </w:pPr>
      <w:bookmarkStart w:id="68" w:name="_Toc11942"/>
      <w:r>
        <w:rPr>
          <w:rFonts w:hint="eastAsia"/>
        </w:rPr>
        <w:t>验收入库</w:t>
      </w:r>
      <w:bookmarkEnd w:id="68"/>
    </w:p>
    <w:p>
      <w:pPr>
        <w:pStyle w:val="70"/>
        <w:spacing w:before="120" w:after="120"/>
        <w:rPr>
          <w:rFonts w:ascii="宋体" w:hAnsi="宋体" w:eastAsia="宋体" w:cs="宋体"/>
        </w:rPr>
      </w:pPr>
      <w:r>
        <w:rPr>
          <w:rFonts w:hint="eastAsia" w:ascii="宋体" w:hAnsi="宋体" w:eastAsia="宋体" w:cs="宋体"/>
        </w:rPr>
        <w:t>应按5.7.2的要求索证索票，并按食材原料产品标准及采购要求进行检验，如实记录食材名称、规格、数量、生产日期、供货方名称及联系方式、进货日期等内容。</w:t>
      </w:r>
    </w:p>
    <w:p>
      <w:pPr>
        <w:pStyle w:val="70"/>
        <w:spacing w:before="120" w:after="120"/>
        <w:rPr>
          <w:rFonts w:ascii="宋体" w:hAnsi="宋体" w:eastAsia="宋体" w:cs="宋体"/>
        </w:rPr>
      </w:pPr>
      <w:r>
        <w:rPr>
          <w:rFonts w:hint="eastAsia" w:ascii="宋体" w:hAnsi="宋体" w:eastAsia="宋体" w:cs="宋体"/>
        </w:rPr>
        <w:t>对预包装食材，应查验标签信息，内容包括食材品名、规格、品牌、生产者名称、生产日期、保质期、贮藏条件、生产许可编号和产品标准代号等。</w:t>
      </w:r>
    </w:p>
    <w:p>
      <w:pPr>
        <w:pStyle w:val="70"/>
        <w:spacing w:before="120" w:after="120"/>
        <w:rPr>
          <w:rFonts w:ascii="宋体" w:hAnsi="宋体" w:eastAsia="宋体" w:cs="宋体"/>
        </w:rPr>
      </w:pPr>
      <w:r>
        <w:rPr>
          <w:rFonts w:hint="eastAsia" w:ascii="宋体" w:hAnsi="宋体" w:eastAsia="宋体" w:cs="宋体"/>
        </w:rPr>
        <w:t>检验合格的食材方可接收入库。对不合格的食材，应做好标记并退回供货方或销毁处理。</w:t>
      </w:r>
    </w:p>
    <w:p>
      <w:pPr>
        <w:pStyle w:val="110"/>
        <w:spacing w:before="120" w:after="120"/>
      </w:pPr>
      <w:bookmarkStart w:id="69" w:name="_Toc3744"/>
      <w:r>
        <w:rPr>
          <w:rFonts w:hint="eastAsia"/>
        </w:rPr>
        <w:t>贮藏出库</w:t>
      </w:r>
      <w:bookmarkEnd w:id="69"/>
    </w:p>
    <w:p>
      <w:pPr>
        <w:pStyle w:val="70"/>
        <w:spacing w:before="120" w:after="120"/>
        <w:rPr>
          <w:rFonts w:ascii="宋体" w:hAnsi="宋体" w:eastAsia="宋体" w:cs="宋体"/>
        </w:rPr>
      </w:pPr>
      <w:r>
        <w:rPr>
          <w:rFonts w:hint="eastAsia" w:ascii="宋体" w:hAnsi="宋体" w:eastAsia="宋体" w:cs="宋体"/>
        </w:rPr>
        <w:t>果蔬、肉类、水产品等食用农产品的保鲜贮藏应符合GB/T 29372的要求。</w:t>
      </w:r>
    </w:p>
    <w:p>
      <w:pPr>
        <w:pStyle w:val="70"/>
        <w:spacing w:before="120" w:after="120"/>
        <w:rPr>
          <w:rFonts w:hAnsi="黑体" w:cs="黑体"/>
        </w:rPr>
      </w:pPr>
      <w:r>
        <w:rPr>
          <w:rFonts w:hint="eastAsia" w:ascii="宋体" w:hAnsi="宋体" w:eastAsia="宋体" w:cs="宋体"/>
        </w:rPr>
        <w:t>冷藏、冷冻食材的贮藏应符合GB/T 24616的要求。</w:t>
      </w:r>
    </w:p>
    <w:p>
      <w:pPr>
        <w:pStyle w:val="70"/>
        <w:spacing w:before="120" w:after="120"/>
        <w:rPr>
          <w:rFonts w:ascii="宋体" w:hAnsi="宋体" w:eastAsia="宋体" w:cs="宋体"/>
        </w:rPr>
      </w:pPr>
      <w:r>
        <w:rPr>
          <w:rFonts w:hint="eastAsia" w:ascii="宋体" w:hAnsi="宋体" w:eastAsia="宋体" w:cs="宋体"/>
        </w:rPr>
        <w:t>食材出库应遵循先进先出原则，剩余保质期将近4.1.2规定限值的应优先出库。</w:t>
      </w:r>
    </w:p>
    <w:p>
      <w:pPr>
        <w:pStyle w:val="110"/>
        <w:spacing w:before="120" w:after="120"/>
      </w:pPr>
      <w:bookmarkStart w:id="70" w:name="_Toc6701"/>
      <w:r>
        <w:rPr>
          <w:rFonts w:hint="eastAsia"/>
        </w:rPr>
        <w:t>加工处理</w:t>
      </w:r>
      <w:bookmarkEnd w:id="70"/>
    </w:p>
    <w:p>
      <w:pPr>
        <w:pStyle w:val="70"/>
        <w:spacing w:before="120" w:after="120"/>
        <w:rPr>
          <w:rFonts w:ascii="宋体" w:hAnsi="宋体" w:eastAsia="宋体" w:cs="宋体"/>
        </w:rPr>
      </w:pPr>
      <w:r>
        <w:rPr>
          <w:rFonts w:hint="eastAsia" w:ascii="宋体" w:hAnsi="宋体" w:eastAsia="宋体" w:cs="宋体"/>
        </w:rPr>
        <w:t>应依据订单要求对食材进行拣选、清洗、分拆、切割、称量、包装等加工处理。</w:t>
      </w:r>
    </w:p>
    <w:p>
      <w:pPr>
        <w:pStyle w:val="70"/>
        <w:spacing w:before="120" w:after="120"/>
        <w:rPr>
          <w:rFonts w:ascii="宋体" w:hAnsi="宋体" w:eastAsia="宋体" w:cs="宋体"/>
        </w:rPr>
      </w:pPr>
      <w:r>
        <w:rPr>
          <w:rFonts w:hint="eastAsia" w:ascii="宋体" w:hAnsi="宋体" w:eastAsia="宋体"/>
        </w:rPr>
        <w:t>加工操作应符合《餐饮服务食品安全操作规范》的规定。</w:t>
      </w:r>
    </w:p>
    <w:p>
      <w:pPr>
        <w:pStyle w:val="70"/>
        <w:spacing w:before="120" w:after="120"/>
        <w:rPr>
          <w:rFonts w:ascii="宋体" w:hAnsi="宋体" w:eastAsia="宋体"/>
        </w:rPr>
      </w:pPr>
      <w:r>
        <w:rPr>
          <w:rFonts w:hint="eastAsia" w:ascii="宋体" w:hAnsi="宋体" w:eastAsia="宋体"/>
        </w:rPr>
        <w:t>清洗用水应符合GB 5749的要求，确保清洗彻底。</w:t>
      </w:r>
    </w:p>
    <w:p>
      <w:pPr>
        <w:pStyle w:val="70"/>
        <w:spacing w:before="120" w:after="120"/>
        <w:rPr>
          <w:rFonts w:ascii="宋体" w:hAnsi="宋体" w:eastAsia="宋体"/>
        </w:rPr>
      </w:pPr>
      <w:r>
        <w:rPr>
          <w:rFonts w:hint="eastAsia" w:ascii="宋体" w:hAnsi="宋体" w:eastAsia="宋体" w:cs="宋体"/>
        </w:rPr>
        <w:t>生产经营过程应符合以下卫生要求：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生产过程应符合GB 14881的要求；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经营过程应符合GB 31621的要求；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速冻食品加工和经营过程还应符合GB 31646的要求；</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肉和肉制品经营还应符合GB 20799的要求。</w:t>
      </w:r>
    </w:p>
    <w:p>
      <w:pPr>
        <w:pStyle w:val="110"/>
        <w:spacing w:before="120" w:after="120"/>
      </w:pPr>
      <w:bookmarkStart w:id="71" w:name="_Toc1096"/>
      <w:r>
        <w:rPr>
          <w:rFonts w:hint="eastAsia"/>
        </w:rPr>
        <w:t>配送运输</w:t>
      </w:r>
      <w:bookmarkEnd w:id="71"/>
    </w:p>
    <w:p>
      <w:pPr>
        <w:pStyle w:val="70"/>
        <w:spacing w:before="120" w:after="120"/>
        <w:rPr>
          <w:rFonts w:hAnsi="黑体" w:cs="黑体"/>
        </w:rPr>
      </w:pPr>
      <w:r>
        <w:rPr>
          <w:rFonts w:hint="eastAsia" w:hAnsi="黑体" w:cs="黑体"/>
        </w:rPr>
        <w:t>配送计划</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应根据食材的品种、流向、运输线路等制定配送计划，确保食材在承诺时限内安全送达，误差应不超过30分钟；如遇极端天气、交通管制等特殊情况，应提前与学校食堂协商应对。</w:t>
      </w:r>
    </w:p>
    <w:p>
      <w:pPr>
        <w:pStyle w:val="70"/>
        <w:spacing w:before="120" w:after="120"/>
        <w:rPr>
          <w:rFonts w:hAnsi="黑体" w:cs="黑体"/>
        </w:rPr>
      </w:pPr>
      <w:r>
        <w:rPr>
          <w:rFonts w:hint="eastAsia" w:hAnsi="黑体" w:cs="黑体"/>
        </w:rPr>
        <w:t>配送单</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应制定每批次配送食材的配送单，内容包括食材名称、规格、数量及收货人、送货车牌、送货人、联系电话等。</w:t>
      </w:r>
    </w:p>
    <w:p>
      <w:pPr>
        <w:pStyle w:val="70"/>
        <w:spacing w:before="120" w:after="120"/>
        <w:rPr>
          <w:rFonts w:hAnsi="黑体" w:cs="黑体"/>
        </w:rPr>
      </w:pPr>
      <w:r>
        <w:rPr>
          <w:rFonts w:hint="eastAsia" w:hAnsi="黑体" w:cs="黑体"/>
        </w:rPr>
        <w:t>装卸要求</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应根据先远后近、先急后缓、先大单后小单、同票同车等原则，按以下要求进行文明装卸作业：</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生熟食材分装，间隔应超过0.5米或使用物理隔板；</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易碎食材（如禽蛋）需使用防震填充材料固定；</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防水食材（如干货）应使用防潮包装，与湿货分装或使用物理隔离；</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冷藏/冷冻食材应符合GB/T 24616中“6.2.1装载”和“6.2.3卸货”的要求。</w:t>
      </w:r>
    </w:p>
    <w:p>
      <w:pPr>
        <w:pStyle w:val="70"/>
        <w:spacing w:before="120" w:after="120"/>
        <w:rPr>
          <w:rFonts w:hAnsi="黑体" w:cs="黑体"/>
        </w:rPr>
      </w:pPr>
      <w:r>
        <w:rPr>
          <w:rFonts w:hint="eastAsia" w:hAnsi="黑体" w:cs="黑体"/>
        </w:rPr>
        <w:t>运输要求</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应符合GB 31654中“5.2 运输”的规定，并应按以下要求执行：</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应采取防颠簸、防火、防雨、防尘等措施；</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应按规定线路行驶，进入校园后，应服从校园安全管理，遇到行人应停车让行。</w:t>
      </w:r>
    </w:p>
    <w:p>
      <w:pPr>
        <w:pStyle w:val="70"/>
        <w:spacing w:before="120" w:after="120"/>
        <w:rPr>
          <w:rFonts w:hAnsi="黑体" w:cs="黑体"/>
        </w:rPr>
      </w:pPr>
      <w:r>
        <w:rPr>
          <w:rFonts w:hint="eastAsia" w:hAnsi="黑体" w:cs="黑体"/>
        </w:rPr>
        <w:t>温度控制</w:t>
      </w:r>
    </w:p>
    <w:p>
      <w:pPr>
        <w:pStyle w:val="99"/>
        <w:numPr>
          <w:ilvl w:val="0"/>
          <w:numId w:val="0"/>
        </w:numPr>
        <w:spacing w:before="120" w:after="120"/>
        <w:ind w:firstLine="420" w:firstLineChars="200"/>
        <w:rPr>
          <w:rFonts w:hint="eastAsia" w:ascii="宋体" w:hAnsi="宋体" w:eastAsia="宋体" w:cs="宋体"/>
        </w:rPr>
      </w:pPr>
      <w:r>
        <w:rPr>
          <w:rFonts w:hint="eastAsia" w:ascii="宋体" w:hAnsi="宋体" w:eastAsia="宋体" w:cs="宋体"/>
        </w:rPr>
        <w:t>应保证食材质量安全所需的温度要求：</w:t>
      </w:r>
    </w:p>
    <w:p>
      <w:pPr>
        <w:pStyle w:val="99"/>
        <w:numPr>
          <w:ilvl w:val="0"/>
          <w:numId w:val="0"/>
        </w:numPr>
        <w:spacing w:before="120" w:after="120"/>
        <w:ind w:firstLine="420" w:firstLineChars="200"/>
        <w:rPr>
          <w:rFonts w:hint="eastAsia" w:ascii="宋体" w:hAnsi="宋体" w:eastAsia="宋体" w:cs="宋体"/>
        </w:rPr>
      </w:pPr>
      <w:r>
        <w:rPr>
          <w:rFonts w:hint="eastAsia" w:ascii="宋体" w:hAnsi="宋体" w:eastAsia="宋体" w:cs="宋体"/>
        </w:rPr>
        <w:t>——高温天气（≥35℃）配送时，常温食材运输时间应不超过1小时；</w:t>
      </w:r>
    </w:p>
    <w:p>
      <w:pPr>
        <w:pStyle w:val="99"/>
        <w:numPr>
          <w:ilvl w:val="0"/>
          <w:numId w:val="0"/>
        </w:numPr>
        <w:spacing w:before="120" w:after="120"/>
        <w:ind w:left="420"/>
        <w:rPr>
          <w:rFonts w:hint="eastAsia" w:ascii="宋体" w:hAnsi="宋体" w:eastAsia="宋体" w:cs="宋体"/>
        </w:rPr>
      </w:pPr>
      <w:r>
        <w:rPr>
          <w:rFonts w:hint="eastAsia" w:ascii="宋体" w:hAnsi="宋体" w:eastAsia="宋体" w:cs="宋体"/>
        </w:rPr>
        <w:t>——宜采用冷藏（保温）车进行运输，车厢内温度波动范围应不超过±2℃。</w:t>
      </w:r>
    </w:p>
    <w:p>
      <w:pPr>
        <w:pStyle w:val="70"/>
        <w:spacing w:before="120" w:after="120"/>
        <w:rPr>
          <w:rFonts w:hAnsi="黑体" w:cs="黑体"/>
        </w:rPr>
      </w:pPr>
      <w:r>
        <w:rPr>
          <w:rFonts w:hint="eastAsia" w:hAnsi="黑体" w:cs="黑体"/>
        </w:rPr>
        <w:t>车辆卫生</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 运输车辆每日作业后需清洁消毒，使用的洗涤剂、消毒剂应符合GB 14930.1/2要求。</w:t>
      </w:r>
    </w:p>
    <w:p>
      <w:pPr>
        <w:pStyle w:val="70"/>
        <w:numPr>
          <w:ilvl w:val="3"/>
          <w:numId w:val="0"/>
        </w:numPr>
        <w:spacing w:before="120" w:after="120"/>
        <w:ind w:firstLine="420" w:firstLineChars="200"/>
        <w:rPr>
          <w:rFonts w:ascii="宋体" w:hAnsi="宋体" w:eastAsia="宋体" w:cs="宋体"/>
        </w:rPr>
      </w:pPr>
      <w:r>
        <w:rPr>
          <w:rFonts w:hint="eastAsia" w:ascii="宋体" w:hAnsi="宋体" w:eastAsia="宋体" w:cs="宋体"/>
        </w:rPr>
        <w:t>—— 冷链运输应符合GB 31605的卫生要求。</w:t>
      </w:r>
    </w:p>
    <w:p>
      <w:pPr>
        <w:pStyle w:val="110"/>
        <w:spacing w:before="120" w:after="120"/>
      </w:pPr>
      <w:bookmarkStart w:id="72" w:name="_Toc12835"/>
      <w:r>
        <w:rPr>
          <w:rFonts w:hint="eastAsia"/>
        </w:rPr>
        <w:t>订单交付</w:t>
      </w:r>
      <w:bookmarkEnd w:id="72"/>
    </w:p>
    <w:p>
      <w:pPr>
        <w:pStyle w:val="70"/>
        <w:spacing w:before="120" w:after="120"/>
        <w:rPr>
          <w:rFonts w:ascii="宋体" w:hAnsi="宋体" w:eastAsia="宋体" w:cs="宋体"/>
        </w:rPr>
      </w:pPr>
      <w:r>
        <w:rPr>
          <w:rFonts w:hint="eastAsia" w:ascii="宋体" w:hAnsi="宋体" w:eastAsia="宋体" w:cs="宋体"/>
        </w:rPr>
        <w:t>应在订单约定的时间内将食材送达指定位置，并配合学校食堂验收人员按订单要求和GB 31654中“5.3 验收”的规定进行验收；验收合格的，验收人员应签字确认。</w:t>
      </w:r>
    </w:p>
    <w:p>
      <w:pPr>
        <w:pStyle w:val="70"/>
        <w:spacing w:before="120" w:after="120"/>
        <w:rPr>
          <w:rFonts w:ascii="宋体" w:hAnsi="宋体" w:eastAsia="宋体" w:cs="宋体"/>
        </w:rPr>
      </w:pPr>
      <w:r>
        <w:rPr>
          <w:rFonts w:hint="eastAsia" w:ascii="宋体" w:hAnsi="宋体" w:eastAsia="宋体" w:cs="宋体"/>
        </w:rPr>
        <w:t>交付过程中学校食堂提出异议时，应及时协商处理；对存在争议的食材，应立即隔离并按6.8的规定处理。</w:t>
      </w:r>
    </w:p>
    <w:p>
      <w:pPr>
        <w:pStyle w:val="70"/>
        <w:spacing w:before="120" w:after="120"/>
        <w:rPr>
          <w:rFonts w:ascii="宋体" w:hAnsi="宋体" w:eastAsia="宋体" w:cs="宋体"/>
        </w:rPr>
      </w:pPr>
      <w:r>
        <w:rPr>
          <w:rFonts w:hint="eastAsia" w:ascii="宋体" w:hAnsi="宋体" w:eastAsia="宋体" w:cs="宋体"/>
        </w:rPr>
        <w:t>订单交付后，应及时清理作业区域，回收并清洁周转器具。</w:t>
      </w:r>
    </w:p>
    <w:p>
      <w:pPr>
        <w:pStyle w:val="110"/>
        <w:spacing w:before="120" w:after="120"/>
      </w:pPr>
      <w:bookmarkStart w:id="73" w:name="_Toc27841"/>
      <w:r>
        <w:rPr>
          <w:rFonts w:hint="eastAsia"/>
        </w:rPr>
        <w:t>售后服务</w:t>
      </w:r>
      <w:bookmarkEnd w:id="73"/>
    </w:p>
    <w:p>
      <w:pPr>
        <w:pStyle w:val="70"/>
        <w:spacing w:before="120" w:after="120"/>
        <w:rPr>
          <w:rFonts w:ascii="宋体" w:hAnsi="宋体" w:eastAsia="宋体" w:cs="宋体"/>
        </w:rPr>
      </w:pPr>
      <w:r>
        <w:rPr>
          <w:rFonts w:hint="eastAsia" w:ascii="宋体" w:hAnsi="宋体" w:eastAsia="宋体" w:cs="宋体"/>
        </w:rPr>
        <w:t>应公开投诉渠道（如电话、电子邮箱等），并在收到投诉后及时响应，并按合同相关条款及GB/T 22000中“纠正措施”的要求处理。</w:t>
      </w:r>
    </w:p>
    <w:p>
      <w:pPr>
        <w:pStyle w:val="70"/>
        <w:spacing w:before="120" w:after="120"/>
        <w:rPr>
          <w:rFonts w:ascii="宋体" w:hAnsi="宋体" w:eastAsia="宋体" w:cs="宋体"/>
        </w:rPr>
      </w:pPr>
      <w:r>
        <w:rPr>
          <w:rFonts w:hint="eastAsia" w:ascii="宋体" w:hAnsi="宋体" w:eastAsia="宋体" w:cs="宋体"/>
        </w:rPr>
        <w:t>对存在质量问题或不符合订单要求的食材：</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应立即停止配送并隔离问题食材；</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应及时补送合格食材，退换货过程不得影响学校食堂正常供餐；</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应及时做好退换货记录，内容包括问题描述、处置措施、补送时间及学校食堂确认信息。</w:t>
      </w:r>
    </w:p>
    <w:p>
      <w:pPr>
        <w:pStyle w:val="70"/>
        <w:spacing w:before="120" w:after="120"/>
        <w:rPr>
          <w:rFonts w:ascii="宋体" w:hAnsi="宋体" w:eastAsia="宋体" w:cs="宋体"/>
        </w:rPr>
      </w:pPr>
      <w:r>
        <w:rPr>
          <w:rFonts w:hint="eastAsia" w:ascii="宋体" w:hAnsi="宋体" w:eastAsia="宋体" w:cs="宋体"/>
        </w:rPr>
        <w:t>退回的不合格食材应分类处置：</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——经重新加工并检验合格的食材应再次办理入库；</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——腐败变质、超过保质期、农药残留超标等食材应销毁并记录。</w:t>
      </w:r>
    </w:p>
    <w:p>
      <w:pPr>
        <w:pStyle w:val="109"/>
        <w:spacing w:before="240" w:after="240"/>
      </w:pPr>
      <w:bookmarkStart w:id="74" w:name="_Toc5700"/>
      <w:r>
        <w:rPr>
          <w:rFonts w:hint="eastAsia"/>
        </w:rPr>
        <w:t>应急管理</w:t>
      </w:r>
      <w:bookmarkEnd w:id="74"/>
    </w:p>
    <w:p>
      <w:pPr>
        <w:pStyle w:val="110"/>
        <w:spacing w:before="120" w:after="120"/>
      </w:pPr>
      <w:bookmarkStart w:id="75" w:name="_Toc23506"/>
      <w:bookmarkStart w:id="76" w:name="_Toc17910"/>
      <w:bookmarkStart w:id="77" w:name="_Toc26976"/>
      <w:r>
        <w:rPr>
          <w:rFonts w:hint="eastAsia"/>
        </w:rPr>
        <w:t>产品召回</w:t>
      </w:r>
      <w:bookmarkEnd w:id="75"/>
    </w:p>
    <w:p>
      <w:pPr>
        <w:pStyle w:val="70"/>
        <w:numPr>
          <w:ilvl w:val="3"/>
          <w:numId w:val="0"/>
        </w:numPr>
        <w:spacing w:before="120" w:after="120"/>
        <w:ind w:firstLine="420" w:firstLineChars="200"/>
        <w:rPr>
          <w:rFonts w:ascii="宋体" w:hAnsi="宋体" w:eastAsia="宋体" w:cs="宋体"/>
        </w:rPr>
      </w:pPr>
      <w:bookmarkStart w:id="78" w:name="_Toc22056"/>
      <w:r>
        <w:rPr>
          <w:rFonts w:hint="eastAsia" w:ascii="宋体" w:hAnsi="宋体" w:eastAsia="宋体" w:cs="宋体"/>
        </w:rPr>
        <w:t>配送的食材属于不安全食品的，应按有关法律法规规定实施产品召回：</w:t>
      </w:r>
      <w:bookmarkEnd w:id="76"/>
      <w:bookmarkEnd w:id="77"/>
      <w:bookmarkEnd w:id="78"/>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召回范围应包括已配送至学校食堂但尚未使用的食材和已使用相关食材但未食用的食品；</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召回信息应通报学校食堂及市场监管部门，并立即启动召回程序；</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召回时应与学校食堂协商赔偿方案，并留存协商记录；</w:t>
      </w:r>
    </w:p>
    <w:p>
      <w:pPr>
        <w:pStyle w:val="70"/>
        <w:numPr>
          <w:ilvl w:val="3"/>
          <w:numId w:val="0"/>
        </w:numPr>
        <w:spacing w:before="120" w:after="120"/>
        <w:ind w:left="837" w:leftChars="200" w:hanging="417" w:hangingChars="199"/>
        <w:rPr>
          <w:rFonts w:ascii="宋体" w:hAnsi="宋体" w:eastAsia="宋体" w:cs="宋体"/>
        </w:rPr>
      </w:pPr>
      <w:r>
        <w:rPr>
          <w:rFonts w:hint="eastAsia" w:ascii="宋体" w:hAnsi="宋体" w:eastAsia="宋体" w:cs="宋体"/>
        </w:rPr>
        <w:t>—— 召回记录应包括召回原因、批次、数量、处置措施及学校食堂确认信息。</w:t>
      </w:r>
    </w:p>
    <w:p>
      <w:pPr>
        <w:pStyle w:val="110"/>
        <w:spacing w:before="120" w:after="120"/>
      </w:pPr>
      <w:bookmarkStart w:id="79" w:name="_Toc6741"/>
      <w:bookmarkStart w:id="80" w:name="_Toc29317"/>
      <w:bookmarkStart w:id="81" w:name="_Toc29501"/>
      <w:r>
        <w:rPr>
          <w:rFonts w:hint="eastAsia"/>
        </w:rPr>
        <w:t>应急预案</w:t>
      </w:r>
      <w:bookmarkEnd w:id="79"/>
    </w:p>
    <w:p>
      <w:pPr>
        <w:pStyle w:val="70"/>
        <w:numPr>
          <w:ilvl w:val="3"/>
          <w:numId w:val="0"/>
        </w:numPr>
        <w:spacing w:before="120" w:after="120"/>
        <w:ind w:firstLine="420" w:firstLineChars="200"/>
      </w:pPr>
      <w:bookmarkStart w:id="82" w:name="_Toc28704"/>
      <w:r>
        <w:rPr>
          <w:rFonts w:hint="eastAsia" w:ascii="宋体" w:hAnsi="宋体" w:eastAsia="宋体" w:cs="宋体"/>
        </w:rPr>
        <w:t>应制定覆盖生物污染、食物中毒、运输事故、环境污染等场景的食品安全事故应急预案</w:t>
      </w:r>
      <w:bookmarkEnd w:id="82"/>
      <w:r>
        <w:rPr>
          <w:rFonts w:hint="eastAsia" w:ascii="宋体" w:hAnsi="宋体" w:eastAsia="宋体" w:cs="宋体"/>
        </w:rPr>
        <w:t>和临时缺货、恶劣天气等突发紧急事件的应急预案，</w:t>
      </w:r>
      <w:bookmarkStart w:id="83" w:name="_Toc13121"/>
      <w:r>
        <w:rPr>
          <w:rFonts w:hint="eastAsia" w:ascii="宋体" w:hAnsi="宋体" w:eastAsia="宋体" w:cs="宋体"/>
        </w:rPr>
        <w:t>每年至少组织一次应急演练并留存演练记录。</w:t>
      </w:r>
      <w:bookmarkEnd w:id="80"/>
      <w:bookmarkEnd w:id="81"/>
      <w:bookmarkEnd w:id="83"/>
    </w:p>
    <w:p>
      <w:pPr>
        <w:pStyle w:val="110"/>
        <w:spacing w:before="120" w:after="120"/>
      </w:pPr>
      <w:bookmarkStart w:id="84" w:name="_Toc28919"/>
      <w:bookmarkStart w:id="85" w:name="_Toc16586"/>
      <w:bookmarkStart w:id="86" w:name="_Toc26740"/>
      <w:r>
        <w:rPr>
          <w:rFonts w:hint="eastAsia"/>
        </w:rPr>
        <w:t>应急响应</w:t>
      </w:r>
      <w:bookmarkEnd w:id="84"/>
    </w:p>
    <w:p>
      <w:pPr>
        <w:pStyle w:val="70"/>
        <w:spacing w:before="120" w:after="120"/>
        <w:rPr>
          <w:rFonts w:ascii="宋体" w:hAnsi="宋体" w:eastAsia="宋体" w:cs="宋体"/>
        </w:rPr>
      </w:pPr>
      <w:bookmarkStart w:id="87" w:name="_Toc17382"/>
      <w:r>
        <w:rPr>
          <w:rFonts w:hint="eastAsia" w:ascii="宋体" w:hAnsi="宋体" w:eastAsia="宋体" w:cs="宋体"/>
        </w:rPr>
        <w:t>对因出现紧急状况，存在食材延误交付风险的，应及时通知学校食堂。</w:t>
      </w:r>
    </w:p>
    <w:p>
      <w:pPr>
        <w:pStyle w:val="70"/>
        <w:spacing w:before="120" w:after="120"/>
        <w:rPr>
          <w:rFonts w:ascii="宋体" w:hAnsi="宋体" w:eastAsia="宋体" w:cs="宋体"/>
        </w:rPr>
      </w:pPr>
      <w:r>
        <w:rPr>
          <w:rFonts w:hint="eastAsia" w:ascii="宋体" w:hAnsi="宋体" w:eastAsia="宋体" w:cs="宋体"/>
        </w:rPr>
        <w:t>发生紧急事件时，应立即启动应急预案，保障食材供应。</w:t>
      </w:r>
    </w:p>
    <w:p>
      <w:pPr>
        <w:pStyle w:val="70"/>
        <w:spacing w:before="120" w:after="120"/>
        <w:rPr>
          <w:rFonts w:ascii="宋体" w:hAnsi="宋体" w:eastAsia="宋体" w:cs="宋体"/>
        </w:rPr>
      </w:pPr>
      <w:r>
        <w:rPr>
          <w:rFonts w:hint="eastAsia" w:ascii="宋体" w:hAnsi="宋体" w:eastAsia="宋体" w:cs="宋体"/>
        </w:rPr>
        <w:t>发生食品安全事故时，应立即启动应急预案</w:t>
      </w:r>
      <w:bookmarkEnd w:id="87"/>
      <w:bookmarkStart w:id="88" w:name="_Toc2864"/>
      <w:r>
        <w:rPr>
          <w:rFonts w:hint="eastAsia" w:ascii="宋体" w:hAnsi="宋体" w:eastAsia="宋体" w:cs="宋体"/>
        </w:rPr>
        <w:t>，封存相关食材及记录</w:t>
      </w:r>
      <w:bookmarkEnd w:id="88"/>
      <w:r>
        <w:rPr>
          <w:rFonts w:hint="eastAsia" w:ascii="宋体" w:hAnsi="宋体" w:eastAsia="宋体" w:cs="宋体"/>
        </w:rPr>
        <w:t>，</w:t>
      </w:r>
      <w:bookmarkStart w:id="89" w:name="_Toc2100"/>
      <w:r>
        <w:rPr>
          <w:rFonts w:hint="eastAsia" w:ascii="宋体" w:hAnsi="宋体" w:eastAsia="宋体" w:cs="宋体"/>
        </w:rPr>
        <w:t>向属地市场监管部门及教育主管部门报告事故情况</w:t>
      </w:r>
      <w:bookmarkEnd w:id="89"/>
      <w:bookmarkStart w:id="90" w:name="_Toc17711"/>
      <w:r>
        <w:rPr>
          <w:rFonts w:hint="eastAsia" w:ascii="宋体" w:hAnsi="宋体" w:eastAsia="宋体" w:cs="宋体"/>
        </w:rPr>
        <w:t>，配合监管部门调查，提供溯源信息及检测报告</w:t>
      </w:r>
      <w:bookmarkEnd w:id="90"/>
      <w:r>
        <w:rPr>
          <w:rFonts w:hint="eastAsia" w:ascii="宋体" w:hAnsi="宋体" w:eastAsia="宋体" w:cs="宋体"/>
        </w:rPr>
        <w:t>。</w:t>
      </w:r>
      <w:bookmarkStart w:id="91" w:name="_Toc11292"/>
      <w:r>
        <w:rPr>
          <w:rFonts w:hint="eastAsia" w:ascii="宋体" w:hAnsi="宋体" w:eastAsia="宋体" w:cs="宋体"/>
        </w:rPr>
        <w:t>事故处理后，应根据调查结论立即修订应急预案，防止同类事故再次发生。</w:t>
      </w:r>
      <w:bookmarkEnd w:id="85"/>
      <w:bookmarkEnd w:id="86"/>
      <w:bookmarkEnd w:id="91"/>
    </w:p>
    <w:p>
      <w:pPr>
        <w:pStyle w:val="109"/>
        <w:spacing w:before="240" w:after="240"/>
      </w:pPr>
      <w:bookmarkStart w:id="92" w:name="_Toc14207"/>
      <w:r>
        <w:rPr>
          <w:rFonts w:hint="eastAsia"/>
        </w:rPr>
        <w:t>检查、评审与改进</w:t>
      </w:r>
      <w:bookmarkEnd w:id="92"/>
      <w:r>
        <w:rPr>
          <w:rFonts w:hint="eastAsia"/>
        </w:rPr>
        <w:t xml:space="preserve"> </w:t>
      </w:r>
    </w:p>
    <w:p>
      <w:pPr>
        <w:pStyle w:val="110"/>
        <w:spacing w:before="120" w:after="120"/>
        <w:rPr>
          <w:rFonts w:ascii="宋体" w:hAnsi="宋体" w:eastAsia="宋体" w:cs="宋体"/>
        </w:rPr>
      </w:pPr>
      <w:bookmarkStart w:id="93" w:name="_Toc5855"/>
      <w:bookmarkStart w:id="94" w:name="_Toc9080"/>
      <w:bookmarkStart w:id="95" w:name="_Toc16846"/>
      <w:bookmarkStart w:id="96" w:name="_Toc19461"/>
      <w:bookmarkStart w:id="97" w:name="_Toc2325"/>
      <w:bookmarkStart w:id="98" w:name="_Toc20680"/>
      <w:r>
        <w:rPr>
          <w:rFonts w:hint="eastAsia" w:ascii="宋体" w:hAnsi="宋体" w:eastAsia="宋体" w:cs="宋体"/>
        </w:rPr>
        <w:t>应建立覆盖配送服务全流程的检查机制</w:t>
      </w:r>
      <w:bookmarkEnd w:id="93"/>
      <w:bookmarkEnd w:id="94"/>
      <w:r>
        <w:rPr>
          <w:rFonts w:hint="eastAsia" w:ascii="宋体" w:hAnsi="宋体" w:eastAsia="宋体" w:cs="宋体"/>
        </w:rPr>
        <w:t>，以高风险环节（如食材验收、贮藏、冷链运输等）检查重点，排查风险隐患。</w:t>
      </w:r>
      <w:bookmarkEnd w:id="95"/>
      <w:bookmarkEnd w:id="96"/>
      <w:bookmarkEnd w:id="97"/>
      <w:bookmarkEnd w:id="98"/>
    </w:p>
    <w:p>
      <w:pPr>
        <w:pStyle w:val="110"/>
        <w:spacing w:before="120" w:after="120"/>
        <w:rPr>
          <w:rFonts w:ascii="宋体" w:hAnsi="宋体" w:eastAsia="宋体" w:cs="宋体"/>
        </w:rPr>
      </w:pPr>
      <w:bookmarkStart w:id="99" w:name="_Toc29859"/>
      <w:bookmarkStart w:id="100" w:name="_Toc27320"/>
      <w:bookmarkStart w:id="101" w:name="_Toc4508"/>
      <w:bookmarkStart w:id="102" w:name="_Toc21989"/>
      <w:bookmarkStart w:id="103" w:name="_Toc31701"/>
      <w:bookmarkStart w:id="104" w:name="_Toc4695"/>
      <w:r>
        <w:rPr>
          <w:rFonts w:hint="eastAsia" w:ascii="宋体" w:hAnsi="宋体" w:eastAsia="宋体" w:cs="宋体"/>
        </w:rPr>
        <w:t>应注意收集学校食堂反馈，定期开展服务满意度调查，持续提升顾客满意度。</w:t>
      </w:r>
      <w:bookmarkEnd w:id="99"/>
      <w:bookmarkEnd w:id="100"/>
      <w:bookmarkEnd w:id="101"/>
    </w:p>
    <w:p>
      <w:pPr>
        <w:pStyle w:val="110"/>
        <w:spacing w:before="120" w:after="120"/>
        <w:rPr>
          <w:rFonts w:ascii="宋体" w:hAnsi="宋体" w:eastAsia="宋体" w:cs="宋体"/>
        </w:rPr>
      </w:pPr>
      <w:bookmarkStart w:id="105" w:name="_Toc31924"/>
      <w:bookmarkStart w:id="106" w:name="_Toc22458"/>
      <w:bookmarkStart w:id="107" w:name="_Toc28637"/>
      <w:r>
        <w:rPr>
          <w:rFonts w:hint="eastAsia" w:ascii="宋体" w:hAnsi="宋体" w:eastAsia="宋体" w:cs="宋体"/>
        </w:rPr>
        <w:t>应建立和执行管理评审机制</w:t>
      </w:r>
      <w:bookmarkEnd w:id="102"/>
      <w:r>
        <w:rPr>
          <w:rFonts w:hint="eastAsia" w:ascii="宋体" w:hAnsi="宋体" w:eastAsia="宋体" w:cs="宋体"/>
        </w:rPr>
        <w:t>，定期开展内部及外部评审，持续提升质量安全保证能力。</w:t>
      </w:r>
      <w:bookmarkEnd w:id="103"/>
      <w:bookmarkEnd w:id="104"/>
      <w:bookmarkEnd w:id="105"/>
      <w:bookmarkEnd w:id="106"/>
      <w:bookmarkEnd w:id="107"/>
    </w:p>
    <w:p>
      <w:pPr>
        <w:pStyle w:val="110"/>
        <w:spacing w:before="120" w:after="120"/>
        <w:rPr>
          <w:rFonts w:ascii="宋体" w:hAnsi="宋体" w:eastAsia="宋体" w:cs="宋体"/>
        </w:rPr>
      </w:pPr>
      <w:bookmarkStart w:id="108" w:name="_Toc2078"/>
      <w:bookmarkStart w:id="109" w:name="_Toc11810"/>
      <w:bookmarkStart w:id="110" w:name="_Toc11939"/>
      <w:bookmarkStart w:id="111" w:name="_Toc3678"/>
      <w:bookmarkStart w:id="112" w:name="_Toc28931"/>
      <w:bookmarkStart w:id="113" w:name="_Toc30676"/>
      <w:r>
        <w:rPr>
          <w:rFonts w:hint="eastAsia" w:ascii="宋体" w:hAnsi="宋体" w:eastAsia="宋体" w:cs="宋体"/>
        </w:rPr>
        <w:t>应每年制定和实施改进计划，并针对检查、评审和学校食堂反馈中存在的问题，制定和采取</w:t>
      </w:r>
      <w:r>
        <w:rPr>
          <w:rFonts w:ascii="宋体" w:hAnsi="宋体" w:eastAsia="宋体" w:cs="宋体"/>
        </w:rPr>
        <w:t>改进措施</w:t>
      </w:r>
      <w:bookmarkEnd w:id="108"/>
      <w:bookmarkEnd w:id="109"/>
      <w:r>
        <w:rPr>
          <w:rFonts w:hint="eastAsia" w:ascii="宋体" w:hAnsi="宋体" w:eastAsia="宋体" w:cs="宋体"/>
        </w:rPr>
        <w:t>，持续提升服务效能和服务水平。</w:t>
      </w:r>
      <w:bookmarkEnd w:id="110"/>
      <w:bookmarkEnd w:id="111"/>
      <w:bookmarkEnd w:id="112"/>
      <w:bookmarkEnd w:id="113"/>
    </w:p>
    <w:p>
      <w:pPr>
        <w:pStyle w:val="110"/>
        <w:spacing w:before="120" w:after="120"/>
        <w:rPr>
          <w:rFonts w:ascii="宋体" w:hAnsi="宋体" w:eastAsia="宋体" w:cs="宋体"/>
        </w:rPr>
      </w:pPr>
      <w:bookmarkStart w:id="114" w:name="_Toc5929"/>
      <w:bookmarkStart w:id="115" w:name="_Toc11625"/>
      <w:bookmarkStart w:id="116" w:name="_Toc3811"/>
      <w:bookmarkStart w:id="117" w:name="_Toc24448"/>
      <w:r>
        <w:rPr>
          <w:rFonts w:hint="eastAsia" w:ascii="宋体" w:hAnsi="宋体" w:eastAsia="宋体" w:cs="宋体"/>
        </w:rPr>
        <w:t>学校食堂、教育主管部门、行业管理机构等可依据本文件对服务商进行服务质量评价，评价指标见附录</w:t>
      </w:r>
      <w:r>
        <w:rPr>
          <w:rFonts w:hint="eastAsia" w:ascii="宋体" w:hAnsi="宋体" w:eastAsia="宋体" w:cs="宋体"/>
          <w:lang w:val="en-US" w:eastAsia="zh-CN"/>
        </w:rPr>
        <w:t>C</w:t>
      </w:r>
      <w:r>
        <w:rPr>
          <w:rFonts w:hint="eastAsia" w:ascii="宋体" w:hAnsi="宋体" w:eastAsia="宋体" w:cs="宋体"/>
        </w:rPr>
        <w:t>。</w:t>
      </w:r>
      <w:bookmarkEnd w:id="114"/>
      <w:bookmarkEnd w:id="115"/>
      <w:bookmarkEnd w:id="116"/>
      <w:bookmarkEnd w:id="117"/>
    </w:p>
    <w:p>
      <w:r>
        <w:rPr>
          <w:rFonts w:hint="eastAsia"/>
        </w:rPr>
        <w:br w:type="page"/>
      </w:r>
    </w:p>
    <w:p>
      <w:pPr>
        <w:pStyle w:val="68"/>
        <w:keepNext w:val="0"/>
        <w:keepLines w:val="0"/>
        <w:pageBreakBefore w:val="0"/>
        <w:widowControl/>
        <w:shd w:val="clear" w:color="FFFFFF" w:fill="FFFFFF"/>
        <w:kinsoku/>
        <w:wordWrap/>
        <w:overflowPunct/>
        <w:topLinePunct w:val="0"/>
        <w:autoSpaceDE/>
        <w:autoSpaceDN/>
        <w:bidi w:val="0"/>
        <w:adjustRightInd/>
        <w:snapToGrid/>
        <w:spacing w:before="157" w:beforeLines="50" w:after="0" w:afterLines="0" w:line="360" w:lineRule="auto"/>
        <w:textAlignment w:val="auto"/>
        <w:rPr>
          <w:rFonts w:hint="eastAsia"/>
          <w:spacing w:val="105"/>
          <w:lang w:val="en-US" w:eastAsia="zh-CN"/>
        </w:rPr>
      </w:pPr>
      <w:bookmarkStart w:id="118" w:name="_Toc17213"/>
      <w:r>
        <w:rPr>
          <w:rFonts w:hint="eastAsia"/>
          <w:spacing w:val="105"/>
          <w:lang w:val="en-US" w:eastAsia="zh-CN"/>
        </w:rPr>
        <w:t>附录A</w:t>
      </w:r>
      <w:bookmarkEnd w:id="118"/>
    </w:p>
    <w:p>
      <w:pPr>
        <w:pStyle w:val="243"/>
        <w:numPr>
          <w:ilvl w:val="1"/>
          <w:numId w:val="0"/>
        </w:numPr>
        <w:spacing w:before="0" w:beforeLines="0" w:after="0" w:afterLines="0" w:line="360" w:lineRule="auto"/>
        <w:ind w:left="0" w:leftChars="0" w:firstLine="0" w:firstLineChars="0"/>
        <w:jc w:val="center"/>
        <w:outlineLvl w:val="9"/>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资料</w:t>
      </w:r>
      <w:r>
        <w:rPr>
          <w:rFonts w:hint="eastAsia" w:ascii="宋体" w:hAnsi="宋体" w:eastAsia="宋体" w:cs="宋体"/>
          <w:sz w:val="21"/>
          <w:szCs w:val="21"/>
        </w:rPr>
        <w:t>性）</w:t>
      </w:r>
    </w:p>
    <w:p>
      <w:pPr>
        <w:pStyle w:val="167"/>
        <w:keepNext w:val="0"/>
        <w:keepLines w:val="0"/>
        <w:pageBreakBefore w:val="0"/>
        <w:widowControl w:val="0"/>
        <w:numPr>
          <w:ilvl w:val="2"/>
          <w:numId w:val="0"/>
        </w:numPr>
        <w:kinsoku/>
        <w:wordWrap/>
        <w:overflowPunct/>
        <w:topLinePunct w:val="0"/>
        <w:autoSpaceDE/>
        <w:autoSpaceDN/>
        <w:bidi w:val="0"/>
        <w:adjustRightInd/>
        <w:snapToGrid/>
        <w:spacing w:after="0" w:afterLines="100" w:line="360" w:lineRule="auto"/>
        <w:jc w:val="center"/>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主要食材感官质量要求</w:t>
      </w:r>
    </w:p>
    <w:p>
      <w:pPr>
        <w:pStyle w:val="167"/>
        <w:keepNext w:val="0"/>
        <w:keepLines w:val="0"/>
        <w:pageBreakBefore w:val="0"/>
        <w:widowControl w:val="0"/>
        <w:numPr>
          <w:ilvl w:val="2"/>
          <w:numId w:val="0"/>
        </w:numPr>
        <w:kinsoku/>
        <w:wordWrap/>
        <w:overflowPunct/>
        <w:topLinePunct w:val="0"/>
        <w:autoSpaceDE/>
        <w:autoSpaceDN/>
        <w:bidi w:val="0"/>
        <w:adjustRightInd/>
        <w:snapToGrid/>
        <w:spacing w:before="0" w:beforeLines="50" w:after="0" w:afterLines="50"/>
        <w:ind w:firstLine="840" w:firstLineChars="400"/>
        <w:jc w:val="left"/>
        <w:textAlignment w:val="auto"/>
        <w:rPr>
          <w:rFonts w:hint="default" w:ascii="宋体" w:hAnsi="宋体" w:eastAsia="宋体" w:cs="宋体"/>
          <w:sz w:val="21"/>
          <w:szCs w:val="21"/>
          <w:lang w:val="en-US" w:eastAsia="zh-CN" w:bidi="ar-SA"/>
        </w:rPr>
      </w:pPr>
      <w:r>
        <w:rPr>
          <w:rFonts w:hint="eastAsia" w:hAnsi="宋体" w:cs="宋体"/>
          <w:sz w:val="21"/>
          <w:szCs w:val="21"/>
          <w:lang w:val="en-US" w:eastAsia="zh-CN" w:bidi="ar-SA"/>
        </w:rPr>
        <w:t>主要食材感官质量要求见表A.1</w:t>
      </w:r>
      <w:r>
        <w:rPr>
          <w:rFonts w:hint="eastAsia" w:ascii="宋体" w:hAnsi="宋体" w:eastAsia="宋体" w:cs="宋体"/>
          <w:sz w:val="21"/>
          <w:szCs w:val="21"/>
          <w:lang w:val="en-US" w:eastAsia="zh-CN" w:bidi="ar-SA"/>
        </w:rPr>
        <w:t>。</w:t>
      </w:r>
    </w:p>
    <w:p>
      <w:pPr>
        <w:pStyle w:val="14"/>
        <w:spacing w:before="18"/>
        <w:jc w:val="center"/>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表A.1 </w:t>
      </w:r>
      <w:r>
        <w:rPr>
          <w:rFonts w:hint="eastAsia" w:ascii="黑体" w:hAnsi="黑体" w:eastAsia="黑体" w:cs="黑体"/>
          <w:b w:val="0"/>
          <w:bCs w:val="0"/>
          <w:lang w:val="en-US" w:eastAsia="zh-CN"/>
        </w:rPr>
        <w:t>主要食材感官质量要求</w:t>
      </w:r>
      <w:r>
        <w:rPr>
          <w:rFonts w:hint="eastAsia" w:ascii="黑体" w:hAnsi="黑体" w:eastAsia="黑体" w:cs="黑体"/>
          <w:b w:val="0"/>
          <w:bCs w:val="0"/>
          <w:color w:val="auto"/>
          <w:sz w:val="21"/>
          <w:szCs w:val="21"/>
          <w:lang w:val="en-US" w:eastAsia="zh-CN"/>
        </w:rPr>
        <w:t xml:space="preserve">        </w:t>
      </w:r>
    </w:p>
    <w:tbl>
      <w:tblPr>
        <w:tblStyle w:val="30"/>
        <w:tblW w:w="86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6"/>
        <w:gridCol w:w="1097"/>
        <w:gridCol w:w="1200"/>
        <w:gridCol w:w="5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blHeader/>
          <w:jc w:val="center"/>
        </w:trPr>
        <w:tc>
          <w:tcPr>
            <w:tcW w:w="616" w:type="dxa"/>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序号</w:t>
            </w:r>
          </w:p>
        </w:tc>
        <w:tc>
          <w:tcPr>
            <w:tcW w:w="1097" w:type="dxa"/>
            <w:noWrap w:val="0"/>
            <w:vAlign w:val="center"/>
          </w:tcPr>
          <w:p>
            <w:pPr>
              <w:keepNext w:val="0"/>
              <w:keepLines w:val="0"/>
              <w:widowControl/>
              <w:suppressLineNumbers w:val="0"/>
              <w:jc w:val="center"/>
              <w:textAlignment w:val="center"/>
              <w:rPr>
                <w:rFonts w:hint="default"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食材分类</w:t>
            </w:r>
          </w:p>
        </w:tc>
        <w:tc>
          <w:tcPr>
            <w:tcW w:w="1200" w:type="dxa"/>
            <w:noWrap w:val="0"/>
            <w:vAlign w:val="center"/>
          </w:tcPr>
          <w:p>
            <w:pPr>
              <w:keepNext w:val="0"/>
              <w:keepLines w:val="0"/>
              <w:widowControl/>
              <w:suppressLineNumbers w:val="0"/>
              <w:jc w:val="center"/>
              <w:textAlignment w:val="center"/>
              <w:rPr>
                <w:rFonts w:hint="default"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品名</w:t>
            </w:r>
          </w:p>
        </w:tc>
        <w:tc>
          <w:tcPr>
            <w:tcW w:w="5756" w:type="dxa"/>
            <w:noWrap w:val="0"/>
            <w:vAlign w:val="center"/>
          </w:tcPr>
          <w:p>
            <w:pPr>
              <w:keepNext w:val="0"/>
              <w:keepLines w:val="0"/>
              <w:widowControl/>
              <w:suppressLineNumbers w:val="0"/>
              <w:jc w:val="center"/>
              <w:textAlignment w:val="center"/>
              <w:rPr>
                <w:rFonts w:hint="default"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感官质量要求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4" w:hRule="atLeast"/>
          <w:tblHeader/>
          <w:jc w:val="center"/>
        </w:trPr>
        <w:tc>
          <w:tcPr>
            <w:tcW w:w="616" w:type="dxa"/>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01</w:t>
            </w:r>
          </w:p>
        </w:tc>
        <w:tc>
          <w:tcPr>
            <w:tcW w:w="1097" w:type="dxa"/>
            <w:vMerge w:val="restart"/>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米面</w:t>
            </w:r>
          </w:p>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粮油类</w:t>
            </w:r>
          </w:p>
        </w:tc>
        <w:tc>
          <w:tcPr>
            <w:tcW w:w="1200" w:type="dxa"/>
            <w:noWrap w:val="0"/>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大米/糯米</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米粒呈椭圆形</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无虫蛀结块挂丝</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无</w:t>
            </w:r>
            <w:r>
              <w:rPr>
                <w:rFonts w:hint="eastAsia" w:ascii="宋体" w:hAnsi="宋体" w:eastAsia="宋体" w:cs="宋体"/>
                <w:i w:val="0"/>
                <w:iCs w:val="0"/>
                <w:color w:val="000000"/>
                <w:sz w:val="18"/>
                <w:szCs w:val="18"/>
                <w:u w:val="none"/>
              </w:rPr>
              <w:t>杂质异物等</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有光泽，无霉变，乳白色，不透明或呈半透明状；有</w:t>
            </w:r>
            <w:r>
              <w:rPr>
                <w:rFonts w:hint="eastAsia" w:ascii="宋体" w:hAnsi="宋体" w:cs="宋体"/>
                <w:i w:val="0"/>
                <w:iCs w:val="0"/>
                <w:color w:val="000000"/>
                <w:sz w:val="18"/>
                <w:szCs w:val="18"/>
                <w:u w:val="none"/>
                <w:lang w:val="en-US" w:eastAsia="zh-CN"/>
              </w:rPr>
              <w:t>该品种固有的</w:t>
            </w:r>
            <w:r>
              <w:rPr>
                <w:rFonts w:hint="eastAsia" w:ascii="宋体" w:hAnsi="宋体" w:eastAsia="宋体" w:cs="宋体"/>
                <w:i w:val="0"/>
                <w:iCs w:val="0"/>
                <w:color w:val="000000"/>
                <w:sz w:val="18"/>
                <w:szCs w:val="18"/>
                <w:u w:val="none"/>
              </w:rPr>
              <w:t>米香味，整批大米</w:t>
            </w:r>
            <w:r>
              <w:rPr>
                <w:rFonts w:hint="eastAsia" w:ascii="宋体" w:hAnsi="宋体" w:cs="宋体"/>
                <w:i w:val="0"/>
                <w:iCs w:val="0"/>
                <w:color w:val="000000"/>
                <w:sz w:val="18"/>
                <w:szCs w:val="18"/>
                <w:u w:val="none"/>
                <w:lang w:val="en-US" w:eastAsia="zh-CN"/>
              </w:rPr>
              <w:t>/糯米</w:t>
            </w:r>
            <w:r>
              <w:rPr>
                <w:rFonts w:hint="eastAsia" w:ascii="宋体" w:hAnsi="宋体" w:eastAsia="宋体" w:cs="宋体"/>
                <w:i w:val="0"/>
                <w:iCs w:val="0"/>
                <w:color w:val="000000"/>
                <w:sz w:val="18"/>
                <w:szCs w:val="18"/>
                <w:u w:val="none"/>
              </w:rPr>
              <w:t>的综合气味和口味，无异味。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14" w:hRule="atLeast"/>
          <w:tblHeader/>
          <w:jc w:val="center"/>
        </w:trPr>
        <w:tc>
          <w:tcPr>
            <w:tcW w:w="616" w:type="dxa"/>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02</w:t>
            </w:r>
          </w:p>
        </w:tc>
        <w:tc>
          <w:tcPr>
            <w:tcW w:w="1097" w:type="dxa"/>
            <w:vMerge w:val="continue"/>
            <w:noWrap w:val="0"/>
            <w:vAlign w:val="center"/>
          </w:tcPr>
          <w:p>
            <w:pPr>
              <w:jc w:val="center"/>
              <w:rPr>
                <w:rFonts w:hint="eastAsia" w:ascii="宋体" w:hAnsi="宋体" w:eastAsia="宋体" w:cs="宋体"/>
                <w:i w:val="0"/>
                <w:iCs w:val="0"/>
                <w:color w:val="000000"/>
                <w:sz w:val="18"/>
                <w:szCs w:val="18"/>
                <w:u w:val="none"/>
              </w:rPr>
            </w:pPr>
          </w:p>
        </w:tc>
        <w:tc>
          <w:tcPr>
            <w:tcW w:w="1200" w:type="dxa"/>
            <w:noWrap w:val="0"/>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val="en-US" w:eastAsia="zh-CN"/>
              </w:rPr>
              <w:t>面粉</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色泽呈现乳白或微黄色</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无虫害、无杂质异物</w:t>
            </w:r>
            <w:r>
              <w:rPr>
                <w:rFonts w:hint="eastAsia" w:ascii="宋体" w:hAnsi="宋体" w:eastAsia="宋体" w:cs="宋体"/>
                <w:i w:val="0"/>
                <w:iCs w:val="0"/>
                <w:color w:val="000000"/>
                <w:sz w:val="18"/>
                <w:szCs w:val="18"/>
                <w:u w:val="none"/>
              </w:rPr>
              <w:t>等</w:t>
            </w:r>
            <w:r>
              <w:rPr>
                <w:rFonts w:hint="eastAsia" w:ascii="宋体" w:hAnsi="宋体" w:cs="宋体"/>
                <w:i w:val="0"/>
                <w:iCs w:val="0"/>
                <w:color w:val="000000"/>
                <w:sz w:val="18"/>
                <w:szCs w:val="18"/>
                <w:u w:val="none"/>
                <w:lang w:val="en-US" w:eastAsia="zh-CN"/>
              </w:rPr>
              <w:t>；</w:t>
            </w:r>
            <w:r>
              <w:rPr>
                <w:rFonts w:hint="eastAsia" w:ascii="宋体" w:hAnsi="宋体" w:eastAsia="宋体" w:cs="宋体"/>
                <w:i w:val="0"/>
                <w:iCs w:val="0"/>
                <w:color w:val="000000"/>
                <w:sz w:val="18"/>
                <w:szCs w:val="18"/>
                <w:u w:val="none"/>
              </w:rPr>
              <w:t>手感细腻</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颗粒均匀</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手抓后自然流出、松开手后不成团</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有自然浓郁的麦香味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用它制成的成品如馒头有麦香味、香甜入口不粘牙。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blHeader/>
          <w:jc w:val="center"/>
        </w:trPr>
        <w:tc>
          <w:tcPr>
            <w:tcW w:w="616" w:type="dxa"/>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03</w:t>
            </w:r>
          </w:p>
        </w:tc>
        <w:tc>
          <w:tcPr>
            <w:tcW w:w="1097" w:type="dxa"/>
            <w:vMerge w:val="continue"/>
            <w:noWrap w:val="0"/>
            <w:vAlign w:val="center"/>
          </w:tcPr>
          <w:p>
            <w:pPr>
              <w:jc w:val="center"/>
              <w:rPr>
                <w:rFonts w:hint="eastAsia" w:ascii="宋体" w:hAnsi="宋体" w:eastAsia="宋体" w:cs="宋体"/>
                <w:i w:val="0"/>
                <w:iCs w:val="0"/>
                <w:color w:val="000000"/>
                <w:sz w:val="18"/>
                <w:szCs w:val="18"/>
                <w:u w:val="none"/>
              </w:rPr>
            </w:pPr>
          </w:p>
        </w:tc>
        <w:tc>
          <w:tcPr>
            <w:tcW w:w="1200" w:type="dxa"/>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豆及</w:t>
            </w:r>
            <w:r>
              <w:rPr>
                <w:rFonts w:hint="eastAsia" w:ascii="宋体" w:hAnsi="宋体" w:eastAsia="宋体" w:cs="宋体"/>
                <w:i w:val="0"/>
                <w:iCs w:val="0"/>
                <w:color w:val="000000"/>
                <w:sz w:val="18"/>
                <w:szCs w:val="18"/>
                <w:u w:val="none"/>
              </w:rPr>
              <w:t>豆制品</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应具有产品正常色、香、味，不酸、不粘，无异味，无杂质，无霉变</w:t>
            </w:r>
            <w:r>
              <w:rPr>
                <w:rFonts w:hint="eastAsia" w:ascii="宋体" w:hAnsi="宋体" w:cs="宋体"/>
                <w:i w:val="0"/>
                <w:iCs w:val="0"/>
                <w:color w:val="000000"/>
                <w:sz w:val="18"/>
                <w:szCs w:val="18"/>
                <w:u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blHeader/>
          <w:jc w:val="center"/>
        </w:trPr>
        <w:tc>
          <w:tcPr>
            <w:tcW w:w="616" w:type="dxa"/>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04</w:t>
            </w:r>
          </w:p>
        </w:tc>
        <w:tc>
          <w:tcPr>
            <w:tcW w:w="1097" w:type="dxa"/>
            <w:vMerge w:val="continue"/>
            <w:noWrap w:val="0"/>
            <w:vAlign w:val="center"/>
          </w:tcPr>
          <w:p>
            <w:pPr>
              <w:jc w:val="center"/>
              <w:rPr>
                <w:rFonts w:hint="eastAsia" w:ascii="宋体" w:hAnsi="宋体" w:eastAsia="宋体" w:cs="宋体"/>
                <w:i w:val="0"/>
                <w:iCs w:val="0"/>
                <w:color w:val="000000"/>
                <w:sz w:val="18"/>
                <w:szCs w:val="18"/>
                <w:u w:val="none"/>
              </w:rPr>
            </w:pPr>
          </w:p>
        </w:tc>
        <w:tc>
          <w:tcPr>
            <w:tcW w:w="1200"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粉面</w:t>
            </w:r>
          </w:p>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包点</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具有产品应有的色泽</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气味和滋味，无异味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具有产品应有的状态，无其他可见外来异物。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72" w:hRule="atLeast"/>
          <w:tblHeader/>
          <w:jc w:val="center"/>
        </w:trPr>
        <w:tc>
          <w:tcPr>
            <w:tcW w:w="616" w:type="dxa"/>
            <w:noWrap w:val="0"/>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05</w:t>
            </w:r>
          </w:p>
        </w:tc>
        <w:tc>
          <w:tcPr>
            <w:tcW w:w="1097" w:type="dxa"/>
            <w:vMerge w:val="continue"/>
            <w:noWrap w:val="0"/>
            <w:vAlign w:val="center"/>
          </w:tcPr>
          <w:p>
            <w:pPr>
              <w:jc w:val="center"/>
              <w:rPr>
                <w:rFonts w:hint="eastAsia" w:ascii="宋体" w:hAnsi="宋体" w:cs="宋体"/>
                <w:i w:val="0"/>
                <w:iCs w:val="0"/>
                <w:color w:val="000000"/>
                <w:sz w:val="18"/>
                <w:szCs w:val="18"/>
                <w:u w:val="none"/>
                <w:lang w:val="en-US" w:eastAsia="zh-CN"/>
              </w:rPr>
            </w:pPr>
          </w:p>
        </w:tc>
        <w:tc>
          <w:tcPr>
            <w:tcW w:w="1200" w:type="dxa"/>
            <w:noWrap w:val="0"/>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食用油</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具有正常植物油的色泽、澄清透</w:t>
            </w:r>
            <w:r>
              <w:rPr>
                <w:rFonts w:hint="eastAsia" w:ascii="宋体" w:hAnsi="宋体" w:cs="宋体"/>
                <w:i w:val="0"/>
                <w:iCs w:val="0"/>
                <w:color w:val="000000"/>
                <w:sz w:val="18"/>
                <w:szCs w:val="18"/>
                <w:u w:val="none"/>
                <w:lang w:val="en-US" w:eastAsia="zh-CN"/>
              </w:rPr>
              <w:t>明</w:t>
            </w:r>
            <w:r>
              <w:rPr>
                <w:rFonts w:hint="eastAsia" w:ascii="宋体" w:hAnsi="宋体" w:eastAsia="宋体" w:cs="宋体"/>
                <w:i w:val="0"/>
                <w:iCs w:val="0"/>
                <w:color w:val="000000"/>
                <w:sz w:val="18"/>
                <w:szCs w:val="18"/>
                <w:u w:val="none"/>
              </w:rPr>
              <w:t>，具有</w:t>
            </w:r>
            <w:r>
              <w:rPr>
                <w:rFonts w:hint="eastAsia" w:ascii="宋体" w:hAnsi="宋体" w:cs="宋体"/>
                <w:i w:val="0"/>
                <w:iCs w:val="0"/>
                <w:color w:val="000000"/>
                <w:sz w:val="18"/>
                <w:szCs w:val="18"/>
                <w:u w:val="none"/>
                <w:lang w:val="en-US" w:eastAsia="zh-CN"/>
              </w:rPr>
              <w:t>该品种</w:t>
            </w:r>
            <w:r>
              <w:rPr>
                <w:rFonts w:hint="eastAsia" w:ascii="宋体" w:hAnsi="宋体" w:eastAsia="宋体" w:cs="宋体"/>
                <w:i w:val="0"/>
                <w:iCs w:val="0"/>
                <w:color w:val="000000"/>
                <w:sz w:val="18"/>
                <w:szCs w:val="18"/>
                <w:u w:val="none"/>
              </w:rPr>
              <w:t>固</w:t>
            </w:r>
            <w:r>
              <w:rPr>
                <w:rFonts w:hint="eastAsia" w:ascii="宋体" w:hAnsi="宋体" w:cs="宋体"/>
                <w:i w:val="0"/>
                <w:iCs w:val="0"/>
                <w:color w:val="000000"/>
                <w:sz w:val="18"/>
                <w:szCs w:val="18"/>
                <w:u w:val="none"/>
                <w:lang w:val="en-US" w:eastAsia="zh-CN"/>
              </w:rPr>
              <w:t>有</w:t>
            </w:r>
            <w:r>
              <w:rPr>
                <w:rFonts w:hint="eastAsia" w:ascii="宋体" w:hAnsi="宋体" w:eastAsia="宋体" w:cs="宋体"/>
                <w:i w:val="0"/>
                <w:iCs w:val="0"/>
                <w:color w:val="000000"/>
                <w:sz w:val="18"/>
                <w:szCs w:val="18"/>
                <w:u w:val="none"/>
              </w:rPr>
              <w:t>的气味和滋味，无焦臭、酸败及其他异味。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87" w:hRule="atLeast"/>
          <w:tblHeader/>
          <w:jc w:val="center"/>
        </w:trPr>
        <w:tc>
          <w:tcPr>
            <w:tcW w:w="616" w:type="dxa"/>
            <w:noWrap w:val="0"/>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06</w:t>
            </w:r>
          </w:p>
        </w:tc>
        <w:tc>
          <w:tcPr>
            <w:tcW w:w="1097" w:type="dxa"/>
            <w:vMerge w:val="restart"/>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干调类</w:t>
            </w:r>
          </w:p>
        </w:tc>
        <w:tc>
          <w:tcPr>
            <w:tcW w:w="1200" w:type="dxa"/>
            <w:noWrap w:val="0"/>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干货</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具有产品</w:t>
            </w:r>
            <w:r>
              <w:rPr>
                <w:rFonts w:hint="eastAsia" w:ascii="宋体" w:hAnsi="宋体" w:cs="宋体"/>
                <w:i w:val="0"/>
                <w:iCs w:val="0"/>
                <w:color w:val="000000"/>
                <w:sz w:val="18"/>
                <w:szCs w:val="18"/>
                <w:u w:val="none"/>
                <w:lang w:val="en-US" w:eastAsia="zh-CN"/>
              </w:rPr>
              <w:t>固有</w:t>
            </w:r>
            <w:r>
              <w:rPr>
                <w:rFonts w:hint="eastAsia" w:ascii="宋体" w:hAnsi="宋体" w:eastAsia="宋体" w:cs="宋体"/>
                <w:i w:val="0"/>
                <w:iCs w:val="0"/>
                <w:color w:val="000000"/>
                <w:sz w:val="18"/>
                <w:szCs w:val="18"/>
                <w:u w:val="none"/>
              </w:rPr>
              <w:t>的本味，无异味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干燥、形整，无杂质、无霉变、无虫蛀，无搀杂、掺假现象</w:t>
            </w:r>
            <w:r>
              <w:rPr>
                <w:rFonts w:hint="eastAsia" w:ascii="宋体" w:hAnsi="宋体" w:cs="宋体"/>
                <w:i w:val="0"/>
                <w:iCs w:val="0"/>
                <w:color w:val="000000"/>
                <w:sz w:val="18"/>
                <w:szCs w:val="18"/>
                <w:u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blHeader/>
          <w:jc w:val="center"/>
        </w:trPr>
        <w:tc>
          <w:tcPr>
            <w:tcW w:w="616"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07</w:t>
            </w:r>
          </w:p>
        </w:tc>
        <w:tc>
          <w:tcPr>
            <w:tcW w:w="1097" w:type="dxa"/>
            <w:vMerge w:val="continue"/>
            <w:noWrap w:val="0"/>
            <w:vAlign w:val="center"/>
          </w:tcPr>
          <w:p>
            <w:pPr>
              <w:jc w:val="center"/>
              <w:rPr>
                <w:rFonts w:hint="eastAsia" w:ascii="宋体" w:hAnsi="宋体" w:cs="宋体"/>
                <w:i w:val="0"/>
                <w:iCs w:val="0"/>
                <w:color w:val="000000"/>
                <w:sz w:val="18"/>
                <w:szCs w:val="18"/>
                <w:u w:val="none"/>
                <w:lang w:val="en-US" w:eastAsia="zh-CN"/>
              </w:rPr>
            </w:pPr>
          </w:p>
        </w:tc>
        <w:tc>
          <w:tcPr>
            <w:tcW w:w="1200" w:type="dxa"/>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食用盐</w:t>
            </w:r>
          </w:p>
        </w:tc>
        <w:tc>
          <w:tcPr>
            <w:tcW w:w="5756" w:type="dxa"/>
            <w:noWrap w:val="0"/>
            <w:vAlign w:val="top"/>
          </w:tcPr>
          <w:p>
            <w:pPr>
              <w:ind w:left="218" w:leftChars="104" w:right="145" w:rightChars="69" w:firstLine="0" w:firstLineChars="0"/>
              <w:jc w:val="lef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val="en-US" w:eastAsia="zh-CN"/>
              </w:rPr>
              <w:t>晶粒均匀，干燥松散</w:t>
            </w:r>
            <w:r>
              <w:rPr>
                <w:rFonts w:hint="eastAsia" w:ascii="宋体" w:hAnsi="宋体" w:cs="宋体"/>
                <w:i w:val="0"/>
                <w:iCs w:val="0"/>
                <w:color w:val="000000"/>
                <w:sz w:val="18"/>
                <w:szCs w:val="18"/>
                <w:u w:val="none"/>
                <w:lang w:val="en-US" w:eastAsia="zh-CN"/>
              </w:rPr>
              <w:t>、无结块</w:t>
            </w:r>
            <w:r>
              <w:rPr>
                <w:rFonts w:hint="eastAsia" w:ascii="宋体" w:hAnsi="宋体" w:eastAsia="宋体" w:cs="宋体"/>
                <w:i w:val="0"/>
                <w:iCs w:val="0"/>
                <w:color w:val="000000"/>
                <w:sz w:val="18"/>
                <w:szCs w:val="18"/>
                <w:u w:val="none"/>
                <w:lang w:val="en-US" w:eastAsia="zh-CN"/>
              </w:rPr>
              <w:t xml:space="preserve">，无肉眼可见杂质；洁白有光泽，无明显黑点；味咸，无异味。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blHeader/>
          <w:jc w:val="center"/>
        </w:trPr>
        <w:tc>
          <w:tcPr>
            <w:tcW w:w="616" w:type="dxa"/>
            <w:tcBorders>
              <w:bottom w:val="nil"/>
            </w:tcBorders>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08</w:t>
            </w:r>
          </w:p>
        </w:tc>
        <w:tc>
          <w:tcPr>
            <w:tcW w:w="1097" w:type="dxa"/>
            <w:vMerge w:val="continue"/>
            <w:noWrap w:val="0"/>
            <w:vAlign w:val="center"/>
          </w:tcPr>
          <w:p>
            <w:pPr>
              <w:jc w:val="center"/>
              <w:rPr>
                <w:rFonts w:hint="eastAsia" w:ascii="宋体" w:hAnsi="宋体" w:cs="宋体"/>
                <w:i w:val="0"/>
                <w:iCs w:val="0"/>
                <w:color w:val="000000"/>
                <w:sz w:val="18"/>
                <w:szCs w:val="18"/>
                <w:u w:val="none"/>
                <w:lang w:val="en-US" w:eastAsia="zh-CN"/>
              </w:rPr>
            </w:pPr>
          </w:p>
        </w:tc>
        <w:tc>
          <w:tcPr>
            <w:tcW w:w="1200" w:type="dxa"/>
            <w:tcBorders>
              <w:bottom w:val="nil"/>
            </w:tcBorders>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食醋</w:t>
            </w:r>
          </w:p>
        </w:tc>
        <w:tc>
          <w:tcPr>
            <w:tcW w:w="5756" w:type="dxa"/>
            <w:tcBorders>
              <w:bottom w:val="nil"/>
            </w:tcBorders>
            <w:noWrap w:val="0"/>
            <w:vAlign w:val="top"/>
          </w:tcPr>
          <w:p>
            <w:pPr>
              <w:ind w:left="218" w:leftChars="104" w:right="145" w:rightChars="69" w:firstLine="0" w:firstLineChars="0"/>
              <w:jc w:val="left"/>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rPr>
              <w:t>无悬浮物，无杂质，允许有微量沉淀</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深褐色或红棕色，有光泽；具有米醋香</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香气浓郁；滋味酸而不涩，香而微甜，口感醇厚、柔和。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69" w:hRule="atLeast"/>
          <w:tblHeader/>
          <w:jc w:val="center"/>
        </w:trPr>
        <w:tc>
          <w:tcPr>
            <w:tcW w:w="616" w:type="dxa"/>
            <w:tcBorders>
              <w:bottom w:val="nil"/>
            </w:tcBorders>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09</w:t>
            </w:r>
          </w:p>
        </w:tc>
        <w:tc>
          <w:tcPr>
            <w:tcW w:w="1097" w:type="dxa"/>
            <w:vMerge w:val="continue"/>
            <w:noWrap w:val="0"/>
            <w:vAlign w:val="center"/>
          </w:tcPr>
          <w:p>
            <w:pPr>
              <w:jc w:val="center"/>
              <w:rPr>
                <w:rFonts w:hint="eastAsia" w:ascii="宋体" w:hAnsi="宋体" w:cs="宋体"/>
                <w:i w:val="0"/>
                <w:iCs w:val="0"/>
                <w:color w:val="000000"/>
                <w:sz w:val="18"/>
                <w:szCs w:val="18"/>
                <w:u w:val="none"/>
                <w:lang w:val="en-US" w:eastAsia="zh-CN"/>
              </w:rPr>
            </w:pPr>
          </w:p>
        </w:tc>
        <w:tc>
          <w:tcPr>
            <w:tcW w:w="1200" w:type="dxa"/>
            <w:tcBorders>
              <w:bottom w:val="nil"/>
            </w:tcBorders>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酱油</w:t>
            </w:r>
          </w:p>
        </w:tc>
        <w:tc>
          <w:tcPr>
            <w:tcW w:w="5756" w:type="dxa"/>
            <w:tcBorders>
              <w:bottom w:val="nil"/>
            </w:tcBorders>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鲜、咸、甜适；红褐色或浅红褐色，色泽鲜艳，有光泽；澄清；</w:t>
            </w:r>
            <w:r>
              <w:rPr>
                <w:rFonts w:hint="eastAsia" w:ascii="宋体" w:hAnsi="宋体" w:cs="宋体"/>
                <w:i w:val="0"/>
                <w:iCs w:val="0"/>
                <w:color w:val="000000"/>
                <w:sz w:val="18"/>
                <w:szCs w:val="18"/>
                <w:u w:val="none"/>
                <w:lang w:val="en-US" w:eastAsia="zh-CN"/>
              </w:rPr>
              <w:t>有</w:t>
            </w:r>
            <w:r>
              <w:rPr>
                <w:rFonts w:hint="eastAsia" w:ascii="宋体" w:hAnsi="宋体" w:eastAsia="宋体" w:cs="宋体"/>
                <w:i w:val="0"/>
                <w:iCs w:val="0"/>
                <w:color w:val="000000"/>
                <w:sz w:val="18"/>
                <w:szCs w:val="18"/>
                <w:u w:val="none"/>
              </w:rPr>
              <w:t>较浓的酱香及酯香气。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37" w:hRule="atLeast"/>
          <w:tblHeader/>
          <w:jc w:val="center"/>
        </w:trPr>
        <w:tc>
          <w:tcPr>
            <w:tcW w:w="616" w:type="dxa"/>
            <w:tcBorders>
              <w:bottom w:val="nil"/>
            </w:tcBorders>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097" w:type="dxa"/>
            <w:vMerge w:val="continue"/>
            <w:noWrap w:val="0"/>
            <w:vAlign w:val="center"/>
          </w:tcPr>
          <w:p>
            <w:pPr>
              <w:jc w:val="center"/>
              <w:rPr>
                <w:rFonts w:hint="eastAsia" w:ascii="宋体" w:hAnsi="宋体" w:cs="宋体"/>
                <w:i w:val="0"/>
                <w:iCs w:val="0"/>
                <w:color w:val="000000"/>
                <w:sz w:val="18"/>
                <w:szCs w:val="18"/>
                <w:u w:val="none"/>
                <w:lang w:val="en-US" w:eastAsia="zh-CN"/>
              </w:rPr>
            </w:pPr>
          </w:p>
        </w:tc>
        <w:tc>
          <w:tcPr>
            <w:tcW w:w="1200" w:type="dxa"/>
            <w:tcBorders>
              <w:bottom w:val="nil"/>
            </w:tcBorders>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白砂糖</w:t>
            </w:r>
          </w:p>
        </w:tc>
        <w:tc>
          <w:tcPr>
            <w:tcW w:w="5756" w:type="dxa"/>
            <w:tcBorders>
              <w:bottom w:val="nil"/>
            </w:tcBorders>
            <w:noWrap w:val="0"/>
            <w:vAlign w:val="top"/>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晶粒均匀，干燥松散，无肉眼可见杂质；</w:t>
            </w:r>
          </w:p>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洁白有光泽，无明显黑点；味甜，无异味。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blHeader/>
          <w:jc w:val="center"/>
        </w:trPr>
        <w:tc>
          <w:tcPr>
            <w:tcW w:w="8669" w:type="dxa"/>
            <w:gridSpan w:val="4"/>
            <w:tcBorders>
              <w:top w:val="nil"/>
              <w:left w:val="nil"/>
              <w:right w:val="nil"/>
            </w:tcBorders>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18"/>
                <w:szCs w:val="18"/>
                <w:highlight w:val="yellow"/>
                <w:u w:val="none"/>
                <w:lang w:val="en-US" w:eastAsia="zh-CN" w:bidi="ar"/>
              </w:rPr>
            </w:pPr>
            <w:r>
              <w:rPr>
                <w:rFonts w:hint="eastAsia" w:ascii="黑体" w:hAnsi="黑体" w:eastAsia="黑体" w:cs="黑体"/>
                <w:b w:val="0"/>
                <w:bCs w:val="0"/>
                <w:color w:val="auto"/>
                <w:sz w:val="21"/>
                <w:szCs w:val="21"/>
                <w:highlight w:val="none"/>
                <w:lang w:val="en-US" w:eastAsia="zh-CN"/>
              </w:rPr>
              <w:t>表A.1</w:t>
            </w:r>
            <w:r>
              <w:rPr>
                <w:rFonts w:hint="eastAsia" w:ascii="黑体" w:hAnsi="黑体" w:eastAsia="黑体" w:cs="黑体"/>
                <w:b w:val="0"/>
                <w:bCs w:val="0"/>
                <w:lang w:val="en-US" w:eastAsia="zh-CN"/>
              </w:rPr>
              <w:t>主要食材感官质量要求</w:t>
            </w:r>
            <w:r>
              <w:rPr>
                <w:rFonts w:hint="eastAsia" w:ascii="黑体" w:hAnsi="黑体" w:eastAsia="黑体" w:cs="黑体"/>
                <w:b w:val="0"/>
                <w:bCs w:val="0"/>
                <w:color w:val="auto"/>
                <w:sz w:val="21"/>
                <w:szCs w:val="21"/>
                <w:highlight w:val="none"/>
                <w:lang w:val="en-US" w:eastAsia="zh-CN"/>
              </w:rPr>
              <w:t>（续）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616" w:type="dxa"/>
            <w:noWrap w:val="0"/>
            <w:vAlign w:val="center"/>
          </w:tcPr>
          <w:p>
            <w:pPr>
              <w:keepNext w:val="0"/>
              <w:keepLines w:val="0"/>
              <w:widowControl/>
              <w:suppressLineNumbers w:val="0"/>
              <w:jc w:val="center"/>
              <w:textAlignment w:val="center"/>
              <w:rPr>
                <w:rFonts w:hint="eastAsia"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序号</w:t>
            </w:r>
          </w:p>
        </w:tc>
        <w:tc>
          <w:tcPr>
            <w:tcW w:w="1097" w:type="dxa"/>
            <w:noWrap w:val="0"/>
            <w:vAlign w:val="center"/>
          </w:tcPr>
          <w:p>
            <w:pPr>
              <w:keepNext w:val="0"/>
              <w:keepLines w:val="0"/>
              <w:widowControl/>
              <w:suppressLineNumbers w:val="0"/>
              <w:jc w:val="center"/>
              <w:textAlignment w:val="center"/>
              <w:rPr>
                <w:rFonts w:hint="default"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食材分类</w:t>
            </w:r>
          </w:p>
        </w:tc>
        <w:tc>
          <w:tcPr>
            <w:tcW w:w="1200" w:type="dxa"/>
            <w:noWrap w:val="0"/>
            <w:vAlign w:val="center"/>
          </w:tcPr>
          <w:p>
            <w:pPr>
              <w:keepNext w:val="0"/>
              <w:keepLines w:val="0"/>
              <w:widowControl/>
              <w:suppressLineNumbers w:val="0"/>
              <w:jc w:val="center"/>
              <w:textAlignment w:val="center"/>
              <w:rPr>
                <w:rFonts w:hint="default"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品名</w:t>
            </w:r>
          </w:p>
        </w:tc>
        <w:tc>
          <w:tcPr>
            <w:tcW w:w="5756" w:type="dxa"/>
            <w:noWrap w:val="0"/>
            <w:vAlign w:val="center"/>
          </w:tcPr>
          <w:p>
            <w:pPr>
              <w:keepNext w:val="0"/>
              <w:keepLines w:val="0"/>
              <w:widowControl/>
              <w:suppressLineNumbers w:val="0"/>
              <w:jc w:val="center"/>
              <w:textAlignment w:val="center"/>
              <w:rPr>
                <w:rFonts w:hint="default" w:ascii="黑体" w:hAnsi="黑体" w:eastAsia="黑体" w:cs="黑体"/>
                <w:b w:val="0"/>
                <w:bCs w:val="0"/>
                <w:i w:val="0"/>
                <w:iCs w:val="0"/>
                <w:color w:val="000000"/>
                <w:kern w:val="0"/>
                <w:sz w:val="18"/>
                <w:szCs w:val="18"/>
                <w:u w:val="none"/>
                <w:lang w:val="en-US" w:eastAsia="zh-CN" w:bidi="ar"/>
              </w:rPr>
            </w:pPr>
            <w:r>
              <w:rPr>
                <w:rFonts w:hint="eastAsia" w:ascii="黑体" w:hAnsi="黑体" w:eastAsia="黑体" w:cs="黑体"/>
                <w:b w:val="0"/>
                <w:bCs w:val="0"/>
                <w:i w:val="0"/>
                <w:iCs w:val="0"/>
                <w:color w:val="000000"/>
                <w:kern w:val="0"/>
                <w:sz w:val="18"/>
                <w:szCs w:val="18"/>
                <w:u w:val="none"/>
                <w:lang w:val="en-US" w:eastAsia="zh-CN" w:bidi="ar"/>
              </w:rPr>
              <w:t>感官质量要求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90" w:hRule="atLeast"/>
          <w:tblHeader/>
          <w:jc w:val="center"/>
        </w:trPr>
        <w:tc>
          <w:tcPr>
            <w:tcW w:w="616"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11</w:t>
            </w:r>
          </w:p>
        </w:tc>
        <w:tc>
          <w:tcPr>
            <w:tcW w:w="1097"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果蔬类</w:t>
            </w:r>
          </w:p>
        </w:tc>
        <w:tc>
          <w:tcPr>
            <w:tcW w:w="1200" w:type="dxa"/>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蔬菜</w:t>
            </w:r>
          </w:p>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及水果</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新鲜时令蔬菜、水果，</w:t>
            </w:r>
            <w:r>
              <w:rPr>
                <w:rFonts w:hint="eastAsia" w:ascii="宋体" w:hAnsi="宋体" w:cs="宋体"/>
                <w:i w:val="0"/>
                <w:iCs w:val="0"/>
                <w:color w:val="000000"/>
                <w:sz w:val="18"/>
                <w:szCs w:val="18"/>
                <w:u w:val="none"/>
                <w:lang w:val="en-US" w:eastAsia="zh-CN"/>
              </w:rPr>
              <w:t>清洁完好、不带泥土，无枯叶黄叶及不可食用的根蒂，</w:t>
            </w:r>
            <w:r>
              <w:rPr>
                <w:rFonts w:hint="eastAsia" w:ascii="宋体" w:hAnsi="宋体" w:eastAsia="宋体" w:cs="宋体"/>
                <w:i w:val="0"/>
                <w:iCs w:val="0"/>
                <w:color w:val="000000"/>
                <w:sz w:val="18"/>
                <w:szCs w:val="18"/>
                <w:u w:val="none"/>
              </w:rPr>
              <w:t>水分充足、无异味、无霉烂变质</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具有本</w:t>
            </w:r>
            <w:r>
              <w:rPr>
                <w:rFonts w:hint="eastAsia" w:ascii="宋体" w:hAnsi="宋体" w:cs="宋体"/>
                <w:i w:val="0"/>
                <w:iCs w:val="0"/>
                <w:color w:val="000000"/>
                <w:sz w:val="18"/>
                <w:szCs w:val="18"/>
                <w:u w:val="none"/>
                <w:lang w:val="en-US" w:eastAsia="zh-CN"/>
              </w:rPr>
              <w:t>产品</w:t>
            </w:r>
            <w:r>
              <w:rPr>
                <w:rFonts w:hint="eastAsia" w:ascii="宋体" w:hAnsi="宋体" w:eastAsia="宋体" w:cs="宋体"/>
                <w:i w:val="0"/>
                <w:iCs w:val="0"/>
                <w:color w:val="000000"/>
                <w:sz w:val="18"/>
                <w:szCs w:val="18"/>
                <w:u w:val="none"/>
              </w:rPr>
              <w:t>固有的颜色</w:t>
            </w:r>
            <w:r>
              <w:rPr>
                <w:rFonts w:hint="eastAsia" w:ascii="宋体" w:hAnsi="宋体" w:cs="宋体"/>
                <w:i w:val="0"/>
                <w:iCs w:val="0"/>
                <w:color w:val="000000"/>
                <w:sz w:val="18"/>
                <w:szCs w:val="18"/>
                <w:u w:val="none"/>
                <w:lang w:val="en-US" w:eastAsia="zh-CN"/>
              </w:rPr>
              <w:t>和</w:t>
            </w:r>
            <w:r>
              <w:rPr>
                <w:rFonts w:hint="eastAsia" w:ascii="宋体" w:hAnsi="宋体" w:eastAsia="宋体" w:cs="宋体"/>
                <w:i w:val="0"/>
                <w:iCs w:val="0"/>
                <w:color w:val="000000"/>
                <w:sz w:val="18"/>
                <w:szCs w:val="18"/>
                <w:u w:val="none"/>
              </w:rPr>
              <w:t>光泽</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具有清</w:t>
            </w:r>
            <w:r>
              <w:rPr>
                <w:rFonts w:hint="eastAsia" w:ascii="宋体" w:hAnsi="宋体" w:cs="宋体"/>
                <w:i w:val="0"/>
                <w:iCs w:val="0"/>
                <w:color w:val="000000"/>
                <w:sz w:val="18"/>
                <w:szCs w:val="18"/>
                <w:u w:val="none"/>
                <w:lang w:val="en-US" w:eastAsia="zh-CN"/>
              </w:rPr>
              <w:t>新</w:t>
            </w:r>
            <w:r>
              <w:rPr>
                <w:rFonts w:hint="eastAsia" w:ascii="宋体" w:hAnsi="宋体" w:eastAsia="宋体" w:cs="宋体"/>
                <w:i w:val="0"/>
                <w:iCs w:val="0"/>
                <w:color w:val="000000"/>
                <w:sz w:val="18"/>
                <w:szCs w:val="18"/>
                <w:u w:val="none"/>
              </w:rPr>
              <w:t>、甘辛香、甜酸香等</w:t>
            </w:r>
            <w:r>
              <w:rPr>
                <w:rFonts w:hint="eastAsia" w:ascii="宋体" w:hAnsi="宋体" w:cs="宋体"/>
                <w:i w:val="0"/>
                <w:iCs w:val="0"/>
                <w:color w:val="000000"/>
                <w:sz w:val="18"/>
                <w:szCs w:val="18"/>
                <w:u w:val="none"/>
                <w:lang w:val="en-US" w:eastAsia="zh-CN"/>
              </w:rPr>
              <w:t>固有</w:t>
            </w:r>
            <w:r>
              <w:rPr>
                <w:rFonts w:hint="eastAsia" w:ascii="宋体" w:hAnsi="宋体" w:eastAsia="宋体" w:cs="宋体"/>
                <w:i w:val="0"/>
                <w:iCs w:val="0"/>
                <w:color w:val="000000"/>
                <w:sz w:val="18"/>
                <w:szCs w:val="18"/>
                <w:u w:val="none"/>
              </w:rPr>
              <w:t>气味</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无</w:t>
            </w:r>
            <w:r>
              <w:rPr>
                <w:rFonts w:hint="eastAsia" w:ascii="宋体" w:hAnsi="宋体" w:eastAsia="宋体" w:cs="宋体"/>
                <w:i w:val="0"/>
                <w:iCs w:val="0"/>
                <w:color w:val="000000"/>
                <w:sz w:val="18"/>
                <w:szCs w:val="18"/>
                <w:u w:val="none"/>
              </w:rPr>
              <w:t>亚硝酸盐味和其他异味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滋味甘淡、甜酸、清爽鲜美，少数具有辛酸、苦涩等特殊风味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形态</w:t>
            </w:r>
            <w:r>
              <w:rPr>
                <w:rFonts w:hint="eastAsia" w:ascii="宋体" w:hAnsi="宋体" w:cs="宋体"/>
                <w:i w:val="0"/>
                <w:iCs w:val="0"/>
                <w:color w:val="000000"/>
                <w:sz w:val="18"/>
                <w:szCs w:val="18"/>
                <w:u w:val="none"/>
                <w:lang w:val="en-US" w:eastAsia="zh-CN"/>
              </w:rPr>
              <w:t>完整良好，无</w:t>
            </w:r>
            <w:r>
              <w:rPr>
                <w:rFonts w:hint="eastAsia" w:ascii="宋体" w:hAnsi="宋体" w:eastAsia="宋体" w:cs="宋体"/>
                <w:i w:val="0"/>
                <w:iCs w:val="0"/>
                <w:color w:val="000000"/>
                <w:sz w:val="18"/>
                <w:szCs w:val="18"/>
                <w:u w:val="none"/>
              </w:rPr>
              <w:t>萎蔫、枯塌、损伤、病变、虫害侵蚀等异常。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08" w:hRule="atLeast"/>
          <w:tblHeader/>
          <w:jc w:val="center"/>
        </w:trPr>
        <w:tc>
          <w:tcPr>
            <w:tcW w:w="616" w:type="dxa"/>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12</w:t>
            </w:r>
          </w:p>
        </w:tc>
        <w:tc>
          <w:tcPr>
            <w:tcW w:w="1097" w:type="dxa"/>
            <w:vMerge w:val="restart"/>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动物性</w:t>
            </w:r>
          </w:p>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食品类</w:t>
            </w:r>
          </w:p>
        </w:tc>
        <w:tc>
          <w:tcPr>
            <w:tcW w:w="1200" w:type="dxa"/>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乳及</w:t>
            </w:r>
          </w:p>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乳制品</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鲜</w:t>
            </w:r>
            <w:r>
              <w:rPr>
                <w:rFonts w:hint="eastAsia" w:ascii="宋体" w:hAnsi="宋体" w:eastAsia="宋体" w:cs="宋体"/>
                <w:i w:val="0"/>
                <w:iCs w:val="0"/>
                <w:color w:val="000000"/>
                <w:sz w:val="18"/>
                <w:szCs w:val="18"/>
                <w:u w:val="none"/>
              </w:rPr>
              <w:t>乳</w:t>
            </w:r>
            <w:r>
              <w:rPr>
                <w:rFonts w:hint="eastAsia" w:ascii="宋体" w:hAnsi="宋体" w:cs="宋体"/>
                <w:i w:val="0"/>
                <w:iCs w:val="0"/>
                <w:color w:val="000000"/>
                <w:sz w:val="18"/>
                <w:szCs w:val="18"/>
                <w:u w:val="none"/>
                <w:lang w:val="en-US" w:eastAsia="zh-CN"/>
              </w:rPr>
              <w:t>：应呈现出自然的乳白色或略带黄色，色泽均匀一致，表面应有一层薄薄的乳脂，质地均匀细腻，无颗粒、凝块、沉淀或异物。</w:t>
            </w:r>
            <w:r>
              <w:rPr>
                <w:rFonts w:hint="eastAsia" w:ascii="宋体" w:hAnsi="宋体" w:eastAsia="宋体" w:cs="宋体"/>
                <w:i w:val="0"/>
                <w:iCs w:val="0"/>
                <w:color w:val="000000"/>
                <w:sz w:val="18"/>
                <w:szCs w:val="18"/>
                <w:u w:val="none"/>
              </w:rPr>
              <w:t>应具有浓郁的乳香味，口感醇厚、爽滑，</w:t>
            </w:r>
            <w:r>
              <w:rPr>
                <w:rFonts w:hint="eastAsia" w:ascii="宋体" w:hAnsi="宋体" w:cs="宋体"/>
                <w:i w:val="0"/>
                <w:iCs w:val="0"/>
                <w:color w:val="000000"/>
                <w:sz w:val="18"/>
                <w:szCs w:val="18"/>
                <w:u w:val="none"/>
                <w:lang w:val="en-US" w:eastAsia="zh-CN"/>
              </w:rPr>
              <w:t>无</w:t>
            </w:r>
            <w:r>
              <w:rPr>
                <w:rFonts w:hint="eastAsia" w:ascii="宋体" w:hAnsi="宋体" w:eastAsia="宋体" w:cs="宋体"/>
                <w:i w:val="0"/>
                <w:iCs w:val="0"/>
                <w:color w:val="000000"/>
                <w:sz w:val="18"/>
                <w:szCs w:val="18"/>
                <w:u w:val="none"/>
              </w:rPr>
              <w:t>异味或怪味</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无变质或发霉</w:t>
            </w:r>
            <w:r>
              <w:rPr>
                <w:rFonts w:hint="eastAsia" w:ascii="宋体" w:hAnsi="宋体" w:eastAsia="宋体" w:cs="宋体"/>
                <w:i w:val="0"/>
                <w:iCs w:val="0"/>
                <w:color w:val="000000"/>
                <w:sz w:val="18"/>
                <w:szCs w:val="18"/>
                <w:u w:val="none"/>
              </w:rPr>
              <w:t>。</w:t>
            </w:r>
          </w:p>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乳制品</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应呈现</w:t>
            </w:r>
            <w:r>
              <w:rPr>
                <w:rFonts w:hint="eastAsia" w:ascii="宋体" w:hAnsi="宋体" w:cs="宋体"/>
                <w:i w:val="0"/>
                <w:iCs w:val="0"/>
                <w:color w:val="000000"/>
                <w:sz w:val="18"/>
                <w:szCs w:val="18"/>
                <w:u w:val="none"/>
                <w:lang w:val="en-US" w:eastAsia="zh-CN"/>
              </w:rPr>
              <w:t>产品正常的色泽，</w:t>
            </w:r>
            <w:r>
              <w:rPr>
                <w:rFonts w:hint="eastAsia" w:ascii="宋体" w:hAnsi="宋体" w:eastAsia="宋体" w:cs="宋体"/>
                <w:i w:val="0"/>
                <w:iCs w:val="0"/>
                <w:color w:val="000000"/>
                <w:sz w:val="18"/>
                <w:szCs w:val="18"/>
                <w:u w:val="none"/>
              </w:rPr>
              <w:t>质地</w:t>
            </w:r>
            <w:r>
              <w:rPr>
                <w:rFonts w:hint="eastAsia" w:ascii="宋体" w:hAnsi="宋体" w:cs="宋体"/>
                <w:i w:val="0"/>
                <w:iCs w:val="0"/>
                <w:color w:val="000000"/>
                <w:sz w:val="18"/>
                <w:szCs w:val="18"/>
                <w:u w:val="none"/>
                <w:lang w:val="en-US" w:eastAsia="zh-CN"/>
              </w:rPr>
              <w:t>均匀</w:t>
            </w:r>
            <w:r>
              <w:rPr>
                <w:rFonts w:hint="eastAsia" w:ascii="宋体" w:hAnsi="宋体" w:eastAsia="宋体" w:cs="宋体"/>
                <w:i w:val="0"/>
                <w:iCs w:val="0"/>
                <w:color w:val="000000"/>
                <w:sz w:val="18"/>
                <w:szCs w:val="18"/>
                <w:u w:val="none"/>
              </w:rPr>
              <w:t>细腻，无明显的颗粒状物质或异物。应具有纯正的乳香味，无腐败或异味。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5" w:hRule="atLeast"/>
          <w:tblHeader/>
          <w:jc w:val="center"/>
        </w:trPr>
        <w:tc>
          <w:tcPr>
            <w:tcW w:w="616"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13</w:t>
            </w:r>
          </w:p>
        </w:tc>
        <w:tc>
          <w:tcPr>
            <w:tcW w:w="1097" w:type="dxa"/>
            <w:vMerge w:val="continue"/>
            <w:noWrap w:val="0"/>
            <w:vAlign w:val="center"/>
          </w:tcPr>
          <w:p>
            <w:pPr>
              <w:jc w:val="center"/>
              <w:rPr>
                <w:rFonts w:hint="default" w:ascii="宋体" w:hAnsi="宋体" w:cs="宋体"/>
                <w:i w:val="0"/>
                <w:iCs w:val="0"/>
                <w:color w:val="000000"/>
                <w:sz w:val="18"/>
                <w:szCs w:val="18"/>
                <w:u w:val="none"/>
                <w:lang w:val="en-US" w:eastAsia="zh-CN"/>
              </w:rPr>
            </w:pPr>
          </w:p>
        </w:tc>
        <w:tc>
          <w:tcPr>
            <w:tcW w:w="1200" w:type="dxa"/>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禽蛋</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鸡蛋</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蛋壳清洁完整，色泽鲜明，无破损、裂纹，无霉斑</w:t>
            </w:r>
            <w:r>
              <w:rPr>
                <w:rFonts w:hint="eastAsia" w:ascii="宋体" w:hAnsi="宋体" w:cs="宋体"/>
                <w:i w:val="0"/>
                <w:iCs w:val="0"/>
                <w:color w:val="000000"/>
                <w:sz w:val="18"/>
                <w:szCs w:val="18"/>
                <w:u w:val="none"/>
                <w:lang w:eastAsia="zh-CN"/>
              </w:rPr>
              <w:t>；无</w:t>
            </w:r>
            <w:r>
              <w:rPr>
                <w:rFonts w:hint="eastAsia" w:ascii="宋体" w:hAnsi="宋体" w:eastAsia="宋体" w:cs="宋体"/>
                <w:i w:val="0"/>
                <w:iCs w:val="0"/>
                <w:color w:val="000000"/>
                <w:sz w:val="18"/>
                <w:szCs w:val="18"/>
                <w:u w:val="none"/>
              </w:rPr>
              <w:t>霉味、酸味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臭味等不良气味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摇晃无震荡声音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灯光透视时，蛋黄轮廓明显、无显影</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打开后蛋黄凸起、完整、有韧性，蛋白澄清、透明、稀稠分明</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4" w:hRule="atLeast"/>
          <w:tblHeader/>
          <w:jc w:val="center"/>
        </w:trPr>
        <w:tc>
          <w:tcPr>
            <w:tcW w:w="616"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14</w:t>
            </w:r>
          </w:p>
        </w:tc>
        <w:tc>
          <w:tcPr>
            <w:tcW w:w="1097" w:type="dxa"/>
            <w:vMerge w:val="continue"/>
            <w:noWrap w:val="0"/>
            <w:vAlign w:val="center"/>
          </w:tcPr>
          <w:p>
            <w:pPr>
              <w:jc w:val="center"/>
              <w:rPr>
                <w:rFonts w:hint="default" w:ascii="宋体" w:hAnsi="宋体" w:cs="宋体"/>
                <w:i w:val="0"/>
                <w:iCs w:val="0"/>
                <w:color w:val="000000"/>
                <w:sz w:val="18"/>
                <w:szCs w:val="18"/>
                <w:u w:val="none"/>
                <w:lang w:val="en-US" w:eastAsia="zh-CN"/>
              </w:rPr>
            </w:pPr>
          </w:p>
        </w:tc>
        <w:tc>
          <w:tcPr>
            <w:tcW w:w="1200" w:type="dxa"/>
            <w:noWrap w:val="0"/>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光禽</w:t>
            </w:r>
          </w:p>
        </w:tc>
        <w:tc>
          <w:tcPr>
            <w:tcW w:w="5756" w:type="dxa"/>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rPr>
              <w:t>鸡、鸭、鹅等</w:t>
            </w:r>
            <w:r>
              <w:rPr>
                <w:rFonts w:hint="eastAsia" w:ascii="宋体" w:hAnsi="宋体" w:cs="宋体"/>
                <w:i w:val="0"/>
                <w:iCs w:val="0"/>
                <w:color w:val="000000"/>
                <w:sz w:val="18"/>
                <w:szCs w:val="18"/>
                <w:u w:val="none"/>
                <w:lang w:val="en-US" w:eastAsia="zh-CN"/>
              </w:rPr>
              <w:t>光</w:t>
            </w:r>
            <w:r>
              <w:rPr>
                <w:rFonts w:hint="eastAsia" w:ascii="宋体" w:hAnsi="宋体" w:eastAsia="宋体" w:cs="宋体"/>
                <w:i w:val="0"/>
                <w:iCs w:val="0"/>
                <w:color w:val="000000"/>
                <w:sz w:val="18"/>
                <w:szCs w:val="18"/>
                <w:u w:val="none"/>
              </w:rPr>
              <w:t>禽</w:t>
            </w:r>
            <w:r>
              <w:rPr>
                <w:rFonts w:hint="eastAsia" w:ascii="宋体" w:hAnsi="宋体" w:cs="宋体"/>
                <w:i w:val="0"/>
                <w:iCs w:val="0"/>
                <w:color w:val="000000"/>
                <w:sz w:val="18"/>
                <w:szCs w:val="18"/>
                <w:u w:val="none"/>
                <w:lang w:val="en-US" w:eastAsia="zh-CN"/>
              </w:rPr>
              <w:t>应</w:t>
            </w:r>
            <w:r>
              <w:rPr>
                <w:rFonts w:hint="eastAsia" w:ascii="宋体" w:hAnsi="宋体" w:eastAsia="宋体" w:cs="宋体"/>
                <w:i w:val="0"/>
                <w:iCs w:val="0"/>
                <w:color w:val="000000"/>
                <w:sz w:val="18"/>
                <w:szCs w:val="18"/>
                <w:u w:val="none"/>
              </w:rPr>
              <w:t>新鲜，喙有光泽、干燥、无粘液</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口腔粘膜呈淡玫瑰色，有光泽、洁净、无异味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眼睛明亮，充满整个眼窝</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皮肤上毛孔隆起，表面干燥而紧缩，呈乳白色或淡黄色，稍带微红，无异味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脂肪呈淡黄色或黄色，有光泽，无异味</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肌肉结实，有弹性，有光泽，颈、腿部肌肉呈玫瑰红色</w:t>
            </w:r>
            <w:r>
              <w:rPr>
                <w:rFonts w:hint="eastAsia" w:ascii="宋体" w:hAnsi="宋体" w:cs="宋体"/>
                <w:i w:val="0"/>
                <w:iCs w:val="0"/>
                <w:color w:val="000000"/>
                <w:sz w:val="18"/>
                <w:szCs w:val="18"/>
                <w:u w:val="none"/>
                <w:lang w:eastAsia="zh-CN"/>
              </w:rPr>
              <w:t>；无</w:t>
            </w:r>
            <w:r>
              <w:rPr>
                <w:rFonts w:hint="eastAsia" w:ascii="宋体" w:hAnsi="宋体" w:eastAsia="宋体" w:cs="宋体"/>
                <w:i w:val="0"/>
                <w:iCs w:val="0"/>
                <w:color w:val="000000"/>
                <w:sz w:val="18"/>
                <w:szCs w:val="18"/>
                <w:u w:val="none"/>
              </w:rPr>
              <w:t>变质腐败气味</w:t>
            </w:r>
            <w:r>
              <w:rPr>
                <w:rFonts w:hint="eastAsia" w:ascii="宋体" w:hAnsi="宋体" w:cs="宋体"/>
                <w:i w:val="0"/>
                <w:iCs w:val="0"/>
                <w:color w:val="000000"/>
                <w:sz w:val="18"/>
                <w:szCs w:val="18"/>
                <w:u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37" w:hRule="atLeast"/>
          <w:tblHeader/>
          <w:jc w:val="center"/>
        </w:trPr>
        <w:tc>
          <w:tcPr>
            <w:tcW w:w="616" w:type="dxa"/>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w:t>
            </w:r>
          </w:p>
        </w:tc>
        <w:tc>
          <w:tcPr>
            <w:tcW w:w="1097" w:type="dxa"/>
            <w:vMerge w:val="continue"/>
            <w:noWrap w:val="0"/>
            <w:vAlign w:val="center"/>
          </w:tcPr>
          <w:p>
            <w:pPr>
              <w:jc w:val="center"/>
              <w:rPr>
                <w:rFonts w:hint="eastAsia" w:ascii="宋体" w:hAnsi="宋体" w:cs="宋体"/>
                <w:i w:val="0"/>
                <w:iCs w:val="0"/>
                <w:color w:val="000000"/>
                <w:sz w:val="18"/>
                <w:szCs w:val="18"/>
                <w:u w:val="none"/>
                <w:lang w:val="en-US" w:eastAsia="zh-CN"/>
              </w:rPr>
            </w:pPr>
          </w:p>
        </w:tc>
        <w:tc>
          <w:tcPr>
            <w:tcW w:w="1200" w:type="dxa"/>
            <w:noWrap w:val="0"/>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鲜鱼虾</w:t>
            </w:r>
          </w:p>
        </w:tc>
        <w:tc>
          <w:tcPr>
            <w:tcW w:w="5756" w:type="dxa"/>
            <w:noWrap w:val="0"/>
            <w:vAlign w:val="center"/>
          </w:tcPr>
          <w:p>
            <w:pPr>
              <w:ind w:left="218" w:leftChars="104" w:right="145" w:rightChars="69" w:firstLine="0" w:firstLineChars="0"/>
              <w:jc w:val="left"/>
              <w:rPr>
                <w:rFonts w:hint="eastAsia" w:ascii="宋体" w:hAnsi="宋体" w:cs="宋体"/>
                <w:i w:val="0"/>
                <w:iCs w:val="0"/>
                <w:color w:val="000000"/>
                <w:sz w:val="18"/>
                <w:szCs w:val="18"/>
                <w:u w:val="none"/>
                <w:lang w:eastAsia="zh-CN"/>
              </w:rPr>
            </w:pPr>
            <w:r>
              <w:rPr>
                <w:rFonts w:hint="eastAsia" w:ascii="宋体" w:hAnsi="宋体" w:eastAsia="宋体" w:cs="宋体"/>
                <w:i w:val="0"/>
                <w:iCs w:val="0"/>
                <w:color w:val="000000"/>
                <w:sz w:val="18"/>
                <w:szCs w:val="18"/>
                <w:u w:val="none"/>
              </w:rPr>
              <w:t>鱼眼凸起澄清有光泽</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鳞片整齐</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排列紧密</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有黏液和光泽，轮层明显</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鱼</w:t>
            </w:r>
            <w:r>
              <w:rPr>
                <w:rFonts w:hint="eastAsia" w:ascii="宋体" w:hAnsi="宋体" w:eastAsia="宋体" w:cs="宋体"/>
                <w:i w:val="0"/>
                <w:iCs w:val="0"/>
                <w:color w:val="000000"/>
                <w:sz w:val="18"/>
                <w:szCs w:val="18"/>
                <w:u w:val="none"/>
                <w:lang w:val="en-US" w:eastAsia="zh-CN"/>
              </w:rPr>
              <w:t>鳃</w:t>
            </w:r>
            <w:r>
              <w:rPr>
                <w:rFonts w:hint="eastAsia" w:ascii="宋体" w:hAnsi="宋体" w:eastAsia="宋体" w:cs="宋体"/>
                <w:i w:val="0"/>
                <w:iCs w:val="0"/>
                <w:color w:val="000000"/>
                <w:sz w:val="18"/>
                <w:szCs w:val="18"/>
                <w:u w:val="none"/>
              </w:rPr>
              <w:t>紧闭</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lang w:val="en-US" w:eastAsia="zh-CN"/>
              </w:rPr>
              <w:t>鳃</w:t>
            </w:r>
            <w:r>
              <w:rPr>
                <w:rFonts w:hint="eastAsia" w:ascii="宋体" w:hAnsi="宋体" w:eastAsia="宋体" w:cs="宋体"/>
                <w:i w:val="0"/>
                <w:iCs w:val="0"/>
                <w:color w:val="000000"/>
                <w:sz w:val="18"/>
                <w:szCs w:val="18"/>
                <w:u w:val="none"/>
              </w:rPr>
              <w:t>片呈鲜红色</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无黏液和污物</w:t>
            </w:r>
            <w:r>
              <w:rPr>
                <w:rFonts w:hint="eastAsia" w:ascii="宋体" w:hAnsi="宋体" w:cs="宋体"/>
                <w:i w:val="0"/>
                <w:iCs w:val="0"/>
                <w:color w:val="000000"/>
                <w:sz w:val="18"/>
                <w:szCs w:val="18"/>
                <w:u w:val="none"/>
                <w:lang w:eastAsia="zh-CN"/>
              </w:rPr>
              <w:t>；</w:t>
            </w:r>
          </w:p>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虾头尾完整</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有一定的弯曲度、虾身较挺</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虾皮壳发亮</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呈青白色</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肉质坚实、细嫩。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45" w:hRule="atLeast"/>
          <w:tblHeader/>
          <w:jc w:val="center"/>
        </w:trPr>
        <w:tc>
          <w:tcPr>
            <w:tcW w:w="616" w:type="dxa"/>
            <w:tcBorders>
              <w:bottom w:val="nil"/>
            </w:tcBorders>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16</w:t>
            </w:r>
          </w:p>
        </w:tc>
        <w:tc>
          <w:tcPr>
            <w:tcW w:w="1097" w:type="dxa"/>
            <w:vMerge w:val="continue"/>
            <w:tcBorders>
              <w:bottom w:val="nil"/>
            </w:tcBorders>
            <w:noWrap w:val="0"/>
            <w:vAlign w:val="center"/>
          </w:tcPr>
          <w:p>
            <w:pPr>
              <w:jc w:val="center"/>
              <w:rPr>
                <w:rFonts w:hint="eastAsia" w:ascii="宋体" w:hAnsi="宋体" w:cs="宋体"/>
                <w:i w:val="0"/>
                <w:iCs w:val="0"/>
                <w:color w:val="000000"/>
                <w:sz w:val="18"/>
                <w:szCs w:val="18"/>
                <w:u w:val="none"/>
                <w:lang w:val="en-US" w:eastAsia="zh-CN"/>
              </w:rPr>
            </w:pPr>
          </w:p>
        </w:tc>
        <w:tc>
          <w:tcPr>
            <w:tcW w:w="1200" w:type="dxa"/>
            <w:tcBorders>
              <w:bottom w:val="nil"/>
            </w:tcBorders>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鲜猪、牛、</w:t>
            </w:r>
          </w:p>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羊肉</w:t>
            </w:r>
          </w:p>
        </w:tc>
        <w:tc>
          <w:tcPr>
            <w:tcW w:w="5756" w:type="dxa"/>
            <w:tcBorders>
              <w:bottom w:val="nil"/>
            </w:tcBorders>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val="en-US" w:eastAsia="zh-CN"/>
              </w:rPr>
              <w:t>表皮盖有清晰可辨的检验合格章；</w:t>
            </w:r>
            <w:r>
              <w:rPr>
                <w:rFonts w:hint="eastAsia" w:ascii="宋体" w:hAnsi="宋体" w:eastAsia="宋体" w:cs="宋体"/>
                <w:i w:val="0"/>
                <w:iCs w:val="0"/>
                <w:color w:val="000000"/>
                <w:sz w:val="18"/>
                <w:szCs w:val="18"/>
                <w:u w:val="none"/>
              </w:rPr>
              <w:t>肌肉有光泽，红色均匀，脂肪乳白色</w:t>
            </w:r>
            <w:r>
              <w:rPr>
                <w:rFonts w:hint="eastAsia" w:ascii="宋体" w:hAnsi="宋体" w:cs="宋体"/>
                <w:i w:val="0"/>
                <w:iCs w:val="0"/>
                <w:color w:val="000000"/>
                <w:sz w:val="18"/>
                <w:szCs w:val="18"/>
                <w:u w:val="none"/>
                <w:lang w:val="en-US" w:eastAsia="zh-CN"/>
              </w:rPr>
              <w:t>或微黄色</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外表湿润，不粘手</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组织</w:t>
            </w:r>
            <w:r>
              <w:rPr>
                <w:rFonts w:hint="eastAsia" w:ascii="宋体" w:hAnsi="宋体" w:eastAsia="宋体" w:cs="宋体"/>
                <w:i w:val="0"/>
                <w:iCs w:val="0"/>
                <w:color w:val="000000"/>
                <w:sz w:val="18"/>
                <w:szCs w:val="18"/>
                <w:u w:val="none"/>
              </w:rPr>
              <w:t>纤维清晰，坚韧性，指压后凹陷立即恢复</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具有鲜肉固有的气味，无异味</w:t>
            </w:r>
            <w:r>
              <w:rPr>
                <w:rFonts w:hint="eastAsia" w:ascii="宋体" w:hAnsi="宋体" w:cs="宋体"/>
                <w:i w:val="0"/>
                <w:iCs w:val="0"/>
                <w:color w:val="000000"/>
                <w:sz w:val="18"/>
                <w:szCs w:val="18"/>
                <w:u w:val="none"/>
                <w:lang w:eastAsia="zh-CN"/>
              </w:rPr>
              <w:t>；煮沸后肉汤</w:t>
            </w:r>
            <w:r>
              <w:rPr>
                <w:rFonts w:hint="eastAsia" w:ascii="宋体" w:hAnsi="宋体" w:eastAsia="宋体" w:cs="宋体"/>
                <w:i w:val="0"/>
                <w:iCs w:val="0"/>
                <w:color w:val="000000"/>
                <w:sz w:val="18"/>
                <w:szCs w:val="18"/>
                <w:u w:val="none"/>
              </w:rPr>
              <w:t>澄清透明，脂肪团集于表面</w:t>
            </w:r>
            <w:r>
              <w:rPr>
                <w:rFonts w:hint="eastAsia" w:ascii="宋体" w:hAnsi="宋体" w:cs="宋体"/>
                <w:i w:val="0"/>
                <w:iCs w:val="0"/>
                <w:color w:val="000000"/>
                <w:sz w:val="18"/>
                <w:szCs w:val="18"/>
                <w:u w:val="none"/>
                <w:lang w:eastAsia="zh-CN"/>
              </w:rPr>
              <w:t>，具</w:t>
            </w:r>
            <w:r>
              <w:rPr>
                <w:rFonts w:hint="eastAsia" w:ascii="宋体" w:hAnsi="宋体" w:cs="宋体"/>
                <w:i w:val="0"/>
                <w:iCs w:val="0"/>
                <w:color w:val="000000"/>
                <w:sz w:val="18"/>
                <w:szCs w:val="18"/>
                <w:u w:val="none"/>
                <w:lang w:val="en-US" w:eastAsia="zh-CN"/>
              </w:rPr>
              <w:t>该品种</w:t>
            </w:r>
            <w:r>
              <w:rPr>
                <w:rFonts w:hint="eastAsia" w:ascii="宋体" w:hAnsi="宋体" w:cs="宋体"/>
                <w:i w:val="0"/>
                <w:iCs w:val="0"/>
                <w:color w:val="000000"/>
                <w:sz w:val="18"/>
                <w:szCs w:val="18"/>
                <w:u w:val="none"/>
                <w:lang w:eastAsia="zh-CN"/>
              </w:rPr>
              <w:t>特有的香味。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blHeader/>
          <w:jc w:val="center"/>
        </w:trPr>
        <w:tc>
          <w:tcPr>
            <w:tcW w:w="8669" w:type="dxa"/>
            <w:gridSpan w:val="4"/>
            <w:tcBorders>
              <w:top w:val="nil"/>
              <w:left w:val="nil"/>
              <w:bottom w:val="single" w:color="000000" w:sz="4" w:space="0"/>
              <w:right w:val="nil"/>
            </w:tcBorders>
            <w:noWrap w:val="0"/>
            <w:vAlign w:val="center"/>
          </w:tcPr>
          <w:p>
            <w:pPr>
              <w:ind w:left="218" w:leftChars="104" w:right="145" w:rightChars="69" w:firstLine="0" w:firstLineChars="0"/>
              <w:jc w:val="center"/>
              <w:rPr>
                <w:rFonts w:hint="eastAsia" w:ascii="宋体" w:hAnsi="宋体" w:eastAsia="宋体" w:cs="宋体"/>
                <w:i w:val="0"/>
                <w:iCs w:val="0"/>
                <w:color w:val="000000"/>
                <w:sz w:val="18"/>
                <w:szCs w:val="18"/>
                <w:u w:val="none"/>
              </w:rPr>
            </w:pPr>
            <w:r>
              <w:rPr>
                <w:rFonts w:hint="eastAsia" w:ascii="黑体" w:hAnsi="黑体" w:eastAsia="黑体" w:cs="黑体"/>
                <w:b w:val="0"/>
                <w:bCs w:val="0"/>
                <w:color w:val="auto"/>
                <w:sz w:val="21"/>
                <w:szCs w:val="21"/>
                <w:highlight w:val="none"/>
                <w:lang w:val="en-US" w:eastAsia="zh-CN"/>
              </w:rPr>
              <w:t>表A.1</w:t>
            </w:r>
            <w:r>
              <w:rPr>
                <w:rFonts w:hint="eastAsia" w:ascii="黑体" w:hAnsi="黑体" w:eastAsia="黑体" w:cs="黑体"/>
                <w:b w:val="0"/>
                <w:bCs w:val="0"/>
                <w:lang w:val="en-US" w:eastAsia="zh-CN"/>
              </w:rPr>
              <w:t>主要食材感官质量要求</w:t>
            </w:r>
            <w:r>
              <w:rPr>
                <w:rFonts w:hint="eastAsia" w:ascii="黑体" w:hAnsi="黑体" w:eastAsia="黑体" w:cs="黑体"/>
                <w:b w:val="0"/>
                <w:bCs w:val="0"/>
                <w:color w:val="auto"/>
                <w:sz w:val="21"/>
                <w:szCs w:val="21"/>
                <w:highlight w:val="none"/>
                <w:lang w:val="en-US" w:eastAsia="zh-CN"/>
              </w:rPr>
              <w:t>（续）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blHeader/>
          <w:jc w:val="center"/>
        </w:trPr>
        <w:tc>
          <w:tcPr>
            <w:tcW w:w="616" w:type="dxa"/>
            <w:tcBorders>
              <w:top w:val="single" w:color="000000" w:sz="4" w:space="0"/>
              <w:bottom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18"/>
                <w:szCs w:val="18"/>
                <w:u w:val="none"/>
                <w:lang w:val="en-US" w:eastAsia="zh-CN"/>
              </w:rPr>
            </w:pPr>
            <w:r>
              <w:rPr>
                <w:rFonts w:hint="eastAsia" w:ascii="黑体" w:hAnsi="黑体" w:eastAsia="黑体" w:cs="黑体"/>
                <w:b w:val="0"/>
                <w:bCs w:val="0"/>
                <w:i w:val="0"/>
                <w:iCs w:val="0"/>
                <w:color w:val="000000"/>
                <w:kern w:val="0"/>
                <w:sz w:val="18"/>
                <w:szCs w:val="18"/>
                <w:u w:val="none"/>
                <w:lang w:val="en-US" w:eastAsia="zh-CN" w:bidi="ar"/>
              </w:rPr>
              <w:t>序号</w:t>
            </w:r>
          </w:p>
        </w:tc>
        <w:tc>
          <w:tcPr>
            <w:tcW w:w="1097" w:type="dxa"/>
            <w:tcBorders>
              <w:top w:val="single" w:color="000000" w:sz="4" w:space="0"/>
              <w:bottom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18"/>
                <w:szCs w:val="18"/>
                <w:u w:val="none"/>
                <w:lang w:val="en-US" w:eastAsia="zh-CN"/>
              </w:rPr>
            </w:pPr>
            <w:r>
              <w:rPr>
                <w:rFonts w:hint="eastAsia" w:ascii="黑体" w:hAnsi="黑体" w:eastAsia="黑体" w:cs="黑体"/>
                <w:b w:val="0"/>
                <w:bCs w:val="0"/>
                <w:i w:val="0"/>
                <w:iCs w:val="0"/>
                <w:color w:val="000000"/>
                <w:kern w:val="0"/>
                <w:sz w:val="18"/>
                <w:szCs w:val="18"/>
                <w:u w:val="none"/>
                <w:lang w:val="en-US" w:eastAsia="zh-CN" w:bidi="ar"/>
              </w:rPr>
              <w:t>食材分类</w:t>
            </w:r>
          </w:p>
        </w:tc>
        <w:tc>
          <w:tcPr>
            <w:tcW w:w="1200" w:type="dxa"/>
            <w:tcBorders>
              <w:top w:val="single" w:color="000000" w:sz="4" w:space="0"/>
              <w:bottom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18"/>
                <w:szCs w:val="18"/>
                <w:u w:val="none"/>
                <w:lang w:val="en-US" w:eastAsia="zh-CN"/>
              </w:rPr>
            </w:pPr>
            <w:r>
              <w:rPr>
                <w:rFonts w:hint="eastAsia" w:ascii="黑体" w:hAnsi="黑体" w:eastAsia="黑体" w:cs="黑体"/>
                <w:b w:val="0"/>
                <w:bCs w:val="0"/>
                <w:i w:val="0"/>
                <w:iCs w:val="0"/>
                <w:color w:val="000000"/>
                <w:kern w:val="0"/>
                <w:sz w:val="18"/>
                <w:szCs w:val="18"/>
                <w:u w:val="none"/>
                <w:lang w:val="en-US" w:eastAsia="zh-CN" w:bidi="ar"/>
              </w:rPr>
              <w:t>品名</w:t>
            </w:r>
          </w:p>
        </w:tc>
        <w:tc>
          <w:tcPr>
            <w:tcW w:w="5756" w:type="dxa"/>
            <w:tcBorders>
              <w:top w:val="single" w:color="000000" w:sz="4" w:space="0"/>
              <w:bottom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黑体" w:hAnsi="黑体" w:eastAsia="黑体" w:cs="黑体"/>
                <w:b w:val="0"/>
                <w:bCs w:val="0"/>
                <w:i w:val="0"/>
                <w:iCs w:val="0"/>
                <w:color w:val="000000"/>
                <w:kern w:val="0"/>
                <w:sz w:val="18"/>
                <w:szCs w:val="18"/>
                <w:u w:val="none"/>
                <w:lang w:val="en-US" w:eastAsia="zh-CN" w:bidi="ar"/>
              </w:rPr>
              <w:t>感官质量要求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26" w:hRule="atLeast"/>
          <w:tblHeader/>
          <w:jc w:val="center"/>
        </w:trPr>
        <w:tc>
          <w:tcPr>
            <w:tcW w:w="616" w:type="dxa"/>
            <w:tcBorders>
              <w:top w:val="single" w:color="000000" w:sz="4" w:space="0"/>
              <w:bottom w:val="single" w:color="000000" w:sz="4" w:space="0"/>
            </w:tcBorders>
            <w:noWrap w:val="0"/>
            <w:vAlign w:val="center"/>
          </w:tcPr>
          <w:p>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17</w:t>
            </w:r>
          </w:p>
        </w:tc>
        <w:tc>
          <w:tcPr>
            <w:tcW w:w="1097" w:type="dxa"/>
            <w:tcBorders>
              <w:top w:val="single" w:color="000000" w:sz="4" w:space="0"/>
              <w:bottom w:val="single" w:color="000000" w:sz="4" w:space="0"/>
            </w:tcBorders>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动物性</w:t>
            </w:r>
          </w:p>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食品类</w:t>
            </w:r>
          </w:p>
        </w:tc>
        <w:tc>
          <w:tcPr>
            <w:tcW w:w="1200" w:type="dxa"/>
            <w:tcBorders>
              <w:top w:val="single" w:color="000000" w:sz="4" w:space="0"/>
              <w:bottom w:val="single" w:color="000000" w:sz="4" w:space="0"/>
            </w:tcBorders>
            <w:noWrap w:val="0"/>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冷冻肉</w:t>
            </w:r>
          </w:p>
        </w:tc>
        <w:tc>
          <w:tcPr>
            <w:tcW w:w="5756" w:type="dxa"/>
            <w:tcBorders>
              <w:top w:val="single" w:color="000000" w:sz="4" w:space="0"/>
              <w:bottom w:val="single" w:color="000000" w:sz="4" w:space="0"/>
            </w:tcBorders>
            <w:noWrap w:val="0"/>
            <w:vAlign w:val="center"/>
          </w:tcPr>
          <w:p>
            <w:pPr>
              <w:ind w:left="218" w:leftChars="104" w:right="145" w:rightChars="69" w:firstLine="0" w:firstLineChars="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包装完整，无破损，封口严密</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产品色泽均匀，形态完整，冻结坚实，无明显粗糙的冰品，无气孔，不变形，不软塌，不收缩</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无异味，无可见杂质</w:t>
            </w:r>
            <w:r>
              <w:rPr>
                <w:rFonts w:hint="eastAsia" w:ascii="宋体" w:hAnsi="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解冻后净重量不少于90%。</w:t>
            </w:r>
          </w:p>
        </w:tc>
      </w:tr>
    </w:tbl>
    <w:p>
      <w:pPr>
        <w:pStyle w:val="68"/>
        <w:keepNext w:val="0"/>
        <w:keepLines w:val="0"/>
        <w:pageBreakBefore w:val="0"/>
        <w:widowControl/>
        <w:shd w:val="clear" w:color="FFFFFF" w:fill="FFFFFF"/>
        <w:kinsoku/>
        <w:wordWrap/>
        <w:overflowPunct/>
        <w:topLinePunct w:val="0"/>
        <w:autoSpaceDE/>
        <w:autoSpaceDN/>
        <w:bidi w:val="0"/>
        <w:adjustRightInd/>
        <w:snapToGrid/>
        <w:spacing w:before="0" w:beforeLines="150" w:after="0" w:afterLines="0" w:line="360" w:lineRule="auto"/>
        <w:textAlignment w:val="auto"/>
        <w:rPr>
          <w:rFonts w:hint="eastAsia"/>
          <w:spacing w:val="105"/>
          <w:lang w:val="en-US" w:eastAsia="zh-CN"/>
        </w:rPr>
        <w:sectPr>
          <w:headerReference r:id="rId13" w:type="default"/>
          <w:footerReference r:id="rId14" w:type="default"/>
          <w:footerReference r:id="rId15" w:type="even"/>
          <w:pgSz w:w="11900" w:h="16840"/>
          <w:pgMar w:top="1961" w:right="1388" w:bottom="1320" w:left="1272" w:header="1441" w:footer="794" w:gutter="0"/>
          <w:pgBorders>
            <w:top w:val="none" w:sz="0" w:space="0"/>
            <w:left w:val="none" w:sz="0" w:space="0"/>
            <w:bottom w:val="none" w:sz="0" w:space="0"/>
            <w:right w:val="none" w:sz="0" w:space="0"/>
          </w:pgBorders>
          <w:pgNumType w:fmt="decimal" w:start="1"/>
          <w:cols w:space="720" w:num="1"/>
        </w:sectPr>
      </w:pPr>
    </w:p>
    <w:p>
      <w:pPr>
        <w:pStyle w:val="68"/>
        <w:spacing w:beforeLines="50" w:afterLines="0" w:line="360" w:lineRule="auto"/>
        <w:rPr>
          <w:rFonts w:hint="eastAsia" w:eastAsia="黑体"/>
          <w:spacing w:val="105"/>
          <w:lang w:eastAsia="zh-CN"/>
        </w:rPr>
      </w:pPr>
      <w:bookmarkStart w:id="119" w:name="_Toc7095"/>
      <w:r>
        <w:rPr>
          <w:rFonts w:hint="eastAsia"/>
          <w:spacing w:val="105"/>
        </w:rPr>
        <w:t>附录</w:t>
      </w:r>
      <w:r>
        <w:rPr>
          <w:rFonts w:hint="eastAsia"/>
          <w:spacing w:val="105"/>
          <w:lang w:val="en-US" w:eastAsia="zh-CN"/>
        </w:rPr>
        <w:t>B</w:t>
      </w:r>
      <w:bookmarkEnd w:id="119"/>
    </w:p>
    <w:p>
      <w:pPr>
        <w:pStyle w:val="243"/>
        <w:numPr>
          <w:ilvl w:val="1"/>
          <w:numId w:val="0"/>
        </w:numPr>
        <w:spacing w:beforeLines="0" w:afterLines="0" w:line="360" w:lineRule="auto"/>
        <w:jc w:val="center"/>
        <w:outlineLvl w:val="9"/>
        <w:rPr>
          <w:rFonts w:ascii="宋体" w:hAnsi="宋体" w:eastAsia="宋体" w:cs="宋体"/>
        </w:rPr>
      </w:pPr>
      <w:r>
        <w:rPr>
          <w:rFonts w:hint="eastAsia" w:ascii="宋体" w:hAnsi="宋体" w:eastAsia="宋体" w:cs="宋体"/>
        </w:rPr>
        <w:t>（资料性）</w:t>
      </w:r>
    </w:p>
    <w:p>
      <w:pPr>
        <w:pStyle w:val="167"/>
        <w:widowControl w:val="0"/>
        <w:numPr>
          <w:ilvl w:val="2"/>
          <w:numId w:val="0"/>
        </w:numPr>
        <w:spacing w:afterLines="100" w:line="360" w:lineRule="auto"/>
        <w:jc w:val="center"/>
        <w:rPr>
          <w:rFonts w:ascii="黑体" w:hAnsi="黑体" w:eastAsia="黑体" w:cs="黑体"/>
        </w:rPr>
      </w:pPr>
      <w:r>
        <w:rPr>
          <w:rFonts w:hint="eastAsia" w:ascii="黑体" w:hAnsi="黑体" w:eastAsia="黑体" w:cs="黑体"/>
        </w:rPr>
        <w:t>食材配送服务管理制度与记录</w:t>
      </w:r>
    </w:p>
    <w:p>
      <w:pPr>
        <w:pStyle w:val="167"/>
        <w:widowControl w:val="0"/>
        <w:numPr>
          <w:ilvl w:val="2"/>
          <w:numId w:val="0"/>
        </w:numPr>
        <w:spacing w:beforeLines="50" w:afterLines="50"/>
        <w:jc w:val="left"/>
      </w:pPr>
      <w:r>
        <w:rPr>
          <w:rFonts w:hint="eastAsia" w:ascii="黑体" w:hAnsi="黑体" w:eastAsia="黑体" w:cs="黑体"/>
          <w:lang w:val="en-US" w:eastAsia="zh-CN"/>
        </w:rPr>
        <w:t>B</w:t>
      </w:r>
      <w:r>
        <w:rPr>
          <w:rFonts w:hint="eastAsia" w:ascii="黑体" w:hAnsi="黑体" w:eastAsia="黑体" w:cs="黑体"/>
        </w:rPr>
        <w:t xml:space="preserve">.1 </w:t>
      </w:r>
      <w:r>
        <w:rPr>
          <w:rFonts w:hint="eastAsia" w:hAnsi="宋体" w:cs="宋体"/>
          <w:szCs w:val="21"/>
        </w:rPr>
        <w:t>服务商应关注、收集、了解现行相关国家法律、法规、规章、规范性文件以及强制性标准，结合自身实际情况，制定具有可操作性的食材配送服务管理制度与记录。</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B</w:t>
      </w:r>
      <w:r>
        <w:rPr>
          <w:rFonts w:hint="eastAsia" w:ascii="黑体" w:hAnsi="黑体" w:eastAsia="黑体" w:cs="黑体"/>
        </w:rPr>
        <w:t xml:space="preserve">.2 </w:t>
      </w:r>
      <w:r>
        <w:rPr>
          <w:rFonts w:hint="eastAsia" w:hAnsi="宋体" w:cs="宋体"/>
          <w:szCs w:val="21"/>
        </w:rPr>
        <w:t>食材配送服务管理制度可分为服务提供制度、服务保障制度和服务岗位制度，宜包括但不限于：</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B</w:t>
      </w:r>
      <w:r>
        <w:rPr>
          <w:rFonts w:hint="eastAsia" w:ascii="黑体" w:hAnsi="黑体" w:eastAsia="黑体" w:cs="黑体"/>
        </w:rPr>
        <w:t xml:space="preserve">.2.1 </w:t>
      </w:r>
      <w:r>
        <w:rPr>
          <w:rFonts w:hint="eastAsia" w:hAnsi="宋体" w:cs="宋体"/>
        </w:rPr>
        <w:t>服务提供制度：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从业人员培训制度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食材经营与过程控制制度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食材安全应急预案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食材安全事故预防、处置和报告制度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w:t>
      </w:r>
      <w:r>
        <w:rPr>
          <w:rFonts w:ascii="Segoe UI" w:hAnsi="Segoe UI" w:eastAsia="Segoe UI" w:cs="Segoe UI"/>
          <w:color w:val="0D0D0D"/>
          <w:shd w:val="clear" w:color="auto" w:fill="FFFFFF"/>
        </w:rPr>
        <w:t>冷链运输管理制度</w:t>
      </w:r>
      <w:r>
        <w:rPr>
          <w:rFonts w:hint="eastAsia" w:ascii="宋体" w:hAnsi="宋体" w:eastAsia="宋体" w:cs="宋体"/>
        </w:rPr>
        <w:t xml:space="preserve">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食材召回管理制度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不合格品管理制度 </w:t>
      </w:r>
    </w:p>
    <w:p>
      <w:pPr>
        <w:pStyle w:val="243"/>
        <w:numPr>
          <w:ilvl w:val="1"/>
          <w:numId w:val="0"/>
        </w:numPr>
        <w:spacing w:beforeLines="0" w:afterLines="0" w:line="360" w:lineRule="auto"/>
        <w:ind w:firstLine="420" w:firstLineChars="200"/>
        <w:jc w:val="both"/>
        <w:outlineLvl w:val="9"/>
        <w:rPr>
          <w:rFonts w:hAnsi="宋体" w:cs="宋体"/>
        </w:rPr>
      </w:pPr>
      <w:r>
        <w:rPr>
          <w:rFonts w:hint="eastAsia" w:ascii="宋体" w:hAnsi="宋体" w:eastAsia="宋体" w:cs="宋体"/>
        </w:rPr>
        <w:t xml:space="preserve">—— 食材安全追溯管理制度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服务质量承诺制度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学校食堂投诉管理制度 </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B</w:t>
      </w:r>
      <w:r>
        <w:rPr>
          <w:rFonts w:hint="eastAsia" w:ascii="黑体" w:hAnsi="黑体" w:eastAsia="黑体" w:cs="黑体"/>
        </w:rPr>
        <w:t xml:space="preserve">.2.2 </w:t>
      </w:r>
      <w:r>
        <w:rPr>
          <w:rFonts w:hint="eastAsia" w:hAnsi="宋体" w:cs="宋体"/>
        </w:rPr>
        <w:t>服务保障制度：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供应商管理制度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安全管理人员管理制度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从业人员健康管理制度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进货查验管理制度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食材储存管理制度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农产品快速检测管理制度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食材安全自检自查与报告制度 </w:t>
      </w:r>
    </w:p>
    <w:p>
      <w:pPr>
        <w:pStyle w:val="243"/>
        <w:numPr>
          <w:ilvl w:val="1"/>
          <w:numId w:val="0"/>
        </w:numPr>
        <w:spacing w:beforeLines="0" w:afterLines="0" w:line="360" w:lineRule="auto"/>
        <w:ind w:firstLine="420" w:firstLineChars="200"/>
        <w:jc w:val="both"/>
        <w:outlineLvl w:val="9"/>
      </w:pPr>
      <w:r>
        <w:rPr>
          <w:rFonts w:hint="eastAsia" w:ascii="宋体" w:hAnsi="宋体" w:eastAsia="宋体" w:cs="宋体"/>
        </w:rPr>
        <w:t xml:space="preserve">—— 食品安全检查制度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消防安全管理制度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经营场所及设备设施清洗消毒制度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设备设施维护制度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运输车辆清洁消毒制度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虫害治理制度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废弃物处置制度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记录文件管理制度</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B</w:t>
      </w:r>
      <w:r>
        <w:rPr>
          <w:rFonts w:hint="eastAsia" w:ascii="黑体" w:hAnsi="黑体" w:eastAsia="黑体" w:cs="黑体"/>
        </w:rPr>
        <w:t xml:space="preserve">.2.3 </w:t>
      </w:r>
      <w:r>
        <w:rPr>
          <w:rFonts w:hint="eastAsia" w:hAnsi="宋体" w:cs="宋体"/>
        </w:rPr>
        <w:t>服务岗位制度：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法定代表人安全责任制度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食品安全总监岗位责任制度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食品安全管理员岗位责任制度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食品检验员岗位责任制度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食材配送员岗位责任制度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消防安全管理员岗位责任制度</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卫生管理员岗位责任制度</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B</w:t>
      </w:r>
      <w:r>
        <w:rPr>
          <w:rFonts w:hint="eastAsia" w:ascii="黑体" w:hAnsi="黑体" w:eastAsia="黑体" w:cs="黑体"/>
        </w:rPr>
        <w:t xml:space="preserve">.3 </w:t>
      </w:r>
      <w:r>
        <w:rPr>
          <w:rFonts w:hint="eastAsia" w:hAnsi="宋体" w:cs="宋体"/>
          <w:szCs w:val="21"/>
        </w:rPr>
        <w:t>应制定与管理制度相适应的管理表单与记录文件，可分为服务提供记录、服务保障记录和服务岗位考评记录，宜包括但不限于：</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B</w:t>
      </w:r>
      <w:r>
        <w:rPr>
          <w:rFonts w:hint="eastAsia" w:ascii="黑体" w:hAnsi="黑体" w:eastAsia="黑体" w:cs="黑体"/>
        </w:rPr>
        <w:t xml:space="preserve">.3.1 </w:t>
      </w:r>
      <w:r>
        <w:rPr>
          <w:rFonts w:hint="eastAsia" w:hAnsi="宋体" w:cs="宋体"/>
        </w:rPr>
        <w:t>服务提供记录：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从业人员培训及考核记录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食材采购计划单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原料出入库记录表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产品交接记录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文件借阅管理记录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产品批次追溯记录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投诉处置记录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学校食堂投诉及处理情况记录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不合格品处置记录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食品召回记录表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食品销售记录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冷链运输过程监控记录 </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rPr>
        <w:t xml:space="preserve">A.3.2 </w:t>
      </w:r>
      <w:r>
        <w:rPr>
          <w:rFonts w:hint="eastAsia" w:hAnsi="宋体" w:cs="宋体"/>
        </w:rPr>
        <w:t>服务保障记录：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合格供货方名录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供货方评价记录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从业人员健康证明登记表</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从业人员健康检查记录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进货查验记录表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晨检记录表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作业区温湿度记录表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库温记录表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食品安全自查记录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消防安全检查记录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快检结果记录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第三方检测报告登记表</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设备设施清理消毒记录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设备设施维护记录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运输车辆清洁消毒记录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虫害治理记录表</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卫生检查记录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废弃物处置记录 </w:t>
      </w:r>
    </w:p>
    <w:p>
      <w:pPr>
        <w:pStyle w:val="167"/>
        <w:widowControl w:val="0"/>
        <w:numPr>
          <w:ilvl w:val="2"/>
          <w:numId w:val="0"/>
        </w:numPr>
        <w:spacing w:beforeLines="50" w:afterLines="50"/>
        <w:jc w:val="left"/>
        <w:rPr>
          <w:rFonts w:hAnsi="宋体" w:cs="宋体"/>
        </w:rPr>
      </w:pPr>
      <w:r>
        <w:rPr>
          <w:rFonts w:hint="eastAsia" w:ascii="黑体" w:hAnsi="黑体" w:eastAsia="黑体" w:cs="黑体"/>
          <w:lang w:val="en-US" w:eastAsia="zh-CN"/>
        </w:rPr>
        <w:t>B</w:t>
      </w:r>
      <w:r>
        <w:rPr>
          <w:rFonts w:hint="eastAsia" w:ascii="黑体" w:hAnsi="黑体" w:eastAsia="黑体" w:cs="黑体"/>
        </w:rPr>
        <w:t>.3.</w:t>
      </w:r>
      <w:r>
        <w:rPr>
          <w:rFonts w:hint="eastAsia" w:ascii="黑体" w:hAnsi="黑体" w:eastAsia="黑体" w:cs="黑体"/>
          <w:lang w:val="en-US" w:eastAsia="zh-CN"/>
        </w:rPr>
        <w:t>3</w:t>
      </w:r>
      <w:r>
        <w:rPr>
          <w:rFonts w:hint="eastAsia" w:ascii="黑体" w:hAnsi="黑体" w:eastAsia="黑体" w:cs="黑体"/>
        </w:rPr>
        <w:t xml:space="preserve"> </w:t>
      </w:r>
      <w:r>
        <w:rPr>
          <w:rFonts w:hint="eastAsia" w:hAnsi="宋体" w:cs="宋体"/>
        </w:rPr>
        <w:t>岗位考评记录：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xml:space="preserve">—— 法定代表人安全责任考评记录 </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食品安全总监岗位考评记录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食品安全管理员岗位考评记录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食品检验员岗位责任考评记录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食材配送员岗位责任考评记录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消防安全管理员岗位考评记录</w:t>
      </w:r>
    </w:p>
    <w:p>
      <w:pPr>
        <w:pStyle w:val="243"/>
        <w:numPr>
          <w:ilvl w:val="1"/>
          <w:numId w:val="0"/>
        </w:numPr>
        <w:spacing w:beforeLines="0" w:afterLines="0" w:line="360" w:lineRule="auto"/>
        <w:ind w:firstLine="420" w:firstLineChars="200"/>
        <w:jc w:val="both"/>
        <w:outlineLvl w:val="9"/>
        <w:rPr>
          <w:rFonts w:ascii="宋体" w:hAnsi="宋体" w:eastAsia="宋体" w:cs="宋体"/>
        </w:rPr>
      </w:pPr>
      <w:r>
        <w:rPr>
          <w:rFonts w:hint="eastAsia" w:ascii="宋体" w:hAnsi="宋体" w:eastAsia="宋体" w:cs="宋体"/>
        </w:rPr>
        <w:t>—— 卫生管理员岗位考评记录</w:t>
      </w:r>
    </w:p>
    <w:p>
      <w:pPr>
        <w:pStyle w:val="167"/>
        <w:widowControl w:val="0"/>
        <w:numPr>
          <w:ilvl w:val="2"/>
          <w:numId w:val="0"/>
        </w:numPr>
        <w:spacing w:beforeLines="50" w:afterLines="50"/>
        <w:jc w:val="left"/>
        <w:rPr>
          <w:rFonts w:hAnsi="宋体" w:cs="宋体"/>
        </w:rPr>
      </w:pPr>
    </w:p>
    <w:p>
      <w:pPr>
        <w:pStyle w:val="244"/>
        <w:sectPr>
          <w:headerReference r:id="rId16" w:type="default"/>
          <w:footerReference r:id="rId17" w:type="default"/>
          <w:footerReference r:id="rId18" w:type="even"/>
          <w:pgSz w:w="11900" w:h="16840"/>
          <w:pgMar w:top="1961" w:right="1388" w:bottom="1320" w:left="1272" w:header="1441" w:footer="794" w:gutter="0"/>
          <w:cols w:space="720" w:num="1"/>
        </w:sectPr>
      </w:pPr>
    </w:p>
    <w:p>
      <w:pPr>
        <w:pStyle w:val="68"/>
        <w:spacing w:beforeLines="50" w:afterLines="0" w:line="360" w:lineRule="auto"/>
        <w:rPr>
          <w:rFonts w:hint="eastAsia" w:eastAsia="黑体"/>
          <w:spacing w:val="105"/>
          <w:lang w:eastAsia="zh-CN"/>
        </w:rPr>
      </w:pPr>
      <w:bookmarkStart w:id="120" w:name="_Toc7436"/>
      <w:bookmarkStart w:id="121" w:name="_Toc19290"/>
      <w:r>
        <w:rPr>
          <w:rFonts w:hint="eastAsia"/>
          <w:spacing w:val="105"/>
        </w:rPr>
        <w:t>附录</w:t>
      </w:r>
      <w:bookmarkEnd w:id="120"/>
      <w:r>
        <w:rPr>
          <w:rFonts w:hint="eastAsia"/>
          <w:spacing w:val="105"/>
          <w:lang w:val="en-US" w:eastAsia="zh-CN"/>
        </w:rPr>
        <w:t>C</w:t>
      </w:r>
      <w:bookmarkEnd w:id="121"/>
    </w:p>
    <w:p>
      <w:pPr>
        <w:pStyle w:val="243"/>
        <w:numPr>
          <w:ilvl w:val="1"/>
          <w:numId w:val="0"/>
        </w:numPr>
        <w:spacing w:beforeLines="0" w:afterLines="0" w:line="360" w:lineRule="auto"/>
        <w:jc w:val="center"/>
        <w:outlineLvl w:val="9"/>
        <w:rPr>
          <w:rFonts w:ascii="宋体" w:hAnsi="宋体" w:eastAsia="宋体" w:cs="宋体"/>
        </w:rPr>
      </w:pPr>
      <w:r>
        <w:rPr>
          <w:rFonts w:hint="eastAsia" w:ascii="宋体" w:hAnsi="宋体" w:eastAsia="宋体" w:cs="宋体"/>
        </w:rPr>
        <w:t>（规范性）</w:t>
      </w:r>
    </w:p>
    <w:p>
      <w:pPr>
        <w:pStyle w:val="167"/>
        <w:widowControl w:val="0"/>
        <w:numPr>
          <w:ilvl w:val="2"/>
          <w:numId w:val="0"/>
        </w:numPr>
        <w:spacing w:afterLines="100" w:line="360" w:lineRule="auto"/>
        <w:jc w:val="center"/>
        <w:rPr>
          <w:rFonts w:ascii="黑体" w:hAnsi="黑体" w:eastAsia="黑体" w:cs="黑体"/>
        </w:rPr>
      </w:pPr>
      <w:r>
        <w:rPr>
          <w:rFonts w:hint="eastAsia" w:ascii="黑体" w:eastAsia="黑体"/>
        </w:rPr>
        <w:t>食材配送服务质量主要评价指标</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C</w:t>
      </w:r>
      <w:r>
        <w:rPr>
          <w:rFonts w:hint="eastAsia" w:ascii="黑体" w:hAnsi="黑体" w:eastAsia="黑体" w:cs="黑体"/>
        </w:rPr>
        <w:t xml:space="preserve">.1  </w:t>
      </w:r>
      <w:r>
        <w:rPr>
          <w:rFonts w:hint="eastAsia" w:ascii="黑体" w:eastAsia="黑体"/>
        </w:rPr>
        <w:t>服务质量主要评价指标</w:t>
      </w:r>
    </w:p>
    <w:p>
      <w:pPr>
        <w:pStyle w:val="167"/>
        <w:widowControl w:val="0"/>
        <w:numPr>
          <w:ilvl w:val="2"/>
          <w:numId w:val="0"/>
        </w:numPr>
        <w:spacing w:beforeLines="50" w:afterLines="50"/>
        <w:ind w:firstLine="420" w:firstLineChars="200"/>
        <w:jc w:val="left"/>
        <w:rPr>
          <w:rFonts w:hAnsi="宋体" w:cs="宋体"/>
          <w:szCs w:val="21"/>
        </w:rPr>
      </w:pPr>
      <w:r>
        <w:rPr>
          <w:rFonts w:hint="eastAsia" w:hAnsi="宋体" w:cs="宋体"/>
          <w:szCs w:val="21"/>
        </w:rPr>
        <w:t>评价食材</w:t>
      </w:r>
      <w:bookmarkStart w:id="125" w:name="_GoBack"/>
      <w:bookmarkEnd w:id="125"/>
      <w:r>
        <w:rPr>
          <w:rFonts w:hint="eastAsia" w:hAnsi="宋体" w:cs="宋体"/>
          <w:szCs w:val="21"/>
        </w:rPr>
        <w:t>配送服务商的服务质量的主要评价指标有配送差错率、准时送达率和订单完成率。</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C</w:t>
      </w:r>
      <w:r>
        <w:rPr>
          <w:rFonts w:hint="eastAsia" w:ascii="黑体" w:hAnsi="黑体" w:eastAsia="黑体" w:cs="黑体"/>
        </w:rPr>
        <w:t>.1.1　供货差错率</w:t>
      </w:r>
    </w:p>
    <w:p>
      <w:pPr>
        <w:pStyle w:val="167"/>
        <w:widowControl w:val="0"/>
        <w:numPr>
          <w:ilvl w:val="2"/>
          <w:numId w:val="0"/>
        </w:numPr>
        <w:spacing w:beforeLines="50" w:afterLines="50"/>
        <w:ind w:firstLine="420" w:firstLineChars="200"/>
        <w:jc w:val="left"/>
        <w:rPr>
          <w:rFonts w:hAnsi="宋体" w:cs="宋体"/>
        </w:rPr>
      </w:pPr>
      <w:r>
        <w:rPr>
          <w:rFonts w:hint="eastAsia" w:hAnsi="宋体" w:cs="宋体"/>
        </w:rPr>
        <w:t>考核期内，配送累计差错笔数占配送总笔数的比率。按式(1)计算:</w:t>
      </w:r>
    </w:p>
    <w:p>
      <w:pPr>
        <w:pStyle w:val="167"/>
        <w:widowControl w:val="0"/>
        <w:numPr>
          <w:ilvl w:val="2"/>
          <w:numId w:val="0"/>
        </w:numPr>
        <w:spacing w:beforeLines="50" w:afterLines="50"/>
        <w:ind w:right="1478" w:rightChars="704"/>
        <w:jc w:val="right"/>
        <w:rPr>
          <w:rFonts w:ascii="黑体" w:hAnsi="黑体" w:eastAsia="黑体" w:cs="黑体"/>
        </w:rPr>
      </w:pPr>
      <w:r>
        <w:rPr>
          <w:rFonts w:hint="eastAsia" w:ascii="黑体" w:hAnsi="黑体" w:eastAsia="黑体" w:cs="黑体"/>
          <w:position w:val="-26"/>
        </w:rPr>
        <w:object>
          <v:shape id="_x0000_i1025" o:spt="75" type="#_x0000_t75" style="height:28.45pt;width:183.35pt;" o:ole="t" filled="f" o:preferrelative="t" stroked="f" coordsize="21600,21600">
            <v:path/>
            <v:fill on="f" focussize="0,0"/>
            <v:stroke on="f" joinstyle="miter"/>
            <v:imagedata r:id="rId26" o:title=""/>
            <o:lock v:ext="edit" aspectratio="t"/>
            <w10:wrap type="none"/>
            <w10:anchorlock/>
          </v:shape>
          <o:OLEObject Type="Embed" ProgID="Equations" ShapeID="_x0000_i1025" DrawAspect="Content" ObjectID="_1468075725" r:id="rId25">
            <o:LockedField>false</o:LockedField>
          </o:OLEObject>
        </w:object>
      </w:r>
      <w:r>
        <w:rPr>
          <w:rFonts w:hint="eastAsia" w:ascii="黑体" w:hAnsi="黑体" w:eastAsia="黑体" w:cs="黑体"/>
        </w:rPr>
        <w:t>…………………（1）</w:t>
      </w:r>
    </w:p>
    <w:p>
      <w:pPr>
        <w:pStyle w:val="167"/>
        <w:widowControl w:val="0"/>
        <w:numPr>
          <w:ilvl w:val="2"/>
          <w:numId w:val="0"/>
        </w:numPr>
        <w:spacing w:beforeLines="50" w:afterLines="50"/>
        <w:ind w:firstLine="420" w:firstLineChars="200"/>
        <w:jc w:val="left"/>
        <w:rPr>
          <w:rFonts w:hAnsi="宋体" w:cs="宋体"/>
        </w:rPr>
      </w:pPr>
      <w:r>
        <w:rPr>
          <w:rFonts w:hint="eastAsia" w:hAnsi="宋体" w:cs="宋体"/>
        </w:rPr>
        <w:t>式中:</w:t>
      </w:r>
    </w:p>
    <w:p>
      <w:pPr>
        <w:pStyle w:val="167"/>
        <w:widowControl w:val="0"/>
        <w:numPr>
          <w:ilvl w:val="2"/>
          <w:numId w:val="0"/>
        </w:numPr>
        <w:spacing w:beforeLines="50" w:afterLines="50"/>
        <w:ind w:firstLine="420" w:firstLineChars="200"/>
        <w:jc w:val="left"/>
        <w:rPr>
          <w:rFonts w:hAnsi="宋体" w:cs="宋体"/>
        </w:rPr>
      </w:pPr>
      <w:r>
        <w:rPr>
          <w:rFonts w:hint="eastAsia" w:hAnsi="宋体" w:cs="宋体"/>
        </w:rPr>
        <w:t>笔数指订单的行数。</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C</w:t>
      </w:r>
      <w:r>
        <w:rPr>
          <w:rFonts w:hint="eastAsia" w:ascii="黑体" w:hAnsi="黑体" w:eastAsia="黑体" w:cs="黑体"/>
        </w:rPr>
        <w:t>.1.2　准时送达率</w:t>
      </w:r>
    </w:p>
    <w:p>
      <w:pPr>
        <w:pStyle w:val="167"/>
        <w:widowControl w:val="0"/>
        <w:numPr>
          <w:ilvl w:val="2"/>
          <w:numId w:val="0"/>
        </w:numPr>
        <w:spacing w:beforeLines="50" w:afterLines="50"/>
        <w:ind w:firstLine="420" w:firstLineChars="200"/>
        <w:jc w:val="left"/>
        <w:rPr>
          <w:rFonts w:hAnsi="宋体" w:cs="宋体"/>
        </w:rPr>
      </w:pPr>
      <w:r>
        <w:rPr>
          <w:rFonts w:hint="eastAsia" w:hAnsi="宋体" w:cs="宋体"/>
        </w:rPr>
        <w:t>考核期内，将食材准时送达目的地的订单数量占订单总数量的比率。按式(2)计算:</w:t>
      </w:r>
    </w:p>
    <w:p>
      <w:pPr>
        <w:pStyle w:val="167"/>
        <w:widowControl w:val="0"/>
        <w:numPr>
          <w:ilvl w:val="2"/>
          <w:numId w:val="0"/>
        </w:numPr>
        <w:spacing w:beforeLines="50" w:afterLines="50"/>
        <w:ind w:right="1478" w:rightChars="704"/>
        <w:jc w:val="right"/>
        <w:rPr>
          <w:rFonts w:ascii="黑体" w:hAnsi="黑体" w:eastAsia="黑体" w:cs="黑体"/>
        </w:rPr>
      </w:pPr>
      <w:r>
        <w:rPr>
          <w:rFonts w:hint="eastAsia" w:ascii="黑体" w:hAnsi="黑体" w:eastAsia="黑体" w:cs="黑体"/>
        </w:rPr>
        <w:t xml:space="preserve"> </w:t>
      </w:r>
      <w:r>
        <w:rPr>
          <w:rFonts w:hint="eastAsia" w:ascii="黑体" w:hAnsi="黑体" w:eastAsia="黑体" w:cs="黑体"/>
          <w:position w:val="-26"/>
        </w:rPr>
        <w:object>
          <v:shape id="_x0000_i1026" o:spt="75" type="#_x0000_t75" style="height:30.15pt;width:180.85pt;" o:ole="t" filled="f" o:preferrelative="t" stroked="f" coordsize="21600,21600">
            <v:path/>
            <v:fill on="f" focussize="0,0"/>
            <v:stroke on="f" joinstyle="miter"/>
            <v:imagedata r:id="rId28" o:title=""/>
            <o:lock v:ext="edit" aspectratio="t"/>
            <w10:wrap type="none"/>
            <w10:anchorlock/>
          </v:shape>
          <o:OLEObject Type="Embed" ProgID="Equations" ShapeID="_x0000_i1026" DrawAspect="Content" ObjectID="_1468075726" r:id="rId27">
            <o:LockedField>false</o:LockedField>
          </o:OLEObject>
        </w:object>
      </w:r>
      <w:r>
        <w:rPr>
          <w:rFonts w:hint="eastAsia" w:ascii="黑体" w:hAnsi="黑体" w:eastAsia="黑体" w:cs="黑体"/>
        </w:rPr>
        <w:t xml:space="preserve"> ………………（2）</w:t>
      </w:r>
    </w:p>
    <w:p>
      <w:pPr>
        <w:pStyle w:val="167"/>
        <w:widowControl w:val="0"/>
        <w:numPr>
          <w:ilvl w:val="2"/>
          <w:numId w:val="0"/>
        </w:numPr>
        <w:spacing w:beforeLines="50" w:afterLines="50"/>
        <w:jc w:val="left"/>
        <w:rPr>
          <w:rFonts w:ascii="黑体" w:hAnsi="黑体" w:eastAsia="黑体" w:cs="黑体"/>
        </w:rPr>
      </w:pPr>
      <w:r>
        <w:rPr>
          <w:rFonts w:hint="eastAsia" w:ascii="黑体" w:hAnsi="黑体" w:eastAsia="黑体" w:cs="黑体"/>
          <w:lang w:val="en-US" w:eastAsia="zh-CN"/>
        </w:rPr>
        <w:t>C</w:t>
      </w:r>
      <w:r>
        <w:rPr>
          <w:rFonts w:hint="eastAsia" w:ascii="黑体" w:hAnsi="黑体" w:eastAsia="黑体" w:cs="黑体"/>
        </w:rPr>
        <w:t>.1.3　订单完成率</w:t>
      </w:r>
    </w:p>
    <w:p>
      <w:pPr>
        <w:pStyle w:val="167"/>
        <w:widowControl w:val="0"/>
        <w:numPr>
          <w:ilvl w:val="2"/>
          <w:numId w:val="0"/>
        </w:numPr>
        <w:spacing w:beforeLines="50" w:afterLines="50"/>
        <w:ind w:firstLine="420" w:firstLineChars="200"/>
        <w:jc w:val="left"/>
        <w:rPr>
          <w:rFonts w:hAnsi="宋体" w:cs="宋体"/>
        </w:rPr>
      </w:pPr>
      <w:r>
        <w:rPr>
          <w:rFonts w:hint="eastAsia" w:hAnsi="宋体" w:cs="宋体"/>
        </w:rPr>
        <w:t>考核期内，完成订单数占订单总数的比率。按式(3)计算:</w:t>
      </w:r>
    </w:p>
    <w:p>
      <w:pPr>
        <w:pStyle w:val="167"/>
        <w:widowControl w:val="0"/>
        <w:numPr>
          <w:ilvl w:val="2"/>
          <w:numId w:val="0"/>
        </w:numPr>
        <w:spacing w:beforeLines="50" w:afterLines="50"/>
        <w:ind w:right="1478" w:rightChars="704"/>
        <w:jc w:val="right"/>
        <w:rPr>
          <w:rFonts w:ascii="黑体" w:hAnsi="黑体" w:eastAsia="黑体" w:cs="黑体"/>
        </w:rPr>
      </w:pPr>
      <w:r>
        <w:rPr>
          <w:rFonts w:hint="eastAsia" w:ascii="黑体" w:hAnsi="黑体" w:eastAsia="黑体" w:cs="黑体"/>
          <w:position w:val="-26"/>
        </w:rPr>
        <w:object>
          <v:shape id="_x0000_i1027" o:spt="75" type="#_x0000_t75" style="height:30.15pt;width:158.25pt;" o:ole="t" filled="f" o:preferrelative="t" stroked="f" coordsize="21600,21600">
            <v:path/>
            <v:fill on="f" focussize="0,0"/>
            <v:stroke on="f" joinstyle="miter"/>
            <v:imagedata r:id="rId30" o:title=""/>
            <o:lock v:ext="edit" aspectratio="t"/>
            <w10:wrap type="none"/>
            <w10:anchorlock/>
          </v:shape>
          <o:OLEObject Type="Embed" ProgID="Equations" ShapeID="_x0000_i1027" DrawAspect="Content" ObjectID="_1468075727" r:id="rId29">
            <o:LockedField>false</o:LockedField>
          </o:OLEObject>
        </w:object>
      </w:r>
      <w:r>
        <w:rPr>
          <w:rFonts w:hint="eastAsia" w:ascii="黑体" w:hAnsi="黑体" w:eastAsia="黑体" w:cs="黑体"/>
        </w:rPr>
        <w:t xml:space="preserve">  ………………（3）</w:t>
      </w:r>
    </w:p>
    <w:bookmarkEnd w:id="20"/>
    <w:bookmarkEnd w:id="31"/>
    <w:bookmarkEnd w:id="32"/>
    <w:bookmarkEnd w:id="33"/>
    <w:bookmarkEnd w:id="34"/>
    <w:bookmarkEnd w:id="35"/>
    <w:p>
      <w:pPr>
        <w:rPr>
          <w:spacing w:val="105"/>
        </w:rPr>
      </w:pPr>
      <w:bookmarkStart w:id="122" w:name="BookMark6"/>
      <w:r>
        <w:rPr>
          <w:rFonts w:hint="eastAsia"/>
          <w:spacing w:val="105"/>
        </w:rPr>
        <w:br w:type="page"/>
      </w:r>
    </w:p>
    <w:p>
      <w:pPr>
        <w:pStyle w:val="68"/>
        <w:spacing w:after="156"/>
      </w:pPr>
      <w:bookmarkStart w:id="123" w:name="_Toc15470"/>
      <w:r>
        <w:rPr>
          <w:rFonts w:hint="eastAsia"/>
          <w:spacing w:val="105"/>
        </w:rPr>
        <w:t>参考文</w:t>
      </w:r>
      <w:r>
        <w:rPr>
          <w:rFonts w:hint="eastAsia"/>
        </w:rPr>
        <w:t>献</w:t>
      </w:r>
      <w:bookmarkEnd w:id="123"/>
    </w:p>
    <w:p>
      <w:pPr>
        <w:pStyle w:val="61"/>
        <w:numPr>
          <w:ilvl w:val="0"/>
          <w:numId w:val="34"/>
        </w:numPr>
        <w:ind w:firstLine="360"/>
        <w:rPr>
          <w:sz w:val="18"/>
          <w:szCs w:val="18"/>
        </w:rPr>
      </w:pPr>
      <w:r>
        <w:rPr>
          <w:rFonts w:hint="eastAsia"/>
          <w:sz w:val="18"/>
          <w:szCs w:val="18"/>
        </w:rPr>
        <w:t xml:space="preserve">教育部 国家市场监督管理总局 国家卫生健康委员会 学校食品安全与营养健康管理规定 〔2019〕第45号令  </w:t>
      </w:r>
    </w:p>
    <w:p>
      <w:pPr>
        <w:pStyle w:val="61"/>
        <w:numPr>
          <w:ilvl w:val="0"/>
          <w:numId w:val="34"/>
        </w:numPr>
        <w:ind w:firstLine="360"/>
        <w:rPr>
          <w:sz w:val="18"/>
          <w:szCs w:val="18"/>
        </w:rPr>
      </w:pPr>
      <w:r>
        <w:rPr>
          <w:rFonts w:hint="eastAsia"/>
          <w:sz w:val="18"/>
          <w:szCs w:val="18"/>
        </w:rPr>
        <w:t>教育部办公厅 中小学校园食品安全和膳食经费管理工作指引 教体艺厅函〔2024〕39号</w:t>
      </w:r>
    </w:p>
    <w:p>
      <w:pPr>
        <w:pStyle w:val="61"/>
        <w:numPr>
          <w:ilvl w:val="0"/>
          <w:numId w:val="34"/>
        </w:numPr>
        <w:ind w:firstLine="360"/>
        <w:rPr>
          <w:sz w:val="18"/>
          <w:szCs w:val="18"/>
        </w:rPr>
      </w:pPr>
      <w:r>
        <w:rPr>
          <w:rFonts w:hint="eastAsia"/>
          <w:sz w:val="18"/>
          <w:szCs w:val="18"/>
        </w:rPr>
        <w:t>国家食品药品监督管理总局 食品召回管理办法（修订版）〔2020〕第31号令</w:t>
      </w:r>
    </w:p>
    <w:p>
      <w:pPr>
        <w:pStyle w:val="61"/>
        <w:numPr>
          <w:ilvl w:val="0"/>
          <w:numId w:val="34"/>
        </w:numPr>
        <w:ind w:firstLine="360"/>
        <w:rPr>
          <w:sz w:val="18"/>
          <w:szCs w:val="18"/>
        </w:rPr>
      </w:pPr>
      <w:r>
        <w:rPr>
          <w:rFonts w:hint="eastAsia"/>
          <w:sz w:val="18"/>
          <w:szCs w:val="18"/>
        </w:rPr>
        <w:t xml:space="preserve">国家市场监督管理总局 企业落实食品安全主体责任监督管理规定 〔2022〕第60号令 </w:t>
      </w:r>
    </w:p>
    <w:p>
      <w:pPr>
        <w:pStyle w:val="61"/>
        <w:numPr>
          <w:ilvl w:val="0"/>
          <w:numId w:val="34"/>
        </w:numPr>
        <w:ind w:firstLine="360"/>
        <w:rPr>
          <w:sz w:val="18"/>
          <w:szCs w:val="18"/>
        </w:rPr>
      </w:pPr>
      <w:r>
        <w:rPr>
          <w:rFonts w:hint="eastAsia"/>
          <w:sz w:val="18"/>
          <w:szCs w:val="18"/>
        </w:rPr>
        <w:t>国家市场监管总局 食品标签监督管理办法〔2024〕第100号令</w:t>
      </w:r>
    </w:p>
    <w:p>
      <w:pPr>
        <w:pStyle w:val="61"/>
        <w:numPr>
          <w:ilvl w:val="0"/>
          <w:numId w:val="34"/>
        </w:numPr>
        <w:ind w:firstLine="360"/>
        <w:rPr>
          <w:sz w:val="18"/>
          <w:szCs w:val="18"/>
        </w:rPr>
      </w:pPr>
      <w:r>
        <w:rPr>
          <w:rFonts w:hint="eastAsia"/>
          <w:sz w:val="18"/>
          <w:szCs w:val="18"/>
        </w:rPr>
        <w:t>广东省第十二届人民代表大会常务委员会 广东省食品安全条例（修订版）〔2023〕第61号公告</w:t>
      </w:r>
    </w:p>
    <w:p>
      <w:pPr>
        <w:pStyle w:val="61"/>
        <w:numPr>
          <w:ilvl w:val="0"/>
          <w:numId w:val="34"/>
        </w:numPr>
        <w:ind w:firstLine="360"/>
        <w:rPr>
          <w:sz w:val="18"/>
          <w:szCs w:val="18"/>
        </w:rPr>
      </w:pPr>
      <w:r>
        <w:rPr>
          <w:rFonts w:hint="eastAsia"/>
          <w:sz w:val="18"/>
          <w:szCs w:val="18"/>
        </w:rPr>
        <w:t>广东省市场监督管理局 关于广东省食品安全管理人员的管理办法 粤市监规字〔2019〕5号</w:t>
      </w:r>
    </w:p>
    <w:p>
      <w:pPr>
        <w:pStyle w:val="61"/>
        <w:numPr>
          <w:ilvl w:val="0"/>
          <w:numId w:val="34"/>
        </w:numPr>
        <w:ind w:firstLine="360"/>
        <w:rPr>
          <w:sz w:val="18"/>
          <w:szCs w:val="18"/>
        </w:rPr>
      </w:pPr>
      <w:r>
        <w:rPr>
          <w:rFonts w:hint="eastAsia"/>
          <w:sz w:val="18"/>
          <w:szCs w:val="18"/>
        </w:rPr>
        <w:t>广东省市场监督管理局 关于食品从业人员健康检查的管理办法 粤市监规字〔2019〕6号</w:t>
      </w:r>
    </w:p>
    <w:p>
      <w:pPr>
        <w:pStyle w:val="61"/>
        <w:numPr>
          <w:ilvl w:val="0"/>
          <w:numId w:val="34"/>
        </w:numPr>
        <w:ind w:firstLine="360"/>
        <w:rPr>
          <w:sz w:val="18"/>
          <w:szCs w:val="18"/>
        </w:rPr>
      </w:pPr>
      <w:r>
        <w:rPr>
          <w:rFonts w:hint="eastAsia"/>
          <w:sz w:val="18"/>
          <w:szCs w:val="18"/>
        </w:rPr>
        <w:t>广东省市场监督管理局 广东省教育厅 广东省人力资源和社会保障厅 广东省加强学生集体用餐配送单位食品安全管理指导意见 粤市监〔2023〕60号</w:t>
      </w:r>
    </w:p>
    <w:p>
      <w:pPr>
        <w:pStyle w:val="61"/>
        <w:numPr>
          <w:ilvl w:val="0"/>
          <w:numId w:val="34"/>
        </w:numPr>
        <w:ind w:firstLine="360"/>
        <w:rPr>
          <w:sz w:val="18"/>
          <w:szCs w:val="18"/>
        </w:rPr>
      </w:pPr>
      <w:r>
        <w:rPr>
          <w:rFonts w:hint="eastAsia"/>
          <w:sz w:val="18"/>
          <w:szCs w:val="18"/>
        </w:rPr>
        <w:t>广东省市场监督管理局 学校集体用餐配送单位实验室检验检测能力建设指南 粤市监食经〔2023〕533号</w:t>
      </w:r>
    </w:p>
    <w:p>
      <w:pPr>
        <w:pStyle w:val="61"/>
        <w:numPr>
          <w:ilvl w:val="0"/>
          <w:numId w:val="34"/>
        </w:numPr>
        <w:ind w:firstLine="360"/>
        <w:rPr>
          <w:sz w:val="18"/>
          <w:szCs w:val="18"/>
        </w:rPr>
      </w:pPr>
      <w:r>
        <w:rPr>
          <w:rFonts w:hint="eastAsia"/>
          <w:sz w:val="18"/>
          <w:szCs w:val="18"/>
        </w:rPr>
        <w:t>广东省市场监督管理局 食品经营许可和备案实施细则 粤市监规字〔2025〕1号</w:t>
      </w:r>
    </w:p>
    <w:p>
      <w:pPr>
        <w:pStyle w:val="61"/>
        <w:numPr>
          <w:ilvl w:val="0"/>
          <w:numId w:val="34"/>
        </w:numPr>
        <w:ind w:firstLine="360"/>
        <w:rPr>
          <w:rFonts w:hint="eastAsia"/>
          <w:sz w:val="18"/>
          <w:szCs w:val="18"/>
        </w:rPr>
      </w:pPr>
      <w:r>
        <w:rPr>
          <w:rFonts w:hint="eastAsia"/>
          <w:sz w:val="18"/>
          <w:szCs w:val="18"/>
        </w:rPr>
        <w:t>GB/T 40040-2021 餐饮业供应链管理指南</w:t>
      </w:r>
    </w:p>
    <w:p>
      <w:pPr>
        <w:pStyle w:val="61"/>
        <w:numPr>
          <w:ilvl w:val="0"/>
          <w:numId w:val="34"/>
        </w:numPr>
        <w:ind w:firstLine="360"/>
        <w:rPr>
          <w:sz w:val="18"/>
          <w:szCs w:val="18"/>
        </w:rPr>
      </w:pPr>
      <w:r>
        <w:rPr>
          <w:rFonts w:hint="eastAsia"/>
          <w:sz w:val="18"/>
          <w:szCs w:val="18"/>
        </w:rPr>
        <w:t>SB/T 10857-2012 餐饮配送服务规范</w:t>
      </w:r>
    </w:p>
    <w:bookmarkEnd w:id="122"/>
    <w:p>
      <w:pPr>
        <w:pStyle w:val="167"/>
        <w:numPr>
          <w:ilvl w:val="2"/>
          <w:numId w:val="0"/>
        </w:numPr>
        <w:jc w:val="center"/>
      </w:pPr>
      <w:bookmarkStart w:id="124" w:name="BookMark8"/>
      <w:r>
        <w:rPr>
          <w:rFonts w:hint="eastAsia"/>
        </w:rPr>
        <w:drawing>
          <wp:inline distT="0" distB="0" distL="0" distR="0">
            <wp:extent cx="1485900" cy="317500"/>
            <wp:effectExtent l="0" t="0" r="0" b="6350"/>
            <wp:docPr id="1267126701" name="图片 1"/>
            <wp:cNvGraphicFramePr/>
            <a:graphic xmlns:a="http://schemas.openxmlformats.org/drawingml/2006/main">
              <a:graphicData uri="http://schemas.openxmlformats.org/drawingml/2006/picture">
                <pic:pic xmlns:pic="http://schemas.openxmlformats.org/drawingml/2006/picture">
                  <pic:nvPicPr>
                    <pic:cNvPr id="1267126701" name="图片 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4"/>
    </w:p>
    <w:p>
      <w:pPr>
        <w:pStyle w:val="167"/>
        <w:numPr>
          <w:ilvl w:val="2"/>
          <w:numId w:val="0"/>
        </w:numPr>
        <w:jc w:val="center"/>
      </w:pPr>
    </w:p>
    <w:p>
      <w:pPr>
        <w:pStyle w:val="167"/>
        <w:numPr>
          <w:ilvl w:val="2"/>
          <w:numId w:val="0"/>
        </w:numPr>
      </w:pPr>
    </w:p>
    <w:sectPr>
      <w:headerReference r:id="rId19" w:type="default"/>
      <w:footerReference r:id="rId21" w:type="default"/>
      <w:headerReference r:id="rId20" w:type="even"/>
      <w:footerReference r:id="rId22" w:type="even"/>
      <w:pgSz w:w="11906" w:h="16838"/>
      <w:pgMar w:top="1928" w:right="1134" w:bottom="1134" w:left="135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Noto Sans Mono CJK HK">
    <w:panose1 w:val="020B0500000000000000"/>
    <w:charset w:val="88"/>
    <w:family w:val="swiss"/>
    <w:pitch w:val="default"/>
    <w:sig w:usb0="30000083" w:usb1="2BDF3C10" w:usb2="00000016" w:usb3="00000000" w:csb0="603A0107" w:csb1="00000000"/>
  </w:font>
  <w:font w:name="微软雅黑">
    <w:altName w:val="黑体"/>
    <w:panose1 w:val="020B0503020204020204"/>
    <w:charset w:val="86"/>
    <w:family w:val="swiss"/>
    <w:pitch w:val="default"/>
    <w:sig w:usb0="00000000" w:usb1="00000000" w:usb2="00000016" w:usb3="00000000" w:csb0="0004001F" w:csb1="00000000"/>
  </w:font>
  <w:font w:name="Segoe UI">
    <w:altName w:val="Noto Naskh Arabic"/>
    <w:panose1 w:val="020B0502040204020203"/>
    <w:charset w:val="00"/>
    <w:family w:val="swiss"/>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思源宋体">
    <w:panose1 w:val="02020400000000000000"/>
    <w:charset w:val="86"/>
    <w:family w:val="auto"/>
    <w:pitch w:val="default"/>
    <w:sig w:usb0="30000083" w:usb1="2BDF3C10" w:usb2="00000016" w:usb3="00000000" w:csb0="602E0107" w:csb1="00000000"/>
  </w:font>
  <w:font w:name="GWZT-EN">
    <w:panose1 w:val="020204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ge">
                <wp:posOffset>9830435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6"/>
                          </w:pPr>
                          <w:r>
                            <w:fldChar w:fldCharType="begin"/>
                          </w:r>
                          <w:r>
                            <w:instrText xml:space="preserve"> PAGE   \* MERGEFORMAT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74.05pt;height:144pt;width:144pt;mso-position-horizontal:outside;mso-position-horizontal-relative:margin;mso-position-vertical-relative:page;mso-wrap-style:none;z-index:251665408;mso-width-relative:page;mso-height-relative:page;" filled="f" stroked="f" coordsize="21600,21600" o:gfxdata="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OlVKi/WAAAACgEAAA8AAAAA&#10;AAAAAQAgAAAAOAAAAGRycy9kb3ducmV2LnhtbFBLAQIUABQAAAAIAIdO4kCfD1K+OQIAAHEEAAAO&#10;AAAAAAAAAAEAIAAAADsBAABkcnMvZTJvRG9jLnhtbFBLBQYAAAAABgAGAFkBAADmBQAAAAA=&#10;">
              <v:fill on="f" focussize="0,0"/>
              <v:stroke on="f" weight="0.5pt"/>
              <v:imagedata o:title=""/>
              <o:lock v:ext="edit" aspectratio="f"/>
              <v:textbox inset="0mm,0mm,0mm,0mm" style="mso-fit-shape-to-text:t;">
                <w:txbxContent>
                  <w:p>
                    <w:pPr>
                      <w:pStyle w:val="56"/>
                    </w:pPr>
                    <w:r>
                      <w:fldChar w:fldCharType="begin"/>
                    </w:r>
                    <w:r>
                      <w:instrText xml:space="preserve"> PAGE   \* MERGEFORMAT \* MERGEFORMAT </w:instrText>
                    </w:r>
                    <w:r>
                      <w:fldChar w:fldCharType="separate"/>
                    </w:r>
                    <w:r>
                      <w:t>14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sz w:val="21"/>
        <w:szCs w:val="22"/>
      </w:rPr>
      <w:fldChar w:fldCharType="begin"/>
    </w:r>
    <w:r>
      <w:rPr>
        <w:sz w:val="21"/>
        <w:szCs w:val="22"/>
      </w:rPr>
      <w:instrText xml:space="preserve">PAGE   \* MERGEFORMAT</w:instrText>
    </w:r>
    <w:r>
      <w:rPr>
        <w:sz w:val="21"/>
        <w:szCs w:val="22"/>
      </w:rPr>
      <w:fldChar w:fldCharType="separate"/>
    </w:r>
    <w:r>
      <w:rPr>
        <w:sz w:val="21"/>
        <w:szCs w:val="22"/>
        <w:lang w:val="zh-CN"/>
      </w:rPr>
      <w:t>I</w:t>
    </w:r>
    <w:r>
      <w:rPr>
        <w:sz w:val="21"/>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rPr>
        <w:sz w:val="21"/>
        <w:szCs w:val="22"/>
      </w:rPr>
    </w:pPr>
    <w:r>
      <w:rPr>
        <w:sz w:val="21"/>
        <w:szCs w:val="22"/>
      </w:rPr>
      <w:fldChar w:fldCharType="begin"/>
    </w:r>
    <w:r>
      <w:rPr>
        <w:sz w:val="21"/>
        <w:szCs w:val="22"/>
      </w:rPr>
      <w:instrText xml:space="preserve"> PAGE   \* MERGEFORMAT \* MERGEFORMAT </w:instrText>
    </w:r>
    <w:r>
      <w:rPr>
        <w:sz w:val="21"/>
        <w:szCs w:val="22"/>
      </w:rPr>
      <w:fldChar w:fldCharType="separate"/>
    </w:r>
    <w:r>
      <w:rPr>
        <w:sz w:val="21"/>
        <w:szCs w:val="22"/>
      </w:rPr>
      <w:t>II</w:t>
    </w:r>
    <w:r>
      <w:rPr>
        <w:sz w:val="21"/>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ge">
                <wp:posOffset>9830435</wp:posOffset>
              </wp:positionV>
              <wp:extent cx="223520" cy="421005"/>
              <wp:effectExtent l="0" t="0" r="0" b="0"/>
              <wp:wrapNone/>
              <wp:docPr id="6" name="文本框 6"/>
              <wp:cNvGraphicFramePr/>
              <a:graphic xmlns:a="http://schemas.openxmlformats.org/drawingml/2006/main">
                <a:graphicData uri="http://schemas.microsoft.com/office/word/2010/wordprocessingShape">
                  <wps:wsp>
                    <wps:cNvSpPr txBox="1"/>
                    <wps:spPr>
                      <a:xfrm>
                        <a:off x="0" y="0"/>
                        <a:ext cx="223520" cy="421005"/>
                      </a:xfrm>
                      <a:prstGeom prst="rect">
                        <a:avLst/>
                      </a:prstGeom>
                      <a:noFill/>
                      <a:ln>
                        <a:noFill/>
                      </a:ln>
                    </wps:spPr>
                    <wps:txbx>
                      <w:txbxContent>
                        <w:p>
                          <w:pPr>
                            <w:spacing w:line="213" w:lineRule="exact"/>
                            <w:ind w:left="60"/>
                            <w:rPr>
                              <w:sz w:val="19"/>
                            </w:rPr>
                          </w:pPr>
                          <w:r>
                            <w:rPr>
                              <w:rFonts w:hint="eastAsia" w:ascii="宋体" w:hAnsi="宋体" w:eastAsia="宋体" w:cs="宋体"/>
                              <w:sz w:val="21"/>
                              <w:szCs w:val="24"/>
                            </w:rPr>
                            <w:fldChar w:fldCharType="begin"/>
                          </w:r>
                          <w:r>
                            <w:rPr>
                              <w:rFonts w:hint="eastAsia" w:ascii="宋体" w:hAnsi="宋体" w:eastAsia="宋体" w:cs="宋体"/>
                              <w:sz w:val="21"/>
                              <w:szCs w:val="24"/>
                            </w:rPr>
                            <w:instrText xml:space="preserve"> PAGE  \* MERGEFORMAT </w:instrText>
                          </w:r>
                          <w:r>
                            <w:rPr>
                              <w:rFonts w:hint="eastAsia" w:ascii="宋体" w:hAnsi="宋体" w:eastAsia="宋体" w:cs="宋体"/>
                              <w:sz w:val="21"/>
                              <w:szCs w:val="24"/>
                            </w:rPr>
                            <w:fldChar w:fldCharType="separate"/>
                          </w:r>
                          <w:r>
                            <w:rPr>
                              <w:rFonts w:hint="eastAsia" w:ascii="宋体" w:hAnsi="宋体" w:eastAsia="宋体" w:cs="宋体"/>
                              <w:sz w:val="21"/>
                              <w:szCs w:val="24"/>
                            </w:rPr>
                            <w:t>3</w:t>
                          </w:r>
                          <w:r>
                            <w:rPr>
                              <w:rFonts w:hint="eastAsia" w:ascii="宋体" w:hAnsi="宋体" w:eastAsia="宋体" w:cs="宋体"/>
                              <w:sz w:val="21"/>
                              <w:szCs w:val="24"/>
                            </w:rPr>
                            <w:fldChar w:fldCharType="end"/>
                          </w:r>
                        </w:p>
                      </w:txbxContent>
                    </wps:txbx>
                    <wps:bodyPr lIns="0" tIns="0" rIns="0" bIns="0" upright="1"/>
                  </wps:wsp>
                </a:graphicData>
              </a:graphic>
            </wp:anchor>
          </w:drawing>
        </mc:Choice>
        <mc:Fallback>
          <w:pict>
            <v:shape id="_x0000_s1026" o:spid="_x0000_s1026" o:spt="202" type="#_x0000_t202" style="position:absolute;left:0pt;margin-top:774.05pt;height:33.15pt;width:17.6pt;mso-position-horizontal:outside;mso-position-horizontal-relative:margin;mso-position-vertical-relative:page;z-index:251665408;mso-width-relative:page;mso-height-relative:page;" filled="f" stroked="f" coordsize="21600,21600" o:gfxdata="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3ANIfNgAAAAJAQAADwAAAAAAAAABACAAAAA4AAAA&#10;ZHJzL2Rvd25yZXYueG1sUEsBAhQAFAAAAAgAh07iQDz/n/C4AQAAcQMAAA4AAAAAAAAAAQAgAAAA&#10;PQEAAGRycy9lMm9Eb2MueG1sUEsFBgAAAAAGAAYAWQEAAGcFAAAAAA==&#10;">
              <v:fill on="f" focussize="0,0"/>
              <v:stroke on="f"/>
              <v:imagedata o:title=""/>
              <o:lock v:ext="edit" aspectratio="f"/>
              <v:textbox inset="0mm,0mm,0mm,0mm">
                <w:txbxContent>
                  <w:p>
                    <w:pPr>
                      <w:spacing w:line="213" w:lineRule="exact"/>
                      <w:ind w:left="60"/>
                      <w:rPr>
                        <w:sz w:val="19"/>
                      </w:rPr>
                    </w:pPr>
                    <w:r>
                      <w:rPr>
                        <w:rFonts w:hint="eastAsia" w:ascii="宋体" w:hAnsi="宋体" w:eastAsia="宋体" w:cs="宋体"/>
                        <w:sz w:val="21"/>
                        <w:szCs w:val="24"/>
                      </w:rPr>
                      <w:fldChar w:fldCharType="begin"/>
                    </w:r>
                    <w:r>
                      <w:rPr>
                        <w:rFonts w:hint="eastAsia" w:ascii="宋体" w:hAnsi="宋体" w:eastAsia="宋体" w:cs="宋体"/>
                        <w:sz w:val="21"/>
                        <w:szCs w:val="24"/>
                      </w:rPr>
                      <w:instrText xml:space="preserve"> PAGE  \* MERGEFORMAT </w:instrText>
                    </w:r>
                    <w:r>
                      <w:rPr>
                        <w:rFonts w:hint="eastAsia" w:ascii="宋体" w:hAnsi="宋体" w:eastAsia="宋体" w:cs="宋体"/>
                        <w:sz w:val="21"/>
                        <w:szCs w:val="24"/>
                      </w:rPr>
                      <w:fldChar w:fldCharType="separate"/>
                    </w:r>
                    <w:r>
                      <w:rPr>
                        <w:rFonts w:hint="eastAsia" w:ascii="宋体" w:hAnsi="宋体" w:eastAsia="宋体" w:cs="宋体"/>
                        <w:sz w:val="21"/>
                        <w:szCs w:val="24"/>
                      </w:rPr>
                      <w:t>3</w:t>
                    </w:r>
                    <w:r>
                      <w:rPr>
                        <w:rFonts w:hint="eastAsia" w:ascii="宋体" w:hAnsi="宋体" w:eastAsia="宋体" w:cs="宋体"/>
                        <w:sz w:val="21"/>
                        <w:szCs w:val="2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ge">
                <wp:posOffset>9830435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4</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74.05pt;height:144pt;width:144pt;mso-position-horizontal:outside;mso-position-horizontal-relative:margin;mso-position-vertical-relative:page;mso-wrap-style:none;z-index:251666432;mso-width-relative:page;mso-height-relative:page;" filled="f" stroked="f" coordsize="21600,21600" o:gfxdata="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6VUqL9YAAAAKAQAADwAAAAAAAAABACAA&#10;AAA4AAAAZHJzL2Rvd25yZXYueG1sUEsBAhQAFAAAAAgAh07iQPWLh2QyAgAAYQQAAA4AAAAAAAAA&#10;AQAgAAAAOwEAAGRycy9lMm9Eb2MueG1sUEsFBgAAAAAGAAYAWQEAAN8FAAAAAA==&#10;">
              <v:fill on="f" focussize="0,0"/>
              <v:stroke on="f" weight="0.5pt"/>
              <v:imagedata o:title=""/>
              <o:lock v:ext="edit" aspectratio="f"/>
              <v:textbox inset="0mm,0mm,0mm,0mm" style="mso-fit-shape-to-text:t;">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4</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ge">
                <wp:posOffset>9830435</wp:posOffset>
              </wp:positionV>
              <wp:extent cx="223520" cy="4210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23520" cy="421005"/>
                      </a:xfrm>
                      <a:prstGeom prst="rect">
                        <a:avLst/>
                      </a:prstGeom>
                      <a:noFill/>
                      <a:ln>
                        <a:noFill/>
                      </a:ln>
                      <a:effectLst/>
                    </wps:spPr>
                    <wps:txbx>
                      <w:txbxContent>
                        <w:p>
                          <w:pPr>
                            <w:spacing w:line="213" w:lineRule="exact"/>
                            <w:ind w:left="60"/>
                            <w:rPr>
                              <w:sz w:val="19"/>
                            </w:rPr>
                          </w:pPr>
                          <w:r>
                            <w:rPr>
                              <w:rFonts w:hint="eastAsia" w:ascii="宋体" w:hAnsi="宋体" w:cs="宋体"/>
                              <w:szCs w:val="24"/>
                            </w:rPr>
                            <w:fldChar w:fldCharType="begin"/>
                          </w:r>
                          <w:r>
                            <w:rPr>
                              <w:rFonts w:hint="eastAsia" w:ascii="宋体" w:hAnsi="宋体" w:cs="宋体"/>
                              <w:szCs w:val="24"/>
                            </w:rPr>
                            <w:instrText xml:space="preserve"> PAGE  \* MERGEFORMAT </w:instrText>
                          </w:r>
                          <w:r>
                            <w:rPr>
                              <w:rFonts w:hint="eastAsia" w:ascii="宋体" w:hAnsi="宋体" w:cs="宋体"/>
                              <w:szCs w:val="24"/>
                            </w:rPr>
                            <w:fldChar w:fldCharType="separate"/>
                          </w:r>
                          <w:r>
                            <w:rPr>
                              <w:rFonts w:ascii="宋体" w:hAnsi="宋体" w:cs="宋体"/>
                              <w:szCs w:val="24"/>
                            </w:rPr>
                            <w:t>1</w:t>
                          </w:r>
                          <w:r>
                            <w:rPr>
                              <w:rFonts w:hint="eastAsia" w:ascii="宋体" w:hAnsi="宋体" w:cs="宋体"/>
                              <w:szCs w:val="24"/>
                            </w:rPr>
                            <w:fldChar w:fldCharType="end"/>
                          </w:r>
                        </w:p>
                      </w:txbxContent>
                    </wps:txbx>
                    <wps:bodyPr lIns="0" tIns="0" rIns="0" bIns="0" upright="1"/>
                  </wps:wsp>
                </a:graphicData>
              </a:graphic>
            </wp:anchor>
          </w:drawing>
        </mc:Choice>
        <mc:Fallback>
          <w:pict>
            <v:shape id="_x0000_s1026" o:spid="_x0000_s1026" o:spt="202" type="#_x0000_t202" style="position:absolute;left:0pt;margin-top:774.05pt;height:33.15pt;width:17.6pt;mso-position-horizontal:outside;mso-position-horizontal-relative:margin;mso-position-vertical-relative:page;z-index:251662336;mso-width-relative:page;mso-height-relative:page;" filled="f" stroked="f" coordsize="21600,21600" o:gfxdata="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WAAAAZHJzL1BLAQIUABQAAAAIAIdO4kDcA0h82AAAAAkBAAAPAAAAAAAAAAEAIAAA&#10;ADgAAABkcnMvZG93bnJldi54bWxQSwECFAAUAAAACACHTuJA71gTpL0BAAB/AwAADgAAAAAAAAAB&#10;ACAAAAA9AQAAZHJzL2Uyb0RvYy54bWxQSwUGAAAAAAYABgBZAQAAbAUAAAAA&#10;">
              <v:fill on="f" focussize="0,0"/>
              <v:stroke on="f"/>
              <v:imagedata o:title=""/>
              <o:lock v:ext="edit" aspectratio="f"/>
              <v:textbox inset="0mm,0mm,0mm,0mm">
                <w:txbxContent>
                  <w:p>
                    <w:pPr>
                      <w:spacing w:line="213" w:lineRule="exact"/>
                      <w:ind w:left="60"/>
                      <w:rPr>
                        <w:sz w:val="19"/>
                      </w:rPr>
                    </w:pPr>
                    <w:r>
                      <w:rPr>
                        <w:rFonts w:hint="eastAsia" w:ascii="宋体" w:hAnsi="宋体" w:cs="宋体"/>
                        <w:szCs w:val="24"/>
                      </w:rPr>
                      <w:fldChar w:fldCharType="begin"/>
                    </w:r>
                    <w:r>
                      <w:rPr>
                        <w:rFonts w:hint="eastAsia" w:ascii="宋体" w:hAnsi="宋体" w:cs="宋体"/>
                        <w:szCs w:val="24"/>
                      </w:rPr>
                      <w:instrText xml:space="preserve"> PAGE  \* MERGEFORMAT </w:instrText>
                    </w:r>
                    <w:r>
                      <w:rPr>
                        <w:rFonts w:hint="eastAsia" w:ascii="宋体" w:hAnsi="宋体" w:cs="宋体"/>
                        <w:szCs w:val="24"/>
                      </w:rPr>
                      <w:fldChar w:fldCharType="separate"/>
                    </w:r>
                    <w:r>
                      <w:rPr>
                        <w:rFonts w:ascii="宋体" w:hAnsi="宋体" w:cs="宋体"/>
                        <w:szCs w:val="24"/>
                      </w:rPr>
                      <w:t>1</w:t>
                    </w:r>
                    <w:r>
                      <w:rPr>
                        <w:rFonts w:hint="eastAsia" w:ascii="宋体" w:hAnsi="宋体" w:cs="宋体"/>
                        <w:szCs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ge">
                <wp:posOffset>9830435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74.05pt;height:144pt;width:144pt;mso-position-horizontal:outside;mso-position-horizontal-relative:margin;mso-position-vertical-relative:page;mso-wrap-style:none;z-index:251663360;mso-width-relative:page;mso-height-relative:page;" filled="f" stroked="f" coordsize="21600,21600" o:gfxdata="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6VUqL9YAAAAKAQAADwAAAAAA&#10;AAABACAAAAA4AAAAZHJzL2Rvd25yZXYueG1sUEsBAhQAFAAAAAgAh07iQJjHpww4AgAAbwQAAA4A&#10;AAAAAAAAAQAgAAAAOwEAAGRycy9lMm9Eb2MueG1sUEsFBgAAAAAGAAYAWQEAAOUFAAAAAA==&#10;">
              <v:fill on="f" focussize="0,0"/>
              <v:stroke on="f" weight="0.5pt"/>
              <v:imagedata o:title=""/>
              <o:lock v:ext="edit" aspectratio="f"/>
              <v:textbox inset="0mm,0mm,0mm,0mm" style="mso-fit-shape-to-text:t;">
                <w:txbxContent>
                  <w:p>
                    <w:pPr>
                      <w:pStyle w:val="18"/>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ge">
                <wp:posOffset>9830435</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7"/>
                          </w:pPr>
                          <w:r>
                            <w:fldChar w:fldCharType="begin"/>
                          </w:r>
                          <w:r>
                            <w:instrText xml:space="preserve">PAGE   \* MERGEFORMAT</w:instrText>
                          </w:r>
                          <w:r>
                            <w:fldChar w:fldCharType="separate"/>
                          </w:r>
                          <w:r>
                            <w:rPr>
                              <w:lang w:val="zh-CN"/>
                            </w:rP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74.05pt;height:144pt;width:144pt;mso-position-horizontal:outside;mso-position-horizontal-relative:margin;mso-position-vertical-relative:page;mso-wrap-style:none;z-index:251664384;mso-width-relative:page;mso-height-relative:page;" filled="f" stroked="f" coordsize="21600,21600" o:gfxdata="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OlVKi/WAAAACgEAAA8AAAAA&#10;AAAAAQAgAAAAOAAAAGRycy9kb3ducmV2LnhtbFBLAQIUABQAAAAIAIdO4kA5F9a/OQIAAHEEAAAO&#10;AAAAAAAAAAEAIAAAADsBAABkcnMvZTJvRG9jLnhtbFBLBQYAAAAABgAGAFkBAADmBQAAAAA=&#10;">
              <v:fill on="f" focussize="0,0"/>
              <v:stroke on="f" weight="0.5pt"/>
              <v:imagedata o:title=""/>
              <o:lock v:ext="edit" aspectratio="f"/>
              <v:textbox inset="0mm,0mm,0mm,0mm" style="mso-fit-shape-to-text:t;">
                <w:txbxContent>
                  <w:p>
                    <w:pPr>
                      <w:pStyle w:val="57"/>
                    </w:pPr>
                    <w:r>
                      <w:fldChar w:fldCharType="begin"/>
                    </w:r>
                    <w:r>
                      <w:instrText xml:space="preserve">PAGE   \* MERGEFORMAT</w:instrText>
                    </w:r>
                    <w:r>
                      <w:fldChar w:fldCharType="separate"/>
                    </w:r>
                    <w:r>
                      <w:rPr>
                        <w:lang w:val="zh-CN"/>
                      </w:rP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4404/T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4404/T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5155565</wp:posOffset>
              </wp:positionH>
              <wp:positionV relativeFrom="page">
                <wp:posOffset>923925</wp:posOffset>
              </wp:positionV>
              <wp:extent cx="1510665" cy="2794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10665" cy="279400"/>
                      </a:xfrm>
                      <a:prstGeom prst="rect">
                        <a:avLst/>
                      </a:prstGeom>
                      <a:noFill/>
                      <a:ln>
                        <a:noFill/>
                      </a:ln>
                      <a:effectLst/>
                    </wps:spPr>
                    <wps:txbx>
                      <w:txbxContent>
                        <w:p>
                          <w:pPr>
                            <w:jc w:val="right"/>
                          </w:pPr>
                          <w:r>
                            <w:fldChar w:fldCharType="begin"/>
                          </w:r>
                          <w:r>
                            <w:instrText xml:space="preserve"> STYLEREF  标准文件_文件编号  \* MERGEFORMAT </w:instrText>
                          </w:r>
                          <w:r>
                            <w:fldChar w:fldCharType="separate"/>
                          </w:r>
                          <w:r>
                            <w:t>DB 4404/T XXXX——XXXX</w:t>
                          </w:r>
                          <w:r>
                            <w:fldChar w:fldCharType="end"/>
                          </w:r>
                        </w:p>
                      </w:txbxContent>
                    </wps:txbx>
                    <wps:bodyPr wrap="square" lIns="0" tIns="0" rIns="0" bIns="0" rtlCol="0">
                      <a:noAutofit/>
                    </wps:bodyPr>
                  </wps:wsp>
                </a:graphicData>
              </a:graphic>
            </wp:anchor>
          </w:drawing>
        </mc:Choice>
        <mc:Fallback>
          <w:pict>
            <v:shape id="_x0000_s1026" o:spid="_x0000_s1026" o:spt="202" type="#_x0000_t202" style="position:absolute;left:0pt;margin-left:405.95pt;margin-top:72.75pt;height:22pt;width:118.95pt;mso-position-horizontal-relative:page;mso-position-vertical-relative:page;z-index:-251652096;mso-width-relative:page;mso-height-relative:page;" filled="f" stroked="f" coordsize="21600,21600" o:gfxdata="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AD&#10;Gxqx2gAAAAwBAAAPAAAAAAAAAAEAIAAAADgAAABkcnMvZG93bnJldi54bWxQSwECFAAUAAAACACH&#10;TuJA/noVjNMBAACnAwAADgAAAAAAAAABACAAAAA/AQAAZHJzL2Uyb0RvYy54bWxQSwUGAAAAAAYA&#10;BgBZAQAAhAUAAAAA&#10;">
              <v:fill on="f" focussize="0,0"/>
              <v:stroke on="f"/>
              <v:imagedata o:title=""/>
              <o:lock v:ext="edit" aspectratio="f"/>
              <v:textbox inset="0mm,0mm,0mm,0mm">
                <w:txbxContent>
                  <w:p>
                    <w:pPr>
                      <w:jc w:val="right"/>
                    </w:pPr>
                    <w:r>
                      <w:fldChar w:fldCharType="begin"/>
                    </w:r>
                    <w:r>
                      <w:instrText xml:space="preserve"> STYLEREF  标准文件_文件编号  \* MERGEFORMAT </w:instrText>
                    </w:r>
                    <w:r>
                      <w:fldChar w:fldCharType="separate"/>
                    </w:r>
                    <w:r>
                      <w:t>DB 4404/T XXXX——XXXX</w:t>
                    </w:r>
                    <w:r>
                      <w:fldChar w:fldCharType="end"/>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5155565</wp:posOffset>
              </wp:positionH>
              <wp:positionV relativeFrom="page">
                <wp:posOffset>923925</wp:posOffset>
              </wp:positionV>
              <wp:extent cx="1510665" cy="2794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510665" cy="279400"/>
                      </a:xfrm>
                      <a:prstGeom prst="rect">
                        <a:avLst/>
                      </a:prstGeom>
                      <a:noFill/>
                      <a:ln>
                        <a:noFill/>
                      </a:ln>
                      <a:effectLst/>
                    </wps:spPr>
                    <wps:txbx>
                      <w:txbxContent>
                        <w:p>
                          <w:pPr>
                            <w:jc w:val="right"/>
                          </w:pPr>
                          <w:r>
                            <w:fldChar w:fldCharType="begin"/>
                          </w:r>
                          <w:r>
                            <w:instrText xml:space="preserve"> STYLEREF  标准文件_文件编号  \* MERGEFORMAT </w:instrText>
                          </w:r>
                          <w:r>
                            <w:fldChar w:fldCharType="separate"/>
                          </w:r>
                          <w:r>
                            <w:t>DB 4404/T XXXX——XXXX</w:t>
                          </w:r>
                          <w:r>
                            <w:fldChar w:fldCharType="end"/>
                          </w:r>
                        </w:p>
                      </w:txbxContent>
                    </wps:txbx>
                    <wps:bodyPr wrap="square" lIns="0" tIns="0" rIns="0" bIns="0" rtlCol="0">
                      <a:noAutofit/>
                    </wps:bodyPr>
                  </wps:wsp>
                </a:graphicData>
              </a:graphic>
            </wp:anchor>
          </w:drawing>
        </mc:Choice>
        <mc:Fallback>
          <w:pict>
            <v:shape id="_x0000_s1026" o:spid="_x0000_s1026" o:spt="202" type="#_x0000_t202" style="position:absolute;left:0pt;margin-left:405.95pt;margin-top:72.75pt;height:22pt;width:118.95pt;mso-position-horizontal-relative:page;mso-position-vertical-relative:page;z-index:-251655168;mso-width-relative:page;mso-height-relative:page;" filled="f" stroked="f" coordsize="21600,21600" o:gfxdata="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BYAAABkcnMvUEsBAhQAFAAAAAgAh07i&#10;QAMbGrHaAAAADAEAAA8AAAAAAAAAAQAgAAAAOAAAAGRycy9kb3ducmV2LnhtbFBLAQIUABQAAAAI&#10;AIdO4kBqft6I1QEAAKkDAAAOAAAAAAAAAAEAIAAAAD8BAABkcnMvZTJvRG9jLnhtbFBLBQYAAAAA&#10;BgAGAFkBAACGBQAAAAA=&#10;">
              <v:fill on="f" focussize="0,0"/>
              <v:stroke on="f"/>
              <v:imagedata o:title=""/>
              <o:lock v:ext="edit" aspectratio="f"/>
              <v:textbox inset="0mm,0mm,0mm,0mm">
                <w:txbxContent>
                  <w:p>
                    <w:pPr>
                      <w:jc w:val="right"/>
                    </w:pPr>
                    <w:r>
                      <w:fldChar w:fldCharType="begin"/>
                    </w:r>
                    <w:r>
                      <w:instrText xml:space="preserve"> STYLEREF  标准文件_文件编号  \* MERGEFORMAT </w:instrText>
                    </w:r>
                    <w:r>
                      <w:fldChar w:fldCharType="separate"/>
                    </w:r>
                    <w:r>
                      <w:t>DB 4404/T XXXX——XXXX</w:t>
                    </w:r>
                    <w: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4404/T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4404/T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1BC33"/>
    <w:multiLevelType w:val="multilevel"/>
    <w:tmpl w:val="88C1BC33"/>
    <w:lvl w:ilvl="0" w:tentative="0">
      <w:start w:val="3"/>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987158F"/>
    <w:multiLevelType w:val="singleLevel"/>
    <w:tmpl w:val="D987158F"/>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426"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4"/>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12"/>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0"/>
  <w:defaultTabStop w:val="420"/>
  <w:evenAndOddHeaders w:val="1"/>
  <w:drawingGridHorizontalSpacing w:val="105"/>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MjA1NjJhZmJlNjgyMTkxNGMyYjIwZTUyMGI4ZmEifQ=="/>
  </w:docVars>
  <w:rsids>
    <w:rsidRoot w:val="05D910F7"/>
    <w:rsid w:val="0000040A"/>
    <w:rsid w:val="00000A94"/>
    <w:rsid w:val="00001972"/>
    <w:rsid w:val="00001D9A"/>
    <w:rsid w:val="00007B3A"/>
    <w:rsid w:val="000107E0"/>
    <w:rsid w:val="00011C57"/>
    <w:rsid w:val="00011FDE"/>
    <w:rsid w:val="00012FFD"/>
    <w:rsid w:val="00014162"/>
    <w:rsid w:val="00014340"/>
    <w:rsid w:val="00016A9C"/>
    <w:rsid w:val="00022184"/>
    <w:rsid w:val="00022762"/>
    <w:rsid w:val="000238E0"/>
    <w:rsid w:val="000249DB"/>
    <w:rsid w:val="0002595E"/>
    <w:rsid w:val="000303C3"/>
    <w:rsid w:val="00031866"/>
    <w:rsid w:val="000331D3"/>
    <w:rsid w:val="000346A5"/>
    <w:rsid w:val="000359C3"/>
    <w:rsid w:val="00035A7D"/>
    <w:rsid w:val="000365ED"/>
    <w:rsid w:val="0004249A"/>
    <w:rsid w:val="00043282"/>
    <w:rsid w:val="00044286"/>
    <w:rsid w:val="00047F28"/>
    <w:rsid w:val="000503AA"/>
    <w:rsid w:val="000506A1"/>
    <w:rsid w:val="000515DD"/>
    <w:rsid w:val="00051BDE"/>
    <w:rsid w:val="0005265A"/>
    <w:rsid w:val="000539DD"/>
    <w:rsid w:val="00053BD3"/>
    <w:rsid w:val="000556ED"/>
    <w:rsid w:val="00055FE2"/>
    <w:rsid w:val="0005616F"/>
    <w:rsid w:val="00060C2E"/>
    <w:rsid w:val="00061033"/>
    <w:rsid w:val="000619E9"/>
    <w:rsid w:val="000622D4"/>
    <w:rsid w:val="0006357D"/>
    <w:rsid w:val="00065A7F"/>
    <w:rsid w:val="00067F1E"/>
    <w:rsid w:val="00071CC0"/>
    <w:rsid w:val="00073C8C"/>
    <w:rsid w:val="0007720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B08"/>
    <w:rsid w:val="000F0E3C"/>
    <w:rsid w:val="000F19D5"/>
    <w:rsid w:val="000F4AEA"/>
    <w:rsid w:val="000F633F"/>
    <w:rsid w:val="000F67E9"/>
    <w:rsid w:val="0010292F"/>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5C7"/>
    <w:rsid w:val="001446C2"/>
    <w:rsid w:val="001457E7"/>
    <w:rsid w:val="00145D9D"/>
    <w:rsid w:val="00146388"/>
    <w:rsid w:val="001529E5"/>
    <w:rsid w:val="00153C7E"/>
    <w:rsid w:val="00156B25"/>
    <w:rsid w:val="00156E1A"/>
    <w:rsid w:val="00157154"/>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65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720"/>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30A"/>
    <w:rsid w:val="00243540"/>
    <w:rsid w:val="0024497B"/>
    <w:rsid w:val="0024515B"/>
    <w:rsid w:val="00246021"/>
    <w:rsid w:val="0024666E"/>
    <w:rsid w:val="00247F52"/>
    <w:rsid w:val="00250B25"/>
    <w:rsid w:val="00250BBE"/>
    <w:rsid w:val="002515C2"/>
    <w:rsid w:val="0025194F"/>
    <w:rsid w:val="002605AD"/>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B9E"/>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88D"/>
    <w:rsid w:val="003331E4"/>
    <w:rsid w:val="003357D8"/>
    <w:rsid w:val="00336C64"/>
    <w:rsid w:val="00337162"/>
    <w:rsid w:val="003416F7"/>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E54"/>
    <w:rsid w:val="004074BD"/>
    <w:rsid w:val="00407D39"/>
    <w:rsid w:val="0041477A"/>
    <w:rsid w:val="004167A3"/>
    <w:rsid w:val="00432DAA"/>
    <w:rsid w:val="00434305"/>
    <w:rsid w:val="00435DF7"/>
    <w:rsid w:val="0044083F"/>
    <w:rsid w:val="00441AE7"/>
    <w:rsid w:val="00445574"/>
    <w:rsid w:val="004467FB"/>
    <w:rsid w:val="00452D6B"/>
    <w:rsid w:val="004542A8"/>
    <w:rsid w:val="00454484"/>
    <w:rsid w:val="0045517B"/>
    <w:rsid w:val="00463B77"/>
    <w:rsid w:val="00463C7B"/>
    <w:rsid w:val="004644A6"/>
    <w:rsid w:val="004659BD"/>
    <w:rsid w:val="00470775"/>
    <w:rsid w:val="004746B1"/>
    <w:rsid w:val="00475487"/>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F9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7A5"/>
    <w:rsid w:val="00641A1F"/>
    <w:rsid w:val="00645647"/>
    <w:rsid w:val="00645904"/>
    <w:rsid w:val="00651ACB"/>
    <w:rsid w:val="00651C47"/>
    <w:rsid w:val="00652AB2"/>
    <w:rsid w:val="00653FED"/>
    <w:rsid w:val="0065465D"/>
    <w:rsid w:val="00654EC0"/>
    <w:rsid w:val="0065525B"/>
    <w:rsid w:val="00655D4F"/>
    <w:rsid w:val="00656D29"/>
    <w:rsid w:val="0066360A"/>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087"/>
    <w:rsid w:val="006C5A62"/>
    <w:rsid w:val="006C5D68"/>
    <w:rsid w:val="006C6976"/>
    <w:rsid w:val="006C6DD0"/>
    <w:rsid w:val="006D04EA"/>
    <w:rsid w:val="006D0AB7"/>
    <w:rsid w:val="006D16C4"/>
    <w:rsid w:val="006D3D4B"/>
    <w:rsid w:val="006D3E96"/>
    <w:rsid w:val="006D4515"/>
    <w:rsid w:val="006D4BB1"/>
    <w:rsid w:val="006D6593"/>
    <w:rsid w:val="006E2185"/>
    <w:rsid w:val="006E23EA"/>
    <w:rsid w:val="006F03A8"/>
    <w:rsid w:val="006F2ACA"/>
    <w:rsid w:val="006F2ADC"/>
    <w:rsid w:val="006F2BFE"/>
    <w:rsid w:val="006F31E9"/>
    <w:rsid w:val="006F6284"/>
    <w:rsid w:val="007002C5"/>
    <w:rsid w:val="00704387"/>
    <w:rsid w:val="00707669"/>
    <w:rsid w:val="00707E15"/>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72"/>
    <w:rsid w:val="00752B4D"/>
    <w:rsid w:val="00755402"/>
    <w:rsid w:val="00756B26"/>
    <w:rsid w:val="00756EDF"/>
    <w:rsid w:val="007600E3"/>
    <w:rsid w:val="00760CF7"/>
    <w:rsid w:val="007616E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968"/>
    <w:rsid w:val="007E0BF1"/>
    <w:rsid w:val="007F0ED8"/>
    <w:rsid w:val="007F0F63"/>
    <w:rsid w:val="007F2428"/>
    <w:rsid w:val="007F75CE"/>
    <w:rsid w:val="008013A4"/>
    <w:rsid w:val="008027CE"/>
    <w:rsid w:val="00802F42"/>
    <w:rsid w:val="00804383"/>
    <w:rsid w:val="00804BB7"/>
    <w:rsid w:val="00804D41"/>
    <w:rsid w:val="00810257"/>
    <w:rsid w:val="008104F5"/>
    <w:rsid w:val="00811072"/>
    <w:rsid w:val="00811369"/>
    <w:rsid w:val="00814E58"/>
    <w:rsid w:val="00815419"/>
    <w:rsid w:val="008163C8"/>
    <w:rsid w:val="008164A1"/>
    <w:rsid w:val="00817325"/>
    <w:rsid w:val="00820543"/>
    <w:rsid w:val="008209E6"/>
    <w:rsid w:val="00823303"/>
    <w:rsid w:val="008233B2"/>
    <w:rsid w:val="00823A9F"/>
    <w:rsid w:val="00823C85"/>
    <w:rsid w:val="00825138"/>
    <w:rsid w:val="008269DD"/>
    <w:rsid w:val="00830621"/>
    <w:rsid w:val="0083246C"/>
    <w:rsid w:val="00832B96"/>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63A"/>
    <w:rsid w:val="0087432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30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1AFE"/>
    <w:rsid w:val="00953604"/>
    <w:rsid w:val="0095496B"/>
    <w:rsid w:val="009610DC"/>
    <w:rsid w:val="00961490"/>
    <w:rsid w:val="009618E3"/>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2A2"/>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61F"/>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4C4C"/>
    <w:rsid w:val="00B07242"/>
    <w:rsid w:val="00B10534"/>
    <w:rsid w:val="00B113DB"/>
    <w:rsid w:val="00B11D8A"/>
    <w:rsid w:val="00B12981"/>
    <w:rsid w:val="00B12C52"/>
    <w:rsid w:val="00B147DD"/>
    <w:rsid w:val="00B156FD"/>
    <w:rsid w:val="00B21F61"/>
    <w:rsid w:val="00B226D2"/>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5929"/>
    <w:rsid w:val="00B86677"/>
    <w:rsid w:val="00B87131"/>
    <w:rsid w:val="00B939B1"/>
    <w:rsid w:val="00B96D40"/>
    <w:rsid w:val="00B97386"/>
    <w:rsid w:val="00BA2541"/>
    <w:rsid w:val="00BA263B"/>
    <w:rsid w:val="00BA42B2"/>
    <w:rsid w:val="00BA58D4"/>
    <w:rsid w:val="00BA5B9E"/>
    <w:rsid w:val="00BA7C9A"/>
    <w:rsid w:val="00BB203B"/>
    <w:rsid w:val="00BB5F8F"/>
    <w:rsid w:val="00BB657A"/>
    <w:rsid w:val="00BB6FBB"/>
    <w:rsid w:val="00BC1A4E"/>
    <w:rsid w:val="00BC4790"/>
    <w:rsid w:val="00BC5DC7"/>
    <w:rsid w:val="00BC6B8B"/>
    <w:rsid w:val="00BC73D8"/>
    <w:rsid w:val="00BD4D7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7E2"/>
    <w:rsid w:val="00C80982"/>
    <w:rsid w:val="00C80CB8"/>
    <w:rsid w:val="00C819F8"/>
    <w:rsid w:val="00C8248C"/>
    <w:rsid w:val="00C84E33"/>
    <w:rsid w:val="00C86D6F"/>
    <w:rsid w:val="00C87A54"/>
    <w:rsid w:val="00C905FC"/>
    <w:rsid w:val="00C92D03"/>
    <w:rsid w:val="00C9319C"/>
    <w:rsid w:val="00C9435D"/>
    <w:rsid w:val="00C94DF2"/>
    <w:rsid w:val="00C96741"/>
    <w:rsid w:val="00C9784E"/>
    <w:rsid w:val="00CA2D1B"/>
    <w:rsid w:val="00CA375D"/>
    <w:rsid w:val="00CA662A"/>
    <w:rsid w:val="00CA69F4"/>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3D8"/>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C04"/>
    <w:rsid w:val="00D71F25"/>
    <w:rsid w:val="00D72A9C"/>
    <w:rsid w:val="00D77031"/>
    <w:rsid w:val="00D84941"/>
    <w:rsid w:val="00D84FA1"/>
    <w:rsid w:val="00D851F0"/>
    <w:rsid w:val="00D86DB7"/>
    <w:rsid w:val="00D8746B"/>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649"/>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D53"/>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927"/>
    <w:rsid w:val="00F25BB6"/>
    <w:rsid w:val="00F26871"/>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1D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5F7"/>
    <w:rsid w:val="00FF3E7D"/>
    <w:rsid w:val="00FF5B99"/>
    <w:rsid w:val="00FF730C"/>
    <w:rsid w:val="00FF73F4"/>
    <w:rsid w:val="00FF7CE4"/>
    <w:rsid w:val="00FF7E39"/>
    <w:rsid w:val="016519C1"/>
    <w:rsid w:val="02D212D8"/>
    <w:rsid w:val="03A7465D"/>
    <w:rsid w:val="03E44845"/>
    <w:rsid w:val="04BD7D66"/>
    <w:rsid w:val="04DE120A"/>
    <w:rsid w:val="04EB042F"/>
    <w:rsid w:val="05312722"/>
    <w:rsid w:val="0579746E"/>
    <w:rsid w:val="05D910F7"/>
    <w:rsid w:val="05E27A84"/>
    <w:rsid w:val="071E2E8C"/>
    <w:rsid w:val="07430C42"/>
    <w:rsid w:val="08D1773E"/>
    <w:rsid w:val="09E813E1"/>
    <w:rsid w:val="0A1D5E7B"/>
    <w:rsid w:val="0A5B6057"/>
    <w:rsid w:val="0A6B6C17"/>
    <w:rsid w:val="0AC57974"/>
    <w:rsid w:val="0AFF6FAD"/>
    <w:rsid w:val="0B712A61"/>
    <w:rsid w:val="0BA32489"/>
    <w:rsid w:val="0BB21CA6"/>
    <w:rsid w:val="0BDC304D"/>
    <w:rsid w:val="0BFE313E"/>
    <w:rsid w:val="0C483CB5"/>
    <w:rsid w:val="0CA32E7B"/>
    <w:rsid w:val="0D162709"/>
    <w:rsid w:val="0E0A401C"/>
    <w:rsid w:val="0E4A4418"/>
    <w:rsid w:val="0F274FFE"/>
    <w:rsid w:val="0F6B54BA"/>
    <w:rsid w:val="0F8156DF"/>
    <w:rsid w:val="10281712"/>
    <w:rsid w:val="1100596A"/>
    <w:rsid w:val="11090A00"/>
    <w:rsid w:val="11F1104F"/>
    <w:rsid w:val="127F6859"/>
    <w:rsid w:val="129245E0"/>
    <w:rsid w:val="1619796C"/>
    <w:rsid w:val="166127C6"/>
    <w:rsid w:val="18116C89"/>
    <w:rsid w:val="185A045B"/>
    <w:rsid w:val="19626A15"/>
    <w:rsid w:val="1AF81F46"/>
    <w:rsid w:val="1D4F0AB0"/>
    <w:rsid w:val="1E0D2DBE"/>
    <w:rsid w:val="1ED75A22"/>
    <w:rsid w:val="1ED85DBC"/>
    <w:rsid w:val="1EE603C2"/>
    <w:rsid w:val="1EE949F0"/>
    <w:rsid w:val="20807C12"/>
    <w:rsid w:val="20E00E92"/>
    <w:rsid w:val="2151734D"/>
    <w:rsid w:val="219C53F3"/>
    <w:rsid w:val="21CD59A9"/>
    <w:rsid w:val="2405635C"/>
    <w:rsid w:val="247F47F2"/>
    <w:rsid w:val="24AA0A94"/>
    <w:rsid w:val="260D3459"/>
    <w:rsid w:val="2612288C"/>
    <w:rsid w:val="265C2AE3"/>
    <w:rsid w:val="26881B2A"/>
    <w:rsid w:val="26E02EB0"/>
    <w:rsid w:val="27A154B5"/>
    <w:rsid w:val="2AB84B24"/>
    <w:rsid w:val="2B01299A"/>
    <w:rsid w:val="2BB73BF3"/>
    <w:rsid w:val="2D522637"/>
    <w:rsid w:val="2E700F55"/>
    <w:rsid w:val="2E756E38"/>
    <w:rsid w:val="3207424B"/>
    <w:rsid w:val="326749E4"/>
    <w:rsid w:val="327F717E"/>
    <w:rsid w:val="34AF4855"/>
    <w:rsid w:val="358E0AC6"/>
    <w:rsid w:val="35F21DA0"/>
    <w:rsid w:val="36A04C8D"/>
    <w:rsid w:val="36B97ADD"/>
    <w:rsid w:val="379A16BD"/>
    <w:rsid w:val="37D44BCF"/>
    <w:rsid w:val="398D6B57"/>
    <w:rsid w:val="3AE53402"/>
    <w:rsid w:val="3B3B31B7"/>
    <w:rsid w:val="3C1557B6"/>
    <w:rsid w:val="3C3A711F"/>
    <w:rsid w:val="3C5C6C60"/>
    <w:rsid w:val="3C613BF2"/>
    <w:rsid w:val="3CA05045"/>
    <w:rsid w:val="3CA53836"/>
    <w:rsid w:val="3CED04E1"/>
    <w:rsid w:val="3E287A22"/>
    <w:rsid w:val="3E976956"/>
    <w:rsid w:val="3F7F03A2"/>
    <w:rsid w:val="3FBD249F"/>
    <w:rsid w:val="41A41AB6"/>
    <w:rsid w:val="42906A06"/>
    <w:rsid w:val="42D0609A"/>
    <w:rsid w:val="43082394"/>
    <w:rsid w:val="431C1B20"/>
    <w:rsid w:val="43636749"/>
    <w:rsid w:val="436A41E7"/>
    <w:rsid w:val="44E9776B"/>
    <w:rsid w:val="451C0C60"/>
    <w:rsid w:val="4545799C"/>
    <w:rsid w:val="45912351"/>
    <w:rsid w:val="45B64359"/>
    <w:rsid w:val="47F3202C"/>
    <w:rsid w:val="49C12AD9"/>
    <w:rsid w:val="4B1A4B97"/>
    <w:rsid w:val="4B5B6BAD"/>
    <w:rsid w:val="4C9504B2"/>
    <w:rsid w:val="4CDF1BEE"/>
    <w:rsid w:val="4CFD5B0F"/>
    <w:rsid w:val="4D6D361D"/>
    <w:rsid w:val="4DD860F0"/>
    <w:rsid w:val="4EA71BD9"/>
    <w:rsid w:val="4EC07803"/>
    <w:rsid w:val="4FBE01E7"/>
    <w:rsid w:val="515E2496"/>
    <w:rsid w:val="517C5322"/>
    <w:rsid w:val="519357B2"/>
    <w:rsid w:val="522956BF"/>
    <w:rsid w:val="52846DB1"/>
    <w:rsid w:val="53EB70D0"/>
    <w:rsid w:val="554A487A"/>
    <w:rsid w:val="55894DF3"/>
    <w:rsid w:val="55B17114"/>
    <w:rsid w:val="568F0EF6"/>
    <w:rsid w:val="570A1E4C"/>
    <w:rsid w:val="57C9597B"/>
    <w:rsid w:val="584F435F"/>
    <w:rsid w:val="5A8536D6"/>
    <w:rsid w:val="5B43611C"/>
    <w:rsid w:val="5BEE07CD"/>
    <w:rsid w:val="5C174686"/>
    <w:rsid w:val="5CE036A8"/>
    <w:rsid w:val="5CF32908"/>
    <w:rsid w:val="5D5F4D70"/>
    <w:rsid w:val="5E08297C"/>
    <w:rsid w:val="5E361F97"/>
    <w:rsid w:val="5FB80466"/>
    <w:rsid w:val="5FE4789B"/>
    <w:rsid w:val="5FFC6792"/>
    <w:rsid w:val="602E4BA8"/>
    <w:rsid w:val="609B00D0"/>
    <w:rsid w:val="61A813C7"/>
    <w:rsid w:val="61C05D4F"/>
    <w:rsid w:val="639A19A1"/>
    <w:rsid w:val="64667154"/>
    <w:rsid w:val="6648068F"/>
    <w:rsid w:val="67170060"/>
    <w:rsid w:val="67543318"/>
    <w:rsid w:val="68DC3034"/>
    <w:rsid w:val="69045929"/>
    <w:rsid w:val="691E203B"/>
    <w:rsid w:val="69692B1A"/>
    <w:rsid w:val="6A7A48B2"/>
    <w:rsid w:val="6B9134F5"/>
    <w:rsid w:val="6C212918"/>
    <w:rsid w:val="6C9A3DF4"/>
    <w:rsid w:val="6CF43042"/>
    <w:rsid w:val="6D4B50E4"/>
    <w:rsid w:val="6DD30EA9"/>
    <w:rsid w:val="6F4E3DF8"/>
    <w:rsid w:val="6FD809F9"/>
    <w:rsid w:val="70187047"/>
    <w:rsid w:val="705065E5"/>
    <w:rsid w:val="70DF7B65"/>
    <w:rsid w:val="71336C84"/>
    <w:rsid w:val="71937CF7"/>
    <w:rsid w:val="719E7707"/>
    <w:rsid w:val="71B65057"/>
    <w:rsid w:val="71CB6BDE"/>
    <w:rsid w:val="728564EA"/>
    <w:rsid w:val="73006D52"/>
    <w:rsid w:val="730F4203"/>
    <w:rsid w:val="7321328D"/>
    <w:rsid w:val="736279FF"/>
    <w:rsid w:val="73C02344"/>
    <w:rsid w:val="73E93178"/>
    <w:rsid w:val="74A912D2"/>
    <w:rsid w:val="75553110"/>
    <w:rsid w:val="755E1F6B"/>
    <w:rsid w:val="759D629E"/>
    <w:rsid w:val="761C3066"/>
    <w:rsid w:val="769162F2"/>
    <w:rsid w:val="7720567C"/>
    <w:rsid w:val="7779541B"/>
    <w:rsid w:val="78464343"/>
    <w:rsid w:val="78E26D79"/>
    <w:rsid w:val="79BB3316"/>
    <w:rsid w:val="79CC49FF"/>
    <w:rsid w:val="7ADD4AEA"/>
    <w:rsid w:val="7B720B8E"/>
    <w:rsid w:val="7B9172D0"/>
    <w:rsid w:val="7BF40409"/>
    <w:rsid w:val="7C26489A"/>
    <w:rsid w:val="7CB2612B"/>
    <w:rsid w:val="7CBB5084"/>
    <w:rsid w:val="7EBD79FB"/>
    <w:rsid w:val="7EDA787F"/>
    <w:rsid w:val="7FDD1714"/>
    <w:rsid w:val="7FFD3F48"/>
    <w:rsid w:val="FFB43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0"/>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7">
    <w:name w:val="Normal (Web)"/>
    <w:basedOn w:val="1"/>
    <w:semiHidden/>
    <w:unhideWhenUsed/>
    <w:qFormat/>
    <w:uiPriority w:val="99"/>
    <w:pPr>
      <w:spacing w:beforeAutospacing="1" w:afterAutospacing="1"/>
      <w:jc w:val="left"/>
    </w:pPr>
    <w:rPr>
      <w:kern w:val="0"/>
      <w:sz w:val="24"/>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Body Text First Indent"/>
    <w:basedOn w:val="14"/>
    <w:qFormat/>
    <w:uiPriority w:val="0"/>
    <w:pPr>
      <w:spacing w:line="240" w:lineRule="auto"/>
      <w:ind w:firstLine="420" w:firstLineChars="100"/>
    </w:pPr>
    <w:rPr>
      <w:rFonts w:ascii="Times New Roman" w:hAnsi="Times New Roman"/>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HTML Code"/>
    <w:basedOn w:val="32"/>
    <w:semiHidden/>
    <w:unhideWhenUsed/>
    <w:qFormat/>
    <w:uiPriority w:val="99"/>
    <w:rPr>
      <w:rFonts w:ascii="Courier New" w:hAnsi="Courier New"/>
      <w:sz w:val="20"/>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Char"/>
    <w:link w:val="2"/>
    <w:qFormat/>
    <w:uiPriority w:val="0"/>
    <w:rPr>
      <w:b/>
      <w:bCs/>
      <w:kern w:val="44"/>
      <w:sz w:val="44"/>
      <w:szCs w:val="44"/>
    </w:rPr>
  </w:style>
  <w:style w:type="character" w:customStyle="1" w:styleId="40">
    <w:name w:val="标题 2 Char"/>
    <w:link w:val="3"/>
    <w:qFormat/>
    <w:uiPriority w:val="0"/>
    <w:rPr>
      <w:rFonts w:ascii="Arial" w:hAnsi="Arial" w:eastAsia="黑体"/>
      <w:b/>
      <w:bCs/>
      <w:kern w:val="2"/>
      <w:sz w:val="32"/>
      <w:szCs w:val="32"/>
    </w:rPr>
  </w:style>
  <w:style w:type="character" w:customStyle="1" w:styleId="41">
    <w:name w:val="标题 3 Char"/>
    <w:link w:val="4"/>
    <w:qFormat/>
    <w:uiPriority w:val="0"/>
    <w:rPr>
      <w:b/>
      <w:bCs/>
      <w:kern w:val="2"/>
      <w:sz w:val="32"/>
      <w:szCs w:val="32"/>
    </w:rPr>
  </w:style>
  <w:style w:type="character" w:customStyle="1" w:styleId="42">
    <w:name w:val="标题 4 Char"/>
    <w:link w:val="5"/>
    <w:qFormat/>
    <w:uiPriority w:val="0"/>
    <w:rPr>
      <w:rFonts w:ascii="Arial" w:hAnsi="Arial" w:eastAsia="黑体"/>
      <w:b/>
      <w:bCs/>
      <w:kern w:val="2"/>
      <w:sz w:val="28"/>
      <w:szCs w:val="28"/>
    </w:rPr>
  </w:style>
  <w:style w:type="character" w:customStyle="1" w:styleId="43">
    <w:name w:val="标题 5 Char"/>
    <w:link w:val="6"/>
    <w:qFormat/>
    <w:uiPriority w:val="0"/>
    <w:rPr>
      <w:b/>
      <w:bCs/>
      <w:kern w:val="2"/>
      <w:sz w:val="28"/>
      <w:szCs w:val="28"/>
    </w:rPr>
  </w:style>
  <w:style w:type="character" w:customStyle="1" w:styleId="44">
    <w:name w:val="标题 6 Char"/>
    <w:link w:val="7"/>
    <w:qFormat/>
    <w:uiPriority w:val="0"/>
    <w:rPr>
      <w:rFonts w:ascii="Arial" w:hAnsi="Arial" w:eastAsia="黑体"/>
      <w:b/>
      <w:bCs/>
      <w:kern w:val="2"/>
      <w:sz w:val="24"/>
      <w:szCs w:val="24"/>
    </w:rPr>
  </w:style>
  <w:style w:type="character" w:customStyle="1" w:styleId="45">
    <w:name w:val="标题 7 Char"/>
    <w:link w:val="8"/>
    <w:qFormat/>
    <w:uiPriority w:val="0"/>
    <w:rPr>
      <w:b/>
      <w:bCs/>
      <w:kern w:val="2"/>
      <w:sz w:val="24"/>
      <w:szCs w:val="24"/>
    </w:rPr>
  </w:style>
  <w:style w:type="character" w:customStyle="1" w:styleId="46">
    <w:name w:val="标题 8 Char"/>
    <w:link w:val="9"/>
    <w:qFormat/>
    <w:uiPriority w:val="0"/>
    <w:rPr>
      <w:rFonts w:ascii="Arial" w:hAnsi="Arial" w:eastAsia="黑体"/>
      <w:kern w:val="2"/>
      <w:sz w:val="24"/>
      <w:szCs w:val="24"/>
    </w:rPr>
  </w:style>
  <w:style w:type="character" w:customStyle="1" w:styleId="47">
    <w:name w:val="标题 9 Char"/>
    <w:link w:val="10"/>
    <w:qFormat/>
    <w:uiPriority w:val="0"/>
    <w:rPr>
      <w:rFonts w:ascii="Arial" w:hAnsi="Arial" w:eastAsia="黑体"/>
      <w:kern w:val="2"/>
      <w:sz w:val="21"/>
      <w:szCs w:val="21"/>
    </w:rPr>
  </w:style>
  <w:style w:type="character" w:customStyle="1" w:styleId="48">
    <w:name w:val="页眉 Char"/>
    <w:link w:val="19"/>
    <w:qFormat/>
    <w:uiPriority w:val="99"/>
    <w:rPr>
      <w:kern w:val="2"/>
      <w:sz w:val="18"/>
      <w:szCs w:val="18"/>
    </w:rPr>
  </w:style>
  <w:style w:type="character" w:customStyle="1" w:styleId="49">
    <w:name w:val="页脚 Char"/>
    <w:link w:val="18"/>
    <w:qFormat/>
    <w:uiPriority w:val="99"/>
    <w:rPr>
      <w:rFonts w:ascii="宋体"/>
      <w:kern w:val="2"/>
      <w:sz w:val="18"/>
      <w:szCs w:val="18"/>
    </w:rPr>
  </w:style>
  <w:style w:type="character" w:customStyle="1" w:styleId="50">
    <w:name w:val="批注框文本 Char"/>
    <w:link w:val="17"/>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Char"/>
    <w:link w:val="51"/>
    <w:qFormat/>
    <w:uiPriority w:val="29"/>
    <w:rPr>
      <w:i/>
      <w:iCs/>
      <w:color w:val="000000"/>
      <w:kern w:val="2"/>
      <w:sz w:val="21"/>
      <w:szCs w:val="21"/>
    </w:rPr>
  </w:style>
  <w:style w:type="character" w:customStyle="1" w:styleId="53">
    <w:name w:val="标题 Char"/>
    <w:link w:val="28"/>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Char"/>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ind w:left="0"/>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4">
    <w:name w:val="脚注文本 Char"/>
    <w:link w:val="22"/>
    <w:semiHidden/>
    <w:qFormat/>
    <w:uiPriority w:val="0"/>
    <w:rPr>
      <w:rFonts w:ascii="宋体"/>
      <w:kern w:val="2"/>
      <w:sz w:val="18"/>
      <w:szCs w:val="18"/>
    </w:rPr>
  </w:style>
  <w:style w:type="paragraph" w:customStyle="1" w:styleId="10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Lines="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Lines="0" w:afterLines="0"/>
      <w:outlineLvl w:val="9"/>
    </w:pPr>
    <w:rPr>
      <w:rFonts w:ascii="宋体" w:eastAsia="宋体"/>
    </w:rPr>
  </w:style>
  <w:style w:type="paragraph" w:customStyle="1" w:styleId="168">
    <w:name w:val="标准文件_五级无标题"/>
    <w:basedOn w:val="108"/>
    <w:qFormat/>
    <w:uiPriority w:val="0"/>
    <w:pPr>
      <w:spacing w:beforeLines="0" w:afterLines="0"/>
      <w:outlineLvl w:val="9"/>
    </w:pPr>
    <w:rPr>
      <w:rFonts w:ascii="宋体" w:eastAsia="宋体"/>
    </w:rPr>
  </w:style>
  <w:style w:type="paragraph" w:customStyle="1" w:styleId="169">
    <w:name w:val="标准文件_三级无标题"/>
    <w:basedOn w:val="99"/>
    <w:qFormat/>
    <w:uiPriority w:val="0"/>
    <w:pPr>
      <w:spacing w:beforeLines="0" w:afterLines="0"/>
      <w:outlineLvl w:val="9"/>
    </w:pPr>
    <w:rPr>
      <w:rFonts w:ascii="宋体" w:eastAsia="宋体"/>
    </w:rPr>
  </w:style>
  <w:style w:type="paragraph" w:customStyle="1" w:styleId="170">
    <w:name w:val="标准文件_二级无标题"/>
    <w:basedOn w:val="70"/>
    <w:link w:val="246"/>
    <w:qFormat/>
    <w:uiPriority w:val="0"/>
    <w:pPr>
      <w:spacing w:beforeLines="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Lines="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link w:val="247"/>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Lines="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Lines="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Lines="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Lines="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Lines="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Lines="0" w:afterLines="0" w:line="276" w:lineRule="auto"/>
      <w:outlineLvl w:val="9"/>
    </w:pPr>
    <w:rPr>
      <w:rFonts w:ascii="宋体" w:eastAsia="宋体"/>
    </w:rPr>
  </w:style>
  <w:style w:type="paragraph" w:customStyle="1" w:styleId="217">
    <w:name w:val="标准文件_附录二级无标题"/>
    <w:basedOn w:val="84"/>
    <w:qFormat/>
    <w:uiPriority w:val="0"/>
    <w:pPr>
      <w:spacing w:beforeLines="0" w:afterLines="0" w:line="276" w:lineRule="auto"/>
      <w:outlineLvl w:val="9"/>
    </w:pPr>
    <w:rPr>
      <w:rFonts w:ascii="宋体" w:eastAsia="宋体"/>
    </w:rPr>
  </w:style>
  <w:style w:type="paragraph" w:customStyle="1" w:styleId="218">
    <w:name w:val="标准文件_附录三级无标题"/>
    <w:basedOn w:val="86"/>
    <w:qFormat/>
    <w:uiPriority w:val="0"/>
    <w:pPr>
      <w:spacing w:beforeLines="0" w:afterLines="0" w:line="276" w:lineRule="auto"/>
      <w:outlineLvl w:val="9"/>
    </w:pPr>
    <w:rPr>
      <w:rFonts w:ascii="宋体" w:eastAsia="宋体"/>
    </w:rPr>
  </w:style>
  <w:style w:type="paragraph" w:customStyle="1" w:styleId="219">
    <w:name w:val="标准文件_附录四级无标题"/>
    <w:basedOn w:val="87"/>
    <w:qFormat/>
    <w:uiPriority w:val="0"/>
    <w:pPr>
      <w:spacing w:beforeLines="0" w:afterLines="0" w:line="276" w:lineRule="auto"/>
      <w:outlineLvl w:val="9"/>
    </w:pPr>
    <w:rPr>
      <w:rFonts w:ascii="宋体" w:eastAsia="宋体"/>
    </w:rPr>
  </w:style>
  <w:style w:type="paragraph" w:customStyle="1" w:styleId="220">
    <w:name w:val="标准文件_附录五级无标题"/>
    <w:basedOn w:val="89"/>
    <w:qFormat/>
    <w:uiPriority w:val="0"/>
    <w:pPr>
      <w:spacing w:beforeLines="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Lines="0" w:afterLines="0" w:line="276" w:lineRule="auto"/>
    </w:pPr>
    <w:rPr>
      <w:rFonts w:ascii="宋体" w:eastAsia="宋体"/>
    </w:rPr>
  </w:style>
  <w:style w:type="paragraph" w:customStyle="1" w:styleId="222">
    <w:name w:val="标准文件_引言二级无标题"/>
    <w:basedOn w:val="206"/>
    <w:next w:val="61"/>
    <w:qFormat/>
    <w:uiPriority w:val="0"/>
    <w:pPr>
      <w:spacing w:beforeLines="0" w:afterLines="0" w:line="276" w:lineRule="auto"/>
    </w:pPr>
    <w:rPr>
      <w:rFonts w:ascii="宋体" w:eastAsia="宋体"/>
    </w:rPr>
  </w:style>
  <w:style w:type="paragraph" w:customStyle="1" w:styleId="223">
    <w:name w:val="标准文件_引言三级无标题"/>
    <w:basedOn w:val="207"/>
    <w:qFormat/>
    <w:uiPriority w:val="0"/>
    <w:pPr>
      <w:spacing w:beforeLines="0" w:afterLines="0" w:line="276" w:lineRule="auto"/>
    </w:pPr>
    <w:rPr>
      <w:rFonts w:ascii="宋体" w:eastAsia="宋体"/>
    </w:rPr>
  </w:style>
  <w:style w:type="paragraph" w:customStyle="1" w:styleId="224">
    <w:name w:val="标准文件_引言四级无标题"/>
    <w:basedOn w:val="208"/>
    <w:next w:val="61"/>
    <w:qFormat/>
    <w:uiPriority w:val="0"/>
    <w:pPr>
      <w:spacing w:beforeLines="0" w:afterLines="0" w:line="276" w:lineRule="auto"/>
    </w:pPr>
    <w:rPr>
      <w:rFonts w:ascii="宋体" w:eastAsia="宋体"/>
    </w:rPr>
  </w:style>
  <w:style w:type="paragraph" w:customStyle="1" w:styleId="225">
    <w:name w:val="标准文件_引言五级无标题"/>
    <w:basedOn w:val="209"/>
    <w:next w:val="61"/>
    <w:qFormat/>
    <w:uiPriority w:val="0"/>
    <w:pPr>
      <w:spacing w:beforeLines="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character" w:customStyle="1" w:styleId="235">
    <w:name w:val="font51"/>
    <w:basedOn w:val="32"/>
    <w:qFormat/>
    <w:uiPriority w:val="0"/>
    <w:rPr>
      <w:rFonts w:hint="default" w:ascii="Times New Roman" w:hAnsi="Times New Roman" w:cs="Times New Roman"/>
      <w:color w:val="000000"/>
      <w:sz w:val="24"/>
      <w:szCs w:val="24"/>
      <w:u w:val="none"/>
    </w:rPr>
  </w:style>
  <w:style w:type="character" w:customStyle="1" w:styleId="236">
    <w:name w:val="font41"/>
    <w:basedOn w:val="32"/>
    <w:qFormat/>
    <w:uiPriority w:val="0"/>
    <w:rPr>
      <w:rFonts w:hint="eastAsia" w:ascii="宋体" w:hAnsi="宋体" w:eastAsia="宋体" w:cs="宋体"/>
      <w:color w:val="000000"/>
      <w:sz w:val="24"/>
      <w:szCs w:val="24"/>
      <w:u w:val="none"/>
    </w:rPr>
  </w:style>
  <w:style w:type="character" w:customStyle="1" w:styleId="237">
    <w:name w:val="font61"/>
    <w:basedOn w:val="32"/>
    <w:qFormat/>
    <w:uiPriority w:val="0"/>
    <w:rPr>
      <w:rFonts w:hint="default" w:ascii="Times New Roman" w:hAnsi="Times New Roman" w:cs="Times New Roman"/>
      <w:color w:val="000000"/>
      <w:sz w:val="24"/>
      <w:szCs w:val="24"/>
      <w:u w:val="none"/>
    </w:rPr>
  </w:style>
  <w:style w:type="character" w:customStyle="1" w:styleId="238">
    <w:name w:val="font71"/>
    <w:basedOn w:val="32"/>
    <w:qFormat/>
    <w:uiPriority w:val="0"/>
    <w:rPr>
      <w:rFonts w:hint="eastAsia" w:ascii="宋体" w:hAnsi="宋体" w:eastAsia="宋体" w:cs="宋体"/>
      <w:color w:val="000000"/>
      <w:sz w:val="24"/>
      <w:szCs w:val="24"/>
      <w:u w:val="none"/>
    </w:rPr>
  </w:style>
  <w:style w:type="character" w:customStyle="1" w:styleId="239">
    <w:name w:val="font21"/>
    <w:basedOn w:val="32"/>
    <w:qFormat/>
    <w:uiPriority w:val="0"/>
    <w:rPr>
      <w:rFonts w:hint="eastAsia" w:ascii="宋体" w:hAnsi="宋体" w:eastAsia="宋体" w:cs="宋体"/>
      <w:color w:val="000000"/>
      <w:sz w:val="24"/>
      <w:szCs w:val="24"/>
      <w:u w:val="none"/>
    </w:rPr>
  </w:style>
  <w:style w:type="character" w:customStyle="1" w:styleId="240">
    <w:name w:val="font31"/>
    <w:basedOn w:val="32"/>
    <w:qFormat/>
    <w:uiPriority w:val="0"/>
    <w:rPr>
      <w:rFonts w:hint="eastAsia" w:ascii="宋体" w:hAnsi="宋体" w:eastAsia="宋体" w:cs="宋体"/>
      <w:color w:val="000000"/>
      <w:sz w:val="24"/>
      <w:szCs w:val="24"/>
      <w:u w:val="none"/>
    </w:rPr>
  </w:style>
  <w:style w:type="paragraph" w:customStyle="1" w:styleId="241">
    <w:name w:val="WPSOffice手动目录 1"/>
    <w:qFormat/>
    <w:uiPriority w:val="0"/>
    <w:rPr>
      <w:rFonts w:ascii="Times New Roman" w:hAnsi="Times New Roman" w:eastAsia="宋体" w:cs="Times New Roman"/>
      <w:lang w:val="en-US" w:eastAsia="zh-CN" w:bidi="ar-SA"/>
    </w:rPr>
  </w:style>
  <w:style w:type="paragraph" w:customStyle="1" w:styleId="24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43">
    <w:name w:val="一级条标题"/>
    <w:next w:val="244"/>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4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5">
    <w:name w:val="Table Paragraph"/>
    <w:basedOn w:val="1"/>
    <w:qFormat/>
    <w:uiPriority w:val="1"/>
    <w:rPr>
      <w:rFonts w:ascii="Noto Sans Mono CJK HK" w:hAnsi="Noto Sans Mono CJK HK" w:eastAsia="Noto Sans Mono CJK HK" w:cs="Noto Sans Mono CJK HK"/>
    </w:rPr>
  </w:style>
  <w:style w:type="character" w:customStyle="1" w:styleId="246">
    <w:name w:val="标准文件_二级无标题 Char"/>
    <w:link w:val="170"/>
    <w:qFormat/>
    <w:uiPriority w:val="0"/>
    <w:rPr>
      <w:rFonts w:ascii="宋体" w:eastAsia="宋体"/>
    </w:rPr>
  </w:style>
  <w:style w:type="character" w:customStyle="1" w:styleId="247">
    <w:name w:val="标准文件_二级项 Char"/>
    <w:link w:val="176"/>
    <w:qFormat/>
    <w:uiPriority w:val="0"/>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4.jpeg"/><Relationship Id="rId30" Type="http://schemas.openxmlformats.org/officeDocument/2006/relationships/image" Target="media/image3.wmf"/><Relationship Id="rId3" Type="http://schemas.openxmlformats.org/officeDocument/2006/relationships/footnotes" Target="footnotes.xml"/><Relationship Id="rId29" Type="http://schemas.openxmlformats.org/officeDocument/2006/relationships/oleObject" Target="embeddings/oleObject3.bin"/><Relationship Id="rId28" Type="http://schemas.openxmlformats.org/officeDocument/2006/relationships/image" Target="media/image2.wmf"/><Relationship Id="rId27" Type="http://schemas.openxmlformats.org/officeDocument/2006/relationships/oleObject" Target="embeddings/oleObject2.bin"/><Relationship Id="rId26" Type="http://schemas.openxmlformats.org/officeDocument/2006/relationships/image" Target="media/image1.wmf"/><Relationship Id="rId25" Type="http://schemas.openxmlformats.org/officeDocument/2006/relationships/oleObject" Target="embeddings/oleObject1.bin"/><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admin1/C:\Users\Administrator\AppData\Roaming\kingsoft\office6\templates\docerresourceshop\ugc\template\303443903210\0dcfffd3819206ff4eb43f8e9393ece905e7a616\&#29664;&#28023;&#22320;&#26041;&#26631;&#20934;&#27169;&#26495;.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f36f48-8971-4c7c-a44f-192b6da026a9}"/>
        <w:style w:val=""/>
        <w:category>
          <w:name w:val="常规"/>
          <w:gallery w:val="placeholder"/>
        </w:category>
        <w:types>
          <w:type w:val="bbPlcHdr"/>
        </w:types>
        <w:behaviors>
          <w:behavior w:val="content"/>
        </w:behaviors>
        <w:description w:val=""/>
        <w:guid w:val="{82F36F48-8971-4C7C-A44F-192B6DA026A9}"/>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62D68"/>
    <w:rsid w:val="00026D7C"/>
    <w:rsid w:val="00104CE7"/>
    <w:rsid w:val="00162D68"/>
    <w:rsid w:val="0019744D"/>
    <w:rsid w:val="00212219"/>
    <w:rsid w:val="0026566B"/>
    <w:rsid w:val="002C7408"/>
    <w:rsid w:val="007376AC"/>
    <w:rsid w:val="00A80CC5"/>
    <w:rsid w:val="00AE152C"/>
    <w:rsid w:val="00B57DE2"/>
    <w:rsid w:val="00F8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269671234994BD8BF0E9C9FB3A16D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D9056303585474C8B9D3853B2B30D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1181D67B332493086B9BFC5891F5CE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珠海地方标准模板</Template>
  <Pages>21</Pages>
  <Words>301</Words>
  <Characters>458</Characters>
  <Lines>93</Lines>
  <Paragraphs>26</Paragraphs>
  <TotalTime>1</TotalTime>
  <ScaleCrop>false</ScaleCrop>
  <LinksUpToDate>false</LinksUpToDate>
  <CharactersWithSpaces>548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2025-05-17T16:20:00Z</dcterms:created>
  <dc:creator>饶华</dc:creator>
  <dc:description>&lt;config cover="true" show_menu="true" version="1.0.0" doctype="SDKXY"&gt;_x000d_
&lt;/config&gt;</dc:description>
  <cp:lastModifiedBy>admin1</cp:lastModifiedBy>
  <cp:lastPrinted>2025-05-10T12:05:00Z</cp:lastPrinted>
  <dcterms:modified xsi:type="dcterms:W3CDTF">2025-06-11T15:23:11Z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2052-11.8.2.12128</vt:lpwstr>
  </property>
  <property fmtid="{D5CDD505-2E9C-101B-9397-08002B2CF9AE}" pid="16" name="ICV">
    <vt:lpwstr>6DC93FB6A942B286DF2E4968DD2F5592</vt:lpwstr>
  </property>
  <property fmtid="{D5CDD505-2E9C-101B-9397-08002B2CF9AE}" pid="17" name="KSOTemplateDocerSaveRecord">
    <vt:lpwstr>eyJoZGlkIjoiNGYzMjA1NjJhZmJlNjgyMTkxNGMyYjIwZTUyMGI4ZmEiLCJ1c2VySWQiOiIxNjkzNDMwOTE2In0=</vt:lpwstr>
  </property>
</Properties>
</file>