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E3C7E">
      <w:pPr>
        <w:tabs>
          <w:tab w:val="left" w:pos="1980"/>
        </w:tabs>
        <w:textAlignment w:val="center"/>
        <w:rPr>
          <w:rFonts w:eastAsia="黑体"/>
          <w:kern w:val="0"/>
        </w:rPr>
      </w:pPr>
      <w:r>
        <w:rPr>
          <w:rFonts w:eastAsia="黑体"/>
          <w:kern w:val="0"/>
        </w:rPr>
        <w:t>ICS 65.020</w:t>
      </w:r>
    </w:p>
    <w:p w14:paraId="2A105877">
      <w:pPr>
        <w:textAlignment w:val="center"/>
        <w:rPr>
          <w:rFonts w:eastAsia="黑体"/>
          <w:kern w:val="0"/>
        </w:rPr>
      </w:pPr>
      <w:r>
        <w:rPr>
          <w:rFonts w:eastAsia="黑体"/>
          <w:kern w:val="0"/>
        </w:rPr>
        <w:t>B 61</w:t>
      </w:r>
    </w:p>
    <w:p w14:paraId="619BAC79">
      <w:pPr>
        <w:jc w:val="center"/>
        <w:textAlignment w:val="center"/>
        <w:rPr>
          <w:rFonts w:eastAsia="黑体"/>
          <w:kern w:val="0"/>
        </w:rPr>
      </w:pPr>
      <w: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42545</wp:posOffset>
                </wp:positionV>
                <wp:extent cx="2107565" cy="19221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107565" cy="1922145"/>
                        </a:xfrm>
                        <a:prstGeom prst="rect">
                          <a:avLst/>
                        </a:prstGeom>
                        <a:noFill/>
                        <a:ln>
                          <a:noFill/>
                        </a:ln>
                      </wps:spPr>
                      <wps:txbx>
                        <w:txbxContent>
                          <w:p w14:paraId="16F7295E">
                            <w:pPr>
                              <w:jc w:val="right"/>
                            </w:pPr>
                            <w:r>
                              <w:rPr>
                                <w:b/>
                                <w:w w:val="130"/>
                                <w:kern w:val="0"/>
                                <w:sz w:val="96"/>
                                <w:szCs w:val="96"/>
                              </w:rPr>
                              <w:t>DB</w:t>
                            </w:r>
                            <w:r>
                              <w:rPr>
                                <w:rFonts w:hint="eastAsia"/>
                                <w:b/>
                                <w:w w:val="130"/>
                                <w:kern w:val="0"/>
                                <w:sz w:val="96"/>
                                <w:szCs w:val="96"/>
                              </w:rPr>
                              <w:t>13</w:t>
                            </w:r>
                          </w:p>
                        </w:txbxContent>
                      </wps:txbx>
                      <wps:bodyPr wrap="square" lIns="18000" tIns="0" rIns="18000" bIns="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270pt;margin-top:3.35pt;height:151.35pt;width:165.95pt;z-index:251660288;mso-width-relative:page;mso-height-relative:margin;mso-height-percent:200;" filled="f" stroked="f" coordsize="21600,21600" o:gfxdata="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jAP2r2AAAAAkBAAAPAAAAAAAAAAEA&#10;IAAAACIAAABkcnMvZG93bnJldi54bWxQSwECFAAUAAAACACHTuJAxEHU8tYBAACjAwAADgAAAAAA&#10;AAABACAAAAAnAQAAZHJzL2Uyb0RvYy54bWxQSwUGAAAAAAYABgBZAQAAbwUAAAAA&#10;">
                <v:fill on="f" focussize="0,0"/>
                <v:stroke on="f"/>
                <v:imagedata o:title=""/>
                <o:lock v:ext="edit" aspectratio="f"/>
                <v:textbox inset="0.5mm,0mm,0.5mm,0mm" style="mso-fit-shape-to-text:t;">
                  <w:txbxContent>
                    <w:p w14:paraId="16F7295E">
                      <w:pPr>
                        <w:jc w:val="right"/>
                      </w:pPr>
                      <w:r>
                        <w:rPr>
                          <w:b/>
                          <w:w w:val="130"/>
                          <w:kern w:val="0"/>
                          <w:sz w:val="96"/>
                          <w:szCs w:val="96"/>
                        </w:rPr>
                        <w:t>DB</w:t>
                      </w:r>
                      <w:r>
                        <w:rPr>
                          <w:rFonts w:hint="eastAsia"/>
                          <w:b/>
                          <w:w w:val="130"/>
                          <w:kern w:val="0"/>
                          <w:sz w:val="96"/>
                          <w:szCs w:val="96"/>
                        </w:rPr>
                        <w:t>13</w:t>
                      </w:r>
                    </w:p>
                  </w:txbxContent>
                </v:textbox>
              </v:shape>
            </w:pict>
          </mc:Fallback>
        </mc:AlternateContent>
      </w:r>
    </w:p>
    <w:p w14:paraId="293ED4F1">
      <w:pPr>
        <w:framePr w:w="9639" w:hSpace="181" w:vSpace="1418" w:wrap="around" w:vAnchor="page" w:hAnchor="page" w:x="1455" w:y="2836" w:anchorLock="1"/>
        <w:widowControl/>
        <w:spacing w:line="0" w:lineRule="atLeast"/>
        <w:jc w:val="distribute"/>
        <w:rPr>
          <w:rFonts w:eastAsia="黑体"/>
          <w:spacing w:val="-40"/>
          <w:kern w:val="0"/>
          <w:sz w:val="52"/>
          <w:szCs w:val="32"/>
        </w:rPr>
      </w:pPr>
      <w:r>
        <w:rPr>
          <w:rFonts w:eastAsia="黑体"/>
          <w:spacing w:val="-40"/>
          <w:kern w:val="0"/>
          <w:sz w:val="52"/>
          <w:szCs w:val="32"/>
        </w:rPr>
        <w:t>河北省地方标准</w:t>
      </w:r>
    </w:p>
    <w:p w14:paraId="19F49A4C">
      <w:pPr>
        <w:framePr w:wrap="around" w:vAnchor="page" w:hAnchor="page" w:x="8259" w:y="3220" w:anchorLock="1"/>
        <w:widowControl/>
        <w:spacing w:before="357"/>
        <w:rPr>
          <w:rFonts w:eastAsia="黑体"/>
          <w:kern w:val="0"/>
          <w:sz w:val="28"/>
          <w:szCs w:val="28"/>
        </w:rPr>
      </w:pPr>
      <w:r>
        <w:rPr>
          <w:rFonts w:eastAsia="黑体"/>
          <w:kern w:val="0"/>
          <w:sz w:val="28"/>
          <w:szCs w:val="28"/>
        </w:rPr>
        <w:t>DB 13/T ****—20</w:t>
      </w:r>
      <w:r>
        <w:rPr>
          <w:rFonts w:hint="eastAsia" w:eastAsia="黑体"/>
          <w:kern w:val="0"/>
          <w:sz w:val="28"/>
          <w:szCs w:val="28"/>
        </w:rPr>
        <w:t>2*</w:t>
      </w:r>
    </w:p>
    <w:p w14:paraId="4BF496F6">
      <w:pPr>
        <w:framePr w:w="9639" w:h="714" w:hRule="exact" w:wrap="around" w:vAnchor="page" w:hAnchor="page" w:x="1419" w:y="6522" w:anchorLock="1"/>
        <w:spacing w:line="360" w:lineRule="auto"/>
        <w:jc w:val="center"/>
        <w:rPr>
          <w:rFonts w:eastAsia="黑体"/>
          <w:kern w:val="0"/>
          <w:sz w:val="52"/>
          <w:szCs w:val="52"/>
        </w:rPr>
      </w:pPr>
      <w:r>
        <w:rPr>
          <w:rFonts w:hint="eastAsia" w:eastAsia="黑体"/>
          <w:kern w:val="0"/>
          <w:sz w:val="52"/>
          <w:szCs w:val="52"/>
        </w:rPr>
        <w:t>鲜食玉米全程绿色生产技术规程</w:t>
      </w:r>
    </w:p>
    <w:p w14:paraId="28B55B41">
      <w:pPr>
        <w:framePr w:w="9639" w:h="714" w:hRule="exact" w:wrap="around" w:vAnchor="page" w:hAnchor="page" w:x="1419" w:y="6522" w:anchorLock="1"/>
        <w:spacing w:before="440" w:line="400" w:lineRule="exact"/>
        <w:textAlignment w:val="center"/>
        <w:rPr>
          <w:kern w:val="0"/>
          <w:sz w:val="28"/>
          <w:szCs w:val="28"/>
        </w:rPr>
      </w:pPr>
    </w:p>
    <w:p w14:paraId="59145BEB">
      <w:pPr>
        <w:framePr w:w="3997" w:h="471" w:hRule="exact" w:vSpace="181" w:wrap="around" w:vAnchor="page" w:hAnchor="page" w:x="1419" w:y="14097" w:anchorLock="1"/>
        <w:widowControl/>
        <w:rPr>
          <w:rFonts w:eastAsia="黑体"/>
          <w:kern w:val="0"/>
          <w:sz w:val="28"/>
          <w:szCs w:val="20"/>
        </w:rPr>
      </w:pPr>
      <w:r>
        <w:rPr>
          <w:szCs w:val="24"/>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339090</wp:posOffset>
                </wp:positionV>
                <wp:extent cx="6058535" cy="314325"/>
                <wp:effectExtent l="0" t="0" r="0" b="0"/>
                <wp:wrapNone/>
                <wp:docPr id="4" name="文本框 11"/>
                <wp:cNvGraphicFramePr/>
                <a:graphic xmlns:a="http://schemas.openxmlformats.org/drawingml/2006/main">
                  <a:graphicData uri="http://schemas.microsoft.com/office/word/2010/wordprocessingShape">
                    <wps:wsp>
                      <wps:cNvSpPr txBox="1"/>
                      <wps:spPr>
                        <a:xfrm>
                          <a:off x="0" y="0"/>
                          <a:ext cx="6058535" cy="314325"/>
                        </a:xfrm>
                        <a:prstGeom prst="rect">
                          <a:avLst/>
                        </a:prstGeom>
                        <a:noFill/>
                        <a:ln>
                          <a:noFill/>
                        </a:ln>
                      </wps:spPr>
                      <wps:txbx>
                        <w:txbxContent>
                          <w:p w14:paraId="39574E05">
                            <w:pPr>
                              <w:jc w:val="center"/>
                              <w:rPr>
                                <w:rFonts w:eastAsia="黑体"/>
                                <w:sz w:val="32"/>
                                <w:szCs w:val="32"/>
                              </w:rPr>
                            </w:pPr>
                            <w:r>
                              <w:rPr>
                                <w:rFonts w:hint="eastAsia" w:ascii="黑体" w:eastAsia="黑体"/>
                                <w:sz w:val="32"/>
                                <w:szCs w:val="32"/>
                              </w:rPr>
                              <w:t xml:space="preserve">河北省市场监督管理局  </w:t>
                            </w:r>
                            <w:r>
                              <w:rPr>
                                <w:rFonts w:hint="eastAsia" w:ascii="黑体" w:eastAsia="黑体"/>
                                <w:spacing w:val="85"/>
                                <w:position w:val="3"/>
                                <w:sz w:val="32"/>
                                <w:szCs w:val="32"/>
                              </w:rPr>
                              <w:t>发布</w:t>
                            </w:r>
                          </w:p>
                        </w:txbxContent>
                      </wps:txbx>
                      <wps:bodyPr wrap="square" lIns="18000" tIns="0" rIns="18000" bIns="0" upright="1"/>
                    </wps:wsp>
                  </a:graphicData>
                </a:graphic>
              </wp:anchor>
            </w:drawing>
          </mc:Choice>
          <mc:Fallback>
            <w:pict>
              <v:shape id="文本框 11" o:spid="_x0000_s1026" o:spt="202" type="#_x0000_t202" style="position:absolute;left:0pt;margin-left:0pt;margin-top:26.7pt;height:24.75pt;width:477.05pt;z-index:251662336;mso-width-relative:page;mso-height-relative:page;" filled="f" stroked="f" coordsize="21600,21600" o:gfxdata="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8T3/rWAAAABwEAAA8AAAAAAAAAAQAgAAAAIgAAAGRycy9k&#10;b3ducmV2LnhtbFBLAQIUABQAAAAIAIdO4kBog4PxywEAAIkDAAAOAAAAAAAAAAEAIAAAACUBAABk&#10;cnMvZTJvRG9jLnhtbFBLBQYAAAAABgAGAFkBAABiBQAAAAA=&#10;">
                <v:fill on="f" focussize="0,0"/>
                <v:stroke on="f"/>
                <v:imagedata o:title=""/>
                <o:lock v:ext="edit" aspectratio="f"/>
                <v:textbox inset="0.5mm,0mm,0.5mm,0mm">
                  <w:txbxContent>
                    <w:p w14:paraId="39574E05">
                      <w:pPr>
                        <w:jc w:val="center"/>
                        <w:rPr>
                          <w:rFonts w:eastAsia="黑体"/>
                          <w:sz w:val="32"/>
                          <w:szCs w:val="32"/>
                        </w:rPr>
                      </w:pPr>
                      <w:r>
                        <w:rPr>
                          <w:rFonts w:hint="eastAsia" w:ascii="黑体" w:eastAsia="黑体"/>
                          <w:sz w:val="32"/>
                          <w:szCs w:val="32"/>
                        </w:rPr>
                        <w:t xml:space="preserve">河北省市场监督管理局  </w:t>
                      </w:r>
                      <w:r>
                        <w:rPr>
                          <w:rFonts w:hint="eastAsia" w:ascii="黑体" w:eastAsia="黑体"/>
                          <w:spacing w:val="85"/>
                          <w:position w:val="3"/>
                          <w:sz w:val="32"/>
                          <w:szCs w:val="32"/>
                        </w:rPr>
                        <w:t>发布</w:t>
                      </w:r>
                    </w:p>
                  </w:txbxContent>
                </v:textbox>
              </v:shape>
            </w:pict>
          </mc:Fallback>
        </mc:AlternateContent>
      </w:r>
      <w:r>
        <w:rPr>
          <w:rFonts w:eastAsia="黑体"/>
          <w:kern w:val="0"/>
          <w:sz w:val="28"/>
          <w:szCs w:val="20"/>
        </w:rPr>
        <w:t>20</w:t>
      </w:r>
      <w:r>
        <w:rPr>
          <w:rFonts w:hint="eastAsia" w:eastAsia="黑体"/>
          <w:kern w:val="0"/>
          <w:sz w:val="28"/>
          <w:szCs w:val="20"/>
        </w:rPr>
        <w:t>2*</w:t>
      </w:r>
      <w:r>
        <w:rPr>
          <w:rFonts w:eastAsia="黑体"/>
          <w:kern w:val="0"/>
          <w:sz w:val="28"/>
          <w:szCs w:val="20"/>
        </w:rPr>
        <w:t xml:space="preserve"> - 0* - **发布</w:t>
      </w:r>
      <w:r>
        <w:rPr>
          <w:rFonts w:eastAsia="黑体"/>
          <w:kern w:val="0"/>
          <w:sz w:val="28"/>
          <w:szCs w:val="20"/>
        </w:rPr>
        <mc:AlternateContent>
          <mc:Choice Requires="wps">
            <w:drawing>
              <wp:anchor distT="0" distB="0" distL="114300" distR="114300" simplePos="0" relativeHeight="251659264" behindDoc="0" locked="1" layoutInCell="1" allowOverlap="1">
                <wp:simplePos x="0" y="0"/>
                <wp:positionH relativeFrom="page">
                  <wp:posOffset>900430</wp:posOffset>
                </wp:positionH>
                <wp:positionV relativeFrom="page">
                  <wp:posOffset>9251950</wp:posOffset>
                </wp:positionV>
                <wp:extent cx="6120130" cy="0"/>
                <wp:effectExtent l="0" t="4445" r="0" b="5080"/>
                <wp:wrapNone/>
                <wp:docPr id="1"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70.9pt;margin-top:728.5pt;height:0pt;width:481.9pt;mso-position-horizontal-relative:page;mso-position-vertical-relative:page;z-index:251659264;mso-width-relative:page;mso-height-relative:page;" filled="f" stroked="t" coordsize="21600,21600" o:gfxdata="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eU/DNcAAAAOAQAADwAA&#10;AAAAAAABACAAAAAiAAAAZHJzL2Rvd25yZXYueG1sUEsBAhQAFAAAAAgAh07iQMEJbzTeAQAAzwMA&#10;AA4AAAAAAAAAAQAgAAAAJgEAAGRycy9lMm9Eb2MueG1sUEsFBgAAAAAGAAYAWQEAAHYFAAAAAA==&#10;">
                <v:fill on="f" focussize="0,0"/>
                <v:stroke color="#000000" joinstyle="round"/>
                <v:imagedata o:title=""/>
                <o:lock v:ext="edit" aspectratio="f"/>
                <w10:anchorlock/>
              </v:line>
            </w:pict>
          </mc:Fallback>
        </mc:AlternateContent>
      </w:r>
    </w:p>
    <w:p w14:paraId="5384AFAF">
      <w:pPr>
        <w:framePr w:w="3997" w:h="471" w:hRule="exact" w:vSpace="181" w:wrap="around" w:vAnchor="page" w:hAnchor="page" w:x="7089" w:y="14097" w:anchorLock="1"/>
        <w:widowControl/>
        <w:jc w:val="right"/>
        <w:rPr>
          <w:rFonts w:eastAsia="黑体"/>
          <w:kern w:val="0"/>
          <w:sz w:val="28"/>
          <w:szCs w:val="20"/>
        </w:rPr>
      </w:pPr>
      <w:r>
        <w:rPr>
          <w:rFonts w:eastAsia="黑体"/>
          <w:kern w:val="0"/>
          <w:sz w:val="28"/>
          <w:szCs w:val="20"/>
        </w:rPr>
        <w:t>20</w:t>
      </w:r>
      <w:r>
        <w:rPr>
          <w:rFonts w:hint="eastAsia" w:eastAsia="黑体"/>
          <w:kern w:val="0"/>
          <w:sz w:val="28"/>
          <w:szCs w:val="20"/>
        </w:rPr>
        <w:t>2*</w:t>
      </w:r>
      <w:r>
        <w:rPr>
          <w:rFonts w:eastAsia="黑体"/>
          <w:kern w:val="0"/>
          <w:sz w:val="28"/>
          <w:szCs w:val="20"/>
        </w:rPr>
        <w:t xml:space="preserve"> - 0* - **实施</w:t>
      </w:r>
    </w:p>
    <w:p w14:paraId="1466EC98">
      <w:pPr>
        <w:widowControl/>
        <w:jc w:val="center"/>
        <w:rPr>
          <w:szCs w:val="24"/>
        </w:rPr>
      </w:pPr>
      <w:r>
        <w:rPr>
          <w:szCs w:val="24"/>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2700655</wp:posOffset>
                </wp:positionV>
                <wp:extent cx="6120130" cy="0"/>
                <wp:effectExtent l="0" t="4445" r="0" b="5080"/>
                <wp:wrapNone/>
                <wp:docPr id="3" name="直线 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70.9pt;margin-top:212.65pt;height:0pt;width:481.9pt;mso-position-horizontal-relative:page;mso-position-vertical-relative:page;z-index:251661312;mso-width-relative:page;mso-height-relative:page;" filled="f" stroked="t" coordsize="21600,21600"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eDSZbYAAAADAEAAA8A&#10;AAAAAAAAAQAgAAAAIgAAAGRycy9kb3ducmV2LnhtbFBLAQIUABQAAAAIAIdO4kC2ZykK3gEAAM8D&#10;AAAOAAAAAAAAAAEAIAAAACcBAABkcnMvZTJvRG9jLnhtbFBLBQYAAAAABgAGAFkBAAB3BQAAAAA=&#10;">
                <v:fill on="f" focussize="0,0"/>
                <v:stroke color="#000000" joinstyle="round"/>
                <v:imagedata o:title=""/>
                <o:lock v:ext="edit" aspectratio="f"/>
              </v:line>
            </w:pict>
          </mc:Fallback>
        </mc:AlternateContent>
      </w:r>
    </w:p>
    <w:p w14:paraId="37163298">
      <w:pPr>
        <w:widowControl/>
        <w:jc w:val="center"/>
        <w:rPr>
          <w:szCs w:val="24"/>
        </w:rPr>
      </w:pPr>
    </w:p>
    <w:p w14:paraId="56C88DB3">
      <w:pPr>
        <w:widowControl/>
        <w:jc w:val="center"/>
        <w:rPr>
          <w:szCs w:val="24"/>
        </w:rPr>
      </w:pPr>
    </w:p>
    <w:p w14:paraId="143F74CB">
      <w:pPr>
        <w:widowControl/>
        <w:jc w:val="center"/>
        <w:rPr>
          <w:szCs w:val="24"/>
        </w:rPr>
      </w:pPr>
    </w:p>
    <w:p w14:paraId="387BC918">
      <w:pPr>
        <w:widowControl/>
        <w:jc w:val="center"/>
        <w:rPr>
          <w:szCs w:val="24"/>
        </w:rPr>
      </w:pPr>
    </w:p>
    <w:p w14:paraId="52B096AD">
      <w:pPr>
        <w:widowControl/>
        <w:jc w:val="center"/>
        <w:rPr>
          <w:szCs w:val="24"/>
        </w:rPr>
      </w:pPr>
    </w:p>
    <w:p w14:paraId="5CFBDBEC">
      <w:pPr>
        <w:widowControl/>
        <w:jc w:val="center"/>
        <w:rPr>
          <w:szCs w:val="24"/>
        </w:rPr>
      </w:pPr>
    </w:p>
    <w:p w14:paraId="54C75E08">
      <w:pPr>
        <w:widowControl/>
        <w:jc w:val="center"/>
        <w:rPr>
          <w:szCs w:val="24"/>
        </w:rPr>
      </w:pPr>
    </w:p>
    <w:p w14:paraId="0C52678D">
      <w:pPr>
        <w:widowControl/>
        <w:jc w:val="center"/>
        <w:rPr>
          <w:szCs w:val="24"/>
        </w:rPr>
      </w:pPr>
    </w:p>
    <w:p w14:paraId="67AFD416">
      <w:pPr>
        <w:pStyle w:val="25"/>
        <w:tabs>
          <w:tab w:val="left" w:pos="742"/>
        </w:tabs>
        <w:jc w:val="center"/>
        <w:rPr>
          <w:rFonts w:ascii="Times New Roman" w:hAnsi="Times New Roman"/>
          <w:b w:val="0"/>
        </w:rPr>
        <w:sectPr>
          <w:headerReference r:id="rId3" w:type="even"/>
          <w:footerReference r:id="rId4" w:type="even"/>
          <w:pgSz w:w="11906" w:h="16838"/>
          <w:pgMar w:top="567" w:right="851" w:bottom="1134" w:left="1418" w:header="851" w:footer="992" w:gutter="0"/>
          <w:cols w:space="720" w:num="1"/>
          <w:docGrid w:linePitch="312" w:charSpace="0"/>
        </w:sectPr>
      </w:pPr>
    </w:p>
    <w:p w14:paraId="0786673E">
      <w:pPr>
        <w:widowControl/>
        <w:jc w:val="center"/>
        <w:rPr>
          <w:b/>
        </w:rPr>
      </w:pPr>
    </w:p>
    <w:p w14:paraId="75AE44CA">
      <w:pPr>
        <w:pStyle w:val="3"/>
        <w:jc w:val="center"/>
        <w:rPr>
          <w:rFonts w:eastAsia="黑体"/>
          <w:b w:val="0"/>
          <w:sz w:val="28"/>
          <w:szCs w:val="28"/>
        </w:rPr>
      </w:pPr>
      <w:bookmarkStart w:id="0" w:name="_Toc418000519"/>
      <w:r>
        <w:rPr>
          <w:rFonts w:eastAsia="黑体"/>
          <w:b w:val="0"/>
          <w:sz w:val="28"/>
          <w:szCs w:val="28"/>
        </w:rPr>
        <w:t>前</w:t>
      </w:r>
      <w:bookmarkStart w:id="1" w:name="BKQY"/>
      <w:r>
        <w:rPr>
          <w:rFonts w:eastAsia="黑体"/>
          <w:b w:val="0"/>
          <w:sz w:val="28"/>
          <w:szCs w:val="28"/>
        </w:rPr>
        <w:t>    言</w:t>
      </w:r>
      <w:bookmarkEnd w:id="0"/>
      <w:bookmarkEnd w:id="1"/>
    </w:p>
    <w:p w14:paraId="6E9CB50B">
      <w:pPr>
        <w:spacing w:line="360" w:lineRule="auto"/>
        <w:ind w:firstLine="420" w:firstLineChars="200"/>
      </w:pPr>
    </w:p>
    <w:p w14:paraId="1DF87365">
      <w:pPr>
        <w:spacing w:line="360" w:lineRule="auto"/>
        <w:ind w:firstLine="420" w:firstLineChars="200"/>
      </w:pPr>
      <w:r>
        <w:t xml:space="preserve">本文件按照 GB/T1.1—2020《标准化工作导则 第1部分:标准化文件的结构和起草规则》的规定起草。 </w:t>
      </w:r>
    </w:p>
    <w:p w14:paraId="2E350561">
      <w:pPr>
        <w:spacing w:line="360" w:lineRule="auto"/>
        <w:ind w:firstLine="420" w:firstLineChars="200"/>
      </w:pPr>
      <w:r>
        <w:t>本文件由河北省</w:t>
      </w:r>
      <w:r>
        <w:rPr>
          <w:rFonts w:hint="eastAsia"/>
        </w:rPr>
        <w:t>农业农村厅</w:t>
      </w:r>
      <w:r>
        <w:t>提出。</w:t>
      </w:r>
    </w:p>
    <w:p w14:paraId="3B939CE5">
      <w:pPr>
        <w:spacing w:line="360" w:lineRule="auto"/>
        <w:ind w:firstLine="420" w:firstLineChars="200"/>
      </w:pPr>
      <w:r>
        <w:rPr>
          <w:rFonts w:hint="eastAsia"/>
        </w:rPr>
        <w:t>本文件起草单位：河北省农林科学院粮油作物研究所、河北省农林科学院植物保护研究所、河北农业大学、邯郸职业技术学院、河北科技师范学院、邢台市农业农村局。</w:t>
      </w:r>
    </w:p>
    <w:p w14:paraId="4BFC8C06">
      <w:pPr>
        <w:spacing w:line="360" w:lineRule="auto"/>
        <w:ind w:firstLine="420" w:firstLineChars="200"/>
        <w:sectPr>
          <w:headerReference r:id="rId5" w:type="default"/>
          <w:footerReference r:id="rId6" w:type="default"/>
          <w:pgSz w:w="11906" w:h="16838"/>
          <w:pgMar w:top="1418" w:right="1134" w:bottom="1418" w:left="1418" w:header="1418" w:footer="1134" w:gutter="0"/>
          <w:pgNumType w:fmt="upperRoman" w:start="1"/>
          <w:cols w:space="720" w:num="1"/>
          <w:docGrid w:linePitch="312" w:charSpace="0"/>
        </w:sectPr>
      </w:pPr>
      <w:r>
        <w:t>本</w:t>
      </w:r>
      <w:r>
        <w:rPr>
          <w:rFonts w:hint="eastAsia"/>
        </w:rPr>
        <w:t>文件主要</w:t>
      </w:r>
      <w:r>
        <w:t>起草人：</w:t>
      </w:r>
      <w:r>
        <w:rPr>
          <w:rFonts w:hint="eastAsia"/>
        </w:rPr>
        <w:t>王延兵</w:t>
      </w:r>
      <w:r>
        <w:t>、</w:t>
      </w:r>
      <w:r>
        <w:rPr>
          <w:rFonts w:hint="eastAsia"/>
        </w:rPr>
        <w:t>高增玉</w:t>
      </w:r>
      <w:r>
        <w:t>、</w:t>
      </w:r>
      <w:r>
        <w:rPr>
          <w:rFonts w:hint="eastAsia"/>
        </w:rPr>
        <w:t>李魁英</w:t>
      </w:r>
      <w:r>
        <w:t>、</w:t>
      </w:r>
      <w:r>
        <w:rPr>
          <w:rFonts w:hint="eastAsia"/>
        </w:rPr>
        <w:t>安洪周、宋炜、李志民、张金林、刘树森、武玉华、和俭涵、王健、王卓、张全国</w:t>
      </w:r>
      <w:r>
        <w:t>、</w:t>
      </w:r>
      <w:r>
        <w:rPr>
          <w:rFonts w:hint="eastAsia"/>
        </w:rPr>
        <w:t>王江浩</w:t>
      </w:r>
      <w:r>
        <w:t>。</w:t>
      </w:r>
    </w:p>
    <w:p w14:paraId="07EDE6EB">
      <w:pPr>
        <w:jc w:val="center"/>
        <w:rPr>
          <w:rFonts w:eastAsia="黑体"/>
          <w:sz w:val="32"/>
          <w:szCs w:val="32"/>
        </w:rPr>
      </w:pPr>
      <w:r>
        <w:rPr>
          <w:rFonts w:hint="eastAsia" w:eastAsia="黑体"/>
          <w:sz w:val="32"/>
          <w:szCs w:val="32"/>
        </w:rPr>
        <w:t>鲜食玉米全程绿色生产技术规程</w:t>
      </w:r>
    </w:p>
    <w:p w14:paraId="4B4CA0BA">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2" w:name="_Toc16848"/>
      <w:bookmarkStart w:id="3" w:name="_Toc5641"/>
      <w:bookmarkStart w:id="4" w:name="_Toc21067"/>
      <w:bookmarkStart w:id="5" w:name="_Toc14082"/>
      <w:bookmarkStart w:id="6" w:name="_Toc163294094"/>
      <w:bookmarkStart w:id="7" w:name="_Toc29975"/>
      <w:r>
        <w:rPr>
          <w:rFonts w:hint="eastAsia" w:ascii="黑体" w:hAnsi="黑体" w:eastAsia="黑体" w:cs="黑体"/>
          <w:b w:val="0"/>
          <w:bCs w:val="0"/>
          <w:sz w:val="21"/>
          <w:szCs w:val="21"/>
        </w:rPr>
        <w:t>1 范围</w:t>
      </w:r>
      <w:bookmarkEnd w:id="2"/>
      <w:bookmarkEnd w:id="3"/>
      <w:bookmarkEnd w:id="4"/>
      <w:bookmarkEnd w:id="5"/>
      <w:bookmarkEnd w:id="6"/>
      <w:bookmarkEnd w:id="7"/>
    </w:p>
    <w:p w14:paraId="124375AD">
      <w:pPr>
        <w:ind w:firstLine="420" w:firstLineChars="200"/>
      </w:pPr>
      <w:r>
        <w:rPr>
          <w:rFonts w:hint="eastAsia"/>
        </w:rPr>
        <w:t>本文件规定了鲜食玉米全程绿色生产的产地环境、品种选择、种子处理、隔离种植、整地、播种、苗期管理、肥水管理、病虫害防治、草害防治、采收等技术内容。</w:t>
      </w:r>
    </w:p>
    <w:p w14:paraId="20F49248">
      <w:pPr>
        <w:ind w:firstLine="420" w:firstLineChars="200"/>
      </w:pPr>
      <w:r>
        <w:rPr>
          <w:rFonts w:hint="eastAsia"/>
        </w:rPr>
        <w:t>本文件</w:t>
      </w:r>
      <w:r>
        <w:t>适用于</w:t>
      </w:r>
      <w:r>
        <w:rPr>
          <w:rFonts w:hint="eastAsia"/>
        </w:rPr>
        <w:t>河北省鲜食玉米绿色生产。</w:t>
      </w:r>
    </w:p>
    <w:p w14:paraId="4A5BB70D">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8" w:name="_Toc26947"/>
      <w:bookmarkStart w:id="9" w:name="_Toc29522"/>
      <w:bookmarkStart w:id="10" w:name="_Toc13017"/>
      <w:bookmarkStart w:id="11" w:name="_Toc16976"/>
      <w:bookmarkStart w:id="12" w:name="_Toc163294095"/>
      <w:bookmarkStart w:id="13" w:name="_Toc11309"/>
      <w:r>
        <w:rPr>
          <w:rFonts w:hint="eastAsia" w:ascii="黑体" w:hAnsi="黑体" w:eastAsia="黑体" w:cs="黑体"/>
          <w:b w:val="0"/>
          <w:bCs w:val="0"/>
          <w:sz w:val="21"/>
          <w:szCs w:val="21"/>
        </w:rPr>
        <w:t>2 规范性引用文件</w:t>
      </w:r>
      <w:bookmarkEnd w:id="8"/>
      <w:bookmarkEnd w:id="9"/>
      <w:bookmarkEnd w:id="10"/>
      <w:bookmarkEnd w:id="11"/>
      <w:bookmarkEnd w:id="12"/>
      <w:bookmarkEnd w:id="13"/>
    </w:p>
    <w:p w14:paraId="4E3BEED0">
      <w:pPr>
        <w:pStyle w:val="3"/>
        <w:keepNext w:val="0"/>
        <w:keepLines w:val="0"/>
        <w:spacing w:before="240" w:beforeLines="100" w:after="240" w:afterLines="100" w:line="240" w:lineRule="auto"/>
        <w:ind w:firstLine="420" w:firstLineChars="200"/>
        <w:rPr>
          <w:rFonts w:hint="eastAsia" w:ascii="宋体" w:hAnsi="宋体" w:cs="宋体"/>
          <w:b w:val="0"/>
          <w:bCs w:val="0"/>
          <w:sz w:val="21"/>
          <w:szCs w:val="21"/>
        </w:rPr>
      </w:pPr>
      <w:r>
        <w:rPr>
          <w:rFonts w:hint="eastAsia" w:ascii="宋体" w:hAnsi="宋体" w:cs="宋体"/>
          <w:b w:val="0"/>
          <w:bCs w:val="0"/>
          <w:sz w:val="21"/>
          <w:szCs w:val="21"/>
        </w:rPr>
        <w:t>下列文件对于本文件的应用是必不可少的。凡是注日期的引用文件，仅注日期的版本适用于本规程。凡是不注日期的引用文件，其最新版本（包括所有的修改单）适用于本文件。</w:t>
      </w:r>
    </w:p>
    <w:p w14:paraId="5A33572B">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GB 3095 环境空气质量标准 </w:t>
      </w:r>
    </w:p>
    <w:p w14:paraId="03A1A63C">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GB 4404.1 粮食作物种子 第1部分：禾谷类 </w:t>
      </w:r>
    </w:p>
    <w:p w14:paraId="4F677A7E">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GB 5084 农田灌溉水质标准 </w:t>
      </w:r>
    </w:p>
    <w:p w14:paraId="10EE5902">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GB/T 8321 农药合理使用准则（所有部分） </w:t>
      </w:r>
    </w:p>
    <w:p w14:paraId="38B35F2E">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GB 15618 土壤环境质量 农用地土壤污染风险管控标准（试行）</w:t>
      </w:r>
    </w:p>
    <w:p w14:paraId="46F85DDD">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GB/T 24616 冷藏食品物流包装、标志、运输和储存  </w:t>
      </w:r>
    </w:p>
    <w:p w14:paraId="1B3912DE">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GB/T 5749 生活饮用水卫生标准</w:t>
      </w:r>
    </w:p>
    <w:p w14:paraId="140B9B3C">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NY/T 391 绿色食品 产地环境质量 </w:t>
      </w:r>
    </w:p>
    <w:p w14:paraId="2FB5A2E5">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NY/T 393 绿色食品 农药使用准则 </w:t>
      </w:r>
    </w:p>
    <w:p w14:paraId="435CBDFD">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NY/T 394 绿色食品 肥料使用准则 </w:t>
      </w:r>
    </w:p>
    <w:p w14:paraId="187477A7">
      <w:pPr>
        <w:pStyle w:val="3"/>
        <w:keepNext w:val="0"/>
        <w:keepLines w:val="0"/>
        <w:spacing w:before="0" w:after="0" w:line="400" w:lineRule="exact"/>
        <w:ind w:firstLine="420" w:firstLineChars="200"/>
        <w:rPr>
          <w:rFonts w:hint="eastAsia" w:ascii="宋体" w:hAnsi="宋体" w:cs="宋体"/>
          <w:b w:val="0"/>
          <w:bCs w:val="0"/>
          <w:sz w:val="21"/>
          <w:szCs w:val="21"/>
        </w:rPr>
      </w:pPr>
      <w:r>
        <w:rPr>
          <w:rFonts w:hint="eastAsia" w:ascii="宋体" w:hAnsi="宋体" w:cs="宋体"/>
          <w:b w:val="0"/>
          <w:bCs w:val="0"/>
          <w:sz w:val="21"/>
          <w:szCs w:val="21"/>
        </w:rPr>
        <w:t xml:space="preserve">NY/T 658 绿色食品 包装通用准则 </w:t>
      </w:r>
    </w:p>
    <w:p w14:paraId="2F377DCE">
      <w:pPr>
        <w:pStyle w:val="3"/>
        <w:keepNext w:val="0"/>
        <w:keepLines w:val="0"/>
        <w:spacing w:before="0" w:after="0" w:line="400" w:lineRule="exact"/>
        <w:ind w:firstLine="420" w:firstLineChars="200"/>
        <w:rPr>
          <w:sz w:val="21"/>
          <w:szCs w:val="21"/>
        </w:rPr>
      </w:pPr>
      <w:r>
        <w:rPr>
          <w:rFonts w:hint="eastAsia" w:ascii="宋体" w:hAnsi="宋体" w:cs="宋体"/>
          <w:b w:val="0"/>
          <w:bCs w:val="0"/>
          <w:sz w:val="21"/>
          <w:szCs w:val="21"/>
        </w:rPr>
        <w:t xml:space="preserve">NY/T 1056 绿色食品 贮藏运输准则 </w:t>
      </w:r>
    </w:p>
    <w:p w14:paraId="478560C8">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4" w:name="_Toc21382"/>
      <w:bookmarkStart w:id="15" w:name="_Toc163294096"/>
      <w:bookmarkStart w:id="16" w:name="_Toc12304"/>
      <w:bookmarkStart w:id="17" w:name="_Toc6497"/>
      <w:bookmarkStart w:id="18" w:name="_Toc31397"/>
      <w:r>
        <w:rPr>
          <w:rFonts w:hint="eastAsia" w:ascii="黑体" w:hAnsi="黑体" w:eastAsia="黑体" w:cs="黑体"/>
          <w:b w:val="0"/>
          <w:bCs w:val="0"/>
          <w:sz w:val="21"/>
          <w:szCs w:val="21"/>
        </w:rPr>
        <w:t>3术语和定义</w:t>
      </w:r>
      <w:bookmarkEnd w:id="14"/>
      <w:bookmarkEnd w:id="15"/>
      <w:bookmarkEnd w:id="16"/>
      <w:bookmarkEnd w:id="17"/>
      <w:bookmarkEnd w:id="18"/>
    </w:p>
    <w:p w14:paraId="409B9196">
      <w:pPr>
        <w:pStyle w:val="3"/>
        <w:keepNext w:val="0"/>
        <w:keepLines w:val="0"/>
        <w:spacing w:before="240" w:beforeLines="100" w:after="240" w:afterLines="100" w:line="240" w:lineRule="auto"/>
        <w:ind w:firstLine="420" w:firstLineChars="200"/>
        <w:rPr>
          <w:rFonts w:hint="eastAsia" w:ascii="宋体" w:hAnsi="宋体" w:cs="宋体"/>
          <w:b w:val="0"/>
          <w:bCs w:val="0"/>
          <w:sz w:val="21"/>
          <w:szCs w:val="21"/>
        </w:rPr>
      </w:pPr>
      <w:r>
        <w:rPr>
          <w:rFonts w:hint="eastAsia" w:ascii="宋体" w:hAnsi="宋体" w:cs="宋体"/>
          <w:b w:val="0"/>
          <w:bCs w:val="0"/>
          <w:sz w:val="21"/>
          <w:szCs w:val="21"/>
        </w:rPr>
        <w:t>下列术语和定义适用本文本。</w:t>
      </w:r>
    </w:p>
    <w:p w14:paraId="1541F39E">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9" w:name="_Toc163294097"/>
      <w:bookmarkStart w:id="20" w:name="_Toc2458"/>
      <w:bookmarkStart w:id="21" w:name="_Toc19370"/>
      <w:bookmarkStart w:id="22" w:name="_Toc32485"/>
      <w:bookmarkStart w:id="23" w:name="_Toc21099"/>
      <w:r>
        <w:rPr>
          <w:rFonts w:hint="eastAsia" w:ascii="黑体" w:hAnsi="黑体" w:eastAsia="黑体" w:cs="黑体"/>
          <w:b w:val="0"/>
          <w:bCs w:val="0"/>
          <w:sz w:val="21"/>
          <w:szCs w:val="21"/>
        </w:rPr>
        <w:t>3.1鲜食玉米</w:t>
      </w:r>
      <w:bookmarkEnd w:id="19"/>
      <w:bookmarkEnd w:id="20"/>
      <w:bookmarkEnd w:id="21"/>
      <w:bookmarkEnd w:id="22"/>
      <w:bookmarkEnd w:id="23"/>
    </w:p>
    <w:p w14:paraId="18C40589">
      <w:pPr>
        <w:pStyle w:val="3"/>
        <w:keepNext w:val="0"/>
        <w:keepLines w:val="0"/>
        <w:spacing w:before="240" w:beforeLines="100" w:after="240" w:afterLines="100" w:line="240" w:lineRule="auto"/>
        <w:ind w:firstLine="420" w:firstLineChars="200"/>
        <w:rPr>
          <w:rFonts w:hint="eastAsia" w:ascii="宋体" w:hAnsi="宋体" w:cs="宋体"/>
          <w:b w:val="0"/>
          <w:bCs w:val="0"/>
          <w:sz w:val="21"/>
          <w:szCs w:val="21"/>
        </w:rPr>
      </w:pPr>
      <w:r>
        <w:rPr>
          <w:rFonts w:hint="eastAsia" w:ascii="宋体" w:hAnsi="宋体" w:cs="宋体"/>
          <w:b w:val="0"/>
          <w:bCs w:val="0"/>
          <w:sz w:val="21"/>
          <w:szCs w:val="21"/>
        </w:rPr>
        <w:t>在乳熟期采收用于食用新鲜果穗或鲜果穗加工的玉米类型，主要分为甜玉米、糯玉米和甜加糯玉米。</w:t>
      </w:r>
    </w:p>
    <w:p w14:paraId="10AAADDF">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24" w:name="_Toc17318"/>
      <w:bookmarkStart w:id="25" w:name="_Toc163294102"/>
      <w:bookmarkStart w:id="26" w:name="_Toc24891"/>
      <w:bookmarkStart w:id="27" w:name="_Toc21636"/>
      <w:bookmarkStart w:id="28" w:name="_Toc19629"/>
      <w:r>
        <w:rPr>
          <w:rFonts w:hint="eastAsia" w:ascii="黑体" w:hAnsi="黑体" w:eastAsia="黑体" w:cs="黑体"/>
          <w:b w:val="0"/>
          <w:bCs w:val="0"/>
          <w:sz w:val="21"/>
          <w:szCs w:val="21"/>
        </w:rPr>
        <w:t>3.2绿色生产</w:t>
      </w:r>
      <w:bookmarkEnd w:id="24"/>
      <w:bookmarkEnd w:id="25"/>
      <w:bookmarkEnd w:id="26"/>
      <w:bookmarkEnd w:id="27"/>
      <w:bookmarkEnd w:id="28"/>
    </w:p>
    <w:p w14:paraId="3FE95C95">
      <w:pPr>
        <w:spacing w:before="223" w:line="287" w:lineRule="auto"/>
        <w:ind w:left="23" w:right="72" w:firstLine="393"/>
        <w:rPr>
          <w:rFonts w:hint="eastAsia" w:ascii="宋体" w:hAnsi="宋体" w:cs="宋体"/>
          <w:spacing w:val="1"/>
        </w:rPr>
      </w:pPr>
      <w:r>
        <w:rPr>
          <w:rFonts w:hint="eastAsia" w:ascii="宋体" w:hAnsi="宋体" w:cs="宋体"/>
          <w:spacing w:val="1"/>
        </w:rPr>
        <w:t>生产地的环境、生产过程等严格按照绿色食品生产资料使用准则和生产规程要求，限量使用限定的化学合成生产资料，产品质量符合绿色食品产品相关标准要求。</w:t>
      </w:r>
    </w:p>
    <w:p w14:paraId="072798F9">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29" w:name="_Toc28858"/>
      <w:bookmarkStart w:id="30" w:name="_Toc9001"/>
      <w:bookmarkStart w:id="31" w:name="_Toc22980"/>
      <w:bookmarkStart w:id="32" w:name="_Toc163294103"/>
      <w:bookmarkStart w:id="33" w:name="_Toc4535"/>
      <w:r>
        <w:rPr>
          <w:rFonts w:hint="eastAsia" w:ascii="黑体" w:hAnsi="黑体" w:eastAsia="黑体" w:cs="黑体"/>
          <w:b w:val="0"/>
          <w:bCs w:val="0"/>
          <w:sz w:val="21"/>
          <w:szCs w:val="21"/>
        </w:rPr>
        <w:t>3.3 采收期</w:t>
      </w:r>
      <w:bookmarkEnd w:id="29"/>
      <w:bookmarkEnd w:id="30"/>
      <w:bookmarkEnd w:id="31"/>
      <w:bookmarkEnd w:id="32"/>
      <w:bookmarkEnd w:id="33"/>
    </w:p>
    <w:p w14:paraId="1922222B">
      <w:pPr>
        <w:spacing w:before="223" w:line="287" w:lineRule="auto"/>
        <w:ind w:left="23" w:right="72" w:firstLine="393"/>
        <w:rPr>
          <w:rFonts w:hint="eastAsia" w:ascii="宋体" w:hAnsi="宋体" w:cs="宋体"/>
          <w:spacing w:val="1"/>
        </w:rPr>
      </w:pPr>
      <w:r>
        <w:rPr>
          <w:rFonts w:hint="eastAsia" w:ascii="宋体" w:hAnsi="宋体" w:cs="宋体"/>
          <w:spacing w:val="1"/>
        </w:rPr>
        <w:t>玉米籽粒胚乳从乳状变为糊状，一般在授粉后20～25天。</w:t>
      </w:r>
    </w:p>
    <w:p w14:paraId="5020CE52">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34" w:name="_Toc12360"/>
      <w:bookmarkStart w:id="35" w:name="_Toc163294104"/>
      <w:bookmarkStart w:id="36" w:name="_Toc8783"/>
      <w:bookmarkStart w:id="37" w:name="_Toc6780"/>
      <w:bookmarkStart w:id="38" w:name="_Toc32620"/>
      <w:r>
        <w:rPr>
          <w:rFonts w:hint="eastAsia" w:ascii="黑体" w:hAnsi="黑体" w:eastAsia="黑体" w:cs="黑体"/>
          <w:b w:val="0"/>
          <w:bCs w:val="0"/>
          <w:sz w:val="21"/>
          <w:szCs w:val="21"/>
        </w:rPr>
        <w:t>4产地环境</w:t>
      </w:r>
      <w:bookmarkEnd w:id="34"/>
      <w:bookmarkEnd w:id="35"/>
      <w:bookmarkEnd w:id="36"/>
      <w:bookmarkEnd w:id="37"/>
      <w:bookmarkEnd w:id="38"/>
    </w:p>
    <w:p w14:paraId="6BCDA8C6">
      <w:pPr>
        <w:spacing w:before="223" w:line="287" w:lineRule="auto"/>
        <w:ind w:left="23" w:right="72" w:firstLine="393"/>
        <w:rPr>
          <w:rFonts w:hint="eastAsia" w:ascii="宋体" w:hAnsi="宋体" w:cs="宋体"/>
          <w:spacing w:val="1"/>
        </w:rPr>
      </w:pPr>
      <w:r>
        <w:rPr>
          <w:rFonts w:hint="eastAsia" w:ascii="宋体" w:hAnsi="宋体" w:cs="宋体"/>
          <w:kern w:val="44"/>
        </w:rPr>
        <w:t>产地环境应符合NY/T391的规定</w:t>
      </w:r>
      <w:r>
        <w:rPr>
          <w:rFonts w:hint="eastAsia" w:ascii="宋体" w:hAnsi="宋体" w:cs="宋体"/>
          <w:spacing w:val="1"/>
        </w:rPr>
        <w:t>。</w:t>
      </w:r>
    </w:p>
    <w:p w14:paraId="5E9B7C6E">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39" w:name="_Toc5235"/>
      <w:bookmarkStart w:id="40" w:name="_Toc22381"/>
      <w:bookmarkStart w:id="41" w:name="_Toc30464"/>
      <w:bookmarkStart w:id="42" w:name="_Toc21286"/>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"_Toc25066" </w:instrText>
      </w:r>
      <w:r>
        <w:rPr>
          <w:rFonts w:hint="eastAsia" w:ascii="黑体" w:hAnsi="黑体" w:eastAsia="黑体" w:cs="黑体"/>
          <w:b w:val="0"/>
          <w:bCs w:val="0"/>
          <w:sz w:val="21"/>
          <w:szCs w:val="21"/>
        </w:rPr>
        <w:fldChar w:fldCharType="separate"/>
      </w:r>
      <w:bookmarkStart w:id="43" w:name="_Toc163294105"/>
      <w:r>
        <w:rPr>
          <w:rFonts w:hint="eastAsia" w:ascii="黑体" w:hAnsi="黑体" w:eastAsia="黑体" w:cs="黑体"/>
          <w:b w:val="0"/>
          <w:bCs w:val="0"/>
          <w:sz w:val="21"/>
          <w:szCs w:val="21"/>
        </w:rPr>
        <w:t>4.1 气候条件</w:t>
      </w:r>
      <w:bookmarkEnd w:id="43"/>
      <w:r>
        <w:rPr>
          <w:rFonts w:hint="eastAsia" w:ascii="黑体" w:hAnsi="黑体" w:eastAsia="黑体" w:cs="黑体"/>
          <w:b w:val="0"/>
          <w:bCs w:val="0"/>
          <w:sz w:val="21"/>
          <w:szCs w:val="21"/>
        </w:rPr>
        <w:fldChar w:fldCharType="end"/>
      </w:r>
      <w:bookmarkEnd w:id="39"/>
      <w:bookmarkEnd w:id="40"/>
      <w:bookmarkEnd w:id="41"/>
      <w:bookmarkEnd w:id="42"/>
    </w:p>
    <w:p w14:paraId="1FFEA679">
      <w:pPr>
        <w:spacing w:before="223" w:line="287" w:lineRule="auto"/>
        <w:ind w:left="23" w:right="72" w:firstLine="393"/>
        <w:rPr>
          <w:rFonts w:hint="eastAsia" w:ascii="宋体" w:hAnsi="宋体" w:cs="宋体"/>
          <w:kern w:val="44"/>
        </w:rPr>
      </w:pPr>
      <w:r>
        <w:rPr>
          <w:rFonts w:hint="eastAsia" w:ascii="宋体" w:hAnsi="宋体" w:cs="宋体"/>
          <w:kern w:val="44"/>
        </w:rPr>
        <w:t xml:space="preserve"> 产地空气质量应符合GB 3095标准。 </w:t>
      </w:r>
    </w:p>
    <w:p w14:paraId="5DF64BFF">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44" w:name="_Toc10394"/>
      <w:bookmarkStart w:id="45" w:name="_Toc15745"/>
      <w:bookmarkStart w:id="46" w:name="_Toc8527"/>
      <w:bookmarkStart w:id="47" w:name="_Toc2886"/>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"_Toc1461" </w:instrText>
      </w:r>
      <w:r>
        <w:rPr>
          <w:rFonts w:hint="eastAsia" w:ascii="黑体" w:hAnsi="黑体" w:eastAsia="黑体" w:cs="黑体"/>
          <w:b w:val="0"/>
          <w:bCs w:val="0"/>
          <w:sz w:val="21"/>
          <w:szCs w:val="21"/>
        </w:rPr>
        <w:fldChar w:fldCharType="separate"/>
      </w:r>
      <w:bookmarkStart w:id="48" w:name="_Toc163294106"/>
      <w:r>
        <w:rPr>
          <w:rFonts w:hint="eastAsia" w:ascii="黑体" w:hAnsi="黑体" w:eastAsia="黑体" w:cs="黑体"/>
          <w:b w:val="0"/>
          <w:bCs w:val="0"/>
          <w:sz w:val="21"/>
          <w:szCs w:val="21"/>
        </w:rPr>
        <w:t>4.2 土壤条件</w:t>
      </w:r>
      <w:bookmarkEnd w:id="48"/>
      <w:r>
        <w:rPr>
          <w:rFonts w:hint="eastAsia" w:ascii="黑体" w:hAnsi="黑体" w:eastAsia="黑体" w:cs="黑体"/>
          <w:b w:val="0"/>
          <w:bCs w:val="0"/>
          <w:sz w:val="21"/>
          <w:szCs w:val="21"/>
        </w:rPr>
        <w:fldChar w:fldCharType="end"/>
      </w:r>
      <w:bookmarkEnd w:id="44"/>
      <w:bookmarkEnd w:id="45"/>
      <w:bookmarkEnd w:id="46"/>
      <w:bookmarkEnd w:id="47"/>
    </w:p>
    <w:p w14:paraId="03E962FB">
      <w:pPr>
        <w:spacing w:before="223" w:line="287" w:lineRule="auto"/>
        <w:ind w:left="23" w:right="72" w:firstLine="393"/>
        <w:rPr>
          <w:rFonts w:hint="eastAsia" w:ascii="宋体" w:hAnsi="宋体" w:cs="宋体"/>
          <w:kern w:val="44"/>
        </w:rPr>
      </w:pPr>
      <w:r>
        <w:rPr>
          <w:rFonts w:hint="eastAsia" w:ascii="宋体" w:hAnsi="宋体" w:cs="宋体"/>
          <w:kern w:val="44"/>
        </w:rPr>
        <w:t>应选择土地平整、土层深厚、排灌方便、保水保肥、通透性好、耕层养分含量高,交通便利且无前茬药害的壤质地块。土壤环境质量应符合GB 15618 规定。</w:t>
      </w:r>
    </w:p>
    <w:p w14:paraId="0743227F">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49" w:name="_Toc163294107"/>
      <w:bookmarkStart w:id="50" w:name="_Toc28857"/>
      <w:bookmarkStart w:id="51" w:name="_Toc9708"/>
      <w:bookmarkStart w:id="52" w:name="_Toc31444"/>
      <w:bookmarkStart w:id="53" w:name="_Toc31613"/>
      <w:r>
        <w:rPr>
          <w:rFonts w:hint="eastAsia" w:ascii="黑体" w:hAnsi="黑体" w:eastAsia="黑体" w:cs="黑体"/>
          <w:b w:val="0"/>
          <w:bCs w:val="0"/>
          <w:sz w:val="21"/>
          <w:szCs w:val="21"/>
        </w:rPr>
        <w:t>4.3灌溉条件</w:t>
      </w:r>
      <w:bookmarkEnd w:id="49"/>
      <w:bookmarkEnd w:id="50"/>
      <w:bookmarkEnd w:id="51"/>
      <w:bookmarkEnd w:id="52"/>
      <w:bookmarkEnd w:id="53"/>
    </w:p>
    <w:p w14:paraId="1EA925E8">
      <w:pPr>
        <w:spacing w:before="223" w:line="287" w:lineRule="auto"/>
        <w:ind w:left="23" w:right="72" w:firstLine="393"/>
        <w:rPr>
          <w:rFonts w:hint="eastAsia" w:ascii="宋体" w:hAnsi="宋体" w:cs="宋体"/>
          <w:kern w:val="44"/>
        </w:rPr>
      </w:pPr>
      <w:r>
        <w:rPr>
          <w:rFonts w:hint="eastAsia" w:ascii="宋体" w:hAnsi="宋体" w:cs="宋体"/>
          <w:kern w:val="44"/>
        </w:rPr>
        <w:t>农田排灌设备配套，水源较好，遇旱能浇水，遇涝可及时排水的地块，水质应符合GB 5084规定。</w:t>
      </w:r>
    </w:p>
    <w:p w14:paraId="5501C429">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54" w:name="_Toc14938"/>
      <w:bookmarkStart w:id="55" w:name="_Toc10603"/>
      <w:bookmarkStart w:id="56" w:name="_Toc23527"/>
      <w:bookmarkStart w:id="57" w:name="_Toc163294108"/>
      <w:bookmarkStart w:id="58" w:name="_Toc31147"/>
      <w:r>
        <w:rPr>
          <w:rFonts w:hint="eastAsia" w:ascii="黑体" w:hAnsi="黑体" w:eastAsia="黑体" w:cs="黑体"/>
          <w:b w:val="0"/>
          <w:bCs w:val="0"/>
          <w:sz w:val="21"/>
          <w:szCs w:val="21"/>
        </w:rPr>
        <w:t>5品种选择</w:t>
      </w:r>
      <w:bookmarkEnd w:id="54"/>
      <w:bookmarkEnd w:id="55"/>
      <w:bookmarkEnd w:id="56"/>
      <w:bookmarkEnd w:id="57"/>
      <w:bookmarkEnd w:id="58"/>
    </w:p>
    <w:p w14:paraId="6F604665">
      <w:pPr>
        <w:spacing w:before="223" w:line="287" w:lineRule="auto"/>
        <w:ind w:left="23" w:right="72" w:firstLine="393"/>
        <w:rPr>
          <w:rFonts w:hint="eastAsia" w:ascii="宋体" w:hAnsi="宋体" w:cs="宋体"/>
          <w:kern w:val="44"/>
        </w:rPr>
      </w:pPr>
      <w:r>
        <w:rPr>
          <w:rFonts w:hint="eastAsia" w:ascii="宋体" w:hAnsi="宋体" w:cs="宋体"/>
          <w:kern w:val="44"/>
          <w:sz w:val="22"/>
          <w:szCs w:val="22"/>
        </w:rPr>
        <w:t>选择通过国家或河北省审定、引种适宜本地种植的优质、高产、抗逆性强、商品性好的鲜食玉米品种</w:t>
      </w:r>
      <w:r>
        <w:rPr>
          <w:rFonts w:hint="eastAsia" w:ascii="宋体" w:hAnsi="宋体" w:cs="宋体"/>
          <w:kern w:val="44"/>
        </w:rPr>
        <w:t>。如冀糯175、万糯2000、冀糯176、冀糯163等品种。</w:t>
      </w:r>
    </w:p>
    <w:p w14:paraId="4F22C62B">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59" w:name="_Toc17723"/>
      <w:bookmarkStart w:id="60" w:name="_Toc28333"/>
      <w:bookmarkStart w:id="61" w:name="_Toc163294109"/>
      <w:bookmarkStart w:id="62" w:name="_Toc20683"/>
      <w:bookmarkStart w:id="63" w:name="_Toc31198"/>
      <w:r>
        <w:rPr>
          <w:rFonts w:hint="eastAsia" w:ascii="黑体" w:hAnsi="黑体" w:eastAsia="黑体" w:cs="黑体"/>
          <w:b w:val="0"/>
          <w:bCs w:val="0"/>
          <w:sz w:val="21"/>
          <w:szCs w:val="21"/>
        </w:rPr>
        <w:t>6 种子处理</w:t>
      </w:r>
      <w:bookmarkEnd w:id="59"/>
      <w:bookmarkEnd w:id="60"/>
      <w:bookmarkEnd w:id="61"/>
      <w:bookmarkEnd w:id="62"/>
      <w:bookmarkEnd w:id="63"/>
    </w:p>
    <w:p w14:paraId="2E12B3F4">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64" w:name="_Toc29667"/>
      <w:bookmarkStart w:id="65" w:name="_Toc20713"/>
      <w:bookmarkStart w:id="66" w:name="_Toc11327"/>
      <w:bookmarkStart w:id="67" w:name="_Toc163294110"/>
      <w:bookmarkStart w:id="68" w:name="_Toc2763"/>
      <w:r>
        <w:rPr>
          <w:rFonts w:hint="eastAsia" w:ascii="黑体" w:hAnsi="黑体" w:eastAsia="黑体" w:cs="黑体"/>
          <w:b w:val="0"/>
          <w:bCs w:val="0"/>
          <w:sz w:val="21"/>
          <w:szCs w:val="21"/>
        </w:rPr>
        <w:t>6.1种子质量</w:t>
      </w:r>
      <w:bookmarkEnd w:id="64"/>
      <w:bookmarkEnd w:id="65"/>
      <w:bookmarkEnd w:id="66"/>
      <w:bookmarkEnd w:id="67"/>
      <w:bookmarkEnd w:id="68"/>
    </w:p>
    <w:p w14:paraId="22DC65BA">
      <w:pPr>
        <w:spacing w:before="223" w:line="287" w:lineRule="auto"/>
        <w:ind w:left="23" w:right="72" w:firstLine="393"/>
        <w:rPr>
          <w:rFonts w:hint="eastAsia" w:ascii="宋体" w:hAnsi="宋体" w:cs="宋体"/>
          <w:kern w:val="44"/>
          <w:sz w:val="22"/>
          <w:szCs w:val="22"/>
        </w:rPr>
      </w:pPr>
      <w:r>
        <w:rPr>
          <w:rFonts w:hint="eastAsia"/>
          <w:color w:val="000000"/>
        </w:rPr>
        <w:t>种子质量应符合GB 4404.1的规定。</w:t>
      </w:r>
    </w:p>
    <w:p w14:paraId="6FB272DA">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69" w:name="_Toc25452"/>
      <w:bookmarkStart w:id="70" w:name="_Toc19558"/>
      <w:bookmarkStart w:id="71" w:name="_Toc163294111"/>
      <w:bookmarkStart w:id="72" w:name="_Toc30952"/>
      <w:bookmarkStart w:id="73" w:name="_Toc28797"/>
      <w:r>
        <w:rPr>
          <w:rFonts w:hint="eastAsia" w:ascii="黑体" w:hAnsi="黑体" w:eastAsia="黑体" w:cs="黑体"/>
          <w:b w:val="0"/>
          <w:bCs w:val="0"/>
          <w:sz w:val="21"/>
          <w:szCs w:val="21"/>
        </w:rPr>
        <w:t>6.2种子</w:t>
      </w:r>
      <w:bookmarkEnd w:id="69"/>
      <w:bookmarkEnd w:id="70"/>
      <w:bookmarkEnd w:id="71"/>
      <w:bookmarkEnd w:id="72"/>
      <w:bookmarkEnd w:id="73"/>
      <w:r>
        <w:rPr>
          <w:rFonts w:hint="eastAsia" w:ascii="黑体" w:hAnsi="黑体" w:eastAsia="黑体" w:cs="黑体"/>
          <w:b w:val="0"/>
          <w:bCs w:val="0"/>
          <w:sz w:val="21"/>
          <w:szCs w:val="21"/>
        </w:rPr>
        <w:t>包衣</w:t>
      </w:r>
    </w:p>
    <w:p w14:paraId="41FE7287">
      <w:pPr>
        <w:spacing w:before="223" w:line="287" w:lineRule="auto"/>
        <w:ind w:left="23" w:right="72" w:firstLine="393"/>
        <w:rPr>
          <w:rFonts w:hint="eastAsia" w:ascii="宋体" w:hAnsi="宋体" w:cs="宋体"/>
          <w:kern w:val="44"/>
        </w:rPr>
      </w:pPr>
      <w:r>
        <w:rPr>
          <w:rFonts w:hint="eastAsia" w:ascii="宋体" w:hAnsi="宋体" w:cs="宋体"/>
          <w:kern w:val="44"/>
        </w:rPr>
        <w:t>已包衣的种子可直接播种，未包衣种子可选择通过国家批准登记的高效低毒种衣剂按使用说明进行种子包衣。药剂应符合NY/T 393的规定。</w:t>
      </w:r>
    </w:p>
    <w:p w14:paraId="763A769F">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74" w:name="_Toc30946"/>
      <w:bookmarkStart w:id="75" w:name="_Toc15636"/>
      <w:bookmarkStart w:id="76" w:name="_Toc163294112"/>
      <w:bookmarkStart w:id="77" w:name="_Toc4715"/>
      <w:bookmarkStart w:id="78" w:name="_Toc10206"/>
      <w:r>
        <w:rPr>
          <w:rFonts w:hint="eastAsia" w:ascii="黑体" w:hAnsi="黑体" w:eastAsia="黑体" w:cs="黑体"/>
          <w:b w:val="0"/>
          <w:bCs w:val="0"/>
          <w:sz w:val="21"/>
          <w:szCs w:val="21"/>
        </w:rPr>
        <w:t>7 隔离种植</w:t>
      </w:r>
      <w:bookmarkEnd w:id="74"/>
      <w:bookmarkEnd w:id="75"/>
      <w:bookmarkEnd w:id="76"/>
      <w:bookmarkEnd w:id="77"/>
      <w:bookmarkEnd w:id="78"/>
    </w:p>
    <w:p w14:paraId="60BD535E">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79" w:name="_Toc29750"/>
      <w:bookmarkStart w:id="80" w:name="_Toc1558"/>
      <w:bookmarkStart w:id="81" w:name="_Toc6857"/>
      <w:bookmarkStart w:id="82" w:name="_Toc163294113"/>
      <w:bookmarkStart w:id="83" w:name="_Toc32181"/>
      <w:r>
        <w:rPr>
          <w:rFonts w:hint="eastAsia" w:ascii="黑体" w:hAnsi="黑体" w:eastAsia="黑体" w:cs="黑体"/>
          <w:b w:val="0"/>
          <w:bCs w:val="0"/>
          <w:sz w:val="21"/>
          <w:szCs w:val="21"/>
        </w:rPr>
        <w:t>7.1空间隔离</w:t>
      </w:r>
      <w:bookmarkEnd w:id="79"/>
      <w:bookmarkEnd w:id="80"/>
      <w:bookmarkEnd w:id="81"/>
      <w:bookmarkEnd w:id="82"/>
      <w:bookmarkEnd w:id="83"/>
    </w:p>
    <w:p w14:paraId="118E01D7">
      <w:pPr>
        <w:spacing w:before="223" w:line="287" w:lineRule="auto"/>
        <w:ind w:left="23" w:right="72" w:firstLine="393"/>
        <w:rPr>
          <w:rFonts w:hint="eastAsia" w:ascii="宋体" w:hAnsi="宋体" w:cs="宋体"/>
          <w:kern w:val="44"/>
        </w:rPr>
      </w:pPr>
      <w:r>
        <w:rPr>
          <w:rFonts w:hint="eastAsia" w:ascii="宋体" w:hAnsi="宋体" w:cs="宋体"/>
          <w:kern w:val="44"/>
        </w:rPr>
        <w:t>不同类型的玉米品种，同期播种距离相隔300米以上。</w:t>
      </w:r>
    </w:p>
    <w:p w14:paraId="5FE30A6D">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84" w:name="_Toc163294114"/>
      <w:bookmarkStart w:id="85" w:name="_Toc31379"/>
      <w:bookmarkStart w:id="86" w:name="_Toc823"/>
      <w:bookmarkStart w:id="87" w:name="_Toc9968"/>
      <w:bookmarkStart w:id="88" w:name="_Toc16849"/>
      <w:r>
        <w:rPr>
          <w:rFonts w:hint="eastAsia" w:ascii="黑体" w:hAnsi="黑体" w:eastAsia="黑体" w:cs="黑体"/>
          <w:b w:val="0"/>
          <w:bCs w:val="0"/>
          <w:sz w:val="21"/>
          <w:szCs w:val="21"/>
        </w:rPr>
        <w:t>7.2时间隔离</w:t>
      </w:r>
      <w:bookmarkEnd w:id="84"/>
      <w:bookmarkEnd w:id="85"/>
      <w:bookmarkEnd w:id="86"/>
      <w:bookmarkEnd w:id="87"/>
      <w:bookmarkEnd w:id="88"/>
    </w:p>
    <w:p w14:paraId="1EF7A09D">
      <w:pPr>
        <w:spacing w:before="223" w:line="287" w:lineRule="auto"/>
        <w:ind w:left="23" w:right="72" w:firstLine="393"/>
        <w:rPr>
          <w:rFonts w:hint="eastAsia" w:ascii="宋体" w:hAnsi="宋体" w:cs="宋体"/>
          <w:kern w:val="44"/>
        </w:rPr>
      </w:pPr>
      <w:r>
        <w:rPr>
          <w:rFonts w:hint="eastAsia" w:ascii="宋体" w:hAnsi="宋体" w:cs="宋体"/>
          <w:kern w:val="44"/>
        </w:rPr>
        <w:t>不同类型的玉米品种春播播期间隔 25天以上，夏播播期间隔15天以上。</w:t>
      </w:r>
    </w:p>
    <w:p w14:paraId="39BEFA0B">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89" w:name="_Toc163294115"/>
      <w:bookmarkStart w:id="90" w:name="_Toc5222"/>
      <w:bookmarkStart w:id="91" w:name="_Toc15969"/>
      <w:bookmarkStart w:id="92" w:name="_Toc22017"/>
      <w:bookmarkStart w:id="93" w:name="_Toc916"/>
      <w:r>
        <w:rPr>
          <w:rFonts w:hint="eastAsia" w:ascii="黑体" w:hAnsi="黑体" w:eastAsia="黑体" w:cs="黑体"/>
          <w:b w:val="0"/>
          <w:bCs w:val="0"/>
          <w:sz w:val="21"/>
          <w:szCs w:val="21"/>
        </w:rPr>
        <w:t>7.3 自然屏障隔离</w:t>
      </w:r>
      <w:bookmarkEnd w:id="89"/>
      <w:bookmarkEnd w:id="90"/>
      <w:bookmarkEnd w:id="91"/>
      <w:bookmarkEnd w:id="92"/>
      <w:bookmarkEnd w:id="93"/>
    </w:p>
    <w:p w14:paraId="0BC0509D">
      <w:pPr>
        <w:spacing w:before="223" w:line="287" w:lineRule="auto"/>
        <w:ind w:left="23" w:right="72" w:firstLine="393"/>
        <w:rPr>
          <w:rFonts w:hint="eastAsia" w:ascii="宋体" w:hAnsi="宋体" w:cs="宋体"/>
          <w:kern w:val="44"/>
        </w:rPr>
      </w:pPr>
      <w:r>
        <w:rPr>
          <w:rFonts w:hint="eastAsia" w:ascii="宋体" w:hAnsi="宋体" w:cs="宋体"/>
          <w:kern w:val="44"/>
        </w:rPr>
        <w:t>利用山岗、树林、村庄等自然屏障隔离。注意自然屏障隔离不能让种植鲜食玉米地块处于下风口。</w:t>
      </w:r>
    </w:p>
    <w:p w14:paraId="20C9AE63">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94" w:name="_Toc15335"/>
      <w:bookmarkStart w:id="95" w:name="_Toc25370"/>
      <w:bookmarkStart w:id="96" w:name="_Toc22414"/>
      <w:bookmarkStart w:id="97" w:name="_Toc163294116"/>
      <w:bookmarkStart w:id="98" w:name="_Toc18272"/>
      <w:r>
        <w:rPr>
          <w:rFonts w:hint="eastAsia" w:ascii="黑体" w:hAnsi="黑体" w:eastAsia="黑体" w:cs="黑体"/>
          <w:b w:val="0"/>
          <w:bCs w:val="0"/>
          <w:sz w:val="21"/>
          <w:szCs w:val="21"/>
        </w:rPr>
        <w:t>8 整地</w:t>
      </w:r>
      <w:bookmarkEnd w:id="94"/>
      <w:bookmarkEnd w:id="95"/>
      <w:bookmarkEnd w:id="96"/>
      <w:bookmarkEnd w:id="97"/>
      <w:bookmarkEnd w:id="98"/>
    </w:p>
    <w:p w14:paraId="1F7A4D8C">
      <w:pPr>
        <w:spacing w:before="223" w:line="287" w:lineRule="auto"/>
        <w:ind w:left="23" w:right="72" w:firstLine="393"/>
        <w:rPr>
          <w:rFonts w:hint="eastAsia" w:ascii="宋体" w:hAnsi="宋体" w:cs="宋体"/>
          <w:kern w:val="44"/>
        </w:rPr>
      </w:pPr>
      <w:r>
        <w:rPr>
          <w:rFonts w:hint="eastAsia" w:ascii="宋体" w:hAnsi="宋体" w:cs="宋体"/>
          <w:kern w:val="44"/>
        </w:rPr>
        <w:t>采取机械深耕精细整地，耕深25～30厘米，耕后及时耙耱，达到土地平整、土壤细碎、土层疏松。</w:t>
      </w:r>
    </w:p>
    <w:p w14:paraId="43BA2E68">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99" w:name="_Toc163294117"/>
      <w:bookmarkStart w:id="100" w:name="_Toc5733"/>
      <w:bookmarkStart w:id="101" w:name="_Toc15102"/>
      <w:bookmarkStart w:id="102" w:name="_Toc13141"/>
      <w:bookmarkStart w:id="103" w:name="_Toc26806"/>
      <w:r>
        <w:rPr>
          <w:rFonts w:hint="eastAsia" w:ascii="黑体" w:hAnsi="黑体" w:eastAsia="黑体" w:cs="黑体"/>
          <w:b w:val="0"/>
          <w:bCs w:val="0"/>
          <w:sz w:val="21"/>
          <w:szCs w:val="21"/>
        </w:rPr>
        <w:t>9 播种</w:t>
      </w:r>
      <w:bookmarkEnd w:id="99"/>
      <w:bookmarkEnd w:id="100"/>
      <w:bookmarkEnd w:id="101"/>
      <w:bookmarkEnd w:id="102"/>
      <w:bookmarkEnd w:id="103"/>
    </w:p>
    <w:p w14:paraId="6D58F255">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04" w:name="_Toc14883"/>
      <w:bookmarkStart w:id="105" w:name="_Toc24612"/>
      <w:bookmarkStart w:id="106" w:name="_Toc28671"/>
      <w:bookmarkStart w:id="107" w:name="_Toc62"/>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"_Toc28495" </w:instrText>
      </w:r>
      <w:r>
        <w:rPr>
          <w:rFonts w:hint="eastAsia" w:ascii="黑体" w:hAnsi="黑体" w:eastAsia="黑体" w:cs="黑体"/>
          <w:b w:val="0"/>
          <w:bCs w:val="0"/>
          <w:sz w:val="21"/>
          <w:szCs w:val="21"/>
        </w:rPr>
        <w:fldChar w:fldCharType="separate"/>
      </w:r>
      <w:bookmarkStart w:id="108" w:name="_Toc163294118"/>
      <w:r>
        <w:rPr>
          <w:rFonts w:hint="eastAsia" w:ascii="黑体" w:hAnsi="黑体" w:eastAsia="黑体" w:cs="黑体"/>
          <w:b w:val="0"/>
          <w:bCs w:val="0"/>
          <w:sz w:val="21"/>
          <w:szCs w:val="21"/>
        </w:rPr>
        <w:t>9.1 适期播种</w:t>
      </w:r>
      <w:bookmarkEnd w:id="108"/>
      <w:r>
        <w:rPr>
          <w:rFonts w:hint="eastAsia" w:ascii="黑体" w:hAnsi="黑体" w:eastAsia="黑体" w:cs="黑体"/>
          <w:b w:val="0"/>
          <w:bCs w:val="0"/>
          <w:sz w:val="21"/>
          <w:szCs w:val="21"/>
        </w:rPr>
        <w:fldChar w:fldCharType="end"/>
      </w:r>
      <w:bookmarkEnd w:id="104"/>
      <w:bookmarkEnd w:id="105"/>
      <w:bookmarkEnd w:id="106"/>
      <w:bookmarkEnd w:id="107"/>
    </w:p>
    <w:p w14:paraId="5629E371">
      <w:pPr>
        <w:spacing w:before="223" w:line="287" w:lineRule="auto"/>
        <w:ind w:left="23" w:right="72" w:firstLine="393"/>
        <w:rPr>
          <w:rFonts w:hint="eastAsia" w:ascii="黑体" w:hAnsi="黑体" w:eastAsia="黑体" w:cs="黑体"/>
        </w:rPr>
      </w:pPr>
      <w:r>
        <w:rPr>
          <w:rFonts w:hint="eastAsia" w:ascii="宋体" w:hAnsi="宋体" w:cs="宋体"/>
          <w:kern w:val="44"/>
        </w:rPr>
        <w:t>5～10厘米土层温度稳定在8～10℃时开始播种，如采用地膜覆盖栽培可提早15～20天播种。秋季错期延后生产必须保证在初霜前达到采收标准。</w:t>
      </w:r>
    </w:p>
    <w:p w14:paraId="6B3ECFE0">
      <w:pPr>
        <w:pStyle w:val="3"/>
        <w:keepNext w:val="0"/>
        <w:keepLines w:val="0"/>
        <w:spacing w:before="240" w:beforeLines="100" w:after="240" w:afterLines="100" w:line="240" w:lineRule="auto"/>
        <w:rPr>
          <w:sz w:val="21"/>
          <w:szCs w:val="21"/>
        </w:rPr>
      </w:pPr>
      <w:bookmarkStart w:id="109" w:name="_Toc23331"/>
      <w:bookmarkStart w:id="110" w:name="_Toc2953"/>
      <w:bookmarkStart w:id="111" w:name="_Toc18846"/>
      <w:bookmarkStart w:id="112" w:name="_Toc30587"/>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"_Toc5449" </w:instrText>
      </w:r>
      <w:r>
        <w:rPr>
          <w:rFonts w:hint="eastAsia" w:ascii="黑体" w:hAnsi="黑体" w:eastAsia="黑体" w:cs="黑体"/>
          <w:b w:val="0"/>
          <w:bCs w:val="0"/>
          <w:sz w:val="21"/>
          <w:szCs w:val="21"/>
        </w:rPr>
        <w:fldChar w:fldCharType="separate"/>
      </w:r>
      <w:bookmarkStart w:id="113" w:name="_Toc163294119"/>
      <w:r>
        <w:rPr>
          <w:rFonts w:hint="eastAsia" w:ascii="黑体" w:hAnsi="黑体" w:eastAsia="黑体" w:cs="黑体"/>
          <w:b w:val="0"/>
          <w:bCs w:val="0"/>
          <w:sz w:val="21"/>
          <w:szCs w:val="21"/>
        </w:rPr>
        <w:t>9.2 播量和密</w:t>
      </w:r>
      <w:r>
        <w:rPr>
          <w:rFonts w:hint="eastAsia" w:ascii="黑体" w:hAnsi="黑体" w:eastAsia="黑体" w:cs="黑体"/>
          <w:b w:val="0"/>
          <w:bCs w:val="0"/>
          <w:sz w:val="21"/>
          <w:szCs w:val="21"/>
        </w:rPr>
        <w:fldChar w:fldCharType="end"/>
      </w:r>
      <w:bookmarkEnd w:id="109"/>
      <w:r>
        <w:rPr>
          <w:rFonts w:hint="eastAsia" w:ascii="黑体" w:hAnsi="黑体" w:eastAsia="黑体" w:cs="黑体"/>
          <w:b w:val="0"/>
          <w:bCs w:val="0"/>
          <w:sz w:val="21"/>
          <w:szCs w:val="21"/>
        </w:rPr>
        <w:t>度</w:t>
      </w:r>
      <w:bookmarkEnd w:id="110"/>
      <w:bookmarkEnd w:id="111"/>
      <w:bookmarkEnd w:id="112"/>
      <w:bookmarkEnd w:id="113"/>
    </w:p>
    <w:p w14:paraId="3D0CBAD7">
      <w:pPr>
        <w:ind w:firstLine="420" w:firstLineChars="200"/>
      </w:pPr>
      <w:r>
        <w:rPr>
          <w:rFonts w:hint="eastAsia"/>
        </w:rPr>
        <w:t>根据品种特征特性、种子千粒重和土壤肥力等因素确定播种量，一般每亩播量为1.5～2.0千克。</w:t>
      </w:r>
    </w:p>
    <w:p w14:paraId="2349E256">
      <w:pPr>
        <w:ind w:firstLine="420" w:firstLineChars="200"/>
      </w:pPr>
      <w:r>
        <w:rPr>
          <w:rFonts w:hint="eastAsia"/>
        </w:rPr>
        <w:t>土壤肥力高、管理到位的夏播区每亩种植密度3500株左右；地力较差、灌水不方便的河北春播地区应种植稀一些，每亩种植密度3000株左右。</w:t>
      </w:r>
    </w:p>
    <w:p w14:paraId="49847973">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14" w:name="_Toc22407"/>
      <w:bookmarkStart w:id="115" w:name="_Toc6130"/>
      <w:bookmarkStart w:id="116" w:name="_Toc492"/>
      <w:bookmarkStart w:id="117" w:name="_Toc7000"/>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"_Toc7373" </w:instrText>
      </w:r>
      <w:r>
        <w:rPr>
          <w:rFonts w:hint="eastAsia" w:ascii="黑体" w:hAnsi="黑体" w:eastAsia="黑体" w:cs="黑体"/>
          <w:b w:val="0"/>
          <w:bCs w:val="0"/>
          <w:sz w:val="21"/>
          <w:szCs w:val="21"/>
        </w:rPr>
        <w:fldChar w:fldCharType="separate"/>
      </w:r>
      <w:bookmarkStart w:id="118" w:name="_Toc163294120"/>
      <w:r>
        <w:rPr>
          <w:rFonts w:hint="eastAsia" w:ascii="黑体" w:hAnsi="黑体" w:eastAsia="黑体" w:cs="黑体"/>
          <w:b w:val="0"/>
          <w:bCs w:val="0"/>
          <w:sz w:val="21"/>
          <w:szCs w:val="21"/>
        </w:rPr>
        <w:t xml:space="preserve">9.3 </w:t>
      </w:r>
      <w:bookmarkEnd w:id="114"/>
      <w:bookmarkStart w:id="119" w:name="_Toc21537"/>
      <w:r>
        <w:rPr>
          <w:rFonts w:hint="eastAsia" w:ascii="黑体" w:hAnsi="黑体" w:eastAsia="黑体" w:cs="黑体"/>
          <w:b w:val="0"/>
          <w:bCs w:val="0"/>
          <w:sz w:val="21"/>
          <w:szCs w:val="21"/>
        </w:rPr>
        <w:t>播种方式</w:t>
      </w:r>
      <w:bookmarkEnd w:id="118"/>
      <w:r>
        <w:rPr>
          <w:rFonts w:hint="eastAsia" w:ascii="黑体" w:hAnsi="黑体" w:eastAsia="黑体" w:cs="黑体"/>
          <w:b w:val="0"/>
          <w:bCs w:val="0"/>
          <w:sz w:val="21"/>
          <w:szCs w:val="21"/>
        </w:rPr>
        <w:fldChar w:fldCharType="end"/>
      </w:r>
      <w:bookmarkEnd w:id="115"/>
      <w:bookmarkEnd w:id="116"/>
      <w:bookmarkEnd w:id="117"/>
      <w:bookmarkEnd w:id="119"/>
    </w:p>
    <w:p w14:paraId="255F7A57">
      <w:pPr>
        <w:snapToGrid w:val="0"/>
        <w:spacing w:line="440" w:lineRule="exact"/>
        <w:ind w:firstLine="420" w:firstLineChars="200"/>
      </w:pPr>
      <w:r>
        <w:rPr>
          <w:rFonts w:hint="eastAsia"/>
        </w:rPr>
        <w:t>宜采用机械精量播种，种子适当浅播，播深以3～5厘米为宜。</w:t>
      </w:r>
    </w:p>
    <w:p w14:paraId="46B817A2">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20" w:name="_Toc9466"/>
      <w:bookmarkStart w:id="121" w:name="_Toc28028"/>
      <w:bookmarkStart w:id="122" w:name="_Toc6449"/>
      <w:bookmarkStart w:id="123" w:name="_Toc29259"/>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"_Toc26395" </w:instrText>
      </w:r>
      <w:r>
        <w:rPr>
          <w:rFonts w:hint="eastAsia" w:ascii="黑体" w:hAnsi="黑体" w:eastAsia="黑体" w:cs="黑体"/>
          <w:b w:val="0"/>
          <w:bCs w:val="0"/>
          <w:sz w:val="21"/>
          <w:szCs w:val="21"/>
        </w:rPr>
        <w:fldChar w:fldCharType="separate"/>
      </w:r>
      <w:bookmarkStart w:id="124" w:name="_Toc163294121"/>
      <w:r>
        <w:rPr>
          <w:rFonts w:hint="eastAsia" w:ascii="黑体" w:hAnsi="黑体" w:eastAsia="黑体" w:cs="黑体"/>
          <w:b w:val="0"/>
          <w:bCs w:val="0"/>
          <w:sz w:val="21"/>
          <w:szCs w:val="21"/>
        </w:rPr>
        <w:t>10 苗期管理</w:t>
      </w:r>
      <w:bookmarkEnd w:id="124"/>
      <w:r>
        <w:rPr>
          <w:rFonts w:hint="eastAsia" w:ascii="黑体" w:hAnsi="黑体" w:eastAsia="黑体" w:cs="黑体"/>
          <w:b w:val="0"/>
          <w:bCs w:val="0"/>
          <w:sz w:val="21"/>
          <w:szCs w:val="21"/>
        </w:rPr>
        <w:fldChar w:fldCharType="end"/>
      </w:r>
      <w:bookmarkEnd w:id="120"/>
      <w:bookmarkEnd w:id="121"/>
      <w:bookmarkEnd w:id="122"/>
      <w:bookmarkEnd w:id="123"/>
    </w:p>
    <w:p w14:paraId="1F64C36E">
      <w:pPr>
        <w:ind w:firstLine="420" w:firstLineChars="200"/>
      </w:pPr>
      <w:r>
        <w:rPr>
          <w:rFonts w:hint="eastAsia"/>
        </w:rPr>
        <w:t>幼苗3叶1心时进行间苗，拔除弱苗、病株、杂株等，保留相对均匀一致的苗。</w:t>
      </w:r>
    </w:p>
    <w:p w14:paraId="2A7176F0">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25" w:name="_Toc18434"/>
      <w:bookmarkStart w:id="126" w:name="_Toc10456"/>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"_Toc15887" </w:instrText>
      </w:r>
      <w:r>
        <w:rPr>
          <w:rFonts w:hint="eastAsia" w:ascii="黑体" w:hAnsi="黑体" w:eastAsia="黑体" w:cs="黑体"/>
          <w:b w:val="0"/>
          <w:bCs w:val="0"/>
          <w:sz w:val="21"/>
          <w:szCs w:val="21"/>
        </w:rPr>
        <w:fldChar w:fldCharType="separate"/>
      </w:r>
      <w:bookmarkStart w:id="127" w:name="_Toc163294122"/>
      <w:r>
        <w:rPr>
          <w:rFonts w:hint="eastAsia" w:ascii="黑体" w:hAnsi="黑体" w:eastAsia="黑体" w:cs="黑体"/>
          <w:b w:val="0"/>
          <w:bCs w:val="0"/>
          <w:sz w:val="21"/>
          <w:szCs w:val="21"/>
        </w:rPr>
        <w:t>11 肥水管理</w:t>
      </w:r>
      <w:bookmarkEnd w:id="127"/>
      <w:r>
        <w:rPr>
          <w:rFonts w:hint="eastAsia" w:ascii="黑体" w:hAnsi="黑体" w:eastAsia="黑体" w:cs="黑体"/>
          <w:b w:val="0"/>
          <w:bCs w:val="0"/>
          <w:sz w:val="21"/>
          <w:szCs w:val="21"/>
        </w:rPr>
        <w:fldChar w:fldCharType="end"/>
      </w:r>
      <w:bookmarkEnd w:id="125"/>
      <w:bookmarkEnd w:id="126"/>
    </w:p>
    <w:p w14:paraId="1B8C758B">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28" w:name="_Toc11800"/>
      <w:bookmarkStart w:id="129" w:name="_Toc21842"/>
      <w:bookmarkStart w:id="130" w:name="_Toc28426"/>
      <w:bookmarkStart w:id="131" w:name="_Toc14598"/>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"_Toc20042" </w:instrText>
      </w:r>
      <w:r>
        <w:rPr>
          <w:rFonts w:hint="eastAsia" w:ascii="黑体" w:hAnsi="黑体" w:eastAsia="黑体" w:cs="黑体"/>
          <w:b w:val="0"/>
          <w:bCs w:val="0"/>
          <w:sz w:val="21"/>
          <w:szCs w:val="21"/>
        </w:rPr>
        <w:fldChar w:fldCharType="separate"/>
      </w:r>
      <w:bookmarkStart w:id="132" w:name="_Toc163294123"/>
      <w:r>
        <w:rPr>
          <w:rFonts w:hint="eastAsia" w:ascii="黑体" w:hAnsi="黑体" w:eastAsia="黑体" w:cs="黑体"/>
          <w:b w:val="0"/>
          <w:bCs w:val="0"/>
          <w:sz w:val="21"/>
          <w:szCs w:val="21"/>
        </w:rPr>
        <w:t>11.1 施肥</w:t>
      </w:r>
      <w:bookmarkEnd w:id="132"/>
      <w:r>
        <w:rPr>
          <w:rFonts w:hint="eastAsia" w:ascii="黑体" w:hAnsi="黑体" w:eastAsia="黑体" w:cs="黑体"/>
          <w:b w:val="0"/>
          <w:bCs w:val="0"/>
          <w:sz w:val="21"/>
          <w:szCs w:val="21"/>
        </w:rPr>
        <w:fldChar w:fldCharType="end"/>
      </w:r>
      <w:bookmarkEnd w:id="128"/>
      <w:bookmarkEnd w:id="129"/>
      <w:bookmarkEnd w:id="130"/>
      <w:bookmarkEnd w:id="131"/>
    </w:p>
    <w:p w14:paraId="4A1AC7AD">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11.1.1施肥原则</w:t>
      </w:r>
    </w:p>
    <w:p w14:paraId="2D186931">
      <w:pPr>
        <w:spacing w:before="223" w:line="287" w:lineRule="auto"/>
        <w:ind w:left="23" w:right="72" w:firstLine="393"/>
      </w:pPr>
      <w:r>
        <w:rPr>
          <w:rFonts w:hint="eastAsia"/>
        </w:rPr>
        <w:t>应根据鲜食玉米不同生育阶段需肥特性和地力状况来确定施肥量，有机肥和无机肥配合施用，增施有机肥，适量配施化肥。肥料应符合NY/T 394-2000的规定。</w:t>
      </w:r>
    </w:p>
    <w:p w14:paraId="0B8DA11C">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11.1.2 施肥方法</w:t>
      </w:r>
    </w:p>
    <w:p w14:paraId="75BCAD15">
      <w:pPr>
        <w:pStyle w:val="3"/>
        <w:keepNext w:val="0"/>
        <w:keepLines w:val="0"/>
        <w:spacing w:before="240" w:beforeLines="100" w:after="240" w:afterLines="100" w:line="240" w:lineRule="auto"/>
        <w:ind w:firstLine="420" w:firstLineChars="200"/>
        <w:rPr>
          <w:sz w:val="21"/>
          <w:szCs w:val="21"/>
        </w:rPr>
      </w:pPr>
      <w:r>
        <w:rPr>
          <w:rFonts w:hint="eastAsia"/>
          <w:b w:val="0"/>
          <w:bCs w:val="0"/>
          <w:kern w:val="2"/>
          <w:sz w:val="21"/>
          <w:szCs w:val="21"/>
        </w:rPr>
        <w:t>基肥可结合整地机械或人工撒施，追肥可结合灌水，可采用水肥一体化方式分次使用。</w:t>
      </w:r>
    </w:p>
    <w:p w14:paraId="1A4CFF10">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11.1.3 肥料用量</w:t>
      </w:r>
    </w:p>
    <w:p w14:paraId="1C6B768D">
      <w:pPr>
        <w:spacing w:before="223" w:line="287" w:lineRule="auto"/>
        <w:ind w:left="23" w:right="72" w:firstLine="393"/>
      </w:pPr>
      <w:r>
        <w:rPr>
          <w:rFonts w:hint="eastAsia"/>
        </w:rPr>
        <w:t>每亩施腐熟有机肥2000千克。化肥用量按每亩施用纯氮12～15千克、五氧化二磷7.5～10千克、氧化钾7.5～10千克的原则施入。</w:t>
      </w:r>
    </w:p>
    <w:p w14:paraId="1D31D904">
      <w:pPr>
        <w:adjustRightInd w:val="0"/>
        <w:snapToGrid w:val="0"/>
        <w:spacing w:line="440" w:lineRule="exact"/>
        <w:outlineLvl w:val="1"/>
        <w:rPr>
          <w:rFonts w:hint="eastAsia" w:ascii="黑体" w:hAnsi="黑体" w:eastAsia="黑体" w:cs="黑体"/>
          <w:kern w:val="44"/>
        </w:rPr>
      </w:pPr>
      <w:bookmarkStart w:id="133" w:name="_Toc9842"/>
      <w:bookmarkStart w:id="134" w:name="_Toc18419"/>
      <w:bookmarkStart w:id="135" w:name="_Toc1456"/>
      <w:bookmarkStart w:id="136" w:name="_Toc30759"/>
      <w:r>
        <w:rPr>
          <w:rFonts w:hint="eastAsia" w:ascii="黑体" w:hAnsi="黑体" w:eastAsia="黑体" w:cs="黑体"/>
          <w:kern w:val="44"/>
        </w:rPr>
        <w:fldChar w:fldCharType="begin"/>
      </w:r>
      <w:r>
        <w:rPr>
          <w:rFonts w:hint="eastAsia" w:ascii="黑体" w:hAnsi="黑体" w:eastAsia="黑体" w:cs="黑体"/>
          <w:kern w:val="44"/>
        </w:rPr>
        <w:instrText xml:space="preserve"> HYPERLINK \l "_Toc31300" </w:instrText>
      </w:r>
      <w:r>
        <w:rPr>
          <w:rFonts w:hint="eastAsia" w:ascii="黑体" w:hAnsi="黑体" w:eastAsia="黑体" w:cs="黑体"/>
          <w:kern w:val="44"/>
        </w:rPr>
        <w:fldChar w:fldCharType="separate"/>
      </w:r>
      <w:bookmarkStart w:id="137" w:name="_Toc163294124"/>
      <w:r>
        <w:rPr>
          <w:rFonts w:hint="eastAsia" w:ascii="黑体" w:hAnsi="黑体" w:eastAsia="黑体" w:cs="黑体"/>
          <w:kern w:val="44"/>
        </w:rPr>
        <w:t>11.2 排灌水</w:t>
      </w:r>
      <w:bookmarkEnd w:id="133"/>
      <w:bookmarkEnd w:id="134"/>
      <w:bookmarkEnd w:id="135"/>
      <w:bookmarkEnd w:id="136"/>
      <w:bookmarkEnd w:id="137"/>
    </w:p>
    <w:p w14:paraId="2338B1C6">
      <w:pPr>
        <w:spacing w:before="223" w:line="287" w:lineRule="auto"/>
        <w:ind w:left="23" w:right="72" w:firstLine="393"/>
        <w:rPr>
          <w:rFonts w:hint="eastAsia" w:ascii="黑体" w:hAnsi="黑体" w:eastAsia="黑体" w:cs="黑体"/>
          <w:kern w:val="44"/>
        </w:rPr>
      </w:pPr>
      <w:r>
        <w:rPr>
          <w:rFonts w:hint="eastAsia"/>
        </w:rPr>
        <w:t xml:space="preserve">排灌水原则是旱能浇涝能排。播种时应保证土壤墒情可以出苗，在玉米穗期、抽雄期和花粒期遇干旱需及时灌水，防止出现“卡脖旱”。雨后遇涝应及时排水。 </w:t>
      </w:r>
      <w:bookmarkStart w:id="138" w:name="_Toc16536"/>
      <w:bookmarkStart w:id="139" w:name="_Toc739"/>
      <w:bookmarkStart w:id="140" w:name="_Toc21295"/>
      <w:bookmarkStart w:id="141" w:name="_Toc23023"/>
      <w:r>
        <w:rPr>
          <w:rFonts w:hint="eastAsia" w:ascii="黑体" w:hAnsi="黑体" w:eastAsia="黑体" w:cs="黑体"/>
          <w:kern w:val="44"/>
        </w:rPr>
        <w:fldChar w:fldCharType="end"/>
      </w:r>
      <w:bookmarkEnd w:id="138"/>
      <w:bookmarkEnd w:id="139"/>
      <w:bookmarkEnd w:id="140"/>
      <w:bookmarkEnd w:id="141"/>
    </w:p>
    <w:p w14:paraId="4AF1653A">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42" w:name="_Toc4932"/>
      <w:bookmarkStart w:id="143" w:name="_Toc12361"/>
      <w:bookmarkStart w:id="144" w:name="_Toc7363"/>
      <w:bookmarkStart w:id="145" w:name="_Toc7299"/>
      <w:r>
        <w:rPr>
          <w:rFonts w:hint="eastAsia" w:ascii="黑体" w:hAnsi="黑体" w:eastAsia="黑体" w:cs="黑体"/>
          <w:b w:val="0"/>
          <w:bCs w:val="0"/>
          <w:sz w:val="21"/>
          <w:szCs w:val="21"/>
        </w:rPr>
        <w:fldChar w:fldCharType="begin"/>
      </w:r>
      <w:r>
        <w:rPr>
          <w:rFonts w:hint="eastAsia" w:ascii="黑体" w:hAnsi="黑体" w:eastAsia="黑体" w:cs="黑体"/>
          <w:b w:val="0"/>
          <w:bCs w:val="0"/>
          <w:sz w:val="21"/>
          <w:szCs w:val="21"/>
        </w:rPr>
        <w:instrText xml:space="preserve"> HYPERLINK \l "_Toc19583" </w:instrText>
      </w:r>
      <w:r>
        <w:rPr>
          <w:rFonts w:hint="eastAsia" w:ascii="黑体" w:hAnsi="黑体" w:eastAsia="黑体" w:cs="黑体"/>
          <w:b w:val="0"/>
          <w:bCs w:val="0"/>
          <w:sz w:val="21"/>
          <w:szCs w:val="21"/>
        </w:rPr>
        <w:fldChar w:fldCharType="separate"/>
      </w:r>
      <w:bookmarkStart w:id="146" w:name="_Toc163294126"/>
      <w:r>
        <w:rPr>
          <w:rFonts w:hint="eastAsia"/>
          <w:b w:val="0"/>
          <w:bCs w:val="0"/>
          <w:kern w:val="2"/>
          <w:sz w:val="21"/>
          <w:szCs w:val="21"/>
        </w:rPr>
        <w:t xml:space="preserve">12 </w:t>
      </w:r>
      <w:r>
        <w:rPr>
          <w:rFonts w:hint="eastAsia" w:ascii="黑体" w:hAnsi="黑体" w:eastAsia="黑体" w:cs="黑体"/>
          <w:b w:val="0"/>
          <w:bCs w:val="0"/>
          <w:sz w:val="21"/>
          <w:szCs w:val="21"/>
        </w:rPr>
        <w:t>病虫害防治</w:t>
      </w:r>
      <w:bookmarkEnd w:id="146"/>
      <w:r>
        <w:rPr>
          <w:rFonts w:hint="eastAsia" w:ascii="黑体" w:hAnsi="黑体" w:eastAsia="黑体" w:cs="黑体"/>
          <w:b w:val="0"/>
          <w:bCs w:val="0"/>
          <w:sz w:val="21"/>
          <w:szCs w:val="21"/>
        </w:rPr>
        <w:fldChar w:fldCharType="end"/>
      </w:r>
      <w:bookmarkEnd w:id="142"/>
      <w:bookmarkEnd w:id="143"/>
      <w:bookmarkEnd w:id="144"/>
      <w:bookmarkEnd w:id="145"/>
    </w:p>
    <w:p w14:paraId="6093D1FC">
      <w:pPr>
        <w:spacing w:before="223" w:line="287" w:lineRule="auto"/>
        <w:ind w:left="23" w:right="72" w:firstLine="393"/>
        <w:rPr>
          <w:rFonts w:hint="eastAsia" w:ascii="黑体" w:hAnsi="黑体" w:eastAsia="黑体" w:cs="黑体"/>
        </w:rPr>
      </w:pPr>
      <w:r>
        <w:rPr>
          <w:rFonts w:hint="eastAsia"/>
        </w:rPr>
        <w:t>病虫草害防治应坚持“预防为主，综合防治”的原则，根据生产地常见病虫草害发生特点，结合病虫害预测预报，优先采用农业防治、物理防治和生物防治措施，科学合理使用绿色化学防治措施。</w:t>
      </w:r>
    </w:p>
    <w:p w14:paraId="4B715168">
      <w:pPr>
        <w:pStyle w:val="3"/>
        <w:keepNext w:val="0"/>
        <w:keepLines w:val="0"/>
        <w:spacing w:before="240" w:beforeLines="100" w:after="240" w:afterLines="100" w:line="240" w:lineRule="auto"/>
        <w:rPr>
          <w:rFonts w:hint="eastAsia" w:ascii="黑体" w:hAnsi="黑体" w:eastAsia="黑体" w:cs="黑体"/>
          <w:b w:val="0"/>
          <w:bCs w:val="0"/>
          <w:sz w:val="21"/>
          <w:szCs w:val="21"/>
        </w:rPr>
      </w:pPr>
      <w:r>
        <w:fldChar w:fldCharType="begin"/>
      </w:r>
      <w:r>
        <w:instrText xml:space="preserve"> HYPERLINK \l "_Toc20167" </w:instrText>
      </w:r>
      <w:r>
        <w:fldChar w:fldCharType="separate"/>
      </w:r>
      <w:r>
        <w:rPr>
          <w:rFonts w:hint="eastAsia" w:ascii="黑体" w:hAnsi="黑体" w:eastAsia="黑体" w:cs="黑体"/>
          <w:b w:val="0"/>
          <w:bCs w:val="0"/>
          <w:sz w:val="21"/>
          <w:szCs w:val="21"/>
        </w:rPr>
        <w:t>12.1 农业防治</w:t>
      </w:r>
      <w:r>
        <w:rPr>
          <w:rFonts w:hint="eastAsia" w:ascii="黑体" w:hAnsi="黑体" w:eastAsia="黑体" w:cs="黑体"/>
          <w:b w:val="0"/>
          <w:bCs w:val="0"/>
          <w:sz w:val="21"/>
          <w:szCs w:val="21"/>
        </w:rPr>
        <w:fldChar w:fldCharType="end"/>
      </w:r>
    </w:p>
    <w:p w14:paraId="062A2669">
      <w:pPr>
        <w:spacing w:before="223" w:line="287" w:lineRule="auto"/>
        <w:ind w:left="23" w:right="72" w:firstLine="393"/>
      </w:pPr>
      <w:r>
        <w:rPr>
          <w:rFonts w:hint="eastAsia"/>
        </w:rPr>
        <w:t>推广种植抗病虫、抗逆性好的鲜食玉米品种，合理密植、合理水肥管理，培育健壮植株，提高田间的通风透气性，增强植株抗病能力。玉米收获后进行秸秆粉碎深翻或腐熟还田处理，降低翌年病虫基数。</w:t>
      </w:r>
    </w:p>
    <w:p w14:paraId="597A6C70">
      <w:pPr>
        <w:pStyle w:val="3"/>
        <w:keepNext w:val="0"/>
        <w:keepLines w:val="0"/>
        <w:spacing w:before="240" w:beforeLines="100" w:after="240" w:afterLines="100" w:line="240" w:lineRule="auto"/>
        <w:rPr>
          <w:rFonts w:hint="eastAsia" w:ascii="黑体" w:hAnsi="黑体" w:eastAsia="黑体" w:cs="黑体"/>
          <w:b w:val="0"/>
          <w:bCs w:val="0"/>
          <w:sz w:val="21"/>
          <w:szCs w:val="21"/>
        </w:rPr>
      </w:pPr>
      <w:r>
        <w:fldChar w:fldCharType="begin"/>
      </w:r>
      <w:r>
        <w:instrText xml:space="preserve"> HYPERLINK \l "_Toc10936" </w:instrText>
      </w:r>
      <w:r>
        <w:fldChar w:fldCharType="separate"/>
      </w:r>
      <w:r>
        <w:rPr>
          <w:rFonts w:hint="eastAsia" w:ascii="黑体" w:hAnsi="黑体" w:eastAsia="黑体" w:cs="黑体"/>
          <w:b w:val="0"/>
          <w:bCs w:val="0"/>
          <w:sz w:val="21"/>
          <w:szCs w:val="21"/>
        </w:rPr>
        <w:t>12.2 物理防治</w:t>
      </w:r>
      <w:r>
        <w:rPr>
          <w:rFonts w:hint="eastAsia" w:ascii="黑体" w:hAnsi="黑体" w:eastAsia="黑体" w:cs="黑体"/>
          <w:b w:val="0"/>
          <w:bCs w:val="0"/>
          <w:sz w:val="21"/>
          <w:szCs w:val="21"/>
        </w:rPr>
        <w:fldChar w:fldCharType="end"/>
      </w:r>
    </w:p>
    <w:p w14:paraId="31CDDA18">
      <w:pPr>
        <w:spacing w:before="223" w:line="287" w:lineRule="auto"/>
        <w:ind w:left="23" w:right="72" w:firstLine="393"/>
      </w:pPr>
      <w:r>
        <w:rPr>
          <w:rFonts w:hint="eastAsia"/>
        </w:rPr>
        <w:t>根据害虫的趋光性、趋化性等习性，在成虫发生期，田间设置黑光灯、频振式杀虫灯、糖醋液、色板、性诱剂等方法诱杀害虫。灯光诱杀采用频振式杀虫灯，1公顷架设1盏，可以诱杀玉米螟、棉铃虫、甜菜夜蛾、黏虫、草地贪夜蛾等害虫。</w:t>
      </w:r>
    </w:p>
    <w:p w14:paraId="6E63AC5E">
      <w:pPr>
        <w:pStyle w:val="3"/>
        <w:keepNext w:val="0"/>
        <w:keepLines w:val="0"/>
        <w:spacing w:before="240" w:beforeLines="100" w:after="240" w:afterLines="100" w:line="240" w:lineRule="auto"/>
        <w:rPr>
          <w:rFonts w:hint="eastAsia" w:ascii="黑体" w:hAnsi="黑体" w:eastAsia="黑体" w:cs="黑体"/>
          <w:b w:val="0"/>
          <w:bCs w:val="0"/>
          <w:sz w:val="21"/>
          <w:szCs w:val="21"/>
        </w:rPr>
      </w:pPr>
      <w:r>
        <w:fldChar w:fldCharType="begin"/>
      </w:r>
      <w:r>
        <w:instrText xml:space="preserve"> HYPERLINK \l "_Toc17784" </w:instrText>
      </w:r>
      <w:r>
        <w:fldChar w:fldCharType="separate"/>
      </w:r>
      <w:r>
        <w:rPr>
          <w:rFonts w:hint="eastAsia" w:ascii="黑体" w:hAnsi="黑体" w:eastAsia="黑体" w:cs="黑体"/>
          <w:b w:val="0"/>
          <w:bCs w:val="0"/>
          <w:sz w:val="21"/>
          <w:szCs w:val="21"/>
        </w:rPr>
        <w:t>12.3 生物防治</w:t>
      </w:r>
      <w:r>
        <w:rPr>
          <w:rFonts w:hint="eastAsia" w:ascii="黑体" w:hAnsi="黑体" w:eastAsia="黑体" w:cs="黑体"/>
          <w:b w:val="0"/>
          <w:bCs w:val="0"/>
          <w:sz w:val="21"/>
          <w:szCs w:val="21"/>
        </w:rPr>
        <w:fldChar w:fldCharType="end"/>
      </w:r>
    </w:p>
    <w:p w14:paraId="5C958504">
      <w:pPr>
        <w:ind w:firstLine="420" w:firstLineChars="200"/>
      </w:pPr>
      <w:r>
        <w:rPr>
          <w:rFonts w:hint="eastAsia"/>
        </w:rPr>
        <w:t>结合病虫害田间调查和预测预报，选用微生物制剂或植物源农药防治病虫害；或在气候条件允许的前提下，利用天敌昆虫或生防菌防治病虫害。具体生物防治方案参见附录一。</w:t>
      </w:r>
    </w:p>
    <w:p w14:paraId="6053B4A2">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12.4化学防治</w:t>
      </w:r>
    </w:p>
    <w:p w14:paraId="27F8D9FE">
      <w:pPr>
        <w:spacing w:before="223" w:line="287" w:lineRule="auto"/>
        <w:ind w:left="23" w:right="72" w:firstLine="393"/>
      </w:pPr>
      <w:r>
        <w:rPr>
          <w:rFonts w:hint="eastAsia"/>
        </w:rPr>
        <w:t>农药的使用应符合 GB/T 8321和NY/T 393 规定执行。在加强田间病虫害发生监测的基础上采取预防性药剂防治；或在病虫害发生时，适时适量选用高效低毒的药剂进行防治。病虫害具体化学防治方案参见附录一。</w:t>
      </w:r>
    </w:p>
    <w:p w14:paraId="15E8AC0F">
      <w:pPr>
        <w:pStyle w:val="3"/>
        <w:keepNext w:val="0"/>
        <w:keepLines w:val="0"/>
        <w:spacing w:before="240" w:beforeLines="100" w:after="240" w:afterLines="100" w:line="240" w:lineRule="auto"/>
        <w:rPr>
          <w:rFonts w:hint="eastAsia" w:ascii="黑体" w:hAnsi="黑体" w:eastAsia="黑体" w:cs="黑体"/>
          <w:b w:val="0"/>
          <w:bCs w:val="0"/>
          <w:sz w:val="21"/>
          <w:szCs w:val="21"/>
        </w:rPr>
      </w:pPr>
      <w:bookmarkStart w:id="147" w:name="_Toc7281"/>
      <w:bookmarkStart w:id="148" w:name="_Toc163294128"/>
      <w:bookmarkStart w:id="149" w:name="_Toc3627"/>
      <w:bookmarkStart w:id="150" w:name="_Toc13241"/>
      <w:bookmarkStart w:id="151" w:name="_Toc27007"/>
      <w:r>
        <w:rPr>
          <w:rFonts w:hint="eastAsia" w:ascii="黑体" w:hAnsi="黑体" w:eastAsia="黑体" w:cs="黑体"/>
          <w:b w:val="0"/>
          <w:bCs w:val="0"/>
          <w:sz w:val="21"/>
          <w:szCs w:val="21"/>
        </w:rPr>
        <w:t>13草害防治</w:t>
      </w:r>
      <w:bookmarkEnd w:id="147"/>
      <w:bookmarkEnd w:id="148"/>
      <w:bookmarkEnd w:id="149"/>
      <w:bookmarkEnd w:id="150"/>
      <w:bookmarkEnd w:id="151"/>
    </w:p>
    <w:p w14:paraId="7E727B64">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13.1农业防治</w:t>
      </w:r>
    </w:p>
    <w:p w14:paraId="1EFD3350">
      <w:pPr>
        <w:spacing w:before="223" w:line="287" w:lineRule="auto"/>
        <w:ind w:left="23" w:right="72" w:firstLine="393"/>
      </w:pPr>
      <w:r>
        <w:rPr>
          <w:rFonts w:hint="eastAsia"/>
        </w:rPr>
        <w:t xml:space="preserve">播种前对种子进行精细清选，剔除杂草种子，要使用腐熟的有机肥以有效清除有机肥中掺杂的杂草种子，防止杂草种子混入农田。鲜食玉米苗期和拔节期，及时进行人工除草。 </w:t>
      </w:r>
    </w:p>
    <w:p w14:paraId="102DB7A7">
      <w:pPr>
        <w:pStyle w:val="3"/>
        <w:keepNext w:val="0"/>
        <w:keepLines w:val="0"/>
        <w:spacing w:before="240" w:beforeLines="100" w:after="240" w:afterLines="10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13.2化学防治</w:t>
      </w:r>
    </w:p>
    <w:p w14:paraId="59FFABF3">
      <w:pPr>
        <w:spacing w:before="223" w:line="287" w:lineRule="auto"/>
        <w:ind w:left="23" w:right="72" w:firstLine="393"/>
      </w:pPr>
      <w:r>
        <w:rPr>
          <w:rFonts w:hint="eastAsia"/>
        </w:rPr>
        <w:t>有限度地使用化学药剂防治田间杂草。除草剂的使用应符合NY/T 393的规定。需要注意的是，对于滴灌出苗地块，</w:t>
      </w:r>
      <w:bookmarkStart w:id="171" w:name="_GoBack"/>
      <w:bookmarkEnd w:id="171"/>
      <w:r>
        <w:rPr>
          <w:rFonts w:hint="eastAsia"/>
        </w:rPr>
        <w:t xml:space="preserve">要先滴灌浇水，再喷施封闭除草剂，防止产生药害。杂草具体化学防治方案参见附录一。 </w:t>
      </w:r>
    </w:p>
    <w:p w14:paraId="2A02995D">
      <w:pPr>
        <w:pStyle w:val="9"/>
        <w:tabs>
          <w:tab w:val="right" w:leader="dot" w:pos="8834"/>
          <w:tab w:val="clear" w:pos="9356"/>
        </w:tabs>
        <w:kinsoku w:val="0"/>
        <w:overflowPunct w:val="0"/>
        <w:autoSpaceDE w:val="0"/>
        <w:autoSpaceDN w:val="0"/>
        <w:adjustRightInd w:val="0"/>
        <w:snapToGrid w:val="0"/>
        <w:spacing w:line="440" w:lineRule="exact"/>
        <w:jc w:val="left"/>
        <w:outlineLvl w:val="0"/>
        <w:rPr>
          <w:rFonts w:hint="eastAsia" w:ascii="黑体" w:hAnsi="黑体" w:eastAsia="黑体" w:cs="黑体"/>
          <w:kern w:val="44"/>
        </w:rPr>
      </w:pPr>
      <w:bookmarkStart w:id="152" w:name="_Toc7752"/>
      <w:bookmarkStart w:id="153" w:name="_Toc3056"/>
      <w:bookmarkStart w:id="154" w:name="_Toc8164"/>
      <w:bookmarkStart w:id="155" w:name="_Toc18700"/>
      <w:r>
        <w:rPr>
          <w:rFonts w:hint="eastAsia"/>
        </w:rPr>
        <w:fldChar w:fldCharType="begin"/>
      </w:r>
      <w:r>
        <w:rPr>
          <w:rFonts w:hint="eastAsia"/>
        </w:rPr>
        <w:instrText xml:space="preserve"> HYPERLINK \l "_Toc9385" </w:instrText>
      </w:r>
      <w:r>
        <w:rPr>
          <w:rFonts w:hint="eastAsia"/>
        </w:rPr>
        <w:fldChar w:fldCharType="separate"/>
      </w:r>
      <w:bookmarkStart w:id="156" w:name="_Toc163294129"/>
      <w:r>
        <w:rPr>
          <w:rFonts w:hint="eastAsia" w:ascii="黑体" w:hAnsi="黑体" w:eastAsia="黑体" w:cs="黑体"/>
          <w:kern w:val="44"/>
        </w:rPr>
        <w:t>14 采收</w:t>
      </w:r>
      <w:bookmarkEnd w:id="152"/>
      <w:bookmarkEnd w:id="153"/>
      <w:bookmarkEnd w:id="154"/>
      <w:bookmarkEnd w:id="155"/>
      <w:bookmarkEnd w:id="156"/>
    </w:p>
    <w:p w14:paraId="18DF7247">
      <w:pPr>
        <w:pStyle w:val="9"/>
        <w:tabs>
          <w:tab w:val="right" w:leader="dot" w:pos="8834"/>
          <w:tab w:val="clear" w:pos="9356"/>
        </w:tabs>
        <w:kinsoku w:val="0"/>
        <w:overflowPunct w:val="0"/>
        <w:autoSpaceDE w:val="0"/>
        <w:autoSpaceDN w:val="0"/>
        <w:adjustRightInd w:val="0"/>
        <w:snapToGrid w:val="0"/>
        <w:spacing w:line="440" w:lineRule="exact"/>
        <w:jc w:val="left"/>
        <w:outlineLvl w:val="0"/>
        <w:rPr>
          <w:rFonts w:hint="eastAsia" w:ascii="黑体" w:hAnsi="黑体" w:eastAsia="黑体" w:cs="黑体"/>
          <w:kern w:val="44"/>
        </w:rPr>
      </w:pPr>
      <w:bookmarkStart w:id="157" w:name="_Toc163294130"/>
      <w:bookmarkStart w:id="158" w:name="_Toc15047"/>
      <w:bookmarkStart w:id="159" w:name="_Toc32727"/>
      <w:bookmarkStart w:id="160" w:name="_Toc25430"/>
      <w:bookmarkStart w:id="161" w:name="_Toc31357"/>
      <w:r>
        <w:rPr>
          <w:rFonts w:hint="eastAsia" w:ascii="黑体" w:hAnsi="黑体" w:eastAsia="黑体" w:cs="黑体"/>
          <w:kern w:val="44"/>
        </w:rPr>
        <w:t>14.1采收时间</w:t>
      </w:r>
      <w:bookmarkEnd w:id="157"/>
      <w:bookmarkEnd w:id="158"/>
      <w:bookmarkEnd w:id="159"/>
      <w:bookmarkEnd w:id="160"/>
      <w:bookmarkEnd w:id="161"/>
    </w:p>
    <w:p w14:paraId="1D8E96BD">
      <w:pPr>
        <w:spacing w:before="223" w:line="287" w:lineRule="auto"/>
        <w:ind w:left="23" w:right="72" w:firstLine="393"/>
      </w:pPr>
      <w:r>
        <w:rPr>
          <w:rFonts w:hint="eastAsia"/>
        </w:rPr>
        <w:t xml:space="preserve">鲜穗最佳采收期为籽粒呈正常色泽、饱满，挤破时流出乳状或粘糊状物质。一般以甜玉米吐丝后21～23天，糯玉米和甜加糯玉米吐丝后24～26 天。一般在上午11点以前采收完毕，尽量避开高温时段。 </w:t>
      </w:r>
    </w:p>
    <w:p w14:paraId="46B2E5B9">
      <w:pPr>
        <w:pStyle w:val="9"/>
        <w:tabs>
          <w:tab w:val="right" w:leader="dot" w:pos="8834"/>
          <w:tab w:val="clear" w:pos="9356"/>
        </w:tabs>
        <w:kinsoku w:val="0"/>
        <w:overflowPunct w:val="0"/>
        <w:autoSpaceDE w:val="0"/>
        <w:autoSpaceDN w:val="0"/>
        <w:adjustRightInd w:val="0"/>
        <w:snapToGrid w:val="0"/>
        <w:spacing w:line="440" w:lineRule="exact"/>
        <w:jc w:val="left"/>
        <w:outlineLvl w:val="0"/>
        <w:rPr>
          <w:rFonts w:hint="eastAsia" w:ascii="黑体" w:hAnsi="黑体" w:eastAsia="黑体" w:cs="黑体"/>
          <w:kern w:val="44"/>
        </w:rPr>
      </w:pPr>
      <w:bookmarkStart w:id="162" w:name="_Toc163294131"/>
      <w:bookmarkStart w:id="163" w:name="_Toc26485"/>
      <w:bookmarkStart w:id="164" w:name="_Toc10813"/>
      <w:bookmarkStart w:id="165" w:name="_Toc17887"/>
      <w:bookmarkStart w:id="166" w:name="_Toc29589"/>
      <w:r>
        <w:rPr>
          <w:rFonts w:hint="eastAsia" w:ascii="黑体" w:hAnsi="黑体" w:eastAsia="黑体" w:cs="黑体"/>
          <w:kern w:val="44"/>
        </w:rPr>
        <w:t>14.2采收方法</w:t>
      </w:r>
      <w:bookmarkEnd w:id="162"/>
      <w:r>
        <w:rPr>
          <w:rFonts w:hint="eastAsia"/>
        </w:rPr>
        <w:fldChar w:fldCharType="end"/>
      </w:r>
      <w:bookmarkEnd w:id="163"/>
      <w:bookmarkEnd w:id="164"/>
      <w:bookmarkEnd w:id="165"/>
      <w:bookmarkEnd w:id="166"/>
    </w:p>
    <w:p w14:paraId="11103AFE">
      <w:pPr>
        <w:spacing w:before="223" w:line="287" w:lineRule="auto"/>
        <w:ind w:left="23" w:right="72" w:firstLine="393"/>
      </w:pPr>
      <w:r>
        <w:rPr>
          <w:rFonts w:hint="eastAsia"/>
        </w:rPr>
        <w:t>一般采用人工收获或鲜食玉米专用收割机收获，要严格管控收割机对果穗的损伤。收获的果穗要单收、单运、单放、单贮, 防止混杂。防止果穗在高温下暴晒、水份蒸发，保证玉米品质。</w:t>
      </w:r>
    </w:p>
    <w:p w14:paraId="6D41E115"/>
    <w:p w14:paraId="47A8DAF2">
      <w:pPr>
        <w:pStyle w:val="3"/>
        <w:rPr>
          <w:rFonts w:eastAsiaTheme="minorEastAsia"/>
          <w:sz w:val="24"/>
        </w:rPr>
      </w:pPr>
      <w:bookmarkStart w:id="167" w:name="_Toc26906"/>
      <w:bookmarkStart w:id="168" w:name="_Toc25555"/>
      <w:bookmarkStart w:id="169" w:name="_Toc163294136"/>
      <w:bookmarkStart w:id="170" w:name="_Toc6786"/>
      <w:r>
        <w:rPr>
          <w:rFonts w:eastAsiaTheme="minorEastAsia"/>
          <w:sz w:val="24"/>
        </w:rPr>
        <w:t>附录</w:t>
      </w:r>
      <w:r>
        <w:rPr>
          <w:rFonts w:hint="eastAsia" w:eastAsiaTheme="minorEastAsia"/>
          <w:sz w:val="24"/>
        </w:rPr>
        <w:t>一</w:t>
      </w:r>
      <w:r>
        <w:rPr>
          <w:rFonts w:eastAsiaTheme="minorEastAsia"/>
          <w:sz w:val="24"/>
        </w:rPr>
        <w:t xml:space="preserve">              </w:t>
      </w:r>
      <w:r>
        <w:rPr>
          <w:rFonts w:hint="eastAsia" w:eastAsiaTheme="minorEastAsia"/>
          <w:sz w:val="24"/>
        </w:rPr>
        <w:t xml:space="preserve">    </w:t>
      </w:r>
      <w:r>
        <w:rPr>
          <w:rFonts w:eastAsiaTheme="minorEastAsia"/>
          <w:sz w:val="24"/>
        </w:rPr>
        <w:t>病虫草害化学防治技术措施</w:t>
      </w:r>
      <w:bookmarkEnd w:id="167"/>
      <w:bookmarkEnd w:id="168"/>
      <w:bookmarkEnd w:id="169"/>
    </w:p>
    <w:p w14:paraId="1CB6030B">
      <w:pPr>
        <w:adjustRightInd w:val="0"/>
        <w:snapToGrid w:val="0"/>
        <w:jc w:val="center"/>
        <w:rPr>
          <w:rFonts w:hint="eastAsia" w:ascii="宋体" w:hAnsi="宋体" w:cs="宋体"/>
          <w:spacing w:val="-1"/>
          <w:sz w:val="18"/>
          <w:szCs w:val="18"/>
        </w:rPr>
      </w:pPr>
      <w:r>
        <w:rPr>
          <w:rFonts w:hint="eastAsia"/>
        </w:rPr>
        <w:t>（资料性附录）</w:t>
      </w:r>
    </w:p>
    <w:tbl>
      <w:tblPr>
        <w:tblStyle w:val="12"/>
        <w:tblpPr w:leftFromText="180" w:rightFromText="180" w:vertAnchor="text" w:horzAnchor="page" w:tblpX="1575" w:tblpY="156"/>
        <w:tblOverlap w:val="never"/>
        <w:tblW w:w="48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041"/>
        <w:gridCol w:w="2070"/>
        <w:gridCol w:w="929"/>
        <w:gridCol w:w="2382"/>
      </w:tblGrid>
      <w:tr w14:paraId="246F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64" w:type="pct"/>
            <w:vAlign w:val="center"/>
          </w:tcPr>
          <w:p w14:paraId="2CE9BC9F">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防治</w:t>
            </w:r>
          </w:p>
          <w:p w14:paraId="037EE864">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对象</w:t>
            </w:r>
          </w:p>
        </w:tc>
        <w:tc>
          <w:tcPr>
            <w:tcW w:w="1637" w:type="pct"/>
            <w:vAlign w:val="center"/>
          </w:tcPr>
          <w:p w14:paraId="3089E85B">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使用药剂</w:t>
            </w:r>
          </w:p>
        </w:tc>
        <w:tc>
          <w:tcPr>
            <w:tcW w:w="1114" w:type="pct"/>
            <w:vAlign w:val="center"/>
          </w:tcPr>
          <w:p w14:paraId="0DD1C4DA">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用药量</w:t>
            </w:r>
          </w:p>
        </w:tc>
        <w:tc>
          <w:tcPr>
            <w:tcW w:w="500" w:type="pct"/>
            <w:vAlign w:val="center"/>
          </w:tcPr>
          <w:p w14:paraId="6E41EF3E">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使用方法</w:t>
            </w:r>
          </w:p>
        </w:tc>
        <w:tc>
          <w:tcPr>
            <w:tcW w:w="1282" w:type="pct"/>
            <w:vAlign w:val="center"/>
          </w:tcPr>
          <w:p w14:paraId="1A0B8CA9">
            <w:pPr>
              <w:adjustRightInd w:val="0"/>
              <w:snapToGrid w:val="0"/>
              <w:jc w:val="center"/>
              <w:rPr>
                <w:rFonts w:hint="eastAsia" w:ascii="宋体" w:hAnsi="宋体" w:cs="宋体"/>
                <w:spacing w:val="-1"/>
                <w:sz w:val="18"/>
                <w:szCs w:val="18"/>
              </w:rPr>
            </w:pPr>
            <w:r>
              <w:rPr>
                <w:rFonts w:hint="eastAsia" w:ascii="宋体" w:hAnsi="宋体" w:cs="宋体"/>
                <w:spacing w:val="-1"/>
                <w:sz w:val="18"/>
                <w:szCs w:val="18"/>
              </w:rPr>
              <w:t>施药时期</w:t>
            </w:r>
          </w:p>
        </w:tc>
      </w:tr>
      <w:tr w14:paraId="599F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restart"/>
            <w:vAlign w:val="center"/>
          </w:tcPr>
          <w:p w14:paraId="35AB807A">
            <w:pPr>
              <w:adjustRightInd w:val="0"/>
              <w:snapToGrid w:val="0"/>
              <w:rPr>
                <w:rFonts w:hint="eastAsia" w:ascii="宋体" w:hAnsi="宋体" w:cs="宋体"/>
                <w:spacing w:val="-1"/>
                <w:sz w:val="18"/>
                <w:szCs w:val="18"/>
              </w:rPr>
            </w:pPr>
            <w:r>
              <w:rPr>
                <w:rFonts w:hint="eastAsia" w:ascii="宋体" w:hAnsi="宋体" w:cs="宋体"/>
                <w:spacing w:val="-1"/>
                <w:sz w:val="18"/>
                <w:szCs w:val="18"/>
              </w:rPr>
              <w:t>丝黑穗病</w:t>
            </w:r>
          </w:p>
        </w:tc>
        <w:tc>
          <w:tcPr>
            <w:tcW w:w="1637" w:type="pct"/>
            <w:vAlign w:val="center"/>
          </w:tcPr>
          <w:p w14:paraId="65ACBE25">
            <w:pPr>
              <w:adjustRightInd w:val="0"/>
              <w:snapToGrid w:val="0"/>
              <w:rPr>
                <w:rFonts w:hint="eastAsia" w:ascii="宋体" w:hAnsi="宋体" w:cs="宋体"/>
                <w:spacing w:val="-1"/>
                <w:sz w:val="18"/>
                <w:szCs w:val="18"/>
              </w:rPr>
            </w:pPr>
            <w:r>
              <w:rPr>
                <w:rFonts w:hint="eastAsia" w:ascii="宋体" w:hAnsi="宋体" w:cs="宋体"/>
                <w:spacing w:val="-1"/>
                <w:sz w:val="18"/>
                <w:szCs w:val="18"/>
              </w:rPr>
              <w:t>60克/升戊唑醇悬浮种衣剂</w:t>
            </w:r>
          </w:p>
        </w:tc>
        <w:tc>
          <w:tcPr>
            <w:tcW w:w="1114" w:type="pct"/>
            <w:vAlign w:val="center"/>
          </w:tcPr>
          <w:p w14:paraId="5B8EEA1E">
            <w:pPr>
              <w:adjustRightInd w:val="0"/>
              <w:snapToGrid w:val="0"/>
              <w:rPr>
                <w:rFonts w:hint="eastAsia" w:ascii="宋体" w:hAnsi="宋体" w:cs="宋体"/>
                <w:spacing w:val="-1"/>
                <w:sz w:val="18"/>
                <w:szCs w:val="18"/>
              </w:rPr>
            </w:pPr>
            <w:r>
              <w:rPr>
                <w:rFonts w:hint="eastAsia" w:ascii="宋体" w:hAnsi="宋体" w:cs="宋体"/>
                <w:spacing w:val="-1"/>
                <w:sz w:val="18"/>
                <w:szCs w:val="18"/>
              </w:rPr>
              <w:t>150-200mL/100kg种子</w:t>
            </w:r>
          </w:p>
        </w:tc>
        <w:tc>
          <w:tcPr>
            <w:tcW w:w="500" w:type="pct"/>
            <w:vAlign w:val="center"/>
          </w:tcPr>
          <w:p w14:paraId="707CADC9">
            <w:pPr>
              <w:adjustRightInd w:val="0"/>
              <w:snapToGrid w:val="0"/>
              <w:rPr>
                <w:rFonts w:hint="eastAsia" w:ascii="宋体" w:hAnsi="宋体" w:cs="宋体"/>
                <w:spacing w:val="-1"/>
                <w:sz w:val="18"/>
                <w:szCs w:val="18"/>
              </w:rPr>
            </w:pPr>
            <w:r>
              <w:rPr>
                <w:rFonts w:hint="eastAsia" w:ascii="宋体" w:hAnsi="宋体" w:cs="宋体"/>
                <w:spacing w:val="-1"/>
                <w:sz w:val="18"/>
                <w:szCs w:val="18"/>
              </w:rPr>
              <w:t>种子包衣</w:t>
            </w:r>
          </w:p>
        </w:tc>
        <w:tc>
          <w:tcPr>
            <w:tcW w:w="1282" w:type="pct"/>
            <w:vAlign w:val="center"/>
          </w:tcPr>
          <w:p w14:paraId="64763E94">
            <w:pPr>
              <w:adjustRightInd w:val="0"/>
              <w:snapToGrid w:val="0"/>
              <w:rPr>
                <w:rFonts w:hint="eastAsia" w:ascii="宋体" w:hAnsi="宋体" w:cs="宋体"/>
                <w:spacing w:val="-1"/>
                <w:sz w:val="18"/>
                <w:szCs w:val="18"/>
              </w:rPr>
            </w:pPr>
          </w:p>
        </w:tc>
      </w:tr>
      <w:tr w14:paraId="6F6E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18F8797B">
            <w:pPr>
              <w:adjustRightInd w:val="0"/>
              <w:snapToGrid w:val="0"/>
              <w:rPr>
                <w:rFonts w:hint="eastAsia" w:ascii="宋体" w:hAnsi="宋体" w:cs="宋体"/>
                <w:spacing w:val="-1"/>
                <w:sz w:val="18"/>
                <w:szCs w:val="18"/>
              </w:rPr>
            </w:pPr>
          </w:p>
        </w:tc>
        <w:tc>
          <w:tcPr>
            <w:tcW w:w="1637" w:type="pct"/>
            <w:vAlign w:val="center"/>
          </w:tcPr>
          <w:p w14:paraId="059FA9EE">
            <w:pPr>
              <w:adjustRightInd w:val="0"/>
              <w:snapToGrid w:val="0"/>
              <w:rPr>
                <w:rFonts w:hint="eastAsia" w:ascii="宋体" w:hAnsi="宋体" w:cs="宋体"/>
                <w:spacing w:val="-1"/>
                <w:sz w:val="18"/>
                <w:szCs w:val="18"/>
              </w:rPr>
            </w:pPr>
            <w:r>
              <w:rPr>
                <w:rFonts w:hint="eastAsia" w:ascii="宋体" w:hAnsi="宋体" w:cs="宋体"/>
                <w:spacing w:val="-1"/>
                <w:sz w:val="18"/>
                <w:szCs w:val="18"/>
              </w:rPr>
              <w:t>44%氟唑环菌胺悬浮种衣剂</w:t>
            </w:r>
          </w:p>
        </w:tc>
        <w:tc>
          <w:tcPr>
            <w:tcW w:w="1114" w:type="pct"/>
            <w:vAlign w:val="center"/>
          </w:tcPr>
          <w:p w14:paraId="0D6D14AC">
            <w:pPr>
              <w:adjustRightInd w:val="0"/>
              <w:snapToGrid w:val="0"/>
              <w:rPr>
                <w:rFonts w:hint="eastAsia" w:ascii="宋体" w:hAnsi="宋体" w:cs="宋体"/>
                <w:spacing w:val="-1"/>
                <w:sz w:val="18"/>
                <w:szCs w:val="18"/>
              </w:rPr>
            </w:pPr>
            <w:r>
              <w:rPr>
                <w:rFonts w:hint="eastAsia" w:ascii="宋体" w:hAnsi="宋体" w:cs="宋体"/>
                <w:spacing w:val="-1"/>
                <w:sz w:val="18"/>
                <w:szCs w:val="18"/>
              </w:rPr>
              <w:t>30-90mL/100kg种子</w:t>
            </w:r>
          </w:p>
        </w:tc>
        <w:tc>
          <w:tcPr>
            <w:tcW w:w="500" w:type="pct"/>
            <w:vAlign w:val="center"/>
          </w:tcPr>
          <w:p w14:paraId="46270ACE">
            <w:pPr>
              <w:adjustRightInd w:val="0"/>
              <w:snapToGrid w:val="0"/>
              <w:rPr>
                <w:rFonts w:hint="eastAsia" w:ascii="宋体" w:hAnsi="宋体" w:cs="宋体"/>
                <w:spacing w:val="-1"/>
                <w:sz w:val="18"/>
                <w:szCs w:val="18"/>
              </w:rPr>
            </w:pPr>
            <w:r>
              <w:rPr>
                <w:rFonts w:hint="eastAsia" w:ascii="宋体" w:hAnsi="宋体" w:cs="宋体"/>
                <w:spacing w:val="-1"/>
                <w:sz w:val="18"/>
                <w:szCs w:val="18"/>
              </w:rPr>
              <w:t>种子包衣</w:t>
            </w:r>
          </w:p>
        </w:tc>
        <w:tc>
          <w:tcPr>
            <w:tcW w:w="1282" w:type="pct"/>
            <w:vAlign w:val="center"/>
          </w:tcPr>
          <w:p w14:paraId="01AB32FF">
            <w:pPr>
              <w:adjustRightInd w:val="0"/>
              <w:snapToGrid w:val="0"/>
              <w:rPr>
                <w:rFonts w:hint="eastAsia" w:ascii="宋体" w:hAnsi="宋体" w:cs="宋体"/>
                <w:spacing w:val="-1"/>
                <w:sz w:val="18"/>
                <w:szCs w:val="18"/>
              </w:rPr>
            </w:pPr>
          </w:p>
        </w:tc>
      </w:tr>
      <w:tr w14:paraId="3E34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6E2A2026">
            <w:pPr>
              <w:adjustRightInd w:val="0"/>
              <w:snapToGrid w:val="0"/>
              <w:rPr>
                <w:rFonts w:hint="eastAsia" w:ascii="宋体" w:hAnsi="宋体" w:cs="宋体"/>
                <w:spacing w:val="-1"/>
                <w:sz w:val="18"/>
                <w:szCs w:val="18"/>
              </w:rPr>
            </w:pPr>
          </w:p>
        </w:tc>
        <w:tc>
          <w:tcPr>
            <w:tcW w:w="1637" w:type="pct"/>
            <w:vAlign w:val="center"/>
          </w:tcPr>
          <w:p w14:paraId="4D3F34AB">
            <w:pPr>
              <w:adjustRightInd w:val="0"/>
              <w:snapToGrid w:val="0"/>
              <w:rPr>
                <w:rFonts w:hint="eastAsia" w:ascii="宋体" w:hAnsi="宋体" w:cs="宋体"/>
                <w:spacing w:val="-1"/>
                <w:sz w:val="18"/>
                <w:szCs w:val="18"/>
              </w:rPr>
            </w:pPr>
            <w:r>
              <w:rPr>
                <w:rFonts w:hint="eastAsia" w:ascii="宋体" w:hAnsi="宋体" w:cs="宋体"/>
                <w:spacing w:val="-1"/>
                <w:sz w:val="18"/>
                <w:szCs w:val="18"/>
              </w:rPr>
              <w:t>400克/升萎锈·福美双悬浮种衣剂</w:t>
            </w:r>
          </w:p>
        </w:tc>
        <w:tc>
          <w:tcPr>
            <w:tcW w:w="1114" w:type="pct"/>
            <w:vAlign w:val="center"/>
          </w:tcPr>
          <w:p w14:paraId="3690EBAD">
            <w:pPr>
              <w:adjustRightInd w:val="0"/>
              <w:snapToGrid w:val="0"/>
              <w:rPr>
                <w:rFonts w:hint="eastAsia" w:ascii="宋体" w:hAnsi="宋体" w:cs="宋体"/>
                <w:spacing w:val="-1"/>
                <w:sz w:val="18"/>
                <w:szCs w:val="18"/>
              </w:rPr>
            </w:pPr>
            <w:r>
              <w:rPr>
                <w:rFonts w:hint="eastAsia" w:ascii="宋体" w:hAnsi="宋体" w:cs="宋体"/>
                <w:spacing w:val="-1"/>
                <w:sz w:val="18"/>
                <w:szCs w:val="18"/>
              </w:rPr>
              <w:t>330-500mL/100kg种子</w:t>
            </w:r>
          </w:p>
        </w:tc>
        <w:tc>
          <w:tcPr>
            <w:tcW w:w="500" w:type="pct"/>
            <w:vAlign w:val="center"/>
          </w:tcPr>
          <w:p w14:paraId="12E8DE87">
            <w:pPr>
              <w:adjustRightInd w:val="0"/>
              <w:snapToGrid w:val="0"/>
              <w:rPr>
                <w:rFonts w:hint="eastAsia" w:ascii="宋体" w:hAnsi="宋体" w:cs="宋体"/>
                <w:spacing w:val="-1"/>
                <w:sz w:val="18"/>
                <w:szCs w:val="18"/>
              </w:rPr>
            </w:pPr>
            <w:r>
              <w:rPr>
                <w:rFonts w:hint="eastAsia" w:ascii="宋体" w:hAnsi="宋体" w:cs="宋体"/>
                <w:spacing w:val="-1"/>
                <w:sz w:val="18"/>
                <w:szCs w:val="18"/>
              </w:rPr>
              <w:t>种子包衣</w:t>
            </w:r>
          </w:p>
        </w:tc>
        <w:tc>
          <w:tcPr>
            <w:tcW w:w="1282" w:type="pct"/>
            <w:vAlign w:val="center"/>
          </w:tcPr>
          <w:p w14:paraId="2394B2A4">
            <w:pPr>
              <w:adjustRightInd w:val="0"/>
              <w:snapToGrid w:val="0"/>
              <w:rPr>
                <w:rFonts w:hint="eastAsia" w:ascii="宋体" w:hAnsi="宋体" w:cs="宋体"/>
                <w:spacing w:val="-1"/>
                <w:sz w:val="18"/>
                <w:szCs w:val="18"/>
              </w:rPr>
            </w:pPr>
          </w:p>
        </w:tc>
      </w:tr>
      <w:tr w14:paraId="642B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restart"/>
            <w:vAlign w:val="center"/>
          </w:tcPr>
          <w:p w14:paraId="4702E646">
            <w:pPr>
              <w:adjustRightInd w:val="0"/>
              <w:snapToGrid w:val="0"/>
              <w:rPr>
                <w:rFonts w:hint="eastAsia" w:ascii="宋体" w:hAnsi="宋体" w:cs="宋体"/>
                <w:spacing w:val="-1"/>
                <w:sz w:val="18"/>
                <w:szCs w:val="18"/>
              </w:rPr>
            </w:pPr>
            <w:r>
              <w:rPr>
                <w:rFonts w:hint="eastAsia" w:ascii="宋体" w:hAnsi="宋体" w:cs="宋体"/>
                <w:spacing w:val="-4"/>
                <w:sz w:val="18"/>
                <w:szCs w:val="18"/>
              </w:rPr>
              <w:t>纹枯病</w:t>
            </w:r>
          </w:p>
        </w:tc>
        <w:tc>
          <w:tcPr>
            <w:tcW w:w="1637" w:type="pct"/>
            <w:shd w:val="clear" w:color="auto" w:fill="auto"/>
            <w:vAlign w:val="center"/>
          </w:tcPr>
          <w:p w14:paraId="4E35FA01">
            <w:pPr>
              <w:adjustRightInd w:val="0"/>
              <w:snapToGrid w:val="0"/>
              <w:rPr>
                <w:rFonts w:hint="eastAsia" w:ascii="宋体" w:hAnsi="宋体" w:cs="宋体"/>
                <w:spacing w:val="-1"/>
                <w:sz w:val="18"/>
                <w:szCs w:val="18"/>
              </w:rPr>
            </w:pPr>
            <w:r>
              <w:rPr>
                <w:rFonts w:hint="eastAsia" w:ascii="宋体" w:hAnsi="宋体" w:cs="宋体"/>
                <w:spacing w:val="-1"/>
                <w:sz w:val="18"/>
                <w:szCs w:val="18"/>
              </w:rPr>
              <w:t>24%井冈霉素水剂</w:t>
            </w:r>
          </w:p>
        </w:tc>
        <w:tc>
          <w:tcPr>
            <w:tcW w:w="1114" w:type="pct"/>
            <w:shd w:val="clear" w:color="auto" w:fill="auto"/>
            <w:vAlign w:val="center"/>
          </w:tcPr>
          <w:p w14:paraId="023C1578">
            <w:pPr>
              <w:adjustRightInd w:val="0"/>
              <w:snapToGrid w:val="0"/>
              <w:rPr>
                <w:rFonts w:hint="eastAsia" w:ascii="宋体" w:hAnsi="宋体" w:cs="宋体"/>
                <w:spacing w:val="-1"/>
                <w:sz w:val="18"/>
                <w:szCs w:val="18"/>
              </w:rPr>
            </w:pPr>
            <w:r>
              <w:rPr>
                <w:rFonts w:hint="eastAsia" w:ascii="宋体" w:hAnsi="宋体" w:cs="宋体"/>
                <w:spacing w:val="-1"/>
                <w:sz w:val="18"/>
                <w:szCs w:val="18"/>
              </w:rPr>
              <w:t>30-40mL/66㎡</w:t>
            </w:r>
          </w:p>
        </w:tc>
        <w:tc>
          <w:tcPr>
            <w:tcW w:w="500" w:type="pct"/>
            <w:shd w:val="clear" w:color="auto" w:fill="auto"/>
            <w:vAlign w:val="center"/>
          </w:tcPr>
          <w:p w14:paraId="4B9F81EE">
            <w:pPr>
              <w:adjustRightInd w:val="0"/>
              <w:snapToGrid w:val="0"/>
              <w:rPr>
                <w:rFonts w:hint="eastAsia" w:ascii="宋体" w:hAnsi="宋体" w:cs="宋体"/>
                <w:spacing w:val="-1"/>
                <w:sz w:val="18"/>
                <w:szCs w:val="18"/>
              </w:rPr>
            </w:pPr>
            <w:r>
              <w:rPr>
                <w:rFonts w:hint="eastAsia" w:ascii="宋体" w:hAnsi="宋体" w:cs="宋体"/>
                <w:spacing w:val="-1"/>
                <w:sz w:val="18"/>
                <w:szCs w:val="18"/>
              </w:rPr>
              <w:t>喷雾</w:t>
            </w:r>
          </w:p>
        </w:tc>
        <w:tc>
          <w:tcPr>
            <w:tcW w:w="1282" w:type="pct"/>
            <w:shd w:val="clear" w:color="auto" w:fill="auto"/>
            <w:vAlign w:val="center"/>
          </w:tcPr>
          <w:p w14:paraId="077C9E7D">
            <w:pPr>
              <w:adjustRightInd w:val="0"/>
              <w:snapToGrid w:val="0"/>
              <w:rPr>
                <w:rFonts w:hint="eastAsia" w:ascii="宋体" w:hAnsi="宋体" w:cs="宋体"/>
                <w:spacing w:val="-4"/>
                <w:sz w:val="18"/>
                <w:szCs w:val="18"/>
              </w:rPr>
            </w:pPr>
            <w:r>
              <w:rPr>
                <w:rFonts w:hint="eastAsia" w:ascii="宋体" w:hAnsi="宋体" w:cs="宋体"/>
                <w:spacing w:val="-4"/>
                <w:sz w:val="18"/>
                <w:szCs w:val="18"/>
              </w:rPr>
              <w:t>大喇叭口期或发病初期</w:t>
            </w:r>
          </w:p>
        </w:tc>
      </w:tr>
      <w:tr w14:paraId="6A3A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60DA48CF">
            <w:pPr>
              <w:adjustRightInd w:val="0"/>
              <w:snapToGrid w:val="0"/>
              <w:rPr>
                <w:rFonts w:hint="eastAsia" w:ascii="宋体" w:hAnsi="宋体" w:cs="宋体"/>
                <w:spacing w:val="-1"/>
                <w:sz w:val="18"/>
                <w:szCs w:val="18"/>
              </w:rPr>
            </w:pPr>
          </w:p>
        </w:tc>
        <w:tc>
          <w:tcPr>
            <w:tcW w:w="1637" w:type="pct"/>
            <w:shd w:val="clear" w:color="auto" w:fill="auto"/>
            <w:vAlign w:val="center"/>
          </w:tcPr>
          <w:p w14:paraId="5E18E24F">
            <w:pPr>
              <w:adjustRightInd w:val="0"/>
              <w:snapToGrid w:val="0"/>
              <w:rPr>
                <w:rFonts w:hint="eastAsia" w:ascii="宋体" w:hAnsi="宋体" w:cs="宋体"/>
                <w:spacing w:val="-1"/>
                <w:sz w:val="18"/>
                <w:szCs w:val="18"/>
              </w:rPr>
            </w:pPr>
            <w:r>
              <w:rPr>
                <w:rFonts w:hint="eastAsia" w:ascii="宋体" w:hAnsi="宋体" w:cs="宋体"/>
                <w:spacing w:val="-1"/>
                <w:sz w:val="18"/>
                <w:szCs w:val="18"/>
              </w:rPr>
              <w:t>44%氟唑环菌胺悬浮种衣剂</w:t>
            </w:r>
          </w:p>
        </w:tc>
        <w:tc>
          <w:tcPr>
            <w:tcW w:w="1114" w:type="pct"/>
            <w:shd w:val="clear" w:color="auto" w:fill="auto"/>
            <w:vAlign w:val="center"/>
          </w:tcPr>
          <w:p w14:paraId="1502D539">
            <w:pPr>
              <w:adjustRightInd w:val="0"/>
              <w:snapToGrid w:val="0"/>
              <w:rPr>
                <w:rFonts w:hint="eastAsia" w:ascii="宋体" w:hAnsi="宋体" w:cs="宋体"/>
                <w:spacing w:val="-1"/>
                <w:sz w:val="18"/>
                <w:szCs w:val="18"/>
              </w:rPr>
            </w:pPr>
            <w:r>
              <w:rPr>
                <w:rFonts w:hint="eastAsia" w:ascii="宋体" w:hAnsi="宋体" w:cs="宋体"/>
                <w:spacing w:val="-1"/>
                <w:sz w:val="18"/>
                <w:szCs w:val="18"/>
              </w:rPr>
              <w:t>10-20mL/100kg种子</w:t>
            </w:r>
          </w:p>
        </w:tc>
        <w:tc>
          <w:tcPr>
            <w:tcW w:w="500" w:type="pct"/>
            <w:shd w:val="clear" w:color="auto" w:fill="auto"/>
            <w:vAlign w:val="center"/>
          </w:tcPr>
          <w:p w14:paraId="12394A83">
            <w:pPr>
              <w:adjustRightInd w:val="0"/>
              <w:snapToGrid w:val="0"/>
              <w:rPr>
                <w:rFonts w:hint="eastAsia" w:ascii="宋体" w:hAnsi="宋体" w:cs="宋体"/>
                <w:spacing w:val="-1"/>
                <w:sz w:val="18"/>
                <w:szCs w:val="18"/>
              </w:rPr>
            </w:pPr>
            <w:r>
              <w:rPr>
                <w:rFonts w:hint="eastAsia" w:ascii="宋体" w:hAnsi="宋体" w:cs="宋体"/>
                <w:spacing w:val="-1"/>
                <w:sz w:val="18"/>
                <w:szCs w:val="18"/>
              </w:rPr>
              <w:t>种子包衣</w:t>
            </w:r>
          </w:p>
        </w:tc>
        <w:tc>
          <w:tcPr>
            <w:tcW w:w="1282" w:type="pct"/>
            <w:shd w:val="clear" w:color="auto" w:fill="auto"/>
            <w:vAlign w:val="center"/>
          </w:tcPr>
          <w:p w14:paraId="1B679A64">
            <w:pPr>
              <w:adjustRightInd w:val="0"/>
              <w:snapToGrid w:val="0"/>
              <w:rPr>
                <w:rFonts w:hint="eastAsia" w:ascii="宋体" w:hAnsi="宋体" w:cs="宋体"/>
                <w:spacing w:val="-4"/>
                <w:sz w:val="18"/>
                <w:szCs w:val="18"/>
              </w:rPr>
            </w:pPr>
          </w:p>
        </w:tc>
      </w:tr>
      <w:tr w14:paraId="46C0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5B870BF2">
            <w:pPr>
              <w:adjustRightInd w:val="0"/>
              <w:snapToGrid w:val="0"/>
              <w:rPr>
                <w:rFonts w:hint="eastAsia" w:ascii="宋体" w:hAnsi="宋体" w:cs="宋体"/>
                <w:spacing w:val="-1"/>
                <w:sz w:val="18"/>
                <w:szCs w:val="18"/>
              </w:rPr>
            </w:pPr>
          </w:p>
        </w:tc>
        <w:tc>
          <w:tcPr>
            <w:tcW w:w="1637" w:type="pct"/>
            <w:shd w:val="clear" w:color="auto" w:fill="auto"/>
            <w:vAlign w:val="center"/>
          </w:tcPr>
          <w:p w14:paraId="54634F9A">
            <w:pPr>
              <w:adjustRightInd w:val="0"/>
              <w:snapToGrid w:val="0"/>
              <w:rPr>
                <w:rFonts w:hint="eastAsia" w:ascii="宋体" w:hAnsi="宋体" w:cs="宋体"/>
                <w:spacing w:val="-1"/>
                <w:sz w:val="18"/>
                <w:szCs w:val="18"/>
              </w:rPr>
            </w:pPr>
            <w:r>
              <w:rPr>
                <w:rFonts w:hint="eastAsia" w:ascii="宋体" w:hAnsi="宋体" w:cs="宋体"/>
                <w:spacing w:val="-1"/>
                <w:sz w:val="18"/>
                <w:szCs w:val="18"/>
              </w:rPr>
              <w:t>8%噻呋酰胺种子处理悬浮剂</w:t>
            </w:r>
          </w:p>
        </w:tc>
        <w:tc>
          <w:tcPr>
            <w:tcW w:w="1114" w:type="pct"/>
            <w:shd w:val="clear" w:color="auto" w:fill="auto"/>
            <w:vAlign w:val="center"/>
          </w:tcPr>
          <w:p w14:paraId="17E347B1">
            <w:pPr>
              <w:adjustRightInd w:val="0"/>
              <w:snapToGrid w:val="0"/>
              <w:rPr>
                <w:rFonts w:hint="eastAsia" w:ascii="宋体" w:hAnsi="宋体" w:cs="宋体"/>
                <w:spacing w:val="-1"/>
                <w:sz w:val="18"/>
                <w:szCs w:val="18"/>
              </w:rPr>
            </w:pPr>
            <w:r>
              <w:rPr>
                <w:rFonts w:hint="eastAsia" w:ascii="宋体" w:hAnsi="宋体" w:cs="宋体"/>
                <w:spacing w:val="-1"/>
                <w:sz w:val="18"/>
                <w:szCs w:val="18"/>
              </w:rPr>
              <w:t>125-250mL/100kg种子</w:t>
            </w:r>
          </w:p>
        </w:tc>
        <w:tc>
          <w:tcPr>
            <w:tcW w:w="500" w:type="pct"/>
            <w:shd w:val="clear" w:color="auto" w:fill="auto"/>
            <w:vAlign w:val="center"/>
          </w:tcPr>
          <w:p w14:paraId="04DD71BB">
            <w:pPr>
              <w:adjustRightInd w:val="0"/>
              <w:snapToGrid w:val="0"/>
              <w:rPr>
                <w:rFonts w:hint="eastAsia" w:ascii="宋体" w:hAnsi="宋体" w:cs="宋体"/>
                <w:spacing w:val="-1"/>
                <w:sz w:val="18"/>
                <w:szCs w:val="18"/>
              </w:rPr>
            </w:pPr>
            <w:r>
              <w:rPr>
                <w:rFonts w:hint="eastAsia" w:ascii="宋体" w:hAnsi="宋体" w:cs="宋体"/>
                <w:spacing w:val="-1"/>
                <w:sz w:val="18"/>
                <w:szCs w:val="18"/>
              </w:rPr>
              <w:t>种子包衣</w:t>
            </w:r>
          </w:p>
        </w:tc>
        <w:tc>
          <w:tcPr>
            <w:tcW w:w="1282" w:type="pct"/>
            <w:shd w:val="clear" w:color="auto" w:fill="auto"/>
            <w:vAlign w:val="center"/>
          </w:tcPr>
          <w:p w14:paraId="1DF9DA9F">
            <w:pPr>
              <w:adjustRightInd w:val="0"/>
              <w:snapToGrid w:val="0"/>
              <w:rPr>
                <w:rFonts w:hint="eastAsia" w:ascii="宋体" w:hAnsi="宋体" w:cs="宋体"/>
                <w:spacing w:val="-4"/>
                <w:sz w:val="18"/>
                <w:szCs w:val="18"/>
              </w:rPr>
            </w:pPr>
          </w:p>
        </w:tc>
      </w:tr>
      <w:tr w14:paraId="7541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restart"/>
            <w:vAlign w:val="center"/>
          </w:tcPr>
          <w:p w14:paraId="15DC468C">
            <w:pPr>
              <w:adjustRightInd w:val="0"/>
              <w:snapToGrid w:val="0"/>
              <w:rPr>
                <w:rFonts w:hint="eastAsia" w:ascii="宋体" w:hAnsi="宋体" w:cs="宋体"/>
                <w:sz w:val="18"/>
                <w:szCs w:val="18"/>
              </w:rPr>
            </w:pPr>
            <w:r>
              <w:rPr>
                <w:rFonts w:hint="eastAsia" w:ascii="宋体" w:hAnsi="宋体" w:cs="宋体"/>
                <w:spacing w:val="-1"/>
                <w:sz w:val="18"/>
                <w:szCs w:val="18"/>
              </w:rPr>
              <w:t>大斑病</w:t>
            </w:r>
          </w:p>
          <w:p w14:paraId="4CD47367">
            <w:pPr>
              <w:adjustRightInd w:val="0"/>
              <w:snapToGrid w:val="0"/>
              <w:rPr>
                <w:rFonts w:hint="eastAsia" w:ascii="宋体" w:hAnsi="宋体" w:cs="宋体"/>
                <w:spacing w:val="-1"/>
                <w:sz w:val="18"/>
                <w:szCs w:val="18"/>
              </w:rPr>
            </w:pPr>
            <w:r>
              <w:rPr>
                <w:rFonts w:hint="eastAsia" w:ascii="宋体" w:hAnsi="宋体" w:cs="宋体"/>
                <w:spacing w:val="-1"/>
                <w:sz w:val="18"/>
                <w:szCs w:val="18"/>
              </w:rPr>
              <w:t>小斑病</w:t>
            </w:r>
          </w:p>
        </w:tc>
        <w:tc>
          <w:tcPr>
            <w:tcW w:w="1637" w:type="pct"/>
            <w:vAlign w:val="center"/>
          </w:tcPr>
          <w:p w14:paraId="5AD9834B">
            <w:pPr>
              <w:adjustRightInd w:val="0"/>
              <w:snapToGrid w:val="0"/>
              <w:rPr>
                <w:rFonts w:hint="eastAsia" w:ascii="宋体" w:hAnsi="宋体" w:cs="宋体"/>
                <w:spacing w:val="-1"/>
                <w:sz w:val="18"/>
                <w:szCs w:val="18"/>
              </w:rPr>
            </w:pPr>
            <w:r>
              <w:rPr>
                <w:rFonts w:hint="eastAsia" w:ascii="宋体" w:hAnsi="宋体" w:cs="宋体"/>
                <w:spacing w:val="-1"/>
                <w:sz w:val="18"/>
                <w:szCs w:val="18"/>
              </w:rPr>
              <w:t>18.7%丙环·嘧菌酯悬乳剂</w:t>
            </w:r>
          </w:p>
        </w:tc>
        <w:tc>
          <w:tcPr>
            <w:tcW w:w="1114" w:type="pct"/>
            <w:vAlign w:val="center"/>
          </w:tcPr>
          <w:p w14:paraId="5E9D5409">
            <w:pPr>
              <w:adjustRightInd w:val="0"/>
              <w:snapToGrid w:val="0"/>
              <w:rPr>
                <w:rFonts w:hint="eastAsia" w:ascii="宋体" w:hAnsi="宋体" w:cs="宋体"/>
                <w:spacing w:val="-1"/>
                <w:sz w:val="18"/>
                <w:szCs w:val="18"/>
              </w:rPr>
            </w:pPr>
            <w:r>
              <w:rPr>
                <w:rFonts w:hint="eastAsia" w:ascii="宋体" w:hAnsi="宋体" w:cs="宋体"/>
                <w:spacing w:val="-1"/>
                <w:sz w:val="18"/>
                <w:szCs w:val="18"/>
              </w:rPr>
              <w:t>50-70mL/667㎡</w:t>
            </w:r>
          </w:p>
        </w:tc>
        <w:tc>
          <w:tcPr>
            <w:tcW w:w="500" w:type="pct"/>
            <w:vAlign w:val="center"/>
          </w:tcPr>
          <w:p w14:paraId="0E22F9AA">
            <w:pPr>
              <w:adjustRightInd w:val="0"/>
              <w:snapToGrid w:val="0"/>
              <w:rPr>
                <w:rFonts w:hint="eastAsia" w:ascii="宋体" w:hAnsi="宋体" w:cs="宋体"/>
                <w:spacing w:val="-1"/>
                <w:sz w:val="18"/>
                <w:szCs w:val="18"/>
              </w:rPr>
            </w:pPr>
            <w:r>
              <w:rPr>
                <w:rFonts w:hint="eastAsia" w:ascii="宋体" w:hAnsi="宋体" w:cs="宋体"/>
                <w:spacing w:val="-1"/>
                <w:sz w:val="18"/>
                <w:szCs w:val="18"/>
              </w:rPr>
              <w:t>喷雾</w:t>
            </w:r>
          </w:p>
        </w:tc>
        <w:tc>
          <w:tcPr>
            <w:tcW w:w="1282" w:type="pct"/>
            <w:vAlign w:val="center"/>
          </w:tcPr>
          <w:p w14:paraId="2732C729">
            <w:pPr>
              <w:adjustRightInd w:val="0"/>
              <w:snapToGrid w:val="0"/>
              <w:rPr>
                <w:rFonts w:hint="eastAsia" w:ascii="宋体" w:hAnsi="宋体" w:cs="宋体"/>
                <w:spacing w:val="-1"/>
                <w:sz w:val="18"/>
                <w:szCs w:val="18"/>
              </w:rPr>
            </w:pPr>
            <w:r>
              <w:rPr>
                <w:rFonts w:hint="eastAsia" w:ascii="宋体" w:hAnsi="宋体" w:cs="宋体"/>
                <w:spacing w:val="-1"/>
                <w:sz w:val="18"/>
                <w:szCs w:val="18"/>
              </w:rPr>
              <w:t>病害初发期施药</w:t>
            </w:r>
          </w:p>
        </w:tc>
      </w:tr>
      <w:tr w14:paraId="6488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64" w:type="pct"/>
            <w:vMerge w:val="continue"/>
            <w:vAlign w:val="center"/>
          </w:tcPr>
          <w:p w14:paraId="36B2ED7A">
            <w:pPr>
              <w:adjustRightInd w:val="0"/>
              <w:snapToGrid w:val="0"/>
              <w:rPr>
                <w:rFonts w:hint="eastAsia" w:ascii="宋体" w:hAnsi="宋体" w:cs="宋体"/>
                <w:spacing w:val="-1"/>
                <w:sz w:val="18"/>
                <w:szCs w:val="18"/>
              </w:rPr>
            </w:pPr>
          </w:p>
        </w:tc>
        <w:tc>
          <w:tcPr>
            <w:tcW w:w="1637" w:type="pct"/>
            <w:vAlign w:val="center"/>
          </w:tcPr>
          <w:p w14:paraId="5E6DE6DA">
            <w:pPr>
              <w:adjustRightInd w:val="0"/>
              <w:snapToGrid w:val="0"/>
              <w:rPr>
                <w:rFonts w:hint="eastAsia" w:ascii="宋体" w:hAnsi="宋体" w:cs="宋体"/>
                <w:spacing w:val="-1"/>
                <w:sz w:val="18"/>
                <w:szCs w:val="18"/>
              </w:rPr>
            </w:pPr>
            <w:r>
              <w:rPr>
                <w:rFonts w:hint="eastAsia" w:ascii="宋体" w:hAnsi="宋体" w:cs="宋体"/>
                <w:spacing w:val="-1"/>
                <w:sz w:val="18"/>
                <w:szCs w:val="18"/>
              </w:rPr>
              <w:t>氯氟醚·吡唑酯乳油</w:t>
            </w:r>
          </w:p>
        </w:tc>
        <w:tc>
          <w:tcPr>
            <w:tcW w:w="1114" w:type="pct"/>
            <w:vAlign w:val="center"/>
          </w:tcPr>
          <w:p w14:paraId="004C93F7">
            <w:pPr>
              <w:adjustRightInd w:val="0"/>
              <w:snapToGrid w:val="0"/>
              <w:rPr>
                <w:rFonts w:hint="eastAsia" w:ascii="宋体" w:hAnsi="宋体" w:cs="宋体"/>
                <w:spacing w:val="-1"/>
                <w:sz w:val="18"/>
                <w:szCs w:val="18"/>
              </w:rPr>
            </w:pPr>
            <w:r>
              <w:rPr>
                <w:rFonts w:hint="eastAsia" w:ascii="宋体" w:hAnsi="宋体" w:cs="宋体"/>
                <w:spacing w:val="-1"/>
                <w:sz w:val="18"/>
                <w:szCs w:val="18"/>
              </w:rPr>
              <w:t>240</w:t>
            </w:r>
            <w:r>
              <w:rPr>
                <w:rFonts w:hint="eastAsia" w:ascii="宋体" w:hAnsi="宋体" w:cs="宋体"/>
                <w:spacing w:val="-4"/>
                <w:sz w:val="18"/>
                <w:szCs w:val="18"/>
              </w:rPr>
              <w:t>g</w:t>
            </w:r>
            <w:r>
              <w:rPr>
                <w:rFonts w:hint="eastAsia" w:ascii="宋体" w:hAnsi="宋体" w:cs="宋体"/>
                <w:spacing w:val="-1"/>
                <w:sz w:val="18"/>
                <w:szCs w:val="18"/>
              </w:rPr>
              <w:t>/L</w:t>
            </w:r>
          </w:p>
        </w:tc>
        <w:tc>
          <w:tcPr>
            <w:tcW w:w="500" w:type="pct"/>
            <w:vAlign w:val="center"/>
          </w:tcPr>
          <w:p w14:paraId="72A9B6B9">
            <w:pPr>
              <w:adjustRightInd w:val="0"/>
              <w:snapToGrid w:val="0"/>
              <w:rPr>
                <w:rFonts w:hint="eastAsia" w:ascii="宋体" w:hAnsi="宋体" w:cs="宋体"/>
                <w:spacing w:val="-1"/>
                <w:sz w:val="18"/>
                <w:szCs w:val="18"/>
              </w:rPr>
            </w:pPr>
            <w:r>
              <w:rPr>
                <w:rFonts w:hint="eastAsia" w:ascii="宋体" w:hAnsi="宋体" w:cs="宋体"/>
                <w:spacing w:val="-1"/>
                <w:sz w:val="18"/>
                <w:szCs w:val="18"/>
              </w:rPr>
              <w:t>喷雾</w:t>
            </w:r>
          </w:p>
        </w:tc>
        <w:tc>
          <w:tcPr>
            <w:tcW w:w="1282" w:type="pct"/>
            <w:vAlign w:val="center"/>
          </w:tcPr>
          <w:p w14:paraId="257EBF7E">
            <w:pPr>
              <w:adjustRightInd w:val="0"/>
              <w:snapToGrid w:val="0"/>
              <w:rPr>
                <w:rFonts w:hint="eastAsia" w:ascii="宋体" w:hAnsi="宋体" w:cs="宋体"/>
                <w:spacing w:val="-1"/>
                <w:sz w:val="18"/>
                <w:szCs w:val="18"/>
              </w:rPr>
            </w:pPr>
            <w:r>
              <w:rPr>
                <w:rFonts w:hint="eastAsia" w:ascii="宋体" w:hAnsi="宋体" w:cs="宋体"/>
                <w:spacing w:val="-1"/>
                <w:sz w:val="18"/>
                <w:szCs w:val="18"/>
              </w:rPr>
              <w:t>发病前或发病初期第一次用药</w:t>
            </w:r>
          </w:p>
        </w:tc>
      </w:tr>
      <w:tr w14:paraId="4B1A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7EFEB624">
            <w:pPr>
              <w:adjustRightInd w:val="0"/>
              <w:snapToGrid w:val="0"/>
              <w:rPr>
                <w:rFonts w:hint="eastAsia" w:ascii="宋体" w:hAnsi="宋体" w:cs="宋体"/>
                <w:spacing w:val="-1"/>
                <w:sz w:val="18"/>
                <w:szCs w:val="18"/>
              </w:rPr>
            </w:pPr>
          </w:p>
        </w:tc>
        <w:tc>
          <w:tcPr>
            <w:tcW w:w="1637" w:type="pct"/>
            <w:vAlign w:val="center"/>
          </w:tcPr>
          <w:p w14:paraId="14131D69">
            <w:pPr>
              <w:adjustRightInd w:val="0"/>
              <w:snapToGrid w:val="0"/>
              <w:rPr>
                <w:rFonts w:hint="eastAsia" w:ascii="宋体" w:hAnsi="宋体" w:cs="宋体"/>
                <w:spacing w:val="-1"/>
                <w:sz w:val="18"/>
                <w:szCs w:val="18"/>
              </w:rPr>
            </w:pPr>
            <w:r>
              <w:rPr>
                <w:rFonts w:hint="eastAsia" w:ascii="宋体" w:hAnsi="宋体" w:cs="宋体"/>
                <w:spacing w:val="-1"/>
                <w:sz w:val="18"/>
                <w:szCs w:val="18"/>
              </w:rPr>
              <w:t>45%代森铵水剂</w:t>
            </w:r>
          </w:p>
        </w:tc>
        <w:tc>
          <w:tcPr>
            <w:tcW w:w="1114" w:type="pct"/>
            <w:vAlign w:val="center"/>
          </w:tcPr>
          <w:p w14:paraId="200E12AE">
            <w:pPr>
              <w:adjustRightInd w:val="0"/>
              <w:snapToGrid w:val="0"/>
              <w:rPr>
                <w:rFonts w:hint="eastAsia" w:ascii="宋体" w:hAnsi="宋体" w:cs="宋体"/>
                <w:spacing w:val="-1"/>
                <w:sz w:val="18"/>
                <w:szCs w:val="18"/>
              </w:rPr>
            </w:pPr>
            <w:r>
              <w:rPr>
                <w:rFonts w:hint="eastAsia" w:ascii="宋体" w:hAnsi="宋体" w:cs="宋体"/>
                <w:spacing w:val="-1"/>
                <w:sz w:val="18"/>
                <w:szCs w:val="18"/>
              </w:rPr>
              <w:t>78-100mL/667㎡</w:t>
            </w:r>
          </w:p>
        </w:tc>
        <w:tc>
          <w:tcPr>
            <w:tcW w:w="500" w:type="pct"/>
            <w:vAlign w:val="center"/>
          </w:tcPr>
          <w:p w14:paraId="5D406F23">
            <w:pPr>
              <w:adjustRightInd w:val="0"/>
              <w:snapToGrid w:val="0"/>
              <w:rPr>
                <w:rFonts w:hint="eastAsia" w:ascii="宋体" w:hAnsi="宋体" w:cs="宋体"/>
                <w:spacing w:val="-1"/>
                <w:sz w:val="18"/>
                <w:szCs w:val="18"/>
              </w:rPr>
            </w:pPr>
            <w:r>
              <w:rPr>
                <w:rFonts w:hint="eastAsia" w:ascii="宋体" w:hAnsi="宋体" w:cs="宋体"/>
                <w:spacing w:val="-1"/>
                <w:sz w:val="18"/>
                <w:szCs w:val="18"/>
              </w:rPr>
              <w:t>喷雾</w:t>
            </w:r>
          </w:p>
        </w:tc>
        <w:tc>
          <w:tcPr>
            <w:tcW w:w="1282" w:type="pct"/>
            <w:vAlign w:val="center"/>
          </w:tcPr>
          <w:p w14:paraId="5B924E5D">
            <w:pPr>
              <w:adjustRightInd w:val="0"/>
              <w:snapToGrid w:val="0"/>
              <w:rPr>
                <w:rFonts w:hint="eastAsia" w:ascii="宋体" w:hAnsi="宋体" w:cs="宋体"/>
                <w:spacing w:val="-1"/>
                <w:sz w:val="18"/>
                <w:szCs w:val="18"/>
              </w:rPr>
            </w:pPr>
            <w:r>
              <w:rPr>
                <w:rFonts w:hint="eastAsia" w:ascii="宋体" w:hAnsi="宋体" w:cs="宋体"/>
                <w:spacing w:val="-1"/>
                <w:sz w:val="18"/>
                <w:szCs w:val="18"/>
              </w:rPr>
              <w:t>于发病前或发病初期施药</w:t>
            </w:r>
          </w:p>
        </w:tc>
      </w:tr>
      <w:tr w14:paraId="5494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4EF67A4D">
            <w:pPr>
              <w:adjustRightInd w:val="0"/>
              <w:snapToGrid w:val="0"/>
              <w:rPr>
                <w:rFonts w:hint="eastAsia" w:ascii="宋体" w:hAnsi="宋体" w:cs="宋体"/>
                <w:spacing w:val="-1"/>
                <w:sz w:val="18"/>
                <w:szCs w:val="18"/>
              </w:rPr>
            </w:pPr>
          </w:p>
        </w:tc>
        <w:tc>
          <w:tcPr>
            <w:tcW w:w="1637" w:type="pct"/>
            <w:vAlign w:val="center"/>
          </w:tcPr>
          <w:p w14:paraId="23F99039">
            <w:pPr>
              <w:adjustRightInd w:val="0"/>
              <w:snapToGrid w:val="0"/>
              <w:rPr>
                <w:rFonts w:hint="eastAsia" w:ascii="宋体" w:hAnsi="宋体" w:cs="宋体"/>
                <w:spacing w:val="-1"/>
                <w:sz w:val="18"/>
                <w:szCs w:val="18"/>
              </w:rPr>
            </w:pPr>
            <w:r>
              <w:rPr>
                <w:rFonts w:hint="eastAsia" w:ascii="宋体" w:hAnsi="宋体" w:cs="宋体"/>
                <w:spacing w:val="-1"/>
                <w:sz w:val="18"/>
                <w:szCs w:val="18"/>
              </w:rPr>
              <w:t>17%唑醚·氟环唑悬浮剂</w:t>
            </w:r>
          </w:p>
        </w:tc>
        <w:tc>
          <w:tcPr>
            <w:tcW w:w="1114" w:type="pct"/>
            <w:vAlign w:val="center"/>
          </w:tcPr>
          <w:p w14:paraId="2E9177C1">
            <w:pPr>
              <w:adjustRightInd w:val="0"/>
              <w:snapToGrid w:val="0"/>
              <w:rPr>
                <w:rFonts w:hint="eastAsia" w:ascii="宋体" w:hAnsi="宋体" w:cs="宋体"/>
                <w:spacing w:val="-1"/>
                <w:sz w:val="18"/>
                <w:szCs w:val="18"/>
              </w:rPr>
            </w:pPr>
            <w:r>
              <w:rPr>
                <w:rFonts w:hint="eastAsia" w:ascii="宋体" w:hAnsi="宋体" w:cs="宋体"/>
                <w:spacing w:val="-1"/>
                <w:sz w:val="18"/>
                <w:szCs w:val="18"/>
              </w:rPr>
              <w:t>40-60mL/667㎡</w:t>
            </w:r>
          </w:p>
        </w:tc>
        <w:tc>
          <w:tcPr>
            <w:tcW w:w="500" w:type="pct"/>
            <w:vAlign w:val="center"/>
          </w:tcPr>
          <w:p w14:paraId="2109F6D8">
            <w:pPr>
              <w:adjustRightInd w:val="0"/>
              <w:snapToGrid w:val="0"/>
              <w:rPr>
                <w:rFonts w:hint="eastAsia" w:ascii="宋体" w:hAnsi="宋体" w:cs="宋体"/>
                <w:spacing w:val="-1"/>
                <w:sz w:val="18"/>
                <w:szCs w:val="18"/>
              </w:rPr>
            </w:pPr>
            <w:r>
              <w:rPr>
                <w:rFonts w:hint="eastAsia" w:ascii="宋体" w:hAnsi="宋体" w:cs="宋体"/>
                <w:spacing w:val="-1"/>
                <w:sz w:val="18"/>
                <w:szCs w:val="18"/>
              </w:rPr>
              <w:t>喷雾</w:t>
            </w:r>
          </w:p>
        </w:tc>
        <w:tc>
          <w:tcPr>
            <w:tcW w:w="1282" w:type="pct"/>
            <w:vAlign w:val="center"/>
          </w:tcPr>
          <w:p w14:paraId="7AFF7F33">
            <w:pPr>
              <w:adjustRightInd w:val="0"/>
              <w:snapToGrid w:val="0"/>
              <w:rPr>
                <w:rFonts w:hint="eastAsia" w:ascii="宋体" w:hAnsi="宋体" w:cs="宋体"/>
                <w:spacing w:val="-1"/>
                <w:sz w:val="18"/>
                <w:szCs w:val="18"/>
              </w:rPr>
            </w:pPr>
            <w:r>
              <w:rPr>
                <w:rFonts w:hint="eastAsia" w:ascii="宋体" w:hAnsi="宋体" w:cs="宋体"/>
                <w:spacing w:val="-1"/>
                <w:sz w:val="18"/>
                <w:szCs w:val="18"/>
              </w:rPr>
              <w:t>发病前或发病初期施药</w:t>
            </w:r>
          </w:p>
        </w:tc>
      </w:tr>
      <w:tr w14:paraId="66039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restart"/>
            <w:vAlign w:val="center"/>
          </w:tcPr>
          <w:p w14:paraId="7684E9DC">
            <w:pPr>
              <w:adjustRightInd w:val="0"/>
              <w:snapToGrid w:val="0"/>
              <w:rPr>
                <w:rFonts w:hint="eastAsia" w:ascii="宋体" w:hAnsi="宋体" w:cs="宋体"/>
                <w:spacing w:val="-4"/>
                <w:sz w:val="18"/>
                <w:szCs w:val="18"/>
              </w:rPr>
            </w:pPr>
            <w:r>
              <w:rPr>
                <w:rFonts w:hint="eastAsia" w:ascii="宋体" w:hAnsi="宋体" w:cs="宋体"/>
                <w:spacing w:val="-4"/>
                <w:sz w:val="18"/>
                <w:szCs w:val="18"/>
              </w:rPr>
              <w:t>玉米螟</w:t>
            </w:r>
          </w:p>
        </w:tc>
        <w:tc>
          <w:tcPr>
            <w:tcW w:w="1637" w:type="pct"/>
            <w:shd w:val="clear" w:color="auto" w:fill="auto"/>
            <w:vAlign w:val="center"/>
          </w:tcPr>
          <w:p w14:paraId="7458FBB6">
            <w:pPr>
              <w:adjustRightInd w:val="0"/>
              <w:snapToGrid w:val="0"/>
              <w:rPr>
                <w:rFonts w:hint="eastAsia" w:ascii="宋体" w:hAnsi="宋体" w:cs="宋体"/>
                <w:spacing w:val="-4"/>
                <w:sz w:val="18"/>
                <w:szCs w:val="18"/>
              </w:rPr>
            </w:pPr>
            <w:r>
              <w:rPr>
                <w:rFonts w:hint="eastAsia" w:ascii="宋体" w:hAnsi="宋体" w:cs="宋体"/>
                <w:spacing w:val="-4"/>
                <w:sz w:val="18"/>
                <w:szCs w:val="18"/>
              </w:rPr>
              <w:t>16000IU/mg苏云金杆菌可湿性粉剂</w:t>
            </w:r>
          </w:p>
        </w:tc>
        <w:tc>
          <w:tcPr>
            <w:tcW w:w="1114" w:type="pct"/>
            <w:shd w:val="clear" w:color="auto" w:fill="auto"/>
            <w:vAlign w:val="center"/>
          </w:tcPr>
          <w:p w14:paraId="5C5B0F48">
            <w:pPr>
              <w:adjustRightInd w:val="0"/>
              <w:snapToGrid w:val="0"/>
              <w:rPr>
                <w:rFonts w:hint="eastAsia" w:ascii="宋体" w:hAnsi="宋体" w:cs="宋体"/>
                <w:spacing w:val="-4"/>
                <w:sz w:val="18"/>
                <w:szCs w:val="18"/>
              </w:rPr>
            </w:pPr>
            <w:r>
              <w:rPr>
                <w:rFonts w:hint="eastAsia" w:ascii="宋体" w:hAnsi="宋体" w:cs="宋体"/>
                <w:spacing w:val="-4"/>
                <w:sz w:val="18"/>
                <w:szCs w:val="18"/>
              </w:rPr>
              <w:t>50-100g/667㎡</w:t>
            </w:r>
          </w:p>
        </w:tc>
        <w:tc>
          <w:tcPr>
            <w:tcW w:w="500" w:type="pct"/>
            <w:shd w:val="clear" w:color="auto" w:fill="auto"/>
            <w:vAlign w:val="center"/>
          </w:tcPr>
          <w:p w14:paraId="051B0A59">
            <w:pPr>
              <w:adjustRightInd w:val="0"/>
              <w:snapToGrid w:val="0"/>
              <w:rPr>
                <w:rFonts w:hint="eastAsia" w:ascii="宋体" w:hAnsi="宋体" w:cs="宋体"/>
                <w:spacing w:val="-4"/>
                <w:sz w:val="18"/>
                <w:szCs w:val="18"/>
              </w:rPr>
            </w:pPr>
            <w:r>
              <w:rPr>
                <w:rFonts w:hint="eastAsia" w:ascii="宋体" w:hAnsi="宋体" w:cs="宋体"/>
                <w:spacing w:val="-4"/>
                <w:sz w:val="18"/>
                <w:szCs w:val="18"/>
              </w:rPr>
              <w:t>加细沙灌心</w:t>
            </w:r>
          </w:p>
        </w:tc>
        <w:tc>
          <w:tcPr>
            <w:tcW w:w="1282" w:type="pct"/>
            <w:shd w:val="clear" w:color="auto" w:fill="auto"/>
            <w:vAlign w:val="center"/>
          </w:tcPr>
          <w:p w14:paraId="34DEB0AD">
            <w:pPr>
              <w:adjustRightInd w:val="0"/>
              <w:snapToGrid w:val="0"/>
              <w:rPr>
                <w:rFonts w:hint="eastAsia" w:ascii="宋体" w:hAnsi="宋体" w:cs="宋体"/>
                <w:spacing w:val="-4"/>
                <w:sz w:val="18"/>
                <w:szCs w:val="18"/>
              </w:rPr>
            </w:pPr>
            <w:r>
              <w:rPr>
                <w:rFonts w:hint="eastAsia" w:ascii="宋体" w:hAnsi="宋体" w:cs="宋体"/>
                <w:spacing w:val="-4"/>
                <w:sz w:val="18"/>
                <w:szCs w:val="18"/>
              </w:rPr>
              <w:t>大喇叭口期</w:t>
            </w:r>
          </w:p>
        </w:tc>
      </w:tr>
      <w:tr w14:paraId="6A8F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64" w:type="pct"/>
            <w:vMerge w:val="continue"/>
            <w:vAlign w:val="center"/>
          </w:tcPr>
          <w:p w14:paraId="39E38B96">
            <w:pPr>
              <w:adjustRightInd w:val="0"/>
              <w:snapToGrid w:val="0"/>
              <w:rPr>
                <w:rFonts w:hint="eastAsia" w:ascii="宋体" w:hAnsi="宋体" w:cs="宋体"/>
                <w:spacing w:val="-4"/>
                <w:sz w:val="18"/>
                <w:szCs w:val="18"/>
              </w:rPr>
            </w:pPr>
          </w:p>
        </w:tc>
        <w:tc>
          <w:tcPr>
            <w:tcW w:w="1637" w:type="pct"/>
            <w:shd w:val="clear" w:color="auto" w:fill="auto"/>
            <w:vAlign w:val="center"/>
          </w:tcPr>
          <w:p w14:paraId="2D6B2146">
            <w:pPr>
              <w:adjustRightInd w:val="0"/>
              <w:snapToGrid w:val="0"/>
              <w:rPr>
                <w:rFonts w:hint="eastAsia" w:ascii="宋体" w:hAnsi="宋体" w:cs="宋体"/>
                <w:spacing w:val="-4"/>
                <w:sz w:val="18"/>
                <w:szCs w:val="18"/>
              </w:rPr>
            </w:pPr>
            <w:r>
              <w:rPr>
                <w:rFonts w:hint="eastAsia" w:ascii="宋体" w:hAnsi="宋体" w:cs="宋体"/>
                <w:spacing w:val="-4"/>
                <w:sz w:val="18"/>
                <w:szCs w:val="18"/>
              </w:rPr>
              <w:t>400亿孢子/克球孢白僵菌可湿性粉剂</w:t>
            </w:r>
          </w:p>
        </w:tc>
        <w:tc>
          <w:tcPr>
            <w:tcW w:w="1114" w:type="pct"/>
            <w:shd w:val="clear" w:color="auto" w:fill="auto"/>
            <w:vAlign w:val="center"/>
          </w:tcPr>
          <w:p w14:paraId="1FC4B5EC">
            <w:pPr>
              <w:adjustRightInd w:val="0"/>
              <w:snapToGrid w:val="0"/>
              <w:rPr>
                <w:rFonts w:hint="eastAsia" w:ascii="宋体" w:hAnsi="宋体" w:cs="宋体"/>
                <w:spacing w:val="-4"/>
                <w:sz w:val="18"/>
                <w:szCs w:val="18"/>
              </w:rPr>
            </w:pPr>
            <w:r>
              <w:rPr>
                <w:rFonts w:hint="eastAsia" w:ascii="宋体" w:hAnsi="宋体" w:cs="宋体"/>
                <w:spacing w:val="-4"/>
                <w:sz w:val="18"/>
                <w:szCs w:val="18"/>
              </w:rPr>
              <w:t>100-120g/667㎡</w:t>
            </w:r>
          </w:p>
        </w:tc>
        <w:tc>
          <w:tcPr>
            <w:tcW w:w="500" w:type="pct"/>
            <w:shd w:val="clear" w:color="auto" w:fill="auto"/>
            <w:vAlign w:val="center"/>
          </w:tcPr>
          <w:p w14:paraId="326FB7A9">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shd w:val="clear" w:color="auto" w:fill="auto"/>
            <w:vAlign w:val="center"/>
          </w:tcPr>
          <w:p w14:paraId="443D1F64">
            <w:pPr>
              <w:adjustRightInd w:val="0"/>
              <w:snapToGrid w:val="0"/>
              <w:rPr>
                <w:rFonts w:hint="eastAsia" w:ascii="宋体" w:hAnsi="宋体" w:cs="宋体"/>
                <w:spacing w:val="-4"/>
                <w:sz w:val="18"/>
                <w:szCs w:val="18"/>
              </w:rPr>
            </w:pPr>
            <w:r>
              <w:rPr>
                <w:rFonts w:hint="eastAsia" w:ascii="宋体" w:hAnsi="宋体" w:cs="宋体"/>
                <w:spacing w:val="-4"/>
                <w:sz w:val="18"/>
                <w:szCs w:val="18"/>
              </w:rPr>
              <w:t>玉米螟卵孵盛期至低龄幼虫发生盛期使用</w:t>
            </w:r>
          </w:p>
        </w:tc>
      </w:tr>
      <w:tr w14:paraId="6467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exact"/>
        </w:trPr>
        <w:tc>
          <w:tcPr>
            <w:tcW w:w="464" w:type="pct"/>
            <w:vMerge w:val="continue"/>
            <w:vAlign w:val="center"/>
          </w:tcPr>
          <w:p w14:paraId="4D616EA3">
            <w:pPr>
              <w:adjustRightInd w:val="0"/>
              <w:snapToGrid w:val="0"/>
              <w:rPr>
                <w:rFonts w:hint="eastAsia" w:ascii="宋体" w:hAnsi="宋体" w:cs="宋体"/>
                <w:spacing w:val="-4"/>
                <w:sz w:val="18"/>
                <w:szCs w:val="18"/>
              </w:rPr>
            </w:pPr>
          </w:p>
        </w:tc>
        <w:tc>
          <w:tcPr>
            <w:tcW w:w="1637" w:type="pct"/>
            <w:vAlign w:val="center"/>
          </w:tcPr>
          <w:p w14:paraId="17793AD7">
            <w:pPr>
              <w:adjustRightInd w:val="0"/>
              <w:snapToGrid w:val="0"/>
              <w:rPr>
                <w:rFonts w:hint="eastAsia" w:ascii="宋体" w:hAnsi="宋体" w:cs="宋体"/>
                <w:spacing w:val="-4"/>
                <w:sz w:val="18"/>
                <w:szCs w:val="18"/>
              </w:rPr>
            </w:pPr>
            <w:r>
              <w:rPr>
                <w:rFonts w:hint="eastAsia" w:ascii="宋体" w:hAnsi="宋体" w:cs="宋体"/>
                <w:spacing w:val="-4"/>
                <w:sz w:val="18"/>
                <w:szCs w:val="18"/>
              </w:rPr>
              <w:t>5%氯虫苯甲酰胺悬浮剂</w:t>
            </w:r>
          </w:p>
        </w:tc>
        <w:tc>
          <w:tcPr>
            <w:tcW w:w="1114" w:type="pct"/>
            <w:vAlign w:val="center"/>
          </w:tcPr>
          <w:p w14:paraId="59040618">
            <w:pPr>
              <w:adjustRightInd w:val="0"/>
              <w:snapToGrid w:val="0"/>
              <w:rPr>
                <w:rFonts w:hint="eastAsia" w:ascii="宋体" w:hAnsi="宋体" w:cs="宋体"/>
                <w:spacing w:val="-4"/>
                <w:sz w:val="18"/>
                <w:szCs w:val="18"/>
              </w:rPr>
            </w:pPr>
            <w:r>
              <w:rPr>
                <w:rFonts w:hint="eastAsia" w:ascii="宋体" w:hAnsi="宋体" w:cs="宋体"/>
                <w:spacing w:val="-4"/>
                <w:sz w:val="18"/>
                <w:szCs w:val="18"/>
              </w:rPr>
              <w:t>16-20mL/667㎡</w:t>
            </w:r>
          </w:p>
        </w:tc>
        <w:tc>
          <w:tcPr>
            <w:tcW w:w="500" w:type="pct"/>
            <w:vAlign w:val="center"/>
          </w:tcPr>
          <w:p w14:paraId="4A79D35B">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65AF1116">
            <w:pPr>
              <w:adjustRightInd w:val="0"/>
              <w:snapToGrid w:val="0"/>
              <w:rPr>
                <w:rFonts w:hint="eastAsia" w:ascii="宋体" w:hAnsi="宋体" w:cs="宋体"/>
                <w:spacing w:val="-4"/>
                <w:sz w:val="18"/>
                <w:szCs w:val="18"/>
              </w:rPr>
            </w:pPr>
            <w:r>
              <w:rPr>
                <w:rFonts w:hint="eastAsia" w:ascii="宋体" w:hAnsi="宋体" w:cs="宋体"/>
                <w:spacing w:val="-4"/>
                <w:sz w:val="18"/>
                <w:szCs w:val="18"/>
              </w:rPr>
              <w:t>卵孵化高峰期</w:t>
            </w:r>
          </w:p>
        </w:tc>
      </w:tr>
      <w:tr w14:paraId="67A1E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64" w:type="pct"/>
            <w:vMerge w:val="continue"/>
            <w:vAlign w:val="center"/>
          </w:tcPr>
          <w:p w14:paraId="264BBB2D">
            <w:pPr>
              <w:adjustRightInd w:val="0"/>
              <w:snapToGrid w:val="0"/>
              <w:rPr>
                <w:rFonts w:hint="eastAsia" w:ascii="宋体" w:hAnsi="宋体" w:cs="宋体"/>
                <w:spacing w:val="-4"/>
                <w:sz w:val="18"/>
                <w:szCs w:val="18"/>
              </w:rPr>
            </w:pPr>
          </w:p>
        </w:tc>
        <w:tc>
          <w:tcPr>
            <w:tcW w:w="1637" w:type="pct"/>
            <w:shd w:val="clear" w:color="auto" w:fill="auto"/>
            <w:vAlign w:val="center"/>
          </w:tcPr>
          <w:p w14:paraId="6B7749E9">
            <w:pPr>
              <w:adjustRightInd w:val="0"/>
              <w:snapToGrid w:val="0"/>
              <w:rPr>
                <w:rFonts w:hint="eastAsia" w:ascii="宋体" w:hAnsi="宋体" w:cs="宋体"/>
                <w:spacing w:val="-4"/>
                <w:sz w:val="18"/>
                <w:szCs w:val="18"/>
              </w:rPr>
            </w:pPr>
            <w:r>
              <w:rPr>
                <w:rFonts w:hint="eastAsia" w:ascii="宋体" w:hAnsi="宋体" w:cs="宋体"/>
                <w:spacing w:val="-4"/>
                <w:sz w:val="18"/>
                <w:szCs w:val="18"/>
              </w:rPr>
              <w:t>20%甲维·毒死蜱乳油</w:t>
            </w:r>
          </w:p>
        </w:tc>
        <w:tc>
          <w:tcPr>
            <w:tcW w:w="1114" w:type="pct"/>
            <w:shd w:val="clear" w:color="auto" w:fill="auto"/>
            <w:vAlign w:val="center"/>
          </w:tcPr>
          <w:p w14:paraId="39800C60">
            <w:pPr>
              <w:adjustRightInd w:val="0"/>
              <w:snapToGrid w:val="0"/>
              <w:rPr>
                <w:rFonts w:hint="eastAsia" w:ascii="宋体" w:hAnsi="宋体" w:cs="宋体"/>
                <w:spacing w:val="-4"/>
                <w:sz w:val="18"/>
                <w:szCs w:val="18"/>
              </w:rPr>
            </w:pPr>
            <w:r>
              <w:rPr>
                <w:rFonts w:hint="eastAsia" w:ascii="宋体" w:hAnsi="宋体" w:cs="宋体"/>
                <w:spacing w:val="-4"/>
                <w:sz w:val="18"/>
                <w:szCs w:val="18"/>
              </w:rPr>
              <w:t>67-133mL/667㎡</w:t>
            </w:r>
          </w:p>
        </w:tc>
        <w:tc>
          <w:tcPr>
            <w:tcW w:w="500" w:type="pct"/>
            <w:shd w:val="clear" w:color="auto" w:fill="auto"/>
            <w:vAlign w:val="center"/>
          </w:tcPr>
          <w:p w14:paraId="07DE2273">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70F87E19">
            <w:pPr>
              <w:adjustRightInd w:val="0"/>
              <w:snapToGrid w:val="0"/>
              <w:rPr>
                <w:rFonts w:hint="eastAsia" w:ascii="宋体" w:hAnsi="宋体" w:cs="宋体"/>
                <w:spacing w:val="-4"/>
                <w:sz w:val="18"/>
                <w:szCs w:val="18"/>
              </w:rPr>
            </w:pPr>
            <w:r>
              <w:rPr>
                <w:rFonts w:hint="eastAsia" w:ascii="宋体" w:hAnsi="宋体" w:cs="宋体"/>
                <w:spacing w:val="-4"/>
                <w:sz w:val="18"/>
                <w:szCs w:val="18"/>
              </w:rPr>
              <w:t>卵孵化盛期及低龄幼虫高峰期</w:t>
            </w:r>
          </w:p>
        </w:tc>
      </w:tr>
      <w:tr w14:paraId="563A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64" w:type="pct"/>
            <w:vMerge w:val="continue"/>
            <w:vAlign w:val="center"/>
          </w:tcPr>
          <w:p w14:paraId="57DB7AEF">
            <w:pPr>
              <w:adjustRightInd w:val="0"/>
              <w:snapToGrid w:val="0"/>
              <w:rPr>
                <w:rFonts w:hint="eastAsia" w:ascii="宋体" w:hAnsi="宋体" w:cs="宋体"/>
                <w:spacing w:val="-4"/>
                <w:sz w:val="18"/>
                <w:szCs w:val="18"/>
              </w:rPr>
            </w:pPr>
          </w:p>
        </w:tc>
        <w:tc>
          <w:tcPr>
            <w:tcW w:w="1637" w:type="pct"/>
            <w:vAlign w:val="center"/>
          </w:tcPr>
          <w:p w14:paraId="6CD24DD1">
            <w:pPr>
              <w:adjustRightInd w:val="0"/>
              <w:snapToGrid w:val="0"/>
              <w:rPr>
                <w:rFonts w:hint="eastAsia" w:ascii="宋体" w:hAnsi="宋体" w:cs="宋体"/>
                <w:spacing w:val="-4"/>
                <w:sz w:val="18"/>
                <w:szCs w:val="18"/>
              </w:rPr>
            </w:pPr>
            <w:r>
              <w:rPr>
                <w:rFonts w:hint="eastAsia" w:ascii="宋体" w:hAnsi="宋体" w:cs="宋体"/>
                <w:spacing w:val="-4"/>
                <w:sz w:val="18"/>
                <w:szCs w:val="18"/>
              </w:rPr>
              <w:t>14%氯虫·高氯氟微囊悬浮-悬浮剂</w:t>
            </w:r>
          </w:p>
        </w:tc>
        <w:tc>
          <w:tcPr>
            <w:tcW w:w="1114" w:type="pct"/>
            <w:vAlign w:val="center"/>
          </w:tcPr>
          <w:p w14:paraId="0B5E6FBE">
            <w:pPr>
              <w:adjustRightInd w:val="0"/>
              <w:snapToGrid w:val="0"/>
              <w:rPr>
                <w:rFonts w:hint="eastAsia" w:ascii="宋体" w:hAnsi="宋体" w:cs="宋体"/>
                <w:spacing w:val="-4"/>
                <w:sz w:val="18"/>
                <w:szCs w:val="18"/>
              </w:rPr>
            </w:pPr>
            <w:r>
              <w:rPr>
                <w:rFonts w:hint="eastAsia" w:ascii="宋体" w:hAnsi="宋体" w:cs="宋体"/>
                <w:spacing w:val="-4"/>
                <w:sz w:val="18"/>
                <w:szCs w:val="18"/>
              </w:rPr>
              <w:t>15-20</w:t>
            </w:r>
            <w:r>
              <w:rPr>
                <w:rFonts w:hint="eastAsia" w:ascii="宋体" w:hAnsi="宋体" w:cs="宋体"/>
                <w:spacing w:val="-1"/>
                <w:sz w:val="18"/>
                <w:szCs w:val="18"/>
              </w:rPr>
              <w:t>mL/66㎡</w:t>
            </w:r>
          </w:p>
        </w:tc>
        <w:tc>
          <w:tcPr>
            <w:tcW w:w="500" w:type="pct"/>
            <w:vAlign w:val="center"/>
          </w:tcPr>
          <w:p w14:paraId="0C5AA824">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4D7C0D60">
            <w:pPr>
              <w:adjustRightInd w:val="0"/>
              <w:snapToGrid w:val="0"/>
              <w:rPr>
                <w:rFonts w:hint="eastAsia" w:ascii="宋体" w:hAnsi="宋体" w:cs="宋体"/>
                <w:spacing w:val="-4"/>
                <w:sz w:val="18"/>
                <w:szCs w:val="18"/>
              </w:rPr>
            </w:pPr>
            <w:r>
              <w:rPr>
                <w:rFonts w:hint="eastAsia" w:ascii="宋体" w:hAnsi="宋体" w:cs="宋体"/>
                <w:spacing w:val="-4"/>
                <w:sz w:val="18"/>
                <w:szCs w:val="18"/>
              </w:rPr>
              <w:t>玉米螟卵孵化高峰至2龄幼虫期</w:t>
            </w:r>
          </w:p>
        </w:tc>
      </w:tr>
      <w:bookmarkEnd w:id="170"/>
      <w:tr w14:paraId="0B69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restart"/>
            <w:vAlign w:val="center"/>
          </w:tcPr>
          <w:p w14:paraId="4D54F237">
            <w:pPr>
              <w:pStyle w:val="2"/>
              <w:rPr>
                <w:rFonts w:cs="宋体"/>
                <w:sz w:val="18"/>
                <w:szCs w:val="18"/>
              </w:rPr>
            </w:pPr>
            <w:r>
              <w:rPr>
                <w:rFonts w:cs="宋体"/>
                <w:b w:val="0"/>
                <w:bCs w:val="0"/>
                <w:spacing w:val="-4"/>
                <w:kern w:val="2"/>
                <w:sz w:val="18"/>
                <w:szCs w:val="18"/>
              </w:rPr>
              <w:t>杂  草</w:t>
            </w:r>
          </w:p>
        </w:tc>
        <w:tc>
          <w:tcPr>
            <w:tcW w:w="1637" w:type="pct"/>
            <w:vAlign w:val="center"/>
          </w:tcPr>
          <w:p w14:paraId="0EB126B6">
            <w:pPr>
              <w:adjustRightInd w:val="0"/>
              <w:snapToGrid w:val="0"/>
              <w:rPr>
                <w:rFonts w:hint="eastAsia" w:ascii="宋体" w:hAnsi="宋体" w:cs="宋体"/>
                <w:spacing w:val="-4"/>
                <w:sz w:val="18"/>
                <w:szCs w:val="18"/>
              </w:rPr>
            </w:pPr>
            <w:r>
              <w:rPr>
                <w:rFonts w:hint="eastAsia" w:ascii="宋体" w:hAnsi="宋体" w:cs="宋体"/>
                <w:spacing w:val="-4"/>
                <w:sz w:val="18"/>
                <w:szCs w:val="18"/>
              </w:rPr>
              <w:t>61%乙·莠悬乳剂</w:t>
            </w:r>
          </w:p>
        </w:tc>
        <w:tc>
          <w:tcPr>
            <w:tcW w:w="1114" w:type="pct"/>
            <w:vAlign w:val="center"/>
          </w:tcPr>
          <w:p w14:paraId="401E1D2D">
            <w:pPr>
              <w:adjustRightInd w:val="0"/>
              <w:snapToGrid w:val="0"/>
              <w:rPr>
                <w:rFonts w:hint="eastAsia" w:ascii="宋体" w:hAnsi="宋体" w:cs="宋体"/>
                <w:spacing w:val="-4"/>
                <w:sz w:val="18"/>
                <w:szCs w:val="18"/>
              </w:rPr>
            </w:pPr>
            <w:r>
              <w:rPr>
                <w:rFonts w:hint="eastAsia" w:ascii="宋体" w:hAnsi="宋体" w:cs="宋体"/>
                <w:spacing w:val="-4"/>
                <w:sz w:val="18"/>
                <w:szCs w:val="18"/>
              </w:rPr>
              <w:t>200-300mL/667m</w:t>
            </w:r>
            <w:r>
              <w:rPr>
                <w:rFonts w:hint="eastAsia" w:ascii="宋体" w:hAnsi="宋体" w:cs="宋体"/>
                <w:spacing w:val="-4"/>
                <w:sz w:val="18"/>
                <w:szCs w:val="18"/>
                <w:vertAlign w:val="superscript"/>
              </w:rPr>
              <w:t>2</w:t>
            </w:r>
          </w:p>
        </w:tc>
        <w:tc>
          <w:tcPr>
            <w:tcW w:w="500" w:type="pct"/>
            <w:vAlign w:val="center"/>
          </w:tcPr>
          <w:p w14:paraId="02EB6F47">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3ABEB4A0">
            <w:pPr>
              <w:adjustRightInd w:val="0"/>
              <w:snapToGrid w:val="0"/>
              <w:rPr>
                <w:rFonts w:hint="eastAsia" w:ascii="宋体" w:hAnsi="宋体" w:cs="宋体"/>
                <w:spacing w:val="-4"/>
                <w:sz w:val="18"/>
                <w:szCs w:val="18"/>
              </w:rPr>
            </w:pPr>
            <w:r>
              <w:rPr>
                <w:rFonts w:hint="eastAsia" w:ascii="宋体" w:hAnsi="宋体" w:cs="宋体"/>
                <w:spacing w:val="-4"/>
                <w:sz w:val="18"/>
                <w:szCs w:val="18"/>
              </w:rPr>
              <w:t>播后苗前土壤喷雾</w:t>
            </w:r>
          </w:p>
        </w:tc>
      </w:tr>
      <w:tr w14:paraId="7A6A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019B1C72">
            <w:pPr>
              <w:pStyle w:val="2"/>
              <w:rPr>
                <w:rFonts w:cs="宋体"/>
                <w:sz w:val="18"/>
                <w:szCs w:val="18"/>
              </w:rPr>
            </w:pPr>
          </w:p>
        </w:tc>
        <w:tc>
          <w:tcPr>
            <w:tcW w:w="1637" w:type="pct"/>
            <w:vAlign w:val="center"/>
          </w:tcPr>
          <w:p w14:paraId="401C2749">
            <w:pPr>
              <w:adjustRightInd w:val="0"/>
              <w:snapToGrid w:val="0"/>
              <w:rPr>
                <w:rFonts w:hint="eastAsia" w:ascii="宋体" w:hAnsi="宋体" w:cs="宋体"/>
                <w:spacing w:val="-4"/>
                <w:sz w:val="18"/>
                <w:szCs w:val="18"/>
              </w:rPr>
            </w:pPr>
            <w:r>
              <w:rPr>
                <w:rFonts w:hint="eastAsia" w:ascii="宋体" w:hAnsi="宋体" w:cs="宋体"/>
                <w:spacing w:val="-4"/>
                <w:sz w:val="18"/>
                <w:szCs w:val="18"/>
              </w:rPr>
              <w:t>40%异丙草·莠悬乳剂</w:t>
            </w:r>
          </w:p>
        </w:tc>
        <w:tc>
          <w:tcPr>
            <w:tcW w:w="1114" w:type="pct"/>
            <w:vAlign w:val="center"/>
          </w:tcPr>
          <w:p w14:paraId="5C11FB1C">
            <w:pPr>
              <w:adjustRightInd w:val="0"/>
              <w:snapToGrid w:val="0"/>
              <w:rPr>
                <w:rFonts w:hint="eastAsia" w:ascii="宋体" w:hAnsi="宋体" w:cs="宋体"/>
                <w:spacing w:val="-4"/>
                <w:sz w:val="18"/>
                <w:szCs w:val="18"/>
              </w:rPr>
            </w:pPr>
            <w:r>
              <w:rPr>
                <w:rFonts w:hint="eastAsia" w:ascii="宋体" w:hAnsi="宋体" w:cs="宋体"/>
                <w:spacing w:val="-4"/>
                <w:sz w:val="18"/>
                <w:szCs w:val="18"/>
              </w:rPr>
              <w:t>200-300mL/667m</w:t>
            </w:r>
            <w:r>
              <w:rPr>
                <w:rFonts w:hint="eastAsia" w:ascii="宋体" w:hAnsi="宋体" w:cs="宋体"/>
                <w:spacing w:val="-4"/>
                <w:sz w:val="18"/>
                <w:szCs w:val="18"/>
                <w:vertAlign w:val="superscript"/>
              </w:rPr>
              <w:t>2</w:t>
            </w:r>
          </w:p>
        </w:tc>
        <w:tc>
          <w:tcPr>
            <w:tcW w:w="500" w:type="pct"/>
            <w:vAlign w:val="center"/>
          </w:tcPr>
          <w:p w14:paraId="242F671B">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74683DE7">
            <w:pPr>
              <w:adjustRightInd w:val="0"/>
              <w:snapToGrid w:val="0"/>
              <w:rPr>
                <w:rFonts w:hint="eastAsia" w:ascii="宋体" w:hAnsi="宋体" w:cs="宋体"/>
                <w:spacing w:val="-4"/>
                <w:sz w:val="18"/>
                <w:szCs w:val="18"/>
              </w:rPr>
            </w:pPr>
            <w:r>
              <w:rPr>
                <w:rFonts w:hint="eastAsia" w:ascii="宋体" w:hAnsi="宋体" w:cs="宋体"/>
                <w:spacing w:val="-4"/>
                <w:sz w:val="18"/>
                <w:szCs w:val="18"/>
              </w:rPr>
              <w:t>播后苗前土壤喷雾</w:t>
            </w:r>
          </w:p>
        </w:tc>
      </w:tr>
      <w:tr w14:paraId="2A8DE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464" w:type="pct"/>
            <w:vMerge w:val="continue"/>
            <w:vAlign w:val="center"/>
          </w:tcPr>
          <w:p w14:paraId="2D72642D">
            <w:pPr>
              <w:pStyle w:val="2"/>
              <w:rPr>
                <w:rFonts w:cs="宋体"/>
                <w:sz w:val="18"/>
                <w:szCs w:val="18"/>
              </w:rPr>
            </w:pPr>
          </w:p>
        </w:tc>
        <w:tc>
          <w:tcPr>
            <w:tcW w:w="1637" w:type="pct"/>
            <w:vAlign w:val="center"/>
          </w:tcPr>
          <w:p w14:paraId="00FA79AB">
            <w:pPr>
              <w:adjustRightInd w:val="0"/>
              <w:snapToGrid w:val="0"/>
              <w:rPr>
                <w:rFonts w:hint="eastAsia" w:ascii="宋体" w:hAnsi="宋体" w:cs="宋体"/>
                <w:spacing w:val="-4"/>
                <w:sz w:val="18"/>
                <w:szCs w:val="18"/>
              </w:rPr>
            </w:pPr>
            <w:r>
              <w:rPr>
                <w:rFonts w:hint="eastAsia" w:ascii="宋体" w:hAnsi="宋体" w:cs="宋体"/>
                <w:spacing w:val="-4"/>
                <w:sz w:val="18"/>
                <w:szCs w:val="18"/>
              </w:rPr>
              <w:t>30%苯唑草酮悬浮剂</w:t>
            </w:r>
          </w:p>
        </w:tc>
        <w:tc>
          <w:tcPr>
            <w:tcW w:w="1114" w:type="pct"/>
            <w:vAlign w:val="center"/>
          </w:tcPr>
          <w:p w14:paraId="1193A4EA">
            <w:pPr>
              <w:adjustRightInd w:val="0"/>
              <w:snapToGrid w:val="0"/>
              <w:rPr>
                <w:rFonts w:hint="eastAsia" w:ascii="宋体" w:hAnsi="宋体" w:cs="宋体"/>
                <w:spacing w:val="-4"/>
                <w:sz w:val="18"/>
                <w:szCs w:val="18"/>
              </w:rPr>
            </w:pPr>
            <w:r>
              <w:rPr>
                <w:rFonts w:hint="eastAsia" w:ascii="宋体" w:hAnsi="宋体" w:cs="宋体"/>
                <w:spacing w:val="-4"/>
                <w:sz w:val="18"/>
                <w:szCs w:val="18"/>
              </w:rPr>
              <w:t>5-6mL/667m</w:t>
            </w:r>
            <w:r>
              <w:rPr>
                <w:rFonts w:hint="eastAsia" w:ascii="宋体" w:hAnsi="宋体" w:cs="宋体"/>
                <w:spacing w:val="-4"/>
                <w:sz w:val="18"/>
                <w:szCs w:val="18"/>
                <w:vertAlign w:val="superscript"/>
              </w:rPr>
              <w:t>2</w:t>
            </w:r>
          </w:p>
        </w:tc>
        <w:tc>
          <w:tcPr>
            <w:tcW w:w="500" w:type="pct"/>
            <w:vAlign w:val="center"/>
          </w:tcPr>
          <w:p w14:paraId="58166518">
            <w:pPr>
              <w:adjustRightInd w:val="0"/>
              <w:snapToGrid w:val="0"/>
              <w:rPr>
                <w:rFonts w:hint="eastAsia" w:ascii="宋体" w:hAnsi="宋体" w:cs="宋体"/>
                <w:spacing w:val="-4"/>
                <w:sz w:val="18"/>
                <w:szCs w:val="18"/>
              </w:rPr>
            </w:pPr>
            <w:r>
              <w:rPr>
                <w:rFonts w:hint="eastAsia" w:ascii="宋体" w:hAnsi="宋体" w:cs="宋体"/>
                <w:spacing w:val="-4"/>
                <w:sz w:val="18"/>
                <w:szCs w:val="18"/>
              </w:rPr>
              <w:t>喷雾</w:t>
            </w:r>
          </w:p>
        </w:tc>
        <w:tc>
          <w:tcPr>
            <w:tcW w:w="1282" w:type="pct"/>
            <w:vAlign w:val="center"/>
          </w:tcPr>
          <w:p w14:paraId="10CBFBE1">
            <w:pPr>
              <w:adjustRightInd w:val="0"/>
              <w:snapToGrid w:val="0"/>
              <w:rPr>
                <w:rFonts w:hint="eastAsia" w:ascii="宋体" w:hAnsi="宋体" w:cs="宋体"/>
                <w:spacing w:val="-4"/>
                <w:sz w:val="18"/>
                <w:szCs w:val="18"/>
              </w:rPr>
            </w:pPr>
            <w:r>
              <w:rPr>
                <w:rFonts w:hint="eastAsia" w:ascii="宋体" w:hAnsi="宋体" w:cs="宋体"/>
                <w:spacing w:val="-4"/>
                <w:sz w:val="18"/>
                <w:szCs w:val="18"/>
              </w:rPr>
              <w:t>玉米2-4叶期，杂草2-4叶期</w:t>
            </w:r>
          </w:p>
        </w:tc>
      </w:tr>
    </w:tbl>
    <w:p w14:paraId="21BF5358">
      <w:pPr>
        <w:ind w:firstLine="420" w:firstLineChars="200"/>
      </w:pPr>
    </w:p>
    <w:p w14:paraId="19FB0F66">
      <w:pPr>
        <w:ind w:firstLine="420" w:firstLineChars="200"/>
        <w:jc w:val="center"/>
        <w:rPr>
          <w:u w:val="single"/>
        </w:rPr>
      </w:pPr>
    </w:p>
    <w:p w14:paraId="283D1DE2">
      <w:pPr>
        <w:ind w:firstLine="420" w:firstLineChars="200"/>
        <w:jc w:val="center"/>
        <w:rPr>
          <w:u w:val="single"/>
        </w:rPr>
      </w:pPr>
      <w:r>
        <w:rPr>
          <w:u w:val="single"/>
        </w:rPr>
        <w:t xml:space="preserve">                          </w:t>
      </w:r>
    </w:p>
    <w:p w14:paraId="74F712FF">
      <w:pPr>
        <w:ind w:firstLine="420" w:firstLineChars="200"/>
        <w:jc w:val="center"/>
        <w:rPr>
          <w:u w:val="single"/>
        </w:rPr>
      </w:pPr>
    </w:p>
    <w:sectPr>
      <w:footerReference r:id="rId8" w:type="default"/>
      <w:headerReference r:id="rId7" w:type="even"/>
      <w:pgSz w:w="11906" w:h="16838"/>
      <w:pgMar w:top="1418" w:right="1134" w:bottom="1418" w:left="1418" w:header="1418" w:footer="113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635BB">
    <w:pPr>
      <w:pStyle w:val="7"/>
    </w:pPr>
    <w:r>
      <w:fldChar w:fldCharType="begin"/>
    </w:r>
    <w:r>
      <w:instrText xml:space="preserve">PAGE   \* MERGEFORMAT</w:instrText>
    </w:r>
    <w:r>
      <w:fldChar w:fldCharType="separate"/>
    </w:r>
    <w:r>
      <w:rPr>
        <w:lang w:val="zh-CN"/>
      </w:rPr>
      <w:t>2</w:t>
    </w:r>
    <w:r>
      <w:fldChar w:fldCharType="end"/>
    </w:r>
  </w:p>
  <w:p w14:paraId="173B47A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1C70F">
    <w:pPr>
      <w:pStyle w:val="7"/>
      <w:jc w:val="right"/>
    </w:pPr>
    <w:r>
      <w:fldChar w:fldCharType="begin"/>
    </w:r>
    <w:r>
      <w:instrText xml:space="preserve">PAGE   \* MERGEFORMAT</w:instrText>
    </w:r>
    <w:r>
      <w:fldChar w:fldCharType="separate"/>
    </w:r>
    <w:r>
      <w:rPr>
        <w:lang w:val="zh-CN"/>
      </w:rPr>
      <w:t>I</w:t>
    </w:r>
    <w:r>
      <w:fldChar w:fldCharType="end"/>
    </w:r>
  </w:p>
  <w:p w14:paraId="2AD003F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134AA">
    <w:pPr>
      <w:pStyle w:val="7"/>
      <w:jc w:val="right"/>
    </w:pPr>
    <w:r>
      <w:fldChar w:fldCharType="begin"/>
    </w:r>
    <w:r>
      <w:instrText xml:space="preserve">PAGE   \* MERGEFORMAT</w:instrText>
    </w:r>
    <w:r>
      <w:fldChar w:fldCharType="separate"/>
    </w:r>
    <w:r>
      <w:rPr>
        <w:lang w:val="zh-CN"/>
      </w:rPr>
      <w:t>1</w:t>
    </w:r>
    <w:r>
      <w:fldChar w:fldCharType="end"/>
    </w:r>
  </w:p>
  <w:p w14:paraId="788E589F">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8C5C9">
    <w:r>
      <w:rPr>
        <w:rFonts w:hint="eastAsia" w:ascii="黑体" w:eastAsia="黑体"/>
      </w:rPr>
      <w:t>DB 13/T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641E4">
    <w:pPr>
      <w:jc w:val="right"/>
      <w:rPr>
        <w:rFonts w:ascii="黑体" w:eastAsia="黑体"/>
      </w:rPr>
    </w:pPr>
    <w:r>
      <w:rPr>
        <w:rFonts w:hint="eastAsia" w:ascii="黑体" w:eastAsia="黑体"/>
      </w:rPr>
      <w:t>DB 13/T ****—2025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EDC65">
    <w:pPr>
      <w:rPr>
        <w:rFonts w:ascii="黑体" w:eastAsia="黑体"/>
      </w:rPr>
    </w:pPr>
    <w:r>
      <w:rPr>
        <w:rFonts w:hint="eastAsia" w:ascii="黑体" w:eastAsia="黑体"/>
      </w:rPr>
      <w:t>DB 13/T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6"/>
      <w:suff w:val="nothing"/>
      <w:lvlText w:val="%1　"/>
      <w:lvlJc w:val="left"/>
      <w:pPr>
        <w:tabs>
          <w:tab w:val="left" w:pos="0"/>
        </w:tabs>
        <w:ind w:left="1155" w:firstLine="0"/>
      </w:pPr>
      <w:rPr>
        <w:rFonts w:hint="eastAsia" w:ascii="黑体" w:hAnsi="黑体" w:eastAsia="黑体"/>
        <w:b w:val="0"/>
        <w:i w:val="0"/>
        <w:sz w:val="21"/>
        <w:szCs w:val="21"/>
      </w:rPr>
    </w:lvl>
    <w:lvl w:ilvl="1" w:tentative="0">
      <w:start w:val="1"/>
      <w:numFmt w:val="decimal"/>
      <w:pStyle w:val="23"/>
      <w:suff w:val="nothing"/>
      <w:lvlText w:val="%1.%2　"/>
      <w:lvlJc w:val="left"/>
      <w:pPr>
        <w:tabs>
          <w:tab w:val="left" w:pos="0"/>
        </w:tabs>
        <w:ind w:left="1575"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tabs>
          <w:tab w:val="left" w:pos="0"/>
        </w:tabs>
        <w:ind w:left="0" w:firstLine="0"/>
      </w:pPr>
      <w:rPr>
        <w:rFonts w:hint="eastAsia" w:ascii="黑体" w:hAnsi="黑体" w:eastAsia="黑体"/>
        <w:b w:val="0"/>
        <w:i w:val="0"/>
        <w:sz w:val="21"/>
      </w:rPr>
    </w:lvl>
    <w:lvl w:ilvl="3" w:tentative="0">
      <w:start w:val="1"/>
      <w:numFmt w:val="decimal"/>
      <w:suff w:val="nothing"/>
      <w:lvlText w:val="%1.%2.%3.%4　"/>
      <w:lvlJc w:val="left"/>
      <w:pPr>
        <w:tabs>
          <w:tab w:val="left" w:pos="0"/>
        </w:tabs>
        <w:ind w:left="0" w:firstLine="0"/>
      </w:pPr>
      <w:rPr>
        <w:rFonts w:hint="eastAsia" w:ascii="黑体" w:hAnsi="黑体" w:eastAsia="黑体"/>
        <w:b w:val="0"/>
        <w:i w:val="0"/>
        <w:sz w:val="21"/>
      </w:rPr>
    </w:lvl>
    <w:lvl w:ilvl="4" w:tentative="0">
      <w:start w:val="1"/>
      <w:numFmt w:val="decimal"/>
      <w:suff w:val="nothing"/>
      <w:lvlText w:val="%1.%2.%3.%4.%5　"/>
      <w:lvlJc w:val="left"/>
      <w:pPr>
        <w:tabs>
          <w:tab w:val="left" w:pos="0"/>
        </w:tabs>
        <w:ind w:left="0" w:firstLine="0"/>
      </w:pPr>
      <w:rPr>
        <w:rFonts w:hint="eastAsia" w:ascii="黑体" w:hAnsi="黑体" w:eastAsia="黑体"/>
        <w:b w:val="0"/>
        <w:i w:val="0"/>
        <w:sz w:val="21"/>
      </w:rPr>
    </w:lvl>
    <w:lvl w:ilvl="5" w:tentative="0">
      <w:start w:val="1"/>
      <w:numFmt w:val="decimal"/>
      <w:suff w:val="nothing"/>
      <w:lvlText w:val="%1.%2.%3.%4.%5.%6　"/>
      <w:lvlJc w:val="left"/>
      <w:pPr>
        <w:tabs>
          <w:tab w:val="left" w:pos="0"/>
        </w:tabs>
        <w:ind w:left="0" w:firstLine="0"/>
      </w:pPr>
      <w:rPr>
        <w:rFonts w:hint="eastAsia" w:ascii="黑体" w:hAnsi="黑体" w:eastAsia="黑体"/>
        <w:b w:val="0"/>
        <w:i w:val="0"/>
        <w:sz w:val="21"/>
      </w:rPr>
    </w:lvl>
    <w:lvl w:ilvl="6" w:tentative="0">
      <w:start w:val="1"/>
      <w:numFmt w:val="decimal"/>
      <w:suff w:val="nothing"/>
      <w:lvlText w:val="%1%2.%3.%4.%5.%6.%7　"/>
      <w:lvlJc w:val="left"/>
      <w:pPr>
        <w:tabs>
          <w:tab w:val="left" w:pos="0"/>
        </w:tabs>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mMzFiMjUxMDc1NTMxNzJjMDAxMTllNDBjMTdhNDEifQ=="/>
  </w:docVars>
  <w:rsids>
    <w:rsidRoot w:val="00AC0A85"/>
    <w:rsid w:val="000029F6"/>
    <w:rsid w:val="000173BF"/>
    <w:rsid w:val="000179BB"/>
    <w:rsid w:val="00017C58"/>
    <w:rsid w:val="00033148"/>
    <w:rsid w:val="000335C6"/>
    <w:rsid w:val="00033937"/>
    <w:rsid w:val="00035B4C"/>
    <w:rsid w:val="0004111B"/>
    <w:rsid w:val="00041386"/>
    <w:rsid w:val="0004241A"/>
    <w:rsid w:val="00055681"/>
    <w:rsid w:val="00056228"/>
    <w:rsid w:val="00062321"/>
    <w:rsid w:val="00062E52"/>
    <w:rsid w:val="0006604D"/>
    <w:rsid w:val="00066612"/>
    <w:rsid w:val="000741BC"/>
    <w:rsid w:val="00074291"/>
    <w:rsid w:val="0008161E"/>
    <w:rsid w:val="00083BB6"/>
    <w:rsid w:val="00090DB1"/>
    <w:rsid w:val="0009334C"/>
    <w:rsid w:val="00095B54"/>
    <w:rsid w:val="000A0995"/>
    <w:rsid w:val="000A2016"/>
    <w:rsid w:val="000A5373"/>
    <w:rsid w:val="000B1398"/>
    <w:rsid w:val="000B21F5"/>
    <w:rsid w:val="000B7506"/>
    <w:rsid w:val="000C4983"/>
    <w:rsid w:val="000D5DF2"/>
    <w:rsid w:val="000D65F8"/>
    <w:rsid w:val="000E2B60"/>
    <w:rsid w:val="000E40E4"/>
    <w:rsid w:val="000F38FB"/>
    <w:rsid w:val="000F7073"/>
    <w:rsid w:val="001007DD"/>
    <w:rsid w:val="001038E1"/>
    <w:rsid w:val="00105D73"/>
    <w:rsid w:val="00111B50"/>
    <w:rsid w:val="00121059"/>
    <w:rsid w:val="00121A32"/>
    <w:rsid w:val="0014276B"/>
    <w:rsid w:val="00143CC2"/>
    <w:rsid w:val="00146B38"/>
    <w:rsid w:val="00167B9C"/>
    <w:rsid w:val="00174570"/>
    <w:rsid w:val="001747AD"/>
    <w:rsid w:val="00192088"/>
    <w:rsid w:val="001A3967"/>
    <w:rsid w:val="001A5B4A"/>
    <w:rsid w:val="001B3B21"/>
    <w:rsid w:val="001B4F0D"/>
    <w:rsid w:val="001B577B"/>
    <w:rsid w:val="001C1B0B"/>
    <w:rsid w:val="001C3E47"/>
    <w:rsid w:val="001C49C0"/>
    <w:rsid w:val="001D150B"/>
    <w:rsid w:val="001E535E"/>
    <w:rsid w:val="001F4FD6"/>
    <w:rsid w:val="001F746D"/>
    <w:rsid w:val="00202779"/>
    <w:rsid w:val="00206E9E"/>
    <w:rsid w:val="002079C6"/>
    <w:rsid w:val="0021374D"/>
    <w:rsid w:val="0021458A"/>
    <w:rsid w:val="00220293"/>
    <w:rsid w:val="00223D36"/>
    <w:rsid w:val="00232960"/>
    <w:rsid w:val="002336F4"/>
    <w:rsid w:val="002343E9"/>
    <w:rsid w:val="00234E46"/>
    <w:rsid w:val="00237564"/>
    <w:rsid w:val="00237D74"/>
    <w:rsid w:val="00245998"/>
    <w:rsid w:val="0025341D"/>
    <w:rsid w:val="00253706"/>
    <w:rsid w:val="00262F8D"/>
    <w:rsid w:val="002646D4"/>
    <w:rsid w:val="002659EF"/>
    <w:rsid w:val="00273E35"/>
    <w:rsid w:val="0027474F"/>
    <w:rsid w:val="00283D64"/>
    <w:rsid w:val="0029791C"/>
    <w:rsid w:val="002A2648"/>
    <w:rsid w:val="002A5099"/>
    <w:rsid w:val="002B0EA1"/>
    <w:rsid w:val="002B45AC"/>
    <w:rsid w:val="002B4CFE"/>
    <w:rsid w:val="002C1F0B"/>
    <w:rsid w:val="002C2F45"/>
    <w:rsid w:val="002C5D6F"/>
    <w:rsid w:val="002C6A81"/>
    <w:rsid w:val="002C7DF0"/>
    <w:rsid w:val="002E4E31"/>
    <w:rsid w:val="002E5FAA"/>
    <w:rsid w:val="002F3145"/>
    <w:rsid w:val="00300B9A"/>
    <w:rsid w:val="003011DF"/>
    <w:rsid w:val="00301DDA"/>
    <w:rsid w:val="00303C92"/>
    <w:rsid w:val="00305983"/>
    <w:rsid w:val="003066DA"/>
    <w:rsid w:val="00306776"/>
    <w:rsid w:val="003079FA"/>
    <w:rsid w:val="003100DC"/>
    <w:rsid w:val="003116C2"/>
    <w:rsid w:val="00312394"/>
    <w:rsid w:val="003151A8"/>
    <w:rsid w:val="003152CC"/>
    <w:rsid w:val="00315474"/>
    <w:rsid w:val="00316962"/>
    <w:rsid w:val="0032131B"/>
    <w:rsid w:val="0032547B"/>
    <w:rsid w:val="003321AA"/>
    <w:rsid w:val="00333239"/>
    <w:rsid w:val="003371BE"/>
    <w:rsid w:val="0034110F"/>
    <w:rsid w:val="003414F8"/>
    <w:rsid w:val="003528F8"/>
    <w:rsid w:val="003556D3"/>
    <w:rsid w:val="00355983"/>
    <w:rsid w:val="00357ACE"/>
    <w:rsid w:val="0036453B"/>
    <w:rsid w:val="0037124B"/>
    <w:rsid w:val="0037660C"/>
    <w:rsid w:val="0038280F"/>
    <w:rsid w:val="0038303B"/>
    <w:rsid w:val="00387046"/>
    <w:rsid w:val="0039079E"/>
    <w:rsid w:val="00391F5F"/>
    <w:rsid w:val="0039488A"/>
    <w:rsid w:val="00395AE8"/>
    <w:rsid w:val="00395BCA"/>
    <w:rsid w:val="003966B7"/>
    <w:rsid w:val="003A00D3"/>
    <w:rsid w:val="003A5C1B"/>
    <w:rsid w:val="003B06D3"/>
    <w:rsid w:val="003B36AB"/>
    <w:rsid w:val="003B56CA"/>
    <w:rsid w:val="003B7FCE"/>
    <w:rsid w:val="003C12D6"/>
    <w:rsid w:val="003C27F2"/>
    <w:rsid w:val="003C52C0"/>
    <w:rsid w:val="003C57CA"/>
    <w:rsid w:val="003C6327"/>
    <w:rsid w:val="003D391A"/>
    <w:rsid w:val="003D7E44"/>
    <w:rsid w:val="003E2849"/>
    <w:rsid w:val="003E4EE0"/>
    <w:rsid w:val="003F06A0"/>
    <w:rsid w:val="003F1107"/>
    <w:rsid w:val="003F23DE"/>
    <w:rsid w:val="003F4967"/>
    <w:rsid w:val="00400EC1"/>
    <w:rsid w:val="004036A3"/>
    <w:rsid w:val="00407271"/>
    <w:rsid w:val="00407BC8"/>
    <w:rsid w:val="004105DA"/>
    <w:rsid w:val="004149BD"/>
    <w:rsid w:val="00416FF4"/>
    <w:rsid w:val="004208B4"/>
    <w:rsid w:val="00425BCE"/>
    <w:rsid w:val="0042666E"/>
    <w:rsid w:val="00427A97"/>
    <w:rsid w:val="00431F87"/>
    <w:rsid w:val="0043298C"/>
    <w:rsid w:val="004441E3"/>
    <w:rsid w:val="00445AC7"/>
    <w:rsid w:val="004463F8"/>
    <w:rsid w:val="00473328"/>
    <w:rsid w:val="00475F25"/>
    <w:rsid w:val="0047698D"/>
    <w:rsid w:val="00490B3C"/>
    <w:rsid w:val="00492DA2"/>
    <w:rsid w:val="004973FC"/>
    <w:rsid w:val="00497FCA"/>
    <w:rsid w:val="004A208C"/>
    <w:rsid w:val="004A3EC8"/>
    <w:rsid w:val="004A5BAD"/>
    <w:rsid w:val="004B0CA6"/>
    <w:rsid w:val="004B1548"/>
    <w:rsid w:val="004B41F7"/>
    <w:rsid w:val="004B5100"/>
    <w:rsid w:val="004D089E"/>
    <w:rsid w:val="004D0F7A"/>
    <w:rsid w:val="004E1E91"/>
    <w:rsid w:val="004E6A0F"/>
    <w:rsid w:val="004F0B6B"/>
    <w:rsid w:val="004F5181"/>
    <w:rsid w:val="004F5B1D"/>
    <w:rsid w:val="004F5E6E"/>
    <w:rsid w:val="004F64BD"/>
    <w:rsid w:val="00504082"/>
    <w:rsid w:val="00511D7D"/>
    <w:rsid w:val="005273E7"/>
    <w:rsid w:val="00527E2E"/>
    <w:rsid w:val="005306CE"/>
    <w:rsid w:val="00537906"/>
    <w:rsid w:val="0054737E"/>
    <w:rsid w:val="00552F47"/>
    <w:rsid w:val="005636FE"/>
    <w:rsid w:val="00564EE8"/>
    <w:rsid w:val="0057297B"/>
    <w:rsid w:val="0057660D"/>
    <w:rsid w:val="005836D2"/>
    <w:rsid w:val="005877B7"/>
    <w:rsid w:val="005877E2"/>
    <w:rsid w:val="0059071A"/>
    <w:rsid w:val="00594AB5"/>
    <w:rsid w:val="005A1B0E"/>
    <w:rsid w:val="005A3D04"/>
    <w:rsid w:val="005A4195"/>
    <w:rsid w:val="005A6820"/>
    <w:rsid w:val="005B16FF"/>
    <w:rsid w:val="005B486D"/>
    <w:rsid w:val="005C19C6"/>
    <w:rsid w:val="005C37BF"/>
    <w:rsid w:val="005C4921"/>
    <w:rsid w:val="005C60F3"/>
    <w:rsid w:val="005C795B"/>
    <w:rsid w:val="005D12D4"/>
    <w:rsid w:val="005D59D7"/>
    <w:rsid w:val="005E1976"/>
    <w:rsid w:val="005F0559"/>
    <w:rsid w:val="005F2E56"/>
    <w:rsid w:val="005F62D6"/>
    <w:rsid w:val="00601579"/>
    <w:rsid w:val="00607EA4"/>
    <w:rsid w:val="0061336F"/>
    <w:rsid w:val="00614F40"/>
    <w:rsid w:val="00615992"/>
    <w:rsid w:val="0062171D"/>
    <w:rsid w:val="006359DB"/>
    <w:rsid w:val="00635F85"/>
    <w:rsid w:val="00637985"/>
    <w:rsid w:val="006405E3"/>
    <w:rsid w:val="00647809"/>
    <w:rsid w:val="006503AB"/>
    <w:rsid w:val="00652220"/>
    <w:rsid w:val="006526EA"/>
    <w:rsid w:val="00660DDD"/>
    <w:rsid w:val="006612BA"/>
    <w:rsid w:val="006615C0"/>
    <w:rsid w:val="00663C77"/>
    <w:rsid w:val="006657BB"/>
    <w:rsid w:val="00667446"/>
    <w:rsid w:val="00676E31"/>
    <w:rsid w:val="00682EA8"/>
    <w:rsid w:val="006900F0"/>
    <w:rsid w:val="0069410A"/>
    <w:rsid w:val="006B030A"/>
    <w:rsid w:val="006B1704"/>
    <w:rsid w:val="006B2DB2"/>
    <w:rsid w:val="006B6A08"/>
    <w:rsid w:val="006C52CA"/>
    <w:rsid w:val="006C54FA"/>
    <w:rsid w:val="006D697E"/>
    <w:rsid w:val="006E356C"/>
    <w:rsid w:val="006E510B"/>
    <w:rsid w:val="006E7366"/>
    <w:rsid w:val="006F4D53"/>
    <w:rsid w:val="006F7EAB"/>
    <w:rsid w:val="006F7F67"/>
    <w:rsid w:val="0070170B"/>
    <w:rsid w:val="00705C43"/>
    <w:rsid w:val="00713003"/>
    <w:rsid w:val="00715EF9"/>
    <w:rsid w:val="00716DF8"/>
    <w:rsid w:val="00721BBD"/>
    <w:rsid w:val="0072284A"/>
    <w:rsid w:val="00723E28"/>
    <w:rsid w:val="00727EA8"/>
    <w:rsid w:val="007305D2"/>
    <w:rsid w:val="00731758"/>
    <w:rsid w:val="00732440"/>
    <w:rsid w:val="007328F0"/>
    <w:rsid w:val="007343B2"/>
    <w:rsid w:val="00760954"/>
    <w:rsid w:val="00760CBE"/>
    <w:rsid w:val="007624A5"/>
    <w:rsid w:val="00766B38"/>
    <w:rsid w:val="00772537"/>
    <w:rsid w:val="00774CCC"/>
    <w:rsid w:val="00775C1C"/>
    <w:rsid w:val="00780210"/>
    <w:rsid w:val="00782BF3"/>
    <w:rsid w:val="00786150"/>
    <w:rsid w:val="0079116F"/>
    <w:rsid w:val="00791FEA"/>
    <w:rsid w:val="007A0119"/>
    <w:rsid w:val="007B5FAC"/>
    <w:rsid w:val="007C24CB"/>
    <w:rsid w:val="007C4CCB"/>
    <w:rsid w:val="007E0E87"/>
    <w:rsid w:val="007E16C6"/>
    <w:rsid w:val="007E4945"/>
    <w:rsid w:val="007E5AA2"/>
    <w:rsid w:val="007E7DBB"/>
    <w:rsid w:val="007F0434"/>
    <w:rsid w:val="007F0674"/>
    <w:rsid w:val="007F1571"/>
    <w:rsid w:val="007F241F"/>
    <w:rsid w:val="007F294F"/>
    <w:rsid w:val="007F5D31"/>
    <w:rsid w:val="007F77E9"/>
    <w:rsid w:val="00803A84"/>
    <w:rsid w:val="00806FBE"/>
    <w:rsid w:val="00807797"/>
    <w:rsid w:val="008135A3"/>
    <w:rsid w:val="0081418F"/>
    <w:rsid w:val="00815AA6"/>
    <w:rsid w:val="00815BA0"/>
    <w:rsid w:val="008212E1"/>
    <w:rsid w:val="00827BED"/>
    <w:rsid w:val="008307DD"/>
    <w:rsid w:val="0083147F"/>
    <w:rsid w:val="00834B82"/>
    <w:rsid w:val="0083531F"/>
    <w:rsid w:val="008355FF"/>
    <w:rsid w:val="00845E6B"/>
    <w:rsid w:val="0084674B"/>
    <w:rsid w:val="00851BD0"/>
    <w:rsid w:val="00853659"/>
    <w:rsid w:val="00855BE5"/>
    <w:rsid w:val="00861E98"/>
    <w:rsid w:val="00863CD1"/>
    <w:rsid w:val="00864344"/>
    <w:rsid w:val="00865D1C"/>
    <w:rsid w:val="00866164"/>
    <w:rsid w:val="008724AD"/>
    <w:rsid w:val="00877B44"/>
    <w:rsid w:val="00877E6C"/>
    <w:rsid w:val="0088515B"/>
    <w:rsid w:val="00887BD4"/>
    <w:rsid w:val="008915EE"/>
    <w:rsid w:val="008A3D64"/>
    <w:rsid w:val="008B105C"/>
    <w:rsid w:val="008B13FD"/>
    <w:rsid w:val="008B22DF"/>
    <w:rsid w:val="008B6214"/>
    <w:rsid w:val="008C050D"/>
    <w:rsid w:val="008C0D72"/>
    <w:rsid w:val="008C5754"/>
    <w:rsid w:val="008D2638"/>
    <w:rsid w:val="008D4963"/>
    <w:rsid w:val="008D6E53"/>
    <w:rsid w:val="008E14DD"/>
    <w:rsid w:val="008E1FB7"/>
    <w:rsid w:val="008E3B4E"/>
    <w:rsid w:val="008E6931"/>
    <w:rsid w:val="008F7098"/>
    <w:rsid w:val="008F7B82"/>
    <w:rsid w:val="009008C4"/>
    <w:rsid w:val="00902BB4"/>
    <w:rsid w:val="009052EB"/>
    <w:rsid w:val="00910325"/>
    <w:rsid w:val="00910EC9"/>
    <w:rsid w:val="0091151E"/>
    <w:rsid w:val="00914613"/>
    <w:rsid w:val="0091529B"/>
    <w:rsid w:val="0093131F"/>
    <w:rsid w:val="009322C9"/>
    <w:rsid w:val="009330E4"/>
    <w:rsid w:val="00934994"/>
    <w:rsid w:val="009362D6"/>
    <w:rsid w:val="0093700B"/>
    <w:rsid w:val="009400FE"/>
    <w:rsid w:val="0094030F"/>
    <w:rsid w:val="00951EC1"/>
    <w:rsid w:val="00955696"/>
    <w:rsid w:val="00961E28"/>
    <w:rsid w:val="00962030"/>
    <w:rsid w:val="00975D42"/>
    <w:rsid w:val="009764C9"/>
    <w:rsid w:val="00980CC6"/>
    <w:rsid w:val="00982B40"/>
    <w:rsid w:val="009830F6"/>
    <w:rsid w:val="00985591"/>
    <w:rsid w:val="0098643D"/>
    <w:rsid w:val="00986D90"/>
    <w:rsid w:val="00986FE9"/>
    <w:rsid w:val="00992787"/>
    <w:rsid w:val="00996B41"/>
    <w:rsid w:val="009B0089"/>
    <w:rsid w:val="009B04D5"/>
    <w:rsid w:val="009B5478"/>
    <w:rsid w:val="009B6FFA"/>
    <w:rsid w:val="009C37C1"/>
    <w:rsid w:val="009C57B5"/>
    <w:rsid w:val="009C5EA8"/>
    <w:rsid w:val="009D0AF9"/>
    <w:rsid w:val="009D62AF"/>
    <w:rsid w:val="009E2649"/>
    <w:rsid w:val="009E3A55"/>
    <w:rsid w:val="009E5D1F"/>
    <w:rsid w:val="009E6794"/>
    <w:rsid w:val="009F2106"/>
    <w:rsid w:val="009F453B"/>
    <w:rsid w:val="00A00484"/>
    <w:rsid w:val="00A206DD"/>
    <w:rsid w:val="00A23DB8"/>
    <w:rsid w:val="00A31577"/>
    <w:rsid w:val="00A338FC"/>
    <w:rsid w:val="00A33B25"/>
    <w:rsid w:val="00A40F41"/>
    <w:rsid w:val="00A43639"/>
    <w:rsid w:val="00A444C6"/>
    <w:rsid w:val="00A536B3"/>
    <w:rsid w:val="00A55909"/>
    <w:rsid w:val="00A60530"/>
    <w:rsid w:val="00AA1B02"/>
    <w:rsid w:val="00AB0778"/>
    <w:rsid w:val="00AB15B9"/>
    <w:rsid w:val="00AB510B"/>
    <w:rsid w:val="00AC0A85"/>
    <w:rsid w:val="00AC6BC3"/>
    <w:rsid w:val="00AD6C25"/>
    <w:rsid w:val="00AE1234"/>
    <w:rsid w:val="00AF0F76"/>
    <w:rsid w:val="00AF286F"/>
    <w:rsid w:val="00AF4D0F"/>
    <w:rsid w:val="00B04BEA"/>
    <w:rsid w:val="00B11DC7"/>
    <w:rsid w:val="00B22CBF"/>
    <w:rsid w:val="00B23FF4"/>
    <w:rsid w:val="00B25183"/>
    <w:rsid w:val="00B272ED"/>
    <w:rsid w:val="00B34231"/>
    <w:rsid w:val="00B45688"/>
    <w:rsid w:val="00B46478"/>
    <w:rsid w:val="00B518FE"/>
    <w:rsid w:val="00B55968"/>
    <w:rsid w:val="00B60A3E"/>
    <w:rsid w:val="00B63E9C"/>
    <w:rsid w:val="00B72CF7"/>
    <w:rsid w:val="00B810D9"/>
    <w:rsid w:val="00B82404"/>
    <w:rsid w:val="00B84768"/>
    <w:rsid w:val="00B87FA9"/>
    <w:rsid w:val="00B914A8"/>
    <w:rsid w:val="00B94D5D"/>
    <w:rsid w:val="00B97A08"/>
    <w:rsid w:val="00BA5FCF"/>
    <w:rsid w:val="00BB18FF"/>
    <w:rsid w:val="00BB7958"/>
    <w:rsid w:val="00BC3154"/>
    <w:rsid w:val="00BC5AE6"/>
    <w:rsid w:val="00BD5841"/>
    <w:rsid w:val="00BD633A"/>
    <w:rsid w:val="00BE0B77"/>
    <w:rsid w:val="00BE6EA9"/>
    <w:rsid w:val="00BE7A6C"/>
    <w:rsid w:val="00BE7FD5"/>
    <w:rsid w:val="00BF40F4"/>
    <w:rsid w:val="00BF6C9F"/>
    <w:rsid w:val="00BF770A"/>
    <w:rsid w:val="00C03F57"/>
    <w:rsid w:val="00C163E0"/>
    <w:rsid w:val="00C20F26"/>
    <w:rsid w:val="00C231C8"/>
    <w:rsid w:val="00C236B3"/>
    <w:rsid w:val="00C243AF"/>
    <w:rsid w:val="00C24FA0"/>
    <w:rsid w:val="00C26A43"/>
    <w:rsid w:val="00C31104"/>
    <w:rsid w:val="00C32B86"/>
    <w:rsid w:val="00C33153"/>
    <w:rsid w:val="00C422DE"/>
    <w:rsid w:val="00C4297D"/>
    <w:rsid w:val="00C467F9"/>
    <w:rsid w:val="00C47182"/>
    <w:rsid w:val="00C50367"/>
    <w:rsid w:val="00C5701E"/>
    <w:rsid w:val="00C604F4"/>
    <w:rsid w:val="00C60F3A"/>
    <w:rsid w:val="00C66774"/>
    <w:rsid w:val="00C71AFE"/>
    <w:rsid w:val="00C95514"/>
    <w:rsid w:val="00CA3585"/>
    <w:rsid w:val="00CA64F7"/>
    <w:rsid w:val="00CA78F6"/>
    <w:rsid w:val="00CB4407"/>
    <w:rsid w:val="00CC156C"/>
    <w:rsid w:val="00CC66EA"/>
    <w:rsid w:val="00CD3312"/>
    <w:rsid w:val="00CE2FD1"/>
    <w:rsid w:val="00CE35D9"/>
    <w:rsid w:val="00CE651A"/>
    <w:rsid w:val="00CF3AE0"/>
    <w:rsid w:val="00CF5BDE"/>
    <w:rsid w:val="00CF712C"/>
    <w:rsid w:val="00D00919"/>
    <w:rsid w:val="00D16C69"/>
    <w:rsid w:val="00D249C8"/>
    <w:rsid w:val="00D35C83"/>
    <w:rsid w:val="00D37CFC"/>
    <w:rsid w:val="00D415B1"/>
    <w:rsid w:val="00D43AC7"/>
    <w:rsid w:val="00D4666E"/>
    <w:rsid w:val="00D51E1C"/>
    <w:rsid w:val="00D52861"/>
    <w:rsid w:val="00D56BF3"/>
    <w:rsid w:val="00D63382"/>
    <w:rsid w:val="00D73D19"/>
    <w:rsid w:val="00D85B24"/>
    <w:rsid w:val="00D861E5"/>
    <w:rsid w:val="00D874E2"/>
    <w:rsid w:val="00DA1C7E"/>
    <w:rsid w:val="00DA57AF"/>
    <w:rsid w:val="00DA72F4"/>
    <w:rsid w:val="00DC640C"/>
    <w:rsid w:val="00DD65CA"/>
    <w:rsid w:val="00DE1894"/>
    <w:rsid w:val="00DE5F01"/>
    <w:rsid w:val="00E01245"/>
    <w:rsid w:val="00E01D38"/>
    <w:rsid w:val="00E05A41"/>
    <w:rsid w:val="00E15442"/>
    <w:rsid w:val="00E1719B"/>
    <w:rsid w:val="00E21F61"/>
    <w:rsid w:val="00E27F9F"/>
    <w:rsid w:val="00E3209B"/>
    <w:rsid w:val="00E37447"/>
    <w:rsid w:val="00E4073A"/>
    <w:rsid w:val="00E4181E"/>
    <w:rsid w:val="00E468BD"/>
    <w:rsid w:val="00E52CDE"/>
    <w:rsid w:val="00E55CD4"/>
    <w:rsid w:val="00E608F2"/>
    <w:rsid w:val="00E6221C"/>
    <w:rsid w:val="00E65B47"/>
    <w:rsid w:val="00E70B8C"/>
    <w:rsid w:val="00E710FC"/>
    <w:rsid w:val="00EA0448"/>
    <w:rsid w:val="00EB5BAB"/>
    <w:rsid w:val="00EB798C"/>
    <w:rsid w:val="00ED3B45"/>
    <w:rsid w:val="00ED49E4"/>
    <w:rsid w:val="00EE0461"/>
    <w:rsid w:val="00EE6971"/>
    <w:rsid w:val="00EE6A58"/>
    <w:rsid w:val="00EF100C"/>
    <w:rsid w:val="00EF4EF7"/>
    <w:rsid w:val="00F02A9A"/>
    <w:rsid w:val="00F06EA9"/>
    <w:rsid w:val="00F15D41"/>
    <w:rsid w:val="00F1743E"/>
    <w:rsid w:val="00F20CB2"/>
    <w:rsid w:val="00F21690"/>
    <w:rsid w:val="00F25ABA"/>
    <w:rsid w:val="00F31612"/>
    <w:rsid w:val="00F33CE9"/>
    <w:rsid w:val="00F468B5"/>
    <w:rsid w:val="00F500D8"/>
    <w:rsid w:val="00F60278"/>
    <w:rsid w:val="00F658C3"/>
    <w:rsid w:val="00F65E10"/>
    <w:rsid w:val="00F66887"/>
    <w:rsid w:val="00F67770"/>
    <w:rsid w:val="00F75196"/>
    <w:rsid w:val="00F7591D"/>
    <w:rsid w:val="00F775CE"/>
    <w:rsid w:val="00F779DA"/>
    <w:rsid w:val="00F80218"/>
    <w:rsid w:val="00F80836"/>
    <w:rsid w:val="00F8132D"/>
    <w:rsid w:val="00F95C04"/>
    <w:rsid w:val="00F973A3"/>
    <w:rsid w:val="00FA25F6"/>
    <w:rsid w:val="00FA2D63"/>
    <w:rsid w:val="00FA450E"/>
    <w:rsid w:val="00FA605B"/>
    <w:rsid w:val="00FA6FA4"/>
    <w:rsid w:val="00FB1CE7"/>
    <w:rsid w:val="00FC54C4"/>
    <w:rsid w:val="00FD3AC1"/>
    <w:rsid w:val="00FD5183"/>
    <w:rsid w:val="00FD729D"/>
    <w:rsid w:val="00FE23B1"/>
    <w:rsid w:val="00FE405E"/>
    <w:rsid w:val="00FE6933"/>
    <w:rsid w:val="00FE7AB9"/>
    <w:rsid w:val="00FF018A"/>
    <w:rsid w:val="00FF79EB"/>
    <w:rsid w:val="041A1F5F"/>
    <w:rsid w:val="05A26E60"/>
    <w:rsid w:val="064F13C9"/>
    <w:rsid w:val="06DF78D4"/>
    <w:rsid w:val="07B405F9"/>
    <w:rsid w:val="09B072EC"/>
    <w:rsid w:val="0B3166EB"/>
    <w:rsid w:val="0B59146F"/>
    <w:rsid w:val="0C992E66"/>
    <w:rsid w:val="0D1905B1"/>
    <w:rsid w:val="0E2F27C9"/>
    <w:rsid w:val="0F7C79D5"/>
    <w:rsid w:val="0F990125"/>
    <w:rsid w:val="0F9D4EBB"/>
    <w:rsid w:val="101C381A"/>
    <w:rsid w:val="11BD7E0D"/>
    <w:rsid w:val="124C4FF0"/>
    <w:rsid w:val="126B0E01"/>
    <w:rsid w:val="1345032A"/>
    <w:rsid w:val="14100CF8"/>
    <w:rsid w:val="14490B4A"/>
    <w:rsid w:val="164719BE"/>
    <w:rsid w:val="1A8E6A28"/>
    <w:rsid w:val="1B985700"/>
    <w:rsid w:val="1BBA124D"/>
    <w:rsid w:val="1CE5419B"/>
    <w:rsid w:val="1E205195"/>
    <w:rsid w:val="1E6C6F78"/>
    <w:rsid w:val="212026FE"/>
    <w:rsid w:val="218912A4"/>
    <w:rsid w:val="21E64000"/>
    <w:rsid w:val="21FE57EE"/>
    <w:rsid w:val="23026502"/>
    <w:rsid w:val="24D621E7"/>
    <w:rsid w:val="255322E0"/>
    <w:rsid w:val="257F7D90"/>
    <w:rsid w:val="25A02F33"/>
    <w:rsid w:val="260D7A27"/>
    <w:rsid w:val="265D545A"/>
    <w:rsid w:val="28E62B38"/>
    <w:rsid w:val="29355724"/>
    <w:rsid w:val="2DF8162E"/>
    <w:rsid w:val="2E4C5B9E"/>
    <w:rsid w:val="2F6D3FB3"/>
    <w:rsid w:val="33277AB3"/>
    <w:rsid w:val="3372500A"/>
    <w:rsid w:val="33CC0058"/>
    <w:rsid w:val="36B910BF"/>
    <w:rsid w:val="37A3589F"/>
    <w:rsid w:val="38D94467"/>
    <w:rsid w:val="3B091033"/>
    <w:rsid w:val="3B790F50"/>
    <w:rsid w:val="3C1E0B0E"/>
    <w:rsid w:val="3DA05553"/>
    <w:rsid w:val="3DBD7C67"/>
    <w:rsid w:val="3DF67385"/>
    <w:rsid w:val="3F3E64C1"/>
    <w:rsid w:val="40311450"/>
    <w:rsid w:val="41AD634C"/>
    <w:rsid w:val="420817C0"/>
    <w:rsid w:val="438D657A"/>
    <w:rsid w:val="43CE6C01"/>
    <w:rsid w:val="43CF6B92"/>
    <w:rsid w:val="4473160B"/>
    <w:rsid w:val="44AB6F77"/>
    <w:rsid w:val="44BF2763"/>
    <w:rsid w:val="47225CAD"/>
    <w:rsid w:val="47B221A2"/>
    <w:rsid w:val="4812704D"/>
    <w:rsid w:val="49787384"/>
    <w:rsid w:val="49FB248F"/>
    <w:rsid w:val="49FD46A3"/>
    <w:rsid w:val="4A8A2F6E"/>
    <w:rsid w:val="4AAA39FE"/>
    <w:rsid w:val="4C002082"/>
    <w:rsid w:val="4C1E4213"/>
    <w:rsid w:val="4C4A0D41"/>
    <w:rsid w:val="4C854292"/>
    <w:rsid w:val="4CEA2347"/>
    <w:rsid w:val="4D8B4142"/>
    <w:rsid w:val="4DDB4845"/>
    <w:rsid w:val="4EC32E48"/>
    <w:rsid w:val="500C5797"/>
    <w:rsid w:val="503404A9"/>
    <w:rsid w:val="518D195B"/>
    <w:rsid w:val="5229523D"/>
    <w:rsid w:val="53F42539"/>
    <w:rsid w:val="54EE38F6"/>
    <w:rsid w:val="55365BD9"/>
    <w:rsid w:val="56243925"/>
    <w:rsid w:val="573A621A"/>
    <w:rsid w:val="575010FC"/>
    <w:rsid w:val="57BE408D"/>
    <w:rsid w:val="580F6E9E"/>
    <w:rsid w:val="5A62569F"/>
    <w:rsid w:val="5BA9638D"/>
    <w:rsid w:val="5C713009"/>
    <w:rsid w:val="5C9113CF"/>
    <w:rsid w:val="5CAE2BFA"/>
    <w:rsid w:val="5DEF07F5"/>
    <w:rsid w:val="5DF7FB2F"/>
    <w:rsid w:val="5E417D53"/>
    <w:rsid w:val="5EE5143A"/>
    <w:rsid w:val="5EF11C7B"/>
    <w:rsid w:val="5F7D704B"/>
    <w:rsid w:val="60140FB0"/>
    <w:rsid w:val="61880DF4"/>
    <w:rsid w:val="62FE1EC1"/>
    <w:rsid w:val="645246D7"/>
    <w:rsid w:val="654F3237"/>
    <w:rsid w:val="66B22C11"/>
    <w:rsid w:val="66BA6B53"/>
    <w:rsid w:val="682C09B9"/>
    <w:rsid w:val="68386DA2"/>
    <w:rsid w:val="6B053D72"/>
    <w:rsid w:val="6C033B77"/>
    <w:rsid w:val="6C65023A"/>
    <w:rsid w:val="6D34343E"/>
    <w:rsid w:val="6D5C551F"/>
    <w:rsid w:val="6F0C7000"/>
    <w:rsid w:val="6FC84312"/>
    <w:rsid w:val="703D3F4C"/>
    <w:rsid w:val="7047792D"/>
    <w:rsid w:val="707558C1"/>
    <w:rsid w:val="708D495F"/>
    <w:rsid w:val="7090315B"/>
    <w:rsid w:val="70CB3F68"/>
    <w:rsid w:val="718726C9"/>
    <w:rsid w:val="73F73418"/>
    <w:rsid w:val="7652110C"/>
    <w:rsid w:val="77B54420"/>
    <w:rsid w:val="77C42426"/>
    <w:rsid w:val="77F03FE1"/>
    <w:rsid w:val="77F22489"/>
    <w:rsid w:val="788D0C3C"/>
    <w:rsid w:val="78B647E1"/>
    <w:rsid w:val="7AA67E76"/>
    <w:rsid w:val="7AC923BC"/>
    <w:rsid w:val="7BE10C35"/>
    <w:rsid w:val="7D146433"/>
    <w:rsid w:val="7D768A85"/>
    <w:rsid w:val="7E002EC9"/>
    <w:rsid w:val="7EA618F1"/>
    <w:rsid w:val="DFBFB239"/>
    <w:rsid w:val="FDE97175"/>
    <w:rsid w:val="FDF9648A"/>
    <w:rsid w:val="FFAF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2">
    <w:name w:val="heading 3"/>
    <w:basedOn w:val="1"/>
    <w:next w:val="1"/>
    <w:qFormat/>
    <w:uiPriority w:val="0"/>
    <w:pPr>
      <w:spacing w:beforeAutospacing="1" w:afterAutospacing="1"/>
      <w:jc w:val="left"/>
      <w:outlineLvl w:val="2"/>
    </w:pPr>
    <w:rPr>
      <w:rFonts w:hint="eastAsia" w:ascii="宋体" w:hAnsi="宋体"/>
      <w:b/>
      <w:bCs/>
      <w:kern w:val="0"/>
      <w:sz w:val="27"/>
      <w:szCs w:val="27"/>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Date"/>
    <w:basedOn w:val="1"/>
    <w:next w:val="1"/>
    <w:link w:val="17"/>
    <w:unhideWhenUsed/>
    <w:qFormat/>
    <w:uiPriority w:val="99"/>
    <w:pPr>
      <w:ind w:left="100" w:leftChars="2500"/>
    </w:pPr>
  </w:style>
  <w:style w:type="paragraph" w:styleId="6">
    <w:name w:val="Balloon Text"/>
    <w:basedOn w:val="1"/>
    <w:link w:val="18"/>
    <w:unhideWhenUsed/>
    <w:qFormat/>
    <w:uiPriority w:val="99"/>
    <w:rPr>
      <w:kern w:val="0"/>
      <w:sz w:val="18"/>
      <w:szCs w:val="18"/>
    </w:rPr>
  </w:style>
  <w:style w:type="paragraph" w:styleId="7">
    <w:name w:val="footer"/>
    <w:basedOn w:val="1"/>
    <w:link w:val="19"/>
    <w:unhideWhenUsed/>
    <w:qFormat/>
    <w:uiPriority w:val="99"/>
    <w:pPr>
      <w:tabs>
        <w:tab w:val="center" w:pos="4153"/>
        <w:tab w:val="right" w:pos="8306"/>
      </w:tabs>
      <w:snapToGrid w:val="0"/>
      <w:jc w:val="left"/>
    </w:pPr>
    <w:rPr>
      <w:kern w:val="0"/>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toc 1"/>
    <w:basedOn w:val="1"/>
    <w:next w:val="1"/>
    <w:unhideWhenUsed/>
    <w:qFormat/>
    <w:uiPriority w:val="39"/>
    <w:pPr>
      <w:tabs>
        <w:tab w:val="right" w:leader="dot" w:pos="9356"/>
      </w:tabs>
      <w:spacing w:before="120" w:beforeLines="50" w:after="120" w:afterLines="50"/>
    </w:pPr>
  </w:style>
  <w:style w:type="paragraph" w:styleId="10">
    <w:name w:val="HTML Preformatted"/>
    <w:basedOn w:val="1"/>
    <w:link w:val="2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unhideWhenUsed/>
    <w:qFormat/>
    <w:uiPriority w:val="99"/>
    <w:rPr>
      <w:color w:val="0000FF"/>
      <w:u w:val="single"/>
    </w:rPr>
  </w:style>
  <w:style w:type="character" w:styleId="15">
    <w:name w:val="annotation reference"/>
    <w:qFormat/>
    <w:uiPriority w:val="0"/>
    <w:rPr>
      <w:sz w:val="21"/>
      <w:szCs w:val="21"/>
    </w:rPr>
  </w:style>
  <w:style w:type="character" w:customStyle="1" w:styleId="16">
    <w:name w:val="标题 1 字符"/>
    <w:link w:val="3"/>
    <w:qFormat/>
    <w:uiPriority w:val="9"/>
    <w:rPr>
      <w:b/>
      <w:bCs/>
      <w:kern w:val="44"/>
      <w:sz w:val="44"/>
      <w:szCs w:val="44"/>
    </w:rPr>
  </w:style>
  <w:style w:type="character" w:customStyle="1" w:styleId="17">
    <w:name w:val="日期 字符"/>
    <w:basedOn w:val="13"/>
    <w:link w:val="5"/>
    <w:semiHidden/>
    <w:qFormat/>
    <w:uiPriority w:val="99"/>
  </w:style>
  <w:style w:type="character" w:customStyle="1" w:styleId="18">
    <w:name w:val="批注框文本 字符"/>
    <w:link w:val="6"/>
    <w:semiHidden/>
    <w:qFormat/>
    <w:uiPriority w:val="99"/>
    <w:rPr>
      <w:sz w:val="18"/>
      <w:szCs w:val="18"/>
    </w:rPr>
  </w:style>
  <w:style w:type="character" w:customStyle="1" w:styleId="19">
    <w:name w:val="页脚 字符"/>
    <w:link w:val="7"/>
    <w:qFormat/>
    <w:uiPriority w:val="99"/>
    <w:rPr>
      <w:sz w:val="18"/>
      <w:szCs w:val="18"/>
    </w:rPr>
  </w:style>
  <w:style w:type="character" w:customStyle="1" w:styleId="20">
    <w:name w:val="页眉 字符"/>
    <w:link w:val="8"/>
    <w:qFormat/>
    <w:uiPriority w:val="99"/>
    <w:rPr>
      <w:sz w:val="18"/>
      <w:szCs w:val="18"/>
    </w:rPr>
  </w:style>
  <w:style w:type="character" w:customStyle="1" w:styleId="21">
    <w:name w:val="HTML 预设格式 字符"/>
    <w:link w:val="10"/>
    <w:qFormat/>
    <w:uiPriority w:val="99"/>
    <w:rPr>
      <w:rFonts w:ascii="宋体" w:hAnsi="宋体" w:cs="宋体"/>
      <w:sz w:val="24"/>
      <w:szCs w:val="24"/>
    </w:rPr>
  </w:style>
  <w:style w:type="character" w:customStyle="1" w:styleId="22">
    <w:name w:val="NormalCharacter"/>
    <w:qFormat/>
    <w:uiPriority w:val="0"/>
  </w:style>
  <w:style w:type="paragraph" w:customStyle="1" w:styleId="23">
    <w:name w:val="一级条标题"/>
    <w:next w:val="24"/>
    <w:qFormat/>
    <w:uiPriority w:val="0"/>
    <w:pPr>
      <w:numPr>
        <w:ilvl w:val="1"/>
        <w:numId w:val="1"/>
      </w:numPr>
      <w:spacing w:before="50" w:beforeLines="50" w:after="50" w:afterLines="50"/>
      <w:outlineLvl w:val="2"/>
    </w:pPr>
    <w:rPr>
      <w:rFonts w:ascii="黑体" w:hAnsi="Times New Roman" w:eastAsia="黑体" w:cs="Times New Roman"/>
      <w:sz w:val="21"/>
      <w:szCs w:val="21"/>
      <w:lang w:val="en-US" w:eastAsia="zh-CN" w:bidi="ar-SA"/>
    </w:rPr>
  </w:style>
  <w:style w:type="paragraph" w:customStyle="1" w:styleId="2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_Style 2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
    <w:name w:val="章标题"/>
    <w:next w:val="24"/>
    <w:qFormat/>
    <w:uiPriority w:val="0"/>
    <w:pPr>
      <w:numPr>
        <w:ilvl w:val="0"/>
        <w:numId w:val="1"/>
      </w:numPr>
      <w:spacing w:before="100" w:beforeLines="100" w:after="100" w:afterLines="100"/>
      <w:jc w:val="both"/>
      <w:outlineLvl w:val="1"/>
    </w:pPr>
    <w:rPr>
      <w:rFonts w:ascii="黑体" w:hAnsi="Times New Roman" w:eastAsia="黑体" w:cs="Times New Roman"/>
      <w:sz w:val="21"/>
      <w:lang w:val="en-US" w:eastAsia="zh-CN" w:bidi="ar-SA"/>
    </w:rPr>
  </w:style>
  <w:style w:type="paragraph" w:customStyle="1" w:styleId="27">
    <w:name w:val="Revision"/>
    <w:hidden/>
    <w:unhideWhenUsed/>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粮油作物研究所</Company>
  <Pages>9</Pages>
  <Words>3058</Words>
  <Characters>3593</Characters>
  <Lines>169</Lines>
  <Paragraphs>219</Paragraphs>
  <TotalTime>21</TotalTime>
  <ScaleCrop>false</ScaleCrop>
  <LinksUpToDate>false</LinksUpToDate>
  <CharactersWithSpaces>3715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2018-07-18T01:13:00Z</dcterms:created>
  <dc:creator>WPS_133514262</dc:creator>
  <cp:lastModifiedBy>Administrator</cp:lastModifiedBy>
  <cp:lastPrinted>2025-04-01T03:31:00Z</cp:lastPrinted>
  <dcterms:modified xsi:type="dcterms:W3CDTF">2025-06-16T01:28:06Z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23D8EF3D8D5A41D08E4F1E04DDA877D2_13</vt:lpwstr>
  </property>
  <property fmtid="{D5CDD505-2E9C-101B-9397-08002B2CF9AE}" pid="4" name="KSOTemplateDocerSaveRecord">
    <vt:lpwstr>eyJoZGlkIjoiMGRmZTg5YjE4OTdjZTRiZjc4ODgzNmY0OTY2MjcxZmUifQ==</vt:lpwstr>
  </property>
</Properties>
</file>