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02EFD7">
      <w:pPr>
        <w:ind w:right="2892"/>
        <w:rPr>
          <w:b/>
          <w:kern w:val="0"/>
          <w:sz w:val="30"/>
          <w:szCs w:val="30"/>
        </w:rPr>
      </w:pPr>
    </w:p>
    <w:p w14:paraId="46A21F2C">
      <w:pPr>
        <w:jc w:val="left"/>
        <w:rPr>
          <w:rFonts w:ascii="黑体" w:hAnsi="黑体" w:eastAsia="黑体"/>
          <w:kern w:val="0"/>
          <w:szCs w:val="21"/>
        </w:rPr>
      </w:pPr>
      <w:r>
        <w:rPr>
          <w:rFonts w:ascii="黑体" w:hAnsi="黑体" w:eastAsia="黑体"/>
          <w:szCs w:val="21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黑体" w:hAnsi="黑体" w:eastAsia="黑体"/>
          <w:szCs w:val="21"/>
        </w:rPr>
        <w:instrText xml:space="preserve">ADDIN CNKISM.UserStyle</w:instrText>
      </w:r>
      <w:r>
        <w:rPr>
          <w:rFonts w:ascii="黑体" w:hAnsi="黑体" w:eastAsia="黑体"/>
          <w:szCs w:val="21"/>
        </w:rPr>
        <w:fldChar w:fldCharType="end"/>
      </w:r>
      <w:r>
        <w:rPr>
          <w:rFonts w:ascii="黑体" w:hAnsi="黑体" w:eastAsia="黑体"/>
          <w:b/>
          <w:kern w:val="0"/>
          <w:szCs w:val="21"/>
        </w:rPr>
        <w:fldChar w:fldCharType="begin"/>
      </w:r>
      <w:r>
        <w:rPr>
          <w:rFonts w:ascii="黑体" w:hAnsi="黑体" w:eastAsia="黑体"/>
          <w:b/>
          <w:kern w:val="0"/>
          <w:szCs w:val="21"/>
        </w:rPr>
        <w:instrText xml:space="preserve">ADDIN CNKISM.UserStyle</w:instrText>
      </w:r>
      <w:r>
        <w:rPr>
          <w:rFonts w:ascii="黑体" w:hAnsi="黑体" w:eastAsia="黑体"/>
          <w:b/>
          <w:kern w:val="0"/>
          <w:szCs w:val="21"/>
        </w:rPr>
        <w:fldChar w:fldCharType="end"/>
      </w:r>
      <w:r>
        <w:rPr>
          <w:rFonts w:ascii="黑体" w:hAnsi="黑体" w:eastAsia="黑体"/>
          <w:b/>
          <w:kern w:val="0"/>
          <w:szCs w:val="21"/>
        </w:rPr>
        <w:t>ICS</w:t>
      </w:r>
      <w:r>
        <w:rPr>
          <w:rFonts w:ascii="黑体" w:hAnsi="黑体" w:eastAsia="黑体"/>
          <w:kern w:val="0"/>
          <w:szCs w:val="21"/>
        </w:rPr>
        <w:t xml:space="preserve"> 67.020</w:t>
      </w:r>
    </w:p>
    <w:p w14:paraId="4BB403D3">
      <w:pPr>
        <w:wordWrap w:val="0"/>
        <w:jc w:val="left"/>
        <w:rPr>
          <w:kern w:val="0"/>
          <w:sz w:val="24"/>
          <w:szCs w:val="15"/>
        </w:rPr>
      </w:pPr>
      <w:r>
        <w:rPr>
          <w:rFonts w:ascii="黑体" w:hAnsi="黑体" w:eastAsia="黑体"/>
          <w:b/>
          <w:kern w:val="0"/>
          <w:szCs w:val="21"/>
        </w:rPr>
        <w:t>X</w:t>
      </w:r>
      <w:r>
        <w:rPr>
          <w:rFonts w:ascii="黑体" w:hAnsi="黑体" w:eastAsia="黑体"/>
          <w:kern w:val="0"/>
          <w:szCs w:val="21"/>
        </w:rPr>
        <w:t xml:space="preserve"> 80</w:t>
      </w:r>
    </w:p>
    <w:p w14:paraId="2A3BE914">
      <w:pPr>
        <w:ind w:right="2892"/>
        <w:rPr>
          <w:b/>
          <w:kern w:val="0"/>
          <w:sz w:val="48"/>
          <w:szCs w:val="48"/>
        </w:rPr>
      </w:pPr>
    </w:p>
    <w:p w14:paraId="5411462E">
      <w:pPr>
        <w:ind w:left="567" w:leftChars="270" w:right="651" w:rightChars="310"/>
        <w:jc w:val="distribute"/>
        <w:rPr>
          <w:rFonts w:ascii="黑体" w:hAnsi="黑体" w:eastAsia="黑体"/>
          <w:kern w:val="0"/>
          <w:sz w:val="96"/>
          <w:szCs w:val="48"/>
        </w:rPr>
      </w:pPr>
      <w:r>
        <w:rPr>
          <w:rFonts w:hint="eastAsia" w:ascii="黑体" w:hAnsi="黑体" w:eastAsia="黑体"/>
          <w:kern w:val="0"/>
          <w:sz w:val="96"/>
          <w:szCs w:val="48"/>
        </w:rPr>
        <w:t>团体标准</w:t>
      </w:r>
    </w:p>
    <w:p w14:paraId="0ED5C34F">
      <w:pPr>
        <w:autoSpaceDE w:val="0"/>
        <w:autoSpaceDN w:val="0"/>
        <w:adjustRightInd w:val="0"/>
        <w:ind w:firstLine="5775" w:firstLineChars="2750"/>
        <w:jc w:val="right"/>
        <w:rPr>
          <w:rFonts w:ascii="黑体" w:eastAsia="黑体" w:cs="黑体"/>
          <w:kern w:val="0"/>
          <w:sz w:val="28"/>
          <w:szCs w:val="28"/>
        </w:rPr>
      </w:pPr>
      <w:r>
        <w:rPr>
          <w:rFonts w:hint="eastAsia" w:ascii="黑体" w:eastAsia="黑体" w:cs="黑体"/>
          <w:kern w:val="0"/>
          <w:szCs w:val="21"/>
        </w:rPr>
        <w:t xml:space="preserve">                                                                             </w:t>
      </w:r>
      <w:r>
        <w:rPr>
          <w:rFonts w:hint="eastAsia" w:ascii="黑体" w:eastAsia="黑体" w:cs="黑体"/>
          <w:kern w:val="0"/>
          <w:sz w:val="28"/>
          <w:szCs w:val="28"/>
        </w:rPr>
        <w:t>T/</w:t>
      </w:r>
      <w:r>
        <w:rPr>
          <w:rFonts w:ascii="黑体" w:eastAsia="黑体" w:cs="黑体"/>
          <w:kern w:val="0"/>
          <w:sz w:val="28"/>
          <w:szCs w:val="28"/>
        </w:rPr>
        <w:t>ZGYSYJH</w:t>
      </w:r>
      <w:r>
        <w:rPr>
          <w:rFonts w:hint="eastAsia" w:ascii="黑体" w:eastAsia="黑体" w:cs="黑体"/>
          <w:kern w:val="0"/>
          <w:sz w:val="28"/>
          <w:szCs w:val="28"/>
        </w:rPr>
        <w:t xml:space="preserve"> 00X-202X</w:t>
      </w:r>
    </w:p>
    <w:p w14:paraId="3FB68B96">
      <w:pPr>
        <w:ind w:left="-1800" w:right="-1800"/>
        <w:jc w:val="left"/>
        <w:rPr>
          <w:rFonts w:ascii="宋体" w:hAnsi="宋体" w:cs="黑体"/>
          <w:kern w:val="0"/>
          <w:szCs w:val="21"/>
        </w:rPr>
      </w:pPr>
      <w:r>
        <w:rPr>
          <w:rFonts w:ascii="宋体" w:hAnsi="宋体" w:cs="黑体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-381635</wp:posOffset>
                </wp:positionH>
                <wp:positionV relativeFrom="paragraph">
                  <wp:posOffset>8255</wp:posOffset>
                </wp:positionV>
                <wp:extent cx="5918200" cy="0"/>
                <wp:effectExtent l="0" t="4445" r="6350" b="5080"/>
                <wp:wrapNone/>
                <wp:docPr id="1" name="Auto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1820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" o:spid="_x0000_s1026" o:spt="32" type="#_x0000_t32" style="position:absolute;left:0pt;margin-left:-30.05pt;margin-top:0.65pt;height:0pt;width:466pt;z-index:-251657216;mso-width-relative:page;mso-height-relative:page;" filled="f" stroked="t" coordsize="21600,21600" o:gfxdata="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lPHPT1AAAAAcBAAAPAAAAAAAA&#10;AAEAIAAAACIAAABkcnMvZG93bnJldi54bWxQSwECFAAUAAAACACHTuJAGD//ft0BAADgAwAADgAA&#10;AAAAAAABACAAAAAjAQAAZHJzL2Uyb0RvYy54bWxQSwUGAAAAAAYABgBZAQAAc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eastAsia="黑体" w:cs="黑体"/>
          <w:kern w:val="0"/>
          <w:sz w:val="28"/>
          <w:szCs w:val="28"/>
        </w:rPr>
        <w:t xml:space="preserve">                                        </w:t>
      </w:r>
      <w:r>
        <w:rPr>
          <w:rFonts w:ascii="宋体" w:hAnsi="宋体" w:cs="黑体"/>
          <w:kern w:val="0"/>
          <w:szCs w:val="21"/>
        </w:rPr>
        <w:tab/>
      </w:r>
    </w:p>
    <w:p w14:paraId="16E4E302">
      <w:pPr>
        <w:tabs>
          <w:tab w:val="left" w:pos="5178"/>
        </w:tabs>
        <w:ind w:left="-1800" w:right="-1800"/>
        <w:jc w:val="left"/>
        <w:rPr>
          <w:rFonts w:ascii="宋体" w:hAnsi="宋体" w:cs="黑体"/>
          <w:kern w:val="0"/>
          <w:szCs w:val="21"/>
        </w:rPr>
      </w:pPr>
    </w:p>
    <w:p w14:paraId="748B7795">
      <w:pPr>
        <w:tabs>
          <w:tab w:val="left" w:pos="5178"/>
        </w:tabs>
        <w:ind w:left="-1800" w:right="-1800"/>
        <w:jc w:val="left"/>
        <w:rPr>
          <w:rFonts w:ascii="宋体" w:hAnsi="宋体" w:cs="黑体"/>
          <w:kern w:val="0"/>
          <w:sz w:val="15"/>
          <w:szCs w:val="15"/>
        </w:rPr>
      </w:pPr>
    </w:p>
    <w:p w14:paraId="380997BF">
      <w:pPr>
        <w:tabs>
          <w:tab w:val="left" w:pos="5178"/>
        </w:tabs>
        <w:ind w:left="-1800" w:right="-1800"/>
        <w:jc w:val="left"/>
        <w:rPr>
          <w:rFonts w:ascii="宋体" w:hAnsi="宋体" w:cs="黑体"/>
          <w:kern w:val="0"/>
          <w:szCs w:val="21"/>
        </w:rPr>
      </w:pPr>
    </w:p>
    <w:p w14:paraId="38B57BF6">
      <w:pPr>
        <w:tabs>
          <w:tab w:val="left" w:pos="5178"/>
        </w:tabs>
        <w:ind w:left="-1800" w:right="-1800"/>
        <w:jc w:val="left"/>
        <w:rPr>
          <w:rFonts w:ascii="宋体" w:hAnsi="宋体" w:cs="黑体"/>
          <w:kern w:val="0"/>
          <w:szCs w:val="21"/>
        </w:rPr>
      </w:pPr>
    </w:p>
    <w:p w14:paraId="3076CD22">
      <w:pPr>
        <w:tabs>
          <w:tab w:val="left" w:pos="5178"/>
        </w:tabs>
        <w:ind w:left="-1800" w:right="-1800"/>
        <w:jc w:val="left"/>
        <w:rPr>
          <w:rFonts w:ascii="宋体" w:hAnsi="宋体" w:cs="黑体"/>
          <w:kern w:val="0"/>
          <w:szCs w:val="21"/>
        </w:rPr>
      </w:pPr>
    </w:p>
    <w:p w14:paraId="363C5E00">
      <w:pPr>
        <w:tabs>
          <w:tab w:val="left" w:pos="5178"/>
        </w:tabs>
        <w:ind w:left="-1800" w:right="-1800"/>
        <w:jc w:val="left"/>
        <w:rPr>
          <w:rFonts w:ascii="宋体" w:hAnsi="宋体" w:cs="黑体"/>
          <w:kern w:val="0"/>
          <w:szCs w:val="21"/>
        </w:rPr>
      </w:pPr>
    </w:p>
    <w:p w14:paraId="61747A49">
      <w:pPr>
        <w:spacing w:line="560" w:lineRule="exact"/>
        <w:ind w:left="-1797" w:right="-1797"/>
        <w:jc w:val="center"/>
        <w:rPr>
          <w:rFonts w:ascii="黑体" w:hAnsi="黑体" w:eastAsia="黑体" w:cs="黑体"/>
          <w:kern w:val="0"/>
          <w:sz w:val="52"/>
          <w:szCs w:val="52"/>
        </w:rPr>
      </w:pPr>
      <w:r>
        <w:rPr>
          <w:rFonts w:hint="eastAsia" w:ascii="黑体" w:hAnsi="黑体" w:eastAsia="黑体" w:cs="黑体"/>
          <w:kern w:val="0"/>
          <w:sz w:val="52"/>
          <w:szCs w:val="52"/>
        </w:rPr>
        <w:t>《道地食药物质原料生产基地建设要求》</w:t>
      </w:r>
    </w:p>
    <w:p w14:paraId="2000ACE5">
      <w:pPr>
        <w:spacing w:line="560" w:lineRule="exact"/>
        <w:ind w:left="-1797" w:right="-1797"/>
        <w:jc w:val="center"/>
        <w:rPr>
          <w:rFonts w:hint="eastAsia" w:ascii="黑体" w:hAnsi="黑体" w:eastAsia="黑体" w:cs="黑体"/>
          <w:kern w:val="0"/>
          <w:sz w:val="28"/>
          <w:szCs w:val="28"/>
        </w:rPr>
      </w:pPr>
      <w:r>
        <w:rPr>
          <w:rFonts w:hint="eastAsia" w:ascii="黑体" w:hAnsi="黑体" w:eastAsia="黑体" w:cs="黑体"/>
          <w:kern w:val="0"/>
          <w:sz w:val="28"/>
          <w:szCs w:val="28"/>
        </w:rPr>
        <w:t xml:space="preserve">The Construction Requirements for Raw Material Production bases of </w:t>
      </w:r>
    </w:p>
    <w:p w14:paraId="534CDF87">
      <w:pPr>
        <w:spacing w:line="560" w:lineRule="exact"/>
        <w:ind w:left="-1797" w:right="-1797"/>
        <w:jc w:val="center"/>
        <w:rPr>
          <w:rFonts w:hint="eastAsia" w:ascii="黑体" w:hAnsi="黑体" w:eastAsia="黑体" w:cs="黑体"/>
          <w:kern w:val="0"/>
          <w:sz w:val="28"/>
          <w:szCs w:val="28"/>
        </w:rPr>
      </w:pPr>
      <w:r>
        <w:rPr>
          <w:rFonts w:hint="eastAsia" w:ascii="黑体" w:hAnsi="黑体" w:eastAsia="黑体" w:cs="黑体"/>
          <w:kern w:val="0"/>
          <w:sz w:val="28"/>
          <w:szCs w:val="28"/>
        </w:rPr>
        <w:t>Dao-di Food and Medicinal Substances</w:t>
      </w:r>
    </w:p>
    <w:p w14:paraId="308EE8DC">
      <w:pPr>
        <w:spacing w:line="560" w:lineRule="exact"/>
        <w:ind w:left="-1797" w:right="-1797"/>
        <w:jc w:val="center"/>
        <w:rPr>
          <w:rFonts w:ascii="黑体" w:hAnsi="黑体" w:eastAsia="黑体" w:cs="黑体"/>
          <w:kern w:val="0"/>
          <w:sz w:val="28"/>
          <w:szCs w:val="28"/>
        </w:rPr>
      </w:pPr>
      <w:r>
        <w:rPr>
          <w:rFonts w:hint="eastAsia" w:ascii="黑体" w:hAnsi="黑体" w:eastAsia="黑体" w:cs="黑体"/>
          <w:kern w:val="0"/>
          <w:sz w:val="28"/>
          <w:szCs w:val="28"/>
        </w:rPr>
        <w:t>（</w:t>
      </w:r>
      <w:r>
        <w:rPr>
          <w:rFonts w:hint="eastAsia" w:ascii="黑体" w:hAnsi="黑体" w:eastAsia="黑体" w:cs="黑体"/>
          <w:kern w:val="0"/>
          <w:sz w:val="28"/>
          <w:szCs w:val="28"/>
          <w:lang w:val="en-US" w:eastAsia="zh-CN"/>
        </w:rPr>
        <w:t>征求意见</w:t>
      </w:r>
      <w:r>
        <w:rPr>
          <w:rFonts w:hint="eastAsia" w:ascii="黑体" w:hAnsi="黑体" w:eastAsia="黑体" w:cs="黑体"/>
          <w:kern w:val="0"/>
          <w:sz w:val="28"/>
          <w:szCs w:val="28"/>
        </w:rPr>
        <w:t>稿）编制说明</w:t>
      </w:r>
    </w:p>
    <w:p w14:paraId="69C91E1D">
      <w:pPr>
        <w:spacing w:line="560" w:lineRule="exact"/>
        <w:ind w:left="-1797" w:right="-1797"/>
        <w:jc w:val="center"/>
        <w:rPr>
          <w:rFonts w:ascii="黑体" w:hAnsi="黑体" w:eastAsia="黑体" w:cs="黑体"/>
          <w:kern w:val="0"/>
          <w:sz w:val="28"/>
          <w:szCs w:val="28"/>
        </w:rPr>
      </w:pPr>
    </w:p>
    <w:p w14:paraId="5302F892">
      <w:pPr>
        <w:ind w:left="-1800" w:right="-1800"/>
        <w:jc w:val="center"/>
        <w:rPr>
          <w:rFonts w:ascii="宋体" w:hAnsi="宋体" w:cs="黑体"/>
          <w:kern w:val="0"/>
          <w:sz w:val="28"/>
          <w:szCs w:val="28"/>
        </w:rPr>
      </w:pPr>
    </w:p>
    <w:p w14:paraId="23EF38A8">
      <w:pPr>
        <w:ind w:left="-1800" w:right="-1800"/>
        <w:jc w:val="center"/>
        <w:rPr>
          <w:rFonts w:ascii="宋体" w:hAnsi="宋体" w:cs="黑体"/>
          <w:kern w:val="0"/>
          <w:sz w:val="30"/>
          <w:szCs w:val="30"/>
        </w:rPr>
      </w:pPr>
    </w:p>
    <w:p w14:paraId="18F2F02A">
      <w:pPr>
        <w:ind w:left="-1800" w:right="-1800"/>
        <w:jc w:val="center"/>
        <w:rPr>
          <w:rFonts w:ascii="宋体" w:hAnsi="宋体" w:cs="黑体"/>
          <w:kern w:val="0"/>
          <w:sz w:val="30"/>
          <w:szCs w:val="30"/>
        </w:rPr>
      </w:pPr>
    </w:p>
    <w:p w14:paraId="1022FC52">
      <w:pPr>
        <w:ind w:left="-1800" w:right="-1800"/>
        <w:jc w:val="center"/>
        <w:rPr>
          <w:rFonts w:ascii="宋体" w:hAnsi="宋体" w:cs="黑体"/>
          <w:kern w:val="0"/>
          <w:sz w:val="30"/>
          <w:szCs w:val="30"/>
        </w:rPr>
      </w:pPr>
    </w:p>
    <w:p w14:paraId="43A8C587">
      <w:pPr>
        <w:ind w:left="-1800" w:right="-1800"/>
        <w:jc w:val="center"/>
        <w:rPr>
          <w:rFonts w:ascii="宋体" w:hAnsi="宋体" w:cs="黑体"/>
          <w:kern w:val="0"/>
          <w:sz w:val="28"/>
          <w:szCs w:val="28"/>
        </w:rPr>
      </w:pPr>
    </w:p>
    <w:p w14:paraId="55D8B97F">
      <w:pPr>
        <w:ind w:left="-1800" w:right="-1800"/>
        <w:jc w:val="center"/>
        <w:rPr>
          <w:rFonts w:ascii="黑体" w:hAnsi="黑体" w:eastAsia="黑体"/>
          <w:sz w:val="28"/>
          <w:szCs w:val="28"/>
          <w:u w:val="single"/>
        </w:rPr>
      </w:pPr>
      <w:r>
        <w:rPr>
          <w:rFonts w:hint="eastAsia" w:ascii="黑体" w:hAnsi="黑体" w:eastAsia="黑体"/>
          <w:sz w:val="28"/>
          <w:szCs w:val="28"/>
          <w:u w:val="single"/>
        </w:rPr>
        <w:t>XXXXX-XX-XX发布                                  XXXX-XX-XX实施</w:t>
      </w:r>
    </w:p>
    <w:p w14:paraId="11943216">
      <w:pPr>
        <w:ind w:left="-1800" w:right="-1800"/>
        <w:jc w:val="center"/>
        <w:rPr>
          <w:rFonts w:ascii="微软雅黑" w:hAnsi="微软雅黑" w:eastAsia="微软雅黑"/>
          <w:sz w:val="18"/>
          <w:szCs w:val="18"/>
        </w:rPr>
      </w:pPr>
    </w:p>
    <w:p w14:paraId="0DBA742A">
      <w:pPr>
        <w:ind w:left="-1800" w:right="-1800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方正小标宋简体" w:eastAsia="方正小标宋简体"/>
          <w:spacing w:val="20"/>
          <w:sz w:val="44"/>
          <w:szCs w:val="44"/>
        </w:rPr>
        <w:t>中国药膳研究会</w:t>
      </w:r>
      <w:r>
        <w:rPr>
          <w:rFonts w:hint="eastAsia" w:ascii="黑体" w:hAnsi="黑体" w:eastAsia="黑体"/>
          <w:sz w:val="28"/>
          <w:szCs w:val="28"/>
        </w:rPr>
        <w:t xml:space="preserve">  发布</w:t>
      </w:r>
    </w:p>
    <w:p w14:paraId="062937D5">
      <w:pPr>
        <w:ind w:firstLine="420" w:firstLineChars="200"/>
        <w:rPr>
          <w:rFonts w:ascii="Times New Roman" w:hAnsi="Times New Roman" w:eastAsia="宋体"/>
        </w:rPr>
      </w:pPr>
    </w:p>
    <w:p w14:paraId="15144F8A">
      <w:pPr>
        <w:ind w:firstLine="880" w:firstLineChars="200"/>
        <w:jc w:val="center"/>
        <w:rPr>
          <w:rFonts w:ascii="Times New Roman" w:hAnsi="Times New Roman" w:eastAsia="宋体"/>
          <w:sz w:val="44"/>
          <w:szCs w:val="44"/>
        </w:rPr>
      </w:pPr>
      <w:r>
        <w:rPr>
          <w:rFonts w:ascii="Times New Roman" w:hAnsi="Times New Roman" w:eastAsia="宋体"/>
          <w:sz w:val="44"/>
          <w:szCs w:val="44"/>
        </w:rPr>
        <w:t>目录</w:t>
      </w:r>
    </w:p>
    <w:p w14:paraId="521FFB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一、任务来源</w:t>
      </w:r>
    </w:p>
    <w:p w14:paraId="60B168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二、工作组简况</w:t>
      </w:r>
    </w:p>
    <w:p w14:paraId="5C4F53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（一）本指南起草单位</w:t>
      </w:r>
    </w:p>
    <w:p w14:paraId="2E643F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rPr>
          <w:rFonts w:hint="default" w:ascii="Times New Roman" w:hAnsi="Times New Roman" w:eastAsia="宋体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/>
          <w:sz w:val="28"/>
          <w:szCs w:val="28"/>
        </w:rPr>
        <w:t>（二）</w:t>
      </w:r>
      <w:r>
        <w:rPr>
          <w:rFonts w:hint="eastAsia" w:ascii="Times New Roman" w:hAnsi="Times New Roman" w:eastAsia="宋体"/>
          <w:sz w:val="28"/>
          <w:szCs w:val="28"/>
          <w:lang w:val="en-US" w:eastAsia="zh-CN"/>
        </w:rPr>
        <w:t>本规范技术指导专家单位</w:t>
      </w:r>
    </w:p>
    <w:p w14:paraId="721C78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rPr>
          <w:rFonts w:hint="eastAsia"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  <w:lang w:eastAsia="zh-CN"/>
        </w:rPr>
        <w:t>（</w:t>
      </w:r>
      <w:r>
        <w:rPr>
          <w:rFonts w:hint="eastAsia" w:ascii="Times New Roman" w:hAnsi="Times New Roman" w:eastAsia="宋体"/>
          <w:sz w:val="28"/>
          <w:szCs w:val="28"/>
          <w:lang w:val="en-US" w:eastAsia="zh-CN"/>
        </w:rPr>
        <w:t>三</w:t>
      </w:r>
      <w:r>
        <w:rPr>
          <w:rFonts w:hint="eastAsia" w:ascii="Times New Roman" w:hAnsi="Times New Roman" w:eastAsia="宋体"/>
          <w:sz w:val="28"/>
          <w:szCs w:val="28"/>
          <w:lang w:eastAsia="zh-CN"/>
        </w:rPr>
        <w:t>）</w:t>
      </w:r>
      <w:r>
        <w:rPr>
          <w:rFonts w:hint="eastAsia" w:ascii="Times New Roman" w:hAnsi="Times New Roman" w:eastAsia="宋体"/>
          <w:sz w:val="28"/>
          <w:szCs w:val="28"/>
        </w:rPr>
        <w:t>本规范主要起草人</w:t>
      </w:r>
    </w:p>
    <w:p w14:paraId="7254C2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rPr>
          <w:rFonts w:hint="eastAsia"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（二）</w:t>
      </w:r>
      <w:r>
        <w:rPr>
          <w:rFonts w:hint="eastAsia" w:ascii="Times New Roman" w:hAnsi="Times New Roman" w:eastAsia="宋体"/>
          <w:sz w:val="28"/>
          <w:szCs w:val="28"/>
          <w:lang w:val="en-US" w:eastAsia="zh-CN"/>
        </w:rPr>
        <w:t>本规范技术指导专家</w:t>
      </w:r>
    </w:p>
    <w:p w14:paraId="700341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三、实施过程</w:t>
      </w:r>
    </w:p>
    <w:p w14:paraId="3693D6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（一）准备工作</w:t>
      </w:r>
    </w:p>
    <w:p w14:paraId="0EDC96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（二）调研</w:t>
      </w:r>
    </w:p>
    <w:p w14:paraId="30883C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（三）文献检索及分析</w:t>
      </w:r>
    </w:p>
    <w:p w14:paraId="274F0B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rPr>
          <w:rFonts w:hint="default" w:ascii="Times New Roman" w:hAnsi="Times New Roman" w:eastAsia="宋体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/>
          <w:sz w:val="28"/>
          <w:szCs w:val="28"/>
        </w:rPr>
        <w:t>（四）</w:t>
      </w:r>
      <w:r>
        <w:rPr>
          <w:rFonts w:hint="eastAsia" w:ascii="Times New Roman" w:hAnsi="Times New Roman" w:eastAsia="宋体"/>
          <w:sz w:val="28"/>
          <w:szCs w:val="28"/>
          <w:lang w:val="en-US" w:eastAsia="zh-CN"/>
        </w:rPr>
        <w:t>发放专家问卷</w:t>
      </w:r>
    </w:p>
    <w:p w14:paraId="373D0F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rPr>
          <w:rFonts w:hint="eastAsia" w:ascii="Times New Roman" w:hAnsi="Times New Roman" w:eastAsia="宋体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/>
          <w:sz w:val="28"/>
          <w:szCs w:val="28"/>
        </w:rPr>
        <w:t>（五）</w:t>
      </w:r>
      <w:r>
        <w:rPr>
          <w:rFonts w:hint="eastAsia" w:ascii="Times New Roman" w:hAnsi="Times New Roman" w:eastAsia="宋体"/>
          <w:sz w:val="28"/>
          <w:szCs w:val="28"/>
          <w:lang w:val="en-US" w:eastAsia="zh-CN"/>
        </w:rPr>
        <w:t>专家会议</w:t>
      </w:r>
    </w:p>
    <w:p w14:paraId="765FBA14">
      <w:pPr>
        <w:pStyle w:val="1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firstLine="560" w:firstLineChars="200"/>
        <w:jc w:val="both"/>
        <w:textAlignment w:val="center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四、采用国际标准的程度</w:t>
      </w:r>
    </w:p>
    <w:p w14:paraId="31992C0A">
      <w:pPr>
        <w:pStyle w:val="1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firstLine="560" w:firstLineChars="200"/>
        <w:jc w:val="both"/>
        <w:textAlignment w:val="center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五、重大分歧意见的处理</w:t>
      </w:r>
    </w:p>
    <w:p w14:paraId="58BED8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六</w:t>
      </w:r>
      <w:r>
        <w:rPr>
          <w:rFonts w:hint="eastAsia" w:ascii="宋体" w:hAnsi="宋体" w:eastAsia="宋体" w:cs="宋体"/>
          <w:sz w:val="28"/>
          <w:szCs w:val="28"/>
        </w:rPr>
        <w:t>、与相关法律、版权等的声明</w:t>
      </w:r>
    </w:p>
    <w:p w14:paraId="594D79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七、其它事项</w:t>
      </w:r>
    </w:p>
    <w:p w14:paraId="00ABB649">
      <w:pPr>
        <w:ind w:firstLine="560" w:firstLineChars="200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br w:type="page"/>
      </w:r>
    </w:p>
    <w:p w14:paraId="1FC505B8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left"/>
        <w:textAlignment w:val="auto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任务来源</w:t>
      </w:r>
    </w:p>
    <w:p w14:paraId="5FB87FD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食药物质是大健康产业发展的基础，“未病先治、积极预防”是国家提倡的主要方针，食药物质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原料</w:t>
      </w:r>
      <w:r>
        <w:rPr>
          <w:rFonts w:hint="eastAsia" w:ascii="仿宋" w:hAnsi="仿宋" w:eastAsia="仿宋" w:cs="仿宋"/>
          <w:kern w:val="0"/>
          <w:sz w:val="32"/>
          <w:szCs w:val="32"/>
        </w:rPr>
        <w:t>既具有药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品</w:t>
      </w:r>
      <w:r>
        <w:rPr>
          <w:rFonts w:hint="eastAsia" w:ascii="仿宋" w:hAnsi="仿宋" w:eastAsia="仿宋" w:cs="仿宋"/>
          <w:kern w:val="0"/>
          <w:sz w:val="32"/>
          <w:szCs w:val="32"/>
        </w:rPr>
        <w:t>功能又有食品功能，是人民健康的保证。食药物质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原料</w:t>
      </w:r>
      <w:r>
        <w:rPr>
          <w:rFonts w:hint="eastAsia" w:ascii="仿宋" w:hAnsi="仿宋" w:eastAsia="仿宋" w:cs="仿宋"/>
          <w:kern w:val="0"/>
          <w:sz w:val="32"/>
          <w:szCs w:val="32"/>
        </w:rPr>
        <w:t>种植（养殖）基地是食药物质产业的重要组成部分，也是食药物质产业发展走向成熟的一个重要标志。加快道地食药物质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原料生产</w:t>
      </w:r>
      <w:r>
        <w:rPr>
          <w:rFonts w:hint="eastAsia" w:ascii="仿宋" w:hAnsi="仿宋" w:eastAsia="仿宋" w:cs="仿宋"/>
          <w:kern w:val="0"/>
          <w:sz w:val="32"/>
          <w:szCs w:val="32"/>
        </w:rPr>
        <w:t>示范基地建设要求制定，是食药物质效益逐步增加、品牌效应不断放大、作用日益凸显的必要过程，也是帮助食药物质争取产业话语权和潜在市场份额的重要举措。 食药物质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原料生产</w:t>
      </w:r>
      <w:r>
        <w:rPr>
          <w:rFonts w:hint="eastAsia" w:ascii="仿宋" w:hAnsi="仿宋" w:eastAsia="仿宋" w:cs="仿宋"/>
          <w:kern w:val="0"/>
          <w:sz w:val="32"/>
          <w:szCs w:val="32"/>
        </w:rPr>
        <w:t>基地建设要求通过食药物质基地的理论研究和调研工作，借鉴国内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外相关</w:t>
      </w:r>
      <w:r>
        <w:rPr>
          <w:rFonts w:hint="eastAsia" w:ascii="仿宋" w:hAnsi="仿宋" w:eastAsia="仿宋" w:cs="仿宋"/>
          <w:kern w:val="0"/>
          <w:sz w:val="32"/>
          <w:szCs w:val="32"/>
        </w:rPr>
        <w:t>标准，形成有助于基地建设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的</w:t>
      </w:r>
      <w:r>
        <w:rPr>
          <w:rFonts w:hint="eastAsia" w:ascii="仿宋" w:hAnsi="仿宋" w:eastAsia="仿宋" w:cs="仿宋"/>
          <w:kern w:val="0"/>
          <w:sz w:val="32"/>
          <w:szCs w:val="32"/>
        </w:rPr>
        <w:t>相关制度、办法等系列配套文件，有效确保基地的持续、稳定和健康发展。</w:t>
      </w:r>
    </w:p>
    <w:p w14:paraId="53CF8CB8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left"/>
        <w:textAlignment w:val="auto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工作组简况</w:t>
      </w:r>
    </w:p>
    <w:p w14:paraId="497D5EDE">
      <w:pPr>
        <w:pStyle w:val="15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left="0" w:leftChars="0" w:firstLine="643" w:firstLineChars="200"/>
        <w:jc w:val="both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本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文件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起草单位</w:t>
      </w:r>
    </w:p>
    <w:p w14:paraId="7B63FCA9"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firstLine="640" w:firstLineChars="20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中国药膳研究会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-</w:t>
      </w:r>
      <w:r>
        <w:rPr>
          <w:rFonts w:hint="eastAsia" w:ascii="仿宋" w:hAnsi="仿宋" w:eastAsia="仿宋" w:cs="仿宋"/>
          <w:sz w:val="32"/>
          <w:szCs w:val="32"/>
        </w:rPr>
        <w:t>膳用食材与药材研究专业委员会</w:t>
      </w:r>
    </w:p>
    <w:p w14:paraId="4CB0F957"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中国中医科学院研究生院</w:t>
      </w:r>
    </w:p>
    <w:p w14:paraId="7EBDB427"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firstLine="640" w:firstLineChars="20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中国中医科学院中药研究所</w:t>
      </w:r>
    </w:p>
    <w:p w14:paraId="7F4D3931"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中国科学院动物研究所</w:t>
      </w:r>
    </w:p>
    <w:p w14:paraId="1596D9B0"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中国农业科学院</w:t>
      </w:r>
    </w:p>
    <w:p w14:paraId="139A88D0"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中国中西医结合学会</w:t>
      </w:r>
    </w:p>
    <w:p w14:paraId="196B7011">
      <w:pPr>
        <w:pStyle w:val="15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left="0" w:leftChars="0" w:firstLine="643" w:firstLineChars="200"/>
        <w:jc w:val="both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本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文件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主要起草人</w:t>
      </w:r>
    </w:p>
    <w:p w14:paraId="52B53427"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firstLine="640" w:firstLineChars="200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罗增刚：北京市中医管理局局长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主任医师、博士生导师</w:t>
      </w:r>
    </w:p>
    <w:p w14:paraId="60DE23E3"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firstLine="640" w:firstLineChars="20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晓</w:t>
      </w:r>
      <w:r>
        <w:rPr>
          <w:rFonts w:hint="eastAsia" w:ascii="仿宋" w:hAnsi="仿宋" w:eastAsia="仿宋" w:cs="仿宋"/>
          <w:sz w:val="32"/>
          <w:szCs w:val="32"/>
        </w:rPr>
        <w:t>北：中国中医科学院研究生院副院长、研究员、博士生导师</w:t>
      </w:r>
    </w:p>
    <w:p w14:paraId="6F822951"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firstLine="640" w:firstLineChars="20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荆志伟：中国中西医结合学会副秘书长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博士生导师</w:t>
      </w:r>
    </w:p>
    <w:p w14:paraId="573BB2EC"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何宏轩：中国科学院动物研究所研究员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博士生导师</w:t>
      </w:r>
    </w:p>
    <w:p w14:paraId="40DEF043"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firstLine="640" w:firstLineChars="20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游  云：中国中医科学院中药研究所研究员、博士生导师</w:t>
      </w:r>
    </w:p>
    <w:p w14:paraId="1DD45D0C"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firstLine="640" w:firstLineChars="20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刘广东：中国药膳研究会膳用食材与药材研究专业委员会秘书长</w:t>
      </w:r>
    </w:p>
    <w:p w14:paraId="203A8F4C"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firstLine="640" w:firstLineChars="20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王正良：华凯投资集团有限公司副总经理</w:t>
      </w:r>
    </w:p>
    <w:p w14:paraId="32F0D53F"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firstLine="640" w:firstLineChars="20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李习龙：中国农业科学院研究员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博士生导师</w:t>
      </w:r>
    </w:p>
    <w:p w14:paraId="709264A5"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firstLine="640" w:firstLineChars="200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刘震营：中国中医科学院研究生院 助理研究员</w:t>
      </w:r>
    </w:p>
    <w:p w14:paraId="623A57B0"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firstLine="640" w:firstLineChars="20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刘佳妮：中国中医科学院西苑医院博士</w:t>
      </w:r>
    </w:p>
    <w:p w14:paraId="0D6CBCCE">
      <w:pPr>
        <w:pStyle w:val="15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left="0" w:leftChars="0" w:firstLine="643" w:firstLineChars="200"/>
        <w:jc w:val="both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本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文件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技术指导单位</w:t>
      </w:r>
    </w:p>
    <w:p w14:paraId="2B09433D">
      <w:pPr>
        <w:pStyle w:val="1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firstLine="640" w:firstLineChars="20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中国中医科学院</w:t>
      </w:r>
    </w:p>
    <w:p w14:paraId="689E4EA4"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firstLine="640" w:firstLineChars="20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中国中医科学院基础理论研究所</w:t>
      </w:r>
    </w:p>
    <w:p w14:paraId="5B149D4F">
      <w:pPr>
        <w:pStyle w:val="1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firstLine="640" w:firstLineChars="20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中国医学科学院药用植物研究所</w:t>
      </w:r>
    </w:p>
    <w:p w14:paraId="7DAE1615">
      <w:pPr>
        <w:pStyle w:val="1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firstLine="640" w:firstLineChars="20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北京中医药大学</w:t>
      </w:r>
    </w:p>
    <w:p w14:paraId="6415C1E4">
      <w:pPr>
        <w:pStyle w:val="1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firstLine="640" w:firstLineChars="20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北京工商大学</w:t>
      </w:r>
    </w:p>
    <w:p w14:paraId="6C322511">
      <w:pPr>
        <w:pStyle w:val="1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firstLine="640" w:firstLineChars="20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北京理工大学</w:t>
      </w:r>
    </w:p>
    <w:p w14:paraId="10A7EC75">
      <w:pPr>
        <w:pStyle w:val="1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firstLine="640" w:firstLineChars="200"/>
        <w:jc w:val="both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北京建筑大学</w:t>
      </w:r>
    </w:p>
    <w:p w14:paraId="7DA92CED">
      <w:pPr>
        <w:pStyle w:val="15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left="0" w:leftChars="0" w:firstLine="643" w:firstLineChars="200"/>
        <w:jc w:val="both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本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文件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技术指导专家</w:t>
      </w:r>
      <w:r>
        <w:rPr>
          <w:rFonts w:hint="eastAsia" w:ascii="仿宋" w:hAnsi="仿宋" w:eastAsia="仿宋" w:cs="仿宋"/>
          <w:sz w:val="32"/>
          <w:szCs w:val="32"/>
        </w:rPr>
        <w:t>(以姓氏笔画为序)</w:t>
      </w:r>
    </w:p>
    <w:p w14:paraId="3E9343EE"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firstLine="640" w:firstLineChars="20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于志敏：原中国中医科学院中药基础理论研究所研究员、博士生导师</w:t>
      </w:r>
    </w:p>
    <w:p w14:paraId="03ACC634"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马爱进：北京工商大学教授、博士生导师</w:t>
      </w:r>
    </w:p>
    <w:p w14:paraId="61BB97AA"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firstLine="640" w:firstLineChars="200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刘建伟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>北京建筑大学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教授、博士生导师</w:t>
      </w:r>
    </w:p>
    <w:p w14:paraId="1318F84F"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firstLine="640" w:firstLineChars="20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陈向东：中国医学科学院药用植物研究所研究员、博士生导师</w:t>
      </w:r>
    </w:p>
    <w:p w14:paraId="5AE96F76"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firstLine="640" w:firstLineChars="200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龚彦斌：北京中医药大学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主任医师、博士生导师</w:t>
      </w:r>
    </w:p>
    <w:p w14:paraId="0D401C8A"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firstLine="640" w:firstLineChars="200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董国锋：中国药膳研究会标准化办公室副主任</w:t>
      </w:r>
    </w:p>
    <w:p w14:paraId="44FC5C14"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傅雄军：北京理工大学集成电路与电子学院副院长、教授、博士生导师</w:t>
      </w:r>
    </w:p>
    <w:p w14:paraId="084627BB">
      <w:pPr>
        <w:pStyle w:val="15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left="0" w:leftChars="0" w:firstLine="643" w:firstLineChars="200"/>
        <w:jc w:val="both"/>
        <w:textAlignment w:val="center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实施过程</w:t>
      </w:r>
    </w:p>
    <w:p w14:paraId="6BD1D6D4">
      <w:pPr>
        <w:pStyle w:val="15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left="0" w:leftChars="0" w:firstLine="643" w:firstLineChars="200"/>
        <w:jc w:val="both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准备工作</w:t>
      </w:r>
    </w:p>
    <w:p w14:paraId="157A5AA4"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firstLine="640" w:firstLineChars="20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从2022年12月开始，课题起草组成员共开展了5次专题会议，成立了编制指导小组，由罗增刚负责该项目牵头，负责项目总体设计，制定实施方案和实施细则，全面统筹项目管理，协调分配任务；荆志伟协助总负责人完成联络协调工作，监督标准制定进展与质量管理；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晓</w:t>
      </w:r>
      <w:r>
        <w:rPr>
          <w:rFonts w:hint="eastAsia" w:ascii="仿宋" w:hAnsi="仿宋" w:eastAsia="仿宋" w:cs="仿宋"/>
          <w:sz w:val="32"/>
          <w:szCs w:val="32"/>
        </w:rPr>
        <w:t>北确定基地种植/养殖各部分研究主题，组织召开学术讨论会和专家论证会；何宏轩负责实地调研，对基地养殖具体技术内容进行详细分析，完成该专题部分研究；游云负责食材药材种植调研，对基地种植具体技术内容进行详细分析，完成该专题部分研究；刘佳妮综合以上研究内容撰写报告，形成标准初稿。初稿校对，组织结题，形成论文发表初稿；刘广东协助完成联络协调工作，推进标准制定进展；王正良建立会员企业基地名录，建立各会员企业基地生产资源共享数据库；李习龙对基地养殖饲料具体技术内容进行详细分析，协助完成该专题部分研究。</w:t>
      </w:r>
    </w:p>
    <w:p w14:paraId="359F03B1">
      <w:pPr>
        <w:pStyle w:val="15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left="0" w:leftChars="0" w:firstLine="643" w:firstLineChars="200"/>
        <w:jc w:val="both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调研</w:t>
      </w:r>
    </w:p>
    <w:p w14:paraId="528215F3"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firstLine="640" w:firstLineChars="20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2023年5月至2023年9月项目组成员系统调研和资料收集，在充分总结生产经验的基础上，进行大量走访调研，广泛征集意见，立足行业需要，兼顾技术发展，对具体技术内容进行详细分析。初步建立各会员企业及其基地的生产资源共享数据库。</w:t>
      </w:r>
    </w:p>
    <w:p w14:paraId="506A9C1F">
      <w:pPr>
        <w:pStyle w:val="15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left="0" w:leftChars="0" w:firstLine="643" w:firstLineChars="200"/>
        <w:jc w:val="both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文献检索及分析</w:t>
      </w:r>
    </w:p>
    <w:p w14:paraId="3DB52748"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firstLine="640" w:firstLineChars="20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2022年12月10日至2024年11月30日，工作组成员计算机检索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中国知网（</w:t>
      </w:r>
      <w:r>
        <w:rPr>
          <w:rFonts w:hint="eastAsia" w:ascii="仿宋" w:hAnsi="仿宋" w:eastAsia="仿宋" w:cs="仿宋"/>
          <w:sz w:val="32"/>
          <w:szCs w:val="32"/>
        </w:rPr>
        <w:t>CNKI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万方</w:t>
      </w:r>
      <w:r>
        <w:rPr>
          <w:rFonts w:hint="eastAsia" w:ascii="仿宋" w:hAnsi="仿宋" w:eastAsia="仿宋" w:cs="仿宋"/>
          <w:sz w:val="32"/>
          <w:szCs w:val="32"/>
        </w:rPr>
        <w:t>，VIP，CBMdisc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PubMed，Cochrane Library，EMbase数据库，检索时间为建库至2024年11月，以“食药物质”、“道地”、“基地建设”为关键词进行检索，选取高质量的文献进行分析；规范道地食药物质示范基地的生产和管理，在食药物质原产地保护、规范化生产基地建设、技术和产品标准的制订、产地认定、产品认证和企业的标准化技术改造工作等方面迅速向前推进，加快食药物质基地生产规范化标准化规模化与品牌化，全面提升道地食药物质质量；通过推广食药物质的规范化种植，才能规范食药物质生产操作方法，发展标准化、区域化、规模化种植，生产出质量稳定、绿色、无污染的食药物质。</w:t>
      </w:r>
    </w:p>
    <w:p w14:paraId="70C69039">
      <w:pPr>
        <w:pStyle w:val="15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left="0" w:leftChars="0" w:firstLine="643" w:firstLineChars="200"/>
        <w:jc w:val="both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发放专家问卷</w:t>
      </w:r>
    </w:p>
    <w:p w14:paraId="39339DFA"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firstLine="640" w:firstLineChars="200"/>
        <w:jc w:val="both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2023年10月和2024年6月对已收集各部分资料进行3次编制组内部会议，进行2轮专家咨询会。充分参考专家意见，对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《道地食药物质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原料生产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基地建设要求》</w:t>
      </w:r>
      <w:r>
        <w:rPr>
          <w:rFonts w:hint="eastAsia" w:ascii="仿宋" w:hAnsi="仿宋" w:eastAsia="仿宋" w:cs="仿宋"/>
          <w:sz w:val="32"/>
          <w:szCs w:val="32"/>
        </w:rPr>
        <w:t>内容进行专家咨询，修改完善各部分研究成果。建立会员企业基地名单，并进行评级。</w:t>
      </w:r>
    </w:p>
    <w:p w14:paraId="04BC4ECF">
      <w:pPr>
        <w:pStyle w:val="15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left="0" w:leftChars="0" w:firstLine="643" w:firstLineChars="200"/>
        <w:jc w:val="both"/>
        <w:textAlignment w:val="center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专家会议</w:t>
      </w:r>
    </w:p>
    <w:p w14:paraId="6D4E14ED"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经过前期的准备和调研，以及建设要求编写流程、标准制定，工作按照预期进展顺利，2024年3月至12月开展专家会议，期间多次征求部分专家意见和建议，对课题的框架结构、技术标准的规划、参考标准等宏观方面和结合中草药种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养殖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技术及中医药质量的影响，针对我国道地食药物质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原料生产</w:t>
      </w:r>
      <w:r>
        <w:rPr>
          <w:rFonts w:hint="eastAsia" w:ascii="仿宋" w:hAnsi="仿宋" w:eastAsia="仿宋" w:cs="仿宋"/>
          <w:sz w:val="32"/>
          <w:szCs w:val="32"/>
        </w:rPr>
        <w:t>基地建设存在的问题及关键技术较为薄弱的现状，以及示范基地应具有规范化、标准化、品牌化系统优势，从基地选择及布局、基地环境质量、基地生产规模、道地药材品种等具体的细节内容进行了详细的商讨，进行反复修改及撰写，在此基础上制定了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《道地食药物质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原料生产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基地建设要求》</w:t>
      </w:r>
      <w:r>
        <w:rPr>
          <w:rFonts w:hint="eastAsia" w:ascii="仿宋" w:hAnsi="仿宋" w:eastAsia="仿宋" w:cs="仿宋"/>
          <w:sz w:val="32"/>
          <w:szCs w:val="32"/>
        </w:rPr>
        <w:t>的初稿。</w:t>
      </w:r>
    </w:p>
    <w:p w14:paraId="73ABD6ED">
      <w:pPr>
        <w:pStyle w:val="15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left="0" w:leftChars="0" w:firstLine="643" w:firstLineChars="200"/>
        <w:jc w:val="both"/>
        <w:textAlignment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采用国际标准的程度</w:t>
      </w:r>
    </w:p>
    <w:p w14:paraId="2BC16807">
      <w:pPr>
        <w:pStyle w:val="15"/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left="0" w:leftChars="0" w:firstLine="643" w:firstLineChars="200"/>
        <w:jc w:val="both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重金属限量</w:t>
      </w:r>
    </w:p>
    <w:p w14:paraId="075D13E6"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直接采用ISO 18664:2015《中医药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-</w:t>
      </w:r>
      <w:r>
        <w:rPr>
          <w:rFonts w:hint="eastAsia" w:ascii="仿宋" w:hAnsi="仿宋" w:eastAsia="仿宋" w:cs="仿宋"/>
          <w:sz w:val="32"/>
          <w:szCs w:val="32"/>
        </w:rPr>
        <w:t>中草药重金属限量标准》，与国际草药质量要求接轨，提升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道地食药物质</w:t>
      </w:r>
      <w:r>
        <w:rPr>
          <w:rFonts w:hint="eastAsia" w:ascii="仿宋" w:hAnsi="仿宋" w:eastAsia="仿宋" w:cs="仿宋"/>
          <w:sz w:val="32"/>
          <w:szCs w:val="32"/>
        </w:rPr>
        <w:t>产品竞争力。</w:t>
      </w:r>
    </w:p>
    <w:p w14:paraId="0B753FCC">
      <w:pPr>
        <w:pStyle w:val="15"/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left="0" w:leftChars="0" w:firstLine="643" w:firstLineChars="200"/>
        <w:jc w:val="both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质量管理方法</w:t>
      </w:r>
    </w:p>
    <w:p w14:paraId="63A54D2F">
      <w:pPr>
        <w:pStyle w:val="1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参考ISO 9001质量管理体系框架，结合附件1中“全过程质量控制”要求，建立适合道地食药物质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原料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生产、</w:t>
      </w:r>
      <w:r>
        <w:rPr>
          <w:rFonts w:hint="eastAsia" w:ascii="仿宋" w:hAnsi="仿宋" w:eastAsia="仿宋" w:cs="仿宋"/>
          <w:sz w:val="32"/>
          <w:szCs w:val="32"/>
        </w:rPr>
        <w:t>管理流程。</w:t>
      </w:r>
    </w:p>
    <w:p w14:paraId="0EEF2CC2">
      <w:pPr>
        <w:pStyle w:val="15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left="0" w:leftChars="0" w:firstLine="643" w:firstLineChars="200"/>
        <w:jc w:val="both"/>
        <w:textAlignment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重大分歧意见的处理</w:t>
      </w:r>
    </w:p>
    <w:p w14:paraId="0F62B466"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firstLine="643" w:firstLineChars="200"/>
        <w:jc w:val="both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争议点 1：基地规模下限</w:t>
      </w:r>
    </w:p>
    <w:p w14:paraId="4AD121E4"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部分企业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专家</w:t>
      </w:r>
      <w:r>
        <w:rPr>
          <w:rFonts w:hint="eastAsia" w:ascii="仿宋" w:hAnsi="仿宋" w:eastAsia="仿宋" w:cs="仿宋"/>
          <w:sz w:val="32"/>
          <w:szCs w:val="32"/>
        </w:rPr>
        <w:t>提出珍稀药材（如铁皮石斛）种植成本高，建议降低规模要求。</w:t>
      </w:r>
    </w:p>
    <w:p w14:paraId="6895FAAA"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处理：经专家论证，在附件1中明确“珍稀名贵药材基地≥200亩”，既兼顾道地性保护，又考虑企业实际困难。</w:t>
      </w:r>
    </w:p>
    <w:p w14:paraId="00DAB01A"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firstLine="643" w:firstLineChars="200"/>
        <w:jc w:val="both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争议点 2：检测指标复杂性</w:t>
      </w:r>
    </w:p>
    <w:p w14:paraId="030C8D89"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部分</w:t>
      </w:r>
      <w:r>
        <w:rPr>
          <w:rFonts w:hint="eastAsia" w:ascii="仿宋" w:hAnsi="仿宋" w:eastAsia="仿宋" w:cs="仿宋"/>
          <w:sz w:val="32"/>
          <w:szCs w:val="32"/>
        </w:rPr>
        <w:t>企业反映高效液相色谱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仪</w:t>
      </w:r>
      <w:r>
        <w:rPr>
          <w:rFonts w:hint="eastAsia" w:ascii="仿宋" w:hAnsi="仿宋" w:eastAsia="仿宋" w:cs="仿宋"/>
          <w:sz w:val="32"/>
          <w:szCs w:val="32"/>
        </w:rPr>
        <w:t>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检测</w:t>
      </w:r>
      <w:r>
        <w:rPr>
          <w:rFonts w:hint="eastAsia" w:ascii="仿宋" w:hAnsi="仿宋" w:eastAsia="仿宋" w:cs="仿宋"/>
          <w:sz w:val="32"/>
          <w:szCs w:val="32"/>
        </w:rPr>
        <w:t>设备成本高，难以自主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完成质量评估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19B57BE6"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处理：在附件1中增加“可委托第三方检测”条款，并建议行业协会提供检测服务补贴，降低企业负担。</w:t>
      </w:r>
    </w:p>
    <w:p w14:paraId="5E9B72E1">
      <w:pPr>
        <w:pStyle w:val="15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left="0" w:leftChars="0" w:firstLine="643" w:firstLineChars="200"/>
        <w:jc w:val="both"/>
        <w:textAlignment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bookmarkStart w:id="0" w:name="_Toc359311111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与相关法律、版权等的</w:t>
      </w:r>
      <w:bookmarkEnd w:id="0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声明</w:t>
      </w:r>
    </w:p>
    <w:p w14:paraId="52420762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640" w:firstLineChars="200"/>
        <w:jc w:val="both"/>
        <w:outlineLvl w:val="0"/>
        <w:rPr>
          <w:rFonts w:ascii="Times New Roman" w:hAnsi="Times New Roman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本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要求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参考的文献和书籍较多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为避免版权纠纷，故特此明确声明：凡是参考了其内容的部分，其版权归上述文献和书籍的作者全权所有，并对作者及出版社表示深深的谢意！</w:t>
      </w:r>
    </w:p>
    <w:p w14:paraId="603BF2C4">
      <w:pPr>
        <w:pStyle w:val="15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left="0" w:leftChars="0" w:firstLine="643" w:firstLineChars="200"/>
        <w:jc w:val="both"/>
        <w:textAlignment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其它事项</w:t>
      </w:r>
    </w:p>
    <w:p w14:paraId="593D0840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该要求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  <w:t>实施后每3年修订一次，根据产业发展与技术进步调整指标；</w:t>
      </w:r>
    </w:p>
    <w:p w14:paraId="603AC983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  <w:t>鼓励企业结合区块链、物联网等技术升级追溯体系，提升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要求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  <w:t>适用性；</w:t>
      </w:r>
    </w:p>
    <w:p w14:paraId="1834A67F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  <w:t>本标准解释权归中国药膳研究会所有，技术咨询可联系膳用食材与药材研究专业委员会。</w:t>
      </w:r>
    </w:p>
    <w:p w14:paraId="7FC103DD">
      <w:pPr>
        <w:spacing w:line="600" w:lineRule="exact"/>
        <w:ind w:firstLine="643" w:firstLineChars="200"/>
        <w:rPr>
          <w:rFonts w:ascii="仿宋" w:hAnsi="仿宋" w:eastAsia="仿宋" w:cs="仿宋"/>
          <w:b/>
          <w:bCs/>
          <w:color w:val="000000"/>
          <w:sz w:val="32"/>
          <w:szCs w:val="32"/>
        </w:rPr>
      </w:pPr>
    </w:p>
    <w:p w14:paraId="7890024E">
      <w:pPr>
        <w:spacing w:line="600" w:lineRule="exact"/>
        <w:ind w:firstLine="964" w:firstLineChars="300"/>
        <w:jc w:val="right"/>
        <w:rPr>
          <w:rFonts w:ascii="仿宋" w:hAnsi="仿宋" w:eastAsia="仿宋" w:cs="仿宋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道地食药物质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原料生产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基地建设要求起草工作组</w:t>
      </w:r>
      <w:bookmarkStart w:id="1" w:name="_GoBack"/>
      <w:bookmarkEnd w:id="1"/>
    </w:p>
    <w:p w14:paraId="7B9204C7">
      <w:pPr>
        <w:ind w:firstLine="5140" w:firstLineChars="1600"/>
        <w:jc w:val="right"/>
        <w:rPr>
          <w:rFonts w:ascii="Times New Roman" w:hAnsi="Times New Roman" w:eastAsia="宋体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202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年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06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月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3B50A5"/>
    <w:multiLevelType w:val="singleLevel"/>
    <w:tmpl w:val="813B50A5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84AC37F2"/>
    <w:multiLevelType w:val="singleLevel"/>
    <w:tmpl w:val="84AC37F2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A7CC1904"/>
    <w:multiLevelType w:val="singleLevel"/>
    <w:tmpl w:val="A7CC1904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3">
    <w:nsid w:val="B6ECE995"/>
    <w:multiLevelType w:val="singleLevel"/>
    <w:tmpl w:val="B6ECE995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4">
    <w:nsid w:val="EA518EA7"/>
    <w:multiLevelType w:val="singleLevel"/>
    <w:tmpl w:val="EA518EA7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5">
    <w:nsid w:val="1FC91163"/>
    <w:multiLevelType w:val="multilevel"/>
    <w:tmpl w:val="1FC91163"/>
    <w:lvl w:ilvl="0" w:tentative="0">
      <w:start w:val="1"/>
      <w:numFmt w:val="decimal"/>
      <w:pStyle w:val="13"/>
      <w:suff w:val="nothing"/>
      <w:lvlText w:val="%1　"/>
      <w:lvlJc w:val="left"/>
      <w:pPr>
        <w:ind w:left="21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suff w:val="nothing"/>
      <w:lvlText w:val="%1.%2　"/>
      <w:lvlJc w:val="left"/>
      <w:pPr>
        <w:ind w:left="352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suff w:val="nothing"/>
      <w:lvlText w:val="%1.%2.%3　"/>
      <w:lvlJc w:val="left"/>
      <w:pPr>
        <w:ind w:left="21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21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21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21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21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561"/>
        </w:tabs>
        <w:ind w:left="417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987"/>
        </w:tabs>
        <w:ind w:left="4887" w:hanging="1700"/>
      </w:pPr>
      <w:rPr>
        <w:rFonts w:hint="eastAsia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embedSystemFonts/>
  <w:bordersDoNotSurroundHeader w:val="0"/>
  <w:bordersDoNotSurroundFooter w:val="0"/>
  <w:hideSpellingErrors/>
  <w:hideGrammaticalError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tLQwMza0MDY0sjQ1NDNW0lEKTi0uzszPAykwqgUAMF3ZuCwAAAA="/>
    <w:docVar w:name="commondata" w:val="eyJoZGlkIjoiZTY5NTZhYWM2YmFlNWMzZjliOWIyZGE4OThiZDY4MzQifQ=="/>
  </w:docVars>
  <w:rsids>
    <w:rsidRoot w:val="004A4101"/>
    <w:rsid w:val="0000683F"/>
    <w:rsid w:val="00015292"/>
    <w:rsid w:val="000160DE"/>
    <w:rsid w:val="00022EDF"/>
    <w:rsid w:val="00030E83"/>
    <w:rsid w:val="00057D19"/>
    <w:rsid w:val="00057E55"/>
    <w:rsid w:val="0006279D"/>
    <w:rsid w:val="00076B9F"/>
    <w:rsid w:val="0009068A"/>
    <w:rsid w:val="000A1F23"/>
    <w:rsid w:val="000A430B"/>
    <w:rsid w:val="000A4787"/>
    <w:rsid w:val="000B380C"/>
    <w:rsid w:val="000C100B"/>
    <w:rsid w:val="000C2BB0"/>
    <w:rsid w:val="000C3311"/>
    <w:rsid w:val="000D7F00"/>
    <w:rsid w:val="000E47D8"/>
    <w:rsid w:val="0012258B"/>
    <w:rsid w:val="00125A61"/>
    <w:rsid w:val="00137197"/>
    <w:rsid w:val="001419B9"/>
    <w:rsid w:val="001524FF"/>
    <w:rsid w:val="00155ABD"/>
    <w:rsid w:val="00172793"/>
    <w:rsid w:val="00182B2F"/>
    <w:rsid w:val="00183149"/>
    <w:rsid w:val="001912C5"/>
    <w:rsid w:val="001A0491"/>
    <w:rsid w:val="001A20F5"/>
    <w:rsid w:val="001C51B2"/>
    <w:rsid w:val="001C7FC0"/>
    <w:rsid w:val="001D6050"/>
    <w:rsid w:val="001D7611"/>
    <w:rsid w:val="00202503"/>
    <w:rsid w:val="00211E62"/>
    <w:rsid w:val="00212F2C"/>
    <w:rsid w:val="00213F64"/>
    <w:rsid w:val="00226BA0"/>
    <w:rsid w:val="002356D8"/>
    <w:rsid w:val="002403C5"/>
    <w:rsid w:val="00246380"/>
    <w:rsid w:val="00255B41"/>
    <w:rsid w:val="002715C5"/>
    <w:rsid w:val="0027372D"/>
    <w:rsid w:val="002765B0"/>
    <w:rsid w:val="002826F4"/>
    <w:rsid w:val="00294F70"/>
    <w:rsid w:val="00296E98"/>
    <w:rsid w:val="002A2D15"/>
    <w:rsid w:val="002A3729"/>
    <w:rsid w:val="002A3871"/>
    <w:rsid w:val="002B5096"/>
    <w:rsid w:val="002B7EC7"/>
    <w:rsid w:val="002C6FB1"/>
    <w:rsid w:val="002C73FB"/>
    <w:rsid w:val="002D44AE"/>
    <w:rsid w:val="002E2D17"/>
    <w:rsid w:val="002E782E"/>
    <w:rsid w:val="002F1A9F"/>
    <w:rsid w:val="002F3C23"/>
    <w:rsid w:val="00305891"/>
    <w:rsid w:val="00307353"/>
    <w:rsid w:val="003257CE"/>
    <w:rsid w:val="00331F2A"/>
    <w:rsid w:val="00333E59"/>
    <w:rsid w:val="003373F9"/>
    <w:rsid w:val="00340855"/>
    <w:rsid w:val="003456DA"/>
    <w:rsid w:val="00351E37"/>
    <w:rsid w:val="00362759"/>
    <w:rsid w:val="00363063"/>
    <w:rsid w:val="003755C4"/>
    <w:rsid w:val="00376F67"/>
    <w:rsid w:val="00396308"/>
    <w:rsid w:val="00396F29"/>
    <w:rsid w:val="003A6B9A"/>
    <w:rsid w:val="003B0DFB"/>
    <w:rsid w:val="003C2B79"/>
    <w:rsid w:val="003D44DD"/>
    <w:rsid w:val="003D4B4E"/>
    <w:rsid w:val="003D5641"/>
    <w:rsid w:val="003D6990"/>
    <w:rsid w:val="003E6371"/>
    <w:rsid w:val="003F35BA"/>
    <w:rsid w:val="003F6109"/>
    <w:rsid w:val="00402252"/>
    <w:rsid w:val="00431A1D"/>
    <w:rsid w:val="00434440"/>
    <w:rsid w:val="00442B95"/>
    <w:rsid w:val="00447B6F"/>
    <w:rsid w:val="004528CC"/>
    <w:rsid w:val="00455360"/>
    <w:rsid w:val="00465005"/>
    <w:rsid w:val="00466646"/>
    <w:rsid w:val="00470E2C"/>
    <w:rsid w:val="004711E9"/>
    <w:rsid w:val="00477670"/>
    <w:rsid w:val="00480522"/>
    <w:rsid w:val="004864F0"/>
    <w:rsid w:val="0049312C"/>
    <w:rsid w:val="004A01BC"/>
    <w:rsid w:val="004A0C8C"/>
    <w:rsid w:val="004A4101"/>
    <w:rsid w:val="004C5002"/>
    <w:rsid w:val="004C5500"/>
    <w:rsid w:val="004D20F2"/>
    <w:rsid w:val="004D30E0"/>
    <w:rsid w:val="004D5854"/>
    <w:rsid w:val="004E233C"/>
    <w:rsid w:val="004E2ABF"/>
    <w:rsid w:val="004E426A"/>
    <w:rsid w:val="004F12B1"/>
    <w:rsid w:val="004F6355"/>
    <w:rsid w:val="004F7658"/>
    <w:rsid w:val="005152D1"/>
    <w:rsid w:val="00517DD4"/>
    <w:rsid w:val="005261DD"/>
    <w:rsid w:val="005315C8"/>
    <w:rsid w:val="00532728"/>
    <w:rsid w:val="00536518"/>
    <w:rsid w:val="0053786B"/>
    <w:rsid w:val="00542412"/>
    <w:rsid w:val="005442F8"/>
    <w:rsid w:val="00554E0F"/>
    <w:rsid w:val="005567A5"/>
    <w:rsid w:val="00560B6A"/>
    <w:rsid w:val="0056224A"/>
    <w:rsid w:val="00563911"/>
    <w:rsid w:val="005660EF"/>
    <w:rsid w:val="005A1DA4"/>
    <w:rsid w:val="005A3D11"/>
    <w:rsid w:val="005A741F"/>
    <w:rsid w:val="005B02D8"/>
    <w:rsid w:val="005B3826"/>
    <w:rsid w:val="005B3EF9"/>
    <w:rsid w:val="005B6F03"/>
    <w:rsid w:val="005C21B3"/>
    <w:rsid w:val="005C35BE"/>
    <w:rsid w:val="005C3E5B"/>
    <w:rsid w:val="005C6774"/>
    <w:rsid w:val="005C7100"/>
    <w:rsid w:val="005D199C"/>
    <w:rsid w:val="005E2D66"/>
    <w:rsid w:val="005F1A16"/>
    <w:rsid w:val="00600199"/>
    <w:rsid w:val="006041AD"/>
    <w:rsid w:val="00615881"/>
    <w:rsid w:val="00623A12"/>
    <w:rsid w:val="00631B77"/>
    <w:rsid w:val="00640D5F"/>
    <w:rsid w:val="00642A2F"/>
    <w:rsid w:val="006538D8"/>
    <w:rsid w:val="00662789"/>
    <w:rsid w:val="00664715"/>
    <w:rsid w:val="00666DFE"/>
    <w:rsid w:val="006805B0"/>
    <w:rsid w:val="00680BEB"/>
    <w:rsid w:val="00681222"/>
    <w:rsid w:val="0068179F"/>
    <w:rsid w:val="00681BDF"/>
    <w:rsid w:val="00687BE5"/>
    <w:rsid w:val="00694CD8"/>
    <w:rsid w:val="006A4BE0"/>
    <w:rsid w:val="006A73A0"/>
    <w:rsid w:val="006B034F"/>
    <w:rsid w:val="006B6906"/>
    <w:rsid w:val="006B7CEE"/>
    <w:rsid w:val="006B7F52"/>
    <w:rsid w:val="006C3932"/>
    <w:rsid w:val="006C61EC"/>
    <w:rsid w:val="006D4EB3"/>
    <w:rsid w:val="006E63F1"/>
    <w:rsid w:val="006F36DA"/>
    <w:rsid w:val="006F5792"/>
    <w:rsid w:val="006F7454"/>
    <w:rsid w:val="00705EB1"/>
    <w:rsid w:val="00706799"/>
    <w:rsid w:val="00712E07"/>
    <w:rsid w:val="007261FA"/>
    <w:rsid w:val="00737434"/>
    <w:rsid w:val="0074268E"/>
    <w:rsid w:val="00770A8A"/>
    <w:rsid w:val="00784466"/>
    <w:rsid w:val="007A4645"/>
    <w:rsid w:val="007B6A8B"/>
    <w:rsid w:val="007C3074"/>
    <w:rsid w:val="007D0A7A"/>
    <w:rsid w:val="007E169F"/>
    <w:rsid w:val="007E1959"/>
    <w:rsid w:val="007F172A"/>
    <w:rsid w:val="007F586F"/>
    <w:rsid w:val="00802750"/>
    <w:rsid w:val="008160D7"/>
    <w:rsid w:val="008160F5"/>
    <w:rsid w:val="00817EF4"/>
    <w:rsid w:val="00825BC8"/>
    <w:rsid w:val="00826C32"/>
    <w:rsid w:val="008510FD"/>
    <w:rsid w:val="00853F87"/>
    <w:rsid w:val="008540FD"/>
    <w:rsid w:val="00855139"/>
    <w:rsid w:val="00862200"/>
    <w:rsid w:val="00864825"/>
    <w:rsid w:val="00866519"/>
    <w:rsid w:val="0086745D"/>
    <w:rsid w:val="00867DB5"/>
    <w:rsid w:val="00883DE8"/>
    <w:rsid w:val="00886925"/>
    <w:rsid w:val="00897419"/>
    <w:rsid w:val="008A7A27"/>
    <w:rsid w:val="008B4629"/>
    <w:rsid w:val="008C0EBD"/>
    <w:rsid w:val="008C2E6B"/>
    <w:rsid w:val="008D4D5D"/>
    <w:rsid w:val="008D7256"/>
    <w:rsid w:val="008E274B"/>
    <w:rsid w:val="008E7011"/>
    <w:rsid w:val="008F1A51"/>
    <w:rsid w:val="009026DA"/>
    <w:rsid w:val="009040CB"/>
    <w:rsid w:val="0091301E"/>
    <w:rsid w:val="0092474F"/>
    <w:rsid w:val="00924D2A"/>
    <w:rsid w:val="0093042A"/>
    <w:rsid w:val="00933DD0"/>
    <w:rsid w:val="00935711"/>
    <w:rsid w:val="00935C75"/>
    <w:rsid w:val="00946F0B"/>
    <w:rsid w:val="00950072"/>
    <w:rsid w:val="00950E32"/>
    <w:rsid w:val="009531C5"/>
    <w:rsid w:val="009734D4"/>
    <w:rsid w:val="009809AF"/>
    <w:rsid w:val="00983031"/>
    <w:rsid w:val="0098371B"/>
    <w:rsid w:val="00990158"/>
    <w:rsid w:val="00992885"/>
    <w:rsid w:val="009B399E"/>
    <w:rsid w:val="009B4674"/>
    <w:rsid w:val="009C1550"/>
    <w:rsid w:val="009E2A83"/>
    <w:rsid w:val="00A01E4B"/>
    <w:rsid w:val="00A07563"/>
    <w:rsid w:val="00A1276F"/>
    <w:rsid w:val="00A1548F"/>
    <w:rsid w:val="00A204ED"/>
    <w:rsid w:val="00A22B05"/>
    <w:rsid w:val="00A25136"/>
    <w:rsid w:val="00A43D1B"/>
    <w:rsid w:val="00A51B52"/>
    <w:rsid w:val="00A527BE"/>
    <w:rsid w:val="00A5611E"/>
    <w:rsid w:val="00A60515"/>
    <w:rsid w:val="00A62708"/>
    <w:rsid w:val="00A67A35"/>
    <w:rsid w:val="00A722CE"/>
    <w:rsid w:val="00A80D7F"/>
    <w:rsid w:val="00A8399E"/>
    <w:rsid w:val="00A871CD"/>
    <w:rsid w:val="00A910F3"/>
    <w:rsid w:val="00AA1CA5"/>
    <w:rsid w:val="00AB60D6"/>
    <w:rsid w:val="00AB7004"/>
    <w:rsid w:val="00AB73AF"/>
    <w:rsid w:val="00AC4498"/>
    <w:rsid w:val="00AC4B5B"/>
    <w:rsid w:val="00AE1DC0"/>
    <w:rsid w:val="00B21F61"/>
    <w:rsid w:val="00B23CD1"/>
    <w:rsid w:val="00B35957"/>
    <w:rsid w:val="00B40E8C"/>
    <w:rsid w:val="00B41504"/>
    <w:rsid w:val="00B508FE"/>
    <w:rsid w:val="00B516C0"/>
    <w:rsid w:val="00B539D4"/>
    <w:rsid w:val="00B662BC"/>
    <w:rsid w:val="00B73343"/>
    <w:rsid w:val="00B75559"/>
    <w:rsid w:val="00B8146C"/>
    <w:rsid w:val="00B83521"/>
    <w:rsid w:val="00B85D35"/>
    <w:rsid w:val="00B9678E"/>
    <w:rsid w:val="00B96B44"/>
    <w:rsid w:val="00B977A2"/>
    <w:rsid w:val="00BB2853"/>
    <w:rsid w:val="00BB69CE"/>
    <w:rsid w:val="00BC03E4"/>
    <w:rsid w:val="00BD0AB4"/>
    <w:rsid w:val="00BD5850"/>
    <w:rsid w:val="00BE42D2"/>
    <w:rsid w:val="00BE6069"/>
    <w:rsid w:val="00BE6707"/>
    <w:rsid w:val="00BE6762"/>
    <w:rsid w:val="00C20E83"/>
    <w:rsid w:val="00C25054"/>
    <w:rsid w:val="00C307D9"/>
    <w:rsid w:val="00C33353"/>
    <w:rsid w:val="00C41475"/>
    <w:rsid w:val="00C43126"/>
    <w:rsid w:val="00C6119C"/>
    <w:rsid w:val="00C6239A"/>
    <w:rsid w:val="00C72FCE"/>
    <w:rsid w:val="00C80BED"/>
    <w:rsid w:val="00C90364"/>
    <w:rsid w:val="00C904B8"/>
    <w:rsid w:val="00C926FB"/>
    <w:rsid w:val="00CA38DB"/>
    <w:rsid w:val="00CA721B"/>
    <w:rsid w:val="00CB7729"/>
    <w:rsid w:val="00CC6055"/>
    <w:rsid w:val="00CD2DE8"/>
    <w:rsid w:val="00CD3354"/>
    <w:rsid w:val="00CD68B1"/>
    <w:rsid w:val="00CE20AC"/>
    <w:rsid w:val="00CE35BE"/>
    <w:rsid w:val="00CE7A9A"/>
    <w:rsid w:val="00CF20A1"/>
    <w:rsid w:val="00D12494"/>
    <w:rsid w:val="00D24980"/>
    <w:rsid w:val="00D3545D"/>
    <w:rsid w:val="00D4193B"/>
    <w:rsid w:val="00D736A4"/>
    <w:rsid w:val="00D82F95"/>
    <w:rsid w:val="00DD6F8D"/>
    <w:rsid w:val="00DE2F31"/>
    <w:rsid w:val="00E10D70"/>
    <w:rsid w:val="00E153AA"/>
    <w:rsid w:val="00E2217B"/>
    <w:rsid w:val="00E26593"/>
    <w:rsid w:val="00E4145E"/>
    <w:rsid w:val="00E52E86"/>
    <w:rsid w:val="00E61757"/>
    <w:rsid w:val="00E66037"/>
    <w:rsid w:val="00E6681D"/>
    <w:rsid w:val="00E70AAC"/>
    <w:rsid w:val="00E90BF1"/>
    <w:rsid w:val="00E97355"/>
    <w:rsid w:val="00EB6696"/>
    <w:rsid w:val="00EB7B20"/>
    <w:rsid w:val="00EC4781"/>
    <w:rsid w:val="00ED1528"/>
    <w:rsid w:val="00ED31BB"/>
    <w:rsid w:val="00ED4976"/>
    <w:rsid w:val="00ED6A3C"/>
    <w:rsid w:val="00ED73BA"/>
    <w:rsid w:val="00EE6982"/>
    <w:rsid w:val="00EF5AA6"/>
    <w:rsid w:val="00F01C49"/>
    <w:rsid w:val="00F11163"/>
    <w:rsid w:val="00F11A5D"/>
    <w:rsid w:val="00F1202C"/>
    <w:rsid w:val="00F13122"/>
    <w:rsid w:val="00F16970"/>
    <w:rsid w:val="00F16B64"/>
    <w:rsid w:val="00F16FED"/>
    <w:rsid w:val="00F21430"/>
    <w:rsid w:val="00F250A2"/>
    <w:rsid w:val="00F26F88"/>
    <w:rsid w:val="00F27741"/>
    <w:rsid w:val="00F31519"/>
    <w:rsid w:val="00F31C19"/>
    <w:rsid w:val="00F3576B"/>
    <w:rsid w:val="00F36C8A"/>
    <w:rsid w:val="00F36DEE"/>
    <w:rsid w:val="00F41487"/>
    <w:rsid w:val="00F439C4"/>
    <w:rsid w:val="00F4566F"/>
    <w:rsid w:val="00F45E58"/>
    <w:rsid w:val="00F5233C"/>
    <w:rsid w:val="00F52430"/>
    <w:rsid w:val="00F5505E"/>
    <w:rsid w:val="00F643A9"/>
    <w:rsid w:val="00F75A4C"/>
    <w:rsid w:val="00F917A5"/>
    <w:rsid w:val="00FA6E46"/>
    <w:rsid w:val="00FB2AEC"/>
    <w:rsid w:val="00FD1C2F"/>
    <w:rsid w:val="00FD5DF6"/>
    <w:rsid w:val="00FD68AF"/>
    <w:rsid w:val="00FD7FD8"/>
    <w:rsid w:val="00FE23A5"/>
    <w:rsid w:val="00FE4252"/>
    <w:rsid w:val="00FF06AE"/>
    <w:rsid w:val="00FF7782"/>
    <w:rsid w:val="04B6416D"/>
    <w:rsid w:val="0C583CC8"/>
    <w:rsid w:val="11927E37"/>
    <w:rsid w:val="130122D5"/>
    <w:rsid w:val="13800875"/>
    <w:rsid w:val="169352D6"/>
    <w:rsid w:val="16DA6555"/>
    <w:rsid w:val="175E0F34"/>
    <w:rsid w:val="1793269F"/>
    <w:rsid w:val="1B524300"/>
    <w:rsid w:val="1B5E2A60"/>
    <w:rsid w:val="24593D0D"/>
    <w:rsid w:val="24B9773C"/>
    <w:rsid w:val="272046A1"/>
    <w:rsid w:val="29176109"/>
    <w:rsid w:val="2FB71E7E"/>
    <w:rsid w:val="30CF66CF"/>
    <w:rsid w:val="3D274B2E"/>
    <w:rsid w:val="3DE0767D"/>
    <w:rsid w:val="43105ABF"/>
    <w:rsid w:val="46A63BDA"/>
    <w:rsid w:val="4A7C51C0"/>
    <w:rsid w:val="4C962D9B"/>
    <w:rsid w:val="4D6E2F78"/>
    <w:rsid w:val="50C260BB"/>
    <w:rsid w:val="51493141"/>
    <w:rsid w:val="52E54374"/>
    <w:rsid w:val="54132D65"/>
    <w:rsid w:val="5462580C"/>
    <w:rsid w:val="58B32187"/>
    <w:rsid w:val="5C474621"/>
    <w:rsid w:val="5F2B0CC9"/>
    <w:rsid w:val="60E83F3B"/>
    <w:rsid w:val="7E8B7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semiHidden/>
    <w:unhideWhenUsed/>
    <w:qFormat/>
    <w:uiPriority w:val="0"/>
    <w:pPr>
      <w:jc w:val="left"/>
    </w:pPr>
  </w:style>
  <w:style w:type="paragraph" w:styleId="3">
    <w:name w:val="Body Text Inden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Balloon Text"/>
    <w:basedOn w:val="1"/>
    <w:link w:val="18"/>
    <w:qFormat/>
    <w:uiPriority w:val="0"/>
    <w:rPr>
      <w:sz w:val="18"/>
      <w:szCs w:val="18"/>
    </w:rPr>
  </w:style>
  <w:style w:type="paragraph" w:styleId="6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2"/>
    <w:next w:val="2"/>
    <w:link w:val="20"/>
    <w:semiHidden/>
    <w:unhideWhenUsed/>
    <w:qFormat/>
    <w:uiPriority w:val="0"/>
    <w:rPr>
      <w:b/>
      <w:bCs/>
    </w:rPr>
  </w:style>
  <w:style w:type="character" w:styleId="11">
    <w:name w:val="annotation reference"/>
    <w:basedOn w:val="10"/>
    <w:semiHidden/>
    <w:unhideWhenUsed/>
    <w:qFormat/>
    <w:uiPriority w:val="0"/>
    <w:rPr>
      <w:sz w:val="21"/>
      <w:szCs w:val="21"/>
    </w:rPr>
  </w:style>
  <w:style w:type="paragraph" w:customStyle="1" w:styleId="1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13">
    <w:name w:val="章标题"/>
    <w:next w:val="14"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eastAsia="黑体" w:hAnsiTheme="minorHAnsi" w:cstheme="minorBidi"/>
      <w:sz w:val="21"/>
      <w:szCs w:val="22"/>
      <w:lang w:val="en-US" w:eastAsia="zh-CN" w:bidi="ar-SA"/>
    </w:rPr>
  </w:style>
  <w:style w:type="paragraph" w:customStyle="1" w:styleId="14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eastAsia="Times New Roman" w:hAnsiTheme="minorHAnsi" w:cstheme="minorBidi"/>
      <w:sz w:val="21"/>
      <w:szCs w:val="22"/>
      <w:lang w:val="en-US" w:eastAsia="zh-CN" w:bidi="ar-SA"/>
    </w:rPr>
  </w:style>
  <w:style w:type="paragraph" w:customStyle="1" w:styleId="15">
    <w:name w:val="封面标准英文名称"/>
    <w:basedOn w:val="1"/>
    <w:qFormat/>
    <w:uiPriority w:val="0"/>
    <w:pPr>
      <w:spacing w:before="370" w:line="400" w:lineRule="exact"/>
      <w:jc w:val="center"/>
      <w:textAlignment w:val="center"/>
    </w:pPr>
    <w:rPr>
      <w:rFonts w:ascii="Times New Roman" w:hAnsi="Times New Roman" w:eastAsia="黑体"/>
      <w:kern w:val="0"/>
      <w:sz w:val="28"/>
      <w:szCs w:val="28"/>
    </w:rPr>
  </w:style>
  <w:style w:type="character" w:customStyle="1" w:styleId="16">
    <w:name w:val="页眉 字符"/>
    <w:basedOn w:val="10"/>
    <w:link w:val="7"/>
    <w:qFormat/>
    <w:uiPriority w:val="0"/>
    <w:rPr>
      <w:kern w:val="2"/>
      <w:sz w:val="18"/>
      <w:szCs w:val="18"/>
    </w:rPr>
  </w:style>
  <w:style w:type="character" w:customStyle="1" w:styleId="17">
    <w:name w:val="页脚 字符"/>
    <w:basedOn w:val="10"/>
    <w:link w:val="6"/>
    <w:qFormat/>
    <w:uiPriority w:val="0"/>
    <w:rPr>
      <w:kern w:val="2"/>
      <w:sz w:val="18"/>
      <w:szCs w:val="18"/>
    </w:rPr>
  </w:style>
  <w:style w:type="character" w:customStyle="1" w:styleId="18">
    <w:name w:val="批注框文本 字符"/>
    <w:basedOn w:val="10"/>
    <w:link w:val="5"/>
    <w:qFormat/>
    <w:uiPriority w:val="0"/>
    <w:rPr>
      <w:kern w:val="2"/>
      <w:sz w:val="18"/>
      <w:szCs w:val="18"/>
    </w:rPr>
  </w:style>
  <w:style w:type="character" w:customStyle="1" w:styleId="19">
    <w:name w:val="批注文字 字符"/>
    <w:basedOn w:val="10"/>
    <w:link w:val="2"/>
    <w:semiHidden/>
    <w:qFormat/>
    <w:uiPriority w:val="0"/>
    <w:rPr>
      <w:kern w:val="2"/>
      <w:sz w:val="21"/>
      <w:szCs w:val="24"/>
    </w:rPr>
  </w:style>
  <w:style w:type="character" w:customStyle="1" w:styleId="20">
    <w:name w:val="批注主题 字符"/>
    <w:basedOn w:val="19"/>
    <w:link w:val="8"/>
    <w:semiHidden/>
    <w:qFormat/>
    <w:uiPriority w:val="0"/>
    <w:rPr>
      <w:b/>
      <w:bCs/>
      <w:kern w:val="2"/>
      <w:sz w:val="21"/>
      <w:szCs w:val="24"/>
    </w:rPr>
  </w:style>
  <w:style w:type="paragraph" w:customStyle="1" w:styleId="21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22">
    <w:name w:val="修订2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23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2C951F-0E32-48A1-96D3-7170150276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9</Pages>
  <Words>2775</Words>
  <Characters>2990</Characters>
  <Lines>28</Lines>
  <Paragraphs>7</Paragraphs>
  <TotalTime>2</TotalTime>
  <ScaleCrop>false</ScaleCrop>
  <LinksUpToDate>false</LinksUpToDate>
  <CharactersWithSpaces>3169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2022-06-16T07:44:00Z</dcterms:created>
  <dc:creator>标办</dc:creator>
  <cp:lastModifiedBy>Administrator</cp:lastModifiedBy>
  <dcterms:modified xsi:type="dcterms:W3CDTF">2025-06-24T03:19:52Z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744D1C8A73954D7DA49CE23D9DC5464D_13</vt:lpwstr>
  </property>
  <property fmtid="{D5CDD505-2E9C-101B-9397-08002B2CF9AE}" pid="4" name="KSOTemplateDocerSaveRecord">
    <vt:lpwstr>eyJoZGlkIjoiODA2MjE1ZTJiZjc2ZjQ3OTUwY2UwOGMzYjBmOWM4OTkifQ==</vt:lpwstr>
  </property>
</Properties>
</file>