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5C12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E3FF03">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lang w:eastAsia="zh-CN"/>
              </w:rPr>
            </w:pPr>
            <w:r>
              <w:rPr>
                <w:rFonts w:ascii="Times New Roman" w:hAnsi="Times New Roman" w:eastAsia="黑体"/>
                <w:sz w:val="21"/>
                <w:szCs w:val="21"/>
              </w:rPr>
              <w:t>ICS</w:t>
            </w:r>
          </w:p>
        </w:tc>
        <w:tc>
          <w:tcPr>
            <w:tcW w:w="8855" w:type="dxa"/>
          </w:tcPr>
          <w:p w14:paraId="5EBAF7C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2A334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31134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lang w:eastAsia="zh-CN"/>
              </w:rPr>
            </w:pPr>
            <w:r>
              <w:rPr>
                <w:rFonts w:ascii="Times New Roman" w:hAnsi="Times New Roman" w:eastAsia="黑体"/>
                <w:sz w:val="21"/>
                <w:szCs w:val="21"/>
              </w:rPr>
              <w:t>CCS</w:t>
            </w:r>
          </w:p>
        </w:tc>
        <w:tc>
          <w:tcPr>
            <w:tcW w:w="8855" w:type="dxa"/>
          </w:tcPr>
          <w:p w14:paraId="7EBCC08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92EA6B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C544D85">
            <w:pPr>
              <w:pStyle w:val="49"/>
              <w:framePr w:w="0" w:hRule="auto" w:wrap="auto" w:vAnchor="margin" w:hAnchor="text" w:xAlign="left" w:yAlign="inline"/>
              <w:rPr>
                <w:rFonts w:ascii="宋体" w:hAnsi="宋体"/>
                <w:sz w:val="28"/>
                <w:szCs w:val="28"/>
              </w:rPr>
            </w:pPr>
            <w:bookmarkStart w:id="2" w:name="_Hlk26473981"/>
            <w:r>
              <w:rPr>
                <w:rFonts w:hint="eastAsia"/>
              </w:rPr>
              <w:t>DB</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w:t>
            </w:r>
            <w:r>
              <w:fldChar w:fldCharType="end"/>
            </w:r>
            <w:bookmarkEnd w:id="3"/>
          </w:p>
        </w:tc>
      </w:tr>
    </w:tbl>
    <w:p w14:paraId="2DBE3ADB">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甘肃省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5E4B9DF">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62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2BBA9CE">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46E1F2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FAEC4EF">
      <w:pPr>
        <w:pStyle w:val="50"/>
        <w:framePr w:w="9639" w:h="6976" w:hRule="exact" w:hSpace="0" w:vSpace="0" w:wrap="around" w:hAnchor="page" w:y="6408"/>
        <w:jc w:val="center"/>
        <w:rPr>
          <w:rFonts w:ascii="黑体" w:hAnsi="黑体" w:eastAsia="黑体"/>
          <w:b w:val="0"/>
          <w:bCs w:val="0"/>
          <w:w w:val="100"/>
        </w:rPr>
      </w:pPr>
    </w:p>
    <w:p w14:paraId="7CDFE084">
      <w:pPr>
        <w:pStyle w:val="197"/>
        <w:framePr w:h="6974" w:hRule="exact" w:wrap="around" w:x="1419" w:anchorLock="1"/>
        <w:spacing w:line="360" w:lineRule="auto"/>
        <w:rPr>
          <w:sz w:val="48"/>
          <w:szCs w:val="48"/>
        </w:rPr>
      </w:pPr>
      <w:r>
        <w:rPr>
          <w:rFonts w:hint="eastAsia"/>
          <w:sz w:val="48"/>
          <w:szCs w:val="48"/>
        </w:rPr>
        <w:t>重大活动特种设备安全保障工作规范</w:t>
      </w:r>
    </w:p>
    <w:p w14:paraId="33B518F2">
      <w:pPr>
        <w:framePr w:w="9639" w:h="6974" w:hRule="exact" w:wrap="around" w:vAnchor="page" w:hAnchor="page" w:x="1419" w:y="6408" w:anchorLock="1"/>
        <w:spacing w:line="360" w:lineRule="auto"/>
        <w:ind w:left="-1418"/>
      </w:pPr>
    </w:p>
    <w:p w14:paraId="458AD275">
      <w:pPr>
        <w:pStyle w:val="125"/>
        <w:framePr w:w="9639" w:h="6974" w:hRule="exact" w:wrap="around" w:vAnchor="page" w:hAnchor="page" w:x="1419" w:y="6408" w:anchorLock="1"/>
        <w:spacing w:line="360" w:lineRule="auto"/>
        <w:textAlignment w:val="bottom"/>
        <w:rPr>
          <w:rFonts w:eastAsia="黑体"/>
          <w:szCs w:val="28"/>
        </w:rPr>
      </w:pPr>
      <w:r>
        <w:rPr>
          <w:rFonts w:eastAsia="黑体"/>
          <w:szCs w:val="28"/>
        </w:rPr>
        <w:t>Specification for Safety Assurance of Special Equipment for Major Activities</w:t>
      </w:r>
    </w:p>
    <w:p w14:paraId="79B8A479">
      <w:pPr>
        <w:framePr w:w="9639" w:h="6974" w:hRule="exact" w:wrap="around" w:vAnchor="page" w:hAnchor="page" w:x="1419" w:y="6408" w:anchorLock="1"/>
        <w:spacing w:line="360" w:lineRule="auto"/>
        <w:ind w:left="-1418"/>
      </w:pPr>
    </w:p>
    <w:p w14:paraId="3B8AAB38">
      <w:pPr>
        <w:pStyle w:val="125"/>
        <w:framePr w:w="9639" w:h="6974" w:hRule="exact" w:wrap="around" w:vAnchor="page" w:hAnchor="page" w:x="1419" w:y="6408" w:anchorLock="1"/>
        <w:textAlignment w:val="bottom"/>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征求意见稿</w:t>
      </w:r>
      <w:r>
        <w:rPr>
          <w:rFonts w:hint="eastAsia" w:ascii="宋体" w:hAnsi="宋体"/>
          <w:sz w:val="24"/>
          <w:szCs w:val="24"/>
        </w:rPr>
        <w:t>）</w:t>
      </w:r>
    </w:p>
    <w:p w14:paraId="1BBC5A2F">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23DC83A9">
      <w:pPr>
        <w:pStyle w:val="193"/>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5DB3A1EA">
      <w:pPr>
        <w:pStyle w:val="194"/>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4F577EB3">
      <w:pPr>
        <w:pStyle w:val="151"/>
        <w:framePr w:h="584" w:hRule="exact" w:hSpace="181" w:vSpace="181" w:wrap="around" w:y="15027"/>
        <w:rPr>
          <w:rFonts w:hAnsi="黑体"/>
        </w:rPr>
      </w:pPr>
      <w:r>
        <w:rPr>
          <w:rFonts w:hint="eastAsia" w:hAnsi="黑体"/>
          <w:w w:val="100"/>
          <w:sz w:val="28"/>
        </w:rPr>
        <w:t>甘肃省市场监督管理局</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AA47A0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09A5D03">
      <w:pPr>
        <w:pStyle w:val="89"/>
        <w:numPr>
          <w:ilvl w:val="0"/>
          <w:numId w:val="0"/>
        </w:numPr>
        <w:spacing w:before="0" w:after="360" w:line="360" w:lineRule="auto"/>
        <w:ind w:left="425" w:hanging="425"/>
      </w:pPr>
      <w:bookmarkStart w:id="15" w:name="BookMark2"/>
      <w:r>
        <w:rPr>
          <w:spacing w:val="320"/>
        </w:rPr>
        <w:t>前</w:t>
      </w:r>
      <w:r>
        <w:t>言</w:t>
      </w:r>
    </w:p>
    <w:p w14:paraId="3CEEFE7A">
      <w:pPr>
        <w:pStyle w:val="56"/>
        <w:spacing w:line="360" w:lineRule="auto"/>
        <w:ind w:firstLine="420"/>
      </w:pPr>
      <w:r>
        <w:rPr>
          <w:rFonts w:hint="eastAsia"/>
        </w:rPr>
        <w:t>本文件按照GB/T 1.1—2020《标准化工作导则  第1部分：标准化文件的结构和起草规则》的规定起草。</w:t>
      </w:r>
    </w:p>
    <w:p w14:paraId="37A5659D">
      <w:pPr>
        <w:pStyle w:val="56"/>
        <w:spacing w:line="360" w:lineRule="auto"/>
        <w:ind w:firstLine="420"/>
      </w:pPr>
      <w:r>
        <w:rPr>
          <w:rFonts w:hint="eastAsia"/>
        </w:rPr>
        <w:t>本文件由</w:t>
      </w:r>
      <w:r>
        <w:rPr>
          <w:rFonts w:hint="eastAsia" w:hAnsi="宋体"/>
        </w:rPr>
        <w:t>甘肃省市场监督管理局</w:t>
      </w:r>
      <w:r>
        <w:rPr>
          <w:rFonts w:hint="eastAsia"/>
        </w:rPr>
        <w:t>提出、归口并监督实施。</w:t>
      </w:r>
    </w:p>
    <w:p w14:paraId="5F380E6D">
      <w:pPr>
        <w:pStyle w:val="56"/>
        <w:spacing w:line="360" w:lineRule="auto"/>
        <w:ind w:firstLine="420"/>
      </w:pPr>
      <w:r>
        <w:rPr>
          <w:rFonts w:hint="eastAsia"/>
        </w:rPr>
        <w:t>本文件起草单位：甘肃省特种设备检验检测研究院。</w:t>
      </w:r>
    </w:p>
    <w:p w14:paraId="048E5600">
      <w:pPr>
        <w:pStyle w:val="56"/>
        <w:spacing w:line="360" w:lineRule="auto"/>
        <w:ind w:firstLine="420"/>
        <w:rPr>
          <w:rFonts w:hint="eastAsia" w:eastAsia="宋体"/>
          <w:lang w:val="en-US" w:eastAsia="zh-CN"/>
        </w:rPr>
      </w:pPr>
      <w:r>
        <w:rPr>
          <w:rFonts w:hint="eastAsia"/>
        </w:rPr>
        <w:t>本文件主要起草人：</w:t>
      </w:r>
    </w:p>
    <w:p w14:paraId="6385EEC7">
      <w:pPr>
        <w:spacing w:line="360" w:lineRule="auto"/>
        <w:ind w:firstLine="420" w:firstLineChars="200"/>
      </w:pPr>
      <w:r>
        <w:rPr>
          <w:rFonts w:hint="eastAsia" w:ascii="宋体" w:hAnsi="Times New Roman"/>
          <w:kern w:val="0"/>
          <w:szCs w:val="20"/>
        </w:rPr>
        <w:t>本文件由</w:t>
      </w:r>
      <w:r>
        <w:rPr>
          <w:rFonts w:hint="eastAsia"/>
        </w:rPr>
        <w:t>甘肃省特种设备检验检测研究院负责解释</w:t>
      </w:r>
      <w:r>
        <w:rPr>
          <w:rFonts w:ascii="宋体" w:hAnsi="Times New Roman"/>
          <w:kern w:val="0"/>
          <w:szCs w:val="20"/>
        </w:rPr>
        <w:t>。</w:t>
      </w:r>
    </w:p>
    <w:p w14:paraId="24262BA6">
      <w:pPr>
        <w:pStyle w:val="56"/>
        <w:spacing w:line="360" w:lineRule="auto"/>
        <w:ind w:firstLine="420"/>
        <w:sectPr>
          <w:headerReference r:id="rId9" w:type="default"/>
          <w:footerReference r:id="rId11" w:type="default"/>
          <w:headerReference r:id="rId10" w:type="even"/>
          <w:pgSz w:w="11906" w:h="16838"/>
          <w:pgMar w:top="1134" w:right="1134" w:bottom="1134" w:left="1134" w:header="1418" w:footer="1134" w:gutter="284"/>
          <w:pgNumType w:fmt="upperRoman" w:start="1"/>
          <w:cols w:space="425" w:num="1"/>
          <w:formProt w:val="0"/>
          <w:docGrid w:linePitch="312" w:charSpace="0"/>
        </w:sectPr>
      </w:pPr>
    </w:p>
    <w:p w14:paraId="67655399">
      <w:pPr>
        <w:pStyle w:val="197"/>
        <w:framePr w:w="0" w:hRule="auto" w:wrap="auto" w:vAnchor="margin" w:hAnchor="text" w:yAlign="inline"/>
        <w:spacing w:before="120" w:after="120" w:line="360" w:lineRule="auto"/>
        <w:rPr>
          <w:bCs w:val="0"/>
          <w:kern w:val="2"/>
          <w:sz w:val="32"/>
          <w:szCs w:val="32"/>
        </w:rPr>
      </w:pPr>
      <w:r>
        <w:rPr>
          <w:rFonts w:hint="eastAsia"/>
          <w:bCs w:val="0"/>
          <w:kern w:val="2"/>
          <w:sz w:val="32"/>
          <w:szCs w:val="32"/>
        </w:rPr>
        <w:t>重大活动特种设备安全保障工作规范</w:t>
      </w:r>
    </w:p>
    <w:p w14:paraId="3544FBAF">
      <w:pPr>
        <w:pStyle w:val="104"/>
        <w:spacing w:before="240" w:after="240" w:line="360" w:lineRule="auto"/>
        <w:ind w:left="168" w:hanging="168"/>
      </w:pPr>
      <w:bookmarkStart w:id="16" w:name="_Toc26648465"/>
      <w:bookmarkStart w:id="17" w:name="_Toc17233333"/>
      <w:bookmarkStart w:id="18" w:name="_Toc26986771"/>
      <w:bookmarkStart w:id="19" w:name="_Toc26986530"/>
      <w:bookmarkStart w:id="20" w:name="_Toc24884218"/>
      <w:bookmarkStart w:id="21" w:name="_Toc26718930"/>
      <w:bookmarkStart w:id="22" w:name="_Toc17233325"/>
      <w:bookmarkStart w:id="23" w:name="_Toc24884211"/>
      <w:r>
        <w:rPr>
          <w:rFonts w:hint="eastAsia"/>
        </w:rPr>
        <w:t>范围</w:t>
      </w:r>
      <w:bookmarkEnd w:id="16"/>
      <w:bookmarkEnd w:id="17"/>
      <w:bookmarkEnd w:id="18"/>
      <w:bookmarkEnd w:id="19"/>
      <w:bookmarkEnd w:id="20"/>
      <w:bookmarkEnd w:id="21"/>
      <w:bookmarkEnd w:id="22"/>
      <w:bookmarkEnd w:id="23"/>
    </w:p>
    <w:p w14:paraId="32784004">
      <w:pPr>
        <w:pStyle w:val="56"/>
        <w:spacing w:line="360" w:lineRule="auto"/>
        <w:ind w:firstLine="420"/>
      </w:pPr>
      <w:bookmarkStart w:id="24" w:name="_Toc24884219"/>
      <w:bookmarkStart w:id="25" w:name="_Toc17233334"/>
      <w:bookmarkStart w:id="26" w:name="_Toc24884212"/>
      <w:bookmarkStart w:id="27" w:name="_Toc17233326"/>
      <w:bookmarkStart w:id="28" w:name="_Toc26648466"/>
      <w:r>
        <w:rPr>
          <w:rFonts w:hint="eastAsia"/>
        </w:rPr>
        <w:t>本文件规定了重大活动特种设备安全保障工作（以下简称“安全保障”）的总体要求、工作实施、总体要求。</w:t>
      </w:r>
    </w:p>
    <w:p w14:paraId="4A3CB251">
      <w:pPr>
        <w:pStyle w:val="56"/>
        <w:spacing w:line="360" w:lineRule="auto"/>
        <w:ind w:firstLine="420"/>
      </w:pPr>
      <w:r>
        <w:rPr>
          <w:rFonts w:hint="eastAsia"/>
        </w:rPr>
        <w:t>本文件适用于重大活动安全保障，其他活动的特种设备安全保障可参考执行。</w:t>
      </w:r>
    </w:p>
    <w:p w14:paraId="1591B79A">
      <w:pPr>
        <w:pStyle w:val="104"/>
        <w:spacing w:before="240" w:after="240" w:line="360" w:lineRule="auto"/>
        <w:ind w:left="168" w:hanging="168"/>
      </w:pPr>
      <w:bookmarkStart w:id="29" w:name="_Toc26986531"/>
      <w:bookmarkStart w:id="30" w:name="_Toc26718931"/>
      <w:bookmarkStart w:id="31" w:name="_Toc26986772"/>
      <w:r>
        <w:rPr>
          <w:rFonts w:hint="eastAsia"/>
        </w:rPr>
        <w:t>规范性引用文件</w:t>
      </w:r>
      <w:bookmarkEnd w:id="24"/>
      <w:bookmarkEnd w:id="25"/>
      <w:bookmarkEnd w:id="26"/>
      <w:bookmarkEnd w:id="27"/>
      <w:bookmarkEnd w:id="28"/>
      <w:bookmarkEnd w:id="29"/>
      <w:bookmarkEnd w:id="30"/>
      <w:bookmarkEnd w:id="31"/>
    </w:p>
    <w:p w14:paraId="123D512F">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560416E">
      <w:pPr>
        <w:pStyle w:val="56"/>
        <w:spacing w:line="360" w:lineRule="auto"/>
        <w:ind w:firstLine="420"/>
      </w:pPr>
      <w:r>
        <w:t>GB 8408</w:t>
      </w:r>
      <w:r>
        <w:rPr>
          <w:rFonts w:hint="eastAsia"/>
          <w:lang w:val="en-US" w:eastAsia="zh-CN"/>
        </w:rPr>
        <w:t xml:space="preserve"> </w:t>
      </w:r>
      <w:r>
        <w:rPr>
          <w:rFonts w:hint="eastAsia"/>
        </w:rPr>
        <w:t>大型游乐设施安全规范</w:t>
      </w:r>
    </w:p>
    <w:p w14:paraId="68BAEC21">
      <w:pPr>
        <w:pStyle w:val="56"/>
        <w:spacing w:line="360" w:lineRule="auto"/>
        <w:ind w:firstLine="420"/>
      </w:pPr>
      <w:r>
        <w:t>GB 12352</w:t>
      </w:r>
      <w:r>
        <w:rPr>
          <w:rFonts w:hint="eastAsia"/>
          <w:lang w:val="en-US" w:eastAsia="zh-CN"/>
        </w:rPr>
        <w:t xml:space="preserve"> </w:t>
      </w:r>
      <w:r>
        <w:rPr>
          <w:rFonts w:hint="eastAsia"/>
        </w:rPr>
        <w:t>客运架空索道安全规范</w:t>
      </w:r>
    </w:p>
    <w:p w14:paraId="66019FA7">
      <w:pPr>
        <w:pStyle w:val="56"/>
        <w:spacing w:line="360" w:lineRule="auto"/>
        <w:ind w:firstLine="420"/>
      </w:pPr>
      <w:r>
        <w:t>GB/T 21268</w:t>
      </w:r>
      <w:r>
        <w:rPr>
          <w:rFonts w:hint="eastAsia"/>
          <w:lang w:val="en-US" w:eastAsia="zh-CN"/>
        </w:rPr>
        <w:t xml:space="preserve"> </w:t>
      </w:r>
      <w:r>
        <w:rPr>
          <w:rFonts w:hint="eastAsia"/>
        </w:rPr>
        <w:t>非公路用旅游观光车通用技术条件</w:t>
      </w:r>
    </w:p>
    <w:p w14:paraId="6756B88F">
      <w:pPr>
        <w:pStyle w:val="56"/>
        <w:spacing w:line="360" w:lineRule="auto"/>
        <w:ind w:firstLine="420"/>
      </w:pPr>
      <w:r>
        <w:t>TSG 08</w:t>
      </w:r>
      <w:r>
        <w:rPr>
          <w:rFonts w:hint="eastAsia"/>
          <w:lang w:val="en-US" w:eastAsia="zh-CN"/>
        </w:rPr>
        <w:t xml:space="preserve"> </w:t>
      </w:r>
      <w:r>
        <w:rPr>
          <w:rFonts w:hint="eastAsia"/>
        </w:rPr>
        <w:t>特种设备使用管理规则</w:t>
      </w:r>
    </w:p>
    <w:p w14:paraId="04F33F90">
      <w:pPr>
        <w:pStyle w:val="56"/>
        <w:spacing w:line="360" w:lineRule="auto"/>
        <w:ind w:firstLine="420"/>
      </w:pPr>
      <w:r>
        <w:t>TSG 11</w:t>
      </w:r>
      <w:r>
        <w:rPr>
          <w:rFonts w:hint="eastAsia"/>
          <w:lang w:val="en-US" w:eastAsia="zh-CN"/>
        </w:rPr>
        <w:t xml:space="preserve"> </w:t>
      </w:r>
      <w:r>
        <w:rPr>
          <w:rFonts w:hint="eastAsia"/>
        </w:rPr>
        <w:t>锅炉安全技术规范</w:t>
      </w:r>
    </w:p>
    <w:p w14:paraId="02DA2339">
      <w:pPr>
        <w:pStyle w:val="56"/>
        <w:spacing w:line="360" w:lineRule="auto"/>
        <w:ind w:firstLine="420"/>
      </w:pPr>
      <w:r>
        <w:t>TSG 21</w:t>
      </w:r>
      <w:r>
        <w:rPr>
          <w:rFonts w:hint="eastAsia"/>
          <w:lang w:val="en-US" w:eastAsia="zh-CN"/>
        </w:rPr>
        <w:t xml:space="preserve"> </w:t>
      </w:r>
      <w:r>
        <w:rPr>
          <w:rFonts w:hint="eastAsia"/>
        </w:rPr>
        <w:t>固定式压力容器安全技术监察规程（含修改单）</w:t>
      </w:r>
    </w:p>
    <w:p w14:paraId="0586061F">
      <w:pPr>
        <w:pStyle w:val="56"/>
        <w:spacing w:line="360" w:lineRule="auto"/>
        <w:ind w:firstLine="420"/>
      </w:pPr>
      <w:r>
        <w:t>TSG D0001 压力管道安全技术监察规程——工业管道</w:t>
      </w:r>
    </w:p>
    <w:p w14:paraId="01A58086">
      <w:pPr>
        <w:pStyle w:val="56"/>
        <w:spacing w:line="360" w:lineRule="auto"/>
        <w:ind w:firstLine="420"/>
      </w:pPr>
      <w:r>
        <w:t>TSG T7001 电梯监督检验和定期检验规则——曳引与强制驱动电梯（含修改单）</w:t>
      </w:r>
    </w:p>
    <w:p w14:paraId="4540540F">
      <w:pPr>
        <w:pStyle w:val="56"/>
        <w:spacing w:line="360" w:lineRule="auto"/>
        <w:ind w:firstLine="420"/>
      </w:pPr>
      <w:r>
        <w:t>TSG T7005 电梯监督检验和定期检验规则——自动扶梯与自动人行道（含修改单）</w:t>
      </w:r>
    </w:p>
    <w:p w14:paraId="4FE5A7A8">
      <w:pPr>
        <w:pStyle w:val="56"/>
        <w:spacing w:line="360" w:lineRule="auto"/>
        <w:ind w:firstLine="420"/>
      </w:pPr>
      <w:r>
        <w:t>TSG Q7015 起重机械定期检验规则</w:t>
      </w:r>
    </w:p>
    <w:p w14:paraId="385DBF22">
      <w:pPr>
        <w:pStyle w:val="56"/>
        <w:spacing w:line="360" w:lineRule="auto"/>
        <w:ind w:firstLine="420"/>
      </w:pPr>
      <w:r>
        <w:t>TSG Q7016 起重机械安装改造重大修理监督检验规则（含修改单）</w:t>
      </w:r>
    </w:p>
    <w:p w14:paraId="7F7A52CA">
      <w:pPr>
        <w:pStyle w:val="56"/>
        <w:spacing w:line="360" w:lineRule="auto"/>
        <w:ind w:firstLine="420"/>
      </w:pPr>
      <w:r>
        <w:t>DB62/T 2958</w:t>
      </w:r>
      <w:r>
        <w:rPr>
          <w:rFonts w:hint="eastAsia"/>
          <w:lang w:val="en-US" w:eastAsia="zh-CN"/>
        </w:rPr>
        <w:t xml:space="preserve"> </w:t>
      </w:r>
      <w:bookmarkStart w:id="41" w:name="_GoBack"/>
      <w:r>
        <w:rPr>
          <w:rFonts w:hint="default"/>
        </w:rPr>
        <w:t>特种设备隐患排查治理工作规范</w:t>
      </w:r>
      <w:bookmarkEnd w:id="41"/>
    </w:p>
    <w:p w14:paraId="12C70E9D">
      <w:pPr>
        <w:pStyle w:val="104"/>
        <w:spacing w:before="240" w:after="240" w:line="360" w:lineRule="auto"/>
        <w:ind w:left="168" w:hanging="168"/>
        <w:rPr>
          <w:szCs w:val="21"/>
        </w:rPr>
      </w:pPr>
      <w:r>
        <w:rPr>
          <w:rFonts w:hint="eastAsia"/>
          <w:szCs w:val="21"/>
        </w:rPr>
        <w:t>术语和定义</w:t>
      </w:r>
    </w:p>
    <w:p w14:paraId="798860FE">
      <w:pPr>
        <w:pStyle w:val="56"/>
        <w:spacing w:line="360" w:lineRule="auto"/>
        <w:ind w:firstLine="0" w:firstLineChars="0"/>
        <w:rPr>
          <w:rFonts w:ascii="黑体" w:eastAsia="黑体"/>
        </w:rPr>
      </w:pPr>
      <w:r>
        <w:rPr>
          <w:rFonts w:ascii="黑体" w:eastAsia="黑体"/>
        </w:rPr>
        <w:t>3.1</w:t>
      </w:r>
    </w:p>
    <w:p w14:paraId="7FFDE6CE">
      <w:pPr>
        <w:pStyle w:val="56"/>
        <w:spacing w:line="360" w:lineRule="auto"/>
        <w:ind w:firstLine="420"/>
        <w:rPr>
          <w:rFonts w:ascii="黑体" w:eastAsia="黑体"/>
        </w:rPr>
      </w:pPr>
      <w:r>
        <w:rPr>
          <w:rFonts w:ascii="黑体" w:eastAsia="黑体"/>
        </w:rPr>
        <w:t>重大活动 Major event</w:t>
      </w:r>
    </w:p>
    <w:p w14:paraId="4A8C7AD3">
      <w:pPr>
        <w:pStyle w:val="56"/>
        <w:spacing w:line="360" w:lineRule="auto"/>
        <w:ind w:firstLine="420"/>
      </w:pPr>
      <w:r>
        <w:t>涉及政治、经济、科学、文化、教育、卫生、体育、外事、宗教等方面具有一定行业性、地方特色、国家意义或者国际影响的活动。</w:t>
      </w:r>
    </w:p>
    <w:p w14:paraId="0A50D296">
      <w:pPr>
        <w:pStyle w:val="56"/>
        <w:spacing w:line="360" w:lineRule="auto"/>
        <w:ind w:firstLine="0" w:firstLineChars="0"/>
        <w:rPr>
          <w:rFonts w:ascii="黑体" w:eastAsia="黑体"/>
        </w:rPr>
      </w:pPr>
      <w:r>
        <w:rPr>
          <w:rFonts w:ascii="黑体" w:eastAsia="黑体"/>
        </w:rPr>
        <w:t>3.2</w:t>
      </w:r>
    </w:p>
    <w:p w14:paraId="59AB877A">
      <w:pPr>
        <w:pStyle w:val="56"/>
        <w:spacing w:line="360" w:lineRule="auto"/>
        <w:ind w:firstLine="420"/>
        <w:rPr>
          <w:rFonts w:ascii="黑体" w:eastAsia="黑体"/>
        </w:rPr>
      </w:pPr>
      <w:r>
        <w:rPr>
          <w:rFonts w:ascii="黑体" w:eastAsia="黑体"/>
        </w:rPr>
        <w:t>安全保障 Security guarantee</w:t>
      </w:r>
    </w:p>
    <w:p w14:paraId="24793BFF">
      <w:pPr>
        <w:pStyle w:val="56"/>
        <w:spacing w:line="360" w:lineRule="auto"/>
        <w:ind w:firstLine="420"/>
      </w:pPr>
      <w:r>
        <w:t>依据重大活动主办方或承办方的要求和相关法律法规，开展的保障特种设备安全运行的系列活动。</w:t>
      </w:r>
    </w:p>
    <w:p w14:paraId="59FF75F5">
      <w:pPr>
        <w:pStyle w:val="56"/>
        <w:spacing w:line="360" w:lineRule="auto"/>
        <w:ind w:firstLine="0" w:firstLineChars="0"/>
        <w:rPr>
          <w:rFonts w:ascii="黑体" w:eastAsia="黑体"/>
        </w:rPr>
      </w:pPr>
      <w:r>
        <w:rPr>
          <w:rFonts w:ascii="黑体" w:eastAsia="黑体"/>
        </w:rPr>
        <w:t>3.3</w:t>
      </w:r>
    </w:p>
    <w:p w14:paraId="385D2D6B">
      <w:pPr>
        <w:pStyle w:val="56"/>
        <w:spacing w:line="360" w:lineRule="auto"/>
        <w:ind w:firstLine="420"/>
        <w:rPr>
          <w:rFonts w:ascii="黑体" w:eastAsia="黑体"/>
        </w:rPr>
      </w:pPr>
      <w:r>
        <w:rPr>
          <w:rFonts w:ascii="黑体" w:eastAsia="黑体"/>
        </w:rPr>
        <w:t>保障性检验 Supportability inspection</w:t>
      </w:r>
    </w:p>
    <w:p w14:paraId="69A42D8C">
      <w:pPr>
        <w:pStyle w:val="56"/>
        <w:spacing w:line="360" w:lineRule="auto"/>
        <w:ind w:firstLine="420"/>
      </w:pPr>
      <w:r>
        <w:t>检验机构受主办方或承办方</w:t>
      </w:r>
      <w:r>
        <w:rPr>
          <w:rFonts w:hint="eastAsia"/>
        </w:rPr>
        <w:t>以</w:t>
      </w:r>
      <w:r>
        <w:t>及相关政府部门安排，针对活动所涉及的特种设备，对其安全性能进行的技术检验。</w:t>
      </w:r>
    </w:p>
    <w:p w14:paraId="5A743F3B">
      <w:pPr>
        <w:pStyle w:val="56"/>
        <w:spacing w:line="360" w:lineRule="auto"/>
        <w:ind w:firstLine="0" w:firstLineChars="0"/>
        <w:rPr>
          <w:rFonts w:ascii="黑体" w:eastAsia="黑体"/>
        </w:rPr>
      </w:pPr>
      <w:r>
        <w:rPr>
          <w:rFonts w:ascii="黑体" w:eastAsia="黑体"/>
        </w:rPr>
        <w:t>3.4</w:t>
      </w:r>
    </w:p>
    <w:p w14:paraId="38AA9F70">
      <w:pPr>
        <w:pStyle w:val="56"/>
        <w:spacing w:line="360" w:lineRule="auto"/>
        <w:ind w:firstLine="420"/>
        <w:rPr>
          <w:rFonts w:ascii="黑体" w:eastAsia="黑体"/>
        </w:rPr>
      </w:pPr>
      <w:r>
        <w:rPr>
          <w:rFonts w:ascii="黑体" w:eastAsia="黑体"/>
        </w:rPr>
        <w:t>保障机构 Safeguard organization</w:t>
      </w:r>
    </w:p>
    <w:p w14:paraId="04B35FD6">
      <w:pPr>
        <w:pStyle w:val="56"/>
        <w:spacing w:line="360" w:lineRule="auto"/>
        <w:ind w:firstLine="420"/>
      </w:pPr>
      <w:r>
        <w:t>涉及重大活动的相关部门，根据重大活动主办方或承办方要求组建的临时性保障机构。</w:t>
      </w:r>
    </w:p>
    <w:p w14:paraId="7070478A">
      <w:pPr>
        <w:pStyle w:val="104"/>
        <w:spacing w:before="240" w:after="240" w:line="360" w:lineRule="auto"/>
        <w:ind w:left="168" w:hanging="168"/>
        <w:rPr>
          <w:szCs w:val="21"/>
        </w:rPr>
      </w:pPr>
      <w:r>
        <w:rPr>
          <w:szCs w:val="21"/>
        </w:rPr>
        <w:t>总体要求</w:t>
      </w:r>
    </w:p>
    <w:p w14:paraId="1E757F2F">
      <w:pPr>
        <w:pStyle w:val="56"/>
        <w:spacing w:before="240" w:beforeLines="100" w:after="240" w:afterLines="100" w:line="360" w:lineRule="auto"/>
        <w:ind w:firstLine="0" w:firstLineChars="0"/>
        <w:rPr>
          <w:rFonts w:ascii="黑体" w:eastAsia="黑体"/>
        </w:rPr>
      </w:pPr>
      <w:r>
        <w:rPr>
          <w:rFonts w:ascii="黑体" w:eastAsia="黑体"/>
        </w:rPr>
        <w:t>4.1 基本原则</w:t>
      </w:r>
    </w:p>
    <w:p w14:paraId="1C9CDFE7">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4.1.1 遵循提前部署、统一指挥、规范管理、分级负责、相互协作的原则，严格执行特种设备相关法律、法规和标准的规定，根据重大活动主办方或承办方的要求，组织实施安全保障。</w:t>
      </w:r>
    </w:p>
    <w:p w14:paraId="494672BD">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4.1.2 重大活动安全保障区域，划分为：——核心区域：直接涉及重大活动的区域；——重点区域：核心区域周边及涉及重大活动的相关场所；——外围区域：除核心区域和重点区域以外的其他区域。</w:t>
      </w:r>
    </w:p>
    <w:p w14:paraId="2EACA3FD">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4.1.3 相关部门应按重大活动主办方或承办方制定的保障方案，建立安全保障机构，按照 4.2的要求履行工作职责。</w:t>
      </w:r>
    </w:p>
    <w:p w14:paraId="301BE6E5">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4.1.4 参与重大活动安全保障的各特种设备有关单位，应根据活动要求：</w:t>
      </w:r>
    </w:p>
    <w:p w14:paraId="3975ABB2">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a) 建立安全保障方案，内容包括但不限于：工作原则、主要目标、保障程序、工作要求、保障区</w:t>
      </w:r>
    </w:p>
    <w:p w14:paraId="72489098">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域、日程安排、注意事项和主办方要求的特定事项；</w:t>
      </w:r>
    </w:p>
    <w:p w14:paraId="64E01B9D">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b) 建立安全保障应急处置预案，内容包括但不限于：工作原则、应急程序、应急技术和现场处置</w:t>
      </w:r>
    </w:p>
    <w:p w14:paraId="049054BE">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措施和应急保障措施。</w:t>
      </w:r>
    </w:p>
    <w:p w14:paraId="300FB66B">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4.1.5 保障机构应与重大活动主办方及承办方建立有效的沟通协调机制，并应严格遵守相关保密规定。</w:t>
      </w:r>
    </w:p>
    <w:p w14:paraId="65D605F4">
      <w:pPr>
        <w:pStyle w:val="56"/>
        <w:spacing w:before="240" w:beforeLines="100" w:after="240" w:afterLines="100" w:line="360" w:lineRule="auto"/>
        <w:ind w:firstLine="0" w:firstLineChars="0"/>
        <w:rPr>
          <w:rFonts w:ascii="黑体" w:eastAsia="黑体"/>
        </w:rPr>
      </w:pPr>
      <w:r>
        <w:rPr>
          <w:rFonts w:ascii="黑体" w:eastAsia="黑体"/>
        </w:rPr>
        <w:t>4.2 保障机构</w:t>
      </w:r>
    </w:p>
    <w:p w14:paraId="5EAF4EBC">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4.2.1 市级</w:t>
      </w:r>
    </w:p>
    <w:p w14:paraId="066C6E1F">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市级保障机构应履行下列职责：</w:t>
      </w:r>
    </w:p>
    <w:p w14:paraId="08C95D5A">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a) 负责对承担保障活动的各级、各类特种设备安全保障机构统一指挥协调，组织指导；</w:t>
      </w:r>
    </w:p>
    <w:p w14:paraId="300F011D">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b) 督促特种设备使用单位落实安全主体责任、执行重大活动安全保障专项方案和应急预案并组</w:t>
      </w:r>
    </w:p>
    <w:p w14:paraId="4AAA90F3">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织开展应急演练；</w:t>
      </w:r>
    </w:p>
    <w:p w14:paraId="0C8784D6">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c) 督促相关县（市）、区级安全保障机构对核心区域、重点区域、外围区域单位开展特种设备专</w:t>
      </w:r>
    </w:p>
    <w:p w14:paraId="45FFAEF4">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项监督检查；</w:t>
      </w:r>
    </w:p>
    <w:p w14:paraId="7CE79CBB">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d) 组织开展核心区域单位特种设备专项监督检查，必要时安排检验检测机构开展保障性检验；</w:t>
      </w:r>
    </w:p>
    <w:p w14:paraId="5C74A6D2">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e) 根据重大活动主办方及承办方的要求，组织开展相关工作。</w:t>
      </w:r>
    </w:p>
    <w:p w14:paraId="0230ADEB">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4.2.2 县（市）、区级</w:t>
      </w:r>
    </w:p>
    <w:p w14:paraId="208CCBDE">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县（市）、区级保障机构应履行下列职责：</w:t>
      </w:r>
    </w:p>
    <w:p w14:paraId="5475BFAB">
      <w:pPr>
        <w:pStyle w:val="56"/>
        <w:spacing w:line="360" w:lineRule="auto"/>
        <w:ind w:firstLine="420"/>
      </w:pPr>
      <w:r>
        <w:t>a) 督促核心区域、重点区域特种设备使用单位落实安全主体责任，执行重大活动安全保障专项方</w:t>
      </w:r>
    </w:p>
    <w:p w14:paraId="4446E08F">
      <w:pPr>
        <w:pStyle w:val="56"/>
        <w:spacing w:line="360" w:lineRule="auto"/>
        <w:ind w:firstLine="420"/>
      </w:pPr>
      <w:r>
        <w:t>案和应急预案并组织开展应急演练；</w:t>
      </w:r>
    </w:p>
    <w:p w14:paraId="6E2194D4">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b) 对本辖区内核心区域、重点区域、外围区域单位开展特种设备专项监督检查，必要时安排检验</w:t>
      </w:r>
    </w:p>
    <w:p w14:paraId="195782C7">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检测机构开展保障性检验；</w:t>
      </w:r>
    </w:p>
    <w:p w14:paraId="4D40C636">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c) 对检查发现的隐患，跟踪、督促相关单位限时完成整改；</w:t>
      </w:r>
    </w:p>
    <w:p w14:paraId="4900EF1E">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d) 根据市级保障机构的安排，组织开展相关工作。</w:t>
      </w:r>
      <w:bookmarkStart w:id="32" w:name="br9"/>
      <w:bookmarkEnd w:id="32"/>
    </w:p>
    <w:p w14:paraId="43E22226">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4.2.3 检验检测</w:t>
      </w:r>
    </w:p>
    <w:p w14:paraId="5544D3E2">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检验检测保障机构应履行下列职责：</w:t>
      </w:r>
    </w:p>
    <w:p w14:paraId="4C817B43">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a) 根据检验检测安全保障方案的要求，开展检验检测工作及时出具检验报告；</w:t>
      </w:r>
    </w:p>
    <w:p w14:paraId="1E62A457">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b) 积极配合各类保障机构开展隐患排查和安全保障；</w:t>
      </w:r>
    </w:p>
    <w:p w14:paraId="49475FC4">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c) 根据市、县（市）、区级保障机构的安排，配合开展相关工作。</w:t>
      </w:r>
    </w:p>
    <w:p w14:paraId="5231CAF4">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4.2.4 使用单位</w:t>
      </w:r>
    </w:p>
    <w:p w14:paraId="1FDBB603">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使用单位保障机构应履行下列职责：</w:t>
      </w:r>
    </w:p>
    <w:p w14:paraId="237E75D4">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a) 按照安全保障专项工作方案和应急预案，根据本单位特种设备配置情况，分别组织开展应急演练；</w:t>
      </w:r>
    </w:p>
    <w:p w14:paraId="1A2D33AC">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b) 按照DB62/T 2958的要求，开展隐患排查治理，落实隐患整改措施，消除安全隐患，重大活动期间向市、县（市）、区级安全保障机构报告特种设备使用状况；</w:t>
      </w:r>
    </w:p>
    <w:p w14:paraId="12BE4AE1">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c) 落实使用单位安全主体责任，配合检验检测机构完成检验检测工作，并按下列要求开展整改工作：</w:t>
      </w:r>
    </w:p>
    <w:p w14:paraId="294B5B01">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1) 对于具备整改条件的安全隐患应在规定期限内完成整改，消除隐患；</w:t>
      </w:r>
    </w:p>
    <w:p w14:paraId="4AEEF0DB">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2) 对于不能在规定期限内完成整改的安全隐患，相关设备应停止使用。</w:t>
      </w:r>
    </w:p>
    <w:p w14:paraId="4B9AE3F0">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d)制定重大活动期间的特种设备保障清单，及时报送市级、县（市）、区级保障机构；</w:t>
      </w:r>
    </w:p>
    <w:p w14:paraId="10275AFD">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e)核心区域单位应安排人员在活动现场进行24h应急值守；</w:t>
      </w:r>
    </w:p>
    <w:p w14:paraId="50DA457F">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f)及时按照规定渠道上报和处置突发事件；</w:t>
      </w:r>
    </w:p>
    <w:p w14:paraId="60A8EBB5">
      <w:pPr>
        <w:pStyle w:val="56"/>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pPr>
      <w:r>
        <w:t>g)根据市、县（市）、区级保障机构的安排，开展相关工作。</w:t>
      </w:r>
    </w:p>
    <w:p w14:paraId="4B675F09">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4.2.5电梯维保单位</w:t>
      </w:r>
    </w:p>
    <w:p w14:paraId="57B5C5C4">
      <w:pPr>
        <w:pStyle w:val="56"/>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pPr>
      <w:r>
        <w:t>电梯维保单位保障机构应履行下列职责：</w:t>
      </w:r>
    </w:p>
    <w:p w14:paraId="7370E6D0">
      <w:pPr>
        <w:pStyle w:val="56"/>
        <w:spacing w:line="360" w:lineRule="auto"/>
        <w:ind w:firstLine="420"/>
      </w:pPr>
      <w:r>
        <w:t>a)根据安全保障方案，明确保障期间岗位职责和排班部署，并按时报送使用单位和市级、县（市）、区级保障机构；</w:t>
      </w:r>
    </w:p>
    <w:p w14:paraId="4D53A802">
      <w:pPr>
        <w:pStyle w:val="56"/>
        <w:spacing w:line="360" w:lineRule="auto"/>
        <w:ind w:firstLine="420"/>
      </w:pPr>
      <w:r>
        <w:t>b)在保障现场储备充足维修零部件，以应对电梯故障等突发情况，配合使用单位开展应急演练，确保应急救援电话畅通、响应及时、处置有效；</w:t>
      </w:r>
    </w:p>
    <w:p w14:paraId="1D6124AD">
      <w:pPr>
        <w:pStyle w:val="56"/>
        <w:spacing w:line="360" w:lineRule="auto"/>
        <w:ind w:firstLine="420"/>
      </w:pPr>
      <w:r>
        <w:t>c)配合检验检测机构完成电梯检验检测，并在规定期限内按要求完成整改，结果上报检验检测机构和监管部门；</w:t>
      </w:r>
    </w:p>
    <w:p w14:paraId="32C8D36B">
      <w:pPr>
        <w:pStyle w:val="56"/>
        <w:spacing w:line="360" w:lineRule="auto"/>
        <w:ind w:firstLine="420"/>
      </w:pPr>
      <w:r>
        <w:t>d)对活动涉及电梯开展全面维护保养，如发现电梯存在事故隐患，及时告知使用单位，消除隐患，实施24h监测运行，并做好故障记录。如收到电梯困人等故障报告后应在10min内赶到现场实施救援；</w:t>
      </w:r>
    </w:p>
    <w:p w14:paraId="5D639027">
      <w:pPr>
        <w:pStyle w:val="56"/>
        <w:spacing w:line="360" w:lineRule="auto"/>
        <w:ind w:firstLine="420"/>
      </w:pPr>
      <w:r>
        <w:t>e)重大活动进行期间，应根据保障要求安排持有效《特种设备作业人员证》的维护保养人员：</w:t>
      </w:r>
    </w:p>
    <w:p w14:paraId="4F9E11AB">
      <w:pPr>
        <w:pStyle w:val="56"/>
        <w:spacing w:line="360" w:lineRule="auto"/>
        <w:ind w:firstLine="420"/>
      </w:pPr>
      <w:r>
        <w:t>1)核心区的电梯实行24h驻场值守，且不应少于2人；</w:t>
      </w:r>
    </w:p>
    <w:p w14:paraId="7E189D5E">
      <w:pPr>
        <w:pStyle w:val="56"/>
        <w:spacing w:line="360" w:lineRule="auto"/>
        <w:ind w:firstLine="420"/>
      </w:pPr>
      <w:r>
        <w:t>2)重点区域、外围区电梯的安全保障可根据具体情况参照核心区要求执行。</w:t>
      </w:r>
    </w:p>
    <w:p w14:paraId="115A0D99">
      <w:pPr>
        <w:pStyle w:val="56"/>
        <w:spacing w:line="360" w:lineRule="auto"/>
        <w:ind w:firstLine="420"/>
      </w:pPr>
      <w:r>
        <w:t>f)根据市、县（市）、区级保障机构的安排，开展相关工作。</w:t>
      </w:r>
    </w:p>
    <w:p w14:paraId="46C8502B">
      <w:pPr>
        <w:pStyle w:val="104"/>
        <w:spacing w:before="240" w:after="240" w:line="360" w:lineRule="auto"/>
        <w:ind w:left="168" w:hanging="168"/>
        <w:rPr>
          <w:szCs w:val="21"/>
        </w:rPr>
      </w:pPr>
      <w:r>
        <w:rPr>
          <w:szCs w:val="21"/>
        </w:rPr>
        <w:t>工作要求</w:t>
      </w:r>
    </w:p>
    <w:p w14:paraId="0DB85432">
      <w:pPr>
        <w:pStyle w:val="56"/>
        <w:spacing w:before="240" w:beforeLines="100" w:after="240" w:afterLines="100" w:line="360" w:lineRule="auto"/>
        <w:ind w:firstLine="0" w:firstLineChars="0"/>
        <w:rPr>
          <w:rFonts w:ascii="黑体" w:eastAsia="黑体"/>
        </w:rPr>
      </w:pPr>
      <w:r>
        <w:rPr>
          <w:rFonts w:ascii="黑体" w:eastAsia="黑体"/>
        </w:rPr>
        <w:t>5.1一般要求</w:t>
      </w:r>
    </w:p>
    <w:p w14:paraId="7382BC15">
      <w:pPr>
        <w:pStyle w:val="56"/>
        <w:spacing w:line="360" w:lineRule="auto"/>
        <w:ind w:firstLine="420"/>
      </w:pPr>
      <w:r>
        <w:t>各级、各类特种设备安全保障机构按5.2、5.3、5.4的要求开展安全保障。各级、各类特种设备安全保障机构在安全保障活动中应承担的工作，执行附录A的规定。</w:t>
      </w:r>
      <w:bookmarkStart w:id="33" w:name="br10"/>
      <w:bookmarkEnd w:id="33"/>
    </w:p>
    <w:p w14:paraId="79765B20">
      <w:pPr>
        <w:pStyle w:val="56"/>
        <w:spacing w:before="240" w:beforeLines="100" w:after="240" w:afterLines="100" w:line="360" w:lineRule="auto"/>
        <w:ind w:firstLine="0" w:firstLineChars="0"/>
        <w:rPr>
          <w:rFonts w:ascii="黑体" w:eastAsia="黑体"/>
        </w:rPr>
      </w:pPr>
      <w:r>
        <w:rPr>
          <w:rFonts w:ascii="黑体" w:eastAsia="黑体"/>
        </w:rPr>
        <w:t>5.2准备阶段</w:t>
      </w:r>
    </w:p>
    <w:p w14:paraId="4C92D13C">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5.2.1核心区域特种设备，根据保障工作方案，按照以下要求进行安全保障，确保在用特种设备安全</w:t>
      </w:r>
    </w:p>
    <w:p w14:paraId="3771D951">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隐患排查全覆盖、人员持有效证件上岗、安全隐患全部整改合格：</w:t>
      </w:r>
    </w:p>
    <w:p w14:paraId="25AACF32">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特种设备使用单位按照所使用的设备类别，对本单位在用特种设备进行安全隐患排查（机电类设备根据附录B所列项目进行排查，承压类设备根据附录C所列项目排查），并应根据不同设备类型各开展一次应急演练；</w:t>
      </w:r>
    </w:p>
    <w:p w14:paraId="24DB71AE">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——市级、县（市）、区级保障机构组织对核心区域内在用特种设备进行专项监督检查，落实安全保障方案实施情况，必要时安排检验保障机构开展保障性检验。</w:t>
      </w:r>
    </w:p>
    <w:p w14:paraId="11A4E2C0">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5.2.2重点区域特种设备，根据保障工作方案，按照以下要求进行安全保障，确保在用特种设备安全隐患排查全覆盖、人员持有效证件上岗、安全隐患全部整改合格：</w:t>
      </w:r>
    </w:p>
    <w:p w14:paraId="7D9B9E9D">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特种设备使用单位按照所使用的设备类别对本单位在用特种设备进行安全隐患排查（机电类设备根据附录B所列项目进行排查，承压类设备根据附录C所列项目排查），并应根据活动需要开展一次综合应急演练；</w:t>
      </w:r>
    </w:p>
    <w:p w14:paraId="5620D615">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——市级、县（市）、区级安全保障机构对重点区域内在用特种设备进行专项监督检查，落实安全保障方案实施情况，必要时安排检验保障机构开展保障性检验。</w:t>
      </w:r>
    </w:p>
    <w:p w14:paraId="44C1D6F2">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5.2.3外围区域特种设备，根据保障工作方案，按照以下要求进行安全保障：</w:t>
      </w:r>
    </w:p>
    <w:p w14:paraId="5B5FCA4B">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特种设备使用单位按照所使用的设备类别对本单位在用特种设备进行安全隐患排查（机电类设备根据附录B所列项目进行排查，承压类设备根据附录C所列项目排查），各类在用特种设备制定了相应的应急救援预案或专项救援措施，并适时组织开展演练活动；</w:t>
      </w:r>
    </w:p>
    <w:p w14:paraId="04E08AEC">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——县（市）、区级保障机构对外围区域内在用特种设备有针对性进行监督检查，检查使用单位安全主体责任和隐患排查治理责任的落实情况。</w:t>
      </w:r>
    </w:p>
    <w:p w14:paraId="353E33E3">
      <w:pPr>
        <w:pStyle w:val="56"/>
        <w:keepNext w:val="0"/>
        <w:keepLines w:val="0"/>
        <w:pageBreakBefore w:val="0"/>
        <w:widowControl/>
        <w:kinsoku/>
        <w:wordWrap/>
        <w:overflowPunct/>
        <w:topLinePunct w:val="0"/>
        <w:autoSpaceDE w:val="0"/>
        <w:autoSpaceDN w:val="0"/>
        <w:bidi w:val="0"/>
        <w:adjustRightInd/>
        <w:snapToGrid/>
        <w:spacing w:line="360" w:lineRule="auto"/>
        <w:ind w:firstLine="420"/>
        <w:textAlignment w:val="auto"/>
      </w:pPr>
      <w:r>
        <w:t>5.2.4各级、各类特种设备安全保障机构结合准备阶段检查情况，开展专项安全监督检查复查工作，在重大活动开始前应完成对所有隐患整改闭环情况进行确认。</w:t>
      </w:r>
    </w:p>
    <w:p w14:paraId="2E594F20">
      <w:pPr>
        <w:pStyle w:val="56"/>
        <w:spacing w:before="240" w:beforeLines="100" w:after="240" w:afterLines="100" w:line="360" w:lineRule="auto"/>
        <w:ind w:firstLine="0" w:firstLineChars="0"/>
        <w:rPr>
          <w:rFonts w:ascii="黑体" w:eastAsia="黑体"/>
        </w:rPr>
      </w:pPr>
      <w:r>
        <w:rPr>
          <w:rFonts w:ascii="黑体" w:eastAsia="黑体"/>
        </w:rPr>
        <w:t>5.3活动期间</w:t>
      </w:r>
    </w:p>
    <w:p w14:paraId="333D594A">
      <w:pPr>
        <w:pStyle w:val="56"/>
        <w:spacing w:line="360" w:lineRule="auto"/>
        <w:ind w:firstLine="420"/>
      </w:pPr>
      <w:r>
        <w:t>5.3.1重大活动期间，各级、各类特种设备安全保障机构，均应按照安全保障方案开展工作：</w:t>
      </w:r>
    </w:p>
    <w:p w14:paraId="53973D7B">
      <w:pPr>
        <w:pStyle w:val="56"/>
        <w:spacing w:line="360" w:lineRule="auto"/>
        <w:ind w:firstLine="420"/>
      </w:pPr>
      <w:r>
        <w:t>——对保障范围内的特种设备使用状况进行监控；</w:t>
      </w:r>
    </w:p>
    <w:p w14:paraId="6C1E6A1A">
      <w:pPr>
        <w:pStyle w:val="56"/>
        <w:spacing w:line="360" w:lineRule="auto"/>
        <w:ind w:firstLine="420"/>
      </w:pPr>
      <w:r>
        <w:t>——对周边使用情况进行预判，及时处置现场特种设备安全突发事件；</w:t>
      </w:r>
    </w:p>
    <w:p w14:paraId="65D96027">
      <w:pPr>
        <w:pStyle w:val="56"/>
        <w:spacing w:line="360" w:lineRule="auto"/>
        <w:ind w:firstLine="420"/>
      </w:pPr>
      <w:r>
        <w:t>——安全保障机构按照保障方案开展工作，及时准确报送信息。</w:t>
      </w:r>
    </w:p>
    <w:p w14:paraId="5F4AA9FC">
      <w:pPr>
        <w:pStyle w:val="56"/>
        <w:spacing w:line="360" w:lineRule="auto"/>
        <w:ind w:firstLine="420"/>
      </w:pPr>
      <w:r>
        <w:t>5.3.2根据活动需要进驻现场的各级、各类特种设备安全保障机构，在市级安全保障机构的统一指导</w:t>
      </w:r>
    </w:p>
    <w:p w14:paraId="4E67FF03">
      <w:pPr>
        <w:pStyle w:val="56"/>
        <w:spacing w:line="360" w:lineRule="auto"/>
        <w:ind w:firstLine="420"/>
      </w:pPr>
      <w:r>
        <w:t>下，依照各自的职能开展安全保障。</w:t>
      </w:r>
    </w:p>
    <w:p w14:paraId="06AF0776">
      <w:pPr>
        <w:pStyle w:val="56"/>
        <w:spacing w:before="240" w:beforeLines="100" w:after="240" w:afterLines="100" w:line="360" w:lineRule="auto"/>
        <w:ind w:firstLine="0" w:firstLineChars="0"/>
      </w:pPr>
      <w:r>
        <w:rPr>
          <w:rFonts w:ascii="黑体" w:eastAsia="黑体"/>
        </w:rPr>
        <w:t>5.4活动结束</w:t>
      </w:r>
    </w:p>
    <w:p w14:paraId="03BDE687">
      <w:pPr>
        <w:pStyle w:val="56"/>
        <w:spacing w:line="360" w:lineRule="auto"/>
        <w:ind w:firstLine="420"/>
      </w:pPr>
      <w:r>
        <w:t>重大活动保障工作结束后，各级、各类特种设备安全保障机构，应汇总整理保障工作情况，形成总结报告。</w:t>
      </w:r>
    </w:p>
    <w:p w14:paraId="27418669">
      <w:pPr>
        <w:pStyle w:val="56"/>
        <w:ind w:firstLine="420"/>
      </w:pPr>
      <w:r>
        <w:br w:type="page"/>
      </w:r>
    </w:p>
    <w:p w14:paraId="17CE3AEC">
      <w:pPr>
        <w:pStyle w:val="56"/>
        <w:spacing w:line="360" w:lineRule="auto"/>
        <w:ind w:firstLine="420"/>
        <w:sectPr>
          <w:pgSz w:w="11900" w:h="16820"/>
          <w:pgMar w:top="1134" w:right="1134" w:bottom="1134" w:left="1134" w:header="720" w:footer="720" w:gutter="0"/>
          <w:pgNumType w:start="1"/>
          <w:cols w:space="720" w:num="1"/>
          <w:docGrid w:linePitch="1" w:charSpace="0"/>
        </w:sectPr>
      </w:pPr>
    </w:p>
    <w:p w14:paraId="5DB71BDE">
      <w:pPr>
        <w:pStyle w:val="56"/>
        <w:spacing w:line="360" w:lineRule="auto"/>
        <w:ind w:firstLine="360"/>
        <w:jc w:val="center"/>
        <w:rPr>
          <w:rFonts w:ascii="黑体" w:hAnsi="黑体" w:eastAsia="黑体"/>
          <w:sz w:val="18"/>
          <w:szCs w:val="18"/>
        </w:rPr>
      </w:pPr>
      <w:bookmarkStart w:id="34" w:name="br11"/>
      <w:bookmarkEnd w:id="34"/>
      <w:r>
        <w:rPr>
          <w:rFonts w:ascii="黑体" w:hAnsi="黑体" w:eastAsia="黑体"/>
          <w:sz w:val="18"/>
          <w:szCs w:val="18"/>
        </w:rPr>
        <w:t>附录A</w:t>
      </w:r>
    </w:p>
    <w:p w14:paraId="54B4ECF6">
      <w:pPr>
        <w:pStyle w:val="56"/>
        <w:spacing w:line="360" w:lineRule="auto"/>
        <w:ind w:firstLine="360"/>
        <w:jc w:val="center"/>
        <w:rPr>
          <w:rFonts w:ascii="黑体" w:hAnsi="黑体" w:eastAsia="黑体"/>
          <w:sz w:val="18"/>
          <w:szCs w:val="18"/>
        </w:rPr>
      </w:pPr>
      <w:r>
        <w:rPr>
          <w:rFonts w:ascii="黑体" w:hAnsi="黑体" w:eastAsia="黑体"/>
          <w:sz w:val="18"/>
          <w:szCs w:val="18"/>
        </w:rPr>
        <w:t>（规范性）</w:t>
      </w:r>
    </w:p>
    <w:p w14:paraId="3BF386FD">
      <w:pPr>
        <w:pStyle w:val="56"/>
        <w:spacing w:line="360" w:lineRule="auto"/>
        <w:ind w:firstLine="360"/>
        <w:jc w:val="center"/>
        <w:rPr>
          <w:rFonts w:ascii="黑体" w:hAnsi="黑体" w:eastAsia="黑体"/>
          <w:sz w:val="18"/>
          <w:szCs w:val="18"/>
        </w:rPr>
      </w:pPr>
      <w:r>
        <w:rPr>
          <w:rFonts w:ascii="黑体" w:hAnsi="黑体" w:eastAsia="黑体"/>
          <w:sz w:val="18"/>
          <w:szCs w:val="18"/>
        </w:rPr>
        <w:t>重大活动特种设备安全保障工作要求</w:t>
      </w:r>
    </w:p>
    <w:p w14:paraId="088E67CA">
      <w:pPr>
        <w:pStyle w:val="56"/>
        <w:adjustRightInd w:val="0"/>
        <w:snapToGrid w:val="0"/>
        <w:ind w:firstLine="0" w:firstLineChars="0"/>
        <w:rPr>
          <w:rFonts w:ascii="黑体" w:hAnsi="黑体" w:eastAsia="黑体"/>
          <w:sz w:val="18"/>
          <w:szCs w:val="18"/>
        </w:rPr>
      </w:pPr>
      <w:r>
        <w:rPr>
          <w:rFonts w:ascii="黑体" w:hAnsi="黑体" w:eastAsia="黑体"/>
          <w:sz w:val="18"/>
          <w:szCs w:val="18"/>
        </w:rPr>
        <w:t>重大活动特种设备安全保障工作要求见表1。</w:t>
      </w:r>
    </w:p>
    <w:p w14:paraId="5A30559F">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表1重大活动特种设备安全保障工作要求</w:t>
      </w:r>
    </w:p>
    <w:tbl>
      <w:tblPr>
        <w:tblStyle w:val="27"/>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1743"/>
        <w:gridCol w:w="1743"/>
        <w:gridCol w:w="1019"/>
        <w:gridCol w:w="1016"/>
        <w:gridCol w:w="870"/>
        <w:gridCol w:w="1428"/>
        <w:gridCol w:w="899"/>
        <w:gridCol w:w="1162"/>
        <w:gridCol w:w="850"/>
        <w:gridCol w:w="993"/>
        <w:gridCol w:w="712"/>
        <w:gridCol w:w="677"/>
      </w:tblGrid>
      <w:tr w14:paraId="12D3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09" w:type="pct"/>
            <w:vMerge w:val="restart"/>
          </w:tcPr>
          <w:p w14:paraId="0B51992B">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保障机构名称</w:t>
            </w:r>
          </w:p>
        </w:tc>
        <w:tc>
          <w:tcPr>
            <w:tcW w:w="4491" w:type="pct"/>
            <w:gridSpan w:val="12"/>
          </w:tcPr>
          <w:p w14:paraId="546DC962">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工作阶段</w:t>
            </w:r>
          </w:p>
        </w:tc>
      </w:tr>
      <w:tr w14:paraId="4144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509" w:type="pct"/>
            <w:vMerge w:val="continue"/>
          </w:tcPr>
          <w:p w14:paraId="58238132">
            <w:pPr>
              <w:pStyle w:val="56"/>
              <w:adjustRightInd w:val="0"/>
              <w:snapToGrid w:val="0"/>
              <w:ind w:firstLine="0" w:firstLineChars="0"/>
              <w:jc w:val="center"/>
              <w:rPr>
                <w:rFonts w:ascii="黑体" w:hAnsi="黑体" w:eastAsia="黑体"/>
                <w:sz w:val="18"/>
                <w:szCs w:val="18"/>
              </w:rPr>
            </w:pPr>
          </w:p>
        </w:tc>
        <w:tc>
          <w:tcPr>
            <w:tcW w:w="3384" w:type="pct"/>
            <w:gridSpan w:val="8"/>
          </w:tcPr>
          <w:p w14:paraId="65204F73">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准备阶段</w:t>
            </w:r>
          </w:p>
        </w:tc>
        <w:tc>
          <w:tcPr>
            <w:tcW w:w="875" w:type="pct"/>
            <w:gridSpan w:val="3"/>
            <w:vMerge w:val="restart"/>
          </w:tcPr>
          <w:p w14:paraId="2394EB63">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活动期间</w:t>
            </w:r>
          </w:p>
        </w:tc>
        <w:tc>
          <w:tcPr>
            <w:tcW w:w="232" w:type="pct"/>
            <w:vMerge w:val="restart"/>
          </w:tcPr>
          <w:p w14:paraId="2316EB11">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活动结束</w:t>
            </w:r>
          </w:p>
        </w:tc>
      </w:tr>
      <w:tr w14:paraId="1F2AA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509" w:type="pct"/>
            <w:vMerge w:val="continue"/>
          </w:tcPr>
          <w:p w14:paraId="015BF4C6">
            <w:pPr>
              <w:pStyle w:val="56"/>
              <w:adjustRightInd w:val="0"/>
              <w:snapToGrid w:val="0"/>
              <w:ind w:firstLine="0" w:firstLineChars="0"/>
              <w:jc w:val="center"/>
              <w:rPr>
                <w:rFonts w:ascii="黑体" w:hAnsi="黑体" w:eastAsia="黑体"/>
                <w:sz w:val="18"/>
                <w:szCs w:val="18"/>
              </w:rPr>
            </w:pPr>
          </w:p>
        </w:tc>
        <w:tc>
          <w:tcPr>
            <w:tcW w:w="597" w:type="pct"/>
            <w:vMerge w:val="restart"/>
          </w:tcPr>
          <w:p w14:paraId="3FCA04E8">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成立领导小组、制定保障工作方案</w:t>
            </w:r>
          </w:p>
        </w:tc>
        <w:tc>
          <w:tcPr>
            <w:tcW w:w="597" w:type="pct"/>
            <w:vMerge w:val="restart"/>
          </w:tcPr>
          <w:p w14:paraId="442AFBDE">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重大活动特种设备安全保障工作任务</w:t>
            </w:r>
          </w:p>
        </w:tc>
        <w:tc>
          <w:tcPr>
            <w:tcW w:w="2190" w:type="pct"/>
            <w:gridSpan w:val="6"/>
          </w:tcPr>
          <w:p w14:paraId="400D52CF">
            <w:pPr>
              <w:pStyle w:val="56"/>
              <w:adjustRightInd w:val="0"/>
              <w:snapToGrid w:val="0"/>
              <w:ind w:firstLine="0" w:firstLineChars="0"/>
              <w:jc w:val="center"/>
              <w:rPr>
                <w:rFonts w:ascii="黑体" w:hAnsi="黑体" w:eastAsia="黑体"/>
                <w:sz w:val="18"/>
                <w:szCs w:val="18"/>
              </w:rPr>
            </w:pPr>
          </w:p>
        </w:tc>
        <w:tc>
          <w:tcPr>
            <w:tcW w:w="875" w:type="pct"/>
            <w:gridSpan w:val="3"/>
            <w:vMerge w:val="continue"/>
          </w:tcPr>
          <w:p w14:paraId="5A2E9CE6">
            <w:pPr>
              <w:pStyle w:val="56"/>
              <w:adjustRightInd w:val="0"/>
              <w:snapToGrid w:val="0"/>
              <w:ind w:firstLine="0" w:firstLineChars="0"/>
              <w:jc w:val="center"/>
              <w:rPr>
                <w:rFonts w:ascii="黑体" w:hAnsi="黑体" w:eastAsia="黑体"/>
                <w:sz w:val="18"/>
                <w:szCs w:val="18"/>
              </w:rPr>
            </w:pPr>
          </w:p>
        </w:tc>
        <w:tc>
          <w:tcPr>
            <w:tcW w:w="232" w:type="pct"/>
            <w:vMerge w:val="continue"/>
          </w:tcPr>
          <w:p w14:paraId="49460B41">
            <w:pPr>
              <w:pStyle w:val="56"/>
              <w:adjustRightInd w:val="0"/>
              <w:snapToGrid w:val="0"/>
              <w:ind w:firstLine="0" w:firstLineChars="0"/>
              <w:jc w:val="center"/>
              <w:rPr>
                <w:rFonts w:ascii="黑体" w:hAnsi="黑体" w:eastAsia="黑体"/>
                <w:sz w:val="18"/>
                <w:szCs w:val="18"/>
              </w:rPr>
            </w:pPr>
          </w:p>
        </w:tc>
      </w:tr>
      <w:tr w14:paraId="0AB02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9" w:type="pct"/>
            <w:vMerge w:val="continue"/>
          </w:tcPr>
          <w:p w14:paraId="421997F3">
            <w:pPr>
              <w:pStyle w:val="56"/>
              <w:adjustRightInd w:val="0"/>
              <w:snapToGrid w:val="0"/>
              <w:ind w:firstLine="0" w:firstLineChars="0"/>
              <w:jc w:val="center"/>
              <w:rPr>
                <w:rFonts w:ascii="黑体" w:hAnsi="黑体" w:eastAsia="黑体"/>
                <w:sz w:val="18"/>
                <w:szCs w:val="18"/>
              </w:rPr>
            </w:pPr>
          </w:p>
        </w:tc>
        <w:tc>
          <w:tcPr>
            <w:tcW w:w="597" w:type="pct"/>
            <w:vMerge w:val="continue"/>
          </w:tcPr>
          <w:p w14:paraId="6AE70C15">
            <w:pPr>
              <w:pStyle w:val="56"/>
              <w:adjustRightInd w:val="0"/>
              <w:snapToGrid w:val="0"/>
              <w:ind w:firstLine="0" w:firstLineChars="0"/>
              <w:jc w:val="center"/>
              <w:rPr>
                <w:rFonts w:ascii="黑体" w:hAnsi="黑体" w:eastAsia="黑体"/>
                <w:sz w:val="18"/>
                <w:szCs w:val="18"/>
              </w:rPr>
            </w:pPr>
          </w:p>
        </w:tc>
        <w:tc>
          <w:tcPr>
            <w:tcW w:w="597" w:type="pct"/>
            <w:vMerge w:val="continue"/>
          </w:tcPr>
          <w:p w14:paraId="3CC7746B">
            <w:pPr>
              <w:pStyle w:val="56"/>
              <w:adjustRightInd w:val="0"/>
              <w:snapToGrid w:val="0"/>
              <w:ind w:firstLine="0" w:firstLineChars="0"/>
              <w:jc w:val="center"/>
              <w:rPr>
                <w:rFonts w:ascii="黑体" w:hAnsi="黑体" w:eastAsia="黑体"/>
                <w:sz w:val="18"/>
                <w:szCs w:val="18"/>
              </w:rPr>
            </w:pPr>
          </w:p>
        </w:tc>
        <w:tc>
          <w:tcPr>
            <w:tcW w:w="349" w:type="pct"/>
          </w:tcPr>
          <w:p w14:paraId="4ACA1133">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隐患排查</w:t>
            </w:r>
          </w:p>
        </w:tc>
        <w:tc>
          <w:tcPr>
            <w:tcW w:w="348" w:type="pct"/>
          </w:tcPr>
          <w:p w14:paraId="4502B3AF">
            <w:pPr>
              <w:pStyle w:val="56"/>
              <w:adjustRightInd w:val="0"/>
              <w:snapToGrid w:val="0"/>
              <w:ind w:firstLine="0" w:firstLineChars="0"/>
              <w:jc w:val="center"/>
              <w:rPr>
                <w:rFonts w:ascii="黑体" w:hAnsi="黑体" w:eastAsia="黑体"/>
                <w:sz w:val="18"/>
                <w:szCs w:val="18"/>
              </w:rPr>
            </w:pPr>
            <w:r>
              <w:rPr>
                <w:rFonts w:hint="eastAsia" w:ascii="黑体" w:hAnsi="黑体" w:eastAsia="黑体"/>
                <w:sz w:val="18"/>
                <w:szCs w:val="18"/>
              </w:rPr>
              <w:t>应急演练</w:t>
            </w:r>
          </w:p>
        </w:tc>
        <w:tc>
          <w:tcPr>
            <w:tcW w:w="298" w:type="pct"/>
          </w:tcPr>
          <w:p w14:paraId="13B41878">
            <w:pPr>
              <w:pStyle w:val="56"/>
              <w:adjustRightInd w:val="0"/>
              <w:snapToGrid w:val="0"/>
              <w:ind w:firstLine="0" w:firstLineChars="0"/>
              <w:jc w:val="center"/>
              <w:rPr>
                <w:rFonts w:ascii="黑体" w:hAnsi="黑体" w:eastAsia="黑体"/>
                <w:sz w:val="18"/>
                <w:szCs w:val="18"/>
              </w:rPr>
            </w:pPr>
            <w:r>
              <w:rPr>
                <w:rFonts w:hint="eastAsia" w:ascii="黑体" w:hAnsi="黑体" w:eastAsia="黑体"/>
                <w:sz w:val="18"/>
                <w:szCs w:val="18"/>
              </w:rPr>
              <w:t>专项监督检查</w:t>
            </w:r>
          </w:p>
        </w:tc>
        <w:tc>
          <w:tcPr>
            <w:tcW w:w="489" w:type="pct"/>
          </w:tcPr>
          <w:p w14:paraId="7F1B698A">
            <w:pPr>
              <w:pStyle w:val="56"/>
              <w:adjustRightInd w:val="0"/>
              <w:snapToGrid w:val="0"/>
              <w:ind w:firstLine="0" w:firstLineChars="0"/>
              <w:jc w:val="center"/>
              <w:rPr>
                <w:rFonts w:ascii="黑体" w:hAnsi="黑体" w:eastAsia="黑体"/>
                <w:sz w:val="18"/>
                <w:szCs w:val="18"/>
              </w:rPr>
            </w:pPr>
            <w:r>
              <w:rPr>
                <w:rFonts w:hint="eastAsia" w:ascii="黑体" w:hAnsi="黑体" w:eastAsia="黑体"/>
                <w:sz w:val="18"/>
                <w:szCs w:val="18"/>
              </w:rPr>
              <w:t>保障性检验</w:t>
            </w:r>
          </w:p>
        </w:tc>
        <w:tc>
          <w:tcPr>
            <w:tcW w:w="308" w:type="pct"/>
          </w:tcPr>
          <w:p w14:paraId="59ACCAF1">
            <w:pPr>
              <w:pStyle w:val="56"/>
              <w:adjustRightInd w:val="0"/>
              <w:snapToGrid w:val="0"/>
              <w:ind w:firstLine="0" w:firstLineChars="0"/>
              <w:jc w:val="center"/>
              <w:rPr>
                <w:rFonts w:ascii="黑体" w:hAnsi="黑体" w:eastAsia="黑体"/>
                <w:sz w:val="18"/>
                <w:szCs w:val="18"/>
              </w:rPr>
            </w:pPr>
            <w:r>
              <w:rPr>
                <w:rFonts w:hint="eastAsia" w:ascii="黑体" w:hAnsi="黑体" w:eastAsia="黑体"/>
                <w:sz w:val="18"/>
                <w:szCs w:val="18"/>
              </w:rPr>
              <w:t>整改落实</w:t>
            </w:r>
          </w:p>
        </w:tc>
        <w:tc>
          <w:tcPr>
            <w:tcW w:w="398" w:type="pct"/>
          </w:tcPr>
          <w:p w14:paraId="54F26A79">
            <w:pPr>
              <w:pStyle w:val="56"/>
              <w:adjustRightInd w:val="0"/>
              <w:snapToGrid w:val="0"/>
              <w:ind w:firstLine="0" w:firstLineChars="0"/>
              <w:jc w:val="center"/>
              <w:rPr>
                <w:rFonts w:ascii="黑体" w:hAnsi="黑体" w:eastAsia="黑体"/>
                <w:sz w:val="18"/>
                <w:szCs w:val="18"/>
              </w:rPr>
            </w:pPr>
            <w:r>
              <w:rPr>
                <w:rFonts w:hint="eastAsia" w:ascii="黑体" w:hAnsi="黑体" w:eastAsia="黑体"/>
                <w:sz w:val="18"/>
                <w:szCs w:val="18"/>
              </w:rPr>
              <w:t>问题整改情况检查确认</w:t>
            </w:r>
          </w:p>
        </w:tc>
        <w:tc>
          <w:tcPr>
            <w:tcW w:w="291" w:type="pct"/>
          </w:tcPr>
          <w:p w14:paraId="72EB8583">
            <w:pPr>
              <w:pStyle w:val="56"/>
              <w:adjustRightInd w:val="0"/>
              <w:snapToGrid w:val="0"/>
              <w:ind w:firstLine="0" w:firstLineChars="0"/>
              <w:jc w:val="center"/>
              <w:rPr>
                <w:rFonts w:ascii="黑体" w:hAnsi="黑体" w:eastAsia="黑体"/>
                <w:sz w:val="18"/>
                <w:szCs w:val="18"/>
              </w:rPr>
            </w:pPr>
            <w:r>
              <w:rPr>
                <w:rFonts w:hint="eastAsia" w:ascii="黑体" w:hAnsi="黑体" w:eastAsia="黑体"/>
                <w:sz w:val="18"/>
                <w:szCs w:val="18"/>
              </w:rPr>
              <w:t>专人值班</w:t>
            </w:r>
          </w:p>
        </w:tc>
        <w:tc>
          <w:tcPr>
            <w:tcW w:w="340" w:type="pct"/>
          </w:tcPr>
          <w:p w14:paraId="506DDF76">
            <w:pPr>
              <w:pStyle w:val="56"/>
              <w:adjustRightInd w:val="0"/>
              <w:snapToGrid w:val="0"/>
              <w:ind w:firstLine="0" w:firstLineChars="0"/>
              <w:jc w:val="center"/>
              <w:rPr>
                <w:rFonts w:ascii="黑体" w:hAnsi="黑体" w:eastAsia="黑体"/>
                <w:sz w:val="18"/>
                <w:szCs w:val="18"/>
              </w:rPr>
            </w:pPr>
            <w:r>
              <w:rPr>
                <w:rFonts w:ascii="黑体" w:hAnsi="黑体" w:eastAsia="黑体"/>
                <w:sz w:val="18"/>
                <w:szCs w:val="18"/>
              </w:rPr>
              <w:t>主要负责人</w:t>
            </w:r>
            <w:r>
              <w:rPr>
                <w:rFonts w:hint="eastAsia" w:ascii="黑体" w:hAnsi="黑体" w:eastAsia="黑体"/>
                <w:sz w:val="18"/>
                <w:szCs w:val="18"/>
              </w:rPr>
              <w:t>带班</w:t>
            </w:r>
          </w:p>
        </w:tc>
        <w:tc>
          <w:tcPr>
            <w:tcW w:w="244" w:type="pct"/>
          </w:tcPr>
          <w:p w14:paraId="222288DC">
            <w:pPr>
              <w:pStyle w:val="56"/>
              <w:adjustRightInd w:val="0"/>
              <w:snapToGrid w:val="0"/>
              <w:ind w:firstLine="0" w:firstLineChars="0"/>
              <w:jc w:val="center"/>
              <w:rPr>
                <w:rFonts w:ascii="黑体" w:hAnsi="黑体" w:eastAsia="黑体"/>
                <w:sz w:val="18"/>
                <w:szCs w:val="18"/>
              </w:rPr>
            </w:pPr>
            <w:r>
              <w:rPr>
                <w:rFonts w:hint="eastAsia" w:ascii="黑体" w:hAnsi="黑体" w:eastAsia="黑体"/>
                <w:sz w:val="18"/>
                <w:szCs w:val="18"/>
              </w:rPr>
              <w:t>现场值守</w:t>
            </w:r>
          </w:p>
        </w:tc>
        <w:tc>
          <w:tcPr>
            <w:tcW w:w="232" w:type="pct"/>
          </w:tcPr>
          <w:p w14:paraId="21E93558">
            <w:pPr>
              <w:pStyle w:val="56"/>
              <w:adjustRightInd w:val="0"/>
              <w:snapToGrid w:val="0"/>
              <w:ind w:firstLine="0" w:firstLineChars="0"/>
              <w:jc w:val="center"/>
              <w:rPr>
                <w:rFonts w:ascii="黑体" w:hAnsi="黑体" w:eastAsia="黑体"/>
                <w:sz w:val="18"/>
                <w:szCs w:val="18"/>
              </w:rPr>
            </w:pPr>
            <w:r>
              <w:rPr>
                <w:rFonts w:hint="eastAsia" w:ascii="黑体" w:hAnsi="黑体" w:eastAsia="黑体"/>
                <w:sz w:val="18"/>
                <w:szCs w:val="18"/>
              </w:rPr>
              <w:t>提交总结</w:t>
            </w:r>
          </w:p>
        </w:tc>
      </w:tr>
      <w:tr w14:paraId="42DA4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509" w:type="pct"/>
          </w:tcPr>
          <w:p w14:paraId="22DA766F">
            <w:pPr>
              <w:pStyle w:val="56"/>
              <w:adjustRightInd w:val="0"/>
              <w:snapToGrid w:val="0"/>
              <w:ind w:firstLine="0" w:firstLineChars="0"/>
              <w:jc w:val="center"/>
              <w:rPr>
                <w:sz w:val="18"/>
                <w:szCs w:val="18"/>
              </w:rPr>
            </w:pPr>
            <w:r>
              <w:rPr>
                <w:sz w:val="18"/>
                <w:szCs w:val="18"/>
              </w:rPr>
              <w:t>市级</w:t>
            </w:r>
          </w:p>
        </w:tc>
        <w:tc>
          <w:tcPr>
            <w:tcW w:w="597" w:type="pct"/>
          </w:tcPr>
          <w:p w14:paraId="31FE3872">
            <w:pPr>
              <w:pStyle w:val="56"/>
              <w:adjustRightInd w:val="0"/>
              <w:snapToGrid w:val="0"/>
              <w:ind w:firstLine="0" w:firstLineChars="0"/>
              <w:jc w:val="center"/>
              <w:rPr>
                <w:sz w:val="18"/>
                <w:szCs w:val="18"/>
              </w:rPr>
            </w:pPr>
            <w:r>
              <w:rPr>
                <w:sz w:val="18"/>
                <w:szCs w:val="18"/>
              </w:rPr>
              <w:t>■</w:t>
            </w:r>
          </w:p>
        </w:tc>
        <w:tc>
          <w:tcPr>
            <w:tcW w:w="597" w:type="pct"/>
          </w:tcPr>
          <w:p w14:paraId="00C84921">
            <w:pPr>
              <w:pStyle w:val="56"/>
              <w:adjustRightInd w:val="0"/>
              <w:snapToGrid w:val="0"/>
              <w:ind w:firstLine="0" w:firstLineChars="0"/>
              <w:jc w:val="center"/>
              <w:rPr>
                <w:sz w:val="18"/>
                <w:szCs w:val="18"/>
              </w:rPr>
            </w:pPr>
            <w:r>
              <w:rPr>
                <w:sz w:val="18"/>
                <w:szCs w:val="18"/>
              </w:rPr>
              <w:t>安排部署/执行</w:t>
            </w:r>
          </w:p>
        </w:tc>
        <w:tc>
          <w:tcPr>
            <w:tcW w:w="349" w:type="pct"/>
          </w:tcPr>
          <w:p w14:paraId="1EAA370E">
            <w:pPr>
              <w:pStyle w:val="56"/>
              <w:spacing w:line="360" w:lineRule="auto"/>
              <w:ind w:firstLine="0" w:firstLineChars="0"/>
              <w:jc w:val="center"/>
              <w:rPr>
                <w:sz w:val="18"/>
                <w:szCs w:val="18"/>
              </w:rPr>
            </w:pPr>
            <w:r>
              <w:rPr>
                <w:sz w:val="18"/>
                <w:szCs w:val="18"/>
              </w:rPr>
              <w:t>督促检查</w:t>
            </w:r>
          </w:p>
        </w:tc>
        <w:tc>
          <w:tcPr>
            <w:tcW w:w="348" w:type="pct"/>
          </w:tcPr>
          <w:p w14:paraId="030ED32E">
            <w:pPr>
              <w:pStyle w:val="56"/>
              <w:adjustRightInd w:val="0"/>
              <w:snapToGrid w:val="0"/>
              <w:ind w:firstLine="0" w:firstLineChars="0"/>
              <w:jc w:val="center"/>
              <w:rPr>
                <w:sz w:val="18"/>
                <w:szCs w:val="18"/>
              </w:rPr>
            </w:pPr>
            <w:r>
              <w:rPr>
                <w:sz w:val="18"/>
                <w:szCs w:val="18"/>
              </w:rPr>
              <w:t>组织指导</w:t>
            </w:r>
          </w:p>
        </w:tc>
        <w:tc>
          <w:tcPr>
            <w:tcW w:w="298" w:type="pct"/>
          </w:tcPr>
          <w:p w14:paraId="6AC84870">
            <w:pPr>
              <w:pStyle w:val="56"/>
              <w:adjustRightInd w:val="0"/>
              <w:snapToGrid w:val="0"/>
              <w:ind w:firstLine="0" w:firstLineChars="0"/>
              <w:jc w:val="center"/>
              <w:rPr>
                <w:sz w:val="18"/>
                <w:szCs w:val="18"/>
              </w:rPr>
            </w:pPr>
            <w:r>
              <w:rPr>
                <w:sz w:val="18"/>
                <w:szCs w:val="18"/>
              </w:rPr>
              <w:t>A、B</w:t>
            </w:r>
          </w:p>
        </w:tc>
        <w:tc>
          <w:tcPr>
            <w:tcW w:w="489" w:type="pct"/>
          </w:tcPr>
          <w:p w14:paraId="208FE624">
            <w:pPr>
              <w:pStyle w:val="56"/>
              <w:adjustRightInd w:val="0"/>
              <w:snapToGrid w:val="0"/>
              <w:ind w:firstLine="0" w:firstLineChars="0"/>
              <w:jc w:val="center"/>
              <w:rPr>
                <w:sz w:val="18"/>
                <w:szCs w:val="18"/>
              </w:rPr>
            </w:pPr>
            <w:r>
              <w:rPr>
                <w:sz w:val="18"/>
                <w:szCs w:val="18"/>
              </w:rPr>
              <w:t>安排</w:t>
            </w:r>
          </w:p>
        </w:tc>
        <w:tc>
          <w:tcPr>
            <w:tcW w:w="308" w:type="pct"/>
          </w:tcPr>
          <w:p w14:paraId="4B7CC62C">
            <w:pPr>
              <w:pStyle w:val="56"/>
              <w:adjustRightInd w:val="0"/>
              <w:snapToGrid w:val="0"/>
              <w:ind w:firstLine="0" w:firstLineChars="0"/>
              <w:jc w:val="center"/>
              <w:rPr>
                <w:sz w:val="18"/>
                <w:szCs w:val="18"/>
              </w:rPr>
            </w:pPr>
            <w:r>
              <w:rPr>
                <w:rFonts w:hint="eastAsia"/>
                <w:sz w:val="18"/>
                <w:szCs w:val="18"/>
              </w:rPr>
              <w:t>督促</w:t>
            </w:r>
          </w:p>
        </w:tc>
        <w:tc>
          <w:tcPr>
            <w:tcW w:w="398" w:type="pct"/>
          </w:tcPr>
          <w:p w14:paraId="0CCB70B0">
            <w:pPr>
              <w:pStyle w:val="56"/>
              <w:adjustRightInd w:val="0"/>
              <w:snapToGrid w:val="0"/>
              <w:ind w:firstLine="0" w:firstLineChars="0"/>
              <w:jc w:val="center"/>
              <w:rPr>
                <w:sz w:val="18"/>
                <w:szCs w:val="18"/>
              </w:rPr>
            </w:pPr>
            <w:r>
              <w:rPr>
                <w:sz w:val="18"/>
                <w:szCs w:val="18"/>
              </w:rPr>
              <w:t>A</w:t>
            </w:r>
          </w:p>
        </w:tc>
        <w:tc>
          <w:tcPr>
            <w:tcW w:w="291" w:type="pct"/>
          </w:tcPr>
          <w:p w14:paraId="73AEB639">
            <w:pPr>
              <w:pStyle w:val="56"/>
              <w:adjustRightInd w:val="0"/>
              <w:snapToGrid w:val="0"/>
              <w:ind w:firstLine="0" w:firstLineChars="0"/>
              <w:jc w:val="center"/>
              <w:rPr>
                <w:sz w:val="18"/>
                <w:szCs w:val="18"/>
              </w:rPr>
            </w:pPr>
            <w:r>
              <w:rPr>
                <w:sz w:val="18"/>
                <w:szCs w:val="18"/>
              </w:rPr>
              <w:t>A、B</w:t>
            </w:r>
          </w:p>
        </w:tc>
        <w:tc>
          <w:tcPr>
            <w:tcW w:w="340" w:type="pct"/>
          </w:tcPr>
          <w:p w14:paraId="1091A1F2">
            <w:pPr>
              <w:pStyle w:val="56"/>
              <w:adjustRightInd w:val="0"/>
              <w:snapToGrid w:val="0"/>
              <w:ind w:firstLine="0" w:firstLineChars="0"/>
              <w:jc w:val="center"/>
              <w:rPr>
                <w:sz w:val="18"/>
                <w:szCs w:val="18"/>
              </w:rPr>
            </w:pPr>
            <w:r>
              <w:rPr>
                <w:sz w:val="18"/>
                <w:szCs w:val="18"/>
              </w:rPr>
              <w:t>A、B</w:t>
            </w:r>
          </w:p>
        </w:tc>
        <w:tc>
          <w:tcPr>
            <w:tcW w:w="244" w:type="pct"/>
          </w:tcPr>
          <w:p w14:paraId="3DFE707E">
            <w:pPr>
              <w:pStyle w:val="56"/>
              <w:adjustRightInd w:val="0"/>
              <w:snapToGrid w:val="0"/>
              <w:ind w:firstLine="0" w:firstLineChars="0"/>
              <w:jc w:val="center"/>
              <w:rPr>
                <w:sz w:val="18"/>
                <w:szCs w:val="18"/>
              </w:rPr>
            </w:pPr>
          </w:p>
        </w:tc>
        <w:tc>
          <w:tcPr>
            <w:tcW w:w="232" w:type="pct"/>
          </w:tcPr>
          <w:p w14:paraId="652E78B9">
            <w:pPr>
              <w:pStyle w:val="56"/>
              <w:adjustRightInd w:val="0"/>
              <w:snapToGrid w:val="0"/>
              <w:ind w:firstLine="0" w:firstLineChars="0"/>
              <w:jc w:val="center"/>
              <w:rPr>
                <w:sz w:val="18"/>
                <w:szCs w:val="18"/>
              </w:rPr>
            </w:pPr>
            <w:r>
              <w:rPr>
                <w:sz w:val="18"/>
                <w:szCs w:val="18"/>
              </w:rPr>
              <w:t>■</w:t>
            </w:r>
          </w:p>
        </w:tc>
      </w:tr>
      <w:tr w14:paraId="3659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09" w:type="pct"/>
          </w:tcPr>
          <w:p w14:paraId="49FF5702">
            <w:pPr>
              <w:pStyle w:val="56"/>
              <w:spacing w:line="360" w:lineRule="auto"/>
              <w:ind w:firstLine="0" w:firstLineChars="0"/>
              <w:jc w:val="center"/>
              <w:rPr>
                <w:b/>
                <w:sz w:val="18"/>
                <w:szCs w:val="18"/>
              </w:rPr>
            </w:pPr>
            <w:r>
              <w:rPr>
                <w:sz w:val="18"/>
                <w:szCs w:val="18"/>
              </w:rPr>
              <w:t>县（市）、区级</w:t>
            </w:r>
          </w:p>
        </w:tc>
        <w:tc>
          <w:tcPr>
            <w:tcW w:w="597" w:type="pct"/>
          </w:tcPr>
          <w:p w14:paraId="63B9D126">
            <w:pPr>
              <w:pStyle w:val="56"/>
              <w:adjustRightInd w:val="0"/>
              <w:snapToGrid w:val="0"/>
              <w:ind w:firstLine="0" w:firstLineChars="0"/>
              <w:jc w:val="center"/>
              <w:rPr>
                <w:sz w:val="18"/>
                <w:szCs w:val="18"/>
              </w:rPr>
            </w:pPr>
            <w:r>
              <w:rPr>
                <w:sz w:val="18"/>
                <w:szCs w:val="18"/>
              </w:rPr>
              <w:t>■</w:t>
            </w:r>
          </w:p>
        </w:tc>
        <w:tc>
          <w:tcPr>
            <w:tcW w:w="597" w:type="pct"/>
          </w:tcPr>
          <w:p w14:paraId="6A998E72">
            <w:pPr>
              <w:pStyle w:val="56"/>
              <w:adjustRightInd w:val="0"/>
              <w:snapToGrid w:val="0"/>
              <w:ind w:firstLine="0" w:firstLineChars="0"/>
              <w:jc w:val="center"/>
              <w:rPr>
                <w:sz w:val="18"/>
                <w:szCs w:val="18"/>
              </w:rPr>
            </w:pPr>
            <w:r>
              <w:rPr>
                <w:sz w:val="18"/>
                <w:szCs w:val="18"/>
              </w:rPr>
              <w:t>安排部署/执行</w:t>
            </w:r>
          </w:p>
        </w:tc>
        <w:tc>
          <w:tcPr>
            <w:tcW w:w="349" w:type="pct"/>
          </w:tcPr>
          <w:p w14:paraId="1FFA9DFB">
            <w:pPr>
              <w:pStyle w:val="56"/>
              <w:spacing w:line="360" w:lineRule="auto"/>
              <w:ind w:firstLine="0" w:firstLineChars="0"/>
              <w:jc w:val="center"/>
              <w:rPr>
                <w:sz w:val="18"/>
                <w:szCs w:val="18"/>
              </w:rPr>
            </w:pPr>
            <w:r>
              <w:rPr>
                <w:sz w:val="18"/>
                <w:szCs w:val="18"/>
              </w:rPr>
              <w:t>督促检查</w:t>
            </w:r>
          </w:p>
        </w:tc>
        <w:tc>
          <w:tcPr>
            <w:tcW w:w="348" w:type="pct"/>
          </w:tcPr>
          <w:p w14:paraId="6C8B759B">
            <w:pPr>
              <w:pStyle w:val="56"/>
              <w:adjustRightInd w:val="0"/>
              <w:snapToGrid w:val="0"/>
              <w:ind w:firstLine="0" w:firstLineChars="0"/>
              <w:jc w:val="center"/>
              <w:rPr>
                <w:sz w:val="18"/>
                <w:szCs w:val="18"/>
              </w:rPr>
            </w:pPr>
            <w:r>
              <w:rPr>
                <w:sz w:val="18"/>
                <w:szCs w:val="18"/>
              </w:rPr>
              <w:t>组织指导</w:t>
            </w:r>
          </w:p>
        </w:tc>
        <w:tc>
          <w:tcPr>
            <w:tcW w:w="298" w:type="pct"/>
          </w:tcPr>
          <w:p w14:paraId="3D2BA9D4">
            <w:pPr>
              <w:pStyle w:val="56"/>
              <w:adjustRightInd w:val="0"/>
              <w:snapToGrid w:val="0"/>
              <w:ind w:firstLine="0" w:firstLineChars="0"/>
              <w:jc w:val="center"/>
              <w:rPr>
                <w:sz w:val="18"/>
                <w:szCs w:val="18"/>
              </w:rPr>
            </w:pPr>
            <w:r>
              <w:rPr>
                <w:sz w:val="18"/>
                <w:szCs w:val="18"/>
              </w:rPr>
              <w:t>A、B、C</w:t>
            </w:r>
          </w:p>
        </w:tc>
        <w:tc>
          <w:tcPr>
            <w:tcW w:w="489" w:type="pct"/>
          </w:tcPr>
          <w:p w14:paraId="4F1F00DB">
            <w:pPr>
              <w:pStyle w:val="56"/>
              <w:adjustRightInd w:val="0"/>
              <w:snapToGrid w:val="0"/>
              <w:ind w:firstLine="0" w:firstLineChars="0"/>
              <w:jc w:val="center"/>
              <w:rPr>
                <w:sz w:val="18"/>
                <w:szCs w:val="18"/>
              </w:rPr>
            </w:pPr>
            <w:r>
              <w:rPr>
                <w:sz w:val="18"/>
                <w:szCs w:val="18"/>
              </w:rPr>
              <w:t>安排</w:t>
            </w:r>
          </w:p>
        </w:tc>
        <w:tc>
          <w:tcPr>
            <w:tcW w:w="308" w:type="pct"/>
          </w:tcPr>
          <w:p w14:paraId="7370BF67">
            <w:pPr>
              <w:pStyle w:val="56"/>
              <w:adjustRightInd w:val="0"/>
              <w:snapToGrid w:val="0"/>
              <w:ind w:firstLine="0" w:firstLineChars="0"/>
              <w:jc w:val="center"/>
              <w:rPr>
                <w:sz w:val="18"/>
                <w:szCs w:val="18"/>
              </w:rPr>
            </w:pPr>
            <w:r>
              <w:rPr>
                <w:rFonts w:hint="eastAsia"/>
                <w:sz w:val="18"/>
                <w:szCs w:val="18"/>
              </w:rPr>
              <w:t>督促</w:t>
            </w:r>
          </w:p>
        </w:tc>
        <w:tc>
          <w:tcPr>
            <w:tcW w:w="398" w:type="pct"/>
          </w:tcPr>
          <w:p w14:paraId="476BB732">
            <w:pPr>
              <w:pStyle w:val="56"/>
              <w:adjustRightInd w:val="0"/>
              <w:snapToGrid w:val="0"/>
              <w:ind w:firstLine="0" w:firstLineChars="0"/>
              <w:jc w:val="center"/>
              <w:rPr>
                <w:sz w:val="18"/>
                <w:szCs w:val="18"/>
              </w:rPr>
            </w:pPr>
            <w:r>
              <w:rPr>
                <w:sz w:val="18"/>
                <w:szCs w:val="18"/>
              </w:rPr>
              <w:t>A、B、C</w:t>
            </w:r>
          </w:p>
        </w:tc>
        <w:tc>
          <w:tcPr>
            <w:tcW w:w="291" w:type="pct"/>
          </w:tcPr>
          <w:p w14:paraId="0A5FDED8">
            <w:pPr>
              <w:pStyle w:val="56"/>
              <w:adjustRightInd w:val="0"/>
              <w:snapToGrid w:val="0"/>
              <w:ind w:firstLine="0" w:firstLineChars="0"/>
              <w:jc w:val="center"/>
              <w:rPr>
                <w:sz w:val="18"/>
                <w:szCs w:val="18"/>
              </w:rPr>
            </w:pPr>
            <w:r>
              <w:rPr>
                <w:sz w:val="18"/>
                <w:szCs w:val="18"/>
              </w:rPr>
              <w:t>A、B</w:t>
            </w:r>
          </w:p>
        </w:tc>
        <w:tc>
          <w:tcPr>
            <w:tcW w:w="340" w:type="pct"/>
          </w:tcPr>
          <w:p w14:paraId="1AF4CA9B">
            <w:pPr>
              <w:pStyle w:val="56"/>
              <w:adjustRightInd w:val="0"/>
              <w:snapToGrid w:val="0"/>
              <w:ind w:firstLine="0" w:firstLineChars="0"/>
              <w:jc w:val="center"/>
              <w:rPr>
                <w:sz w:val="18"/>
                <w:szCs w:val="18"/>
              </w:rPr>
            </w:pPr>
            <w:r>
              <w:rPr>
                <w:sz w:val="18"/>
                <w:szCs w:val="18"/>
              </w:rPr>
              <w:t>A、B</w:t>
            </w:r>
          </w:p>
        </w:tc>
        <w:tc>
          <w:tcPr>
            <w:tcW w:w="244" w:type="pct"/>
          </w:tcPr>
          <w:p w14:paraId="3C0D5062">
            <w:pPr>
              <w:pStyle w:val="56"/>
              <w:adjustRightInd w:val="0"/>
              <w:snapToGrid w:val="0"/>
              <w:ind w:firstLine="0" w:firstLineChars="0"/>
              <w:jc w:val="center"/>
              <w:rPr>
                <w:sz w:val="18"/>
                <w:szCs w:val="18"/>
              </w:rPr>
            </w:pPr>
            <w:r>
              <w:rPr>
                <w:sz w:val="18"/>
                <w:szCs w:val="18"/>
              </w:rPr>
              <w:t>A、B</w:t>
            </w:r>
          </w:p>
        </w:tc>
        <w:tc>
          <w:tcPr>
            <w:tcW w:w="232" w:type="pct"/>
          </w:tcPr>
          <w:p w14:paraId="65D1A2A8">
            <w:pPr>
              <w:pStyle w:val="56"/>
              <w:adjustRightInd w:val="0"/>
              <w:snapToGrid w:val="0"/>
              <w:ind w:firstLine="0" w:firstLineChars="0"/>
              <w:jc w:val="center"/>
              <w:rPr>
                <w:sz w:val="18"/>
                <w:szCs w:val="18"/>
              </w:rPr>
            </w:pPr>
            <w:r>
              <w:rPr>
                <w:sz w:val="18"/>
                <w:szCs w:val="18"/>
              </w:rPr>
              <w:t>■</w:t>
            </w:r>
          </w:p>
        </w:tc>
      </w:tr>
      <w:tr w14:paraId="5D22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509" w:type="pct"/>
          </w:tcPr>
          <w:p w14:paraId="31D25426">
            <w:pPr>
              <w:pStyle w:val="56"/>
              <w:adjustRightInd w:val="0"/>
              <w:snapToGrid w:val="0"/>
              <w:ind w:firstLine="0" w:firstLineChars="0"/>
              <w:jc w:val="center"/>
              <w:rPr>
                <w:sz w:val="18"/>
                <w:szCs w:val="18"/>
              </w:rPr>
            </w:pPr>
            <w:r>
              <w:rPr>
                <w:sz w:val="18"/>
                <w:szCs w:val="18"/>
              </w:rPr>
              <w:t>检验检测</w:t>
            </w:r>
          </w:p>
        </w:tc>
        <w:tc>
          <w:tcPr>
            <w:tcW w:w="597" w:type="pct"/>
          </w:tcPr>
          <w:p w14:paraId="6CF30BBF">
            <w:pPr>
              <w:pStyle w:val="56"/>
              <w:adjustRightInd w:val="0"/>
              <w:snapToGrid w:val="0"/>
              <w:ind w:firstLine="0" w:firstLineChars="0"/>
              <w:jc w:val="center"/>
              <w:rPr>
                <w:sz w:val="18"/>
                <w:szCs w:val="18"/>
              </w:rPr>
            </w:pPr>
            <w:r>
              <w:rPr>
                <w:sz w:val="18"/>
                <w:szCs w:val="18"/>
              </w:rPr>
              <w:t>■</w:t>
            </w:r>
          </w:p>
        </w:tc>
        <w:tc>
          <w:tcPr>
            <w:tcW w:w="597" w:type="pct"/>
          </w:tcPr>
          <w:p w14:paraId="43168557">
            <w:pPr>
              <w:pStyle w:val="56"/>
              <w:adjustRightInd w:val="0"/>
              <w:snapToGrid w:val="0"/>
              <w:ind w:firstLine="0" w:firstLineChars="0"/>
              <w:jc w:val="center"/>
              <w:rPr>
                <w:sz w:val="18"/>
                <w:szCs w:val="18"/>
              </w:rPr>
            </w:pPr>
            <w:r>
              <w:rPr>
                <w:sz w:val="18"/>
                <w:szCs w:val="18"/>
              </w:rPr>
              <w:t>安排部署/执行</w:t>
            </w:r>
          </w:p>
        </w:tc>
        <w:tc>
          <w:tcPr>
            <w:tcW w:w="349" w:type="pct"/>
          </w:tcPr>
          <w:p w14:paraId="52062442">
            <w:pPr>
              <w:pStyle w:val="56"/>
              <w:adjustRightInd w:val="0"/>
              <w:snapToGrid w:val="0"/>
              <w:ind w:firstLine="0" w:firstLineChars="0"/>
              <w:jc w:val="center"/>
              <w:rPr>
                <w:sz w:val="18"/>
                <w:szCs w:val="18"/>
              </w:rPr>
            </w:pPr>
            <w:r>
              <w:rPr>
                <w:sz w:val="18"/>
                <w:szCs w:val="18"/>
              </w:rPr>
              <w:t>配合</w:t>
            </w:r>
          </w:p>
        </w:tc>
        <w:tc>
          <w:tcPr>
            <w:tcW w:w="348" w:type="pct"/>
          </w:tcPr>
          <w:p w14:paraId="50A9E705">
            <w:pPr>
              <w:pStyle w:val="56"/>
              <w:adjustRightInd w:val="0"/>
              <w:snapToGrid w:val="0"/>
              <w:ind w:firstLine="0" w:firstLineChars="0"/>
              <w:jc w:val="center"/>
              <w:rPr>
                <w:sz w:val="18"/>
                <w:szCs w:val="18"/>
              </w:rPr>
            </w:pPr>
            <w:r>
              <w:rPr>
                <w:sz w:val="18"/>
                <w:szCs w:val="18"/>
              </w:rPr>
              <w:t>配合</w:t>
            </w:r>
          </w:p>
        </w:tc>
        <w:tc>
          <w:tcPr>
            <w:tcW w:w="298" w:type="pct"/>
          </w:tcPr>
          <w:p w14:paraId="21108C00">
            <w:pPr>
              <w:pStyle w:val="56"/>
              <w:adjustRightInd w:val="0"/>
              <w:snapToGrid w:val="0"/>
              <w:ind w:firstLine="0" w:firstLineChars="0"/>
              <w:jc w:val="center"/>
              <w:rPr>
                <w:sz w:val="18"/>
                <w:szCs w:val="18"/>
              </w:rPr>
            </w:pPr>
            <w:r>
              <w:rPr>
                <w:sz w:val="18"/>
                <w:szCs w:val="18"/>
              </w:rPr>
              <w:t>配合</w:t>
            </w:r>
          </w:p>
        </w:tc>
        <w:tc>
          <w:tcPr>
            <w:tcW w:w="489" w:type="pct"/>
          </w:tcPr>
          <w:p w14:paraId="12D7A608">
            <w:pPr>
              <w:pStyle w:val="56"/>
              <w:adjustRightInd w:val="0"/>
              <w:snapToGrid w:val="0"/>
              <w:ind w:firstLine="0" w:firstLineChars="0"/>
              <w:jc w:val="center"/>
              <w:rPr>
                <w:sz w:val="18"/>
                <w:szCs w:val="18"/>
              </w:rPr>
            </w:pPr>
            <w:r>
              <w:rPr>
                <w:sz w:val="18"/>
                <w:szCs w:val="18"/>
              </w:rPr>
              <w:t>A、B、C</w:t>
            </w:r>
            <w:r>
              <w:rPr>
                <w:rFonts w:hint="eastAsia"/>
                <w:sz w:val="18"/>
                <w:szCs w:val="18"/>
              </w:rPr>
              <w:t>（根据工作方案实施）</w:t>
            </w:r>
          </w:p>
        </w:tc>
        <w:tc>
          <w:tcPr>
            <w:tcW w:w="308" w:type="pct"/>
          </w:tcPr>
          <w:p w14:paraId="76094610">
            <w:pPr>
              <w:pStyle w:val="56"/>
              <w:adjustRightInd w:val="0"/>
              <w:snapToGrid w:val="0"/>
              <w:ind w:firstLine="0" w:firstLineChars="0"/>
              <w:jc w:val="center"/>
              <w:rPr>
                <w:sz w:val="18"/>
                <w:szCs w:val="18"/>
              </w:rPr>
            </w:pPr>
            <w:r>
              <w:rPr>
                <w:sz w:val="18"/>
                <w:szCs w:val="18"/>
              </w:rPr>
              <w:t>配合</w:t>
            </w:r>
          </w:p>
        </w:tc>
        <w:tc>
          <w:tcPr>
            <w:tcW w:w="398" w:type="pct"/>
          </w:tcPr>
          <w:p w14:paraId="5CD1C6C0">
            <w:pPr>
              <w:pStyle w:val="56"/>
              <w:adjustRightInd w:val="0"/>
              <w:snapToGrid w:val="0"/>
              <w:ind w:firstLine="0" w:firstLineChars="0"/>
              <w:jc w:val="center"/>
              <w:rPr>
                <w:sz w:val="18"/>
                <w:szCs w:val="18"/>
              </w:rPr>
            </w:pPr>
            <w:r>
              <w:rPr>
                <w:sz w:val="18"/>
                <w:szCs w:val="18"/>
              </w:rPr>
              <w:t>A、B、C</w:t>
            </w:r>
          </w:p>
        </w:tc>
        <w:tc>
          <w:tcPr>
            <w:tcW w:w="291" w:type="pct"/>
          </w:tcPr>
          <w:p w14:paraId="76C2A62A">
            <w:pPr>
              <w:pStyle w:val="56"/>
              <w:adjustRightInd w:val="0"/>
              <w:snapToGrid w:val="0"/>
              <w:ind w:firstLine="0" w:firstLineChars="0"/>
              <w:jc w:val="center"/>
              <w:rPr>
                <w:sz w:val="18"/>
                <w:szCs w:val="18"/>
              </w:rPr>
            </w:pPr>
            <w:r>
              <w:rPr>
                <w:sz w:val="18"/>
                <w:szCs w:val="18"/>
              </w:rPr>
              <w:t>A、B</w:t>
            </w:r>
          </w:p>
        </w:tc>
        <w:tc>
          <w:tcPr>
            <w:tcW w:w="340" w:type="pct"/>
          </w:tcPr>
          <w:p w14:paraId="246D811C">
            <w:pPr>
              <w:pStyle w:val="56"/>
              <w:adjustRightInd w:val="0"/>
              <w:snapToGrid w:val="0"/>
              <w:ind w:firstLine="0" w:firstLineChars="0"/>
              <w:jc w:val="center"/>
              <w:rPr>
                <w:sz w:val="18"/>
                <w:szCs w:val="18"/>
              </w:rPr>
            </w:pPr>
            <w:r>
              <w:rPr>
                <w:sz w:val="18"/>
                <w:szCs w:val="18"/>
              </w:rPr>
              <w:t>配合</w:t>
            </w:r>
          </w:p>
        </w:tc>
        <w:tc>
          <w:tcPr>
            <w:tcW w:w="244" w:type="pct"/>
          </w:tcPr>
          <w:p w14:paraId="17FEDFB9">
            <w:pPr>
              <w:pStyle w:val="56"/>
              <w:adjustRightInd w:val="0"/>
              <w:snapToGrid w:val="0"/>
              <w:ind w:firstLine="0" w:firstLineChars="0"/>
              <w:jc w:val="center"/>
              <w:rPr>
                <w:b/>
                <w:sz w:val="18"/>
                <w:szCs w:val="18"/>
              </w:rPr>
            </w:pPr>
            <w:r>
              <w:rPr>
                <w:sz w:val="18"/>
                <w:szCs w:val="18"/>
              </w:rPr>
              <w:t>配合</w:t>
            </w:r>
          </w:p>
        </w:tc>
        <w:tc>
          <w:tcPr>
            <w:tcW w:w="232" w:type="pct"/>
          </w:tcPr>
          <w:p w14:paraId="27D979CD">
            <w:pPr>
              <w:pStyle w:val="56"/>
              <w:adjustRightInd w:val="0"/>
              <w:snapToGrid w:val="0"/>
              <w:ind w:firstLine="0" w:firstLineChars="0"/>
              <w:jc w:val="center"/>
              <w:rPr>
                <w:sz w:val="18"/>
                <w:szCs w:val="18"/>
              </w:rPr>
            </w:pPr>
            <w:r>
              <w:rPr>
                <w:sz w:val="18"/>
                <w:szCs w:val="18"/>
              </w:rPr>
              <w:t>■</w:t>
            </w:r>
          </w:p>
        </w:tc>
      </w:tr>
      <w:tr w14:paraId="5350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509" w:type="pct"/>
          </w:tcPr>
          <w:p w14:paraId="0CB44785">
            <w:pPr>
              <w:pStyle w:val="56"/>
              <w:adjustRightInd w:val="0"/>
              <w:snapToGrid w:val="0"/>
              <w:ind w:firstLine="0" w:firstLineChars="0"/>
              <w:jc w:val="center"/>
              <w:rPr>
                <w:sz w:val="18"/>
                <w:szCs w:val="18"/>
              </w:rPr>
            </w:pPr>
            <w:r>
              <w:rPr>
                <w:sz w:val="18"/>
                <w:szCs w:val="18"/>
              </w:rPr>
              <w:t>使用单位</w:t>
            </w:r>
          </w:p>
        </w:tc>
        <w:tc>
          <w:tcPr>
            <w:tcW w:w="597" w:type="pct"/>
          </w:tcPr>
          <w:p w14:paraId="7B286D63">
            <w:pPr>
              <w:pStyle w:val="56"/>
              <w:adjustRightInd w:val="0"/>
              <w:snapToGrid w:val="0"/>
              <w:ind w:firstLine="0" w:firstLineChars="0"/>
              <w:jc w:val="center"/>
              <w:rPr>
                <w:sz w:val="18"/>
                <w:szCs w:val="18"/>
              </w:rPr>
            </w:pPr>
            <w:r>
              <w:rPr>
                <w:sz w:val="18"/>
                <w:szCs w:val="18"/>
              </w:rPr>
              <w:t>■</w:t>
            </w:r>
          </w:p>
        </w:tc>
        <w:tc>
          <w:tcPr>
            <w:tcW w:w="597" w:type="pct"/>
          </w:tcPr>
          <w:p w14:paraId="58F97862">
            <w:pPr>
              <w:pStyle w:val="56"/>
              <w:adjustRightInd w:val="0"/>
              <w:snapToGrid w:val="0"/>
              <w:ind w:firstLine="0" w:firstLineChars="0"/>
              <w:jc w:val="center"/>
              <w:rPr>
                <w:sz w:val="18"/>
                <w:szCs w:val="18"/>
              </w:rPr>
            </w:pPr>
            <w:r>
              <w:rPr>
                <w:sz w:val="18"/>
                <w:szCs w:val="18"/>
              </w:rPr>
              <w:t>安排部署/执行</w:t>
            </w:r>
          </w:p>
        </w:tc>
        <w:tc>
          <w:tcPr>
            <w:tcW w:w="349" w:type="pct"/>
          </w:tcPr>
          <w:p w14:paraId="758C2688">
            <w:pPr>
              <w:pStyle w:val="56"/>
              <w:adjustRightInd w:val="0"/>
              <w:snapToGrid w:val="0"/>
              <w:ind w:firstLine="0" w:firstLineChars="0"/>
              <w:jc w:val="center"/>
              <w:rPr>
                <w:sz w:val="18"/>
                <w:szCs w:val="18"/>
              </w:rPr>
            </w:pPr>
            <w:r>
              <w:rPr>
                <w:sz w:val="18"/>
                <w:szCs w:val="18"/>
              </w:rPr>
              <w:t>A、B、C</w:t>
            </w:r>
          </w:p>
        </w:tc>
        <w:tc>
          <w:tcPr>
            <w:tcW w:w="348" w:type="pct"/>
          </w:tcPr>
          <w:p w14:paraId="1CAF34EE">
            <w:pPr>
              <w:pStyle w:val="56"/>
              <w:adjustRightInd w:val="0"/>
              <w:snapToGrid w:val="0"/>
              <w:ind w:firstLine="0" w:firstLineChars="0"/>
              <w:jc w:val="center"/>
              <w:rPr>
                <w:sz w:val="18"/>
                <w:szCs w:val="18"/>
              </w:rPr>
            </w:pPr>
            <w:r>
              <w:rPr>
                <w:sz w:val="18"/>
                <w:szCs w:val="18"/>
              </w:rPr>
              <w:t>组织实施</w:t>
            </w:r>
          </w:p>
        </w:tc>
        <w:tc>
          <w:tcPr>
            <w:tcW w:w="298" w:type="pct"/>
          </w:tcPr>
          <w:p w14:paraId="088E5C51">
            <w:pPr>
              <w:pStyle w:val="56"/>
              <w:adjustRightInd w:val="0"/>
              <w:snapToGrid w:val="0"/>
              <w:ind w:firstLine="0" w:firstLineChars="0"/>
              <w:jc w:val="center"/>
              <w:rPr>
                <w:sz w:val="18"/>
                <w:szCs w:val="18"/>
              </w:rPr>
            </w:pPr>
            <w:r>
              <w:rPr>
                <w:sz w:val="18"/>
                <w:szCs w:val="18"/>
              </w:rPr>
              <w:t>配合</w:t>
            </w:r>
          </w:p>
        </w:tc>
        <w:tc>
          <w:tcPr>
            <w:tcW w:w="489" w:type="pct"/>
          </w:tcPr>
          <w:p w14:paraId="58783856">
            <w:pPr>
              <w:pStyle w:val="56"/>
              <w:adjustRightInd w:val="0"/>
              <w:snapToGrid w:val="0"/>
              <w:ind w:firstLine="0" w:firstLineChars="0"/>
              <w:jc w:val="center"/>
              <w:rPr>
                <w:sz w:val="18"/>
                <w:szCs w:val="18"/>
              </w:rPr>
            </w:pPr>
            <w:r>
              <w:rPr>
                <w:sz w:val="18"/>
                <w:szCs w:val="18"/>
              </w:rPr>
              <w:t>配合</w:t>
            </w:r>
          </w:p>
        </w:tc>
        <w:tc>
          <w:tcPr>
            <w:tcW w:w="308" w:type="pct"/>
          </w:tcPr>
          <w:p w14:paraId="17161BD4">
            <w:pPr>
              <w:pStyle w:val="56"/>
              <w:adjustRightInd w:val="0"/>
              <w:snapToGrid w:val="0"/>
              <w:ind w:firstLine="0" w:firstLineChars="0"/>
              <w:jc w:val="center"/>
              <w:rPr>
                <w:sz w:val="18"/>
                <w:szCs w:val="18"/>
              </w:rPr>
            </w:pPr>
            <w:r>
              <w:rPr>
                <w:sz w:val="18"/>
                <w:szCs w:val="18"/>
              </w:rPr>
              <w:t>A、B、C</w:t>
            </w:r>
          </w:p>
        </w:tc>
        <w:tc>
          <w:tcPr>
            <w:tcW w:w="398" w:type="pct"/>
          </w:tcPr>
          <w:p w14:paraId="46364CA9">
            <w:pPr>
              <w:pStyle w:val="56"/>
              <w:adjustRightInd w:val="0"/>
              <w:snapToGrid w:val="0"/>
              <w:ind w:firstLine="0" w:firstLineChars="0"/>
              <w:jc w:val="center"/>
              <w:rPr>
                <w:sz w:val="18"/>
                <w:szCs w:val="18"/>
              </w:rPr>
            </w:pPr>
            <w:r>
              <w:rPr>
                <w:sz w:val="18"/>
                <w:szCs w:val="18"/>
              </w:rPr>
              <w:t>配合</w:t>
            </w:r>
          </w:p>
        </w:tc>
        <w:tc>
          <w:tcPr>
            <w:tcW w:w="291" w:type="pct"/>
          </w:tcPr>
          <w:p w14:paraId="2C27D586">
            <w:pPr>
              <w:pStyle w:val="56"/>
              <w:adjustRightInd w:val="0"/>
              <w:snapToGrid w:val="0"/>
              <w:ind w:firstLine="0" w:firstLineChars="0"/>
              <w:jc w:val="center"/>
              <w:rPr>
                <w:sz w:val="18"/>
                <w:szCs w:val="18"/>
              </w:rPr>
            </w:pPr>
            <w:r>
              <w:rPr>
                <w:sz w:val="18"/>
                <w:szCs w:val="18"/>
              </w:rPr>
              <w:t>A、B、C</w:t>
            </w:r>
          </w:p>
        </w:tc>
        <w:tc>
          <w:tcPr>
            <w:tcW w:w="340" w:type="pct"/>
          </w:tcPr>
          <w:p w14:paraId="0F373F43">
            <w:pPr>
              <w:pStyle w:val="56"/>
              <w:adjustRightInd w:val="0"/>
              <w:snapToGrid w:val="0"/>
              <w:ind w:firstLine="0" w:firstLineChars="0"/>
              <w:jc w:val="center"/>
              <w:rPr>
                <w:sz w:val="18"/>
                <w:szCs w:val="18"/>
              </w:rPr>
            </w:pPr>
            <w:r>
              <w:rPr>
                <w:sz w:val="18"/>
                <w:szCs w:val="18"/>
              </w:rPr>
              <w:t>A、B</w:t>
            </w:r>
          </w:p>
        </w:tc>
        <w:tc>
          <w:tcPr>
            <w:tcW w:w="244" w:type="pct"/>
          </w:tcPr>
          <w:p w14:paraId="5582AF0D">
            <w:pPr>
              <w:pStyle w:val="56"/>
              <w:adjustRightInd w:val="0"/>
              <w:snapToGrid w:val="0"/>
              <w:ind w:firstLine="0" w:firstLineChars="0"/>
              <w:jc w:val="center"/>
              <w:rPr>
                <w:sz w:val="18"/>
                <w:szCs w:val="18"/>
              </w:rPr>
            </w:pPr>
            <w:r>
              <w:rPr>
                <w:sz w:val="18"/>
                <w:szCs w:val="18"/>
              </w:rPr>
              <w:t>A、B</w:t>
            </w:r>
          </w:p>
        </w:tc>
        <w:tc>
          <w:tcPr>
            <w:tcW w:w="232" w:type="pct"/>
          </w:tcPr>
          <w:p w14:paraId="11826B07">
            <w:pPr>
              <w:pStyle w:val="56"/>
              <w:adjustRightInd w:val="0"/>
              <w:snapToGrid w:val="0"/>
              <w:ind w:firstLine="0" w:firstLineChars="0"/>
              <w:jc w:val="center"/>
              <w:rPr>
                <w:sz w:val="18"/>
                <w:szCs w:val="18"/>
              </w:rPr>
            </w:pPr>
            <w:r>
              <w:rPr>
                <w:sz w:val="18"/>
                <w:szCs w:val="18"/>
              </w:rPr>
              <w:t>■</w:t>
            </w:r>
          </w:p>
        </w:tc>
      </w:tr>
      <w:tr w14:paraId="7596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09" w:type="pct"/>
          </w:tcPr>
          <w:p w14:paraId="5A442E35">
            <w:pPr>
              <w:pStyle w:val="56"/>
              <w:adjustRightInd w:val="0"/>
              <w:snapToGrid w:val="0"/>
              <w:ind w:firstLine="0" w:firstLineChars="0"/>
              <w:jc w:val="center"/>
              <w:rPr>
                <w:sz w:val="18"/>
                <w:szCs w:val="18"/>
              </w:rPr>
            </w:pPr>
            <w:r>
              <w:rPr>
                <w:sz w:val="18"/>
                <w:szCs w:val="18"/>
              </w:rPr>
              <w:t>电梯维保单位</w:t>
            </w:r>
          </w:p>
        </w:tc>
        <w:tc>
          <w:tcPr>
            <w:tcW w:w="597" w:type="pct"/>
          </w:tcPr>
          <w:p w14:paraId="04AD8871">
            <w:pPr>
              <w:pStyle w:val="56"/>
              <w:adjustRightInd w:val="0"/>
              <w:snapToGrid w:val="0"/>
              <w:ind w:firstLine="0" w:firstLineChars="0"/>
              <w:jc w:val="center"/>
              <w:rPr>
                <w:sz w:val="18"/>
                <w:szCs w:val="18"/>
              </w:rPr>
            </w:pPr>
            <w:r>
              <w:rPr>
                <w:sz w:val="18"/>
                <w:szCs w:val="18"/>
              </w:rPr>
              <w:t>■</w:t>
            </w:r>
          </w:p>
        </w:tc>
        <w:tc>
          <w:tcPr>
            <w:tcW w:w="597" w:type="pct"/>
          </w:tcPr>
          <w:p w14:paraId="1057FAB8">
            <w:pPr>
              <w:pStyle w:val="56"/>
              <w:adjustRightInd w:val="0"/>
              <w:snapToGrid w:val="0"/>
              <w:ind w:firstLine="0" w:firstLineChars="0"/>
              <w:jc w:val="center"/>
              <w:rPr>
                <w:sz w:val="18"/>
                <w:szCs w:val="18"/>
              </w:rPr>
            </w:pPr>
            <w:r>
              <w:rPr>
                <w:sz w:val="18"/>
                <w:szCs w:val="18"/>
              </w:rPr>
              <w:t>安排部署/执行</w:t>
            </w:r>
          </w:p>
        </w:tc>
        <w:tc>
          <w:tcPr>
            <w:tcW w:w="349" w:type="pct"/>
          </w:tcPr>
          <w:p w14:paraId="1A3A2A01">
            <w:pPr>
              <w:pStyle w:val="56"/>
              <w:adjustRightInd w:val="0"/>
              <w:snapToGrid w:val="0"/>
              <w:ind w:firstLine="0" w:firstLineChars="0"/>
              <w:jc w:val="center"/>
              <w:rPr>
                <w:sz w:val="18"/>
                <w:szCs w:val="18"/>
              </w:rPr>
            </w:pPr>
            <w:r>
              <w:rPr>
                <w:sz w:val="18"/>
                <w:szCs w:val="18"/>
              </w:rPr>
              <w:t>A、B、C</w:t>
            </w:r>
          </w:p>
        </w:tc>
        <w:tc>
          <w:tcPr>
            <w:tcW w:w="348" w:type="pct"/>
          </w:tcPr>
          <w:p w14:paraId="446A34F1">
            <w:pPr>
              <w:pStyle w:val="56"/>
              <w:adjustRightInd w:val="0"/>
              <w:snapToGrid w:val="0"/>
              <w:ind w:firstLine="0" w:firstLineChars="0"/>
              <w:jc w:val="center"/>
              <w:rPr>
                <w:sz w:val="18"/>
                <w:szCs w:val="18"/>
              </w:rPr>
            </w:pPr>
            <w:r>
              <w:rPr>
                <w:sz w:val="18"/>
                <w:szCs w:val="18"/>
              </w:rPr>
              <w:t>组织实施</w:t>
            </w:r>
          </w:p>
        </w:tc>
        <w:tc>
          <w:tcPr>
            <w:tcW w:w="298" w:type="pct"/>
          </w:tcPr>
          <w:p w14:paraId="397DCD74">
            <w:pPr>
              <w:pStyle w:val="56"/>
              <w:adjustRightInd w:val="0"/>
              <w:snapToGrid w:val="0"/>
              <w:ind w:firstLine="0" w:firstLineChars="0"/>
              <w:jc w:val="center"/>
              <w:rPr>
                <w:sz w:val="18"/>
                <w:szCs w:val="18"/>
              </w:rPr>
            </w:pPr>
            <w:r>
              <w:rPr>
                <w:sz w:val="18"/>
                <w:szCs w:val="18"/>
              </w:rPr>
              <w:t>配合</w:t>
            </w:r>
          </w:p>
        </w:tc>
        <w:tc>
          <w:tcPr>
            <w:tcW w:w="489" w:type="pct"/>
          </w:tcPr>
          <w:p w14:paraId="2A3FB50E">
            <w:pPr>
              <w:pStyle w:val="56"/>
              <w:adjustRightInd w:val="0"/>
              <w:snapToGrid w:val="0"/>
              <w:ind w:firstLine="0" w:firstLineChars="0"/>
              <w:jc w:val="center"/>
              <w:rPr>
                <w:sz w:val="18"/>
                <w:szCs w:val="18"/>
              </w:rPr>
            </w:pPr>
            <w:r>
              <w:rPr>
                <w:sz w:val="18"/>
                <w:szCs w:val="18"/>
              </w:rPr>
              <w:t>配合</w:t>
            </w:r>
          </w:p>
        </w:tc>
        <w:tc>
          <w:tcPr>
            <w:tcW w:w="308" w:type="pct"/>
          </w:tcPr>
          <w:p w14:paraId="6911B2B9">
            <w:pPr>
              <w:pStyle w:val="56"/>
              <w:adjustRightInd w:val="0"/>
              <w:snapToGrid w:val="0"/>
              <w:ind w:firstLine="0" w:firstLineChars="0"/>
              <w:jc w:val="center"/>
              <w:rPr>
                <w:sz w:val="18"/>
                <w:szCs w:val="18"/>
              </w:rPr>
            </w:pPr>
            <w:r>
              <w:rPr>
                <w:sz w:val="18"/>
                <w:szCs w:val="18"/>
              </w:rPr>
              <w:t>A、B、C</w:t>
            </w:r>
          </w:p>
        </w:tc>
        <w:tc>
          <w:tcPr>
            <w:tcW w:w="398" w:type="pct"/>
          </w:tcPr>
          <w:p w14:paraId="67025ED6">
            <w:pPr>
              <w:pStyle w:val="56"/>
              <w:adjustRightInd w:val="0"/>
              <w:snapToGrid w:val="0"/>
              <w:ind w:firstLine="0" w:firstLineChars="0"/>
              <w:jc w:val="center"/>
              <w:rPr>
                <w:sz w:val="18"/>
                <w:szCs w:val="18"/>
              </w:rPr>
            </w:pPr>
            <w:r>
              <w:rPr>
                <w:sz w:val="18"/>
                <w:szCs w:val="18"/>
              </w:rPr>
              <w:t>配合</w:t>
            </w:r>
          </w:p>
        </w:tc>
        <w:tc>
          <w:tcPr>
            <w:tcW w:w="291" w:type="pct"/>
          </w:tcPr>
          <w:p w14:paraId="60FD2CB4">
            <w:pPr>
              <w:pStyle w:val="56"/>
              <w:adjustRightInd w:val="0"/>
              <w:snapToGrid w:val="0"/>
              <w:ind w:firstLine="0" w:firstLineChars="0"/>
              <w:jc w:val="center"/>
              <w:rPr>
                <w:sz w:val="18"/>
                <w:szCs w:val="18"/>
              </w:rPr>
            </w:pPr>
            <w:r>
              <w:rPr>
                <w:sz w:val="18"/>
                <w:szCs w:val="18"/>
              </w:rPr>
              <w:t>A、B、C</w:t>
            </w:r>
          </w:p>
        </w:tc>
        <w:tc>
          <w:tcPr>
            <w:tcW w:w="340" w:type="pct"/>
          </w:tcPr>
          <w:p w14:paraId="6BA8E3FC">
            <w:pPr>
              <w:pStyle w:val="56"/>
              <w:adjustRightInd w:val="0"/>
              <w:snapToGrid w:val="0"/>
              <w:ind w:firstLine="0" w:firstLineChars="0"/>
              <w:jc w:val="center"/>
              <w:rPr>
                <w:sz w:val="18"/>
                <w:szCs w:val="18"/>
              </w:rPr>
            </w:pPr>
            <w:r>
              <w:rPr>
                <w:sz w:val="18"/>
                <w:szCs w:val="18"/>
              </w:rPr>
              <w:t>A、B</w:t>
            </w:r>
          </w:p>
        </w:tc>
        <w:tc>
          <w:tcPr>
            <w:tcW w:w="244" w:type="pct"/>
          </w:tcPr>
          <w:p w14:paraId="493F1848">
            <w:pPr>
              <w:pStyle w:val="56"/>
              <w:adjustRightInd w:val="0"/>
              <w:snapToGrid w:val="0"/>
              <w:ind w:firstLine="0" w:firstLineChars="0"/>
              <w:jc w:val="center"/>
              <w:rPr>
                <w:b/>
                <w:sz w:val="18"/>
                <w:szCs w:val="18"/>
              </w:rPr>
            </w:pPr>
            <w:r>
              <w:rPr>
                <w:sz w:val="18"/>
                <w:szCs w:val="18"/>
              </w:rPr>
              <w:t>A、B</w:t>
            </w:r>
          </w:p>
        </w:tc>
        <w:tc>
          <w:tcPr>
            <w:tcW w:w="232" w:type="pct"/>
          </w:tcPr>
          <w:p w14:paraId="149364FD">
            <w:pPr>
              <w:pStyle w:val="56"/>
              <w:adjustRightInd w:val="0"/>
              <w:snapToGrid w:val="0"/>
              <w:ind w:firstLine="0" w:firstLineChars="0"/>
              <w:jc w:val="center"/>
              <w:rPr>
                <w:sz w:val="18"/>
                <w:szCs w:val="18"/>
              </w:rPr>
            </w:pPr>
            <w:r>
              <w:rPr>
                <w:sz w:val="18"/>
                <w:szCs w:val="18"/>
              </w:rPr>
              <w:t>■</w:t>
            </w:r>
          </w:p>
        </w:tc>
      </w:tr>
      <w:tr w14:paraId="396DD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5000" w:type="pct"/>
            <w:gridSpan w:val="13"/>
          </w:tcPr>
          <w:p w14:paraId="17B5ADF9">
            <w:pPr>
              <w:pStyle w:val="56"/>
              <w:spacing w:line="360" w:lineRule="auto"/>
              <w:ind w:firstLine="0" w:firstLineChars="0"/>
              <w:jc w:val="left"/>
              <w:rPr>
                <w:sz w:val="18"/>
                <w:szCs w:val="18"/>
              </w:rPr>
            </w:pPr>
            <w:r>
              <w:rPr>
                <w:sz w:val="18"/>
                <w:szCs w:val="18"/>
              </w:rPr>
              <w:t>注1：A表示核心区域；B表示重点区域；C表示外围区域。</w:t>
            </w:r>
          </w:p>
          <w:p w14:paraId="2FDFD7FD">
            <w:pPr>
              <w:pStyle w:val="56"/>
              <w:spacing w:line="360" w:lineRule="auto"/>
              <w:ind w:firstLine="0" w:firstLineChars="0"/>
              <w:jc w:val="left"/>
            </w:pPr>
            <w:r>
              <w:rPr>
                <w:sz w:val="18"/>
                <w:szCs w:val="18"/>
              </w:rPr>
              <w:t>注2：■表示该机构应开展此项工作。</w:t>
            </w:r>
          </w:p>
        </w:tc>
      </w:tr>
    </w:tbl>
    <w:p w14:paraId="45DF2ABE">
      <w:pPr>
        <w:pStyle w:val="56"/>
        <w:spacing w:line="360" w:lineRule="auto"/>
        <w:ind w:firstLine="420"/>
        <w:sectPr>
          <w:pgSz w:w="16820" w:h="11900" w:orient="landscape"/>
          <w:pgMar w:top="1134" w:right="1134" w:bottom="1134" w:left="1134" w:header="720" w:footer="720" w:gutter="0"/>
          <w:pgNumType w:start="1"/>
          <w:cols w:space="720" w:num="1"/>
          <w:docGrid w:linePitch="1" w:charSpace="0"/>
        </w:sectPr>
      </w:pPr>
    </w:p>
    <w:p w14:paraId="1D7796E3">
      <w:pPr>
        <w:pStyle w:val="56"/>
        <w:adjustRightInd w:val="0"/>
        <w:snapToGrid w:val="0"/>
        <w:ind w:firstLine="360"/>
        <w:jc w:val="center"/>
        <w:rPr>
          <w:rFonts w:asciiTheme="minorEastAsia" w:hAnsiTheme="minorEastAsia" w:eastAsiaTheme="minorEastAsia"/>
          <w:sz w:val="18"/>
          <w:szCs w:val="18"/>
        </w:rPr>
      </w:pPr>
      <w:r>
        <w:rPr>
          <w:rFonts w:asciiTheme="minorEastAsia" w:hAnsiTheme="minorEastAsia" w:eastAsiaTheme="minorEastAsia"/>
          <w:sz w:val="18"/>
          <w:szCs w:val="18"/>
        </w:rPr>
        <w:t>附录B</w:t>
      </w:r>
    </w:p>
    <w:p w14:paraId="0FE45078">
      <w:pPr>
        <w:pStyle w:val="56"/>
        <w:adjustRightInd w:val="0"/>
        <w:snapToGrid w:val="0"/>
        <w:ind w:firstLine="360"/>
        <w:jc w:val="center"/>
        <w:rPr>
          <w:rFonts w:asciiTheme="minorEastAsia" w:hAnsiTheme="minorEastAsia" w:eastAsiaTheme="minorEastAsia"/>
          <w:sz w:val="18"/>
          <w:szCs w:val="18"/>
        </w:rPr>
      </w:pPr>
      <w:r>
        <w:rPr>
          <w:rFonts w:asciiTheme="minorEastAsia" w:hAnsiTheme="minorEastAsia" w:eastAsiaTheme="minorEastAsia"/>
          <w:sz w:val="18"/>
          <w:szCs w:val="18"/>
        </w:rPr>
        <w:t>（规范性）</w:t>
      </w:r>
    </w:p>
    <w:p w14:paraId="44EFC271">
      <w:pPr>
        <w:pStyle w:val="56"/>
        <w:adjustRightInd w:val="0"/>
        <w:snapToGrid w:val="0"/>
        <w:ind w:firstLine="360"/>
        <w:jc w:val="center"/>
        <w:rPr>
          <w:rFonts w:asciiTheme="minorEastAsia" w:hAnsiTheme="minorEastAsia" w:eastAsiaTheme="minorEastAsia"/>
          <w:sz w:val="18"/>
          <w:szCs w:val="18"/>
        </w:rPr>
      </w:pPr>
      <w:r>
        <w:rPr>
          <w:rFonts w:asciiTheme="minorEastAsia" w:hAnsiTheme="minorEastAsia" w:eastAsiaTheme="minorEastAsia"/>
          <w:sz w:val="18"/>
          <w:szCs w:val="18"/>
        </w:rPr>
        <w:t>机电类特种设备使用单位安全保障工作要求</w:t>
      </w:r>
    </w:p>
    <w:p w14:paraId="3D034164">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B.1单位安全管理</w:t>
      </w:r>
    </w:p>
    <w:p w14:paraId="40F0791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应按照TSG08的要求，重点检查以下部分：</w:t>
      </w:r>
    </w:p>
    <w:p w14:paraId="6462201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a)机构及制度：</w:t>
      </w:r>
    </w:p>
    <w:p w14:paraId="2375660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1)设置安全管理机构或配备专兼职管理人员，并书面任命安全责任人；</w:t>
      </w:r>
    </w:p>
    <w:p w14:paraId="69D6D37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2)按规定建立安全管理制度和操作规程；</w:t>
      </w:r>
    </w:p>
    <w:p w14:paraId="717B17F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3)制定事故应急（专项）预案并有演练记录。</w:t>
      </w:r>
    </w:p>
    <w:p w14:paraId="1A52CD6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b)设备档案：</w:t>
      </w:r>
    </w:p>
    <w:p w14:paraId="759F83B8">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1)已经建立设备档案，档案齐全，设备已办理使用登记；</w:t>
      </w:r>
    </w:p>
    <w:p w14:paraId="038D21B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2)设备在定期（监督）检验合格有效期内，并取得《特种设备使用标志》；</w:t>
      </w:r>
    </w:p>
    <w:p w14:paraId="5853CE6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3)设备按规定进行了日常维护保养或者定期自行检查并有记录；</w:t>
      </w:r>
    </w:p>
    <w:p w14:paraId="2221826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4)有设备故障、异常情况处理记录；</w:t>
      </w:r>
    </w:p>
    <w:p w14:paraId="7A95A75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5)有事故隐患排查和整治记录。</w:t>
      </w:r>
    </w:p>
    <w:p w14:paraId="5A41148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c)人员管理：</w:t>
      </w:r>
    </w:p>
    <w:p w14:paraId="0DBDAF8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1)安全管理人员和作业人员证件在有效期内，项目符合要求并已办理聘用手续；</w:t>
      </w:r>
    </w:p>
    <w:p w14:paraId="4102924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2)有特种设备作业人员培训记录。</w:t>
      </w:r>
    </w:p>
    <w:p w14:paraId="1AB259EE">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B.2现场保障工作要求</w:t>
      </w:r>
    </w:p>
    <w:p w14:paraId="4730B269">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B.2.1作业人员及检验情况</w:t>
      </w:r>
    </w:p>
    <w:p w14:paraId="323953C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重点检查以下内容：</w:t>
      </w:r>
    </w:p>
    <w:p w14:paraId="5C4F561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a)作业人员：现场作业人员按规定持有有效证件，并在聘用有效期内；</w:t>
      </w:r>
    </w:p>
    <w:p w14:paraId="6AA608D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b)检验情况：设备经检验合格并在检验有效期内。</w:t>
      </w:r>
    </w:p>
    <w:p w14:paraId="7EAF110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B.2.2曳引驱动电梯</w:t>
      </w:r>
    </w:p>
    <w:p w14:paraId="1D2E08D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应按照TSGT7001（含修改单）的要求，重点检查以下部分：</w:t>
      </w:r>
    </w:p>
    <w:p w14:paraId="0A1640A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a)使用登记及安全（警示）标志：</w:t>
      </w:r>
    </w:p>
    <w:p w14:paraId="12BC108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1)已按规定在电梯的显著位置固定《特种设备使用标志》，并在检验合格有效期内；</w:t>
      </w:r>
    </w:p>
    <w:p w14:paraId="53D1EEA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2)安全注意事项和警示标志已置于易于被乘客注意的位置。</w:t>
      </w:r>
    </w:p>
    <w:p w14:paraId="37BDECB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b)安全保护装置：</w:t>
      </w:r>
    </w:p>
    <w:p w14:paraId="0C2FE79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1)电梯轿厢内设置的紧急报警装置完好有效，应急电话联系畅通，紧急照明完好有效；</w:t>
      </w:r>
    </w:p>
    <w:p w14:paraId="24D4C9BA">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2)轿厢门防夹保护装置有效；</w:t>
      </w:r>
    </w:p>
    <w:p w14:paraId="124BA2B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3)电梯限速器校验合格并在有效期内，且在电梯限速器上粘贴校验合格标识；</w:t>
      </w:r>
    </w:p>
    <w:p w14:paraId="7AAD03AA">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4)电梯应急救援设施设备齐全有效；</w:t>
      </w:r>
    </w:p>
    <w:p w14:paraId="5A7286C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5)电梯应急救援通道畅通。</w:t>
      </w:r>
    </w:p>
    <w:p w14:paraId="76A910B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c)显示信号系统：呼梯、选层、楼层指示等显示信号系统功能有效，指示正确；</w:t>
      </w:r>
    </w:p>
    <w:p w14:paraId="4EF29AC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d)应急演练：已按照要求开展应急演练；</w:t>
      </w:r>
    </w:p>
    <w:p w14:paraId="4C280ED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e)维保情况：</w:t>
      </w:r>
    </w:p>
    <w:p w14:paraId="37CF474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1)维保合同有效，维保单位及人员资质满足要求；</w:t>
      </w:r>
    </w:p>
    <w:p w14:paraId="25EEF0A0">
      <w:pPr>
        <w:pStyle w:val="56"/>
        <w:adjustRightInd w:val="0"/>
        <w:snapToGrid w:val="0"/>
        <w:ind w:firstLine="360"/>
        <w:rPr>
          <w:rFonts w:asciiTheme="minorEastAsia" w:hAnsiTheme="minorEastAsia" w:eastAsiaTheme="minorEastAsia"/>
          <w:sz w:val="18"/>
          <w:szCs w:val="18"/>
        </w:rPr>
      </w:pPr>
      <w:bookmarkStart w:id="35" w:name="br13"/>
      <w:bookmarkEnd w:id="35"/>
      <w:r>
        <w:rPr>
          <w:rFonts w:asciiTheme="minorEastAsia" w:hAnsiTheme="minorEastAsia" w:eastAsiaTheme="minorEastAsia"/>
          <w:sz w:val="18"/>
          <w:szCs w:val="18"/>
        </w:rPr>
        <w:t>2)有维保记录，并经安全管理人员签字确认。</w:t>
      </w:r>
    </w:p>
    <w:p w14:paraId="5A91DE93">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B.2.3自动扶梯和自动人行道</w:t>
      </w:r>
    </w:p>
    <w:p w14:paraId="29148CF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应按照TSGT7005（含修改单）的要求，重点检查以下部分：</w:t>
      </w:r>
    </w:p>
    <w:p w14:paraId="146F9D5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a)使用登记及安全（警示）标志：</w:t>
      </w:r>
    </w:p>
    <w:p w14:paraId="18F4F23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1)已按规定在电梯的显著位置固定《特种设备使用标志》，并在检验合格有效期内；</w:t>
      </w:r>
    </w:p>
    <w:p w14:paraId="07FE1F3A">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2)安全注意事项和警示标志已置于易于被乘客注意的位置。</w:t>
      </w:r>
    </w:p>
    <w:p w14:paraId="3B009A5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b)安全保护装置：</w:t>
      </w:r>
    </w:p>
    <w:p w14:paraId="212E8E4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1)自动扶梯和自动人行道急停开关有效，且有清晰的永久性标识；</w:t>
      </w:r>
    </w:p>
    <w:p w14:paraId="1215A90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2)自动扶梯围裙板上的防夹装置完整、有效；</w:t>
      </w:r>
    </w:p>
    <w:p w14:paraId="6402BDA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3)自动扶梯和自动人行道出入口处梳齿板完好，保护装置动作有效；</w:t>
      </w:r>
    </w:p>
    <w:p w14:paraId="58325B0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4)在与楼板交叉处以及各交叉设置的自动扶梯或者自动人行道之间，已按要求装设防护挡</w:t>
      </w:r>
    </w:p>
    <w:p w14:paraId="1EDBE21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板；</w:t>
      </w:r>
    </w:p>
    <w:p w14:paraId="747D09B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5)自动扶梯和自动人行道已按要求装设扶手防爬/阻挡/防滑行装置。</w:t>
      </w:r>
    </w:p>
    <w:p w14:paraId="7BEB3D6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c)应急演练：已按照要求开展应急演练；</w:t>
      </w:r>
    </w:p>
    <w:p w14:paraId="0AA0470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d)维保情况：</w:t>
      </w:r>
    </w:p>
    <w:p w14:paraId="41D2B07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1)维保合同有效，维保单位资质及人员资质满足要求；</w:t>
      </w:r>
    </w:p>
    <w:p w14:paraId="4AC7960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2)有维保记录，并经安全管理人员签字确认。</w:t>
      </w:r>
    </w:p>
    <w:p w14:paraId="65D430A2">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B.2.4起重机械</w:t>
      </w:r>
    </w:p>
    <w:p w14:paraId="185AB4B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应按照TSGQ7015和TSGQ7016的要求，重点检查以下部分：</w:t>
      </w:r>
    </w:p>
    <w:p w14:paraId="6AD449C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a)使用登记及安全（警示）标志：</w:t>
      </w:r>
    </w:p>
    <w:p w14:paraId="6D1ECA4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1)设备已按要求办理了使用登记并将《特种设备使用标志》置于设备的显著位置或存放档案</w:t>
      </w:r>
    </w:p>
    <w:p w14:paraId="514208B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中；</w:t>
      </w:r>
    </w:p>
    <w:p w14:paraId="6D560E8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2)有额定起重量（额定起重力矩）标识，且固定在显著位置。</w:t>
      </w:r>
    </w:p>
    <w:p w14:paraId="19774E8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b)安全保护装置：</w:t>
      </w:r>
    </w:p>
    <w:p w14:paraId="110C0E4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1)按要求设置了紧急停止开关且完好有效；</w:t>
      </w:r>
    </w:p>
    <w:p w14:paraId="168C519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2)按要求设置起重量限制器且完好有效；</w:t>
      </w:r>
    </w:p>
    <w:p w14:paraId="2024117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3)按要求设置力矩限制器且完好有效；</w:t>
      </w:r>
    </w:p>
    <w:p w14:paraId="22BEA76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4)按要求设置防坠安全器且完好有效；</w:t>
      </w:r>
    </w:p>
    <w:p w14:paraId="0728AB2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5)按要求设置高度限制器且完好有效。</w:t>
      </w:r>
    </w:p>
    <w:p w14:paraId="3E39D7D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c)应急演练：已按照要求开展应急演练；</w:t>
      </w:r>
    </w:p>
    <w:p w14:paraId="4C1B5968">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d)运行及维保情况：按规定进行了定期自行检查和维护保养。</w:t>
      </w:r>
    </w:p>
    <w:p w14:paraId="5041CAFD">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B.2.5场（厂）内机动车辆</w:t>
      </w:r>
    </w:p>
    <w:p w14:paraId="07152E72">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应按照TSG81及GB/T21268的要求，重点检查以下部分：</w:t>
      </w:r>
    </w:p>
    <w:p w14:paraId="52A3796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a)使用登记及安全（警示）标志：</w:t>
      </w:r>
    </w:p>
    <w:p w14:paraId="6475EBF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1)设备已按要求办理使用登记；</w:t>
      </w:r>
    </w:p>
    <w:p w14:paraId="1AE94FE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2)悬挂有效牌照；</w:t>
      </w:r>
    </w:p>
    <w:p w14:paraId="03A9F74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3)观光车辆的行驶路线图，已经在乘客固定的上下车位置明确标识；</w:t>
      </w:r>
    </w:p>
    <w:p w14:paraId="2A7F38E7">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4)在行驶路线上已设置标志、标线、避险车道、减速丘、凸面镜等安全设施。</w:t>
      </w:r>
    </w:p>
    <w:p w14:paraId="6DB6C9E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b)安全保护装置：</w:t>
      </w:r>
    </w:p>
    <w:p w14:paraId="186CE13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1)车辆的照明系统和仪表盘正常；</w:t>
      </w:r>
    </w:p>
    <w:p w14:paraId="2409A2B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2)车辆的行车、驻车制动系统有效；</w:t>
      </w:r>
    </w:p>
    <w:p w14:paraId="20B46A9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3)有能发出清晰声响的警示装置（如喇叭）；</w:t>
      </w:r>
    </w:p>
    <w:p w14:paraId="44695B4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4)车辆后视镜有效；</w:t>
      </w:r>
    </w:p>
    <w:p w14:paraId="18E060E8">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5)按要求配备灭火器（仅观光车辆）；</w:t>
      </w:r>
    </w:p>
    <w:p w14:paraId="72F2662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6)按要求配置安全带（仅座驾式车辆）；</w:t>
      </w:r>
    </w:p>
    <w:p w14:paraId="5845665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7)紧急断电开关有效（仅电动车辆）；</w:t>
      </w:r>
    </w:p>
    <w:p w14:paraId="7973195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8)视频监控装置有效（仅观光列车）。</w:t>
      </w:r>
    </w:p>
    <w:p w14:paraId="4FA0691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c)应急演练：已按照要求开展应急演练；</w:t>
      </w:r>
    </w:p>
    <w:p w14:paraId="57EB5CD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d)运行及维保情况：</w:t>
      </w:r>
    </w:p>
    <w:p w14:paraId="7B5639C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1)按规定进行了定期自行检查和维护保养；</w:t>
      </w:r>
    </w:p>
    <w:p w14:paraId="35F3DA5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2)对行驶线路进行了安全状况确认；</w:t>
      </w:r>
    </w:p>
    <w:p w14:paraId="670D15D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3)非公路用旅游观光车辆已在上下车站点处明示行驶路线图；</w:t>
      </w:r>
    </w:p>
    <w:p w14:paraId="7C0C0D88">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4)非公路用旅游观光车辆行驶路线不存在爆炸性环境；</w:t>
      </w:r>
    </w:p>
    <w:p w14:paraId="7570033A">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5)乘客乘车后车辆启动前有清晰的语音安全提示；</w:t>
      </w:r>
    </w:p>
    <w:p w14:paraId="6538CCC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6)在爆炸性环境运行的叉车符合防爆安全性能的要求；</w:t>
      </w:r>
    </w:p>
    <w:p w14:paraId="4F146F6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7)叉车的货叉属具未进行过改变。</w:t>
      </w:r>
    </w:p>
    <w:p w14:paraId="5E032B25">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B.2.6大型游乐设施</w:t>
      </w:r>
    </w:p>
    <w:p w14:paraId="3A9B0B0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应按照GB8408的要求，重点检查以下部分：</w:t>
      </w:r>
    </w:p>
    <w:p w14:paraId="6902C43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a)使用登记及安全（警示）标志：</w:t>
      </w:r>
    </w:p>
    <w:p w14:paraId="2A2D4B9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1)设备已按要求办理使用登记并将《特种设备使用标志》及检验合格标志置于显著位置；</w:t>
      </w:r>
    </w:p>
    <w:p w14:paraId="26B8C342">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2)已在显著位置设置安全注意事项和警示标志；</w:t>
      </w:r>
    </w:p>
    <w:p w14:paraId="19277CB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3)已在入口处显著位置张贴乘客须知，注明设备的运动特点、乘客范围、禁忌事宜等。对乘</w:t>
      </w:r>
    </w:p>
    <w:p w14:paraId="1AE7513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客有身高、体重要求的已设置有效的检测设施。</w:t>
      </w:r>
    </w:p>
    <w:p w14:paraId="3724812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b)安全保护装置：</w:t>
      </w:r>
    </w:p>
    <w:p w14:paraId="0E7C8A6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1)配备的安全带、安全压杠等乘客束缚装置，完好有效；</w:t>
      </w:r>
    </w:p>
    <w:p w14:paraId="5AD5FF82">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2)座舱舱门锁紧装置，完好有效；</w:t>
      </w:r>
    </w:p>
    <w:p w14:paraId="5EB80E9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3)紧急停止装置，制动性能平稳可靠、防撞控制和缓冲装置完好有效；</w:t>
      </w:r>
    </w:p>
    <w:p w14:paraId="5615AEE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4)所设置风速仪显示、报警功能有效；</w:t>
      </w:r>
    </w:p>
    <w:p w14:paraId="18E4605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5)安全网完好可靠；</w:t>
      </w:r>
    </w:p>
    <w:p w14:paraId="0C4FA8F8">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6)接地、防雷装置检测报告合格有效。</w:t>
      </w:r>
    </w:p>
    <w:p w14:paraId="6711E5A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c)应急演练：已按照要求开展应急演练；</w:t>
      </w:r>
    </w:p>
    <w:p w14:paraId="34A3C39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d)运行及维保情况：</w:t>
      </w:r>
    </w:p>
    <w:p w14:paraId="09930067">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1)已按规定进行设备运营前试运行检查、日常检查和维护保养、定期自行检查；</w:t>
      </w:r>
    </w:p>
    <w:p w14:paraId="678317A7">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2)设备启动前有清晰的语音安全提示。</w:t>
      </w:r>
    </w:p>
    <w:p w14:paraId="2B2F5044">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B.2.7客运索道</w:t>
      </w:r>
    </w:p>
    <w:p w14:paraId="5126F81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应按照GB12352的要求，重点检查以下部分：</w:t>
      </w:r>
    </w:p>
    <w:p w14:paraId="5F07D3A8">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a)使用登记及安全（警示）标志：</w:t>
      </w:r>
    </w:p>
    <w:p w14:paraId="4A4FBD4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1)设备已按要求办理使用登记并将《特种设备使用标志》及检验合格标志置于显著位置；</w:t>
      </w:r>
    </w:p>
    <w:p w14:paraId="701E3B0A">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2)进站口设有乘客须知；</w:t>
      </w:r>
    </w:p>
    <w:p w14:paraId="52CBE97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3)站台已按规定设上、下车区域，禁止标识和标线等安全标志；</w:t>
      </w:r>
    </w:p>
    <w:p w14:paraId="73C762C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4)在吊篮、吊箱内已经设置安全说明。</w:t>
      </w:r>
    </w:p>
    <w:p w14:paraId="432628A4">
      <w:pPr>
        <w:pStyle w:val="56"/>
        <w:adjustRightInd w:val="0"/>
        <w:snapToGrid w:val="0"/>
        <w:ind w:firstLine="360"/>
        <w:rPr>
          <w:rFonts w:asciiTheme="minorEastAsia" w:hAnsiTheme="minorEastAsia" w:eastAsiaTheme="minorEastAsia"/>
          <w:sz w:val="18"/>
          <w:szCs w:val="18"/>
        </w:rPr>
      </w:pPr>
      <w:bookmarkStart w:id="36" w:name="br15"/>
      <w:bookmarkEnd w:id="36"/>
      <w:r>
        <w:rPr>
          <w:rFonts w:asciiTheme="minorEastAsia" w:hAnsiTheme="minorEastAsia" w:eastAsiaTheme="minorEastAsia"/>
          <w:sz w:val="18"/>
          <w:szCs w:val="18"/>
        </w:rPr>
        <w:t>b)安全保护装置：</w:t>
      </w:r>
    </w:p>
    <w:p w14:paraId="29F1F13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1)配备的安全带、安全压杠等乘客束缚装置，完好有效；</w:t>
      </w:r>
    </w:p>
    <w:p w14:paraId="41BFE2C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2)吊厢、吊篮门及锁紧装置，完好有效；</w:t>
      </w:r>
    </w:p>
    <w:p w14:paraId="796C130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3)风速风向仪显示及报警装置，完好有效；</w:t>
      </w:r>
    </w:p>
    <w:p w14:paraId="4222135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4)制动器性能完好有效；</w:t>
      </w:r>
    </w:p>
    <w:p w14:paraId="304C9B6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5)索道所有紧急停车装置，完好有效；</w:t>
      </w:r>
    </w:p>
    <w:p w14:paraId="05F21A4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6)脱索保护装置，完好有效；</w:t>
      </w:r>
    </w:p>
    <w:p w14:paraId="33E7E70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7)安全监控检测装置和信号系统，完好有效；</w:t>
      </w:r>
    </w:p>
    <w:p w14:paraId="6297807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8)供电电源的设置，具有两套独立的电源供电系统且完好有效；</w:t>
      </w:r>
    </w:p>
    <w:p w14:paraId="6929200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9)以柴油等燃料为发电机应急备用供电设备，机器设备间具有防火防爆的措施，机器设备工</w:t>
      </w:r>
    </w:p>
    <w:p w14:paraId="69BEF74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作正常；</w:t>
      </w:r>
    </w:p>
    <w:p w14:paraId="5E220C6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10)接地、防雷装置检测报告合格有效。</w:t>
      </w:r>
    </w:p>
    <w:p w14:paraId="5B41C30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c)通信装置：</w:t>
      </w:r>
    </w:p>
    <w:p w14:paraId="04E48D1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1)站房之间有专用电话，其中有一条外线电话，所有电话能保持通讯可靠；</w:t>
      </w:r>
    </w:p>
    <w:p w14:paraId="4F0543C8">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2)沿线广播系统在停电状态下仍然保持有效。</w:t>
      </w:r>
    </w:p>
    <w:p w14:paraId="180631B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d)应急演练：已按照要求开展应急演练；</w:t>
      </w:r>
    </w:p>
    <w:p w14:paraId="40AEF09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e)运行及维保情况：</w:t>
      </w:r>
    </w:p>
    <w:p w14:paraId="1250649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1)已按规定进行设备运营前试运行检查、日常检查和维护保养、定期自行检查；</w:t>
      </w:r>
    </w:p>
    <w:p w14:paraId="312EB96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2)设备启动前有清晰的语音安全提示。</w:t>
      </w:r>
    </w:p>
    <w:p w14:paraId="688AD2F8">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B.2.8其他要求</w:t>
      </w:r>
    </w:p>
    <w:p w14:paraId="30CC634A">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除B.2.1～B.2.7已列出的检查项目以外，使用单位还应根据本单位的具体情况，对照《特种设备安</w:t>
      </w:r>
    </w:p>
    <w:p w14:paraId="2C09D6A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全法》和相关标准的要求开展自查。</w:t>
      </w:r>
    </w:p>
    <w:p w14:paraId="107C135E">
      <w:pPr>
        <w:widowControl/>
        <w:snapToGrid w:val="0"/>
        <w:spacing w:line="240" w:lineRule="auto"/>
        <w:jc w:val="left"/>
        <w:rPr>
          <w:rFonts w:asciiTheme="minorEastAsia" w:hAnsiTheme="minorEastAsia" w:eastAsiaTheme="minorEastAsia"/>
          <w:kern w:val="0"/>
          <w:sz w:val="18"/>
          <w:szCs w:val="18"/>
        </w:rPr>
      </w:pPr>
      <w:r>
        <w:rPr>
          <w:rFonts w:asciiTheme="minorEastAsia" w:hAnsiTheme="minorEastAsia" w:eastAsiaTheme="minorEastAsia"/>
          <w:sz w:val="18"/>
          <w:szCs w:val="18"/>
        </w:rPr>
        <w:br w:type="page"/>
      </w:r>
    </w:p>
    <w:p w14:paraId="02FFC310">
      <w:pPr>
        <w:pStyle w:val="56"/>
        <w:adjustRightInd w:val="0"/>
        <w:snapToGrid w:val="0"/>
        <w:ind w:firstLine="360"/>
        <w:jc w:val="center"/>
        <w:rPr>
          <w:rFonts w:asciiTheme="minorEastAsia" w:hAnsiTheme="minorEastAsia" w:eastAsiaTheme="minorEastAsia"/>
          <w:sz w:val="18"/>
          <w:szCs w:val="18"/>
        </w:rPr>
      </w:pPr>
      <w:bookmarkStart w:id="37" w:name="br16"/>
      <w:bookmarkEnd w:id="37"/>
      <w:r>
        <w:rPr>
          <w:rFonts w:asciiTheme="minorEastAsia" w:hAnsiTheme="minorEastAsia" w:eastAsiaTheme="minorEastAsia"/>
          <w:sz w:val="18"/>
          <w:szCs w:val="18"/>
        </w:rPr>
        <w:t>附录C</w:t>
      </w:r>
    </w:p>
    <w:p w14:paraId="28EADBFC">
      <w:pPr>
        <w:pStyle w:val="56"/>
        <w:adjustRightInd w:val="0"/>
        <w:snapToGrid w:val="0"/>
        <w:ind w:firstLine="360"/>
        <w:jc w:val="center"/>
        <w:rPr>
          <w:rFonts w:asciiTheme="minorEastAsia" w:hAnsiTheme="minorEastAsia" w:eastAsiaTheme="minorEastAsia"/>
          <w:sz w:val="18"/>
          <w:szCs w:val="18"/>
        </w:rPr>
      </w:pPr>
      <w:r>
        <w:rPr>
          <w:rFonts w:asciiTheme="minorEastAsia" w:hAnsiTheme="minorEastAsia" w:eastAsiaTheme="minorEastAsia"/>
          <w:sz w:val="18"/>
          <w:szCs w:val="18"/>
        </w:rPr>
        <w:t>（规范性）</w:t>
      </w:r>
    </w:p>
    <w:p w14:paraId="55061B9A">
      <w:pPr>
        <w:pStyle w:val="56"/>
        <w:adjustRightInd w:val="0"/>
        <w:snapToGrid w:val="0"/>
        <w:ind w:firstLine="360"/>
        <w:jc w:val="center"/>
        <w:rPr>
          <w:rFonts w:asciiTheme="minorEastAsia" w:hAnsiTheme="minorEastAsia" w:eastAsiaTheme="minorEastAsia"/>
          <w:sz w:val="18"/>
          <w:szCs w:val="18"/>
        </w:rPr>
      </w:pPr>
      <w:r>
        <w:rPr>
          <w:rFonts w:asciiTheme="minorEastAsia" w:hAnsiTheme="minorEastAsia" w:eastAsiaTheme="minorEastAsia"/>
          <w:sz w:val="18"/>
          <w:szCs w:val="18"/>
        </w:rPr>
        <w:t>承压类特种设备使用单位安全保障工作要求</w:t>
      </w:r>
    </w:p>
    <w:p w14:paraId="665DD79B">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C.1单位安全管理</w:t>
      </w:r>
    </w:p>
    <w:p w14:paraId="39254E6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应按照TSG08的要求，重点检查以下部分：</w:t>
      </w:r>
    </w:p>
    <w:p w14:paraId="673D408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a)机构及制度：</w:t>
      </w:r>
    </w:p>
    <w:p w14:paraId="33E21C1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1)设置有安全管理机构或配备专兼职管理人员，并书面任命安全责任人；</w:t>
      </w:r>
    </w:p>
    <w:p w14:paraId="045D7BE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2)按规定建立了安全管理制度和操作规程；</w:t>
      </w:r>
    </w:p>
    <w:p w14:paraId="1166E798">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3)制定有事故应急（专项）预案并有演练记录。</w:t>
      </w:r>
    </w:p>
    <w:p w14:paraId="33CF7F2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b)设备档案：</w:t>
      </w:r>
    </w:p>
    <w:p w14:paraId="3A4E835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1)设备档案齐全，设备已办理使用登记；</w:t>
      </w:r>
    </w:p>
    <w:p w14:paraId="7112727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2)设备检验合格并在定期检验有效期内；</w:t>
      </w:r>
    </w:p>
    <w:p w14:paraId="6BBDCD0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3)设备按规定进行了日常维护保养或者定期自行检查并有记录；</w:t>
      </w:r>
    </w:p>
    <w:p w14:paraId="6B6EFC7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4)有设备故障、异常情况处理记录；</w:t>
      </w:r>
    </w:p>
    <w:p w14:paraId="1BD8AF1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5)有事故隐患排查和整治记录。</w:t>
      </w:r>
    </w:p>
    <w:p w14:paraId="62C0AB1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c)人员管理：</w:t>
      </w:r>
    </w:p>
    <w:p w14:paraId="147066A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1)安全管理人员和作业人员证件在有效期内，项目符合并办理了聘用手续；</w:t>
      </w:r>
    </w:p>
    <w:p w14:paraId="371DD6BA">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2)特种设备作业人员有培训记录。</w:t>
      </w:r>
    </w:p>
    <w:p w14:paraId="0EC365CE">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C.2现场保障工作项目与要求</w:t>
      </w:r>
    </w:p>
    <w:p w14:paraId="79254734">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C.2.1作业人员</w:t>
      </w:r>
    </w:p>
    <w:p w14:paraId="26299F0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现场作业人员持有有效证件且办理了聘用手续。</w:t>
      </w:r>
    </w:p>
    <w:p w14:paraId="25C5F927">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C.2.2使用登记及检验标志</w:t>
      </w:r>
    </w:p>
    <w:p w14:paraId="36F41673">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使用登记及检验标志重点检查以下部分：</w:t>
      </w:r>
    </w:p>
    <w:p w14:paraId="4D0E05FB">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a)设备已办理使用登记并将使用标志置于设备的显著位置；</w:t>
      </w:r>
    </w:p>
    <w:p w14:paraId="2E083D9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b)检验报告在检验合格有效期内。</w:t>
      </w:r>
    </w:p>
    <w:p w14:paraId="0D3051D5">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C.2.3锅炉</w:t>
      </w:r>
    </w:p>
    <w:p w14:paraId="11C008C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应按照TSG11的要求，重点检查以下部分：</w:t>
      </w:r>
    </w:p>
    <w:p w14:paraId="0F1DC78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a)安全附件及仪表：</w:t>
      </w:r>
    </w:p>
    <w:p w14:paraId="047C954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1)液位（面）计有最高、最低安全液位标记；</w:t>
      </w:r>
    </w:p>
    <w:p w14:paraId="3A78B69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2)安全阀校验报告在合格有效期内，铅封完好；</w:t>
      </w:r>
    </w:p>
    <w:p w14:paraId="44009B5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3)压力表检定证书在合格有效期内，封签完好；</w:t>
      </w:r>
    </w:p>
    <w:p w14:paraId="66550B96">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4)安全保护及联锁装置、报警装置完好有效。</w:t>
      </w:r>
    </w:p>
    <w:p w14:paraId="67AA5A4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b)运行情况：</w:t>
      </w:r>
    </w:p>
    <w:p w14:paraId="0D570987">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1)及时填写运行、检修记录；</w:t>
      </w:r>
    </w:p>
    <w:p w14:paraId="5F15337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2)锅炉运行的压力、温度、水位在额定参数范围内。</w:t>
      </w:r>
    </w:p>
    <w:p w14:paraId="4B63671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c)水（介）质处理：水（介）质化验记录齐全，定期水质合格化验报告在有效期内；</w:t>
      </w:r>
    </w:p>
    <w:p w14:paraId="3F77C76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d)环境状况：燃油燃气锅炉浓度报警装置有效、燃料存放已进行有效隔离；</w:t>
      </w:r>
    </w:p>
    <w:p w14:paraId="7129D4F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e)应急演练：已按照要求开展应急演练。</w:t>
      </w:r>
    </w:p>
    <w:p w14:paraId="6CDD09E9">
      <w:pPr>
        <w:pStyle w:val="56"/>
        <w:adjustRightInd w:val="0"/>
        <w:snapToGrid w:val="0"/>
        <w:ind w:firstLine="0" w:firstLineChars="0"/>
        <w:rPr>
          <w:rFonts w:asciiTheme="minorEastAsia" w:hAnsiTheme="minorEastAsia" w:eastAsiaTheme="minorEastAsia"/>
          <w:sz w:val="18"/>
          <w:szCs w:val="18"/>
        </w:rPr>
      </w:pPr>
      <w:bookmarkStart w:id="38" w:name="br17"/>
      <w:bookmarkEnd w:id="38"/>
      <w:r>
        <w:rPr>
          <w:rFonts w:asciiTheme="minorEastAsia" w:hAnsiTheme="minorEastAsia" w:eastAsiaTheme="minorEastAsia"/>
          <w:sz w:val="18"/>
          <w:szCs w:val="18"/>
        </w:rPr>
        <w:t>C.2.4压力容器</w:t>
      </w:r>
    </w:p>
    <w:p w14:paraId="76D2106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应按照TSG21的要求，重点检查以下部分：</w:t>
      </w:r>
    </w:p>
    <w:p w14:paraId="73CB1FE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a)安全附件及仪表：</w:t>
      </w:r>
    </w:p>
    <w:p w14:paraId="5293791E">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1)安全阀校验报告在合格有效期内，铅封完好；</w:t>
      </w:r>
    </w:p>
    <w:p w14:paraId="7E9A6782">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2)爆破片按照铭牌要求的有效期限定期更换并有记录；</w:t>
      </w:r>
    </w:p>
    <w:p w14:paraId="0481F0D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3)压力表检定证书在合格有效期内，封签完好；</w:t>
      </w:r>
    </w:p>
    <w:p w14:paraId="080169C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4)快开门联锁保护装置完好有效。</w:t>
      </w:r>
    </w:p>
    <w:p w14:paraId="3944EDC9">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b)年度检查情况：按规定进行了年度检查，结论合格并出具年度检查报告；</w:t>
      </w:r>
    </w:p>
    <w:p w14:paraId="24630BB7">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c)运行情况：压力容器运行的压力、温度在额定参数范围内；</w:t>
      </w:r>
    </w:p>
    <w:p w14:paraId="06C5413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d)应急演练：已按照要求开展应急演练。</w:t>
      </w:r>
    </w:p>
    <w:p w14:paraId="58631393">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C.2.5压力管道</w:t>
      </w:r>
    </w:p>
    <w:p w14:paraId="6BF2C44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应按照TSGD0001的要求，重点检查以下部分：</w:t>
      </w:r>
    </w:p>
    <w:p w14:paraId="5B606B0C">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a)安全附件及仪表：</w:t>
      </w:r>
    </w:p>
    <w:p w14:paraId="1CF79F6D">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1)安全阀校验报告在合格有效期内，铅封完好；</w:t>
      </w:r>
    </w:p>
    <w:p w14:paraId="62ABD9EF">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2)爆破片按照铭牌要求的有效期限定期更换并有记录；</w:t>
      </w:r>
    </w:p>
    <w:p w14:paraId="75D48EA5">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3)压力表检定证书在合格有效期内，封签完好；</w:t>
      </w:r>
    </w:p>
    <w:p w14:paraId="76715490">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4)泄漏报警装置及紧急截断装置完好有效。</w:t>
      </w:r>
    </w:p>
    <w:p w14:paraId="74C605A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b)运行情况：压力管道运行的压力、温度在额定参数范围内；</w:t>
      </w:r>
    </w:p>
    <w:p w14:paraId="6BD2F24A">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c)年度检查情况：按规定进行了年度检查，结论合格并出具年度检查报告；</w:t>
      </w:r>
    </w:p>
    <w:p w14:paraId="16A5E404">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d)应急演练：已按照要求开展应急演练。</w:t>
      </w:r>
    </w:p>
    <w:p w14:paraId="75292CEA">
      <w:pPr>
        <w:pStyle w:val="56"/>
        <w:adjustRightInd w:val="0"/>
        <w:snapToGrid w:val="0"/>
        <w:ind w:firstLine="0" w:firstLineChars="0"/>
        <w:rPr>
          <w:rFonts w:asciiTheme="minorEastAsia" w:hAnsiTheme="minorEastAsia" w:eastAsiaTheme="minorEastAsia"/>
          <w:sz w:val="18"/>
          <w:szCs w:val="18"/>
        </w:rPr>
      </w:pPr>
      <w:r>
        <w:rPr>
          <w:rFonts w:asciiTheme="minorEastAsia" w:hAnsiTheme="minorEastAsia" w:eastAsiaTheme="minorEastAsia"/>
          <w:sz w:val="18"/>
          <w:szCs w:val="18"/>
        </w:rPr>
        <w:t>C.2.6其他要求</w:t>
      </w:r>
    </w:p>
    <w:p w14:paraId="47AD0771">
      <w:pPr>
        <w:pStyle w:val="56"/>
        <w:adjustRightInd w:val="0"/>
        <w:snapToGrid w:val="0"/>
        <w:ind w:firstLine="360"/>
        <w:rPr>
          <w:rFonts w:asciiTheme="minorEastAsia" w:hAnsiTheme="minorEastAsia" w:eastAsiaTheme="minorEastAsia"/>
          <w:sz w:val="18"/>
          <w:szCs w:val="18"/>
        </w:rPr>
      </w:pPr>
      <w:r>
        <w:rPr>
          <w:rFonts w:asciiTheme="minorEastAsia" w:hAnsiTheme="minorEastAsia" w:eastAsiaTheme="minorEastAsia"/>
          <w:sz w:val="18"/>
          <w:szCs w:val="18"/>
        </w:rPr>
        <w:t>除C.2.1～C.2.5已列出的检查项目以外，使用单位还应根据本单位的具体情况，对照《特种设备安</w:t>
      </w:r>
    </w:p>
    <w:p w14:paraId="4B07CB2F">
      <w:pPr>
        <w:pStyle w:val="56"/>
        <w:adjustRightInd w:val="0"/>
        <w:snapToGrid w:val="0"/>
        <w:ind w:firstLine="360"/>
      </w:pPr>
      <w:r>
        <w:rPr>
          <w:rFonts w:asciiTheme="minorEastAsia" w:hAnsiTheme="minorEastAsia" w:eastAsiaTheme="minorEastAsia"/>
          <w:sz w:val="18"/>
          <w:szCs w:val="18"/>
        </w:rPr>
        <w:t>全法》和相关标准的要求开展自查。</w:t>
      </w:r>
      <w:bookmarkEnd w:id="15"/>
      <w:bookmarkStart w:id="39" w:name="NEW_STAND_NAME"/>
      <w:bookmarkStart w:id="40" w:name="BookMark4"/>
      <w:sdt>
        <w:sdtPr>
          <w:tag w:val="NEW_STAND_NAME"/>
          <w:id w:val="595910757"/>
          <w:lock w:val="sdtLocked"/>
          <w:placeholder>
            <w:docPart w:val="70E8C6178A6846C9B9FA597DF05F974B"/>
          </w:placeholder>
          <w:showingPlcHdr/>
        </w:sdtPr>
        <w:sdtContent>
          <w:r>
            <w:rPr>
              <w:rStyle w:val="186"/>
              <w:rFonts w:hint="eastAsia"/>
            </w:rPr>
            <w:t>单击或点击此处输入文字。</w:t>
          </w:r>
        </w:sdtContent>
      </w:sdt>
      <w:bookmarkEnd w:id="39"/>
      <w:bookmarkEnd w:id="40"/>
    </w:p>
    <w:sectPr>
      <w:headerReference r:id="rId12" w:type="default"/>
      <w:footerReference r:id="rId14" w:type="default"/>
      <w:headerReference r:id="rId13"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3DD3E">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6BD7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1EC71">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EC29F">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51E4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AB49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4AAC7">
    <w:pPr>
      <w:pStyle w:val="61"/>
    </w:pPr>
    <w:r>
      <w:fldChar w:fldCharType="begin"/>
    </w:r>
    <w:r>
      <w:instrText xml:space="preserve"> STYLEREF  标准文件_文件编号  \* MERGEFORMAT </w:instrText>
    </w:r>
    <w:r>
      <w:fldChar w:fldCharType="separate"/>
    </w:r>
    <w:r>
      <w:t>DB62/T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6B06F">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DB62/T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AB055">
    <w:pPr>
      <w:pStyle w:val="61"/>
    </w:pPr>
    <w:r>
      <w:fldChar w:fldCharType="begin"/>
    </w:r>
    <w:r>
      <w:instrText xml:space="preserve"> STYLEREF  标准文件_文件编号  \* MERGEFORMAT </w:instrText>
    </w:r>
    <w:r>
      <w:fldChar w:fldCharType="separate"/>
    </w:r>
    <w:r>
      <w:t>DB62/T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5B51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DB62/T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993"/>
        </w:tabs>
        <w:ind w:left="993"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hAnsi="黑体" w:eastAsia="黑体"/>
        <w:b w:val="0"/>
        <w:i w:val="0"/>
        <w:sz w:val="21"/>
      </w:rPr>
    </w:lvl>
    <w:lvl w:ilvl="5" w:tentative="0">
      <w:start w:val="1"/>
      <w:numFmt w:val="decimal"/>
      <w:pStyle w:val="98"/>
      <w:suff w:val="nothing"/>
      <w:lvlText w:val="%1%2.%3.%4.%5.%6　"/>
      <w:lvlJc w:val="left"/>
      <w:pPr>
        <w:ind w:left="0" w:firstLine="0"/>
      </w:pPr>
      <w:rPr>
        <w:rFonts w:hint="eastAsia" w:ascii="黑体" w:hAns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0" w:firstLine="0"/>
      </w:pPr>
      <w:rPr>
        <w:rFonts w:hint="eastAsia"/>
      </w:rPr>
    </w:lvl>
    <w:lvl w:ilvl="8" w:tentative="0">
      <w:start w:val="1"/>
      <w:numFmt w:val="decimal"/>
      <w:lvlText w:val="%1.%2.%3.%4.%5.%6.%7.%8.%9"/>
      <w:lvlJc w:val="left"/>
      <w:pPr>
        <w:tabs>
          <w:tab w:val="left" w:pos="4777"/>
        </w:tabs>
        <w:ind w:left="0" w:firstLine="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7A2"/>
    <w:rsid w:val="0000040A"/>
    <w:rsid w:val="00000A94"/>
    <w:rsid w:val="00001972"/>
    <w:rsid w:val="00001D9A"/>
    <w:rsid w:val="00002F3B"/>
    <w:rsid w:val="0000396C"/>
    <w:rsid w:val="00006205"/>
    <w:rsid w:val="00007B3A"/>
    <w:rsid w:val="000104AA"/>
    <w:rsid w:val="000107E0"/>
    <w:rsid w:val="00010CCA"/>
    <w:rsid w:val="00011FDE"/>
    <w:rsid w:val="00012FFD"/>
    <w:rsid w:val="00014162"/>
    <w:rsid w:val="00014340"/>
    <w:rsid w:val="0001643E"/>
    <w:rsid w:val="00016A9C"/>
    <w:rsid w:val="00022184"/>
    <w:rsid w:val="00022762"/>
    <w:rsid w:val="000238E0"/>
    <w:rsid w:val="000249DB"/>
    <w:rsid w:val="0002595E"/>
    <w:rsid w:val="00026589"/>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4A8"/>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E34"/>
    <w:rsid w:val="000E4C9E"/>
    <w:rsid w:val="000E6FD7"/>
    <w:rsid w:val="000F06E1"/>
    <w:rsid w:val="000F0E3C"/>
    <w:rsid w:val="000F19D5"/>
    <w:rsid w:val="000F4AEA"/>
    <w:rsid w:val="000F5BF4"/>
    <w:rsid w:val="000F633F"/>
    <w:rsid w:val="000F67E9"/>
    <w:rsid w:val="00104926"/>
    <w:rsid w:val="00113B1E"/>
    <w:rsid w:val="0011711C"/>
    <w:rsid w:val="0012059C"/>
    <w:rsid w:val="00124E4F"/>
    <w:rsid w:val="001260B7"/>
    <w:rsid w:val="001265CB"/>
    <w:rsid w:val="001307A2"/>
    <w:rsid w:val="001321C6"/>
    <w:rsid w:val="001325C4"/>
    <w:rsid w:val="00133010"/>
    <w:rsid w:val="001338EE"/>
    <w:rsid w:val="00133AAE"/>
    <w:rsid w:val="00135323"/>
    <w:rsid w:val="001356C4"/>
    <w:rsid w:val="00141114"/>
    <w:rsid w:val="00142969"/>
    <w:rsid w:val="001446C2"/>
    <w:rsid w:val="001457E7"/>
    <w:rsid w:val="00145D9D"/>
    <w:rsid w:val="00146388"/>
    <w:rsid w:val="001464D1"/>
    <w:rsid w:val="001504ED"/>
    <w:rsid w:val="001529E5"/>
    <w:rsid w:val="00153C7E"/>
    <w:rsid w:val="00156B25"/>
    <w:rsid w:val="00156E1A"/>
    <w:rsid w:val="00157894"/>
    <w:rsid w:val="00157B55"/>
    <w:rsid w:val="00163623"/>
    <w:rsid w:val="001642FA"/>
    <w:rsid w:val="001649EB"/>
    <w:rsid w:val="00164BAF"/>
    <w:rsid w:val="00164FA8"/>
    <w:rsid w:val="00165065"/>
    <w:rsid w:val="00165434"/>
    <w:rsid w:val="0016580B"/>
    <w:rsid w:val="00165F49"/>
    <w:rsid w:val="00166B88"/>
    <w:rsid w:val="0016770A"/>
    <w:rsid w:val="00170804"/>
    <w:rsid w:val="001708E9"/>
    <w:rsid w:val="0017340B"/>
    <w:rsid w:val="00173710"/>
    <w:rsid w:val="00173FB1"/>
    <w:rsid w:val="00175483"/>
    <w:rsid w:val="00176DFD"/>
    <w:rsid w:val="0017789E"/>
    <w:rsid w:val="001809D3"/>
    <w:rsid w:val="001852C9"/>
    <w:rsid w:val="00185872"/>
    <w:rsid w:val="00190087"/>
    <w:rsid w:val="001913C4"/>
    <w:rsid w:val="0019229D"/>
    <w:rsid w:val="00192584"/>
    <w:rsid w:val="0019348F"/>
    <w:rsid w:val="00193A07"/>
    <w:rsid w:val="00193AC7"/>
    <w:rsid w:val="00194C95"/>
    <w:rsid w:val="00195C34"/>
    <w:rsid w:val="00196EF5"/>
    <w:rsid w:val="001A1A53"/>
    <w:rsid w:val="001A234A"/>
    <w:rsid w:val="001A4CF3"/>
    <w:rsid w:val="001B06E8"/>
    <w:rsid w:val="001B5B05"/>
    <w:rsid w:val="001B71D0"/>
    <w:rsid w:val="001B71EE"/>
    <w:rsid w:val="001C04A8"/>
    <w:rsid w:val="001C2C03"/>
    <w:rsid w:val="001C42F7"/>
    <w:rsid w:val="001C49E5"/>
    <w:rsid w:val="001C680C"/>
    <w:rsid w:val="001C7FEA"/>
    <w:rsid w:val="001D0499"/>
    <w:rsid w:val="001D0BBE"/>
    <w:rsid w:val="001D0ED4"/>
    <w:rsid w:val="001D212F"/>
    <w:rsid w:val="001D226F"/>
    <w:rsid w:val="001D29D7"/>
    <w:rsid w:val="001D2DE7"/>
    <w:rsid w:val="001D411C"/>
    <w:rsid w:val="001E0172"/>
    <w:rsid w:val="001E07AC"/>
    <w:rsid w:val="001E1B6A"/>
    <w:rsid w:val="001E2484"/>
    <w:rsid w:val="001E3CC4"/>
    <w:rsid w:val="001E4882"/>
    <w:rsid w:val="001E73AB"/>
    <w:rsid w:val="001F092D"/>
    <w:rsid w:val="001F143A"/>
    <w:rsid w:val="001F1605"/>
    <w:rsid w:val="001F2508"/>
    <w:rsid w:val="001F4816"/>
    <w:rsid w:val="001F4EE9"/>
    <w:rsid w:val="001F68C3"/>
    <w:rsid w:val="001F69B4"/>
    <w:rsid w:val="001F77C7"/>
    <w:rsid w:val="00200183"/>
    <w:rsid w:val="00200333"/>
    <w:rsid w:val="0020107D"/>
    <w:rsid w:val="00202AA4"/>
    <w:rsid w:val="002031F7"/>
    <w:rsid w:val="002036FF"/>
    <w:rsid w:val="002040E6"/>
    <w:rsid w:val="0020527B"/>
    <w:rsid w:val="00205F2C"/>
    <w:rsid w:val="00210B15"/>
    <w:rsid w:val="002142EA"/>
    <w:rsid w:val="00214CA9"/>
    <w:rsid w:val="002204BB"/>
    <w:rsid w:val="00221B79"/>
    <w:rsid w:val="00221C6B"/>
    <w:rsid w:val="00223F35"/>
    <w:rsid w:val="00224D48"/>
    <w:rsid w:val="002253A1"/>
    <w:rsid w:val="00225CF8"/>
    <w:rsid w:val="0022794E"/>
    <w:rsid w:val="00230857"/>
    <w:rsid w:val="00233D64"/>
    <w:rsid w:val="0023482A"/>
    <w:rsid w:val="002359CB"/>
    <w:rsid w:val="00235F41"/>
    <w:rsid w:val="00243540"/>
    <w:rsid w:val="0024497B"/>
    <w:rsid w:val="0024515B"/>
    <w:rsid w:val="00246021"/>
    <w:rsid w:val="0024666E"/>
    <w:rsid w:val="00246738"/>
    <w:rsid w:val="00247F52"/>
    <w:rsid w:val="00250B25"/>
    <w:rsid w:val="00250BBE"/>
    <w:rsid w:val="002515C2"/>
    <w:rsid w:val="0025194F"/>
    <w:rsid w:val="00251DB8"/>
    <w:rsid w:val="00252DFA"/>
    <w:rsid w:val="0026148A"/>
    <w:rsid w:val="00262696"/>
    <w:rsid w:val="00263D25"/>
    <w:rsid w:val="002643C3"/>
    <w:rsid w:val="00264A0C"/>
    <w:rsid w:val="00266EEB"/>
    <w:rsid w:val="00267EF4"/>
    <w:rsid w:val="00270CB8"/>
    <w:rsid w:val="00272B08"/>
    <w:rsid w:val="002771AC"/>
    <w:rsid w:val="002816F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321"/>
    <w:rsid w:val="002A755D"/>
    <w:rsid w:val="002A757F"/>
    <w:rsid w:val="002A7A9C"/>
    <w:rsid w:val="002A7F44"/>
    <w:rsid w:val="002B0C40"/>
    <w:rsid w:val="002B1966"/>
    <w:rsid w:val="002B4508"/>
    <w:rsid w:val="002B5779"/>
    <w:rsid w:val="002B7332"/>
    <w:rsid w:val="002B7F51"/>
    <w:rsid w:val="002C09E7"/>
    <w:rsid w:val="002C0D87"/>
    <w:rsid w:val="002C1E06"/>
    <w:rsid w:val="002C1E1C"/>
    <w:rsid w:val="002C3F07"/>
    <w:rsid w:val="002C5278"/>
    <w:rsid w:val="002C5C22"/>
    <w:rsid w:val="002C7EBB"/>
    <w:rsid w:val="002D06C1"/>
    <w:rsid w:val="002D42B5"/>
    <w:rsid w:val="002D4F1A"/>
    <w:rsid w:val="002D579F"/>
    <w:rsid w:val="002D6EC6"/>
    <w:rsid w:val="002D79AC"/>
    <w:rsid w:val="002E039D"/>
    <w:rsid w:val="002E4D5A"/>
    <w:rsid w:val="002E6326"/>
    <w:rsid w:val="002F1E8A"/>
    <w:rsid w:val="002F30E0"/>
    <w:rsid w:val="002F35E4"/>
    <w:rsid w:val="002F3730"/>
    <w:rsid w:val="002F38E1"/>
    <w:rsid w:val="002F5DC3"/>
    <w:rsid w:val="002F7AF6"/>
    <w:rsid w:val="00300E63"/>
    <w:rsid w:val="00301593"/>
    <w:rsid w:val="00302F5F"/>
    <w:rsid w:val="0030441D"/>
    <w:rsid w:val="00306063"/>
    <w:rsid w:val="00310861"/>
    <w:rsid w:val="00313B85"/>
    <w:rsid w:val="00317988"/>
    <w:rsid w:val="003221B4"/>
    <w:rsid w:val="0032258D"/>
    <w:rsid w:val="00322E62"/>
    <w:rsid w:val="00324D13"/>
    <w:rsid w:val="00324D2A"/>
    <w:rsid w:val="00324EDD"/>
    <w:rsid w:val="00325732"/>
    <w:rsid w:val="003331E4"/>
    <w:rsid w:val="00336C64"/>
    <w:rsid w:val="00337162"/>
    <w:rsid w:val="0034194F"/>
    <w:rsid w:val="00344605"/>
    <w:rsid w:val="003474AA"/>
    <w:rsid w:val="00350D1D"/>
    <w:rsid w:val="00352C83"/>
    <w:rsid w:val="0035387B"/>
    <w:rsid w:val="00357AA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E64"/>
    <w:rsid w:val="003820E9"/>
    <w:rsid w:val="00382DE7"/>
    <w:rsid w:val="00384FFC"/>
    <w:rsid w:val="003872FC"/>
    <w:rsid w:val="00387ADC"/>
    <w:rsid w:val="00390020"/>
    <w:rsid w:val="003903D6"/>
    <w:rsid w:val="00390EE6"/>
    <w:rsid w:val="0039118F"/>
    <w:rsid w:val="00392349"/>
    <w:rsid w:val="00392AD7"/>
    <w:rsid w:val="003938D9"/>
    <w:rsid w:val="00394376"/>
    <w:rsid w:val="003943FF"/>
    <w:rsid w:val="00395700"/>
    <w:rsid w:val="003974EB"/>
    <w:rsid w:val="00397CC5"/>
    <w:rsid w:val="003A1582"/>
    <w:rsid w:val="003A4077"/>
    <w:rsid w:val="003A5F07"/>
    <w:rsid w:val="003A76F9"/>
    <w:rsid w:val="003B09AD"/>
    <w:rsid w:val="003B1F18"/>
    <w:rsid w:val="003B5BF0"/>
    <w:rsid w:val="003B60BF"/>
    <w:rsid w:val="003B6BE3"/>
    <w:rsid w:val="003C010C"/>
    <w:rsid w:val="003C0559"/>
    <w:rsid w:val="003C055C"/>
    <w:rsid w:val="003C0A6C"/>
    <w:rsid w:val="003C14F8"/>
    <w:rsid w:val="003C400B"/>
    <w:rsid w:val="003C473E"/>
    <w:rsid w:val="003C5A43"/>
    <w:rsid w:val="003D0519"/>
    <w:rsid w:val="003D0FF6"/>
    <w:rsid w:val="003D262C"/>
    <w:rsid w:val="003D6D61"/>
    <w:rsid w:val="003D79C6"/>
    <w:rsid w:val="003E091D"/>
    <w:rsid w:val="003E1C53"/>
    <w:rsid w:val="003E2A69"/>
    <w:rsid w:val="003E2D49"/>
    <w:rsid w:val="003E2FD4"/>
    <w:rsid w:val="003E49F6"/>
    <w:rsid w:val="003E660F"/>
    <w:rsid w:val="003E7C0F"/>
    <w:rsid w:val="003F0841"/>
    <w:rsid w:val="003F23D3"/>
    <w:rsid w:val="003F3F08"/>
    <w:rsid w:val="003F44DC"/>
    <w:rsid w:val="003F49F1"/>
    <w:rsid w:val="003F6272"/>
    <w:rsid w:val="00400E72"/>
    <w:rsid w:val="00401400"/>
    <w:rsid w:val="00404869"/>
    <w:rsid w:val="004056BF"/>
    <w:rsid w:val="00405884"/>
    <w:rsid w:val="00407D39"/>
    <w:rsid w:val="0041477A"/>
    <w:rsid w:val="004167A3"/>
    <w:rsid w:val="00432DAA"/>
    <w:rsid w:val="00434305"/>
    <w:rsid w:val="00435DF7"/>
    <w:rsid w:val="0043646E"/>
    <w:rsid w:val="0044083F"/>
    <w:rsid w:val="00441AE7"/>
    <w:rsid w:val="00445574"/>
    <w:rsid w:val="004461F3"/>
    <w:rsid w:val="004467FB"/>
    <w:rsid w:val="004517D9"/>
    <w:rsid w:val="00452D6B"/>
    <w:rsid w:val="00454484"/>
    <w:rsid w:val="00454EA1"/>
    <w:rsid w:val="0045517B"/>
    <w:rsid w:val="004571F4"/>
    <w:rsid w:val="004600EB"/>
    <w:rsid w:val="00462E11"/>
    <w:rsid w:val="00463B77"/>
    <w:rsid w:val="00463C7B"/>
    <w:rsid w:val="004644A6"/>
    <w:rsid w:val="004659BD"/>
    <w:rsid w:val="00470775"/>
    <w:rsid w:val="00471792"/>
    <w:rsid w:val="00472522"/>
    <w:rsid w:val="0047353A"/>
    <w:rsid w:val="004746B1"/>
    <w:rsid w:val="0047583F"/>
    <w:rsid w:val="00475DE8"/>
    <w:rsid w:val="00481C44"/>
    <w:rsid w:val="00482C31"/>
    <w:rsid w:val="00484936"/>
    <w:rsid w:val="00485C89"/>
    <w:rsid w:val="00486BE3"/>
    <w:rsid w:val="004905E4"/>
    <w:rsid w:val="00490A89"/>
    <w:rsid w:val="00490AB4"/>
    <w:rsid w:val="00492F02"/>
    <w:rsid w:val="004939AE"/>
    <w:rsid w:val="004A12DF"/>
    <w:rsid w:val="004A17E6"/>
    <w:rsid w:val="004A1BA8"/>
    <w:rsid w:val="004A4B57"/>
    <w:rsid w:val="004A567B"/>
    <w:rsid w:val="004A5E1E"/>
    <w:rsid w:val="004A63FA"/>
    <w:rsid w:val="004B0272"/>
    <w:rsid w:val="004B17B0"/>
    <w:rsid w:val="004B2701"/>
    <w:rsid w:val="004B2E1B"/>
    <w:rsid w:val="004B337F"/>
    <w:rsid w:val="004B3AA8"/>
    <w:rsid w:val="004B3E93"/>
    <w:rsid w:val="004B4ED5"/>
    <w:rsid w:val="004C1FBC"/>
    <w:rsid w:val="004C32D4"/>
    <w:rsid w:val="004C3404"/>
    <w:rsid w:val="004C3F1D"/>
    <w:rsid w:val="004C458D"/>
    <w:rsid w:val="004C4AB0"/>
    <w:rsid w:val="004C72EC"/>
    <w:rsid w:val="004C7556"/>
    <w:rsid w:val="004C7E8B"/>
    <w:rsid w:val="004C7E9D"/>
    <w:rsid w:val="004C7F67"/>
    <w:rsid w:val="004D076D"/>
    <w:rsid w:val="004D0EF1"/>
    <w:rsid w:val="004D1315"/>
    <w:rsid w:val="004D2253"/>
    <w:rsid w:val="004D4406"/>
    <w:rsid w:val="004D7C42"/>
    <w:rsid w:val="004E0465"/>
    <w:rsid w:val="004E0CD9"/>
    <w:rsid w:val="004E127B"/>
    <w:rsid w:val="004E1C0A"/>
    <w:rsid w:val="004E2B06"/>
    <w:rsid w:val="004E30C5"/>
    <w:rsid w:val="004E4AA5"/>
    <w:rsid w:val="004E4AEE"/>
    <w:rsid w:val="004E59E3"/>
    <w:rsid w:val="004E67C0"/>
    <w:rsid w:val="004E7053"/>
    <w:rsid w:val="004F391A"/>
    <w:rsid w:val="004F3CFB"/>
    <w:rsid w:val="004F470E"/>
    <w:rsid w:val="004F6456"/>
    <w:rsid w:val="004F696E"/>
    <w:rsid w:val="004F6C71"/>
    <w:rsid w:val="00501139"/>
    <w:rsid w:val="0050363E"/>
    <w:rsid w:val="005037E2"/>
    <w:rsid w:val="005039BC"/>
    <w:rsid w:val="005043BB"/>
    <w:rsid w:val="00504A3D"/>
    <w:rsid w:val="00505767"/>
    <w:rsid w:val="005073F0"/>
    <w:rsid w:val="0050752D"/>
    <w:rsid w:val="00510A7B"/>
    <w:rsid w:val="00511615"/>
    <w:rsid w:val="00512F32"/>
    <w:rsid w:val="00512F6E"/>
    <w:rsid w:val="00513038"/>
    <w:rsid w:val="00514174"/>
    <w:rsid w:val="00516088"/>
    <w:rsid w:val="00516AE3"/>
    <w:rsid w:val="00516B0B"/>
    <w:rsid w:val="005220EC"/>
    <w:rsid w:val="00523F95"/>
    <w:rsid w:val="0052427B"/>
    <w:rsid w:val="00524D65"/>
    <w:rsid w:val="0052561F"/>
    <w:rsid w:val="00525B16"/>
    <w:rsid w:val="00533D04"/>
    <w:rsid w:val="00534722"/>
    <w:rsid w:val="00534804"/>
    <w:rsid w:val="00534BDF"/>
    <w:rsid w:val="00534CD2"/>
    <w:rsid w:val="005354EA"/>
    <w:rsid w:val="0053585F"/>
    <w:rsid w:val="00535EC4"/>
    <w:rsid w:val="00535ED9"/>
    <w:rsid w:val="0053692B"/>
    <w:rsid w:val="00541853"/>
    <w:rsid w:val="00543162"/>
    <w:rsid w:val="00543BDA"/>
    <w:rsid w:val="005441CC"/>
    <w:rsid w:val="005454E3"/>
    <w:rsid w:val="005479DA"/>
    <w:rsid w:val="00547BCC"/>
    <w:rsid w:val="0055013B"/>
    <w:rsid w:val="00551F6F"/>
    <w:rsid w:val="00555044"/>
    <w:rsid w:val="005605E3"/>
    <w:rsid w:val="00561475"/>
    <w:rsid w:val="0056487B"/>
    <w:rsid w:val="00564FB9"/>
    <w:rsid w:val="00570E2F"/>
    <w:rsid w:val="00573D9E"/>
    <w:rsid w:val="005801E3"/>
    <w:rsid w:val="0058047D"/>
    <w:rsid w:val="00581802"/>
    <w:rsid w:val="005836A8"/>
    <w:rsid w:val="00583FE2"/>
    <w:rsid w:val="0058409C"/>
    <w:rsid w:val="005841BA"/>
    <w:rsid w:val="00584262"/>
    <w:rsid w:val="00586615"/>
    <w:rsid w:val="00586630"/>
    <w:rsid w:val="00587567"/>
    <w:rsid w:val="00587ADD"/>
    <w:rsid w:val="00591E27"/>
    <w:rsid w:val="00595CC1"/>
    <w:rsid w:val="00596160"/>
    <w:rsid w:val="005966E2"/>
    <w:rsid w:val="00597007"/>
    <w:rsid w:val="005A0966"/>
    <w:rsid w:val="005A0CD0"/>
    <w:rsid w:val="005A11B7"/>
    <w:rsid w:val="005A260B"/>
    <w:rsid w:val="005A4A1B"/>
    <w:rsid w:val="005A7830"/>
    <w:rsid w:val="005A7FCE"/>
    <w:rsid w:val="005B0F3F"/>
    <w:rsid w:val="005B4903"/>
    <w:rsid w:val="005B4FE0"/>
    <w:rsid w:val="005B51CE"/>
    <w:rsid w:val="005B5885"/>
    <w:rsid w:val="005B5CD7"/>
    <w:rsid w:val="005B6CF6"/>
    <w:rsid w:val="005B7422"/>
    <w:rsid w:val="005C29B8"/>
    <w:rsid w:val="005C5F21"/>
    <w:rsid w:val="005C7156"/>
    <w:rsid w:val="005D0C75"/>
    <w:rsid w:val="005D4059"/>
    <w:rsid w:val="005D4171"/>
    <w:rsid w:val="005D6A95"/>
    <w:rsid w:val="005D6B2C"/>
    <w:rsid w:val="005D6D9C"/>
    <w:rsid w:val="005E208D"/>
    <w:rsid w:val="005E2335"/>
    <w:rsid w:val="005E34CA"/>
    <w:rsid w:val="005E3C18"/>
    <w:rsid w:val="005E6812"/>
    <w:rsid w:val="005E7881"/>
    <w:rsid w:val="005E78E0"/>
    <w:rsid w:val="005F0D9C"/>
    <w:rsid w:val="005F284E"/>
    <w:rsid w:val="005F4712"/>
    <w:rsid w:val="006015CE"/>
    <w:rsid w:val="00601D62"/>
    <w:rsid w:val="00601EB7"/>
    <w:rsid w:val="00604784"/>
    <w:rsid w:val="00605E20"/>
    <w:rsid w:val="00606419"/>
    <w:rsid w:val="00607D29"/>
    <w:rsid w:val="00612722"/>
    <w:rsid w:val="00612952"/>
    <w:rsid w:val="00614CC1"/>
    <w:rsid w:val="00615A9D"/>
    <w:rsid w:val="00617387"/>
    <w:rsid w:val="006205D6"/>
    <w:rsid w:val="006252D8"/>
    <w:rsid w:val="006259BC"/>
    <w:rsid w:val="0062636B"/>
    <w:rsid w:val="00632182"/>
    <w:rsid w:val="00632AE0"/>
    <w:rsid w:val="00633C17"/>
    <w:rsid w:val="00634D9E"/>
    <w:rsid w:val="00636E3E"/>
    <w:rsid w:val="00637097"/>
    <w:rsid w:val="006379F7"/>
    <w:rsid w:val="00637E4D"/>
    <w:rsid w:val="00640620"/>
    <w:rsid w:val="00641A1F"/>
    <w:rsid w:val="00644AD5"/>
    <w:rsid w:val="00645904"/>
    <w:rsid w:val="00645C88"/>
    <w:rsid w:val="00651ACB"/>
    <w:rsid w:val="00651C47"/>
    <w:rsid w:val="00652AB2"/>
    <w:rsid w:val="00653FED"/>
    <w:rsid w:val="00654EC0"/>
    <w:rsid w:val="0065525B"/>
    <w:rsid w:val="00655D4F"/>
    <w:rsid w:val="00656D29"/>
    <w:rsid w:val="006640E5"/>
    <w:rsid w:val="006646F1"/>
    <w:rsid w:val="00664929"/>
    <w:rsid w:val="00664F62"/>
    <w:rsid w:val="00665459"/>
    <w:rsid w:val="006655E1"/>
    <w:rsid w:val="00667CC2"/>
    <w:rsid w:val="00672060"/>
    <w:rsid w:val="00672BFD"/>
    <w:rsid w:val="006770F4"/>
    <w:rsid w:val="00677A84"/>
    <w:rsid w:val="0068026D"/>
    <w:rsid w:val="00680A27"/>
    <w:rsid w:val="006816A4"/>
    <w:rsid w:val="006819B8"/>
    <w:rsid w:val="006840A6"/>
    <w:rsid w:val="006850CD"/>
    <w:rsid w:val="00685AAB"/>
    <w:rsid w:val="00686BAC"/>
    <w:rsid w:val="00695D22"/>
    <w:rsid w:val="00697AB1"/>
    <w:rsid w:val="006A07AA"/>
    <w:rsid w:val="006A25E5"/>
    <w:rsid w:val="006A2B46"/>
    <w:rsid w:val="006A336D"/>
    <w:rsid w:val="006A37B9"/>
    <w:rsid w:val="006B01FC"/>
    <w:rsid w:val="006B2672"/>
    <w:rsid w:val="006B54BF"/>
    <w:rsid w:val="006B5F44"/>
    <w:rsid w:val="006B5F90"/>
    <w:rsid w:val="006B62E4"/>
    <w:rsid w:val="006B7940"/>
    <w:rsid w:val="006C1BBA"/>
    <w:rsid w:val="006C2079"/>
    <w:rsid w:val="006C5A62"/>
    <w:rsid w:val="006C5D68"/>
    <w:rsid w:val="006C6976"/>
    <w:rsid w:val="006C6DD0"/>
    <w:rsid w:val="006D04EA"/>
    <w:rsid w:val="006D0AB7"/>
    <w:rsid w:val="006D16C4"/>
    <w:rsid w:val="006D3E96"/>
    <w:rsid w:val="006D4515"/>
    <w:rsid w:val="006D4BB1"/>
    <w:rsid w:val="006D6593"/>
    <w:rsid w:val="006E1092"/>
    <w:rsid w:val="006E23EA"/>
    <w:rsid w:val="006E420C"/>
    <w:rsid w:val="006F03A8"/>
    <w:rsid w:val="006F2ACA"/>
    <w:rsid w:val="006F2ADC"/>
    <w:rsid w:val="006F2BFE"/>
    <w:rsid w:val="006F31E9"/>
    <w:rsid w:val="006F6284"/>
    <w:rsid w:val="006F7CD1"/>
    <w:rsid w:val="007002C5"/>
    <w:rsid w:val="007013BD"/>
    <w:rsid w:val="00704387"/>
    <w:rsid w:val="00706D78"/>
    <w:rsid w:val="00707669"/>
    <w:rsid w:val="00711CBA"/>
    <w:rsid w:val="00711FB5"/>
    <w:rsid w:val="00712A01"/>
    <w:rsid w:val="00714F58"/>
    <w:rsid w:val="00722FBF"/>
    <w:rsid w:val="00722FC2"/>
    <w:rsid w:val="00724879"/>
    <w:rsid w:val="00724E1B"/>
    <w:rsid w:val="00725949"/>
    <w:rsid w:val="00727590"/>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366"/>
    <w:rsid w:val="0075276D"/>
    <w:rsid w:val="00752B4D"/>
    <w:rsid w:val="007542A1"/>
    <w:rsid w:val="0075456E"/>
    <w:rsid w:val="00755402"/>
    <w:rsid w:val="00755AA6"/>
    <w:rsid w:val="00756B26"/>
    <w:rsid w:val="00756EDF"/>
    <w:rsid w:val="007600E3"/>
    <w:rsid w:val="007640C3"/>
    <w:rsid w:val="0076501F"/>
    <w:rsid w:val="00765C43"/>
    <w:rsid w:val="00765EFB"/>
    <w:rsid w:val="007671CA"/>
    <w:rsid w:val="00767C61"/>
    <w:rsid w:val="0077008A"/>
    <w:rsid w:val="007734DE"/>
    <w:rsid w:val="00773C1F"/>
    <w:rsid w:val="00774D0C"/>
    <w:rsid w:val="00774DA4"/>
    <w:rsid w:val="00776599"/>
    <w:rsid w:val="0078114B"/>
    <w:rsid w:val="00781DD2"/>
    <w:rsid w:val="00783ECF"/>
    <w:rsid w:val="0078413A"/>
    <w:rsid w:val="007854D8"/>
    <w:rsid w:val="0078553F"/>
    <w:rsid w:val="007959E8"/>
    <w:rsid w:val="00795E9C"/>
    <w:rsid w:val="007A0521"/>
    <w:rsid w:val="007A1D02"/>
    <w:rsid w:val="007A2E12"/>
    <w:rsid w:val="007A3475"/>
    <w:rsid w:val="007A41C8"/>
    <w:rsid w:val="007A54CE"/>
    <w:rsid w:val="007A6FD9"/>
    <w:rsid w:val="007A7FFA"/>
    <w:rsid w:val="007B04EB"/>
    <w:rsid w:val="007B0D4F"/>
    <w:rsid w:val="007B5A3D"/>
    <w:rsid w:val="007B5B95"/>
    <w:rsid w:val="007B68EA"/>
    <w:rsid w:val="007B7453"/>
    <w:rsid w:val="007C1E8B"/>
    <w:rsid w:val="007C2680"/>
    <w:rsid w:val="007C2D89"/>
    <w:rsid w:val="007C4593"/>
    <w:rsid w:val="007C5309"/>
    <w:rsid w:val="007C6069"/>
    <w:rsid w:val="007C6579"/>
    <w:rsid w:val="007D06C4"/>
    <w:rsid w:val="007D1352"/>
    <w:rsid w:val="007D19BC"/>
    <w:rsid w:val="007D2508"/>
    <w:rsid w:val="007D346A"/>
    <w:rsid w:val="007D48B2"/>
    <w:rsid w:val="007D6518"/>
    <w:rsid w:val="007D6C69"/>
    <w:rsid w:val="007D76BD"/>
    <w:rsid w:val="007E0BF1"/>
    <w:rsid w:val="007E2CB6"/>
    <w:rsid w:val="007F072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42E"/>
    <w:rsid w:val="008163C8"/>
    <w:rsid w:val="008164A1"/>
    <w:rsid w:val="00817325"/>
    <w:rsid w:val="008209E6"/>
    <w:rsid w:val="00822FEE"/>
    <w:rsid w:val="00823303"/>
    <w:rsid w:val="008233B2"/>
    <w:rsid w:val="00823A9F"/>
    <w:rsid w:val="00823C85"/>
    <w:rsid w:val="00825138"/>
    <w:rsid w:val="008269DD"/>
    <w:rsid w:val="00830621"/>
    <w:rsid w:val="0083348C"/>
    <w:rsid w:val="008373D3"/>
    <w:rsid w:val="0084030E"/>
    <w:rsid w:val="00840617"/>
    <w:rsid w:val="00840F84"/>
    <w:rsid w:val="00840FC7"/>
    <w:rsid w:val="00842A47"/>
    <w:rsid w:val="00843C13"/>
    <w:rsid w:val="008454F8"/>
    <w:rsid w:val="0084734F"/>
    <w:rsid w:val="0085173A"/>
    <w:rsid w:val="00852313"/>
    <w:rsid w:val="00856316"/>
    <w:rsid w:val="008603CE"/>
    <w:rsid w:val="008620FC"/>
    <w:rsid w:val="008627A5"/>
    <w:rsid w:val="00863E05"/>
    <w:rsid w:val="00865ACA"/>
    <w:rsid w:val="00865D28"/>
    <w:rsid w:val="00865F85"/>
    <w:rsid w:val="00867C10"/>
    <w:rsid w:val="00870439"/>
    <w:rsid w:val="00870DA1"/>
    <w:rsid w:val="00882F7F"/>
    <w:rsid w:val="00883F93"/>
    <w:rsid w:val="00884DB3"/>
    <w:rsid w:val="00885A9D"/>
    <w:rsid w:val="008864F6"/>
    <w:rsid w:val="0089049D"/>
    <w:rsid w:val="008928C9"/>
    <w:rsid w:val="00892A50"/>
    <w:rsid w:val="008930CB"/>
    <w:rsid w:val="008938DC"/>
    <w:rsid w:val="00893FD1"/>
    <w:rsid w:val="00894836"/>
    <w:rsid w:val="00895172"/>
    <w:rsid w:val="00895680"/>
    <w:rsid w:val="00896978"/>
    <w:rsid w:val="00896DFF"/>
    <w:rsid w:val="00896F72"/>
    <w:rsid w:val="0089762C"/>
    <w:rsid w:val="008A1893"/>
    <w:rsid w:val="008A3215"/>
    <w:rsid w:val="008A57E6"/>
    <w:rsid w:val="008A6F81"/>
    <w:rsid w:val="008A769A"/>
    <w:rsid w:val="008B0C9C"/>
    <w:rsid w:val="008B166D"/>
    <w:rsid w:val="008B17F4"/>
    <w:rsid w:val="008B3198"/>
    <w:rsid w:val="008B3615"/>
    <w:rsid w:val="008B4AC4"/>
    <w:rsid w:val="008B50C8"/>
    <w:rsid w:val="008B5281"/>
    <w:rsid w:val="008B7E05"/>
    <w:rsid w:val="008C1797"/>
    <w:rsid w:val="008C219C"/>
    <w:rsid w:val="008C475E"/>
    <w:rsid w:val="008C5081"/>
    <w:rsid w:val="008C619A"/>
    <w:rsid w:val="008C7619"/>
    <w:rsid w:val="008D0CE8"/>
    <w:rsid w:val="008D169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6E9"/>
    <w:rsid w:val="008F43EA"/>
    <w:rsid w:val="008F4C29"/>
    <w:rsid w:val="008F70BD"/>
    <w:rsid w:val="008F788F"/>
    <w:rsid w:val="008F7EA2"/>
    <w:rsid w:val="00901319"/>
    <w:rsid w:val="00902722"/>
    <w:rsid w:val="009027BC"/>
    <w:rsid w:val="009062E6"/>
    <w:rsid w:val="00911BE5"/>
    <w:rsid w:val="00913CA9"/>
    <w:rsid w:val="009145AE"/>
    <w:rsid w:val="009146CE"/>
    <w:rsid w:val="00914CA7"/>
    <w:rsid w:val="00915C3E"/>
    <w:rsid w:val="009161A8"/>
    <w:rsid w:val="00922192"/>
    <w:rsid w:val="009245F5"/>
    <w:rsid w:val="009249EC"/>
    <w:rsid w:val="009273B3"/>
    <w:rsid w:val="009305B5"/>
    <w:rsid w:val="0093183A"/>
    <w:rsid w:val="00941B48"/>
    <w:rsid w:val="009429D5"/>
    <w:rsid w:val="00942BF1"/>
    <w:rsid w:val="00945180"/>
    <w:rsid w:val="00945428"/>
    <w:rsid w:val="0094607B"/>
    <w:rsid w:val="00946C33"/>
    <w:rsid w:val="00946F26"/>
    <w:rsid w:val="00953604"/>
    <w:rsid w:val="0095496B"/>
    <w:rsid w:val="009610DC"/>
    <w:rsid w:val="00961490"/>
    <w:rsid w:val="00962F35"/>
    <w:rsid w:val="0096381A"/>
    <w:rsid w:val="00963FB7"/>
    <w:rsid w:val="00964772"/>
    <w:rsid w:val="00964C7F"/>
    <w:rsid w:val="00965E04"/>
    <w:rsid w:val="00967245"/>
    <w:rsid w:val="009674AD"/>
    <w:rsid w:val="00970CDC"/>
    <w:rsid w:val="00972599"/>
    <w:rsid w:val="00974482"/>
    <w:rsid w:val="00977010"/>
    <w:rsid w:val="00977D02"/>
    <w:rsid w:val="009809BB"/>
    <w:rsid w:val="0098364B"/>
    <w:rsid w:val="009911AF"/>
    <w:rsid w:val="00991875"/>
    <w:rsid w:val="00991CCC"/>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484"/>
    <w:rsid w:val="009B46F9"/>
    <w:rsid w:val="009B497B"/>
    <w:rsid w:val="009B51D4"/>
    <w:rsid w:val="009B6029"/>
    <w:rsid w:val="009B6971"/>
    <w:rsid w:val="009B6F2A"/>
    <w:rsid w:val="009C27F1"/>
    <w:rsid w:val="009C3152"/>
    <w:rsid w:val="009C4CFA"/>
    <w:rsid w:val="009C5070"/>
    <w:rsid w:val="009C5ED7"/>
    <w:rsid w:val="009C62A9"/>
    <w:rsid w:val="009D112C"/>
    <w:rsid w:val="009D2D5C"/>
    <w:rsid w:val="009D47FA"/>
    <w:rsid w:val="009D4C5B"/>
    <w:rsid w:val="009D50D2"/>
    <w:rsid w:val="009D6BCA"/>
    <w:rsid w:val="009E0F62"/>
    <w:rsid w:val="009E35A9"/>
    <w:rsid w:val="009E4A58"/>
    <w:rsid w:val="009E5A2D"/>
    <w:rsid w:val="009E5AB2"/>
    <w:rsid w:val="009E6219"/>
    <w:rsid w:val="009F03B3"/>
    <w:rsid w:val="009F53B3"/>
    <w:rsid w:val="009F5A2F"/>
    <w:rsid w:val="00A0096C"/>
    <w:rsid w:val="00A01757"/>
    <w:rsid w:val="00A01D19"/>
    <w:rsid w:val="00A028C0"/>
    <w:rsid w:val="00A02BAE"/>
    <w:rsid w:val="00A02C24"/>
    <w:rsid w:val="00A06381"/>
    <w:rsid w:val="00A06A6B"/>
    <w:rsid w:val="00A07221"/>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739"/>
    <w:rsid w:val="00A41C79"/>
    <w:rsid w:val="00A41CB5"/>
    <w:rsid w:val="00A42CDF"/>
    <w:rsid w:val="00A4452E"/>
    <w:rsid w:val="00A4472C"/>
    <w:rsid w:val="00A44E69"/>
    <w:rsid w:val="00A4661E"/>
    <w:rsid w:val="00A52BBE"/>
    <w:rsid w:val="00A54B76"/>
    <w:rsid w:val="00A54C77"/>
    <w:rsid w:val="00A55BD6"/>
    <w:rsid w:val="00A55D50"/>
    <w:rsid w:val="00A57142"/>
    <w:rsid w:val="00A575D1"/>
    <w:rsid w:val="00A57BD4"/>
    <w:rsid w:val="00A648CD"/>
    <w:rsid w:val="00A6537A"/>
    <w:rsid w:val="00A67866"/>
    <w:rsid w:val="00A70B07"/>
    <w:rsid w:val="00A723F8"/>
    <w:rsid w:val="00A72C01"/>
    <w:rsid w:val="00A77CCB"/>
    <w:rsid w:val="00A81C9D"/>
    <w:rsid w:val="00A834D3"/>
    <w:rsid w:val="00A83D8D"/>
    <w:rsid w:val="00A8446B"/>
    <w:rsid w:val="00A8473F"/>
    <w:rsid w:val="00A862D6"/>
    <w:rsid w:val="00A8715E"/>
    <w:rsid w:val="00A9295B"/>
    <w:rsid w:val="00A93B09"/>
    <w:rsid w:val="00A94247"/>
    <w:rsid w:val="00A952D7"/>
    <w:rsid w:val="00A963F7"/>
    <w:rsid w:val="00A96AD8"/>
    <w:rsid w:val="00AA0440"/>
    <w:rsid w:val="00AA052C"/>
    <w:rsid w:val="00AA1E45"/>
    <w:rsid w:val="00AA1F21"/>
    <w:rsid w:val="00AA3166"/>
    <w:rsid w:val="00AA4286"/>
    <w:rsid w:val="00AA456B"/>
    <w:rsid w:val="00AA57F5"/>
    <w:rsid w:val="00AA672E"/>
    <w:rsid w:val="00AA6EC9"/>
    <w:rsid w:val="00AB41D5"/>
    <w:rsid w:val="00AB6309"/>
    <w:rsid w:val="00AB6C5F"/>
    <w:rsid w:val="00AB7129"/>
    <w:rsid w:val="00AC27A6"/>
    <w:rsid w:val="00AC30F7"/>
    <w:rsid w:val="00AC3A5A"/>
    <w:rsid w:val="00AC4373"/>
    <w:rsid w:val="00AC4D95"/>
    <w:rsid w:val="00AC5DF4"/>
    <w:rsid w:val="00AC6297"/>
    <w:rsid w:val="00AC6D27"/>
    <w:rsid w:val="00AC7F83"/>
    <w:rsid w:val="00AD0AEF"/>
    <w:rsid w:val="00AD11B7"/>
    <w:rsid w:val="00AD1A94"/>
    <w:rsid w:val="00AD1C05"/>
    <w:rsid w:val="00AD4126"/>
    <w:rsid w:val="00AD421C"/>
    <w:rsid w:val="00AD44FA"/>
    <w:rsid w:val="00AD69A7"/>
    <w:rsid w:val="00AE070A"/>
    <w:rsid w:val="00AE101C"/>
    <w:rsid w:val="00AE37E5"/>
    <w:rsid w:val="00AE5C27"/>
    <w:rsid w:val="00AE5EB4"/>
    <w:rsid w:val="00AE7715"/>
    <w:rsid w:val="00AF0C18"/>
    <w:rsid w:val="00AF1282"/>
    <w:rsid w:val="00AF47C5"/>
    <w:rsid w:val="00AF5398"/>
    <w:rsid w:val="00AF61F6"/>
    <w:rsid w:val="00B02BE9"/>
    <w:rsid w:val="00B03F5F"/>
    <w:rsid w:val="00B049AF"/>
    <w:rsid w:val="00B07242"/>
    <w:rsid w:val="00B10534"/>
    <w:rsid w:val="00B113DB"/>
    <w:rsid w:val="00B11D8A"/>
    <w:rsid w:val="00B12981"/>
    <w:rsid w:val="00B12C4D"/>
    <w:rsid w:val="00B147DD"/>
    <w:rsid w:val="00B156FD"/>
    <w:rsid w:val="00B21F61"/>
    <w:rsid w:val="00B25133"/>
    <w:rsid w:val="00B261F1"/>
    <w:rsid w:val="00B265BC"/>
    <w:rsid w:val="00B27756"/>
    <w:rsid w:val="00B31FB1"/>
    <w:rsid w:val="00B329B6"/>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2747"/>
    <w:rsid w:val="00B53FFE"/>
    <w:rsid w:val="00B54ABC"/>
    <w:rsid w:val="00B54DDE"/>
    <w:rsid w:val="00B56FBE"/>
    <w:rsid w:val="00B60ACF"/>
    <w:rsid w:val="00B611D5"/>
    <w:rsid w:val="00B62B58"/>
    <w:rsid w:val="00B65149"/>
    <w:rsid w:val="00B66567"/>
    <w:rsid w:val="00B66F52"/>
    <w:rsid w:val="00B66FE5"/>
    <w:rsid w:val="00B72880"/>
    <w:rsid w:val="00B758BF"/>
    <w:rsid w:val="00B77EC8"/>
    <w:rsid w:val="00B8129C"/>
    <w:rsid w:val="00B827A6"/>
    <w:rsid w:val="00B831CE"/>
    <w:rsid w:val="00B86594"/>
    <w:rsid w:val="00B86677"/>
    <w:rsid w:val="00B87131"/>
    <w:rsid w:val="00B939B1"/>
    <w:rsid w:val="00B95494"/>
    <w:rsid w:val="00B96007"/>
    <w:rsid w:val="00B96D40"/>
    <w:rsid w:val="00B97386"/>
    <w:rsid w:val="00BA263B"/>
    <w:rsid w:val="00BA42B2"/>
    <w:rsid w:val="00BA44F2"/>
    <w:rsid w:val="00BA58D4"/>
    <w:rsid w:val="00BA5B9E"/>
    <w:rsid w:val="00BA7C9A"/>
    <w:rsid w:val="00BB1A54"/>
    <w:rsid w:val="00BB203B"/>
    <w:rsid w:val="00BB3A97"/>
    <w:rsid w:val="00BB458D"/>
    <w:rsid w:val="00BB4EBB"/>
    <w:rsid w:val="00BB5C02"/>
    <w:rsid w:val="00BB5F8F"/>
    <w:rsid w:val="00BB657A"/>
    <w:rsid w:val="00BC1A4E"/>
    <w:rsid w:val="00BC4790"/>
    <w:rsid w:val="00BC5DC7"/>
    <w:rsid w:val="00BC6296"/>
    <w:rsid w:val="00BC6B8B"/>
    <w:rsid w:val="00BC73D8"/>
    <w:rsid w:val="00BD52D7"/>
    <w:rsid w:val="00BD5AD2"/>
    <w:rsid w:val="00BE1D79"/>
    <w:rsid w:val="00BE22F3"/>
    <w:rsid w:val="00BE5B52"/>
    <w:rsid w:val="00BE6ACC"/>
    <w:rsid w:val="00BE7B8D"/>
    <w:rsid w:val="00BF0993"/>
    <w:rsid w:val="00BF10A9"/>
    <w:rsid w:val="00BF1703"/>
    <w:rsid w:val="00BF231C"/>
    <w:rsid w:val="00BF2371"/>
    <w:rsid w:val="00BF51E5"/>
    <w:rsid w:val="00BF663B"/>
    <w:rsid w:val="00BF74A6"/>
    <w:rsid w:val="00C013AD"/>
    <w:rsid w:val="00C04904"/>
    <w:rsid w:val="00C056B3"/>
    <w:rsid w:val="00C103E5"/>
    <w:rsid w:val="00C10C81"/>
    <w:rsid w:val="00C13319"/>
    <w:rsid w:val="00C13EE9"/>
    <w:rsid w:val="00C21540"/>
    <w:rsid w:val="00C21906"/>
    <w:rsid w:val="00C21BFA"/>
    <w:rsid w:val="00C22148"/>
    <w:rsid w:val="00C2311D"/>
    <w:rsid w:val="00C24C8D"/>
    <w:rsid w:val="00C25FE2"/>
    <w:rsid w:val="00C26B53"/>
    <w:rsid w:val="00C275E4"/>
    <w:rsid w:val="00C279B2"/>
    <w:rsid w:val="00C27B44"/>
    <w:rsid w:val="00C3042E"/>
    <w:rsid w:val="00C316C1"/>
    <w:rsid w:val="00C33E50"/>
    <w:rsid w:val="00C34C20"/>
    <w:rsid w:val="00C35A3E"/>
    <w:rsid w:val="00C36392"/>
    <w:rsid w:val="00C40520"/>
    <w:rsid w:val="00C42130"/>
    <w:rsid w:val="00C423A4"/>
    <w:rsid w:val="00C44BF5"/>
    <w:rsid w:val="00C521D6"/>
    <w:rsid w:val="00C55232"/>
    <w:rsid w:val="00C553A4"/>
    <w:rsid w:val="00C55A06"/>
    <w:rsid w:val="00C55D03"/>
    <w:rsid w:val="00C601BC"/>
    <w:rsid w:val="00C6329F"/>
    <w:rsid w:val="00C63340"/>
    <w:rsid w:val="00C643F9"/>
    <w:rsid w:val="00C64E95"/>
    <w:rsid w:val="00C672F0"/>
    <w:rsid w:val="00C71372"/>
    <w:rsid w:val="00C7147E"/>
    <w:rsid w:val="00C72410"/>
    <w:rsid w:val="00C7287F"/>
    <w:rsid w:val="00C75F1B"/>
    <w:rsid w:val="00C80CB8"/>
    <w:rsid w:val="00C819F8"/>
    <w:rsid w:val="00C8248C"/>
    <w:rsid w:val="00C84E33"/>
    <w:rsid w:val="00C86D6F"/>
    <w:rsid w:val="00C87EA0"/>
    <w:rsid w:val="00C905FC"/>
    <w:rsid w:val="00C92148"/>
    <w:rsid w:val="00C92D03"/>
    <w:rsid w:val="00C9319C"/>
    <w:rsid w:val="00C9435D"/>
    <w:rsid w:val="00C94DF2"/>
    <w:rsid w:val="00C96741"/>
    <w:rsid w:val="00CA2D1B"/>
    <w:rsid w:val="00CA31C9"/>
    <w:rsid w:val="00CA375D"/>
    <w:rsid w:val="00CA662A"/>
    <w:rsid w:val="00CA7AFD"/>
    <w:rsid w:val="00CA7C3C"/>
    <w:rsid w:val="00CB0189"/>
    <w:rsid w:val="00CB0BA2"/>
    <w:rsid w:val="00CB1A42"/>
    <w:rsid w:val="00CB1B0C"/>
    <w:rsid w:val="00CB2C0B"/>
    <w:rsid w:val="00CB4E85"/>
    <w:rsid w:val="00CB517D"/>
    <w:rsid w:val="00CC038D"/>
    <w:rsid w:val="00CC03BE"/>
    <w:rsid w:val="00CC08DB"/>
    <w:rsid w:val="00CC39FF"/>
    <w:rsid w:val="00CC3B81"/>
    <w:rsid w:val="00CC3C2F"/>
    <w:rsid w:val="00CC4AC8"/>
    <w:rsid w:val="00CC4ECE"/>
    <w:rsid w:val="00CC5233"/>
    <w:rsid w:val="00CC52C1"/>
    <w:rsid w:val="00CC5DE6"/>
    <w:rsid w:val="00CC631A"/>
    <w:rsid w:val="00CC6E4E"/>
    <w:rsid w:val="00CC6FE8"/>
    <w:rsid w:val="00CC7202"/>
    <w:rsid w:val="00CD2808"/>
    <w:rsid w:val="00CD28BF"/>
    <w:rsid w:val="00CD2D84"/>
    <w:rsid w:val="00CD4092"/>
    <w:rsid w:val="00CD4931"/>
    <w:rsid w:val="00CD4A20"/>
    <w:rsid w:val="00CD50A1"/>
    <w:rsid w:val="00CD519E"/>
    <w:rsid w:val="00CD561D"/>
    <w:rsid w:val="00CE0C4F"/>
    <w:rsid w:val="00CE30EA"/>
    <w:rsid w:val="00CF048A"/>
    <w:rsid w:val="00CF155A"/>
    <w:rsid w:val="00CF2947"/>
    <w:rsid w:val="00CF55EE"/>
    <w:rsid w:val="00CF686F"/>
    <w:rsid w:val="00CF6E60"/>
    <w:rsid w:val="00CF7BCA"/>
    <w:rsid w:val="00D008FD"/>
    <w:rsid w:val="00D0321C"/>
    <w:rsid w:val="00D035EC"/>
    <w:rsid w:val="00D050BE"/>
    <w:rsid w:val="00D06AB1"/>
    <w:rsid w:val="00D072ED"/>
    <w:rsid w:val="00D07A16"/>
    <w:rsid w:val="00D1067E"/>
    <w:rsid w:val="00D10F50"/>
    <w:rsid w:val="00D11272"/>
    <w:rsid w:val="00D126F5"/>
    <w:rsid w:val="00D1489E"/>
    <w:rsid w:val="00D20737"/>
    <w:rsid w:val="00D21E81"/>
    <w:rsid w:val="00D223DE"/>
    <w:rsid w:val="00D2454F"/>
    <w:rsid w:val="00D25E37"/>
    <w:rsid w:val="00D2661A"/>
    <w:rsid w:val="00D26725"/>
    <w:rsid w:val="00D27582"/>
    <w:rsid w:val="00D27EC4"/>
    <w:rsid w:val="00D32719"/>
    <w:rsid w:val="00D33333"/>
    <w:rsid w:val="00D33457"/>
    <w:rsid w:val="00D352A2"/>
    <w:rsid w:val="00D35FA5"/>
    <w:rsid w:val="00D36DDA"/>
    <w:rsid w:val="00D4162B"/>
    <w:rsid w:val="00D4514F"/>
    <w:rsid w:val="00D451E2"/>
    <w:rsid w:val="00D45E89"/>
    <w:rsid w:val="00D45E8D"/>
    <w:rsid w:val="00D466AE"/>
    <w:rsid w:val="00D4734F"/>
    <w:rsid w:val="00D500EC"/>
    <w:rsid w:val="00D51BF3"/>
    <w:rsid w:val="00D53A93"/>
    <w:rsid w:val="00D66846"/>
    <w:rsid w:val="00D675FB"/>
    <w:rsid w:val="00D71F25"/>
    <w:rsid w:val="00D72A9C"/>
    <w:rsid w:val="00D742C8"/>
    <w:rsid w:val="00D77031"/>
    <w:rsid w:val="00D81E1F"/>
    <w:rsid w:val="00D84941"/>
    <w:rsid w:val="00D84FA1"/>
    <w:rsid w:val="00D851F0"/>
    <w:rsid w:val="00D86DB7"/>
    <w:rsid w:val="00D91952"/>
    <w:rsid w:val="00D926D0"/>
    <w:rsid w:val="00D93030"/>
    <w:rsid w:val="00D950E1"/>
    <w:rsid w:val="00D952A6"/>
    <w:rsid w:val="00D97F99"/>
    <w:rsid w:val="00DA0520"/>
    <w:rsid w:val="00DA1E08"/>
    <w:rsid w:val="00DA24F8"/>
    <w:rsid w:val="00DA28E8"/>
    <w:rsid w:val="00DA38D3"/>
    <w:rsid w:val="00DA3932"/>
    <w:rsid w:val="00DA3AFC"/>
    <w:rsid w:val="00DA5191"/>
    <w:rsid w:val="00DA5391"/>
    <w:rsid w:val="00DA64F8"/>
    <w:rsid w:val="00DA6C15"/>
    <w:rsid w:val="00DB0258"/>
    <w:rsid w:val="00DB3669"/>
    <w:rsid w:val="00DB38EE"/>
    <w:rsid w:val="00DB498B"/>
    <w:rsid w:val="00DB66CA"/>
    <w:rsid w:val="00DB6BCA"/>
    <w:rsid w:val="00DB73F7"/>
    <w:rsid w:val="00DC0321"/>
    <w:rsid w:val="00DC0424"/>
    <w:rsid w:val="00DC3067"/>
    <w:rsid w:val="00DC370B"/>
    <w:rsid w:val="00DC5B90"/>
    <w:rsid w:val="00DC5FA8"/>
    <w:rsid w:val="00DC69C2"/>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F6B"/>
    <w:rsid w:val="00DF7EED"/>
    <w:rsid w:val="00E01138"/>
    <w:rsid w:val="00E02DFB"/>
    <w:rsid w:val="00E030F9"/>
    <w:rsid w:val="00E0311A"/>
    <w:rsid w:val="00E03138"/>
    <w:rsid w:val="00E06404"/>
    <w:rsid w:val="00E065D2"/>
    <w:rsid w:val="00E11A85"/>
    <w:rsid w:val="00E12495"/>
    <w:rsid w:val="00E14571"/>
    <w:rsid w:val="00E15CCD"/>
    <w:rsid w:val="00E178A7"/>
    <w:rsid w:val="00E202EF"/>
    <w:rsid w:val="00E210B5"/>
    <w:rsid w:val="00E23D99"/>
    <w:rsid w:val="00E2552F"/>
    <w:rsid w:val="00E3137A"/>
    <w:rsid w:val="00E327C7"/>
    <w:rsid w:val="00E32CCF"/>
    <w:rsid w:val="00E34A98"/>
    <w:rsid w:val="00E35D1E"/>
    <w:rsid w:val="00E364F9"/>
    <w:rsid w:val="00E365FA"/>
    <w:rsid w:val="00E36789"/>
    <w:rsid w:val="00E442FF"/>
    <w:rsid w:val="00E44A83"/>
    <w:rsid w:val="00E500E5"/>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8E9"/>
    <w:rsid w:val="00EC7EC5"/>
    <w:rsid w:val="00ED067A"/>
    <w:rsid w:val="00ED2B50"/>
    <w:rsid w:val="00ED4D0E"/>
    <w:rsid w:val="00EE0350"/>
    <w:rsid w:val="00EE0719"/>
    <w:rsid w:val="00EE0E80"/>
    <w:rsid w:val="00EE428B"/>
    <w:rsid w:val="00EE54A6"/>
    <w:rsid w:val="00EE613F"/>
    <w:rsid w:val="00EE7295"/>
    <w:rsid w:val="00EE7869"/>
    <w:rsid w:val="00EF054A"/>
    <w:rsid w:val="00EF11A9"/>
    <w:rsid w:val="00EF3235"/>
    <w:rsid w:val="00EF7914"/>
    <w:rsid w:val="00EF7E72"/>
    <w:rsid w:val="00F011C4"/>
    <w:rsid w:val="00F013A8"/>
    <w:rsid w:val="00F06D37"/>
    <w:rsid w:val="00F07B9D"/>
    <w:rsid w:val="00F1120D"/>
    <w:rsid w:val="00F11586"/>
    <w:rsid w:val="00F1183B"/>
    <w:rsid w:val="00F11C9F"/>
    <w:rsid w:val="00F12263"/>
    <w:rsid w:val="00F1409D"/>
    <w:rsid w:val="00F14214"/>
    <w:rsid w:val="00F157A9"/>
    <w:rsid w:val="00F15F43"/>
    <w:rsid w:val="00F25BB6"/>
    <w:rsid w:val="00F26A8B"/>
    <w:rsid w:val="00F26B7E"/>
    <w:rsid w:val="00F27A3B"/>
    <w:rsid w:val="00F31A9B"/>
    <w:rsid w:val="00F33817"/>
    <w:rsid w:val="00F40E4D"/>
    <w:rsid w:val="00F420D5"/>
    <w:rsid w:val="00F4274F"/>
    <w:rsid w:val="00F42D74"/>
    <w:rsid w:val="00F451EA"/>
    <w:rsid w:val="00F45447"/>
    <w:rsid w:val="00F456C6"/>
    <w:rsid w:val="00F4577B"/>
    <w:rsid w:val="00F46496"/>
    <w:rsid w:val="00F47339"/>
    <w:rsid w:val="00F474D0"/>
    <w:rsid w:val="00F50179"/>
    <w:rsid w:val="00F501B1"/>
    <w:rsid w:val="00F515EE"/>
    <w:rsid w:val="00F56511"/>
    <w:rsid w:val="00F56906"/>
    <w:rsid w:val="00F6194E"/>
    <w:rsid w:val="00F623AC"/>
    <w:rsid w:val="00F624EB"/>
    <w:rsid w:val="00F6412A"/>
    <w:rsid w:val="00F65893"/>
    <w:rsid w:val="00F66A4A"/>
    <w:rsid w:val="00F71E22"/>
    <w:rsid w:val="00F72142"/>
    <w:rsid w:val="00F72AE7"/>
    <w:rsid w:val="00F73EB9"/>
    <w:rsid w:val="00F75B83"/>
    <w:rsid w:val="00F81141"/>
    <w:rsid w:val="00F833BA"/>
    <w:rsid w:val="00F833FA"/>
    <w:rsid w:val="00F84FD0"/>
    <w:rsid w:val="00F859A8"/>
    <w:rsid w:val="00F86D87"/>
    <w:rsid w:val="00F9108B"/>
    <w:rsid w:val="00F9118B"/>
    <w:rsid w:val="00F91349"/>
    <w:rsid w:val="00F93A8A"/>
    <w:rsid w:val="00F95248"/>
    <w:rsid w:val="00F956A9"/>
    <w:rsid w:val="00F963ED"/>
    <w:rsid w:val="00F966CF"/>
    <w:rsid w:val="00F96CAE"/>
    <w:rsid w:val="00F97C99"/>
    <w:rsid w:val="00FA4DAC"/>
    <w:rsid w:val="00FA662D"/>
    <w:rsid w:val="00FA6F6F"/>
    <w:rsid w:val="00FA73B1"/>
    <w:rsid w:val="00FB0CB9"/>
    <w:rsid w:val="00FB231D"/>
    <w:rsid w:val="00FB45F1"/>
    <w:rsid w:val="00FB4A72"/>
    <w:rsid w:val="00FB54E8"/>
    <w:rsid w:val="00FB7054"/>
    <w:rsid w:val="00FC17B7"/>
    <w:rsid w:val="00FC1CD2"/>
    <w:rsid w:val="00FC2CB7"/>
    <w:rsid w:val="00FC4090"/>
    <w:rsid w:val="00FC55B4"/>
    <w:rsid w:val="00FD00E6"/>
    <w:rsid w:val="00FD09A1"/>
    <w:rsid w:val="00FD2A7C"/>
    <w:rsid w:val="00FD59EB"/>
    <w:rsid w:val="00FD7299"/>
    <w:rsid w:val="00FE02B6"/>
    <w:rsid w:val="00FE1FBE"/>
    <w:rsid w:val="00FE3901"/>
    <w:rsid w:val="00FE39D3"/>
    <w:rsid w:val="00FE4BCE"/>
    <w:rsid w:val="00FE54AE"/>
    <w:rsid w:val="00FE576A"/>
    <w:rsid w:val="00FE7E79"/>
    <w:rsid w:val="00FF21A5"/>
    <w:rsid w:val="00FF286A"/>
    <w:rsid w:val="00FF3E7D"/>
    <w:rsid w:val="00FF5B99"/>
    <w:rsid w:val="00FF730C"/>
    <w:rsid w:val="00FF73F4"/>
    <w:rsid w:val="00FF7CE4"/>
    <w:rsid w:val="00FF7E39"/>
    <w:rsid w:val="05CA7B12"/>
    <w:rsid w:val="098D7D07"/>
    <w:rsid w:val="0C460641"/>
    <w:rsid w:val="14DE58BA"/>
    <w:rsid w:val="17AF353E"/>
    <w:rsid w:val="18FC27B3"/>
    <w:rsid w:val="1FCF3147"/>
    <w:rsid w:val="24D34D10"/>
    <w:rsid w:val="399A1E48"/>
    <w:rsid w:val="3D0715A3"/>
    <w:rsid w:val="3D202282"/>
    <w:rsid w:val="42642FF3"/>
    <w:rsid w:val="42EA174A"/>
    <w:rsid w:val="480037BE"/>
    <w:rsid w:val="48027536"/>
    <w:rsid w:val="499E328F"/>
    <w:rsid w:val="4D1D44CA"/>
    <w:rsid w:val="653A7EB8"/>
    <w:rsid w:val="6B65740E"/>
    <w:rsid w:val="6CE95D1F"/>
    <w:rsid w:val="6F516715"/>
    <w:rsid w:val="7370719A"/>
    <w:rsid w:val="7474112B"/>
    <w:rsid w:val="7B4E6013"/>
    <w:rsid w:val="7BBC6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tabs>
        <w:tab w:val="left" w:pos="851"/>
        <w:tab w:val="clear" w:pos="993"/>
      </w:tabs>
      <w:ind w:left="851"/>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character" w:customStyle="1" w:styleId="232">
    <w:name w:val="段 Char Char"/>
    <w:qFormat/>
    <w:uiPriority w:val="0"/>
    <w:rPr>
      <w:rFonts w:ascii="宋体"/>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0E8C6178A6846C9B9FA597DF05F974B"/>
        <w:style w:val=""/>
        <w:category>
          <w:name w:val="常规"/>
          <w:gallery w:val="placeholder"/>
        </w:category>
        <w:types>
          <w:type w:val="bbPlcHdr"/>
        </w:types>
        <w:behaviors>
          <w:behavior w:val="content"/>
        </w:behaviors>
        <w:description w:val=""/>
        <w:guid w:val="{454FA27B-67CA-4B11-B5C2-B05AF7B6F1D3}"/>
      </w:docPartPr>
      <w:docPartBody>
        <w:p w14:paraId="528E1A65">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3FB"/>
    <w:rsid w:val="00022909"/>
    <w:rsid w:val="00026731"/>
    <w:rsid w:val="000A167D"/>
    <w:rsid w:val="0013779A"/>
    <w:rsid w:val="00161E86"/>
    <w:rsid w:val="001B582F"/>
    <w:rsid w:val="00263415"/>
    <w:rsid w:val="002A05FB"/>
    <w:rsid w:val="00332CAD"/>
    <w:rsid w:val="003C7190"/>
    <w:rsid w:val="00457CB3"/>
    <w:rsid w:val="004D40C6"/>
    <w:rsid w:val="005B4F29"/>
    <w:rsid w:val="005E476A"/>
    <w:rsid w:val="00640DB0"/>
    <w:rsid w:val="0064657E"/>
    <w:rsid w:val="00654896"/>
    <w:rsid w:val="006D49F4"/>
    <w:rsid w:val="00710B84"/>
    <w:rsid w:val="00875358"/>
    <w:rsid w:val="008D4CBA"/>
    <w:rsid w:val="009A5B9F"/>
    <w:rsid w:val="00AB0CAC"/>
    <w:rsid w:val="00B96B8C"/>
    <w:rsid w:val="00C2066C"/>
    <w:rsid w:val="00C67C88"/>
    <w:rsid w:val="00C70AED"/>
    <w:rsid w:val="00C82593"/>
    <w:rsid w:val="00CA53FB"/>
    <w:rsid w:val="00DF25BD"/>
    <w:rsid w:val="00DF4BD9"/>
    <w:rsid w:val="00E75DD4"/>
    <w:rsid w:val="00E92ECF"/>
    <w:rsid w:val="00F11857"/>
    <w:rsid w:val="00FB1AB2"/>
    <w:rsid w:val="00FB2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0E8C6178A6846C9B9FA597DF05F974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43E65D-A7EA-443A-826E-42CB1BA314B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13</Pages>
  <Words>7783</Words>
  <Characters>8477</Characters>
  <Lines>67</Lines>
  <Paragraphs>18</Paragraphs>
  <TotalTime>10</TotalTime>
  <ScaleCrop>false</ScaleCrop>
  <LinksUpToDate>false</LinksUpToDate>
  <CharactersWithSpaces>8565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2023-07-21T02:57:00Z</dcterms:created>
  <dc:creator>YJST</dc:creator>
  <dc:description>&lt;config cover="true" show_menu="true" version="1.0.0" doctype="SDKXY"&gt;_x000d_
&lt;/config&gt;</dc:description>
  <cp:lastModifiedBy>铭记</cp:lastModifiedBy>
  <cp:lastPrinted>2022-05-31T03:09:00Z</cp:lastPrinted>
  <dcterms:modified xsi:type="dcterms:W3CDTF">2025-07-01T00:46:49Z</dcterms:modified>
  <dc:title>地方标准</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A103F70BE13D4DD8BC8A10EACEF5EE7F</vt:lpwstr>
  </property>
  <property fmtid="{D5CDD505-2E9C-101B-9397-08002B2CF9AE}" pid="16" name="KSOTemplateDocerSaveRecord">
    <vt:lpwstr>eyJoZGlkIjoiYzU2MGM0ZTc5NmY2ZDlmYzRjMTQ1YjFjZWI3NjNmZWQiLCJ1c2VySWQiOiIxMTk5MjU5MTM2In0=</vt:lpwstr>
  </property>
</Properties>
</file>