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6E83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4CFDFF6">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FC9D81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14:paraId="72360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F9355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45EA88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96D74E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621152F">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54</w:t>
            </w:r>
            <w:r>
              <w:fldChar w:fldCharType="end"/>
            </w:r>
            <w:bookmarkEnd w:id="3"/>
          </w:p>
        </w:tc>
      </w:tr>
    </w:tbl>
    <w:p w14:paraId="3C04726C">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D6E44F7">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54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F40BF61">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06D155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0D5EA1D">
      <w:pPr>
        <w:pStyle w:val="51"/>
        <w:framePr w:w="9639" w:h="6976" w:hRule="exact" w:hSpace="0" w:vSpace="0" w:wrap="around" w:hAnchor="page" w:y="6408"/>
        <w:jc w:val="center"/>
        <w:rPr>
          <w:rFonts w:ascii="黑体" w:hAnsi="黑体" w:eastAsia="黑体"/>
          <w:b w:val="0"/>
          <w:bCs w:val="0"/>
          <w:w w:val="100"/>
        </w:rPr>
      </w:pPr>
    </w:p>
    <w:p w14:paraId="0BB84E58">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天麻种苗繁殖技术规程</w:t>
      </w:r>
      <w:r>
        <w:fldChar w:fldCharType="end"/>
      </w:r>
      <w:bookmarkEnd w:id="9"/>
    </w:p>
    <w:p w14:paraId="409131B6">
      <w:pPr>
        <w:framePr w:w="9639" w:h="6974" w:hRule="exact" w:wrap="around" w:vAnchor="page" w:hAnchor="page" w:x="1419" w:y="6408" w:anchorLock="1"/>
        <w:ind w:left="-1418"/>
      </w:pPr>
    </w:p>
    <w:p w14:paraId="35CFF9C7">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14:paraId="14E4E957">
      <w:pPr>
        <w:framePr w:w="9639" w:h="6974" w:hRule="exact" w:wrap="around" w:vAnchor="page" w:hAnchor="page" w:x="1419" w:y="6408" w:anchorLock="1"/>
        <w:spacing w:line="760" w:lineRule="exact"/>
        <w:ind w:left="-1418"/>
      </w:pPr>
    </w:p>
    <w:p w14:paraId="0F8E98A0">
      <w:pPr>
        <w:pStyle w:val="126"/>
        <w:framePr w:w="9639" w:h="6974" w:hRule="exact" w:wrap="around" w:vAnchor="page" w:hAnchor="page" w:x="1419" w:y="6408" w:anchorLock="1"/>
        <w:textAlignment w:val="bottom"/>
        <w:rPr>
          <w:rFonts w:eastAsia="黑体"/>
          <w:szCs w:val="28"/>
        </w:rPr>
      </w:pPr>
    </w:p>
    <w:p w14:paraId="7F47A8A9">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F8B9FD2">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2DFF903">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DB09070">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209230C">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6EE65A0">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西藏自治区市场监督管理局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11811575">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5A444B4">
      <w:pPr>
        <w:pStyle w:val="92"/>
        <w:spacing w:after="468"/>
      </w:pPr>
      <w:bookmarkStart w:id="21" w:name="BookMark1"/>
      <w:r>
        <w:rPr>
          <w:spacing w:val="320"/>
        </w:rPr>
        <w:t>目</w:t>
      </w:r>
      <w:r>
        <w:t>次</w:t>
      </w:r>
    </w:p>
    <w:p w14:paraId="19547F48">
      <w:pPr>
        <w:pStyle w:val="19"/>
        <w:tabs>
          <w:tab w:val="right" w:leader="dot" w:pos="9354"/>
        </w:tabs>
      </w:pPr>
      <w:r>
        <w:fldChar w:fldCharType="begin"/>
      </w:r>
      <w:r>
        <w:instrText xml:space="preserve"> TOC \o "1-1" \h </w:instrText>
      </w:r>
      <w:r>
        <w:fldChar w:fldCharType="separate"/>
      </w:r>
      <w:r>
        <w:fldChar w:fldCharType="begin"/>
      </w:r>
      <w:r>
        <w:instrText xml:space="preserve"> HYPERLINK \l _Toc3301 </w:instrText>
      </w:r>
      <w:r>
        <w:fldChar w:fldCharType="separate"/>
      </w:r>
      <w:r>
        <w:rPr>
          <w:spacing w:val="320"/>
        </w:rPr>
        <w:t>前</w:t>
      </w:r>
      <w:r>
        <w:t>言</w:t>
      </w:r>
      <w:r>
        <w:tab/>
      </w:r>
      <w:r>
        <w:fldChar w:fldCharType="begin"/>
      </w:r>
      <w:r>
        <w:instrText xml:space="preserve"> PAGEREF _Toc3301 \h </w:instrText>
      </w:r>
      <w:r>
        <w:fldChar w:fldCharType="separate"/>
      </w:r>
      <w:r>
        <w:t>II</w:t>
      </w:r>
      <w:r>
        <w:fldChar w:fldCharType="end"/>
      </w:r>
      <w:r>
        <w:fldChar w:fldCharType="end"/>
      </w:r>
    </w:p>
    <w:p w14:paraId="38AEE234">
      <w:pPr>
        <w:pStyle w:val="19"/>
        <w:tabs>
          <w:tab w:val="right" w:leader="dot" w:pos="9354"/>
        </w:tabs>
      </w:pPr>
      <w:r>
        <w:fldChar w:fldCharType="begin"/>
      </w:r>
      <w:r>
        <w:instrText xml:space="preserve"> HYPERLINK \l _Toc32338 </w:instrText>
      </w:r>
      <w:r>
        <w:fldChar w:fldCharType="separate"/>
      </w:r>
      <w:r>
        <w:rPr>
          <w:rFonts w:hint="eastAsia"/>
          <w:spacing w:val="320"/>
          <w:lang w:val="en-US" w:eastAsia="zh-CN"/>
        </w:rPr>
        <w:t>引</w:t>
      </w:r>
      <w:r>
        <w:t>言</w:t>
      </w:r>
      <w:r>
        <w:tab/>
      </w:r>
      <w:r>
        <w:fldChar w:fldCharType="begin"/>
      </w:r>
      <w:r>
        <w:instrText xml:space="preserve"> PAGEREF _Toc32338 \h </w:instrText>
      </w:r>
      <w:r>
        <w:fldChar w:fldCharType="separate"/>
      </w:r>
      <w:r>
        <w:t>III</w:t>
      </w:r>
      <w:r>
        <w:fldChar w:fldCharType="end"/>
      </w:r>
      <w:r>
        <w:fldChar w:fldCharType="end"/>
      </w:r>
    </w:p>
    <w:p w14:paraId="77FD4347">
      <w:pPr>
        <w:pStyle w:val="19"/>
        <w:tabs>
          <w:tab w:val="right" w:leader="dot" w:pos="9354"/>
        </w:tabs>
      </w:pPr>
      <w:r>
        <w:fldChar w:fldCharType="begin"/>
      </w:r>
      <w:r>
        <w:instrText xml:space="preserve"> HYPERLINK \l _Toc1483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_Toc1483 \h </w:instrText>
      </w:r>
      <w:r>
        <w:fldChar w:fldCharType="separate"/>
      </w:r>
      <w:r>
        <w:t>4</w:t>
      </w:r>
      <w:r>
        <w:fldChar w:fldCharType="end"/>
      </w:r>
      <w:r>
        <w:fldChar w:fldCharType="end"/>
      </w:r>
    </w:p>
    <w:p w14:paraId="3F9EB20E">
      <w:pPr>
        <w:pStyle w:val="19"/>
        <w:tabs>
          <w:tab w:val="right" w:leader="dot" w:pos="9354"/>
        </w:tabs>
      </w:pPr>
      <w:r>
        <w:fldChar w:fldCharType="begin"/>
      </w:r>
      <w:r>
        <w:instrText xml:space="preserve"> HYPERLINK \l _Toc848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_Toc848 \h </w:instrText>
      </w:r>
      <w:r>
        <w:fldChar w:fldCharType="separate"/>
      </w:r>
      <w:r>
        <w:t>4</w:t>
      </w:r>
      <w:r>
        <w:fldChar w:fldCharType="end"/>
      </w:r>
      <w:r>
        <w:fldChar w:fldCharType="end"/>
      </w:r>
    </w:p>
    <w:p w14:paraId="5AD46DCE">
      <w:pPr>
        <w:pStyle w:val="19"/>
        <w:tabs>
          <w:tab w:val="right" w:leader="dot" w:pos="9354"/>
        </w:tabs>
      </w:pPr>
      <w:r>
        <w:fldChar w:fldCharType="begin"/>
      </w:r>
      <w:r>
        <w:instrText xml:space="preserve"> HYPERLINK \l _Toc6499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_Toc6499 \h </w:instrText>
      </w:r>
      <w:r>
        <w:fldChar w:fldCharType="separate"/>
      </w:r>
      <w:r>
        <w:t>4</w:t>
      </w:r>
      <w:r>
        <w:fldChar w:fldCharType="end"/>
      </w:r>
      <w:r>
        <w:fldChar w:fldCharType="end"/>
      </w:r>
    </w:p>
    <w:p w14:paraId="5B0C3011">
      <w:pPr>
        <w:pStyle w:val="19"/>
        <w:tabs>
          <w:tab w:val="right" w:leader="dot" w:pos="9354"/>
        </w:tabs>
      </w:pPr>
      <w:r>
        <w:fldChar w:fldCharType="begin"/>
      </w:r>
      <w:r>
        <w:instrText xml:space="preserve"> HYPERLINK \l _Toc3064 </w:instrText>
      </w:r>
      <w:r>
        <w:fldChar w:fldCharType="separate"/>
      </w:r>
      <w:r>
        <w:rPr>
          <w:rFonts w:hint="eastAsia" w:ascii="黑体" w:eastAsia="黑体"/>
          <w:i w:val="0"/>
        </w:rPr>
        <w:t xml:space="preserve">4 </w:t>
      </w:r>
      <w:r>
        <w:rPr>
          <w:rFonts w:hint="eastAsia"/>
        </w:rPr>
        <w:t>母麻选择</w:t>
      </w:r>
      <w:r>
        <w:tab/>
      </w:r>
      <w:r>
        <w:fldChar w:fldCharType="begin"/>
      </w:r>
      <w:r>
        <w:instrText xml:space="preserve"> PAGEREF _Toc3064 \h </w:instrText>
      </w:r>
      <w:r>
        <w:fldChar w:fldCharType="separate"/>
      </w:r>
      <w:r>
        <w:t>5</w:t>
      </w:r>
      <w:r>
        <w:fldChar w:fldCharType="end"/>
      </w:r>
      <w:r>
        <w:fldChar w:fldCharType="end"/>
      </w:r>
    </w:p>
    <w:p w14:paraId="2066FDDB">
      <w:pPr>
        <w:pStyle w:val="19"/>
        <w:tabs>
          <w:tab w:val="right" w:leader="dot" w:pos="9354"/>
        </w:tabs>
      </w:pPr>
      <w:r>
        <w:fldChar w:fldCharType="begin"/>
      </w:r>
      <w:r>
        <w:instrText xml:space="preserve"> HYPERLINK \l _Toc13243 </w:instrText>
      </w:r>
      <w:r>
        <w:fldChar w:fldCharType="separate"/>
      </w:r>
      <w:r>
        <w:rPr>
          <w:rFonts w:hint="eastAsia" w:ascii="黑体" w:eastAsia="黑体"/>
          <w:i w:val="0"/>
        </w:rPr>
        <w:t xml:space="preserve">5 </w:t>
      </w:r>
      <w:r>
        <w:rPr>
          <w:rFonts w:hint="eastAsia"/>
          <w:lang w:val="en-US" w:eastAsia="zh-CN"/>
        </w:rPr>
        <w:t>场地</w:t>
      </w:r>
      <w:r>
        <w:rPr>
          <w:rFonts w:hint="eastAsia"/>
        </w:rPr>
        <w:t>选择</w:t>
      </w:r>
      <w:r>
        <w:tab/>
      </w:r>
      <w:r>
        <w:fldChar w:fldCharType="begin"/>
      </w:r>
      <w:r>
        <w:instrText xml:space="preserve"> PAGEREF _Toc13243 \h </w:instrText>
      </w:r>
      <w:r>
        <w:fldChar w:fldCharType="separate"/>
      </w:r>
      <w:r>
        <w:t>5</w:t>
      </w:r>
      <w:r>
        <w:fldChar w:fldCharType="end"/>
      </w:r>
      <w:r>
        <w:fldChar w:fldCharType="end"/>
      </w:r>
    </w:p>
    <w:p w14:paraId="3C668860">
      <w:pPr>
        <w:pStyle w:val="19"/>
        <w:tabs>
          <w:tab w:val="right" w:leader="dot" w:pos="9354"/>
        </w:tabs>
      </w:pPr>
      <w:r>
        <w:fldChar w:fldCharType="begin"/>
      </w:r>
      <w:r>
        <w:instrText xml:space="preserve"> HYPERLINK \l _Toc9239 </w:instrText>
      </w:r>
      <w:r>
        <w:fldChar w:fldCharType="separate"/>
      </w:r>
      <w:r>
        <w:rPr>
          <w:rFonts w:hint="eastAsia" w:ascii="黑体" w:eastAsia="黑体"/>
          <w:i w:val="0"/>
        </w:rPr>
        <w:t xml:space="preserve">6 </w:t>
      </w:r>
      <w:r>
        <w:rPr>
          <w:rFonts w:hint="eastAsia"/>
        </w:rPr>
        <w:t>技术要求</w:t>
      </w:r>
      <w:r>
        <w:tab/>
      </w:r>
      <w:r>
        <w:fldChar w:fldCharType="begin"/>
      </w:r>
      <w:r>
        <w:instrText xml:space="preserve"> PAGEREF _Toc9239 \h </w:instrText>
      </w:r>
      <w:r>
        <w:fldChar w:fldCharType="separate"/>
      </w:r>
      <w:r>
        <w:t>5</w:t>
      </w:r>
      <w:r>
        <w:fldChar w:fldCharType="end"/>
      </w:r>
      <w:r>
        <w:fldChar w:fldCharType="end"/>
      </w:r>
    </w:p>
    <w:p w14:paraId="783F5970">
      <w:pPr>
        <w:pStyle w:val="19"/>
        <w:tabs>
          <w:tab w:val="right" w:leader="dot" w:pos="9354"/>
        </w:tabs>
      </w:pPr>
      <w:r>
        <w:fldChar w:fldCharType="begin"/>
      </w:r>
      <w:r>
        <w:instrText xml:space="preserve"> HYPERLINK \l _Toc10631 </w:instrText>
      </w:r>
      <w:r>
        <w:fldChar w:fldCharType="separate"/>
      </w:r>
      <w:r>
        <w:rPr>
          <w:rFonts w:hint="eastAsia" w:ascii="黑体" w:eastAsia="黑体"/>
          <w:i w:val="0"/>
        </w:rPr>
        <w:t xml:space="preserve">7 </w:t>
      </w:r>
      <w:r>
        <w:rPr>
          <w:rFonts w:hint="eastAsia"/>
        </w:rPr>
        <w:t>包装、标志、运输与贮存</w:t>
      </w:r>
      <w:r>
        <w:tab/>
      </w:r>
      <w:r>
        <w:fldChar w:fldCharType="begin"/>
      </w:r>
      <w:r>
        <w:instrText xml:space="preserve"> PAGEREF _Toc10631 \h </w:instrText>
      </w:r>
      <w:r>
        <w:fldChar w:fldCharType="separate"/>
      </w:r>
      <w:r>
        <w:t>7</w:t>
      </w:r>
      <w:r>
        <w:fldChar w:fldCharType="end"/>
      </w:r>
      <w:r>
        <w:fldChar w:fldCharType="end"/>
      </w:r>
    </w:p>
    <w:p w14:paraId="205DFD8A">
      <w:pPr>
        <w:pStyle w:val="19"/>
        <w:tabs>
          <w:tab w:val="right" w:leader="dot" w:pos="9354"/>
        </w:tabs>
      </w:pPr>
      <w:r>
        <w:fldChar w:fldCharType="begin"/>
      </w:r>
      <w:r>
        <w:instrText xml:space="preserve"> HYPERLINK \l _Toc11617 </w:instrText>
      </w:r>
      <w:r>
        <w:fldChar w:fldCharType="separate"/>
      </w:r>
      <w:r>
        <w:rPr>
          <w:rFonts w:hint="eastAsia" w:ascii="黑体" w:eastAsia="黑体"/>
          <w:i w:val="0"/>
        </w:rPr>
        <w:t xml:space="preserve">8 </w:t>
      </w:r>
      <w:r>
        <w:rPr>
          <w:rFonts w:hint="eastAsia"/>
        </w:rPr>
        <w:t>记录与档案管理</w:t>
      </w:r>
      <w:r>
        <w:tab/>
      </w:r>
      <w:r>
        <w:fldChar w:fldCharType="begin"/>
      </w:r>
      <w:r>
        <w:instrText xml:space="preserve"> PAGEREF _Toc11617 \h </w:instrText>
      </w:r>
      <w:r>
        <w:fldChar w:fldCharType="separate"/>
      </w:r>
      <w:r>
        <w:t>7</w:t>
      </w:r>
      <w:r>
        <w:fldChar w:fldCharType="end"/>
      </w:r>
      <w:r>
        <w:fldChar w:fldCharType="end"/>
      </w:r>
    </w:p>
    <w:p w14:paraId="7EB84DD0">
      <w:pPr>
        <w:pStyle w:val="19"/>
        <w:tabs>
          <w:tab w:val="right" w:leader="dot" w:pos="9354"/>
        </w:tabs>
      </w:pPr>
      <w:r>
        <w:fldChar w:fldCharType="begin"/>
      </w:r>
      <w:r>
        <w:instrText xml:space="preserve"> HYPERLINK \l _Toc24133 </w:instrText>
      </w:r>
      <w:r>
        <w:fldChar w:fldCharType="separate"/>
      </w:r>
      <w:r>
        <w:rPr>
          <w:rFonts w:hint="eastAsia"/>
          <w:spacing w:val="100"/>
        </w:rPr>
        <w:t xml:space="preserve">附录A </w:t>
      </w:r>
      <w:r>
        <w:t xml:space="preserve"> </w:t>
      </w:r>
      <w:r>
        <w:rPr>
          <w:rFonts w:hint="eastAsia"/>
        </w:rPr>
        <w:t>（资料性）</w:t>
      </w:r>
      <w:r>
        <w:t xml:space="preserve"> </w:t>
      </w:r>
      <w:r>
        <w:rPr>
          <w:rFonts w:hint="eastAsia"/>
          <w:lang w:val="en-US" w:eastAsia="zh-CN"/>
        </w:rPr>
        <w:t>箭麻</w:t>
      </w:r>
      <w:r>
        <w:rPr>
          <w:rFonts w:hint="eastAsia"/>
        </w:rPr>
        <w:t>栽植</w:t>
      </w:r>
      <w:r>
        <w:rPr>
          <w:rFonts w:hint="eastAsia"/>
          <w:lang w:val="en-US" w:eastAsia="zh-CN"/>
        </w:rPr>
        <w:t>示意图</w:t>
      </w:r>
      <w:r>
        <w:tab/>
      </w:r>
      <w:r>
        <w:fldChar w:fldCharType="begin"/>
      </w:r>
      <w:r>
        <w:instrText xml:space="preserve"> PAGEREF _Toc24133 \h </w:instrText>
      </w:r>
      <w:r>
        <w:fldChar w:fldCharType="separate"/>
      </w:r>
      <w:r>
        <w:t>8</w:t>
      </w:r>
      <w:r>
        <w:fldChar w:fldCharType="end"/>
      </w:r>
      <w:r>
        <w:fldChar w:fldCharType="end"/>
      </w:r>
    </w:p>
    <w:p w14:paraId="2C151D0D">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2140809B">
      <w:pPr>
        <w:pStyle w:val="90"/>
        <w:spacing w:before="900" w:after="468"/>
      </w:pPr>
      <w:bookmarkStart w:id="22" w:name="_Toc3301"/>
      <w:bookmarkStart w:id="23" w:name="_Toc19023"/>
      <w:bookmarkStart w:id="24" w:name="BookMark2"/>
      <w:r>
        <w:rPr>
          <w:spacing w:val="320"/>
        </w:rPr>
        <w:t>前</w:t>
      </w:r>
      <w:r>
        <w:t>言</w:t>
      </w:r>
      <w:bookmarkEnd w:id="22"/>
      <w:bookmarkEnd w:id="23"/>
    </w:p>
    <w:p w14:paraId="28E1A2D7">
      <w:pPr>
        <w:pStyle w:val="57"/>
        <w:ind w:firstLine="420"/>
        <w:rPr>
          <w:rFonts w:hint="eastAsia"/>
        </w:rPr>
      </w:pPr>
      <w:r>
        <w:rPr>
          <w:rFonts w:hint="eastAsia"/>
        </w:rPr>
        <w:t>本文件按照GB/T 1.1—2020《标准化工作导则</w:t>
      </w:r>
      <w:r>
        <w:rPr>
          <w:rFonts w:hint="eastAsia"/>
          <w:lang w:val="en-US" w:eastAsia="zh-CN"/>
        </w:rPr>
        <w:t xml:space="preserve">  </w:t>
      </w:r>
      <w:r>
        <w:rPr>
          <w:rFonts w:hint="eastAsia"/>
        </w:rPr>
        <w:t>第1部分：标准化文件的结构和起草规则》的规定起草。</w:t>
      </w:r>
    </w:p>
    <w:p w14:paraId="7529E120">
      <w:pPr>
        <w:pStyle w:val="57"/>
        <w:bidi w:val="0"/>
        <w:rPr>
          <w:rFonts w:hint="eastAsia"/>
        </w:rPr>
      </w:pPr>
      <w:r>
        <w:rPr>
          <w:rFonts w:hint="eastAsia"/>
        </w:rPr>
        <w:t>请注意本文件的某些内容可能涉及专利。本文件的发布机构不承担识别专利的责任。</w:t>
      </w:r>
    </w:p>
    <w:p w14:paraId="00878313">
      <w:pPr>
        <w:pStyle w:val="57"/>
        <w:bidi w:val="0"/>
        <w:rPr>
          <w:rFonts w:hint="eastAsia"/>
        </w:rPr>
      </w:pPr>
      <w:r>
        <w:rPr>
          <w:rFonts w:hint="eastAsia"/>
        </w:rPr>
        <w:t>本文件由</w:t>
      </w:r>
      <w:r>
        <w:rPr>
          <w:rFonts w:hint="eastAsia"/>
          <w:color w:val="000000" w:themeColor="text1"/>
          <w14:textFill>
            <w14:solidFill>
              <w14:schemeClr w14:val="tx1"/>
            </w14:solidFill>
          </w14:textFill>
        </w:rPr>
        <w:t>西藏自治区农业农村标准化技术委员会提出并归口</w:t>
      </w:r>
      <w:r>
        <w:rPr>
          <w:rFonts w:hint="eastAsia"/>
        </w:rPr>
        <w:t>。</w:t>
      </w:r>
    </w:p>
    <w:p w14:paraId="50C1C51C">
      <w:pPr>
        <w:pStyle w:val="232"/>
        <w:bidi w:val="0"/>
      </w:pPr>
      <w:r>
        <w:rPr>
          <w:rFonts w:hint="eastAsia"/>
        </w:rPr>
        <w:t>本文件起草单位：</w:t>
      </w:r>
      <w:r>
        <w:rPr>
          <w:rFonts w:hint="eastAsia" w:hAnsi="宋体" w:cs="宋体"/>
          <w:szCs w:val="21"/>
        </w:rPr>
        <w:t>西藏自治区农畜产品质量安全检验检测中心、西藏波密高原藏天麻产业开发有限公司</w:t>
      </w:r>
      <w:r>
        <w:rPr>
          <w:rFonts w:hint="eastAsia" w:hAnsi="宋体" w:cs="宋体"/>
          <w:szCs w:val="21"/>
          <w:lang w:eastAsia="zh-CN"/>
        </w:rPr>
        <w:t>、</w:t>
      </w:r>
      <w:r>
        <w:rPr>
          <w:rFonts w:hint="eastAsia" w:hAnsi="宋体" w:cs="宋体"/>
          <w:szCs w:val="21"/>
          <w:lang w:val="en-US" w:eastAsia="zh-CN"/>
        </w:rPr>
        <w:t>西藏波密县农技推广服务站</w:t>
      </w:r>
      <w:r>
        <w:rPr>
          <w:rFonts w:hint="eastAsia" w:hAnsi="宋体" w:cs="宋体"/>
          <w:szCs w:val="21"/>
        </w:rPr>
        <w:t>。</w:t>
      </w:r>
    </w:p>
    <w:p w14:paraId="15C2076B">
      <w:pPr>
        <w:pStyle w:val="232"/>
        <w:bidi w:val="0"/>
        <w:rPr>
          <w:rFonts w:hint="eastAsia"/>
          <w:lang w:eastAsia="zh-CN"/>
        </w:rPr>
      </w:pPr>
      <w:r>
        <w:rPr>
          <w:rFonts w:hint="eastAsia"/>
        </w:rPr>
        <w:t>本文件主要起草人：</w:t>
      </w:r>
      <w:r>
        <w:rPr>
          <w:rFonts w:hint="eastAsia"/>
          <w:lang w:val="en-US" w:eastAsia="zh-CN"/>
        </w:rPr>
        <w:t>刘敦强、彭佳华、</w:t>
      </w:r>
      <w:r>
        <w:rPr>
          <w:rFonts w:hint="eastAsia"/>
        </w:rPr>
        <w:t>仇全雷、米玛次仁、</w:t>
      </w:r>
      <w:r>
        <w:rPr>
          <w:rFonts w:hint="eastAsia"/>
          <w:lang w:val="en-US" w:eastAsia="zh-CN"/>
        </w:rPr>
        <w:t>杨凤贤、</w:t>
      </w:r>
      <w:r>
        <w:rPr>
          <w:rFonts w:hint="eastAsia"/>
        </w:rPr>
        <w:t>董斌、</w:t>
      </w:r>
      <w:r>
        <w:rPr>
          <w:rFonts w:hint="eastAsia"/>
          <w:lang w:val="en-US" w:eastAsia="zh-CN"/>
        </w:rPr>
        <w:t>白正华、杨叙柳</w:t>
      </w:r>
      <w:r>
        <w:rPr>
          <w:rFonts w:hint="eastAsia"/>
        </w:rPr>
        <w:t>、巴桑杰布</w:t>
      </w:r>
      <w:r>
        <w:rPr>
          <w:rFonts w:hint="eastAsia"/>
          <w:lang w:eastAsia="zh-CN"/>
        </w:rPr>
        <w:t>。</w:t>
      </w:r>
    </w:p>
    <w:p w14:paraId="7FB1D25C">
      <w:pPr>
        <w:pStyle w:val="232"/>
        <w:bidi w:val="0"/>
        <w:rPr>
          <w:rFonts w:hint="eastAsia"/>
          <w:lang w:eastAsia="zh-CN"/>
        </w:rPr>
      </w:pPr>
    </w:p>
    <w:p w14:paraId="44E2358B">
      <w:pPr>
        <w:pStyle w:val="232"/>
        <w:bidi w:val="0"/>
        <w:rPr>
          <w:rFonts w:hint="eastAsia"/>
          <w:lang w:eastAsia="zh-CN"/>
        </w:rPr>
      </w:pPr>
    </w:p>
    <w:p w14:paraId="61B194F8">
      <w:pPr>
        <w:pStyle w:val="232"/>
        <w:bidi w:val="0"/>
        <w:rPr>
          <w:rFonts w:hint="eastAsia"/>
          <w:lang w:eastAsia="zh-CN"/>
        </w:rPr>
      </w:pPr>
    </w:p>
    <w:p w14:paraId="53C2852E">
      <w:pPr>
        <w:pStyle w:val="232"/>
        <w:bidi w:val="0"/>
        <w:rPr>
          <w:rFonts w:hint="eastAsia"/>
          <w:lang w:eastAsia="zh-CN"/>
        </w:rPr>
      </w:pPr>
    </w:p>
    <w:p w14:paraId="5D816FF9">
      <w:pPr>
        <w:pStyle w:val="232"/>
        <w:bidi w:val="0"/>
        <w:rPr>
          <w:rFonts w:hint="eastAsia"/>
          <w:lang w:eastAsia="zh-CN"/>
        </w:rPr>
      </w:pPr>
    </w:p>
    <w:p w14:paraId="5FA6C25D">
      <w:pPr>
        <w:pStyle w:val="232"/>
        <w:bidi w:val="0"/>
        <w:rPr>
          <w:rFonts w:hint="eastAsia"/>
          <w:lang w:eastAsia="zh-CN"/>
        </w:rPr>
      </w:pPr>
    </w:p>
    <w:p w14:paraId="14A005F8">
      <w:pPr>
        <w:pStyle w:val="232"/>
        <w:bidi w:val="0"/>
        <w:rPr>
          <w:rFonts w:hint="eastAsia"/>
          <w:lang w:eastAsia="zh-CN"/>
        </w:rPr>
      </w:pPr>
    </w:p>
    <w:p w14:paraId="031B2E3A">
      <w:pPr>
        <w:pStyle w:val="232"/>
        <w:bidi w:val="0"/>
        <w:rPr>
          <w:rFonts w:hint="eastAsia"/>
          <w:lang w:eastAsia="zh-CN"/>
        </w:rPr>
      </w:pPr>
    </w:p>
    <w:p w14:paraId="4349CB0E">
      <w:pPr>
        <w:pStyle w:val="232"/>
        <w:bidi w:val="0"/>
        <w:rPr>
          <w:rFonts w:hint="eastAsia"/>
          <w:lang w:eastAsia="zh-CN"/>
        </w:rPr>
      </w:pPr>
    </w:p>
    <w:p w14:paraId="405C6EBF">
      <w:pPr>
        <w:pStyle w:val="232"/>
        <w:bidi w:val="0"/>
        <w:rPr>
          <w:rFonts w:hint="eastAsia"/>
          <w:lang w:eastAsia="zh-CN"/>
        </w:rPr>
      </w:pPr>
    </w:p>
    <w:p w14:paraId="36ADFEE1">
      <w:pPr>
        <w:pStyle w:val="232"/>
        <w:bidi w:val="0"/>
        <w:rPr>
          <w:rFonts w:hint="eastAsia"/>
          <w:lang w:eastAsia="zh-CN"/>
        </w:rPr>
      </w:pPr>
    </w:p>
    <w:p w14:paraId="5B04DE10">
      <w:pPr>
        <w:pStyle w:val="232"/>
        <w:bidi w:val="0"/>
        <w:rPr>
          <w:rFonts w:hint="eastAsia"/>
          <w:lang w:eastAsia="zh-CN"/>
        </w:rPr>
      </w:pPr>
    </w:p>
    <w:p w14:paraId="634D4ABC">
      <w:pPr>
        <w:pStyle w:val="232"/>
        <w:bidi w:val="0"/>
        <w:rPr>
          <w:rFonts w:hint="eastAsia"/>
          <w:lang w:eastAsia="zh-CN"/>
        </w:rPr>
      </w:pPr>
    </w:p>
    <w:p w14:paraId="2ACA42E8">
      <w:pPr>
        <w:pStyle w:val="232"/>
        <w:bidi w:val="0"/>
        <w:rPr>
          <w:rFonts w:hint="eastAsia"/>
          <w:lang w:eastAsia="zh-CN"/>
        </w:rPr>
      </w:pPr>
    </w:p>
    <w:p w14:paraId="384700D6">
      <w:pPr>
        <w:pStyle w:val="232"/>
        <w:bidi w:val="0"/>
        <w:rPr>
          <w:rFonts w:hint="eastAsia"/>
          <w:lang w:eastAsia="zh-CN"/>
        </w:rPr>
      </w:pPr>
    </w:p>
    <w:p w14:paraId="6988B59C">
      <w:pPr>
        <w:pStyle w:val="232"/>
        <w:bidi w:val="0"/>
        <w:rPr>
          <w:rFonts w:hint="eastAsia"/>
          <w:lang w:eastAsia="zh-CN"/>
        </w:rPr>
      </w:pPr>
    </w:p>
    <w:p w14:paraId="0FA877CE">
      <w:pPr>
        <w:pStyle w:val="232"/>
        <w:bidi w:val="0"/>
        <w:rPr>
          <w:rFonts w:hint="eastAsia"/>
          <w:lang w:eastAsia="zh-CN"/>
        </w:rPr>
      </w:pPr>
    </w:p>
    <w:p w14:paraId="6A3064F7">
      <w:pPr>
        <w:pStyle w:val="232"/>
        <w:bidi w:val="0"/>
        <w:rPr>
          <w:rFonts w:hint="eastAsia"/>
          <w:lang w:eastAsia="zh-CN"/>
        </w:rPr>
      </w:pPr>
    </w:p>
    <w:p w14:paraId="7A1A3DAA">
      <w:pPr>
        <w:pStyle w:val="232"/>
        <w:bidi w:val="0"/>
        <w:rPr>
          <w:rFonts w:hint="eastAsia"/>
          <w:lang w:eastAsia="zh-CN"/>
        </w:rPr>
      </w:pPr>
    </w:p>
    <w:p w14:paraId="71DA5F4C">
      <w:pPr>
        <w:pStyle w:val="232"/>
        <w:bidi w:val="0"/>
        <w:rPr>
          <w:rFonts w:hint="eastAsia"/>
          <w:lang w:eastAsia="zh-CN"/>
        </w:rPr>
      </w:pPr>
    </w:p>
    <w:p w14:paraId="4A3C379D">
      <w:pPr>
        <w:pStyle w:val="232"/>
        <w:bidi w:val="0"/>
        <w:rPr>
          <w:rFonts w:hint="eastAsia"/>
          <w:lang w:eastAsia="zh-CN"/>
        </w:rPr>
      </w:pPr>
    </w:p>
    <w:p w14:paraId="0416C551">
      <w:pPr>
        <w:pStyle w:val="232"/>
        <w:bidi w:val="0"/>
        <w:rPr>
          <w:rFonts w:hint="eastAsia"/>
          <w:lang w:eastAsia="zh-CN"/>
        </w:rPr>
      </w:pPr>
    </w:p>
    <w:p w14:paraId="3503BAEF">
      <w:pPr>
        <w:pStyle w:val="232"/>
        <w:bidi w:val="0"/>
        <w:rPr>
          <w:rFonts w:hint="eastAsia"/>
          <w:lang w:eastAsia="zh-CN"/>
        </w:rPr>
      </w:pPr>
    </w:p>
    <w:p w14:paraId="24C2E88A">
      <w:pPr>
        <w:pStyle w:val="232"/>
        <w:bidi w:val="0"/>
        <w:rPr>
          <w:rFonts w:hint="eastAsia"/>
          <w:lang w:eastAsia="zh-CN"/>
        </w:rPr>
      </w:pPr>
    </w:p>
    <w:p w14:paraId="56D072AB">
      <w:pPr>
        <w:pStyle w:val="232"/>
        <w:bidi w:val="0"/>
        <w:rPr>
          <w:rFonts w:hint="eastAsia"/>
          <w:lang w:eastAsia="zh-CN"/>
        </w:rPr>
      </w:pPr>
    </w:p>
    <w:p w14:paraId="7B5DE677">
      <w:pPr>
        <w:pStyle w:val="232"/>
        <w:bidi w:val="0"/>
        <w:rPr>
          <w:rFonts w:hint="eastAsia"/>
          <w:lang w:eastAsia="zh-CN"/>
        </w:rPr>
      </w:pPr>
    </w:p>
    <w:p w14:paraId="3C07B98C">
      <w:pPr>
        <w:pStyle w:val="232"/>
        <w:bidi w:val="0"/>
        <w:rPr>
          <w:rFonts w:hint="eastAsia"/>
          <w:lang w:eastAsia="zh-CN"/>
        </w:rPr>
      </w:pPr>
    </w:p>
    <w:p w14:paraId="46DA1C25">
      <w:pPr>
        <w:pStyle w:val="232"/>
        <w:bidi w:val="0"/>
        <w:rPr>
          <w:rFonts w:hint="eastAsia"/>
          <w:lang w:eastAsia="zh-CN"/>
        </w:rPr>
      </w:pPr>
    </w:p>
    <w:p w14:paraId="292803CC">
      <w:pPr>
        <w:pStyle w:val="232"/>
        <w:bidi w:val="0"/>
        <w:rPr>
          <w:rFonts w:hint="eastAsia"/>
          <w:lang w:eastAsia="zh-CN"/>
        </w:rPr>
      </w:pPr>
    </w:p>
    <w:p w14:paraId="66997AA8">
      <w:pPr>
        <w:pStyle w:val="232"/>
        <w:bidi w:val="0"/>
        <w:rPr>
          <w:rFonts w:hint="eastAsia"/>
          <w:lang w:eastAsia="zh-CN"/>
        </w:rPr>
      </w:pPr>
    </w:p>
    <w:p w14:paraId="34285B3A">
      <w:pPr>
        <w:pStyle w:val="90"/>
        <w:spacing w:before="900" w:after="468"/>
        <w:rPr>
          <w:color w:val="000000" w:themeColor="text1"/>
          <w14:textFill>
            <w14:solidFill>
              <w14:schemeClr w14:val="tx1"/>
            </w14:solidFill>
          </w14:textFill>
        </w:rPr>
      </w:pPr>
      <w:bookmarkStart w:id="25" w:name="_Toc32338"/>
      <w:r>
        <w:rPr>
          <w:rFonts w:hint="eastAsia"/>
          <w:color w:val="000000" w:themeColor="text1"/>
          <w:spacing w:val="320"/>
          <w:lang w:val="en-US" w:eastAsia="zh-CN"/>
          <w14:textFill>
            <w14:solidFill>
              <w14:schemeClr w14:val="tx1"/>
            </w14:solidFill>
          </w14:textFill>
        </w:rPr>
        <w:t>引</w:t>
      </w:r>
      <w:r>
        <w:rPr>
          <w:color w:val="000000" w:themeColor="text1"/>
          <w14:textFill>
            <w14:solidFill>
              <w14:schemeClr w14:val="tx1"/>
            </w14:solidFill>
          </w14:textFill>
        </w:rPr>
        <w:t>言</w:t>
      </w:r>
      <w:bookmarkEnd w:id="25"/>
    </w:p>
    <w:p w14:paraId="3CF2BCFF">
      <w:pPr>
        <w:pStyle w:val="57"/>
        <w:bidi w:val="0"/>
        <w:rPr>
          <w:rFonts w:hint="eastAsia"/>
        </w:rPr>
      </w:pPr>
      <w:r>
        <w:rPr>
          <w:rFonts w:hint="default"/>
        </w:rPr>
        <w:t>天麻，作为一种珍贵的中药材，在我国具有悠久的历史和广泛的应用。西藏波密县及其周边生态区域，凭借其独特的气候和土壤条件，成为了天麻的重要产地之一。然而，随着市场需求的持续增长和自然资源的有限性，如何提高天麻种苗的繁殖效率和质量，已成为制约天麻产业持续发展的关键因素。为此，制定一套科学、规范的天麻种苗繁殖技术规程显得尤为重要。</w:t>
      </w:r>
    </w:p>
    <w:p w14:paraId="426A39D5">
      <w:pPr>
        <w:pStyle w:val="57"/>
        <w:bidi w:val="0"/>
        <w:rPr>
          <w:rFonts w:hint="default"/>
        </w:rPr>
      </w:pPr>
      <w:r>
        <w:rPr>
          <w:rFonts w:hint="default"/>
        </w:rPr>
        <w:t>本规程的制定，旨在规范天麻种苗繁殖的技术流程，确保</w:t>
      </w:r>
      <w:bookmarkStart w:id="59" w:name="_GoBack"/>
      <w:bookmarkEnd w:id="59"/>
      <w:r>
        <w:rPr>
          <w:rFonts w:hint="default"/>
        </w:rPr>
        <w:t>天麻种苗的质量和产量，从而推动天麻产业的可持续发展。通过明确母麻选择、场地选择、箭麻培植、人工授粉、种子采收、种苗培育、病虫害防治、种苗采收及苗床清理等关键环节的操作规范，本规程为天麻种苗繁殖提供了统一的技术指导。这不仅有助于提高天麻种苗的繁殖效率和质量，降低生产成本，还将推动天麻产业向标准化和规模化方向发展。</w:t>
      </w:r>
    </w:p>
    <w:p w14:paraId="03AD60D0">
      <w:pPr>
        <w:pStyle w:val="57"/>
        <w:bidi w:val="0"/>
        <w:rPr>
          <w:rFonts w:hint="default"/>
        </w:rPr>
      </w:pPr>
      <w:r>
        <w:rPr>
          <w:rFonts w:hint="default"/>
        </w:rPr>
        <w:t>本规程适用于西藏波密及类似生态区域的天麻种苗繁殖生产。这些区域的气候、土壤等自然条件与西藏波密县相似，因此本规程的技术要求和操作规范也适用于这些区域的天麻种苗繁殖。</w:t>
      </w:r>
    </w:p>
    <w:p w14:paraId="1750557A">
      <w:pPr>
        <w:pStyle w:val="57"/>
        <w:bidi w:val="0"/>
        <w:rPr>
          <w:rFonts w:hint="default"/>
        </w:rPr>
      </w:pPr>
      <w:r>
        <w:rPr>
          <w:rFonts w:hint="default"/>
        </w:rPr>
        <w:t>本规程详细规定了天麻种苗繁殖的各个环节，包括母麻的选择标准、箭麻培植场地的要求、箭麻的采挖和培植方法、人工授粉的时机和技巧、种子采收的适宜时期和方法、种苗培育的土壤和菌材选择、病虫害防治的措施以及种苗采收和苗床清理的注意事项等。这些技术内容为天麻种苗繁殖提供了全面、具体的技术指导，有助于确保天麻种苗的繁殖质量和产量，为天麻产业的健康发展提供有力保障。</w:t>
      </w:r>
    </w:p>
    <w:p w14:paraId="141CC86F">
      <w:pPr>
        <w:pStyle w:val="57"/>
        <w:bidi w:val="0"/>
        <w:rPr>
          <w:rFonts w:hint="eastAsia"/>
          <w:lang w:eastAsia="zh-CN"/>
        </w:rPr>
      </w:pPr>
    </w:p>
    <w:p w14:paraId="16E77227">
      <w:pPr>
        <w:pStyle w:val="232"/>
        <w:bidi w:val="0"/>
        <w:rPr>
          <w:rFonts w:hint="eastAsia"/>
          <w:lang w:eastAsia="zh-CN"/>
        </w:rPr>
      </w:pPr>
    </w:p>
    <w:p w14:paraId="392694D3">
      <w:pPr>
        <w:pStyle w:val="232"/>
        <w:bidi w:val="0"/>
        <w:rPr>
          <w:rFonts w:hint="eastAsia"/>
          <w:lang w:eastAsia="zh-CN"/>
        </w:rPr>
      </w:pPr>
    </w:p>
    <w:p w14:paraId="5A69F2A5">
      <w:pPr>
        <w:pStyle w:val="232"/>
        <w:bidi w:val="0"/>
        <w:rPr>
          <w:rFonts w:hint="eastAsia"/>
          <w:lang w:eastAsia="zh-CN"/>
        </w:rPr>
      </w:pPr>
    </w:p>
    <w:p w14:paraId="57B9355D">
      <w:pPr>
        <w:pStyle w:val="57"/>
        <w:ind w:firstLine="420"/>
        <w:rPr>
          <w:rFonts w:hint="eastAsia"/>
        </w:rPr>
      </w:pPr>
    </w:p>
    <w:p w14:paraId="5A0B8DBF">
      <w:pPr>
        <w:pStyle w:val="57"/>
        <w:ind w:firstLine="420"/>
        <w:rPr>
          <w:rFonts w:hint="eastAsia"/>
        </w:rPr>
        <w:sectPr>
          <w:pgSz w:w="11906" w:h="16838"/>
          <w:pgMar w:top="1928" w:right="1134" w:bottom="1134" w:left="1134" w:header="1418" w:footer="1134" w:gutter="284"/>
          <w:pgNumType w:fmt="upperRoman"/>
          <w:cols w:space="425" w:num="1"/>
          <w:formProt w:val="0"/>
          <w:docGrid w:type="lines" w:linePitch="312" w:charSpace="0"/>
        </w:sectPr>
      </w:pPr>
    </w:p>
    <w:bookmarkEnd w:id="24"/>
    <w:p w14:paraId="65F3936E">
      <w:pPr>
        <w:spacing w:line="20" w:lineRule="exact"/>
        <w:jc w:val="center"/>
        <w:rPr>
          <w:rFonts w:ascii="黑体" w:hAnsi="黑体" w:eastAsia="黑体"/>
          <w:sz w:val="32"/>
          <w:szCs w:val="32"/>
        </w:rPr>
      </w:pPr>
      <w:bookmarkStart w:id="26" w:name="BookMark4"/>
    </w:p>
    <w:p w14:paraId="652B4F13">
      <w:pPr>
        <w:spacing w:line="20" w:lineRule="exact"/>
        <w:jc w:val="center"/>
        <w:rPr>
          <w:rFonts w:ascii="黑体" w:hAnsi="黑体" w:eastAsia="黑体"/>
          <w:sz w:val="32"/>
          <w:szCs w:val="32"/>
        </w:rPr>
      </w:pPr>
    </w:p>
    <w:sdt>
      <w:sdtPr>
        <w:tag w:val="NEW_STAND_NAME"/>
        <w:id w:val="595910757"/>
        <w:lock w:val="sdtLocked"/>
        <w:placeholder>
          <w:docPart w:val="275DD88E54E64AF38F7446A4B35E30CE"/>
        </w:placeholder>
      </w:sdtPr>
      <w:sdtContent>
        <w:p w14:paraId="25BF4021">
          <w:pPr>
            <w:pStyle w:val="178"/>
            <w:spacing w:before="312" w:beforeLines="100" w:after="686" w:afterLines="220"/>
          </w:pPr>
          <w:bookmarkStart w:id="27" w:name="NEW_STAND_NAME"/>
          <w:r>
            <w:rPr>
              <w:rFonts w:hint="eastAsia"/>
            </w:rPr>
            <w:t>天麻种苗繁殖技术规程</w:t>
          </w:r>
        </w:p>
      </w:sdtContent>
    </w:sdt>
    <w:bookmarkEnd w:id="27"/>
    <w:p w14:paraId="2886E970">
      <w:pPr>
        <w:pStyle w:val="105"/>
        <w:spacing w:before="312" w:after="312"/>
      </w:pPr>
      <w:bookmarkStart w:id="28" w:name="_Toc26648465"/>
      <w:bookmarkStart w:id="29" w:name="_Toc97191423"/>
      <w:bookmarkStart w:id="30" w:name="_Toc26986530"/>
      <w:bookmarkStart w:id="31" w:name="_Toc17233325"/>
      <w:bookmarkStart w:id="32" w:name="_Toc24884218"/>
      <w:bookmarkStart w:id="33" w:name="_Toc1483"/>
      <w:bookmarkStart w:id="34" w:name="_Toc26718930"/>
      <w:bookmarkStart w:id="35" w:name="_Toc24884211"/>
      <w:bookmarkStart w:id="36" w:name="_Toc17233333"/>
      <w:bookmarkStart w:id="37" w:name="_Toc26986771"/>
      <w:r>
        <w:rPr>
          <w:rFonts w:hint="eastAsia"/>
        </w:rPr>
        <w:t>范围</w:t>
      </w:r>
      <w:bookmarkEnd w:id="28"/>
      <w:bookmarkEnd w:id="29"/>
      <w:bookmarkEnd w:id="30"/>
      <w:bookmarkEnd w:id="31"/>
      <w:bookmarkEnd w:id="32"/>
      <w:bookmarkEnd w:id="33"/>
      <w:bookmarkEnd w:id="34"/>
      <w:bookmarkEnd w:id="35"/>
      <w:bookmarkEnd w:id="36"/>
      <w:bookmarkEnd w:id="37"/>
    </w:p>
    <w:p w14:paraId="40B9BC93">
      <w:pPr>
        <w:pStyle w:val="57"/>
        <w:bidi w:val="0"/>
        <w:rPr>
          <w:rFonts w:hint="eastAsia"/>
          <w:color w:val="000000" w:themeColor="text1"/>
          <w:lang w:val="en-US" w:eastAsia="zh-CN"/>
          <w14:textFill>
            <w14:solidFill>
              <w14:schemeClr w14:val="tx1"/>
            </w14:solidFill>
          </w14:textFill>
        </w:rPr>
      </w:pPr>
      <w:bookmarkStart w:id="38" w:name="_Toc24884219"/>
      <w:bookmarkStart w:id="39" w:name="_Toc17233334"/>
      <w:bookmarkStart w:id="40" w:name="_Toc26648466"/>
      <w:bookmarkStart w:id="41" w:name="_Toc24884212"/>
      <w:bookmarkStart w:id="42" w:name="_Toc17233326"/>
      <w:r>
        <w:rPr>
          <w:rFonts w:hint="eastAsia"/>
          <w:color w:val="000000" w:themeColor="text1"/>
          <w:lang w:val="en-US" w:eastAsia="zh-CN"/>
          <w14:textFill>
            <w14:solidFill>
              <w14:schemeClr w14:val="tx1"/>
            </w14:solidFill>
          </w14:textFill>
        </w:rPr>
        <w:t>本文件规定了天麻种苗繁殖的技术要求，包括母麻选择、场地选择、箭麻培植、人工授粉、种子采收、种苗培育、病虫害防治、种苗采收及苗床清理等环节的操作规范。</w:t>
      </w:r>
    </w:p>
    <w:p w14:paraId="75E6A7FD">
      <w:pPr>
        <w:pStyle w:val="57"/>
        <w:bidi w:val="0"/>
        <w:rPr>
          <w:rFonts w:hint="eastAsia" w:ascii="Times New Roman" w:hAnsi="Times New Roman" w:eastAsia="宋体" w:cs="Times New Roman"/>
          <w:color w:val="000000" w:themeColor="text1"/>
          <w:kern w:val="0"/>
          <w:sz w:val="21"/>
          <w:szCs w:val="20"/>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本文件适用于西藏波密及类似生态区域的天麻种苗繁殖生产。</w:t>
      </w:r>
    </w:p>
    <w:p w14:paraId="7E19C2F2">
      <w:pPr>
        <w:pStyle w:val="105"/>
        <w:spacing w:before="312" w:after="312"/>
      </w:pPr>
      <w:bookmarkStart w:id="43" w:name="_Toc97191424"/>
      <w:bookmarkStart w:id="44" w:name="_Toc848"/>
      <w:bookmarkStart w:id="45" w:name="_Toc26718931"/>
      <w:bookmarkStart w:id="46" w:name="_Toc26986772"/>
      <w:bookmarkStart w:id="47" w:name="_Toc269865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9125D7956BD947EB9A3F988E5766712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663BDA1">
          <w:pPr>
            <w:pStyle w:val="57"/>
            <w:bidi w:val="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CCBD2AC">
      <w:pPr>
        <w:ind w:firstLine="420" w:firstLineChars="200"/>
        <w:rPr>
          <w:rFonts w:hint="eastAsia"/>
        </w:rPr>
      </w:pPr>
      <w:r>
        <w:rPr>
          <w:rFonts w:hint="eastAsia"/>
        </w:rPr>
        <w:t>GB/T 1.1-2020 标准化工作导则 第1部分：标准化文件的结构和起草规则</w:t>
      </w:r>
    </w:p>
    <w:p w14:paraId="5EA9860A">
      <w:pPr>
        <w:ind w:firstLine="420" w:firstLineChars="200"/>
        <w:rPr>
          <w:rFonts w:hint="eastAsia"/>
        </w:rPr>
      </w:pPr>
      <w:r>
        <w:rPr>
          <w:rFonts w:hint="eastAsia"/>
        </w:rPr>
        <w:t>DB54/T 0051.1-2011 西藏天麻半野生生产技术规程 第1部分 麻种生产</w:t>
      </w:r>
    </w:p>
    <w:p w14:paraId="1B5461A5">
      <w:pPr>
        <w:pStyle w:val="105"/>
        <w:spacing w:before="312" w:after="312"/>
      </w:pPr>
      <w:bookmarkStart w:id="48" w:name="_Toc6499"/>
      <w:bookmarkStart w:id="49" w:name="_Toc97191425"/>
      <w:r>
        <w:rPr>
          <w:rFonts w:hint="eastAsia"/>
          <w:szCs w:val="21"/>
        </w:rPr>
        <w:t>术语和定义</w:t>
      </w:r>
      <w:bookmarkEnd w:id="48"/>
      <w:bookmarkEnd w:id="49"/>
    </w:p>
    <w:sdt>
      <w:sdtPr>
        <w:id w:val="-1909835108"/>
        <w:placeholder>
          <w:docPart w:val="B04D20D2FF8A40ED9C8B65EF6538AD3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FAE7766">
          <w:pPr>
            <w:pStyle w:val="57"/>
            <w:bidi w:val="0"/>
          </w:pPr>
          <w:bookmarkStart w:id="50" w:name="_Toc26986532"/>
          <w:bookmarkEnd w:id="50"/>
          <w:r>
            <w:t>下列术语和定义适用于本文件。</w:t>
          </w:r>
        </w:p>
      </w:sdtContent>
    </w:sdt>
    <w:p w14:paraId="4AEFE680">
      <w:pPr>
        <w:pStyle w:val="106"/>
        <w:spacing w:before="156" w:after="156"/>
      </w:pPr>
    </w:p>
    <w:p w14:paraId="381815B9">
      <w:pPr>
        <w:pStyle w:val="106"/>
        <w:numPr>
          <w:ilvl w:val="0"/>
          <w:numId w:val="0"/>
        </w:numPr>
        <w:spacing w:before="156" w:after="156"/>
        <w:ind w:firstLine="420" w:firstLineChars="200"/>
      </w:pPr>
      <w:r>
        <w:rPr>
          <w:rFonts w:hint="eastAsia"/>
        </w:rPr>
        <w:t>箭麻</w:t>
      </w:r>
    </w:p>
    <w:p w14:paraId="6F9A9F47">
      <w:pPr>
        <w:pStyle w:val="57"/>
        <w:bidi w:val="0"/>
        <w:rPr>
          <w:rFonts w:hint="eastAsia"/>
          <w:lang w:val="en-US" w:eastAsia="zh-CN"/>
        </w:rPr>
      </w:pPr>
      <w:r>
        <w:rPr>
          <w:rFonts w:hint="eastAsia"/>
          <w:color w:val="000000" w:themeColor="text1"/>
          <w14:textFill>
            <w14:solidFill>
              <w14:schemeClr w14:val="tx1"/>
            </w14:solidFill>
          </w14:textFill>
        </w:rPr>
        <w:t>由</w:t>
      </w:r>
      <w:r>
        <w:rPr>
          <w:rFonts w:hint="eastAsia"/>
          <w:color w:val="000000" w:themeColor="text1"/>
          <w:lang w:val="en-US" w:eastAsia="zh-CN"/>
          <w14:textFill>
            <w14:solidFill>
              <w14:schemeClr w14:val="tx1"/>
            </w14:solidFill>
          </w14:textFill>
        </w:rPr>
        <w:t>种苗</w:t>
      </w:r>
      <w:r>
        <w:rPr>
          <w:rFonts w:hint="eastAsia"/>
          <w:color w:val="000000" w:themeColor="text1"/>
          <w14:textFill>
            <w14:solidFill>
              <w14:schemeClr w14:val="tx1"/>
            </w14:solidFill>
          </w14:textFill>
        </w:rPr>
        <w:t>生长发育而成的新鲜天麻块茎，长度5</w:t>
      </w:r>
      <w:r>
        <w:rPr>
          <w:rFonts w:hint="eastAsia"/>
          <w:color w:val="000000" w:themeColor="text1"/>
          <w:lang w:val="en-US" w:eastAsia="zh-CN"/>
          <w14:textFill>
            <w14:solidFill>
              <w14:schemeClr w14:val="tx1"/>
            </w14:solidFill>
          </w14:textFill>
        </w:rPr>
        <w:t xml:space="preserve"> cm</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15 cm</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鲜品个体重50</w:t>
      </w:r>
      <w:r>
        <w:rPr>
          <w:rFonts w:hint="eastAsia"/>
          <w:color w:val="000000" w:themeColor="text1"/>
          <w:lang w:val="en-US" w:eastAsia="zh-CN"/>
          <w14:textFill>
            <w14:solidFill>
              <w14:schemeClr w14:val="tx1"/>
            </w14:solidFill>
          </w14:textFill>
        </w:rPr>
        <w:t xml:space="preserve"> g</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400 g</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最大体重可达700 g</w:t>
      </w:r>
      <w:r>
        <w:rPr>
          <w:rFonts w:hint="eastAsia"/>
          <w:lang w:val="en-US" w:eastAsia="zh-CN"/>
        </w:rPr>
        <w:t>。</w:t>
      </w:r>
    </w:p>
    <w:p w14:paraId="1B03F942">
      <w:pPr>
        <w:pStyle w:val="106"/>
        <w:spacing w:before="156" w:after="156"/>
      </w:pPr>
    </w:p>
    <w:p w14:paraId="46E3B9BA">
      <w:pPr>
        <w:pStyle w:val="106"/>
        <w:numPr>
          <w:ilvl w:val="0"/>
          <w:numId w:val="0"/>
        </w:numPr>
        <w:spacing w:before="156" w:after="156"/>
        <w:ind w:firstLine="420" w:firstLineChars="200"/>
      </w:pPr>
      <w:r>
        <w:rPr>
          <w:rFonts w:hint="eastAsia"/>
        </w:rPr>
        <w:t>种子</w:t>
      </w:r>
    </w:p>
    <w:p w14:paraId="73F22586">
      <w:pPr>
        <w:pStyle w:val="57"/>
        <w:bidi w:val="0"/>
        <w:rPr>
          <w:rFonts w:hint="eastAsia"/>
          <w:lang w:val="en-US" w:eastAsia="zh-CN"/>
        </w:rPr>
      </w:pPr>
      <w:r>
        <w:rPr>
          <w:rFonts w:hint="eastAsia"/>
        </w:rPr>
        <w:t>由天麻开花、授粉后，结成蒴果，内含大量细小如粉尘状的种子。种子由胚、种皮两部分组成，平均长度为670 μm</w:t>
      </w:r>
      <w:r>
        <w:rPr>
          <w:rFonts w:hint="eastAsia"/>
          <w:lang w:val="en-US" w:eastAsia="zh-CN"/>
        </w:rPr>
        <w:t>。</w:t>
      </w:r>
    </w:p>
    <w:p w14:paraId="189DA3CA">
      <w:pPr>
        <w:pStyle w:val="106"/>
        <w:spacing w:before="156" w:after="156"/>
      </w:pPr>
    </w:p>
    <w:p w14:paraId="17BA09E9">
      <w:pPr>
        <w:pStyle w:val="106"/>
        <w:numPr>
          <w:ilvl w:val="0"/>
          <w:numId w:val="0"/>
        </w:numPr>
        <w:spacing w:before="156" w:after="156"/>
        <w:ind w:firstLine="420" w:firstLineChars="200"/>
      </w:pPr>
      <w:r>
        <w:rPr>
          <w:rFonts w:hint="eastAsia"/>
        </w:rPr>
        <w:t>萌发菌</w:t>
      </w:r>
    </w:p>
    <w:p w14:paraId="47413E37">
      <w:pPr>
        <w:pStyle w:val="57"/>
        <w:bidi w:val="0"/>
        <w:rPr>
          <w:rFonts w:hint="default"/>
          <w:lang w:val="en-US" w:eastAsia="zh-CN"/>
        </w:rPr>
      </w:pPr>
      <w:r>
        <w:rPr>
          <w:rFonts w:hint="eastAsia"/>
          <w:color w:val="000000" w:themeColor="text1"/>
          <w14:textFill>
            <w14:solidFill>
              <w14:schemeClr w14:val="tx1"/>
            </w14:solidFill>
          </w14:textFill>
        </w:rPr>
        <w:t>促进天麻种子萌发的一类真菌，主要是小菇属真菌（</w:t>
      </w:r>
      <w:r>
        <w:rPr>
          <w:i/>
          <w:iCs/>
          <w:color w:val="000000" w:themeColor="text1"/>
          <w14:textFill>
            <w14:solidFill>
              <w14:schemeClr w14:val="tx1"/>
            </w14:solidFill>
          </w14:textFill>
        </w:rPr>
        <w:t>Mycena</w:t>
      </w:r>
      <w:r>
        <w:rPr>
          <w:rFonts w:hint="eastAsia"/>
          <w:i/>
          <w:iCs/>
          <w:color w:val="000000" w:themeColor="text1"/>
          <w14:textFill>
            <w14:solidFill>
              <w14:schemeClr w14:val="tx1"/>
            </w14:solidFill>
          </w14:textFill>
        </w:rPr>
        <w:t xml:space="preserve"> spp.</w:t>
      </w:r>
      <w:r>
        <w:rPr>
          <w:rFonts w:hint="eastAsia"/>
          <w:color w:val="000000" w:themeColor="text1"/>
          <w14:textFill>
            <w14:solidFill>
              <w14:schemeClr w14:val="tx1"/>
            </w14:solidFill>
          </w14:textFill>
        </w:rPr>
        <w:t>），如石斛小菇（</w:t>
      </w:r>
      <w:r>
        <w:rPr>
          <w:rFonts w:hint="eastAsia"/>
          <w:i/>
          <w:iCs/>
          <w:color w:val="000000" w:themeColor="text1"/>
          <w14:textFill>
            <w14:solidFill>
              <w14:schemeClr w14:val="tx1"/>
            </w14:solidFill>
          </w14:textFill>
        </w:rPr>
        <w:t>Mycena dendribii</w:t>
      </w:r>
      <w:r>
        <w:rPr>
          <w:rFonts w:hint="eastAsia"/>
          <w:color w:val="000000" w:themeColor="text1"/>
          <w14:textFill>
            <w14:solidFill>
              <w14:schemeClr w14:val="tx1"/>
            </w14:solidFill>
          </w14:textFill>
        </w:rPr>
        <w:t>）、紫萁小菇（</w:t>
      </w:r>
      <w:r>
        <w:rPr>
          <w:rFonts w:hint="eastAsia"/>
          <w:i/>
          <w:iCs/>
          <w:color w:val="000000" w:themeColor="text1"/>
          <w14:textFill>
            <w14:solidFill>
              <w14:schemeClr w14:val="tx1"/>
            </w14:solidFill>
          </w14:textFill>
        </w:rPr>
        <w:t>Mycena osmundicola</w:t>
      </w:r>
      <w:r>
        <w:rPr>
          <w:rFonts w:hint="eastAsia"/>
          <w:color w:val="000000" w:themeColor="text1"/>
          <w14:textFill>
            <w14:solidFill>
              <w14:schemeClr w14:val="tx1"/>
            </w14:solidFill>
          </w14:textFill>
        </w:rPr>
        <w:t>）等，栽培所用菌料，一般由阔叶树的叶片培育而成</w:t>
      </w:r>
      <w:r>
        <w:rPr>
          <w:rFonts w:hint="default" w:ascii="Times New Roman" w:hAnsi="Times New Roman" w:cs="Times New Roman"/>
          <w:lang w:val="en-US" w:eastAsia="zh-CN"/>
        </w:rPr>
        <w:t>。</w:t>
      </w:r>
    </w:p>
    <w:p w14:paraId="7D06B27A">
      <w:pPr>
        <w:pStyle w:val="106"/>
        <w:spacing w:before="156" w:after="156"/>
      </w:pPr>
    </w:p>
    <w:p w14:paraId="3CD872FB">
      <w:pPr>
        <w:pStyle w:val="106"/>
        <w:numPr>
          <w:ilvl w:val="0"/>
          <w:numId w:val="0"/>
        </w:numPr>
        <w:spacing w:before="156" w:after="156"/>
        <w:ind w:firstLine="420" w:firstLineChars="200"/>
      </w:pPr>
      <w:r>
        <w:rPr>
          <w:rFonts w:hint="eastAsia"/>
        </w:rPr>
        <w:t>原球茎</w:t>
      </w:r>
    </w:p>
    <w:p w14:paraId="16D10712">
      <w:pPr>
        <w:pStyle w:val="57"/>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天麻种子萌发后形成具分生能力的组织结构，一般呈圆球状。</w:t>
      </w:r>
    </w:p>
    <w:p w14:paraId="29D72285">
      <w:pPr>
        <w:pStyle w:val="106"/>
        <w:spacing w:before="156" w:after="156"/>
      </w:pPr>
    </w:p>
    <w:p w14:paraId="3D713EA5">
      <w:pPr>
        <w:pStyle w:val="106"/>
        <w:numPr>
          <w:ilvl w:val="0"/>
          <w:numId w:val="0"/>
        </w:numPr>
        <w:spacing w:before="156" w:after="156"/>
        <w:ind w:firstLine="420" w:firstLineChars="200"/>
        <w:rPr>
          <w:color w:val="auto"/>
        </w:rPr>
      </w:pPr>
      <w:r>
        <w:rPr>
          <w:rFonts w:hint="eastAsia"/>
          <w:color w:val="auto"/>
        </w:rPr>
        <w:t>蜜环菌</w:t>
      </w:r>
    </w:p>
    <w:p w14:paraId="11D8E1B2">
      <w:pPr>
        <w:pStyle w:val="57"/>
        <w:bidi w:val="0"/>
        <w:rPr>
          <w:rFonts w:hint="eastAsia"/>
          <w:color w:val="000000" w:themeColor="text1"/>
          <w14:textFill>
            <w14:solidFill>
              <w14:schemeClr w14:val="tx1"/>
            </w14:solidFill>
          </w14:textFill>
        </w:rPr>
      </w:pPr>
      <w:r>
        <w:rPr>
          <w:rFonts w:hint="eastAsia"/>
          <w:color w:val="auto"/>
        </w:rPr>
        <w:t>蜜环菌属真菌</w:t>
      </w:r>
      <w:r>
        <w:rPr>
          <w:rFonts w:hint="eastAsia"/>
          <w:i/>
          <w:iCs/>
          <w:color w:val="auto"/>
          <w:lang w:eastAsia="zh-CN"/>
        </w:rPr>
        <w:t>（</w:t>
      </w:r>
      <w:r>
        <w:rPr>
          <w:rFonts w:hint="default" w:ascii="Times New Roman" w:hAnsi="Times New Roman" w:cs="Times New Roman"/>
          <w:i/>
          <w:iCs/>
          <w:color w:val="auto"/>
        </w:rPr>
        <w:t>Armillaria spp.</w:t>
      </w:r>
      <w:r>
        <w:rPr>
          <w:rFonts w:hint="eastAsia" w:cs="Times New Roman"/>
          <w:i/>
          <w:iCs/>
          <w:color w:val="auto"/>
          <w:lang w:eastAsia="zh-CN"/>
        </w:rPr>
        <w:t>）</w:t>
      </w:r>
      <w:r>
        <w:t>属于真菌界、担子菌门、伞菌纲、小皮伞科的真菌，腐生为主，以菌丝形式分解阔叶枯木营养物质，以菌索形式运输营养物质，供给天麻生长发育。</w:t>
      </w:r>
    </w:p>
    <w:p w14:paraId="032D9E63">
      <w:pPr>
        <w:pStyle w:val="106"/>
        <w:spacing w:before="156" w:after="156"/>
      </w:pPr>
    </w:p>
    <w:p w14:paraId="3B514530">
      <w:pPr>
        <w:pStyle w:val="106"/>
        <w:numPr>
          <w:ilvl w:val="0"/>
          <w:numId w:val="0"/>
        </w:numPr>
        <w:spacing w:before="156" w:after="156"/>
        <w:ind w:firstLine="420" w:firstLineChars="200"/>
      </w:pPr>
      <w:r>
        <w:rPr>
          <w:rFonts w:hint="eastAsia"/>
        </w:rPr>
        <w:t>米麻</w:t>
      </w:r>
    </w:p>
    <w:p w14:paraId="1B7D15EC">
      <w:pPr>
        <w:pStyle w:val="57"/>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原球茎分化而成，长度2cm以下，重量2g以下，一般具有1个明显的顶部芽状分生组织。</w:t>
      </w:r>
    </w:p>
    <w:p w14:paraId="32AACE35">
      <w:pPr>
        <w:pStyle w:val="106"/>
        <w:spacing w:before="156" w:after="156"/>
      </w:pPr>
    </w:p>
    <w:p w14:paraId="0CEAFA23">
      <w:pPr>
        <w:pStyle w:val="106"/>
        <w:numPr>
          <w:ilvl w:val="0"/>
          <w:numId w:val="0"/>
        </w:numPr>
        <w:spacing w:before="156" w:after="156"/>
        <w:ind w:firstLine="420" w:firstLineChars="200"/>
        <w:rPr>
          <w:rFonts w:hint="eastAsia" w:eastAsia="黑体"/>
          <w:color w:val="auto"/>
          <w:lang w:eastAsia="zh-CN"/>
        </w:rPr>
      </w:pPr>
      <w:r>
        <w:rPr>
          <w:rFonts w:hint="eastAsia"/>
          <w:color w:val="auto"/>
          <w:lang w:val="en-US" w:eastAsia="zh-CN"/>
        </w:rPr>
        <w:t>种苗（俗称：白头麻）</w:t>
      </w:r>
    </w:p>
    <w:p w14:paraId="70D852AF">
      <w:pPr>
        <w:pStyle w:val="57"/>
        <w:bidi w:val="0"/>
      </w:pPr>
      <w:r>
        <w:rPr>
          <w:rFonts w:hint="eastAsia"/>
          <w:color w:val="auto"/>
        </w:rPr>
        <w:t>用于栽培种植的麻种，麻尖发白，具有很强的分生能力，长度2cm~11cm，重量3g~50g。</w:t>
      </w:r>
    </w:p>
    <w:p w14:paraId="6DF6B1CE">
      <w:pPr>
        <w:pStyle w:val="106"/>
        <w:spacing w:before="156" w:after="156"/>
      </w:pPr>
    </w:p>
    <w:p w14:paraId="1BC566CA">
      <w:pPr>
        <w:pStyle w:val="106"/>
        <w:numPr>
          <w:ilvl w:val="0"/>
          <w:numId w:val="0"/>
        </w:numPr>
        <w:spacing w:before="156" w:after="156"/>
        <w:ind w:firstLine="420" w:firstLineChars="200"/>
        <w:rPr>
          <w:rFonts w:hint="eastAsia" w:eastAsia="黑体"/>
          <w:lang w:val="en-US" w:eastAsia="zh-CN"/>
        </w:rPr>
      </w:pPr>
      <w:r>
        <w:rPr>
          <w:rFonts w:hint="eastAsia"/>
        </w:rPr>
        <w:t>菌材</w:t>
      </w:r>
    </w:p>
    <w:p w14:paraId="23268E1D">
      <w:pPr>
        <w:pStyle w:val="57"/>
        <w:bidi w:val="0"/>
        <w:rPr>
          <w:rFonts w:hint="eastAsia"/>
        </w:rPr>
      </w:pPr>
      <w:r>
        <w:rPr>
          <w:rFonts w:hint="eastAsia" w:ascii="宋体" w:hAnsi="宋体" w:eastAsia="宋体" w:cs="宋体"/>
          <w:color w:val="000000" w:themeColor="text1"/>
          <w:sz w:val="21"/>
          <w:szCs w:val="21"/>
          <w:lang w:val="en-US" w:eastAsia="zh-CN"/>
          <w14:textFill>
            <w14:solidFill>
              <w14:schemeClr w14:val="tx1"/>
            </w14:solidFill>
          </w14:textFill>
        </w:rPr>
        <w:t>无病虫害的</w:t>
      </w:r>
      <w:r>
        <w:rPr>
          <w:rFonts w:hint="eastAsia" w:ascii="宋体" w:hAnsi="宋体" w:eastAsia="宋体" w:cs="宋体"/>
          <w:color w:val="000000" w:themeColor="text1"/>
          <w:sz w:val="21"/>
          <w:szCs w:val="21"/>
          <w14:textFill>
            <w14:solidFill>
              <w14:schemeClr w14:val="tx1"/>
            </w14:solidFill>
          </w14:textFill>
        </w:rPr>
        <w:t>阔叶树</w:t>
      </w:r>
      <w:r>
        <w:rPr>
          <w:rFonts w:hint="eastAsia" w:cs="宋体"/>
          <w:color w:val="000000" w:themeColor="text1"/>
          <w:sz w:val="21"/>
          <w:szCs w:val="21"/>
          <w:lang w:val="en-US" w:eastAsia="zh-CN"/>
          <w14:textFill>
            <w14:solidFill>
              <w14:schemeClr w14:val="tx1"/>
            </w14:solidFill>
          </w14:textFill>
        </w:rPr>
        <w:t>新鲜</w:t>
      </w:r>
      <w:r>
        <w:rPr>
          <w:rFonts w:hint="eastAsia" w:ascii="宋体" w:hAnsi="宋体" w:eastAsia="宋体" w:cs="宋体"/>
          <w:color w:val="000000" w:themeColor="text1"/>
          <w:sz w:val="21"/>
          <w:szCs w:val="21"/>
          <w14:textFill>
            <w14:solidFill>
              <w14:schemeClr w14:val="tx1"/>
            </w14:solidFill>
          </w14:textFill>
        </w:rPr>
        <w:t>木</w:t>
      </w:r>
      <w:r>
        <w:rPr>
          <w:rFonts w:hint="eastAsia" w:cs="宋体"/>
          <w:color w:val="000000" w:themeColor="text1"/>
          <w:sz w:val="21"/>
          <w:szCs w:val="21"/>
          <w:lang w:val="en-US" w:eastAsia="zh-CN"/>
          <w14:textFill>
            <w14:solidFill>
              <w14:schemeClr w14:val="tx1"/>
            </w14:solidFill>
          </w14:textFill>
        </w:rPr>
        <w:t>材</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cs="宋体"/>
          <w:color w:val="000000" w:themeColor="text1"/>
          <w:sz w:val="21"/>
          <w:szCs w:val="21"/>
          <w:lang w:val="en-US" w:eastAsia="zh-CN"/>
          <w14:textFill>
            <w14:solidFill>
              <w14:schemeClr w14:val="tx1"/>
            </w14:solidFill>
          </w14:textFill>
        </w:rPr>
        <w:t>其能被蜜环菌菌丝或菌索侵染，用来培养蜜环菌后栽培天麻</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如青冈树、杨树、桦树、柳树、桃树、樱桃树等木材。</w:t>
      </w:r>
      <w:r>
        <w:rPr>
          <w:rFonts w:hint="eastAsia"/>
          <w:color w:val="000000" w:themeColor="text1"/>
          <w14:textFill>
            <w14:solidFill>
              <w14:schemeClr w14:val="tx1"/>
            </w14:solidFill>
          </w14:textFill>
        </w:rPr>
        <w:t>直径1</w:t>
      </w:r>
      <w:r>
        <w:rPr>
          <w:rFonts w:hint="eastAsia"/>
          <w:color w:val="000000" w:themeColor="text1"/>
          <w:lang w:val="en-US" w:eastAsia="zh-CN"/>
          <w14:textFill>
            <w14:solidFill>
              <w14:schemeClr w14:val="tx1"/>
            </w14:solidFill>
          </w14:textFill>
        </w:rPr>
        <w:t xml:space="preserve"> cm</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4 cm叫菌枝</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直径4</w:t>
      </w:r>
      <w:r>
        <w:rPr>
          <w:rFonts w:hint="eastAsia"/>
          <w:color w:val="000000" w:themeColor="text1"/>
          <w:lang w:val="en-US" w:eastAsia="zh-CN"/>
          <w14:textFill>
            <w14:solidFill>
              <w14:schemeClr w14:val="tx1"/>
            </w14:solidFill>
          </w14:textFill>
        </w:rPr>
        <w:t xml:space="preserve"> cm</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10 cm叫菌棒</w:t>
      </w:r>
      <w:r>
        <w:rPr>
          <w:rFonts w:hint="eastAsia"/>
        </w:rPr>
        <w:t>。</w:t>
      </w:r>
    </w:p>
    <w:p w14:paraId="497EE861">
      <w:pPr>
        <w:pStyle w:val="106"/>
        <w:spacing w:before="156" w:after="156"/>
      </w:pPr>
    </w:p>
    <w:p w14:paraId="40123F45">
      <w:pPr>
        <w:pStyle w:val="106"/>
        <w:numPr>
          <w:ilvl w:val="0"/>
          <w:numId w:val="0"/>
        </w:numPr>
        <w:spacing w:before="156" w:after="156"/>
        <w:ind w:firstLine="420" w:firstLineChars="200"/>
        <w:rPr>
          <w:rFonts w:hint="eastAsia" w:eastAsia="黑体"/>
          <w:lang w:val="en-US" w:eastAsia="zh-CN"/>
        </w:rPr>
      </w:pPr>
      <w:r>
        <w:rPr>
          <w:rFonts w:hint="eastAsia"/>
        </w:rPr>
        <w:t>蒴果</w:t>
      </w:r>
    </w:p>
    <w:p w14:paraId="6BA4F232">
      <w:pPr>
        <w:pStyle w:val="57"/>
        <w:bidi w:val="0"/>
        <w:rPr>
          <w:rFonts w:hint="eastAsia"/>
        </w:rPr>
      </w:pPr>
      <w:r>
        <w:rPr>
          <w:rFonts w:hint="eastAsia"/>
        </w:rPr>
        <w:t>箭麻长出花茎秆，经开花、授粉后结出的果实。</w:t>
      </w:r>
    </w:p>
    <w:p w14:paraId="4653C2C9">
      <w:pPr>
        <w:pStyle w:val="105"/>
        <w:spacing w:before="312" w:after="312"/>
      </w:pPr>
      <w:bookmarkStart w:id="51" w:name="_Toc3064"/>
      <w:r>
        <w:rPr>
          <w:rFonts w:hint="eastAsia"/>
        </w:rPr>
        <w:t>母麻选择</w:t>
      </w:r>
      <w:bookmarkEnd w:id="51"/>
    </w:p>
    <w:p w14:paraId="0E68C905">
      <w:pPr>
        <w:pStyle w:val="57"/>
        <w:bidi w:val="0"/>
        <w:rPr>
          <w:rFonts w:hint="eastAsia"/>
        </w:rPr>
      </w:pPr>
      <w:r>
        <w:rPr>
          <w:rFonts w:hint="eastAsia"/>
        </w:rPr>
        <w:t>选用产自西藏林芝</w:t>
      </w:r>
      <w:r>
        <w:rPr>
          <w:rFonts w:hint="eastAsia"/>
          <w:lang w:val="en-US" w:eastAsia="zh-CN"/>
        </w:rPr>
        <w:t>市</w:t>
      </w:r>
      <w:r>
        <w:rPr>
          <w:rFonts w:hint="eastAsia"/>
        </w:rPr>
        <w:t>波密县的</w:t>
      </w:r>
      <w:r>
        <w:rPr>
          <w:rFonts w:hint="eastAsia"/>
          <w:lang w:val="en-US" w:eastAsia="zh-CN"/>
        </w:rPr>
        <w:t>波密天麻</w:t>
      </w:r>
      <w:r>
        <w:rPr>
          <w:rFonts w:hint="eastAsia"/>
        </w:rPr>
        <w:t>作为天麻种苗繁殖用的</w:t>
      </w:r>
      <w:r>
        <w:rPr>
          <w:rFonts w:hint="eastAsia"/>
          <w:lang w:val="en-US" w:eastAsia="zh-CN"/>
        </w:rPr>
        <w:t>母麻</w:t>
      </w:r>
      <w:r>
        <w:rPr>
          <w:rFonts w:hint="eastAsia"/>
        </w:rPr>
        <w:t>。</w:t>
      </w:r>
    </w:p>
    <w:p w14:paraId="5A3AC1E8">
      <w:pPr>
        <w:pStyle w:val="105"/>
        <w:spacing w:before="312" w:after="312"/>
      </w:pPr>
      <w:bookmarkStart w:id="52" w:name="_Toc13243"/>
      <w:r>
        <w:rPr>
          <w:rFonts w:hint="eastAsia"/>
          <w:lang w:val="en-US" w:eastAsia="zh-CN"/>
        </w:rPr>
        <w:t>场地</w:t>
      </w:r>
      <w:r>
        <w:rPr>
          <w:rFonts w:hint="eastAsia"/>
        </w:rPr>
        <w:t>选择</w:t>
      </w:r>
      <w:bookmarkEnd w:id="52"/>
    </w:p>
    <w:p w14:paraId="0CA8CAD0">
      <w:pPr>
        <w:pStyle w:val="106"/>
        <w:spacing w:before="156" w:after="156"/>
      </w:pPr>
      <w:r>
        <w:rPr>
          <w:rFonts w:hint="eastAsia"/>
        </w:rPr>
        <w:t>箭麻培植</w:t>
      </w:r>
      <w:r>
        <w:rPr>
          <w:rFonts w:hint="eastAsia"/>
          <w:lang w:val="en-US" w:eastAsia="zh-CN"/>
        </w:rPr>
        <w:t>场地</w:t>
      </w:r>
    </w:p>
    <w:p w14:paraId="29C00CF6">
      <w:pPr>
        <w:pStyle w:val="57"/>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选择水电方便，空间充足的培养室</w:t>
      </w:r>
      <w:r>
        <w:rPr>
          <w:rFonts w:hint="eastAsia" w:hAnsi="宋体"/>
          <w:color w:val="000000" w:themeColor="text1"/>
          <w:sz w:val="24"/>
          <w:lang w:eastAsia="zh-CN"/>
          <w14:textFill>
            <w14:solidFill>
              <w14:schemeClr w14:val="tx1"/>
            </w14:solidFill>
          </w14:textFill>
        </w:rPr>
        <w:t>，</w:t>
      </w:r>
      <w:r>
        <w:rPr>
          <w:rFonts w:hint="eastAsia" w:hAnsi="宋体"/>
          <w:color w:val="000000" w:themeColor="text1"/>
          <w:sz w:val="21"/>
          <w:szCs w:val="21"/>
          <w:lang w:eastAsia="zh-CN"/>
          <w14:textFill>
            <w14:solidFill>
              <w14:schemeClr w14:val="tx1"/>
            </w14:solidFill>
          </w14:textFill>
        </w:rPr>
        <w:t>内壁和屋顶光滑，便于清洗和消毒。培养室墙壁要加厚利于控温，</w:t>
      </w:r>
      <w:r>
        <w:rPr>
          <w:rFonts w:hint="eastAsia" w:hAnsi="宋体"/>
          <w:color w:val="000000" w:themeColor="text1"/>
          <w:sz w:val="21"/>
          <w:szCs w:val="21"/>
          <w:lang w:val="en-US" w:eastAsia="zh-CN"/>
          <w14:textFill>
            <w14:solidFill>
              <w14:schemeClr w14:val="tx1"/>
            </w14:solidFill>
          </w14:textFill>
        </w:rPr>
        <w:t>室内布置</w:t>
      </w:r>
      <w:r>
        <w:rPr>
          <w:rFonts w:hint="eastAsia"/>
          <w:color w:val="000000" w:themeColor="text1"/>
          <w:lang w:val="en-US" w:eastAsia="zh-CN"/>
          <w14:textFill>
            <w14:solidFill>
              <w14:schemeClr w14:val="tx1"/>
            </w14:solidFill>
          </w14:textFill>
        </w:rPr>
        <w:t>调温设施</w:t>
      </w:r>
      <w:r>
        <w:rPr>
          <w:rFonts w:hint="eastAsia"/>
          <w:color w:val="000000" w:themeColor="text1"/>
          <w14:textFill>
            <w14:solidFill>
              <w14:schemeClr w14:val="tx1"/>
            </w14:solidFill>
          </w14:textFill>
        </w:rPr>
        <w:t>。</w:t>
      </w:r>
    </w:p>
    <w:p w14:paraId="2A0FD170">
      <w:pPr>
        <w:pStyle w:val="106"/>
        <w:spacing w:before="156" w:after="156"/>
      </w:pPr>
      <w:r>
        <w:rPr>
          <w:rFonts w:hint="eastAsia"/>
          <w:lang w:val="en-US" w:eastAsia="zh-CN"/>
        </w:rPr>
        <w:t>种苗培育场地</w:t>
      </w:r>
    </w:p>
    <w:p w14:paraId="5B7D7F7C">
      <w:pPr>
        <w:pStyle w:val="57"/>
        <w:bidi w:val="0"/>
        <w:rPr>
          <w:rFonts w:hint="eastAsia"/>
        </w:rPr>
      </w:pPr>
      <w:r>
        <w:rPr>
          <w:rFonts w:hint="eastAsia"/>
        </w:rPr>
        <w:t>选择</w:t>
      </w:r>
      <w:r>
        <w:rPr>
          <w:rFonts w:hint="eastAsia"/>
          <w:lang w:val="en-US" w:eastAsia="zh-CN"/>
        </w:rPr>
        <w:t>与</w:t>
      </w:r>
      <w:r>
        <w:rPr>
          <w:rFonts w:hint="eastAsia"/>
        </w:rPr>
        <w:t>西藏波密县及周边生态相似区域</w:t>
      </w:r>
      <w:r>
        <w:rPr>
          <w:rFonts w:hint="eastAsia"/>
          <w:lang w:eastAsia="zh-CN"/>
        </w:rPr>
        <w:t>，</w:t>
      </w:r>
      <w:r>
        <w:rPr>
          <w:rFonts w:hint="eastAsia"/>
        </w:rPr>
        <w:t>气候凉爽、</w:t>
      </w:r>
      <w:r>
        <w:rPr>
          <w:rFonts w:hint="eastAsia"/>
          <w:lang w:val="en-US" w:eastAsia="zh-CN"/>
        </w:rPr>
        <w:t>地势</w:t>
      </w:r>
      <w:r>
        <w:rPr>
          <w:rFonts w:hint="eastAsia"/>
        </w:rPr>
        <w:t>平坦或缓坡，不积水的</w:t>
      </w:r>
      <w:r>
        <w:rPr>
          <w:rFonts w:hint="eastAsia"/>
          <w:lang w:val="en-US" w:eastAsia="zh-CN"/>
        </w:rPr>
        <w:t>林区</w:t>
      </w:r>
      <w:r>
        <w:rPr>
          <w:rFonts w:hint="eastAsia"/>
        </w:rPr>
        <w:t>作为</w:t>
      </w:r>
      <w:r>
        <w:rPr>
          <w:rFonts w:hint="eastAsia"/>
          <w:lang w:val="en-US" w:eastAsia="zh-CN"/>
        </w:rPr>
        <w:t>种苗培育</w:t>
      </w:r>
      <w:r>
        <w:rPr>
          <w:rFonts w:hint="eastAsia"/>
        </w:rPr>
        <w:t>场</w:t>
      </w:r>
      <w:r>
        <w:rPr>
          <w:rFonts w:hint="eastAsia"/>
          <w:color w:val="auto"/>
        </w:rPr>
        <w:t>地</w:t>
      </w:r>
      <w:r>
        <w:rPr>
          <w:rFonts w:hint="eastAsia"/>
          <w:lang w:eastAsia="zh-CN"/>
        </w:rPr>
        <w:t>，</w:t>
      </w:r>
      <w:r>
        <w:rPr>
          <w:rFonts w:hint="eastAsia"/>
        </w:rPr>
        <w:t>增加排水沟，布置浇灌设施。</w:t>
      </w:r>
    </w:p>
    <w:p w14:paraId="762558AC">
      <w:pPr>
        <w:pStyle w:val="105"/>
        <w:spacing w:before="312" w:after="312"/>
      </w:pPr>
      <w:bookmarkStart w:id="53" w:name="_Toc9239"/>
      <w:r>
        <w:rPr>
          <w:rFonts w:hint="eastAsia"/>
        </w:rPr>
        <w:t>技术要求</w:t>
      </w:r>
      <w:bookmarkEnd w:id="53"/>
    </w:p>
    <w:p w14:paraId="0E4C40AA">
      <w:pPr>
        <w:pStyle w:val="106"/>
        <w:spacing w:before="156" w:after="156"/>
      </w:pPr>
      <w:r>
        <w:rPr>
          <w:rFonts w:hint="eastAsia"/>
        </w:rPr>
        <w:t>箭麻</w:t>
      </w:r>
      <w:r>
        <w:rPr>
          <w:rFonts w:hint="eastAsia"/>
          <w:lang w:eastAsia="zh-CN"/>
        </w:rPr>
        <w:t>的</w:t>
      </w:r>
      <w:r>
        <w:rPr>
          <w:rFonts w:hint="eastAsia"/>
          <w:lang w:val="en-US" w:eastAsia="zh-CN"/>
        </w:rPr>
        <w:t>选择</w:t>
      </w:r>
    </w:p>
    <w:p w14:paraId="7EB35A5F">
      <w:pPr>
        <w:pStyle w:val="57"/>
        <w:bidi w:val="0"/>
        <w:rPr>
          <w:rFonts w:hint="eastAsia"/>
          <w:color w:val="auto"/>
          <w:lang w:val="en-US" w:eastAsia="zh-CN"/>
        </w:rPr>
      </w:pPr>
      <w:r>
        <w:rPr>
          <w:rFonts w:hint="eastAsia"/>
        </w:rPr>
        <w:t>每年</w:t>
      </w:r>
      <w:r>
        <w:rPr>
          <w:rFonts w:hint="eastAsia"/>
          <w:lang w:val="en-US" w:eastAsia="zh-CN"/>
        </w:rPr>
        <w:t>1</w:t>
      </w:r>
      <w:r>
        <w:rPr>
          <w:rFonts w:hint="eastAsia"/>
        </w:rPr>
        <w:t>月至3月箭麻</w:t>
      </w:r>
      <w:r>
        <w:rPr>
          <w:rFonts w:hint="eastAsia"/>
          <w:lang w:eastAsia="zh-CN"/>
        </w:rPr>
        <w:t>的</w:t>
      </w:r>
      <w:r>
        <w:rPr>
          <w:rFonts w:hint="eastAsia"/>
        </w:rPr>
        <w:t>休眠期</w:t>
      </w:r>
      <w:r>
        <w:rPr>
          <w:rFonts w:hint="eastAsia"/>
          <w:lang w:val="en-US" w:eastAsia="zh-CN"/>
        </w:rPr>
        <w:t>进行挑选</w:t>
      </w:r>
      <w:r>
        <w:rPr>
          <w:rFonts w:hint="eastAsia"/>
        </w:rPr>
        <w:t>。选择发育良好、无机械损伤、顶芽完整、重量</w:t>
      </w:r>
      <w:r>
        <w:rPr>
          <w:rFonts w:hint="eastAsia"/>
          <w:lang w:val="en-US" w:eastAsia="zh-CN"/>
        </w:rPr>
        <w:t>达</w:t>
      </w:r>
      <w:r>
        <w:rPr>
          <w:rFonts w:hint="eastAsia"/>
        </w:rPr>
        <w:t>200g</w:t>
      </w:r>
      <w:r>
        <w:rPr>
          <w:rFonts w:hint="eastAsia"/>
          <w:lang w:val="en-US" w:eastAsia="zh-CN"/>
        </w:rPr>
        <w:t>以上</w:t>
      </w:r>
      <w:r>
        <w:rPr>
          <w:rFonts w:hint="eastAsia"/>
        </w:rPr>
        <w:t>的箭麻</w:t>
      </w:r>
      <w:r>
        <w:rPr>
          <w:rFonts w:hint="eastAsia"/>
          <w:color w:val="auto"/>
          <w:lang w:val="en-US" w:eastAsia="zh-CN"/>
        </w:rPr>
        <w:t>。</w:t>
      </w:r>
    </w:p>
    <w:p w14:paraId="1CB13881">
      <w:pPr>
        <w:pStyle w:val="106"/>
        <w:spacing w:before="156" w:after="156"/>
      </w:pPr>
      <w:r>
        <w:rPr>
          <w:rFonts w:hint="eastAsia"/>
        </w:rPr>
        <w:t>箭麻培植</w:t>
      </w:r>
    </w:p>
    <w:p w14:paraId="7EFE2B65">
      <w:pPr>
        <w:pStyle w:val="57"/>
        <w:bidi w:val="0"/>
        <w:rPr>
          <w:rFonts w:hint="default" w:eastAsia="宋体"/>
          <w:lang w:val="en-US" w:eastAsia="zh-CN"/>
        </w:rPr>
      </w:pPr>
      <w:r>
        <w:rPr>
          <w:rFonts w:hint="eastAsia"/>
          <w:lang w:val="en-US" w:eastAsia="zh-CN"/>
        </w:rPr>
        <w:t>箭麻应在每年1月至3月期间培植，使用尺寸为长48cm×宽35cm×高27cm的塑料框，底部铺塑料薄膜。使用经过灭菌和晾晒的沙土作为培养土，含水量调整至50%～70%，装入框中至10cm厚，每个框栽植12个箭麻，芽嘴朝上，再覆盖5cm培养土。顶部覆盖塑料薄膜保温保湿，按附录A.1所示排列塑料框，留出40～50cm的人行道。室内温度控制在20℃，</w:t>
      </w:r>
      <w:r>
        <w:rPr>
          <w:rFonts w:hint="eastAsia"/>
        </w:rPr>
        <w:t>空气湿度70%-80%</w:t>
      </w:r>
      <w:r>
        <w:rPr>
          <w:rFonts w:hint="eastAsia"/>
          <w:lang w:eastAsia="zh-CN"/>
        </w:rPr>
        <w:t>，</w:t>
      </w:r>
      <w:r>
        <w:rPr>
          <w:rFonts w:hint="eastAsia"/>
          <w:lang w:val="en-US" w:eastAsia="zh-CN"/>
        </w:rPr>
        <w:t>花茎秆长出后移除顶部薄膜继续培植，直至开花。</w:t>
      </w:r>
    </w:p>
    <w:p w14:paraId="12F0BD34">
      <w:pPr>
        <w:pStyle w:val="106"/>
        <w:spacing w:before="156" w:after="156"/>
      </w:pPr>
      <w:r>
        <w:rPr>
          <w:rFonts w:hint="eastAsia"/>
        </w:rPr>
        <w:t>人工授粉</w:t>
      </w:r>
    </w:p>
    <w:p w14:paraId="208EAD52">
      <w:pPr>
        <w:pStyle w:val="57"/>
        <w:bidi w:val="0"/>
        <w:rPr>
          <w:rFonts w:hint="eastAsia"/>
        </w:rPr>
      </w:pPr>
      <w:r>
        <w:rPr>
          <w:rFonts w:hint="eastAsia"/>
        </w:rPr>
        <w:t>天麻在4月下旬开始开花，花朵从下至上依次开放，整个过程持续10至15天。开花期间，室内温度</w:t>
      </w:r>
      <w:r>
        <w:rPr>
          <w:rFonts w:hint="eastAsia"/>
          <w:lang w:val="en-US" w:eastAsia="zh-CN"/>
        </w:rPr>
        <w:t>调整为</w:t>
      </w:r>
      <w:r>
        <w:rPr>
          <w:rFonts w:hint="eastAsia"/>
        </w:rPr>
        <w:t>25℃。天麻开花后24小时内授粉有效，建议尽早进行，随开随授粉。用消毒牙签挑开花朵唇瓣，牙签刺入花帽</w:t>
      </w:r>
      <w:r>
        <w:rPr>
          <w:rFonts w:hint="eastAsia"/>
          <w:lang w:eastAsia="zh-CN"/>
        </w:rPr>
        <w:t>，</w:t>
      </w:r>
      <w:r>
        <w:rPr>
          <w:rFonts w:hint="eastAsia"/>
        </w:rPr>
        <w:t>将花帽里的花药放置柱头上完成自交授粉。</w:t>
      </w:r>
    </w:p>
    <w:p w14:paraId="3EE3691E">
      <w:pPr>
        <w:pStyle w:val="106"/>
        <w:spacing w:before="156" w:after="156"/>
      </w:pPr>
      <w:r>
        <w:rPr>
          <w:rFonts w:hint="eastAsia"/>
        </w:rPr>
        <w:t>种子</w:t>
      </w:r>
      <w:r>
        <w:rPr>
          <w:rFonts w:hint="eastAsia"/>
          <w:lang w:val="en-US" w:eastAsia="zh-CN"/>
        </w:rPr>
        <w:t>采收</w:t>
      </w:r>
    </w:p>
    <w:p w14:paraId="0DA05379">
      <w:pPr>
        <w:pStyle w:val="57"/>
        <w:bidi w:val="0"/>
        <w:rPr>
          <w:rFonts w:hint="eastAsia"/>
          <w:color w:val="auto"/>
          <w:lang w:val="en-US" w:eastAsia="zh-CN"/>
        </w:rPr>
      </w:pPr>
      <w:r>
        <w:rPr>
          <w:rFonts w:hint="eastAsia"/>
          <w:color w:val="auto"/>
          <w:lang w:val="en-US" w:eastAsia="zh-CN"/>
        </w:rPr>
        <w:t>天麻蒴果成熟需20天，为防止种子散失和提高发芽率，应在蒴果将熟果时时采摘。将熟果的采摘标志为蒴果即将裂开、手感微软、纵缝线突起但未开裂。采摘时把将熟果放入种子袋带回室内摊晾并记录数量。蒴果自然开裂后，轻轻摇动使种子脱落并筛除杂质。重复此过程直至所有蒴果采摘完毕。</w:t>
      </w:r>
    </w:p>
    <w:p w14:paraId="61E4F726">
      <w:pPr>
        <w:pStyle w:val="106"/>
        <w:spacing w:before="156" w:after="156"/>
      </w:pPr>
      <w:r>
        <w:rPr>
          <w:rFonts w:hint="eastAsia"/>
        </w:rPr>
        <w:t>拌种</w:t>
      </w:r>
    </w:p>
    <w:p w14:paraId="18830EC7">
      <w:pPr>
        <w:pStyle w:val="57"/>
        <w:bidi w:val="0"/>
        <w:rPr>
          <w:rFonts w:hint="eastAsia" w:eastAsia="宋体"/>
          <w:lang w:eastAsia="zh-CN"/>
        </w:rPr>
      </w:pPr>
      <w:r>
        <w:rPr>
          <w:rFonts w:hint="eastAsia"/>
        </w:rPr>
        <w:t>在地面上铺塑料膜，均匀撒上萌发菌菌种。将种子装入塑料瓶，瓶盖戳孔后倒立挤压，</w:t>
      </w:r>
      <w:r>
        <w:rPr>
          <w:rFonts w:hint="eastAsia"/>
          <w:lang w:val="en-US" w:eastAsia="zh-CN"/>
        </w:rPr>
        <w:t>将</w:t>
      </w:r>
      <w:r>
        <w:rPr>
          <w:rFonts w:hint="eastAsia"/>
        </w:rPr>
        <w:t>种子均匀喷在菌种上。手工翻动混合种子和菌种，比例为1杯种子</w:t>
      </w:r>
      <w:r>
        <w:rPr>
          <w:rFonts w:hint="eastAsia"/>
          <w:lang w:eastAsia="zh-CN"/>
        </w:rPr>
        <w:t>（</w:t>
      </w:r>
      <w:r>
        <w:rPr>
          <w:rFonts w:hint="eastAsia"/>
          <w:lang w:val="en-US" w:eastAsia="zh-CN"/>
        </w:rPr>
        <w:t>80mL</w:t>
      </w:r>
      <w:r>
        <w:rPr>
          <w:rFonts w:hint="eastAsia"/>
          <w:lang w:eastAsia="zh-CN"/>
        </w:rPr>
        <w:t>）</w:t>
      </w:r>
      <w:r>
        <w:rPr>
          <w:rFonts w:hint="eastAsia"/>
        </w:rPr>
        <w:t>对46kg菌种。拌匀后，隔夜即可装袋播种。</w:t>
      </w:r>
    </w:p>
    <w:p w14:paraId="75E1D9E4">
      <w:pPr>
        <w:pStyle w:val="106"/>
        <w:spacing w:before="156" w:after="156"/>
      </w:pPr>
      <w:r>
        <w:rPr>
          <w:rFonts w:hint="eastAsia"/>
          <w:lang w:val="en-US" w:eastAsia="zh-CN"/>
        </w:rPr>
        <w:t>种苗</w:t>
      </w:r>
      <w:r>
        <w:rPr>
          <w:rFonts w:hint="eastAsia"/>
        </w:rPr>
        <w:t>培育</w:t>
      </w:r>
    </w:p>
    <w:p w14:paraId="4B83C794">
      <w:pPr>
        <w:pStyle w:val="57"/>
        <w:bidi w:val="0"/>
        <w:rPr>
          <w:rFonts w:hint="eastAsia"/>
          <w:lang w:val="en-US" w:eastAsia="zh-CN"/>
        </w:rPr>
      </w:pPr>
      <w:r>
        <w:rPr>
          <w:rFonts w:hint="eastAsia"/>
        </w:rPr>
        <w:t>使用45cm x 40cm塑料袋，制备含水量55%-65%的培养土，由粗沙土和杂木锯末按1:1比例混合。在袋底铺3cm厚培养土，撒上湿树叶，然后平铺拌有种子的萌发菌。接着放3-4根直径5-10cm、长12-15cm的菌材和3-4根菌枝，再覆盖3-4cm的培养土。重复上述步骤再铺一层，装好袋后底部打孔，</w:t>
      </w:r>
      <w:r>
        <w:rPr>
          <w:rFonts w:hint="eastAsia"/>
          <w:lang w:eastAsia="zh-CN"/>
        </w:rPr>
        <w:t>种苗培育场地</w:t>
      </w:r>
      <w:r>
        <w:rPr>
          <w:rFonts w:hint="eastAsia"/>
        </w:rPr>
        <w:t>，按规则排列，插标签，覆土10cm和木屑，最上层覆5cm松毛进行培育。</w:t>
      </w:r>
    </w:p>
    <w:p w14:paraId="47C796B6">
      <w:pPr>
        <w:pStyle w:val="106"/>
        <w:spacing w:before="156" w:after="156"/>
      </w:pPr>
      <w:r>
        <w:rPr>
          <w:rFonts w:hint="eastAsia"/>
        </w:rPr>
        <w:t>培育</w:t>
      </w:r>
      <w:r>
        <w:rPr>
          <w:rFonts w:hint="eastAsia"/>
          <w:lang w:val="en-US" w:eastAsia="zh-CN"/>
        </w:rPr>
        <w:t>管理</w:t>
      </w:r>
    </w:p>
    <w:p w14:paraId="3419D000">
      <w:pPr>
        <w:pStyle w:val="57"/>
        <w:bidi w:val="0"/>
        <w:rPr>
          <w:rFonts w:hint="eastAsia"/>
          <w:lang w:val="en-US" w:eastAsia="zh-CN"/>
        </w:rPr>
      </w:pPr>
      <w:r>
        <w:rPr>
          <w:rFonts w:hint="eastAsia"/>
        </w:rPr>
        <w:t>管护时间为装袋覆土后到种苗收获时，一般为5月~次年11月。</w:t>
      </w:r>
      <w:r>
        <w:rPr>
          <w:rFonts w:hint="eastAsia"/>
          <w:lang w:eastAsia="zh-CN"/>
        </w:rPr>
        <w:t>种苗培育场地</w:t>
      </w:r>
      <w:r>
        <w:rPr>
          <w:rFonts w:hint="eastAsia"/>
        </w:rPr>
        <w:t>在栽培后1个月内，禁止浇水。后期干旱时要浇水，使袋内湿度保持在50%~60%。雨季注意排水防涝。在管护过程中，禁止牲畜践踏。</w:t>
      </w:r>
    </w:p>
    <w:p w14:paraId="27DB26F1">
      <w:pPr>
        <w:pStyle w:val="106"/>
        <w:spacing w:before="156" w:after="156"/>
      </w:pPr>
      <w:r>
        <w:rPr>
          <w:rFonts w:hint="eastAsia"/>
        </w:rPr>
        <w:t>病虫害防治</w:t>
      </w:r>
    </w:p>
    <w:p w14:paraId="7A681691">
      <w:pPr>
        <w:pStyle w:val="57"/>
        <w:bidi w:val="0"/>
        <w:rPr>
          <w:rFonts w:hint="eastAsia"/>
        </w:rPr>
      </w:pPr>
      <w:r>
        <w:rPr>
          <w:rFonts w:hint="eastAsia"/>
        </w:rPr>
        <w:t>杂菌感染：预防措施</w:t>
      </w:r>
      <w:r>
        <w:rPr>
          <w:rFonts w:hint="eastAsia"/>
          <w:lang w:eastAsia="zh-CN"/>
        </w:rPr>
        <w:t>，</w:t>
      </w:r>
      <w:r>
        <w:rPr>
          <w:rFonts w:hint="eastAsia"/>
        </w:rPr>
        <w:t>选用无污染</w:t>
      </w:r>
      <w:r>
        <w:rPr>
          <w:rFonts w:hint="eastAsia"/>
          <w:lang w:val="en-US" w:eastAsia="zh-CN"/>
        </w:rPr>
        <w:t>菌材、</w:t>
      </w:r>
      <w:r>
        <w:rPr>
          <w:rFonts w:hint="eastAsia"/>
        </w:rPr>
        <w:t>菌枝。治理方法</w:t>
      </w:r>
      <w:r>
        <w:rPr>
          <w:rFonts w:hint="eastAsia"/>
          <w:lang w:eastAsia="zh-CN"/>
        </w:rPr>
        <w:t>，</w:t>
      </w:r>
      <w:r>
        <w:rPr>
          <w:rFonts w:hint="eastAsia"/>
        </w:rPr>
        <w:t>发现杂菌后立即移除感染部位，局部喷洒50%多菌灵可湿性粉剂（或者悬浮剂）800倍液。</w:t>
      </w:r>
    </w:p>
    <w:p w14:paraId="40862F83">
      <w:pPr>
        <w:pStyle w:val="57"/>
        <w:bidi w:val="0"/>
        <w:rPr>
          <w:rFonts w:hint="eastAsia"/>
        </w:rPr>
      </w:pPr>
      <w:r>
        <w:rPr>
          <w:rFonts w:hint="eastAsia"/>
        </w:rPr>
        <w:t>白蚂蚁：预防措施</w:t>
      </w:r>
      <w:r>
        <w:rPr>
          <w:rFonts w:hint="eastAsia"/>
          <w:lang w:eastAsia="zh-CN"/>
        </w:rPr>
        <w:t>，</w:t>
      </w:r>
      <w:r>
        <w:rPr>
          <w:rFonts w:hint="eastAsia"/>
        </w:rPr>
        <w:t>选择无蚁害地块，播种前用石灰氮（5g/m²）处理土壤。治理方法</w:t>
      </w:r>
      <w:r>
        <w:rPr>
          <w:rFonts w:hint="eastAsia"/>
          <w:lang w:eastAsia="zh-CN"/>
        </w:rPr>
        <w:t>，</w:t>
      </w:r>
      <w:r>
        <w:rPr>
          <w:rFonts w:hint="eastAsia"/>
        </w:rPr>
        <w:t>采用灭蚁灵毒饵诱杀，每亩设置5~8个诱杀点。</w:t>
      </w:r>
    </w:p>
    <w:p w14:paraId="48735609">
      <w:pPr>
        <w:pStyle w:val="57"/>
        <w:bidi w:val="0"/>
        <w:rPr>
          <w:rFonts w:hint="eastAsia"/>
        </w:rPr>
      </w:pPr>
      <w:r>
        <w:rPr>
          <w:rFonts w:hint="eastAsia"/>
        </w:rPr>
        <w:t>蛴螬：幼虫防治</w:t>
      </w:r>
      <w:r>
        <w:rPr>
          <w:rFonts w:hint="eastAsia"/>
          <w:lang w:eastAsia="zh-CN"/>
        </w:rPr>
        <w:t>，用90%敌百虫可湿性粉剂（或者悬浮剂）1000倍液灌根；</w:t>
      </w:r>
      <w:r>
        <w:rPr>
          <w:rFonts w:hint="eastAsia"/>
        </w:rPr>
        <w:t>成虫防治</w:t>
      </w:r>
      <w:r>
        <w:rPr>
          <w:rFonts w:hint="eastAsia"/>
          <w:lang w:eastAsia="zh-CN"/>
        </w:rPr>
        <w:t>，黑光灯诱杀或喷施2.5%溴氰菊酯可湿性粉剂（或者悬浮剂）2000倍液</w:t>
      </w:r>
      <w:r>
        <w:rPr>
          <w:rFonts w:hint="eastAsia"/>
        </w:rPr>
        <w:t>。</w:t>
      </w:r>
    </w:p>
    <w:p w14:paraId="6C32746A">
      <w:pPr>
        <w:pStyle w:val="106"/>
        <w:spacing w:before="156" w:after="156"/>
      </w:pPr>
      <w:r>
        <w:rPr>
          <w:rFonts w:hint="eastAsia"/>
        </w:rPr>
        <w:t>种苗采收</w:t>
      </w:r>
    </w:p>
    <w:p w14:paraId="0315DD22">
      <w:pPr>
        <w:pStyle w:val="57"/>
        <w:bidi w:val="0"/>
        <w:rPr>
          <w:rFonts w:hint="eastAsia"/>
        </w:rPr>
      </w:pPr>
      <w:r>
        <w:rPr>
          <w:rFonts w:hint="eastAsia"/>
          <w:lang w:val="en-US" w:eastAsia="zh-CN"/>
        </w:rPr>
        <w:t>种苗</w:t>
      </w:r>
      <w:r>
        <w:rPr>
          <w:rFonts w:hint="eastAsia"/>
        </w:rPr>
        <w:t>采收时间在次年的</w:t>
      </w:r>
      <w:r>
        <w:rPr>
          <w:rFonts w:hint="eastAsia"/>
          <w:lang w:val="en-US" w:eastAsia="zh-CN"/>
        </w:rPr>
        <w:t>11</w:t>
      </w:r>
      <w:r>
        <w:rPr>
          <w:rFonts w:hint="eastAsia"/>
        </w:rPr>
        <w:t>月~第三年3月种苗成熟期</w:t>
      </w:r>
      <w:r>
        <w:rPr>
          <w:rFonts w:hint="eastAsia"/>
          <w:lang w:val="en-US" w:eastAsia="zh-CN"/>
        </w:rPr>
        <w:t>内</w:t>
      </w:r>
      <w:r>
        <w:rPr>
          <w:rFonts w:hint="eastAsia"/>
        </w:rPr>
        <w:t>。去除表层覆盖物，轻提育苗袋，撕开袋体。扒开基质，完整取出种苗，避免损伤块茎。收获</w:t>
      </w:r>
      <w:r>
        <w:rPr>
          <w:rFonts w:hint="eastAsia"/>
          <w:lang w:val="en-US" w:eastAsia="zh-CN"/>
        </w:rPr>
        <w:t>时</w:t>
      </w:r>
      <w:r>
        <w:rPr>
          <w:rFonts w:hint="eastAsia"/>
        </w:rPr>
        <w:t>应将米麻、</w:t>
      </w:r>
      <w:r>
        <w:rPr>
          <w:rFonts w:hint="eastAsia"/>
          <w:lang w:val="en-US" w:eastAsia="zh-CN"/>
        </w:rPr>
        <w:t>种苗</w:t>
      </w:r>
      <w:r>
        <w:rPr>
          <w:rFonts w:hint="eastAsia"/>
        </w:rPr>
        <w:t>和</w:t>
      </w:r>
      <w:r>
        <w:rPr>
          <w:rFonts w:hint="eastAsia"/>
          <w:lang w:val="en-US" w:eastAsia="zh-CN"/>
        </w:rPr>
        <w:t>商品麻</w:t>
      </w:r>
      <w:r>
        <w:rPr>
          <w:rFonts w:hint="eastAsia"/>
        </w:rPr>
        <w:t>一并全部取出；</w:t>
      </w:r>
      <w:r>
        <w:rPr>
          <w:rFonts w:hint="eastAsia"/>
          <w:lang w:eastAsia="zh-CN"/>
        </w:rPr>
        <w:t>米麻可继续供给蜜环菌，成长为</w:t>
      </w:r>
      <w:r>
        <w:rPr>
          <w:rFonts w:hint="eastAsia"/>
          <w:lang w:val="en-US" w:eastAsia="zh-CN"/>
        </w:rPr>
        <w:t>种苗</w:t>
      </w:r>
      <w:r>
        <w:rPr>
          <w:rFonts w:hint="eastAsia"/>
          <w:lang w:eastAsia="zh-CN"/>
        </w:rPr>
        <w:t>或</w:t>
      </w:r>
      <w:r>
        <w:rPr>
          <w:rFonts w:hint="eastAsia"/>
          <w:lang w:val="en-US" w:eastAsia="zh-CN"/>
        </w:rPr>
        <w:t>商品麻</w:t>
      </w:r>
      <w:r>
        <w:rPr>
          <w:rFonts w:hint="eastAsia"/>
          <w:lang w:eastAsia="zh-CN"/>
        </w:rPr>
        <w:t>；</w:t>
      </w:r>
      <w:r>
        <w:rPr>
          <w:rFonts w:hint="eastAsia"/>
          <w:lang w:val="en-US" w:eastAsia="zh-CN"/>
        </w:rPr>
        <w:t>种苗用于种植；商品麻</w:t>
      </w:r>
      <w:r>
        <w:rPr>
          <w:rFonts w:hint="eastAsia"/>
          <w:lang w:eastAsia="zh-CN"/>
        </w:rPr>
        <w:t>则直接用于加工。</w:t>
      </w:r>
    </w:p>
    <w:p w14:paraId="21D966DC">
      <w:pPr>
        <w:pStyle w:val="106"/>
        <w:spacing w:before="156" w:after="156"/>
      </w:pPr>
      <w:r>
        <w:rPr>
          <w:rFonts w:hint="eastAsia"/>
        </w:rPr>
        <w:t>苗床清理</w:t>
      </w:r>
    </w:p>
    <w:p w14:paraId="364E7CE5">
      <w:pPr>
        <w:pStyle w:val="57"/>
        <w:bidi w:val="0"/>
        <w:rPr>
          <w:rFonts w:hint="eastAsia"/>
          <w:lang w:val="en-US" w:eastAsia="zh-CN"/>
        </w:rPr>
      </w:pPr>
      <w:r>
        <w:rPr>
          <w:rFonts w:hint="eastAsia"/>
          <w:lang w:val="en-US" w:eastAsia="zh-CN"/>
        </w:rPr>
        <w:t>种苗采收后，应及时清理菌材和沙子。使用过的菌柴只能用作柴火或粉碎作为其他材料使用，沙子必须清理干净，不可重复使用。</w:t>
      </w:r>
    </w:p>
    <w:p w14:paraId="4151669F">
      <w:pPr>
        <w:pStyle w:val="105"/>
        <w:spacing w:before="312" w:after="312"/>
      </w:pPr>
      <w:bookmarkStart w:id="54" w:name="_Toc10631"/>
      <w:r>
        <w:rPr>
          <w:rFonts w:hint="eastAsia"/>
        </w:rPr>
        <w:t>包装、标志、运输与贮存</w:t>
      </w:r>
      <w:bookmarkEnd w:id="54"/>
    </w:p>
    <w:p w14:paraId="4EA5DEF6">
      <w:pPr>
        <w:pStyle w:val="57"/>
        <w:bidi w:val="0"/>
        <w:rPr>
          <w:rFonts w:hint="eastAsia"/>
        </w:rPr>
      </w:pPr>
      <w:r>
        <w:rPr>
          <w:rFonts w:hint="eastAsia"/>
        </w:rPr>
        <w:t>包装：用透气性良好的网袋或纸箱包装，每袋/箱装量≤10kg。</w:t>
      </w:r>
    </w:p>
    <w:p w14:paraId="3876A09F">
      <w:pPr>
        <w:pStyle w:val="57"/>
        <w:bidi w:val="0"/>
        <w:rPr>
          <w:rFonts w:hint="eastAsia"/>
        </w:rPr>
      </w:pPr>
      <w:r>
        <w:rPr>
          <w:rFonts w:hint="eastAsia"/>
        </w:rPr>
        <w:t>标志：标注品种名称、产地、采收日期、质量等级及生产企业信息。</w:t>
      </w:r>
    </w:p>
    <w:p w14:paraId="707AF222">
      <w:pPr>
        <w:pStyle w:val="57"/>
        <w:bidi w:val="0"/>
        <w:rPr>
          <w:rFonts w:hint="eastAsia"/>
        </w:rPr>
      </w:pPr>
      <w:r>
        <w:rPr>
          <w:rFonts w:hint="eastAsia"/>
        </w:rPr>
        <w:t>运输：避免挤压、高温及阳光直射，运输温度控制在2-8℃。</w:t>
      </w:r>
    </w:p>
    <w:p w14:paraId="24E5FD9D">
      <w:pPr>
        <w:pStyle w:val="57"/>
        <w:bidi w:val="0"/>
        <w:rPr>
          <w:rFonts w:hint="eastAsia"/>
        </w:rPr>
      </w:pPr>
      <w:r>
        <w:rPr>
          <w:rFonts w:hint="eastAsia"/>
        </w:rPr>
        <w:t>贮存：短期贮存（≤7天）温度4-10℃，长期贮存（＞7天）温度-2-0℃。</w:t>
      </w:r>
    </w:p>
    <w:p w14:paraId="423DA028">
      <w:pPr>
        <w:pStyle w:val="105"/>
        <w:spacing w:before="312" w:after="312"/>
      </w:pPr>
      <w:bookmarkStart w:id="55" w:name="_Toc11617"/>
      <w:r>
        <w:rPr>
          <w:rFonts w:hint="eastAsia"/>
        </w:rPr>
        <w:t>记录与档案管理</w:t>
      </w:r>
      <w:bookmarkEnd w:id="55"/>
    </w:p>
    <w:p w14:paraId="0038CBFF">
      <w:pPr>
        <w:pStyle w:val="57"/>
        <w:bidi w:val="0"/>
        <w:rPr>
          <w:rFonts w:hint="eastAsia"/>
        </w:rPr>
      </w:pPr>
      <w:r>
        <w:rPr>
          <w:rFonts w:hint="eastAsia"/>
        </w:rPr>
        <w:t>建立天麻种苗繁殖的详细记录档案以总结经验教训并指导后续工作。记录内容应包括母麻选择、场地</w:t>
      </w:r>
      <w:r>
        <w:rPr>
          <w:rFonts w:hint="eastAsia"/>
          <w:lang w:val="en-US" w:eastAsia="zh-CN"/>
        </w:rPr>
        <w:t>选择</w:t>
      </w:r>
      <w:r>
        <w:rPr>
          <w:rFonts w:hint="eastAsia"/>
        </w:rPr>
        <w:t>、</w:t>
      </w:r>
      <w:r>
        <w:rPr>
          <w:rFonts w:hint="eastAsia"/>
          <w:lang w:val="en-US" w:eastAsia="zh-CN"/>
        </w:rPr>
        <w:t>箭麻培植</w:t>
      </w:r>
      <w:r>
        <w:rPr>
          <w:rFonts w:hint="eastAsia"/>
        </w:rPr>
        <w:t>、</w:t>
      </w:r>
      <w:r>
        <w:rPr>
          <w:rFonts w:hint="eastAsia"/>
          <w:lang w:val="en-US" w:eastAsia="zh-CN"/>
        </w:rPr>
        <w:t>人工</w:t>
      </w:r>
      <w:r>
        <w:rPr>
          <w:rFonts w:hint="eastAsia"/>
        </w:rPr>
        <w:t>授粉、种子采收、</w:t>
      </w:r>
      <w:r>
        <w:rPr>
          <w:rFonts w:hint="eastAsia"/>
          <w:lang w:val="en-US" w:eastAsia="zh-CN"/>
        </w:rPr>
        <w:t>拌种</w:t>
      </w:r>
      <w:r>
        <w:rPr>
          <w:rFonts w:hint="eastAsia"/>
        </w:rPr>
        <w:t>、</w:t>
      </w:r>
      <w:r>
        <w:rPr>
          <w:rFonts w:hint="eastAsia"/>
          <w:lang w:val="en-US" w:eastAsia="zh-CN"/>
        </w:rPr>
        <w:t>种苗培育、培育管理</w:t>
      </w:r>
      <w:r>
        <w:rPr>
          <w:rFonts w:hint="eastAsia"/>
        </w:rPr>
        <w:t>及种苗采收等各个环节的详细情况和数据。</w:t>
      </w:r>
    </w:p>
    <w:p w14:paraId="328D3885">
      <w:pPr>
        <w:pStyle w:val="57"/>
        <w:bidi w:val="0"/>
        <w:rPr>
          <w:rFonts w:hint="eastAsia"/>
        </w:rPr>
      </w:pPr>
    </w:p>
    <w:p w14:paraId="38DEA70B">
      <w:pPr>
        <w:pStyle w:val="57"/>
        <w:bidi w:val="0"/>
        <w:ind w:left="0" w:leftChars="0" w:firstLine="0" w:firstLineChars="0"/>
        <w:rPr>
          <w:rFonts w:hint="eastAsia"/>
        </w:rPr>
      </w:pPr>
    </w:p>
    <w:p w14:paraId="0F64D064">
      <w:pPr>
        <w:pStyle w:val="57"/>
        <w:bidi w:val="0"/>
        <w:ind w:left="0" w:leftChars="0" w:firstLine="0" w:firstLineChars="0"/>
        <w:rPr>
          <w:rFonts w:hint="eastAsia"/>
        </w:rPr>
      </w:pPr>
    </w:p>
    <w:p w14:paraId="3B690D21">
      <w:pPr>
        <w:pStyle w:val="57"/>
        <w:bidi w:val="0"/>
        <w:ind w:left="0" w:leftChars="0" w:firstLine="0" w:firstLineChars="0"/>
        <w:rPr>
          <w:rFonts w:hint="eastAsia"/>
        </w:rPr>
      </w:pPr>
    </w:p>
    <w:p w14:paraId="6C2396B1">
      <w:pPr>
        <w:pStyle w:val="57"/>
        <w:bidi w:val="0"/>
        <w:ind w:left="0" w:leftChars="0" w:firstLine="0" w:firstLineChars="0"/>
        <w:rPr>
          <w:rFonts w:hint="eastAsia"/>
        </w:rPr>
      </w:pPr>
    </w:p>
    <w:p w14:paraId="59AEACE4">
      <w:pPr>
        <w:pStyle w:val="57"/>
        <w:bidi w:val="0"/>
        <w:ind w:left="0" w:leftChars="0" w:firstLine="0" w:firstLineChars="0"/>
        <w:rPr>
          <w:rFonts w:hint="eastAsia"/>
        </w:rPr>
      </w:pPr>
    </w:p>
    <w:p w14:paraId="498AD4F3">
      <w:pPr>
        <w:pStyle w:val="57"/>
        <w:bidi w:val="0"/>
        <w:ind w:left="0" w:leftChars="0" w:firstLine="0" w:firstLineChars="0"/>
        <w:rPr>
          <w:rFonts w:hint="eastAsia"/>
        </w:rPr>
      </w:pPr>
    </w:p>
    <w:p w14:paraId="1730D9F9">
      <w:pPr>
        <w:pStyle w:val="57"/>
        <w:bidi w:val="0"/>
        <w:ind w:left="0" w:leftChars="0" w:firstLine="0" w:firstLineChars="0"/>
        <w:rPr>
          <w:rFonts w:hint="eastAsia"/>
        </w:rPr>
      </w:pPr>
    </w:p>
    <w:p w14:paraId="7EE3E534">
      <w:pPr>
        <w:pStyle w:val="57"/>
        <w:bidi w:val="0"/>
        <w:ind w:left="0" w:leftChars="0" w:firstLine="0" w:firstLineChars="0"/>
        <w:rPr>
          <w:rFonts w:hint="eastAsia"/>
        </w:rPr>
      </w:pPr>
    </w:p>
    <w:p w14:paraId="4B1753CA">
      <w:pPr>
        <w:pStyle w:val="57"/>
        <w:bidi w:val="0"/>
        <w:ind w:left="0" w:leftChars="0" w:firstLine="0" w:firstLineChars="0"/>
        <w:rPr>
          <w:rFonts w:hint="eastAsia"/>
        </w:rPr>
      </w:pPr>
    </w:p>
    <w:p w14:paraId="0CB2AFCD">
      <w:pPr>
        <w:pStyle w:val="57"/>
        <w:bidi w:val="0"/>
        <w:ind w:left="0" w:leftChars="0" w:firstLine="0" w:firstLineChars="0"/>
        <w:rPr>
          <w:rFonts w:hint="eastAsia"/>
        </w:rPr>
      </w:pPr>
    </w:p>
    <w:p w14:paraId="76984F5E">
      <w:pPr>
        <w:pStyle w:val="57"/>
        <w:bidi w:val="0"/>
        <w:ind w:left="0" w:leftChars="0" w:firstLine="0" w:firstLineChars="0"/>
        <w:rPr>
          <w:rFonts w:hint="eastAsia"/>
        </w:rPr>
      </w:pPr>
    </w:p>
    <w:p w14:paraId="0FCE2075">
      <w:pPr>
        <w:pStyle w:val="57"/>
        <w:bidi w:val="0"/>
        <w:ind w:left="0" w:leftChars="0" w:firstLine="0" w:firstLineChars="0"/>
        <w:rPr>
          <w:rFonts w:hint="eastAsia"/>
        </w:rPr>
      </w:pPr>
    </w:p>
    <w:p w14:paraId="3BA2779F">
      <w:pPr>
        <w:pStyle w:val="57"/>
        <w:bidi w:val="0"/>
        <w:ind w:left="0" w:leftChars="0" w:firstLine="0" w:firstLineChars="0"/>
        <w:rPr>
          <w:rFonts w:hint="eastAsia"/>
        </w:rPr>
      </w:pPr>
    </w:p>
    <w:p w14:paraId="410B9664">
      <w:pPr>
        <w:pStyle w:val="57"/>
        <w:bidi w:val="0"/>
        <w:ind w:left="0" w:leftChars="0" w:firstLine="0" w:firstLineChars="0"/>
        <w:rPr>
          <w:rFonts w:hint="eastAsia"/>
        </w:rPr>
      </w:pPr>
    </w:p>
    <w:p w14:paraId="75D7A849">
      <w:pPr>
        <w:pStyle w:val="57"/>
        <w:bidi w:val="0"/>
        <w:ind w:left="0" w:leftChars="0" w:firstLine="0" w:firstLineChars="0"/>
        <w:rPr>
          <w:rFonts w:hint="eastAsia"/>
        </w:rPr>
      </w:pPr>
    </w:p>
    <w:p w14:paraId="70F5892D">
      <w:pPr>
        <w:pStyle w:val="57"/>
        <w:bidi w:val="0"/>
        <w:ind w:left="0" w:leftChars="0" w:firstLine="0" w:firstLineChars="0"/>
        <w:rPr>
          <w:rFonts w:hint="eastAsia"/>
        </w:rPr>
      </w:pPr>
    </w:p>
    <w:p w14:paraId="4A452695">
      <w:pPr>
        <w:pStyle w:val="57"/>
        <w:bidi w:val="0"/>
        <w:ind w:left="0" w:leftChars="0" w:firstLine="0" w:firstLineChars="0"/>
        <w:rPr>
          <w:rFonts w:hint="eastAsia"/>
        </w:rPr>
      </w:pPr>
    </w:p>
    <w:p w14:paraId="5AC129F2">
      <w:pPr>
        <w:pStyle w:val="57"/>
        <w:bidi w:val="0"/>
        <w:ind w:left="0" w:leftChars="0" w:firstLine="0" w:firstLineChars="0"/>
        <w:rPr>
          <w:rFonts w:hint="eastAsia"/>
        </w:rPr>
      </w:pPr>
    </w:p>
    <w:p w14:paraId="1A2616BB">
      <w:pPr>
        <w:pStyle w:val="77"/>
        <w:spacing w:after="156"/>
        <w:rPr>
          <w:rFonts w:hint="eastAsia"/>
        </w:rPr>
      </w:pPr>
      <w:bookmarkStart w:id="56" w:name="_Toc3151"/>
      <w:bookmarkStart w:id="57" w:name="_Toc24133"/>
      <w:r>
        <w:rPr>
          <w:rStyle w:val="231"/>
        </w:rPr>
        <w:br w:type="textWrapping"/>
      </w:r>
      <w:r>
        <w:rPr>
          <w:rFonts w:hint="eastAsia"/>
        </w:rPr>
        <w:t>（资料性）</w:t>
      </w:r>
      <w:r>
        <w:br w:type="textWrapping"/>
      </w:r>
      <w:r>
        <w:rPr>
          <w:rFonts w:hint="eastAsia"/>
          <w:color w:val="auto"/>
          <w:lang w:val="en-US" w:eastAsia="zh-CN"/>
        </w:rPr>
        <w:t>箭麻</w:t>
      </w:r>
      <w:r>
        <w:rPr>
          <w:rFonts w:hint="eastAsia"/>
        </w:rPr>
        <w:t>栽植</w:t>
      </w:r>
      <w:r>
        <w:rPr>
          <w:rFonts w:hint="eastAsia"/>
          <w:lang w:val="en-US" w:eastAsia="zh-CN"/>
        </w:rPr>
        <w:t>示意图</w:t>
      </w:r>
      <w:bookmarkEnd w:id="56"/>
      <w:bookmarkEnd w:id="57"/>
    </w:p>
    <w:p w14:paraId="0828D831">
      <w:pPr>
        <w:pStyle w:val="57"/>
        <w:ind w:left="0" w:leftChars="0" w:firstLine="0" w:firstLineChars="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A.1 箭麻栽植示意图</w:t>
      </w:r>
    </w:p>
    <w:p w14:paraId="37C718AD">
      <w:pPr>
        <w:pStyle w:val="57"/>
        <w:rPr>
          <w:rFonts w:hint="eastAsia"/>
          <w:lang w:val="en-US" w:eastAsia="zh-CN"/>
        </w:rPr>
      </w:pPr>
      <w:r>
        <w:rPr>
          <w:rFonts w:hint="eastAsia"/>
          <w:lang w:val="en-US" w:eastAsia="zh-CN"/>
        </w:rPr>
        <w:t xml:space="preserve">    </w:t>
      </w:r>
    </w:p>
    <w:p w14:paraId="49638EA2">
      <w:pPr>
        <w:pStyle w:val="57"/>
        <w:ind w:firstLine="420"/>
        <w:jc w:val="center"/>
        <w:rPr>
          <w:rFonts w:hint="eastAsia" w:ascii="黑体" w:hAnsi="黑体" w:eastAsia="黑体" w:cs="黑体"/>
          <w:lang w:val="en-US" w:eastAsia="zh-CN"/>
        </w:rPr>
      </w:pPr>
      <w:r>
        <w:rPr>
          <w:rFonts w:hint="eastAsia" w:ascii="黑体" w:hAnsi="黑体" w:eastAsia="黑体" w:cs="黑体"/>
          <w:lang w:val="en-US" w:eastAsia="zh-CN"/>
        </w:rPr>
        <w:t>图A.1 箭麻栽植示意图</w:t>
      </w:r>
    </w:p>
    <w:p w14:paraId="4793191E">
      <w:pPr>
        <w:pStyle w:val="57"/>
        <w:ind w:firstLine="420"/>
        <w:jc w:val="center"/>
        <w:rPr>
          <w:rFonts w:hint="eastAsia" w:ascii="黑体" w:hAnsi="黑体" w:eastAsia="黑体" w:cs="黑体"/>
          <w:lang w:val="en-US" w:eastAsia="zh-CN"/>
        </w:rPr>
      </w:pPr>
    </w:p>
    <w:bookmarkEnd w:id="26"/>
    <w:p w14:paraId="663C06A5">
      <w:pPr>
        <w:spacing w:line="240" w:lineRule="auto"/>
        <w:jc w:val="center"/>
        <w:rPr>
          <w:rFonts w:hint="eastAsia" w:eastAsia="宋体"/>
          <w:lang w:eastAsia="zh-CN"/>
        </w:rPr>
      </w:pPr>
      <w:bookmarkStart w:id="58" w:name="BookMark8"/>
      <w:r>
        <w:rPr>
          <w:rFonts w:hint="eastAsia" w:eastAsia="宋体"/>
          <w:lang w:eastAsia="zh-CN"/>
        </w:rPr>
        <w:drawing>
          <wp:inline distT="0" distB="0" distL="114300" distR="114300">
            <wp:extent cx="3779520" cy="3319145"/>
            <wp:effectExtent l="0" t="0" r="11430" b="14605"/>
            <wp:docPr id="6" name="图片 6" descr="人行授粉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人行授粉道"/>
                    <pic:cNvPicPr>
                      <a:picLocks noChangeAspect="1"/>
                    </pic:cNvPicPr>
                  </pic:nvPicPr>
                  <pic:blipFill>
                    <a:blip r:embed="rId16"/>
                    <a:stretch>
                      <a:fillRect/>
                    </a:stretch>
                  </pic:blipFill>
                  <pic:spPr>
                    <a:xfrm>
                      <a:off x="0" y="0"/>
                      <a:ext cx="3779520" cy="3319145"/>
                    </a:xfrm>
                    <a:prstGeom prst="rect">
                      <a:avLst/>
                    </a:prstGeom>
                  </pic:spPr>
                </pic:pic>
              </a:graphicData>
            </a:graphic>
          </wp:inline>
        </w:drawing>
      </w:r>
    </w:p>
    <w:p w14:paraId="4C6B37CF">
      <w:pPr>
        <w:rPr>
          <w:rFonts w:hint="eastAsia"/>
        </w:rPr>
      </w:pPr>
    </w:p>
    <w:p w14:paraId="37889C0D">
      <w:pPr>
        <w:rPr>
          <w:rFonts w:hint="eastAsia"/>
        </w:rPr>
      </w:pPr>
    </w:p>
    <w:p w14:paraId="028D7978">
      <w:pPr>
        <w:rPr>
          <w:rFonts w:hint="eastAsia"/>
        </w:rPr>
      </w:pPr>
    </w:p>
    <w:p w14:paraId="23C9ECC5">
      <w:pPr>
        <w:jc w:val="center"/>
        <w:rPr>
          <w:rFonts w:hint="eastAsia"/>
        </w:rPr>
      </w:pPr>
    </w:p>
    <w:p w14:paraId="77DBDEE5">
      <w:pPr>
        <w:jc w:val="center"/>
        <w:rPr>
          <w:rFonts w:hint="eastAsia"/>
        </w:rPr>
      </w:pPr>
      <w:r>
        <w:rPr>
          <w:rFonts w:hint="eastAsia"/>
        </w:rPr>
        <w:drawing>
          <wp:inline distT="0" distB="0" distL="0" distR="0">
            <wp:extent cx="1485900" cy="317500"/>
            <wp:effectExtent l="0" t="0" r="0" b="6350"/>
            <wp:docPr id="114755807" name="图片 1"/>
            <wp:cNvGraphicFramePr/>
            <a:graphic xmlns:a="http://schemas.openxmlformats.org/drawingml/2006/main">
              <a:graphicData uri="http://schemas.openxmlformats.org/drawingml/2006/picture">
                <pic:pic xmlns:pic="http://schemas.openxmlformats.org/drawingml/2006/picture">
                  <pic:nvPicPr>
                    <pic:cNvPr id="114755807"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pgSz w:w="11906" w:h="16838"/>
      <w:pgMar w:top="1928" w:right="1134" w:bottom="1134" w:left="1134" w:header="1418" w:footer="1134" w:gutter="284"/>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s>
  <wne:acds>
    <wne:acd wne:argValue="AgAHaMZRh2X2Tl8AtWs="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58B5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D93C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6B33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84F63">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3DE4A">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D136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F12C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A097F">
    <w:pPr>
      <w:pStyle w:val="62"/>
    </w:pPr>
    <w:r>
      <w:fldChar w:fldCharType="begin"/>
    </w:r>
    <w:r>
      <w:instrText xml:space="preserve"> STYLEREF  标准文件_文件编号  \* MERGEFORMAT </w:instrText>
    </w:r>
    <w:r>
      <w:fldChar w:fldCharType="separate"/>
    </w:r>
    <w:r>
      <w:t>DB 54/T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BF2C7">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54/T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forms" w:enforcement="1" w:cryptProviderType="rsaAES" w:cryptAlgorithmClass="hash" w:cryptAlgorithmType="typeAny" w:cryptAlgorithmSid="14" w:cryptSpinCount="100000" w:hash="Dj8rZtmPPGG7/teGR9AXd9XVvotPPMthtJeY7T2oQjNDyh1rMICtHUgf0h1SWq6g6eTCeDVWGxU1CxSOUIkSJw==" w:salt="dFYdQvP/DuzIHys4JcTM2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AwZWExNWZkZGI4YTc5NGZmMDkzZTg4NjIwOTA4NTMifQ=="/>
  </w:docVars>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2B7"/>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3C3"/>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5DA"/>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C8D"/>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561"/>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5A4"/>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B77"/>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0DBD"/>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38CF"/>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375FA"/>
    <w:rsid w:val="05290F57"/>
    <w:rsid w:val="057810E3"/>
    <w:rsid w:val="065F7326"/>
    <w:rsid w:val="0732464D"/>
    <w:rsid w:val="07FC0072"/>
    <w:rsid w:val="085602B5"/>
    <w:rsid w:val="09523172"/>
    <w:rsid w:val="0AA96DC2"/>
    <w:rsid w:val="0C344DB1"/>
    <w:rsid w:val="0CFA1C03"/>
    <w:rsid w:val="0E3966AF"/>
    <w:rsid w:val="0ECC12D1"/>
    <w:rsid w:val="0F0821CF"/>
    <w:rsid w:val="0FFA3C1C"/>
    <w:rsid w:val="11DA02A7"/>
    <w:rsid w:val="137837D5"/>
    <w:rsid w:val="1456266C"/>
    <w:rsid w:val="14627FE2"/>
    <w:rsid w:val="14922675"/>
    <w:rsid w:val="152C1099"/>
    <w:rsid w:val="17C0763B"/>
    <w:rsid w:val="17F733A3"/>
    <w:rsid w:val="1A156547"/>
    <w:rsid w:val="1A997D27"/>
    <w:rsid w:val="1B972C67"/>
    <w:rsid w:val="1BCD597D"/>
    <w:rsid w:val="1CA473E9"/>
    <w:rsid w:val="1D262139"/>
    <w:rsid w:val="1DBD368D"/>
    <w:rsid w:val="1E9D2342"/>
    <w:rsid w:val="1ED61CF8"/>
    <w:rsid w:val="1EDC730E"/>
    <w:rsid w:val="21275A6F"/>
    <w:rsid w:val="221B63A0"/>
    <w:rsid w:val="22EC3898"/>
    <w:rsid w:val="23290648"/>
    <w:rsid w:val="234A63AC"/>
    <w:rsid w:val="23A3664D"/>
    <w:rsid w:val="247B1377"/>
    <w:rsid w:val="25136316"/>
    <w:rsid w:val="25184E18"/>
    <w:rsid w:val="259D0E7A"/>
    <w:rsid w:val="25CC1956"/>
    <w:rsid w:val="27541A0C"/>
    <w:rsid w:val="297D524A"/>
    <w:rsid w:val="2A693A20"/>
    <w:rsid w:val="2AD811D7"/>
    <w:rsid w:val="2ADC41F2"/>
    <w:rsid w:val="2B0C0F7B"/>
    <w:rsid w:val="2B336ED3"/>
    <w:rsid w:val="2B955001"/>
    <w:rsid w:val="2C874E91"/>
    <w:rsid w:val="2D045593"/>
    <w:rsid w:val="2E4432E7"/>
    <w:rsid w:val="2E697DA6"/>
    <w:rsid w:val="2E6D2958"/>
    <w:rsid w:val="2F2A0425"/>
    <w:rsid w:val="30221728"/>
    <w:rsid w:val="30D616E4"/>
    <w:rsid w:val="313F28A6"/>
    <w:rsid w:val="31CD2AE7"/>
    <w:rsid w:val="32785148"/>
    <w:rsid w:val="32DE3C7A"/>
    <w:rsid w:val="33B03948"/>
    <w:rsid w:val="346C4839"/>
    <w:rsid w:val="34BC5799"/>
    <w:rsid w:val="350217F3"/>
    <w:rsid w:val="35A020FA"/>
    <w:rsid w:val="38DA0C2A"/>
    <w:rsid w:val="390E5EBF"/>
    <w:rsid w:val="39137979"/>
    <w:rsid w:val="3A192C93"/>
    <w:rsid w:val="3A5C3C90"/>
    <w:rsid w:val="3A9B5E78"/>
    <w:rsid w:val="3AD35612"/>
    <w:rsid w:val="3B9648E6"/>
    <w:rsid w:val="3BDE796D"/>
    <w:rsid w:val="3BE60E5F"/>
    <w:rsid w:val="3D121CF5"/>
    <w:rsid w:val="3D4233C6"/>
    <w:rsid w:val="3F0E4305"/>
    <w:rsid w:val="3F23643C"/>
    <w:rsid w:val="40E439A9"/>
    <w:rsid w:val="414F2677"/>
    <w:rsid w:val="435A7A82"/>
    <w:rsid w:val="44472BCC"/>
    <w:rsid w:val="44FC536A"/>
    <w:rsid w:val="45E00BE3"/>
    <w:rsid w:val="46F97624"/>
    <w:rsid w:val="47394F9D"/>
    <w:rsid w:val="494D2E6C"/>
    <w:rsid w:val="49A5461D"/>
    <w:rsid w:val="49CD147E"/>
    <w:rsid w:val="49F6573F"/>
    <w:rsid w:val="4AF46895"/>
    <w:rsid w:val="4C667968"/>
    <w:rsid w:val="4CFD094D"/>
    <w:rsid w:val="4E7F7A2B"/>
    <w:rsid w:val="4EA03D27"/>
    <w:rsid w:val="4F3B50DC"/>
    <w:rsid w:val="50011412"/>
    <w:rsid w:val="50A2190A"/>
    <w:rsid w:val="5124051D"/>
    <w:rsid w:val="52C65AFA"/>
    <w:rsid w:val="52F91536"/>
    <w:rsid w:val="53407165"/>
    <w:rsid w:val="54694499"/>
    <w:rsid w:val="54F508F3"/>
    <w:rsid w:val="55833339"/>
    <w:rsid w:val="55B77D28"/>
    <w:rsid w:val="58535244"/>
    <w:rsid w:val="58913FBE"/>
    <w:rsid w:val="58BC2ED3"/>
    <w:rsid w:val="5B667984"/>
    <w:rsid w:val="5BE023C7"/>
    <w:rsid w:val="5BEA5EBF"/>
    <w:rsid w:val="5DC95797"/>
    <w:rsid w:val="5DF9063C"/>
    <w:rsid w:val="5F200B07"/>
    <w:rsid w:val="5FA1401E"/>
    <w:rsid w:val="61532759"/>
    <w:rsid w:val="617F354E"/>
    <w:rsid w:val="61BD3D2D"/>
    <w:rsid w:val="636372EA"/>
    <w:rsid w:val="637675BB"/>
    <w:rsid w:val="649E1F3D"/>
    <w:rsid w:val="66157FDD"/>
    <w:rsid w:val="66540B05"/>
    <w:rsid w:val="6673696B"/>
    <w:rsid w:val="66824FD0"/>
    <w:rsid w:val="68571144"/>
    <w:rsid w:val="6A79436D"/>
    <w:rsid w:val="6CDC031A"/>
    <w:rsid w:val="6D5B09CB"/>
    <w:rsid w:val="6D7D3037"/>
    <w:rsid w:val="6EC00BE2"/>
    <w:rsid w:val="6FCE6675"/>
    <w:rsid w:val="707029DF"/>
    <w:rsid w:val="73093217"/>
    <w:rsid w:val="73102258"/>
    <w:rsid w:val="7338355D"/>
    <w:rsid w:val="75071439"/>
    <w:rsid w:val="76A553AD"/>
    <w:rsid w:val="78F13B18"/>
    <w:rsid w:val="79273075"/>
    <w:rsid w:val="7A28432B"/>
    <w:rsid w:val="7B7A2964"/>
    <w:rsid w:val="7C6045A9"/>
    <w:rsid w:val="7D751799"/>
    <w:rsid w:val="7DD44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字符"/>
    <w:link w:val="2"/>
    <w:autoRedefine/>
    <w:qFormat/>
    <w:uiPriority w:val="0"/>
    <w:rPr>
      <w:b/>
      <w:bCs/>
      <w:kern w:val="44"/>
      <w:sz w:val="44"/>
      <w:szCs w:val="44"/>
    </w:rPr>
  </w:style>
  <w:style w:type="character" w:customStyle="1" w:styleId="36">
    <w:name w:val="标题 2 字符"/>
    <w:link w:val="3"/>
    <w:autoRedefine/>
    <w:qFormat/>
    <w:uiPriority w:val="0"/>
    <w:rPr>
      <w:rFonts w:ascii="Arial" w:hAnsi="Arial" w:eastAsia="黑体"/>
      <w:b/>
      <w:bCs/>
      <w:kern w:val="2"/>
      <w:sz w:val="32"/>
      <w:szCs w:val="32"/>
    </w:rPr>
  </w:style>
  <w:style w:type="character" w:customStyle="1" w:styleId="37">
    <w:name w:val="标题 3 字符"/>
    <w:link w:val="4"/>
    <w:autoRedefine/>
    <w:qFormat/>
    <w:uiPriority w:val="0"/>
    <w:rPr>
      <w:b/>
      <w:bCs/>
      <w:kern w:val="2"/>
      <w:sz w:val="32"/>
      <w:szCs w:val="32"/>
    </w:rPr>
  </w:style>
  <w:style w:type="character" w:customStyle="1" w:styleId="38">
    <w:name w:val="标题 4 字符"/>
    <w:link w:val="5"/>
    <w:autoRedefine/>
    <w:qFormat/>
    <w:uiPriority w:val="0"/>
    <w:rPr>
      <w:rFonts w:ascii="Arial" w:hAnsi="Arial" w:eastAsia="黑体"/>
      <w:b/>
      <w:bCs/>
      <w:kern w:val="2"/>
      <w:sz w:val="28"/>
      <w:szCs w:val="28"/>
    </w:rPr>
  </w:style>
  <w:style w:type="character" w:customStyle="1" w:styleId="39">
    <w:name w:val="标题 5 字符"/>
    <w:link w:val="6"/>
    <w:autoRedefine/>
    <w:qFormat/>
    <w:uiPriority w:val="0"/>
    <w:rPr>
      <w:b/>
      <w:bCs/>
      <w:kern w:val="2"/>
      <w:sz w:val="28"/>
      <w:szCs w:val="28"/>
    </w:rPr>
  </w:style>
  <w:style w:type="character" w:customStyle="1" w:styleId="40">
    <w:name w:val="标题 6 字符"/>
    <w:link w:val="7"/>
    <w:autoRedefine/>
    <w:qFormat/>
    <w:uiPriority w:val="0"/>
    <w:rPr>
      <w:rFonts w:ascii="Arial" w:hAnsi="Arial" w:eastAsia="黑体"/>
      <w:b/>
      <w:bCs/>
      <w:kern w:val="2"/>
      <w:sz w:val="24"/>
      <w:szCs w:val="24"/>
    </w:rPr>
  </w:style>
  <w:style w:type="character" w:customStyle="1" w:styleId="41">
    <w:name w:val="标题 7 字符"/>
    <w:link w:val="8"/>
    <w:autoRedefine/>
    <w:qFormat/>
    <w:uiPriority w:val="0"/>
    <w:rPr>
      <w:b/>
      <w:bCs/>
      <w:kern w:val="2"/>
      <w:sz w:val="24"/>
      <w:szCs w:val="24"/>
    </w:rPr>
  </w:style>
  <w:style w:type="character" w:customStyle="1" w:styleId="42">
    <w:name w:val="标题 8 字符"/>
    <w:link w:val="9"/>
    <w:autoRedefine/>
    <w:qFormat/>
    <w:uiPriority w:val="0"/>
    <w:rPr>
      <w:rFonts w:ascii="Arial" w:hAnsi="Arial" w:eastAsia="黑体"/>
      <w:kern w:val="2"/>
      <w:sz w:val="24"/>
      <w:szCs w:val="24"/>
    </w:rPr>
  </w:style>
  <w:style w:type="character" w:customStyle="1" w:styleId="43">
    <w:name w:val="标题 9 字符"/>
    <w:link w:val="10"/>
    <w:autoRedefine/>
    <w:qFormat/>
    <w:uiPriority w:val="0"/>
    <w:rPr>
      <w:rFonts w:ascii="Arial" w:hAnsi="Arial" w:eastAsia="黑体"/>
      <w:kern w:val="2"/>
      <w:sz w:val="21"/>
      <w:szCs w:val="21"/>
    </w:rPr>
  </w:style>
  <w:style w:type="character" w:customStyle="1" w:styleId="44">
    <w:name w:val="页眉 字符"/>
    <w:link w:val="18"/>
    <w:autoRedefine/>
    <w:qFormat/>
    <w:uiPriority w:val="99"/>
    <w:rPr>
      <w:kern w:val="2"/>
      <w:sz w:val="18"/>
      <w:szCs w:val="18"/>
    </w:rPr>
  </w:style>
  <w:style w:type="character" w:customStyle="1" w:styleId="45">
    <w:name w:val="页脚 字符"/>
    <w:link w:val="17"/>
    <w:autoRedefine/>
    <w:qFormat/>
    <w:uiPriority w:val="99"/>
    <w:rPr>
      <w:rFonts w:ascii="宋体"/>
      <w:kern w:val="2"/>
      <w:sz w:val="18"/>
      <w:szCs w:val="18"/>
    </w:rPr>
  </w:style>
  <w:style w:type="character" w:customStyle="1" w:styleId="46">
    <w:name w:val="批注框文本 字符"/>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kern w:val="2"/>
      <w:sz w:val="21"/>
      <w:szCs w:val="21"/>
    </w:rPr>
  </w:style>
  <w:style w:type="character" w:customStyle="1" w:styleId="49">
    <w:name w:val="标题 字符"/>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Subtle Reference"/>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autoRedefine/>
    <w:semiHidden/>
    <w:qFormat/>
    <w:uiPriority w:val="0"/>
    <w:rPr>
      <w:rFonts w:ascii="宋体"/>
      <w:kern w:val="2"/>
      <w:sz w:val="18"/>
      <w:szCs w:val="18"/>
    </w:rPr>
  </w:style>
  <w:style w:type="paragraph" w:customStyle="1" w:styleId="101">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link w:val="231"/>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Times New Roman" w:hAnsi="Times New Roman" w:eastAsia="宋体"/>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firstLine="0" w:firstLineChars="0"/>
    </w:pPr>
  </w:style>
  <w:style w:type="paragraph" w:customStyle="1" w:styleId="189">
    <w:name w:val="标准文件_三级项2"/>
    <w:basedOn w:val="57"/>
    <w:autoRedefine/>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character" w:customStyle="1" w:styleId="231">
    <w:name w:val="标准文件_附录标题 Char"/>
    <w:link w:val="171"/>
    <w:autoRedefine/>
    <w:qFormat/>
    <w:uiPriority w:val="0"/>
  </w:style>
  <w:style w:type="paragraph" w:customStyle="1" w:styleId="232">
    <w:name w:val="段"/>
    <w:basedOn w:val="1"/>
    <w:autoRedefine/>
    <w:qFormat/>
    <w:uiPriority w:val="0"/>
    <w:pPr>
      <w:adjustRightInd/>
      <w:spacing w:line="240" w:lineRule="auto"/>
      <w:ind w:firstLine="425"/>
    </w:pPr>
    <w:rPr>
      <w:rFonts w:ascii="Times New Roman" w:hAnsi="Times New Roman" w:eastAsia="宋体"/>
      <w:szCs w:val="20"/>
    </w:rPr>
  </w:style>
  <w:style w:type="paragraph" w:styleId="233">
    <w:name w:val="List Paragraph"/>
    <w:basedOn w:val="1"/>
    <w:autoRedefine/>
    <w:qFormat/>
    <w:uiPriority w:val="99"/>
    <w:pPr>
      <w:ind w:firstLine="420" w:firstLineChars="20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75DD88E54E64AF38F7446A4B35E30CE"/>
        <w:style w:val=""/>
        <w:category>
          <w:name w:val="常规"/>
          <w:gallery w:val="placeholder"/>
        </w:category>
        <w:types>
          <w:type w:val="bbPlcHdr"/>
        </w:types>
        <w:behaviors>
          <w:behavior w:val="content"/>
        </w:behaviors>
        <w:description w:val=""/>
        <w:guid w:val="{DC5899F6-FA11-4515-ADC9-3A01C376AAF5}"/>
      </w:docPartPr>
      <w:docPartBody>
        <w:p w14:paraId="2EF8D3A8">
          <w:pPr>
            <w:pStyle w:val="5"/>
          </w:pPr>
          <w:r>
            <w:rPr>
              <w:rStyle w:val="4"/>
              <w:rFonts w:hint="eastAsia"/>
            </w:rPr>
            <w:t>单击或点击此处输入文字。</w:t>
          </w:r>
        </w:p>
      </w:docPartBody>
    </w:docPart>
    <w:docPart>
      <w:docPartPr>
        <w:name w:val="9125D7956BD947EB9A3F988E57667126"/>
        <w:style w:val=""/>
        <w:category>
          <w:name w:val="常规"/>
          <w:gallery w:val="placeholder"/>
        </w:category>
        <w:types>
          <w:type w:val="bbPlcHdr"/>
        </w:types>
        <w:behaviors>
          <w:behavior w:val="content"/>
        </w:behaviors>
        <w:description w:val=""/>
        <w:guid w:val="{6EE9C4E3-1D1E-442D-BE0D-90995C1E37AF}"/>
      </w:docPartPr>
      <w:docPartBody>
        <w:p w14:paraId="1C58CC95">
          <w:pPr>
            <w:pStyle w:val="6"/>
          </w:pPr>
          <w:r>
            <w:rPr>
              <w:rStyle w:val="4"/>
              <w:rFonts w:hint="eastAsia"/>
            </w:rPr>
            <w:t>选择一项。</w:t>
          </w:r>
        </w:p>
      </w:docPartBody>
    </w:docPart>
    <w:docPart>
      <w:docPartPr>
        <w:name w:val="B04D20D2FF8A40ED9C8B65EF6538AD32"/>
        <w:style w:val=""/>
        <w:category>
          <w:name w:val="常规"/>
          <w:gallery w:val="placeholder"/>
        </w:category>
        <w:types>
          <w:type w:val="bbPlcHdr"/>
        </w:types>
        <w:behaviors>
          <w:behavior w:val="content"/>
        </w:behaviors>
        <w:description w:val=""/>
        <w:guid w:val="{D6E3E0C0-06B2-4586-935B-262F2E3916EE}"/>
      </w:docPartPr>
      <w:docPartBody>
        <w:p w14:paraId="1E9D565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1BB"/>
    <w:rsid w:val="003C7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275DD88E54E64AF38F7446A4B35E30CE"/>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125D7956BD947EB9A3F988E57667126"/>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B04D20D2FF8A40ED9C8B65EF6538AD3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3344</Words>
  <Characters>3645</Characters>
  <Lines>240</Lines>
  <Paragraphs>216</Paragraphs>
  <TotalTime>1</TotalTime>
  <ScaleCrop>false</ScaleCrop>
  <LinksUpToDate>false</LinksUpToDate>
  <CharactersWithSpaces>3715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2024-04-11T02:21:00Z</dcterms:created>
  <dc:creator>pc</dc:creator>
  <dc:description>&lt;config cover="true" show_menu="true" version="1.0.0" doctype="SDKXY"&gt;_x000d_
&lt;/config&gt;</dc:description>
  <cp:lastModifiedBy>白振華</cp:lastModifiedBy>
  <cp:lastPrinted>2025-06-19T02:15:00Z</cp:lastPrinted>
  <dcterms:modified xsi:type="dcterms:W3CDTF">2025-06-24T11:45:41Z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E2558BFF820C4B1F9BD645FD8A49EF19_12</vt:lpwstr>
  </property>
  <property fmtid="{D5CDD505-2E9C-101B-9397-08002B2CF9AE}" pid="16" name="KSOTemplateDocerSaveRecord">
    <vt:lpwstr>eyJoZGlkIjoiYTAwZWExNWZkZGI4YTc5NGZmMDkzZTg4NjIwOTA4NTMiLCJ1c2VySWQiOiI1OTEzMzU5OTAifQ==</vt:lpwstr>
  </property>
</Properties>
</file>