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3A505BE" w14:textId="77777777" w:rsidTr="007B7453">
        <w:tc>
          <w:tcPr>
            <w:tcW w:w="509" w:type="dxa"/>
          </w:tcPr>
          <w:p w14:paraId="1074598A"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A9BBCC0" w14:textId="6C0719A9"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sidR="002D3278" w:rsidRPr="002D3278">
              <w:rPr>
                <w:rFonts w:ascii="黑体" w:eastAsia="黑体" w:hAnsi="黑体" w:hint="eastAsia"/>
                <w:sz w:val="21"/>
                <w:szCs w:val="21"/>
              </w:rPr>
              <w:t>65.020.30</w:t>
            </w:r>
            <w:r>
              <w:rPr>
                <w:rFonts w:ascii="黑体" w:eastAsia="黑体" w:hAnsi="黑体"/>
                <w:sz w:val="21"/>
                <w:szCs w:val="21"/>
              </w:rPr>
              <w:fldChar w:fldCharType="end"/>
            </w:r>
            <w:bookmarkEnd w:id="0"/>
          </w:p>
        </w:tc>
      </w:tr>
      <w:tr w:rsidR="007B7453" w:rsidRPr="00672BFD" w14:paraId="20F22451" w14:textId="77777777" w:rsidTr="007B7453">
        <w:tc>
          <w:tcPr>
            <w:tcW w:w="509" w:type="dxa"/>
          </w:tcPr>
          <w:p w14:paraId="0CDA046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2E75D47" w14:textId="0769B07D"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D3278">
              <w:rPr>
                <w:rFonts w:ascii="黑体" w:eastAsia="黑体" w:hAnsi="黑体" w:hint="eastAsia"/>
                <w:sz w:val="21"/>
                <w:szCs w:val="21"/>
              </w:rPr>
              <w:t>B41</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5182A26" w14:textId="77777777" w:rsidTr="00DF5F11">
        <w:tc>
          <w:tcPr>
            <w:tcW w:w="6407" w:type="dxa"/>
          </w:tcPr>
          <w:p w14:paraId="046801C2" w14:textId="73228D07"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2D42E72D" wp14:editId="7AAB6D28">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972EC">
              <w:rPr>
                <w:rFonts w:hint="eastAsia"/>
              </w:rPr>
              <w:t>54</w:t>
            </w:r>
            <w:r>
              <w:fldChar w:fldCharType="end"/>
            </w:r>
            <w:bookmarkEnd w:id="3"/>
          </w:p>
        </w:tc>
      </w:tr>
    </w:tbl>
    <w:p w14:paraId="2B15AFE6" w14:textId="0E89B812"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C3376">
        <w:rPr>
          <w:rFonts w:ascii="黑体" w:eastAsia="黑体" w:hint="eastAsia"/>
          <w:b w:val="0"/>
          <w:w w:val="100"/>
          <w:sz w:val="48"/>
        </w:rPr>
        <w:t xml:space="preserve"> 西藏自治区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A09D7F4"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66AE9DD4"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3E9C753"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D878022" wp14:editId="724B61B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B4A83"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A9097EA"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820C0E7" w14:textId="0F91CD70"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972EC">
        <w:rPr>
          <w:rFonts w:hint="eastAsia"/>
        </w:rPr>
        <w:t>牦牛大肠杆菌、多杀性巴氏杆菌和产气荚膜梭菌多重PCR检测技术规程</w:t>
      </w:r>
      <w:r>
        <w:fldChar w:fldCharType="end"/>
      </w:r>
      <w:bookmarkEnd w:id="9"/>
    </w:p>
    <w:p w14:paraId="0B95300B" w14:textId="77777777" w:rsidR="00815419" w:rsidRPr="00815419" w:rsidRDefault="00815419" w:rsidP="00324EDD">
      <w:pPr>
        <w:framePr w:w="9639" w:h="6974" w:hRule="exact" w:wrap="around" w:vAnchor="page" w:hAnchor="page" w:x="1419" w:y="6408" w:anchorLock="1"/>
        <w:ind w:left="-1418"/>
      </w:pPr>
    </w:p>
    <w:p w14:paraId="7560CC77" w14:textId="409A03C5"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03137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14:paraId="1D90F375" w14:textId="77777777" w:rsidR="00815419" w:rsidRPr="00324EDD" w:rsidRDefault="00815419" w:rsidP="00324EDD">
      <w:pPr>
        <w:framePr w:w="9639" w:h="6974" w:hRule="exact" w:wrap="around" w:vAnchor="page" w:hAnchor="page" w:x="1419" w:y="6408" w:anchorLock="1"/>
        <w:spacing w:line="760" w:lineRule="exact"/>
        <w:ind w:left="-1418"/>
      </w:pPr>
    </w:p>
    <w:p w14:paraId="5CD89DA7"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D24FAD0" w14:textId="18E880F3"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0EB6F407" w14:textId="2ED2094C"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D0766A">
        <w:rPr>
          <w:noProof/>
          <w:sz w:val="21"/>
          <w:szCs w:val="28"/>
        </w:rPr>
        <w:t> </w:t>
      </w:r>
      <w:r w:rsidR="00D0766A">
        <w:rPr>
          <w:noProof/>
          <w:sz w:val="21"/>
          <w:szCs w:val="28"/>
        </w:rPr>
        <w:t> </w:t>
      </w:r>
      <w:r w:rsidR="00D0766A">
        <w:rPr>
          <w:noProof/>
          <w:sz w:val="21"/>
          <w:szCs w:val="28"/>
        </w:rPr>
        <w:t> </w:t>
      </w:r>
      <w:r w:rsidR="00D0766A">
        <w:rPr>
          <w:noProof/>
          <w:sz w:val="21"/>
          <w:szCs w:val="28"/>
        </w:rPr>
        <w:t> </w:t>
      </w:r>
      <w:r w:rsidR="00D0766A">
        <w:rPr>
          <w:noProof/>
          <w:sz w:val="21"/>
          <w:szCs w:val="28"/>
        </w:rPr>
        <w:t> </w:t>
      </w:r>
      <w:r>
        <w:rPr>
          <w:noProof/>
          <w:sz w:val="21"/>
          <w:szCs w:val="28"/>
        </w:rPr>
        <w:fldChar w:fldCharType="end"/>
      </w:r>
      <w:bookmarkEnd w:id="12"/>
    </w:p>
    <w:p w14:paraId="1BBC6AC4"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65899DA" w14:textId="756ABA5A"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3F46B5">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012FFF6"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3F249F2" w14:textId="7CF6E2B5"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D3278">
        <w:rPr>
          <w:rFonts w:hAnsi="黑体" w:hint="eastAsia"/>
          <w:w w:val="100"/>
          <w:sz w:val="28"/>
        </w:rPr>
        <w:t>西藏自治区市场监督管理局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10BB0FD"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0F02FEC" wp14:editId="296B628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4E54A"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3377BF2C" w14:textId="77777777" w:rsidR="00FF7395" w:rsidRDefault="00FF7395" w:rsidP="00FF7395">
      <w:pPr>
        <w:pStyle w:val="affffff2"/>
        <w:spacing w:after="468"/>
      </w:pPr>
      <w:bookmarkStart w:id="21" w:name="BookMark1"/>
      <w:bookmarkStart w:id="22" w:name="_Toc201594336"/>
      <w:bookmarkStart w:id="23" w:name="_Toc201594352"/>
      <w:bookmarkStart w:id="24" w:name="_Toc202013839"/>
      <w:bookmarkStart w:id="25" w:name="_Toc202017406"/>
      <w:bookmarkStart w:id="26" w:name="_Toc202345266"/>
      <w:bookmarkStart w:id="27" w:name="_Toc202357935"/>
      <w:r w:rsidRPr="00FF7395">
        <w:rPr>
          <w:rFonts w:hint="eastAsia"/>
          <w:spacing w:val="320"/>
        </w:rPr>
        <w:lastRenderedPageBreak/>
        <w:t>目</w:t>
      </w:r>
      <w:r>
        <w:rPr>
          <w:rFonts w:hint="eastAsia"/>
        </w:rPr>
        <w:t>次</w:t>
      </w:r>
    </w:p>
    <w:p w14:paraId="75BCD5C1" w14:textId="6B073404"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FF7395">
        <w:fldChar w:fldCharType="begin"/>
      </w:r>
      <w:r w:rsidRPr="00FF7395">
        <w:instrText xml:space="preserve"> TOC \o "1-1" \h </w:instrText>
      </w:r>
      <w:r w:rsidRPr="00FF7395">
        <w:fldChar w:fldCharType="separate"/>
      </w:r>
      <w:hyperlink w:anchor="_Toc202445805" w:history="1">
        <w:r w:rsidRPr="00FF7395">
          <w:rPr>
            <w:rStyle w:val="affffffe"/>
            <w:rFonts w:hint="eastAsia"/>
            <w:noProof/>
          </w:rPr>
          <w:t>前言</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_Toc202445805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II</w:t>
        </w:r>
        <w:r w:rsidRPr="00FF7395">
          <w:rPr>
            <w:rFonts w:hint="eastAsia"/>
            <w:noProof/>
          </w:rPr>
          <w:fldChar w:fldCharType="end"/>
        </w:r>
      </w:hyperlink>
    </w:p>
    <w:p w14:paraId="68614C31" w14:textId="6ACA92AC"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445806" w:history="1">
        <w:r w:rsidRPr="00FF7395">
          <w:rPr>
            <w:rStyle w:val="affffffe"/>
            <w:rFonts w:hint="eastAsia"/>
            <w:noProof/>
          </w:rPr>
          <w:t>1</w:t>
        </w:r>
        <w:r>
          <w:rPr>
            <w:rStyle w:val="affffffe"/>
            <w:noProof/>
          </w:rPr>
          <w:t xml:space="preserve"> </w:t>
        </w:r>
        <w:r w:rsidRPr="00FF7395">
          <w:rPr>
            <w:rStyle w:val="affffffe"/>
            <w:rFonts w:hint="eastAsia"/>
            <w:noProof/>
          </w:rPr>
          <w:t xml:space="preserve"> 范围</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_Toc202445806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1</w:t>
        </w:r>
        <w:r w:rsidRPr="00FF7395">
          <w:rPr>
            <w:rFonts w:hint="eastAsia"/>
            <w:noProof/>
          </w:rPr>
          <w:fldChar w:fldCharType="end"/>
        </w:r>
      </w:hyperlink>
    </w:p>
    <w:p w14:paraId="77B4D009" w14:textId="16A2A8D8"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445807" w:history="1">
        <w:r w:rsidRPr="00FF7395">
          <w:rPr>
            <w:rStyle w:val="affffffe"/>
            <w:rFonts w:hint="eastAsia"/>
            <w:noProof/>
          </w:rPr>
          <w:t>2</w:t>
        </w:r>
        <w:r>
          <w:rPr>
            <w:rStyle w:val="affffffe"/>
            <w:noProof/>
          </w:rPr>
          <w:t xml:space="preserve"> </w:t>
        </w:r>
        <w:r w:rsidRPr="00FF7395">
          <w:rPr>
            <w:rStyle w:val="affffffe"/>
            <w:rFonts w:hint="eastAsia"/>
            <w:noProof/>
          </w:rPr>
          <w:t xml:space="preserve"> 规范性引用文件</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_Toc202445807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1</w:t>
        </w:r>
        <w:r w:rsidRPr="00FF7395">
          <w:rPr>
            <w:rFonts w:hint="eastAsia"/>
            <w:noProof/>
          </w:rPr>
          <w:fldChar w:fldCharType="end"/>
        </w:r>
      </w:hyperlink>
    </w:p>
    <w:p w14:paraId="6E9DDA1C" w14:textId="6BE786B5"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445808" w:history="1">
        <w:r w:rsidRPr="00FF7395">
          <w:rPr>
            <w:rStyle w:val="affffffe"/>
            <w:rFonts w:hint="eastAsia"/>
            <w:noProof/>
          </w:rPr>
          <w:t>3</w:t>
        </w:r>
        <w:r>
          <w:rPr>
            <w:rStyle w:val="affffffe"/>
            <w:noProof/>
          </w:rPr>
          <w:t xml:space="preserve"> </w:t>
        </w:r>
        <w:r w:rsidRPr="00FF7395">
          <w:rPr>
            <w:rStyle w:val="affffffe"/>
            <w:rFonts w:hint="eastAsia"/>
            <w:noProof/>
          </w:rPr>
          <w:t xml:space="preserve"> 术语和定义</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_Toc202445808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1</w:t>
        </w:r>
        <w:r w:rsidRPr="00FF7395">
          <w:rPr>
            <w:rFonts w:hint="eastAsia"/>
            <w:noProof/>
          </w:rPr>
          <w:fldChar w:fldCharType="end"/>
        </w:r>
      </w:hyperlink>
    </w:p>
    <w:p w14:paraId="38C5534B" w14:textId="3C8CC9E5"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445809" w:history="1">
        <w:r w:rsidRPr="00FF7395">
          <w:rPr>
            <w:rStyle w:val="affffffe"/>
            <w:rFonts w:hint="eastAsia"/>
            <w:noProof/>
          </w:rPr>
          <w:t>4</w:t>
        </w:r>
        <w:r>
          <w:rPr>
            <w:rStyle w:val="affffffe"/>
            <w:noProof/>
          </w:rPr>
          <w:t xml:space="preserve"> </w:t>
        </w:r>
        <w:r w:rsidRPr="00FF7395">
          <w:rPr>
            <w:rStyle w:val="affffffe"/>
            <w:rFonts w:hint="eastAsia"/>
            <w:noProof/>
          </w:rPr>
          <w:t xml:space="preserve"> 缩略语</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_Toc202445809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1</w:t>
        </w:r>
        <w:r w:rsidRPr="00FF7395">
          <w:rPr>
            <w:rFonts w:hint="eastAsia"/>
            <w:noProof/>
          </w:rPr>
          <w:fldChar w:fldCharType="end"/>
        </w:r>
      </w:hyperlink>
    </w:p>
    <w:p w14:paraId="0519261D" w14:textId="5F9E8008"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445810" w:history="1">
        <w:r w:rsidRPr="00FF7395">
          <w:rPr>
            <w:rStyle w:val="affffffe"/>
            <w:rFonts w:hint="eastAsia"/>
            <w:noProof/>
          </w:rPr>
          <w:t>5</w:t>
        </w:r>
        <w:r>
          <w:rPr>
            <w:rStyle w:val="affffffe"/>
            <w:noProof/>
          </w:rPr>
          <w:t xml:space="preserve"> </w:t>
        </w:r>
        <w:r w:rsidRPr="00FF7395">
          <w:rPr>
            <w:rStyle w:val="affffffe"/>
            <w:rFonts w:hint="eastAsia"/>
            <w:noProof/>
          </w:rPr>
          <w:t xml:space="preserve"> 试剂或材料</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_Toc202445810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1</w:t>
        </w:r>
        <w:r w:rsidRPr="00FF7395">
          <w:rPr>
            <w:rFonts w:hint="eastAsia"/>
            <w:noProof/>
          </w:rPr>
          <w:fldChar w:fldCharType="end"/>
        </w:r>
      </w:hyperlink>
    </w:p>
    <w:p w14:paraId="30D7CD0D" w14:textId="4E724179"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445811" w:history="1">
        <w:r w:rsidRPr="00FF7395">
          <w:rPr>
            <w:rStyle w:val="affffffe"/>
            <w:rFonts w:hint="eastAsia"/>
            <w:noProof/>
          </w:rPr>
          <w:t>6</w:t>
        </w:r>
        <w:r>
          <w:rPr>
            <w:rStyle w:val="affffffe"/>
            <w:noProof/>
          </w:rPr>
          <w:t xml:space="preserve"> </w:t>
        </w:r>
        <w:r w:rsidRPr="00FF7395">
          <w:rPr>
            <w:rStyle w:val="affffffe"/>
            <w:rFonts w:hint="eastAsia"/>
            <w:noProof/>
          </w:rPr>
          <w:t xml:space="preserve"> 仪器设备</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_Toc202445811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2</w:t>
        </w:r>
        <w:r w:rsidRPr="00FF7395">
          <w:rPr>
            <w:rFonts w:hint="eastAsia"/>
            <w:noProof/>
          </w:rPr>
          <w:fldChar w:fldCharType="end"/>
        </w:r>
      </w:hyperlink>
    </w:p>
    <w:p w14:paraId="61E22D22" w14:textId="327BF4A7"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445812" w:history="1">
        <w:r w:rsidRPr="00FF7395">
          <w:rPr>
            <w:rStyle w:val="affffffe"/>
            <w:rFonts w:hint="eastAsia"/>
            <w:noProof/>
          </w:rPr>
          <w:t>7</w:t>
        </w:r>
        <w:r>
          <w:rPr>
            <w:rStyle w:val="affffffe"/>
            <w:noProof/>
          </w:rPr>
          <w:t xml:space="preserve"> </w:t>
        </w:r>
        <w:r w:rsidRPr="00FF7395">
          <w:rPr>
            <w:rStyle w:val="affffffe"/>
            <w:rFonts w:hint="eastAsia"/>
            <w:noProof/>
          </w:rPr>
          <w:t xml:space="preserve"> 实验步骤</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_Toc202445812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2</w:t>
        </w:r>
        <w:r w:rsidRPr="00FF7395">
          <w:rPr>
            <w:rFonts w:hint="eastAsia"/>
            <w:noProof/>
          </w:rPr>
          <w:fldChar w:fldCharType="end"/>
        </w:r>
      </w:hyperlink>
    </w:p>
    <w:p w14:paraId="3CEA6125" w14:textId="7D00BE9E"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445813" w:history="1">
        <w:r w:rsidRPr="00FF7395">
          <w:rPr>
            <w:rStyle w:val="affffffe"/>
            <w:rFonts w:hint="eastAsia"/>
            <w:noProof/>
          </w:rPr>
          <w:t>8</w:t>
        </w:r>
        <w:r>
          <w:rPr>
            <w:rStyle w:val="affffffe"/>
            <w:noProof/>
          </w:rPr>
          <w:t xml:space="preserve"> </w:t>
        </w:r>
        <w:r w:rsidRPr="00FF7395">
          <w:rPr>
            <w:rStyle w:val="affffffe"/>
            <w:rFonts w:hint="eastAsia"/>
            <w:noProof/>
          </w:rPr>
          <w:t xml:space="preserve"> 结果判定</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_Toc202445813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3</w:t>
        </w:r>
        <w:r w:rsidRPr="00FF7395">
          <w:rPr>
            <w:rFonts w:hint="eastAsia"/>
            <w:noProof/>
          </w:rPr>
          <w:fldChar w:fldCharType="end"/>
        </w:r>
      </w:hyperlink>
    </w:p>
    <w:p w14:paraId="069DA295" w14:textId="427B03DC"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445814" w:history="1">
        <w:r w:rsidRPr="00FF7395">
          <w:rPr>
            <w:rStyle w:val="affffffe"/>
            <w:rFonts w:hint="eastAsia"/>
            <w:noProof/>
          </w:rPr>
          <w:t>9</w:t>
        </w:r>
        <w:r>
          <w:rPr>
            <w:rStyle w:val="affffffe"/>
            <w:noProof/>
          </w:rPr>
          <w:t xml:space="preserve"> </w:t>
        </w:r>
        <w:r w:rsidRPr="00FF7395">
          <w:rPr>
            <w:rStyle w:val="affffffe"/>
            <w:rFonts w:hint="eastAsia"/>
            <w:noProof/>
          </w:rPr>
          <w:t xml:space="preserve"> 废弃物处理</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_Toc202445814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3</w:t>
        </w:r>
        <w:r w:rsidRPr="00FF7395">
          <w:rPr>
            <w:rFonts w:hint="eastAsia"/>
            <w:noProof/>
          </w:rPr>
          <w:fldChar w:fldCharType="end"/>
        </w:r>
      </w:hyperlink>
    </w:p>
    <w:p w14:paraId="6872F54F" w14:textId="1F16C8C3"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445815" w:history="1">
        <w:r w:rsidRPr="00FF7395">
          <w:rPr>
            <w:rStyle w:val="affffffe"/>
            <w:rFonts w:hint="eastAsia"/>
            <w:noProof/>
          </w:rPr>
          <w:t>附录A（资料性）</w:t>
        </w:r>
        <w:r>
          <w:rPr>
            <w:rStyle w:val="affffffe"/>
            <w:noProof/>
          </w:rPr>
          <w:t xml:space="preserve"> </w:t>
        </w:r>
        <w:r w:rsidRPr="00FF7395">
          <w:rPr>
            <w:rStyle w:val="affffffe"/>
            <w:rFonts w:hint="eastAsia"/>
            <w:noProof/>
          </w:rPr>
          <w:t xml:space="preserve"> 相关试剂的配制</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_Toc202445815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4</w:t>
        </w:r>
        <w:r w:rsidRPr="00FF7395">
          <w:rPr>
            <w:rFonts w:hint="eastAsia"/>
            <w:noProof/>
          </w:rPr>
          <w:fldChar w:fldCharType="end"/>
        </w:r>
      </w:hyperlink>
    </w:p>
    <w:p w14:paraId="1D39C6F8" w14:textId="1059C458" w:rsidR="00FF7395" w:rsidRPr="00FF7395" w:rsidRDefault="00FF739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2445816" w:history="1">
        <w:r w:rsidRPr="00FF7395">
          <w:rPr>
            <w:rStyle w:val="affffffe"/>
            <w:rFonts w:hint="eastAsia"/>
            <w:noProof/>
          </w:rPr>
          <w:t>附录B（规范性）</w:t>
        </w:r>
        <w:r>
          <w:rPr>
            <w:rStyle w:val="affffffe"/>
            <w:noProof/>
          </w:rPr>
          <w:t xml:space="preserve"> </w:t>
        </w:r>
        <w:r w:rsidRPr="00FF7395">
          <w:rPr>
            <w:rStyle w:val="affffffe"/>
            <w:rFonts w:hint="eastAsia"/>
            <w:noProof/>
          </w:rPr>
          <w:t xml:space="preserve"> 牦牛大肠杆菌、多杀巴氏杆菌和产气荚膜梭菌多重PCR产物电泳图</w:t>
        </w:r>
        <w:r w:rsidRPr="00FF7395">
          <w:rPr>
            <w:rFonts w:hint="eastAsia"/>
            <w:noProof/>
          </w:rPr>
          <w:tab/>
        </w:r>
        <w:r w:rsidRPr="00FF7395">
          <w:rPr>
            <w:rFonts w:hint="eastAsia"/>
            <w:noProof/>
          </w:rPr>
          <w:fldChar w:fldCharType="begin"/>
        </w:r>
        <w:r w:rsidRPr="00FF7395">
          <w:rPr>
            <w:rFonts w:hint="eastAsia"/>
            <w:noProof/>
          </w:rPr>
          <w:instrText xml:space="preserve"> </w:instrText>
        </w:r>
        <w:r w:rsidRPr="00FF7395">
          <w:rPr>
            <w:noProof/>
          </w:rPr>
          <w:instrText>PAGEREF _Toc202445816 \h</w:instrText>
        </w:r>
        <w:r w:rsidRPr="00FF7395">
          <w:rPr>
            <w:rFonts w:hint="eastAsia"/>
            <w:noProof/>
          </w:rPr>
          <w:instrText xml:space="preserve"> </w:instrText>
        </w:r>
        <w:r w:rsidRPr="00FF7395">
          <w:rPr>
            <w:rFonts w:hint="eastAsia"/>
            <w:noProof/>
          </w:rPr>
        </w:r>
        <w:r w:rsidRPr="00FF7395">
          <w:rPr>
            <w:rFonts w:hint="eastAsia"/>
            <w:noProof/>
          </w:rPr>
          <w:fldChar w:fldCharType="separate"/>
        </w:r>
        <w:r w:rsidRPr="00FF7395">
          <w:rPr>
            <w:noProof/>
          </w:rPr>
          <w:t>5</w:t>
        </w:r>
        <w:r w:rsidRPr="00FF7395">
          <w:rPr>
            <w:rFonts w:hint="eastAsia"/>
            <w:noProof/>
          </w:rPr>
          <w:fldChar w:fldCharType="end"/>
        </w:r>
      </w:hyperlink>
    </w:p>
    <w:p w14:paraId="53546726" w14:textId="4C92E7D1" w:rsidR="00FF7395" w:rsidRPr="00FF7395" w:rsidRDefault="00FF7395" w:rsidP="00FF7395">
      <w:pPr>
        <w:pStyle w:val="affffff2"/>
        <w:spacing w:after="468"/>
        <w:sectPr w:rsidR="00FF7395" w:rsidRPr="00FF7395" w:rsidSect="00FF7395">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FF7395">
        <w:fldChar w:fldCharType="end"/>
      </w:r>
    </w:p>
    <w:p w14:paraId="22FA8654" w14:textId="77777777" w:rsidR="00FB079F" w:rsidRDefault="00FB079F" w:rsidP="00FB079F">
      <w:pPr>
        <w:pStyle w:val="a6"/>
        <w:spacing w:before="560" w:after="468"/>
      </w:pPr>
      <w:bookmarkStart w:id="28" w:name="_Toc202445805"/>
      <w:bookmarkStart w:id="29" w:name="BookMark2"/>
      <w:bookmarkEnd w:id="21"/>
      <w:r w:rsidRPr="00FB079F">
        <w:rPr>
          <w:rFonts w:hint="eastAsia"/>
          <w:spacing w:val="320"/>
        </w:rPr>
        <w:lastRenderedPageBreak/>
        <w:t>前</w:t>
      </w:r>
      <w:r>
        <w:rPr>
          <w:rFonts w:hint="eastAsia"/>
        </w:rPr>
        <w:t>言</w:t>
      </w:r>
      <w:bookmarkEnd w:id="22"/>
      <w:bookmarkEnd w:id="23"/>
      <w:bookmarkEnd w:id="24"/>
      <w:bookmarkEnd w:id="25"/>
      <w:bookmarkEnd w:id="26"/>
      <w:bookmarkEnd w:id="27"/>
      <w:bookmarkEnd w:id="28"/>
    </w:p>
    <w:p w14:paraId="11773C27" w14:textId="77777777" w:rsidR="00FB079F" w:rsidRDefault="00FB079F" w:rsidP="00FB079F">
      <w:pPr>
        <w:pStyle w:val="affffb"/>
        <w:ind w:firstLine="420"/>
      </w:pPr>
      <w:r>
        <w:rPr>
          <w:rFonts w:hint="eastAsia"/>
        </w:rPr>
        <w:t>本文件按照GB/T 1.1—2020《标准化工作导则  第1部分：标准化文件的结构和起草规则》的规定起草。</w:t>
      </w:r>
    </w:p>
    <w:p w14:paraId="58A9CC88" w14:textId="798BDBD9" w:rsidR="00F122F9" w:rsidRDefault="00F122F9" w:rsidP="00FB079F">
      <w:pPr>
        <w:pStyle w:val="affffb"/>
        <w:ind w:firstLine="420"/>
      </w:pPr>
      <w:r w:rsidRPr="00F122F9">
        <w:rPr>
          <w:rFonts w:hint="eastAsia"/>
        </w:rPr>
        <w:t>本文件的某些内容可能涉及专利，本文件的发布机构不承担识别专利的责任。</w:t>
      </w:r>
    </w:p>
    <w:p w14:paraId="6DD437B6" w14:textId="1C6B3A57" w:rsidR="00FB079F" w:rsidRDefault="00FB079F" w:rsidP="00FB079F">
      <w:pPr>
        <w:pStyle w:val="affffb"/>
        <w:ind w:firstLine="420"/>
      </w:pPr>
      <w:r>
        <w:rPr>
          <w:rFonts w:hint="eastAsia"/>
        </w:rPr>
        <w:t>本文件由</w:t>
      </w:r>
      <w:r w:rsidRPr="00FB079F">
        <w:rPr>
          <w:rFonts w:hint="eastAsia"/>
        </w:rPr>
        <w:t>西藏自治区农业农村标准化技术委员会</w:t>
      </w:r>
      <w:r>
        <w:rPr>
          <w:rFonts w:hint="eastAsia"/>
        </w:rPr>
        <w:t>提出</w:t>
      </w:r>
      <w:r w:rsidR="00EA42F7">
        <w:rPr>
          <w:rFonts w:hint="eastAsia"/>
        </w:rPr>
        <w:t>并归口</w:t>
      </w:r>
      <w:r>
        <w:rPr>
          <w:rFonts w:hint="eastAsia"/>
        </w:rPr>
        <w:t>。</w:t>
      </w:r>
    </w:p>
    <w:p w14:paraId="32407C21" w14:textId="0FF15345" w:rsidR="00FB079F" w:rsidRDefault="00FB079F" w:rsidP="00FB079F">
      <w:pPr>
        <w:pStyle w:val="affffb"/>
        <w:ind w:firstLine="420"/>
      </w:pPr>
      <w:r>
        <w:rPr>
          <w:rFonts w:hint="eastAsia"/>
        </w:rPr>
        <w:t>本文件起草单位：</w:t>
      </w:r>
      <w:r w:rsidRPr="00FB079F">
        <w:rPr>
          <w:rFonts w:hint="eastAsia"/>
        </w:rPr>
        <w:t>西藏自治区农牧科学院畜牧兽医研究所</w:t>
      </w:r>
      <w:r w:rsidR="00EA42F7">
        <w:rPr>
          <w:rFonts w:hint="eastAsia"/>
        </w:rPr>
        <w:t>、</w:t>
      </w:r>
      <w:r w:rsidR="00EA42F7" w:rsidRPr="00EA42F7">
        <w:rPr>
          <w:rFonts w:hint="eastAsia"/>
        </w:rPr>
        <w:t>西藏自治区动物疫病预防控制中心（畜牧总站）</w:t>
      </w:r>
      <w:r w:rsidR="003E62FB">
        <w:rPr>
          <w:rFonts w:hint="eastAsia"/>
        </w:rPr>
        <w:t>、西藏农牧大学、林芝市农业农村局畜牧兽医站</w:t>
      </w:r>
      <w:r w:rsidR="00EA42F7">
        <w:rPr>
          <w:rFonts w:hint="eastAsia"/>
        </w:rPr>
        <w:t>。</w:t>
      </w:r>
    </w:p>
    <w:p w14:paraId="40F3C9D0" w14:textId="1AB8992F" w:rsidR="00FB079F" w:rsidRDefault="00FB079F" w:rsidP="00FB079F">
      <w:pPr>
        <w:pStyle w:val="affffb"/>
        <w:ind w:firstLine="420"/>
      </w:pPr>
      <w:r>
        <w:rPr>
          <w:rFonts w:hint="eastAsia"/>
        </w:rPr>
        <w:t>本文件主要起草人：</w:t>
      </w:r>
      <w:r w:rsidR="00EA42F7">
        <w:rPr>
          <w:rFonts w:hint="eastAsia"/>
        </w:rPr>
        <w:t>王冬经，曾江勇，苏中华，马弘财，</w:t>
      </w:r>
      <w:r w:rsidR="003E62FB">
        <w:rPr>
          <w:rFonts w:hint="eastAsia"/>
        </w:rPr>
        <w:t>石斌，罗润波，</w:t>
      </w:r>
      <w:r w:rsidR="009D0AD5">
        <w:rPr>
          <w:rFonts w:hint="eastAsia"/>
        </w:rPr>
        <w:t>夏晨阳，</w:t>
      </w:r>
      <w:r w:rsidR="003E62FB">
        <w:rPr>
          <w:rFonts w:hint="eastAsia"/>
        </w:rPr>
        <w:t>元振杰、甘富斌。</w:t>
      </w:r>
    </w:p>
    <w:p w14:paraId="614B23B4" w14:textId="77777777" w:rsidR="00FB079F" w:rsidRDefault="00FB079F" w:rsidP="00FB079F">
      <w:pPr>
        <w:pStyle w:val="affffb"/>
        <w:ind w:firstLine="420"/>
      </w:pPr>
    </w:p>
    <w:p w14:paraId="68F87A31" w14:textId="76BE10EB" w:rsidR="00FB079F" w:rsidRPr="003E62FB" w:rsidRDefault="00FB079F" w:rsidP="00F122F9">
      <w:pPr>
        <w:pStyle w:val="affffb"/>
        <w:ind w:firstLineChars="95" w:firstLine="199"/>
        <w:sectPr w:rsidR="00FB079F" w:rsidRPr="003E62FB" w:rsidSect="00FB079F">
          <w:pgSz w:w="11906" w:h="16838" w:code="9"/>
          <w:pgMar w:top="1928" w:right="1134" w:bottom="1134" w:left="1134" w:header="1418" w:footer="1134" w:gutter="284"/>
          <w:pgNumType w:fmt="upperRoman"/>
          <w:cols w:space="425"/>
          <w:formProt w:val="0"/>
          <w:docGrid w:type="lines" w:linePitch="312"/>
        </w:sectPr>
      </w:pPr>
    </w:p>
    <w:p w14:paraId="1891BF37" w14:textId="77777777" w:rsidR="00894836" w:rsidRPr="00145D9D" w:rsidRDefault="00894836" w:rsidP="00093D25">
      <w:pPr>
        <w:spacing w:line="20" w:lineRule="exact"/>
        <w:jc w:val="center"/>
        <w:rPr>
          <w:rFonts w:ascii="黑体" w:eastAsia="黑体" w:hAnsi="黑体" w:hint="eastAsia"/>
          <w:sz w:val="32"/>
          <w:szCs w:val="32"/>
        </w:rPr>
      </w:pPr>
      <w:bookmarkStart w:id="30" w:name="BookMark4"/>
      <w:bookmarkEnd w:id="29"/>
    </w:p>
    <w:p w14:paraId="2A616AA3"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77D2CEC2467D43CCA72B6E38016FA0CA"/>
        </w:placeholder>
      </w:sdtPr>
      <w:sdtContent>
        <w:bookmarkStart w:id="31" w:name="NEW_STAND_NAME" w:displacedByCustomXml="prev"/>
        <w:p w14:paraId="7644B7E4" w14:textId="32BCAB6C" w:rsidR="00F26B7E" w:rsidRPr="00F26B7E" w:rsidRDefault="003F46B5" w:rsidP="008972EC">
          <w:pPr>
            <w:pStyle w:val="afffffffff8"/>
            <w:spacing w:beforeLines="1" w:before="3" w:afterLines="220" w:after="686"/>
            <w:rPr>
              <w:rFonts w:hint="eastAsia"/>
            </w:rPr>
          </w:pPr>
          <w:r>
            <w:rPr>
              <w:rFonts w:hint="eastAsia"/>
            </w:rPr>
            <w:t>牦牛大肠杆菌、多杀性巴氏杆菌和产气荚膜梭菌多重PCR检测技术规程</w:t>
          </w:r>
        </w:p>
      </w:sdtContent>
    </w:sdt>
    <w:bookmarkEnd w:id="31" w:displacedByCustomXml="prev"/>
    <w:p w14:paraId="454FAD60" w14:textId="77777777" w:rsidR="00E2552F" w:rsidRDefault="00E2552F" w:rsidP="00A77CCB">
      <w:pPr>
        <w:pStyle w:val="affc"/>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1423"/>
      <w:bookmarkStart w:id="41" w:name="_Toc201594337"/>
      <w:bookmarkStart w:id="42" w:name="_Toc201594353"/>
      <w:bookmarkStart w:id="43" w:name="_Toc202013840"/>
      <w:bookmarkStart w:id="44" w:name="_Toc202017407"/>
      <w:bookmarkStart w:id="45" w:name="_Toc202345267"/>
      <w:bookmarkStart w:id="46" w:name="_Toc202357936"/>
      <w:bookmarkStart w:id="47" w:name="_Toc202445806"/>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89F7414" w14:textId="1F646A73" w:rsidR="000C323B" w:rsidRDefault="000C323B" w:rsidP="000C323B">
      <w:pPr>
        <w:pStyle w:val="affffb"/>
        <w:ind w:firstLine="420"/>
      </w:pPr>
      <w:bookmarkStart w:id="48" w:name="_Toc17233326"/>
      <w:bookmarkStart w:id="49" w:name="_Toc17233334"/>
      <w:bookmarkStart w:id="50" w:name="_Toc24884212"/>
      <w:bookmarkStart w:id="51" w:name="_Toc24884219"/>
      <w:bookmarkStart w:id="52" w:name="_Toc26648466"/>
      <w:r>
        <w:rPr>
          <w:rFonts w:hint="eastAsia"/>
        </w:rPr>
        <w:t>本</w:t>
      </w:r>
      <w:r w:rsidR="008972EC">
        <w:rPr>
          <w:rFonts w:hint="eastAsia"/>
        </w:rPr>
        <w:t>文件</w:t>
      </w:r>
      <w:r>
        <w:rPr>
          <w:rFonts w:hint="eastAsia"/>
        </w:rPr>
        <w:t>规定了牦牛大肠杆菌、多杀性巴氏杆菌和产气荚膜梭菌的多重PCR检测技术。</w:t>
      </w:r>
    </w:p>
    <w:p w14:paraId="1CBB05FB" w14:textId="6F143B18" w:rsidR="008B0C9C" w:rsidRDefault="000C323B" w:rsidP="000C323B">
      <w:pPr>
        <w:pStyle w:val="affffb"/>
        <w:ind w:firstLine="420"/>
      </w:pPr>
      <w:r>
        <w:rPr>
          <w:rFonts w:hint="eastAsia"/>
        </w:rPr>
        <w:t>本</w:t>
      </w:r>
      <w:r w:rsidR="008972EC">
        <w:rPr>
          <w:rFonts w:hint="eastAsia"/>
        </w:rPr>
        <w:t>文件</w:t>
      </w:r>
      <w:r>
        <w:rPr>
          <w:rFonts w:hint="eastAsia"/>
        </w:rPr>
        <w:t>适用于牦牛大肠杆菌、多杀性巴氏杆菌和产气荚膜梭菌的</w:t>
      </w:r>
      <w:r w:rsidR="008972EC">
        <w:rPr>
          <w:rFonts w:hint="eastAsia"/>
        </w:rPr>
        <w:t>检测、诊断</w:t>
      </w:r>
      <w:r>
        <w:rPr>
          <w:rFonts w:hint="eastAsia"/>
        </w:rPr>
        <w:t>。</w:t>
      </w:r>
    </w:p>
    <w:p w14:paraId="4DE13A4F" w14:textId="77777777" w:rsidR="00E2552F" w:rsidRDefault="00E2552F" w:rsidP="00A77CCB">
      <w:pPr>
        <w:pStyle w:val="affc"/>
        <w:spacing w:before="312" w:after="312"/>
      </w:pPr>
      <w:bookmarkStart w:id="53" w:name="_Toc26718931"/>
      <w:bookmarkStart w:id="54" w:name="_Toc26986531"/>
      <w:bookmarkStart w:id="55" w:name="_Toc26986772"/>
      <w:bookmarkStart w:id="56" w:name="_Toc97191424"/>
      <w:bookmarkStart w:id="57" w:name="_Toc201594338"/>
      <w:bookmarkStart w:id="58" w:name="_Toc201594354"/>
      <w:bookmarkStart w:id="59" w:name="_Toc202013841"/>
      <w:bookmarkStart w:id="60" w:name="_Toc202017408"/>
      <w:bookmarkStart w:id="61" w:name="_Toc202345268"/>
      <w:bookmarkStart w:id="62" w:name="_Toc202357937"/>
      <w:bookmarkStart w:id="63" w:name="_Toc202445807"/>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715848253"/>
        <w:placeholder>
          <w:docPart w:val="61B1B24BE9BB415DB0D3630CE863E2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486D784"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C050DD6" w14:textId="77777777" w:rsidR="003B7653" w:rsidRDefault="003B7653" w:rsidP="003B7653">
      <w:pPr>
        <w:pStyle w:val="affffb"/>
        <w:ind w:firstLine="420"/>
      </w:pPr>
      <w:r>
        <w:rPr>
          <w:rFonts w:hint="eastAsia"/>
        </w:rPr>
        <w:t>GB/T 6682 分析实验室用水规格和试验方法</w:t>
      </w:r>
    </w:p>
    <w:p w14:paraId="28F09825" w14:textId="77777777" w:rsidR="003B7653" w:rsidRDefault="003B7653" w:rsidP="003B7653">
      <w:pPr>
        <w:pStyle w:val="affffb"/>
        <w:ind w:firstLine="420"/>
      </w:pPr>
      <w:r>
        <w:rPr>
          <w:rFonts w:hint="eastAsia"/>
        </w:rPr>
        <w:t>GB 19489 实验室  生物安全通用要求</w:t>
      </w:r>
    </w:p>
    <w:p w14:paraId="5406D598" w14:textId="31098F45" w:rsidR="00AA6EC9" w:rsidRDefault="003B7653" w:rsidP="003B7653">
      <w:pPr>
        <w:pStyle w:val="affffb"/>
        <w:ind w:firstLine="420"/>
      </w:pPr>
      <w:r>
        <w:rPr>
          <w:rFonts w:hint="eastAsia"/>
        </w:rPr>
        <w:t>GB/T 27401 实验室质量控制规范 动物检疫</w:t>
      </w:r>
    </w:p>
    <w:p w14:paraId="0D31B9F1" w14:textId="0B52EE0D" w:rsidR="00AF1C74" w:rsidRPr="00AF1C74" w:rsidRDefault="00AF1C74" w:rsidP="00AF1C74">
      <w:pPr>
        <w:pStyle w:val="affffb"/>
        <w:ind w:firstLine="420"/>
      </w:pPr>
      <w:r>
        <w:rPr>
          <w:rFonts w:hint="eastAsia"/>
        </w:rPr>
        <w:t>NY/541 兽医诊断样品采集、保存与运输技术规范</w:t>
      </w:r>
    </w:p>
    <w:p w14:paraId="7D5BC4B2" w14:textId="1F795800" w:rsidR="00BF33B8" w:rsidRDefault="00BF33B8" w:rsidP="003B7653">
      <w:pPr>
        <w:pStyle w:val="affffb"/>
        <w:ind w:firstLine="420"/>
      </w:pPr>
      <w:r>
        <w:rPr>
          <w:rFonts w:hint="eastAsia"/>
        </w:rPr>
        <w:t>SN/T 2025 动物检疫实验室生物安全操作规范</w:t>
      </w:r>
    </w:p>
    <w:p w14:paraId="253CFE9D" w14:textId="77777777" w:rsidR="00B265BC" w:rsidRPr="00E030F9" w:rsidRDefault="00FD59EB" w:rsidP="00FD59EB">
      <w:pPr>
        <w:pStyle w:val="affc"/>
        <w:spacing w:before="312" w:after="312"/>
      </w:pPr>
      <w:bookmarkStart w:id="64" w:name="_Toc97191425"/>
      <w:bookmarkStart w:id="65" w:name="_Toc201594339"/>
      <w:bookmarkStart w:id="66" w:name="_Toc201594355"/>
      <w:bookmarkStart w:id="67" w:name="_Toc202013842"/>
      <w:bookmarkStart w:id="68" w:name="_Toc202017409"/>
      <w:bookmarkStart w:id="69" w:name="_Toc202345269"/>
      <w:bookmarkStart w:id="70" w:name="_Toc202357938"/>
      <w:bookmarkStart w:id="71" w:name="_Toc202445808"/>
      <w:r>
        <w:rPr>
          <w:rFonts w:hint="eastAsia"/>
          <w:szCs w:val="21"/>
        </w:rPr>
        <w:t>术语和定义</w:t>
      </w:r>
      <w:bookmarkEnd w:id="64"/>
      <w:bookmarkEnd w:id="65"/>
      <w:bookmarkEnd w:id="66"/>
      <w:bookmarkEnd w:id="67"/>
      <w:bookmarkEnd w:id="68"/>
      <w:bookmarkEnd w:id="69"/>
      <w:bookmarkEnd w:id="70"/>
      <w:bookmarkEnd w:id="71"/>
    </w:p>
    <w:bookmarkStart w:id="72" w:name="_Toc26986532" w:displacedByCustomXml="next"/>
    <w:bookmarkEnd w:id="72" w:displacedByCustomXml="next"/>
    <w:sdt>
      <w:sdtPr>
        <w:id w:val="-1909835108"/>
        <w:placeholder>
          <w:docPart w:val="9DAE7FE296A1469493A5B073F3EEA18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0009112" w14:textId="2A45D841" w:rsidR="003C010C" w:rsidRDefault="000C323B" w:rsidP="00BA263B">
          <w:pPr>
            <w:pStyle w:val="affffb"/>
            <w:ind w:firstLine="420"/>
          </w:pPr>
          <w:r>
            <w:t>下列术语和定义适用于本文件。</w:t>
          </w:r>
        </w:p>
      </w:sdtContent>
    </w:sdt>
    <w:p w14:paraId="42F81BA4" w14:textId="625DA858" w:rsidR="000C323B" w:rsidRDefault="00FB079F" w:rsidP="00FB079F">
      <w:pPr>
        <w:pStyle w:val="affd"/>
        <w:spacing w:before="156" w:after="156"/>
      </w:pPr>
      <w:r>
        <w:rPr>
          <w:rFonts w:hint="eastAsia"/>
        </w:rPr>
        <w:t>多重聚合酶链式反应（多重PCR）</w:t>
      </w:r>
    </w:p>
    <w:p w14:paraId="4884E49B" w14:textId="7016B897" w:rsidR="00CD561D" w:rsidRDefault="000C323B" w:rsidP="000C323B">
      <w:pPr>
        <w:pStyle w:val="affffb"/>
        <w:ind w:firstLine="420"/>
      </w:pPr>
      <w:r>
        <w:rPr>
          <w:rFonts w:hint="eastAsia"/>
        </w:rPr>
        <w:t>多重PCR又称多重引物PCR或复合PCR，它是在同一PCR反应系统中加上两对以上引物，同时扩增出多个核酸片段的PCR反应。</w:t>
      </w:r>
    </w:p>
    <w:p w14:paraId="37D99D79" w14:textId="67D2BDA9" w:rsidR="002D3278" w:rsidRDefault="002D3278" w:rsidP="002D3278">
      <w:pPr>
        <w:pStyle w:val="affc"/>
        <w:spacing w:before="312" w:after="312"/>
      </w:pPr>
      <w:bookmarkStart w:id="73" w:name="_Toc201594340"/>
      <w:bookmarkStart w:id="74" w:name="_Toc201594356"/>
      <w:bookmarkStart w:id="75" w:name="_Toc202013843"/>
      <w:bookmarkStart w:id="76" w:name="_Toc202017410"/>
      <w:bookmarkStart w:id="77" w:name="_Toc202345270"/>
      <w:bookmarkStart w:id="78" w:name="_Toc202357939"/>
      <w:bookmarkStart w:id="79" w:name="_Toc202445809"/>
      <w:r w:rsidRPr="002D3278">
        <w:rPr>
          <w:rFonts w:hint="eastAsia"/>
        </w:rPr>
        <w:t>缩略语</w:t>
      </w:r>
      <w:bookmarkEnd w:id="73"/>
      <w:bookmarkEnd w:id="74"/>
      <w:bookmarkEnd w:id="75"/>
      <w:bookmarkEnd w:id="76"/>
      <w:bookmarkEnd w:id="77"/>
      <w:bookmarkEnd w:id="78"/>
      <w:bookmarkEnd w:id="79"/>
    </w:p>
    <w:p w14:paraId="46371A32" w14:textId="77777777" w:rsidR="002D3278" w:rsidRDefault="002D3278" w:rsidP="002D3278">
      <w:pPr>
        <w:pStyle w:val="affffb"/>
        <w:ind w:firstLine="420"/>
      </w:pPr>
      <w:r>
        <w:rPr>
          <w:rFonts w:hint="eastAsia"/>
        </w:rPr>
        <w:t>bp：碱基对</w:t>
      </w:r>
    </w:p>
    <w:p w14:paraId="4AF4C6DB" w14:textId="77777777" w:rsidR="002D3278" w:rsidRDefault="002D3278" w:rsidP="002D3278">
      <w:pPr>
        <w:pStyle w:val="affffb"/>
        <w:ind w:firstLine="420"/>
      </w:pPr>
      <w:r>
        <w:rPr>
          <w:rFonts w:hint="eastAsia"/>
        </w:rPr>
        <w:t>DNA：脱氧核糖核酸</w:t>
      </w:r>
    </w:p>
    <w:p w14:paraId="5ED24AE9" w14:textId="2B7D9F78" w:rsidR="002D3278" w:rsidRPr="002D3278" w:rsidRDefault="002D3278" w:rsidP="002D3278">
      <w:pPr>
        <w:pStyle w:val="affffb"/>
        <w:ind w:firstLine="420"/>
      </w:pPr>
      <w:r>
        <w:rPr>
          <w:rFonts w:hint="eastAsia"/>
        </w:rPr>
        <w:t>PCR：聚合酶链式反应</w:t>
      </w:r>
    </w:p>
    <w:p w14:paraId="12B68673" w14:textId="29DE1E44" w:rsidR="002D3278" w:rsidRDefault="002D3278" w:rsidP="002D3278">
      <w:pPr>
        <w:pStyle w:val="affc"/>
        <w:spacing w:before="312" w:after="312"/>
      </w:pPr>
      <w:bookmarkStart w:id="80" w:name="_Toc201594341"/>
      <w:bookmarkStart w:id="81" w:name="_Toc201594357"/>
      <w:bookmarkStart w:id="82" w:name="_Toc202013844"/>
      <w:bookmarkStart w:id="83" w:name="_Toc202017411"/>
      <w:bookmarkStart w:id="84" w:name="_Toc202345271"/>
      <w:bookmarkStart w:id="85" w:name="_Toc202357940"/>
      <w:bookmarkStart w:id="86" w:name="_Toc202445810"/>
      <w:r w:rsidRPr="002D3278">
        <w:rPr>
          <w:rFonts w:hint="eastAsia"/>
        </w:rPr>
        <w:t>试剂或材料</w:t>
      </w:r>
      <w:bookmarkEnd w:id="80"/>
      <w:bookmarkEnd w:id="81"/>
      <w:bookmarkEnd w:id="82"/>
      <w:bookmarkEnd w:id="83"/>
      <w:bookmarkEnd w:id="84"/>
      <w:bookmarkEnd w:id="85"/>
      <w:bookmarkEnd w:id="86"/>
    </w:p>
    <w:p w14:paraId="6B288573" w14:textId="77777777" w:rsidR="002D3278" w:rsidRDefault="002D3278" w:rsidP="002D3278">
      <w:pPr>
        <w:pStyle w:val="affffb"/>
        <w:ind w:firstLine="420"/>
      </w:pPr>
      <w:r>
        <w:rPr>
          <w:rFonts w:hint="eastAsia"/>
        </w:rPr>
        <w:t>本方法试验用水应符合GB/T 6682的相关规定。除另有规定外，所有化学试剂均采用分析纯。</w:t>
      </w:r>
    </w:p>
    <w:p w14:paraId="0C9471DC" w14:textId="1653FB5E" w:rsidR="002D3278" w:rsidRDefault="002D3278" w:rsidP="00FB079F">
      <w:pPr>
        <w:pStyle w:val="affffffffe"/>
      </w:pPr>
      <w:bookmarkStart w:id="87" w:name="_Hlk202013529"/>
      <w:r>
        <w:rPr>
          <w:rFonts w:hint="eastAsia"/>
        </w:rPr>
        <w:t>DL500 DNA Maker</w:t>
      </w:r>
      <w:bookmarkEnd w:id="87"/>
      <w:r>
        <w:rPr>
          <w:rFonts w:hint="eastAsia"/>
        </w:rPr>
        <w:t>。</w:t>
      </w:r>
    </w:p>
    <w:p w14:paraId="35E0B9BF" w14:textId="5E55EB6B" w:rsidR="002D3278" w:rsidRDefault="002D3278" w:rsidP="00FB079F">
      <w:pPr>
        <w:pStyle w:val="affffffffe"/>
      </w:pPr>
      <w:r>
        <w:rPr>
          <w:rFonts w:hint="eastAsia"/>
        </w:rPr>
        <w:t>2×Taq Master Mix。</w:t>
      </w:r>
    </w:p>
    <w:p w14:paraId="0942B067" w14:textId="60DC1B6E" w:rsidR="002D3278" w:rsidRDefault="002D3278" w:rsidP="00FB079F">
      <w:pPr>
        <w:pStyle w:val="affffffffe"/>
      </w:pPr>
      <w:r>
        <w:rPr>
          <w:rFonts w:hint="eastAsia"/>
        </w:rPr>
        <w:t>细菌基因组DNA提取试剂盒。</w:t>
      </w:r>
    </w:p>
    <w:p w14:paraId="5E7614FD" w14:textId="2CF02AFD" w:rsidR="002D3278" w:rsidRDefault="00B62AEC" w:rsidP="00B62AEC">
      <w:pPr>
        <w:pStyle w:val="affffffffe"/>
      </w:pPr>
      <w:r w:rsidRPr="00B62AEC">
        <w:rPr>
          <w:rFonts w:hint="eastAsia"/>
        </w:rPr>
        <w:t>3%琼脂糖凝胶</w:t>
      </w:r>
      <w:r>
        <w:rPr>
          <w:rFonts w:hint="eastAsia"/>
        </w:rPr>
        <w:t>，配制方法见附录A中A.</w:t>
      </w:r>
      <w:r w:rsidR="00BB513B">
        <w:rPr>
          <w:rFonts w:hint="eastAsia"/>
        </w:rPr>
        <w:t>1</w:t>
      </w:r>
      <w:r w:rsidR="002D3278">
        <w:rPr>
          <w:rFonts w:hint="eastAsia"/>
        </w:rPr>
        <w:t>。</w:t>
      </w:r>
    </w:p>
    <w:p w14:paraId="7310293D" w14:textId="3A59CBE3" w:rsidR="002D3278" w:rsidRDefault="002D3278" w:rsidP="00FB079F">
      <w:pPr>
        <w:pStyle w:val="affffffffe"/>
      </w:pPr>
      <w:r>
        <w:rPr>
          <w:rFonts w:hint="eastAsia"/>
        </w:rPr>
        <w:t>50×TAE缓冲液。</w:t>
      </w:r>
    </w:p>
    <w:p w14:paraId="002E6952" w14:textId="3867ABD4" w:rsidR="002D3278" w:rsidRDefault="002D3278" w:rsidP="00FB079F">
      <w:pPr>
        <w:pStyle w:val="affffffffe"/>
      </w:pPr>
      <w:r>
        <w:rPr>
          <w:rFonts w:hint="eastAsia"/>
        </w:rPr>
        <w:lastRenderedPageBreak/>
        <w:t>核酸染料。</w:t>
      </w:r>
    </w:p>
    <w:p w14:paraId="356A43B1" w14:textId="063180F7" w:rsidR="002D3278" w:rsidRDefault="00B926E7" w:rsidP="002D3278">
      <w:pPr>
        <w:pStyle w:val="affc"/>
        <w:spacing w:before="312" w:after="312"/>
      </w:pPr>
      <w:bookmarkStart w:id="88" w:name="_Toc201594342"/>
      <w:bookmarkStart w:id="89" w:name="_Toc201594358"/>
      <w:bookmarkStart w:id="90" w:name="_Toc202013845"/>
      <w:bookmarkStart w:id="91" w:name="_Toc202017412"/>
      <w:bookmarkStart w:id="92" w:name="_Toc202345272"/>
      <w:bookmarkStart w:id="93" w:name="_Toc202357941"/>
      <w:bookmarkStart w:id="94" w:name="_Toc202445811"/>
      <w:r w:rsidRPr="00B926E7">
        <w:rPr>
          <w:rFonts w:hint="eastAsia"/>
        </w:rPr>
        <w:t>仪器设备</w:t>
      </w:r>
      <w:bookmarkEnd w:id="88"/>
      <w:bookmarkEnd w:id="89"/>
      <w:bookmarkEnd w:id="90"/>
      <w:bookmarkEnd w:id="91"/>
      <w:bookmarkEnd w:id="92"/>
      <w:bookmarkEnd w:id="93"/>
      <w:bookmarkEnd w:id="94"/>
    </w:p>
    <w:p w14:paraId="69D9FB67" w14:textId="208BE245" w:rsidR="00B926E7" w:rsidRDefault="00B926E7" w:rsidP="00FB079F">
      <w:pPr>
        <w:pStyle w:val="affffffffe"/>
      </w:pPr>
      <w:r>
        <w:rPr>
          <w:rFonts w:hint="eastAsia"/>
        </w:rPr>
        <w:t>高速冷冻离心机，最高转速应不低于12000 r/min。</w:t>
      </w:r>
    </w:p>
    <w:p w14:paraId="6A8E8777" w14:textId="7DAAE79F" w:rsidR="00B926E7" w:rsidRDefault="00B926E7" w:rsidP="00FB079F">
      <w:pPr>
        <w:pStyle w:val="affffffffe"/>
      </w:pPr>
      <w:r>
        <w:rPr>
          <w:rFonts w:hint="eastAsia"/>
        </w:rPr>
        <w:t>冰箱，2 ℃~8 ℃和-20 ℃两种。</w:t>
      </w:r>
    </w:p>
    <w:p w14:paraId="78EFD364" w14:textId="5455C5FD" w:rsidR="00B926E7" w:rsidRDefault="00B926E7" w:rsidP="00FB079F">
      <w:pPr>
        <w:pStyle w:val="affffffffe"/>
      </w:pPr>
      <w:r>
        <w:rPr>
          <w:rFonts w:hint="eastAsia"/>
        </w:rPr>
        <w:t>微量移液器及配套吸头，量程规格应包含2.5 μL、10 μL、100 μL。</w:t>
      </w:r>
    </w:p>
    <w:p w14:paraId="238DAA80" w14:textId="6A56A924" w:rsidR="00B926E7" w:rsidRDefault="00B926E7" w:rsidP="00FB079F">
      <w:pPr>
        <w:pStyle w:val="affffffffe"/>
      </w:pPr>
      <w:r>
        <w:rPr>
          <w:rFonts w:hint="eastAsia"/>
        </w:rPr>
        <w:t>PCR仪及配套反应管（板）。</w:t>
      </w:r>
    </w:p>
    <w:p w14:paraId="0CD2BE0E" w14:textId="5955FD47" w:rsidR="00B926E7" w:rsidRDefault="00B926E7" w:rsidP="00FB079F">
      <w:pPr>
        <w:pStyle w:val="affffffffe"/>
      </w:pPr>
      <w:r>
        <w:rPr>
          <w:rFonts w:hint="eastAsia"/>
        </w:rPr>
        <w:t>1.5 mL离心管，应无DNAase和RNAase。</w:t>
      </w:r>
    </w:p>
    <w:p w14:paraId="0BD1D27E" w14:textId="0BAAC086" w:rsidR="00B926E7" w:rsidRDefault="00B926E7" w:rsidP="00FB079F">
      <w:pPr>
        <w:pStyle w:val="affffffffe"/>
      </w:pPr>
      <w:r>
        <w:rPr>
          <w:rFonts w:hint="eastAsia"/>
        </w:rPr>
        <w:t>涡旋振荡器。</w:t>
      </w:r>
    </w:p>
    <w:p w14:paraId="0B84D01E" w14:textId="700DA7B8" w:rsidR="00B926E7" w:rsidRDefault="00B926E7" w:rsidP="00FB079F">
      <w:pPr>
        <w:pStyle w:val="affffffffe"/>
      </w:pPr>
      <w:r>
        <w:rPr>
          <w:rFonts w:hint="eastAsia"/>
        </w:rPr>
        <w:t>电子天平，精密度千分之一以上。</w:t>
      </w:r>
    </w:p>
    <w:p w14:paraId="0130C60D" w14:textId="2FE4DD9D" w:rsidR="00B926E7" w:rsidRDefault="00B926E7" w:rsidP="00FB079F">
      <w:pPr>
        <w:pStyle w:val="affffffffe"/>
      </w:pPr>
      <w:r>
        <w:rPr>
          <w:rFonts w:hint="eastAsia"/>
        </w:rPr>
        <w:t>生物安全柜。</w:t>
      </w:r>
    </w:p>
    <w:p w14:paraId="472A8836" w14:textId="7964D3A5" w:rsidR="00B926E7" w:rsidRDefault="00B926E7" w:rsidP="00FB079F">
      <w:pPr>
        <w:pStyle w:val="affffffffe"/>
      </w:pPr>
      <w:r>
        <w:rPr>
          <w:rFonts w:hint="eastAsia"/>
        </w:rPr>
        <w:t>电泳仪。</w:t>
      </w:r>
    </w:p>
    <w:p w14:paraId="45B84EE4" w14:textId="58183499" w:rsidR="00B926E7" w:rsidRDefault="00B926E7" w:rsidP="00FB079F">
      <w:pPr>
        <w:pStyle w:val="affffffffe"/>
      </w:pPr>
      <w:r>
        <w:rPr>
          <w:rFonts w:hint="eastAsia"/>
        </w:rPr>
        <w:t>凝胶成像系统。</w:t>
      </w:r>
    </w:p>
    <w:p w14:paraId="4AB76CE0" w14:textId="61FA4FC6" w:rsidR="00B926E7" w:rsidRDefault="00B926E7" w:rsidP="00FB079F">
      <w:pPr>
        <w:pStyle w:val="affffffffe"/>
      </w:pPr>
      <w:r>
        <w:rPr>
          <w:rFonts w:hint="eastAsia"/>
        </w:rPr>
        <w:t>高压灭菌锅。</w:t>
      </w:r>
    </w:p>
    <w:p w14:paraId="73A39450" w14:textId="375A134C" w:rsidR="00B926E7" w:rsidRDefault="00B926E7" w:rsidP="00FB079F">
      <w:pPr>
        <w:pStyle w:val="affffffffe"/>
      </w:pPr>
      <w:r>
        <w:rPr>
          <w:rFonts w:hint="eastAsia"/>
        </w:rPr>
        <w:t>金属浴。</w:t>
      </w:r>
    </w:p>
    <w:p w14:paraId="2ED6B1C7" w14:textId="165D96C4" w:rsidR="00B926E7" w:rsidRDefault="00B926E7" w:rsidP="00B926E7">
      <w:pPr>
        <w:pStyle w:val="affc"/>
        <w:spacing w:before="312" w:after="312"/>
      </w:pPr>
      <w:bookmarkStart w:id="95" w:name="_Toc201594343"/>
      <w:bookmarkStart w:id="96" w:name="_Toc201594359"/>
      <w:bookmarkStart w:id="97" w:name="_Toc202013846"/>
      <w:bookmarkStart w:id="98" w:name="_Toc202017413"/>
      <w:bookmarkStart w:id="99" w:name="_Toc202345273"/>
      <w:bookmarkStart w:id="100" w:name="_Toc202357942"/>
      <w:bookmarkStart w:id="101" w:name="_Toc202445812"/>
      <w:r w:rsidRPr="00B926E7">
        <w:rPr>
          <w:rFonts w:hint="eastAsia"/>
        </w:rPr>
        <w:t>实验步骤</w:t>
      </w:r>
      <w:bookmarkEnd w:id="95"/>
      <w:bookmarkEnd w:id="96"/>
      <w:bookmarkEnd w:id="97"/>
      <w:bookmarkEnd w:id="98"/>
      <w:bookmarkEnd w:id="99"/>
      <w:bookmarkEnd w:id="100"/>
      <w:bookmarkEnd w:id="101"/>
    </w:p>
    <w:p w14:paraId="24006FC8" w14:textId="66D87CFB" w:rsidR="00B926E7" w:rsidRDefault="00B926E7" w:rsidP="00B926E7">
      <w:pPr>
        <w:pStyle w:val="affd"/>
        <w:spacing w:before="156" w:after="156"/>
      </w:pPr>
      <w:bookmarkStart w:id="102" w:name="_Toc201594344"/>
      <w:r>
        <w:rPr>
          <w:rFonts w:hint="eastAsia"/>
        </w:rPr>
        <w:t>实验室规范</w:t>
      </w:r>
      <w:bookmarkEnd w:id="102"/>
    </w:p>
    <w:p w14:paraId="008698A6" w14:textId="29C6D9EC" w:rsidR="00B926E7" w:rsidRDefault="00B926E7" w:rsidP="00B926E7">
      <w:pPr>
        <w:pStyle w:val="affffb"/>
        <w:ind w:firstLine="420"/>
      </w:pPr>
      <w:r w:rsidRPr="00B926E7">
        <w:rPr>
          <w:rFonts w:hint="eastAsia"/>
        </w:rPr>
        <w:t>多重PCR检测的实验室规范应符合GB 19489和GB/T 27401要求。</w:t>
      </w:r>
    </w:p>
    <w:p w14:paraId="483B7B62" w14:textId="262F421E" w:rsidR="007D3DBA" w:rsidRDefault="007D3DBA" w:rsidP="007D3DBA">
      <w:pPr>
        <w:pStyle w:val="affd"/>
        <w:spacing w:before="156" w:after="156"/>
      </w:pPr>
      <w:r>
        <w:rPr>
          <w:rFonts w:hint="eastAsia"/>
        </w:rPr>
        <w:t>样本前处理</w:t>
      </w:r>
    </w:p>
    <w:p w14:paraId="765C8CFB" w14:textId="51F8A6F5" w:rsidR="007D3DBA" w:rsidRPr="007D3DBA" w:rsidRDefault="007D3DBA" w:rsidP="007D3DBA">
      <w:pPr>
        <w:pStyle w:val="affffb"/>
        <w:ind w:firstLine="420"/>
      </w:pPr>
      <w:r>
        <w:rPr>
          <w:rFonts w:hint="eastAsia"/>
        </w:rPr>
        <w:t>样本的采集、保存与运输按照NY/T 541的规定执行。</w:t>
      </w:r>
    </w:p>
    <w:p w14:paraId="5AEF79F2" w14:textId="4C25E0AB" w:rsidR="00B926E7" w:rsidRDefault="00B926E7" w:rsidP="007D3DBA">
      <w:pPr>
        <w:pStyle w:val="affd"/>
        <w:spacing w:before="156" w:after="156"/>
      </w:pPr>
      <w:bookmarkStart w:id="103" w:name="_Toc201594345"/>
      <w:r w:rsidRPr="00B926E7">
        <w:rPr>
          <w:rFonts w:hint="eastAsia"/>
        </w:rPr>
        <w:t>样品DNA提取</w:t>
      </w:r>
      <w:bookmarkEnd w:id="103"/>
    </w:p>
    <w:p w14:paraId="7501E130" w14:textId="5AB8DC19" w:rsidR="00B926E7" w:rsidRDefault="00B926E7" w:rsidP="00B926E7">
      <w:pPr>
        <w:pStyle w:val="affffb"/>
        <w:ind w:firstLine="420"/>
      </w:pPr>
      <w:r w:rsidRPr="00B926E7">
        <w:rPr>
          <w:rFonts w:hint="eastAsia"/>
        </w:rPr>
        <w:t>按照商品化细菌基因组DNA试剂盒</w:t>
      </w:r>
      <w:r w:rsidR="007D3DBA">
        <w:rPr>
          <w:rFonts w:hint="eastAsia"/>
        </w:rPr>
        <w:t>的</w:t>
      </w:r>
      <w:r w:rsidRPr="00B926E7">
        <w:rPr>
          <w:rFonts w:hint="eastAsia"/>
        </w:rPr>
        <w:t>说明书进行</w:t>
      </w:r>
      <w:r w:rsidR="007D3DBA">
        <w:rPr>
          <w:rFonts w:hint="eastAsia"/>
        </w:rPr>
        <w:t>操作</w:t>
      </w:r>
      <w:r w:rsidRPr="00B926E7">
        <w:rPr>
          <w:rFonts w:hint="eastAsia"/>
        </w:rPr>
        <w:t>。</w:t>
      </w:r>
    </w:p>
    <w:p w14:paraId="536A37FA" w14:textId="3E410E7E" w:rsidR="00B926E7" w:rsidRDefault="00B926E7" w:rsidP="00B926E7">
      <w:pPr>
        <w:pStyle w:val="affd"/>
        <w:spacing w:before="156" w:after="156"/>
      </w:pPr>
      <w:bookmarkStart w:id="104" w:name="_Toc201594346"/>
      <w:r w:rsidRPr="00B926E7">
        <w:rPr>
          <w:rFonts w:hint="eastAsia"/>
        </w:rPr>
        <w:t>多重PCR扩增</w:t>
      </w:r>
      <w:bookmarkEnd w:id="104"/>
    </w:p>
    <w:p w14:paraId="7BA44B9B" w14:textId="6F4E9D61" w:rsidR="00B926E7" w:rsidRDefault="00B926E7" w:rsidP="00B926E7">
      <w:pPr>
        <w:pStyle w:val="affe"/>
        <w:spacing w:before="156" w:after="156"/>
      </w:pPr>
      <w:r>
        <w:rPr>
          <w:rFonts w:hint="eastAsia"/>
        </w:rPr>
        <w:t>引物</w:t>
      </w:r>
    </w:p>
    <w:p w14:paraId="5A99BCA3" w14:textId="447B942E" w:rsidR="00B926E7" w:rsidRDefault="00B926E7" w:rsidP="00B926E7">
      <w:pPr>
        <w:pStyle w:val="affffb"/>
        <w:ind w:firstLine="420"/>
      </w:pPr>
      <w:r w:rsidRPr="00B926E7">
        <w:rPr>
          <w:rFonts w:hint="eastAsia"/>
        </w:rPr>
        <w:t>选择大肠杆菌16S rRNA基因、多杀巴氏杆菌KMT</w:t>
      </w:r>
      <w:r w:rsidR="00F122F9">
        <w:rPr>
          <w:rFonts w:hint="eastAsia"/>
        </w:rPr>
        <w:t>-1</w:t>
      </w:r>
      <w:r w:rsidRPr="00B926E7">
        <w:rPr>
          <w:rFonts w:hint="eastAsia"/>
        </w:rPr>
        <w:t>基因和产气荚膜梭菌CPA基因作为靶基因设计引物。引物信息如表1所示：</w:t>
      </w:r>
    </w:p>
    <w:p w14:paraId="5256CF90" w14:textId="0F992788" w:rsidR="00B926E7" w:rsidRPr="00B926E7" w:rsidRDefault="00C87750" w:rsidP="00C87750">
      <w:pPr>
        <w:pStyle w:val="aff2"/>
        <w:spacing w:before="156" w:after="156"/>
      </w:pPr>
      <w:r>
        <w:rPr>
          <w:rFonts w:hint="eastAsia"/>
        </w:rPr>
        <w:t>引物序列表</w:t>
      </w:r>
    </w:p>
    <w:tbl>
      <w:tblPr>
        <w:tblW w:w="5382" w:type="dxa"/>
        <w:jc w:val="center"/>
        <w:tblLayout w:type="fixed"/>
        <w:tblLook w:val="04A0" w:firstRow="1" w:lastRow="0" w:firstColumn="1" w:lastColumn="0" w:noHBand="0" w:noVBand="1"/>
      </w:tblPr>
      <w:tblGrid>
        <w:gridCol w:w="1315"/>
        <w:gridCol w:w="992"/>
        <w:gridCol w:w="1941"/>
        <w:gridCol w:w="1134"/>
      </w:tblGrid>
      <w:tr w:rsidR="00B926E7" w:rsidRPr="00B926E7" w14:paraId="745C8DEE" w14:textId="77777777" w:rsidTr="00661678">
        <w:trPr>
          <w:trHeight w:val="283"/>
          <w:jc w:val="center"/>
        </w:trPr>
        <w:tc>
          <w:tcPr>
            <w:tcW w:w="1315" w:type="dxa"/>
            <w:tcBorders>
              <w:top w:val="single" w:sz="8" w:space="0" w:color="auto"/>
              <w:left w:val="nil"/>
              <w:bottom w:val="single" w:sz="8" w:space="0" w:color="auto"/>
              <w:right w:val="nil"/>
            </w:tcBorders>
            <w:shd w:val="clear" w:color="auto" w:fill="auto"/>
            <w:noWrap/>
            <w:vAlign w:val="center"/>
            <w:hideMark/>
          </w:tcPr>
          <w:p w14:paraId="6765BA2D"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细菌</w:t>
            </w:r>
          </w:p>
        </w:tc>
        <w:tc>
          <w:tcPr>
            <w:tcW w:w="992" w:type="dxa"/>
            <w:tcBorders>
              <w:top w:val="single" w:sz="8" w:space="0" w:color="auto"/>
              <w:left w:val="nil"/>
              <w:bottom w:val="single" w:sz="8" w:space="0" w:color="auto"/>
              <w:right w:val="nil"/>
            </w:tcBorders>
            <w:shd w:val="clear" w:color="auto" w:fill="auto"/>
            <w:noWrap/>
            <w:vAlign w:val="center"/>
            <w:hideMark/>
          </w:tcPr>
          <w:p w14:paraId="44A43BA5"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引物名称</w:t>
            </w:r>
          </w:p>
        </w:tc>
        <w:tc>
          <w:tcPr>
            <w:tcW w:w="1941" w:type="dxa"/>
            <w:tcBorders>
              <w:top w:val="single" w:sz="8" w:space="0" w:color="auto"/>
              <w:left w:val="nil"/>
              <w:bottom w:val="single" w:sz="8" w:space="0" w:color="auto"/>
              <w:right w:val="nil"/>
            </w:tcBorders>
            <w:shd w:val="clear" w:color="auto" w:fill="auto"/>
            <w:noWrap/>
            <w:vAlign w:val="center"/>
            <w:hideMark/>
          </w:tcPr>
          <w:p w14:paraId="6B9106F9"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序列（</w:t>
            </w:r>
            <w:r w:rsidRPr="00B926E7">
              <w:rPr>
                <w:color w:val="000000"/>
                <w:kern w:val="0"/>
                <w:sz w:val="15"/>
                <w:szCs w:val="18"/>
              </w:rPr>
              <w:t>5</w:t>
            </w:r>
            <w:r w:rsidRPr="00B926E7">
              <w:rPr>
                <w:color w:val="000000"/>
                <w:kern w:val="0"/>
                <w:sz w:val="15"/>
                <w:szCs w:val="18"/>
                <w:vertAlign w:val="superscript"/>
              </w:rPr>
              <w:t>，</w:t>
            </w:r>
            <w:r w:rsidRPr="00B926E7">
              <w:rPr>
                <w:color w:val="000000"/>
                <w:kern w:val="0"/>
                <w:sz w:val="15"/>
                <w:szCs w:val="18"/>
              </w:rPr>
              <w:t>→3</w:t>
            </w:r>
            <w:r w:rsidRPr="00B926E7">
              <w:rPr>
                <w:color w:val="000000"/>
                <w:kern w:val="0"/>
                <w:sz w:val="15"/>
                <w:szCs w:val="18"/>
                <w:vertAlign w:val="superscript"/>
              </w:rPr>
              <w:t>，</w:t>
            </w:r>
            <w:r w:rsidRPr="00B926E7">
              <w:rPr>
                <w:color w:val="000000"/>
                <w:kern w:val="0"/>
                <w:sz w:val="15"/>
                <w:szCs w:val="18"/>
              </w:rPr>
              <w:t>）</w:t>
            </w:r>
          </w:p>
        </w:tc>
        <w:tc>
          <w:tcPr>
            <w:tcW w:w="1134" w:type="dxa"/>
            <w:tcBorders>
              <w:top w:val="single" w:sz="8" w:space="0" w:color="auto"/>
              <w:left w:val="nil"/>
              <w:bottom w:val="single" w:sz="8" w:space="0" w:color="auto"/>
              <w:right w:val="nil"/>
            </w:tcBorders>
            <w:shd w:val="clear" w:color="auto" w:fill="auto"/>
            <w:noWrap/>
            <w:vAlign w:val="center"/>
            <w:hideMark/>
          </w:tcPr>
          <w:p w14:paraId="35C57D16"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产物长度</w:t>
            </w:r>
            <w:r w:rsidRPr="00B926E7">
              <w:rPr>
                <w:color w:val="000000"/>
                <w:kern w:val="0"/>
                <w:sz w:val="15"/>
                <w:szCs w:val="18"/>
              </w:rPr>
              <w:t>/bp</w:t>
            </w:r>
          </w:p>
        </w:tc>
      </w:tr>
      <w:tr w:rsidR="00B926E7" w:rsidRPr="00B926E7" w14:paraId="5B8419CC" w14:textId="77777777" w:rsidTr="00661678">
        <w:trPr>
          <w:trHeight w:val="268"/>
          <w:jc w:val="center"/>
        </w:trPr>
        <w:tc>
          <w:tcPr>
            <w:tcW w:w="1315" w:type="dxa"/>
            <w:vMerge w:val="restart"/>
            <w:tcBorders>
              <w:top w:val="nil"/>
              <w:left w:val="nil"/>
              <w:bottom w:val="nil"/>
              <w:right w:val="nil"/>
            </w:tcBorders>
            <w:shd w:val="clear" w:color="auto" w:fill="auto"/>
            <w:noWrap/>
            <w:vAlign w:val="center"/>
            <w:hideMark/>
          </w:tcPr>
          <w:p w14:paraId="1DBDD49B"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大肠杆菌</w:t>
            </w:r>
          </w:p>
        </w:tc>
        <w:tc>
          <w:tcPr>
            <w:tcW w:w="992" w:type="dxa"/>
            <w:tcBorders>
              <w:top w:val="nil"/>
              <w:left w:val="nil"/>
              <w:bottom w:val="nil"/>
              <w:right w:val="nil"/>
            </w:tcBorders>
            <w:shd w:val="clear" w:color="auto" w:fill="auto"/>
            <w:noWrap/>
            <w:vAlign w:val="center"/>
            <w:hideMark/>
          </w:tcPr>
          <w:p w14:paraId="1691FC94"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E.</w:t>
            </w:r>
            <w:r w:rsidRPr="00B926E7">
              <w:rPr>
                <w:rFonts w:hint="eastAsia"/>
                <w:color w:val="000000"/>
                <w:kern w:val="0"/>
                <w:sz w:val="15"/>
                <w:szCs w:val="18"/>
              </w:rPr>
              <w:t xml:space="preserve"> </w:t>
            </w:r>
            <w:r w:rsidRPr="00B926E7">
              <w:rPr>
                <w:color w:val="000000"/>
                <w:kern w:val="0"/>
                <w:sz w:val="15"/>
                <w:szCs w:val="18"/>
              </w:rPr>
              <w:t>coli-F</w:t>
            </w:r>
          </w:p>
        </w:tc>
        <w:tc>
          <w:tcPr>
            <w:tcW w:w="1941" w:type="dxa"/>
            <w:tcBorders>
              <w:top w:val="nil"/>
              <w:left w:val="nil"/>
              <w:bottom w:val="nil"/>
              <w:right w:val="nil"/>
            </w:tcBorders>
            <w:shd w:val="clear" w:color="auto" w:fill="auto"/>
            <w:noWrap/>
            <w:vAlign w:val="center"/>
            <w:hideMark/>
          </w:tcPr>
          <w:p w14:paraId="79936B11"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ATGCTGCCTCACTGAATGC</w:t>
            </w:r>
          </w:p>
        </w:tc>
        <w:tc>
          <w:tcPr>
            <w:tcW w:w="1134" w:type="dxa"/>
            <w:vMerge w:val="restart"/>
            <w:tcBorders>
              <w:top w:val="nil"/>
              <w:left w:val="nil"/>
              <w:bottom w:val="nil"/>
              <w:right w:val="nil"/>
            </w:tcBorders>
            <w:shd w:val="clear" w:color="auto" w:fill="auto"/>
            <w:noWrap/>
            <w:vAlign w:val="center"/>
            <w:hideMark/>
          </w:tcPr>
          <w:p w14:paraId="277F58F3"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141</w:t>
            </w:r>
          </w:p>
        </w:tc>
      </w:tr>
      <w:tr w:rsidR="00B926E7" w:rsidRPr="00B926E7" w14:paraId="14A73B78" w14:textId="77777777" w:rsidTr="00661678">
        <w:trPr>
          <w:trHeight w:val="268"/>
          <w:jc w:val="center"/>
        </w:trPr>
        <w:tc>
          <w:tcPr>
            <w:tcW w:w="1315" w:type="dxa"/>
            <w:vMerge/>
            <w:tcBorders>
              <w:top w:val="nil"/>
              <w:left w:val="nil"/>
              <w:bottom w:val="nil"/>
              <w:right w:val="nil"/>
            </w:tcBorders>
            <w:vAlign w:val="center"/>
            <w:hideMark/>
          </w:tcPr>
          <w:p w14:paraId="75DE97CC" w14:textId="77777777" w:rsidR="00B926E7" w:rsidRPr="00B926E7" w:rsidRDefault="00B926E7" w:rsidP="00B926E7">
            <w:pPr>
              <w:widowControl/>
              <w:adjustRightInd/>
              <w:spacing w:line="240" w:lineRule="auto"/>
              <w:jc w:val="left"/>
              <w:rPr>
                <w:color w:val="000000"/>
                <w:kern w:val="0"/>
                <w:sz w:val="15"/>
                <w:szCs w:val="18"/>
              </w:rPr>
            </w:pPr>
          </w:p>
        </w:tc>
        <w:tc>
          <w:tcPr>
            <w:tcW w:w="992" w:type="dxa"/>
            <w:tcBorders>
              <w:top w:val="nil"/>
              <w:left w:val="nil"/>
              <w:bottom w:val="nil"/>
              <w:right w:val="nil"/>
            </w:tcBorders>
            <w:shd w:val="clear" w:color="auto" w:fill="auto"/>
            <w:noWrap/>
            <w:vAlign w:val="center"/>
            <w:hideMark/>
          </w:tcPr>
          <w:p w14:paraId="77727480"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E.</w:t>
            </w:r>
            <w:r w:rsidRPr="00B926E7">
              <w:rPr>
                <w:rFonts w:hint="eastAsia"/>
                <w:color w:val="000000"/>
                <w:kern w:val="0"/>
                <w:sz w:val="15"/>
                <w:szCs w:val="18"/>
              </w:rPr>
              <w:t xml:space="preserve"> </w:t>
            </w:r>
            <w:r w:rsidRPr="00B926E7">
              <w:rPr>
                <w:color w:val="000000"/>
                <w:kern w:val="0"/>
                <w:sz w:val="15"/>
                <w:szCs w:val="18"/>
              </w:rPr>
              <w:t>coli-R</w:t>
            </w:r>
          </w:p>
        </w:tc>
        <w:tc>
          <w:tcPr>
            <w:tcW w:w="1941" w:type="dxa"/>
            <w:tcBorders>
              <w:top w:val="nil"/>
              <w:left w:val="nil"/>
              <w:bottom w:val="nil"/>
              <w:right w:val="nil"/>
            </w:tcBorders>
            <w:shd w:val="clear" w:color="auto" w:fill="auto"/>
            <w:noWrap/>
            <w:vAlign w:val="center"/>
            <w:hideMark/>
          </w:tcPr>
          <w:p w14:paraId="7CEC5B64"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AGGTAACTGCGGGCTTGTC</w:t>
            </w:r>
          </w:p>
        </w:tc>
        <w:tc>
          <w:tcPr>
            <w:tcW w:w="1134" w:type="dxa"/>
            <w:vMerge/>
            <w:tcBorders>
              <w:top w:val="nil"/>
              <w:left w:val="nil"/>
              <w:bottom w:val="nil"/>
              <w:right w:val="nil"/>
            </w:tcBorders>
            <w:vAlign w:val="center"/>
            <w:hideMark/>
          </w:tcPr>
          <w:p w14:paraId="127B0624" w14:textId="77777777" w:rsidR="00B926E7" w:rsidRPr="00B926E7" w:rsidRDefault="00B926E7" w:rsidP="00B926E7">
            <w:pPr>
              <w:widowControl/>
              <w:adjustRightInd/>
              <w:spacing w:line="240" w:lineRule="auto"/>
              <w:jc w:val="left"/>
              <w:rPr>
                <w:color w:val="000000"/>
                <w:kern w:val="0"/>
                <w:sz w:val="15"/>
                <w:szCs w:val="18"/>
              </w:rPr>
            </w:pPr>
          </w:p>
        </w:tc>
      </w:tr>
      <w:tr w:rsidR="00B926E7" w:rsidRPr="00B926E7" w14:paraId="69B44A33" w14:textId="77777777" w:rsidTr="00661678">
        <w:trPr>
          <w:trHeight w:val="268"/>
          <w:jc w:val="center"/>
        </w:trPr>
        <w:tc>
          <w:tcPr>
            <w:tcW w:w="1315" w:type="dxa"/>
            <w:vMerge w:val="restart"/>
            <w:tcBorders>
              <w:top w:val="nil"/>
              <w:left w:val="nil"/>
              <w:bottom w:val="nil"/>
              <w:right w:val="nil"/>
            </w:tcBorders>
            <w:shd w:val="clear" w:color="auto" w:fill="auto"/>
            <w:noWrap/>
            <w:vAlign w:val="center"/>
            <w:hideMark/>
          </w:tcPr>
          <w:p w14:paraId="6EA11A65"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多杀</w:t>
            </w:r>
            <w:r w:rsidRPr="00B926E7">
              <w:rPr>
                <w:rFonts w:hint="eastAsia"/>
                <w:color w:val="000000"/>
                <w:kern w:val="0"/>
                <w:sz w:val="15"/>
                <w:szCs w:val="18"/>
              </w:rPr>
              <w:t>性</w:t>
            </w:r>
            <w:r w:rsidRPr="00B926E7">
              <w:rPr>
                <w:color w:val="000000"/>
                <w:kern w:val="0"/>
                <w:sz w:val="15"/>
                <w:szCs w:val="18"/>
              </w:rPr>
              <w:t>巴氏杆菌</w:t>
            </w:r>
          </w:p>
        </w:tc>
        <w:tc>
          <w:tcPr>
            <w:tcW w:w="992" w:type="dxa"/>
            <w:tcBorders>
              <w:top w:val="nil"/>
              <w:left w:val="nil"/>
              <w:bottom w:val="nil"/>
              <w:right w:val="nil"/>
            </w:tcBorders>
            <w:shd w:val="clear" w:color="auto" w:fill="auto"/>
            <w:noWrap/>
            <w:vAlign w:val="center"/>
            <w:hideMark/>
          </w:tcPr>
          <w:p w14:paraId="357E908D"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Pm-F</w:t>
            </w:r>
          </w:p>
        </w:tc>
        <w:tc>
          <w:tcPr>
            <w:tcW w:w="1941" w:type="dxa"/>
            <w:tcBorders>
              <w:top w:val="nil"/>
              <w:left w:val="nil"/>
              <w:bottom w:val="nil"/>
              <w:right w:val="nil"/>
            </w:tcBorders>
            <w:shd w:val="clear" w:color="auto" w:fill="auto"/>
            <w:noWrap/>
            <w:vAlign w:val="center"/>
            <w:hideMark/>
          </w:tcPr>
          <w:p w14:paraId="537C2E70"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AAACCGCTCTGTCGT</w:t>
            </w:r>
          </w:p>
        </w:tc>
        <w:tc>
          <w:tcPr>
            <w:tcW w:w="1134" w:type="dxa"/>
            <w:vMerge w:val="restart"/>
            <w:tcBorders>
              <w:top w:val="nil"/>
              <w:left w:val="nil"/>
              <w:bottom w:val="nil"/>
              <w:right w:val="nil"/>
            </w:tcBorders>
            <w:shd w:val="clear" w:color="auto" w:fill="auto"/>
            <w:noWrap/>
            <w:vAlign w:val="center"/>
            <w:hideMark/>
          </w:tcPr>
          <w:p w14:paraId="5E0E67E3"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248</w:t>
            </w:r>
          </w:p>
        </w:tc>
      </w:tr>
      <w:tr w:rsidR="00B926E7" w:rsidRPr="00B926E7" w14:paraId="24E83D2B" w14:textId="77777777" w:rsidTr="00661678">
        <w:trPr>
          <w:trHeight w:val="268"/>
          <w:jc w:val="center"/>
        </w:trPr>
        <w:tc>
          <w:tcPr>
            <w:tcW w:w="1315" w:type="dxa"/>
            <w:vMerge/>
            <w:tcBorders>
              <w:top w:val="nil"/>
              <w:left w:val="nil"/>
              <w:bottom w:val="nil"/>
              <w:right w:val="nil"/>
            </w:tcBorders>
            <w:vAlign w:val="center"/>
            <w:hideMark/>
          </w:tcPr>
          <w:p w14:paraId="448F8575" w14:textId="77777777" w:rsidR="00B926E7" w:rsidRPr="00B926E7" w:rsidRDefault="00B926E7" w:rsidP="00B926E7">
            <w:pPr>
              <w:widowControl/>
              <w:adjustRightInd/>
              <w:spacing w:line="240" w:lineRule="auto"/>
              <w:jc w:val="left"/>
              <w:rPr>
                <w:color w:val="000000"/>
                <w:kern w:val="0"/>
                <w:sz w:val="15"/>
                <w:szCs w:val="18"/>
              </w:rPr>
            </w:pPr>
          </w:p>
        </w:tc>
        <w:tc>
          <w:tcPr>
            <w:tcW w:w="992" w:type="dxa"/>
            <w:tcBorders>
              <w:top w:val="nil"/>
              <w:left w:val="nil"/>
              <w:bottom w:val="nil"/>
              <w:right w:val="nil"/>
            </w:tcBorders>
            <w:shd w:val="clear" w:color="auto" w:fill="auto"/>
            <w:noWrap/>
            <w:vAlign w:val="center"/>
            <w:hideMark/>
          </w:tcPr>
          <w:p w14:paraId="50FFA7CE"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Pm-R</w:t>
            </w:r>
          </w:p>
        </w:tc>
        <w:tc>
          <w:tcPr>
            <w:tcW w:w="1941" w:type="dxa"/>
            <w:tcBorders>
              <w:top w:val="nil"/>
              <w:left w:val="nil"/>
              <w:bottom w:val="nil"/>
              <w:right w:val="nil"/>
            </w:tcBorders>
            <w:shd w:val="clear" w:color="auto" w:fill="auto"/>
            <w:noWrap/>
            <w:vAlign w:val="center"/>
            <w:hideMark/>
          </w:tcPr>
          <w:p w14:paraId="7AD55C8E"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TGAGTGGGCTTGTCG</w:t>
            </w:r>
          </w:p>
        </w:tc>
        <w:tc>
          <w:tcPr>
            <w:tcW w:w="1134" w:type="dxa"/>
            <w:vMerge/>
            <w:tcBorders>
              <w:top w:val="nil"/>
              <w:left w:val="nil"/>
              <w:bottom w:val="nil"/>
              <w:right w:val="nil"/>
            </w:tcBorders>
            <w:vAlign w:val="center"/>
            <w:hideMark/>
          </w:tcPr>
          <w:p w14:paraId="664CA1CE" w14:textId="77777777" w:rsidR="00B926E7" w:rsidRPr="00B926E7" w:rsidRDefault="00B926E7" w:rsidP="00B926E7">
            <w:pPr>
              <w:widowControl/>
              <w:adjustRightInd/>
              <w:spacing w:line="240" w:lineRule="auto"/>
              <w:jc w:val="left"/>
              <w:rPr>
                <w:color w:val="000000"/>
                <w:kern w:val="0"/>
                <w:sz w:val="15"/>
                <w:szCs w:val="18"/>
              </w:rPr>
            </w:pPr>
          </w:p>
        </w:tc>
      </w:tr>
      <w:tr w:rsidR="00B926E7" w:rsidRPr="00B926E7" w14:paraId="2E8F3EB3" w14:textId="77777777" w:rsidTr="00661678">
        <w:trPr>
          <w:trHeight w:val="268"/>
          <w:jc w:val="center"/>
        </w:trPr>
        <w:tc>
          <w:tcPr>
            <w:tcW w:w="1315" w:type="dxa"/>
            <w:vMerge w:val="restart"/>
            <w:tcBorders>
              <w:top w:val="nil"/>
              <w:left w:val="nil"/>
              <w:bottom w:val="single" w:sz="8" w:space="0" w:color="000000"/>
              <w:right w:val="nil"/>
            </w:tcBorders>
            <w:shd w:val="clear" w:color="auto" w:fill="auto"/>
            <w:noWrap/>
            <w:vAlign w:val="center"/>
            <w:hideMark/>
          </w:tcPr>
          <w:p w14:paraId="7C7F7295"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产气荚膜梭菌</w:t>
            </w:r>
          </w:p>
        </w:tc>
        <w:tc>
          <w:tcPr>
            <w:tcW w:w="992" w:type="dxa"/>
            <w:tcBorders>
              <w:top w:val="nil"/>
              <w:left w:val="nil"/>
              <w:bottom w:val="nil"/>
              <w:right w:val="nil"/>
            </w:tcBorders>
            <w:shd w:val="clear" w:color="auto" w:fill="auto"/>
            <w:noWrap/>
            <w:vAlign w:val="center"/>
            <w:hideMark/>
          </w:tcPr>
          <w:p w14:paraId="405BC7C6"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Cp-F</w:t>
            </w:r>
          </w:p>
        </w:tc>
        <w:tc>
          <w:tcPr>
            <w:tcW w:w="1941" w:type="dxa"/>
            <w:tcBorders>
              <w:top w:val="nil"/>
              <w:left w:val="nil"/>
              <w:bottom w:val="nil"/>
              <w:right w:val="nil"/>
            </w:tcBorders>
            <w:shd w:val="clear" w:color="auto" w:fill="auto"/>
            <w:noWrap/>
            <w:vAlign w:val="center"/>
            <w:hideMark/>
          </w:tcPr>
          <w:p w14:paraId="1C0BC455"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GCAGAGGAAAGAAAAGAAC</w:t>
            </w:r>
          </w:p>
        </w:tc>
        <w:tc>
          <w:tcPr>
            <w:tcW w:w="1134" w:type="dxa"/>
            <w:vMerge w:val="restart"/>
            <w:tcBorders>
              <w:top w:val="nil"/>
              <w:left w:val="nil"/>
              <w:bottom w:val="single" w:sz="8" w:space="0" w:color="000000"/>
              <w:right w:val="nil"/>
            </w:tcBorders>
            <w:shd w:val="clear" w:color="auto" w:fill="auto"/>
            <w:noWrap/>
            <w:vAlign w:val="center"/>
            <w:hideMark/>
          </w:tcPr>
          <w:p w14:paraId="0A77BCB6"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190</w:t>
            </w:r>
          </w:p>
        </w:tc>
      </w:tr>
      <w:tr w:rsidR="00B926E7" w:rsidRPr="00B926E7" w14:paraId="0FAAF769" w14:textId="77777777" w:rsidTr="00661678">
        <w:trPr>
          <w:trHeight w:val="283"/>
          <w:jc w:val="center"/>
        </w:trPr>
        <w:tc>
          <w:tcPr>
            <w:tcW w:w="1315" w:type="dxa"/>
            <w:vMerge/>
            <w:tcBorders>
              <w:top w:val="nil"/>
              <w:left w:val="nil"/>
              <w:bottom w:val="single" w:sz="8" w:space="0" w:color="000000"/>
              <w:right w:val="nil"/>
            </w:tcBorders>
            <w:vAlign w:val="center"/>
            <w:hideMark/>
          </w:tcPr>
          <w:p w14:paraId="486535CA" w14:textId="77777777" w:rsidR="00B926E7" w:rsidRPr="00B926E7" w:rsidRDefault="00B926E7" w:rsidP="00B926E7">
            <w:pPr>
              <w:widowControl/>
              <w:adjustRightInd/>
              <w:spacing w:line="240" w:lineRule="auto"/>
              <w:jc w:val="left"/>
              <w:rPr>
                <w:color w:val="000000"/>
                <w:kern w:val="0"/>
                <w:sz w:val="15"/>
                <w:szCs w:val="18"/>
              </w:rPr>
            </w:pPr>
          </w:p>
        </w:tc>
        <w:tc>
          <w:tcPr>
            <w:tcW w:w="992" w:type="dxa"/>
            <w:tcBorders>
              <w:top w:val="nil"/>
              <w:left w:val="nil"/>
              <w:bottom w:val="single" w:sz="8" w:space="0" w:color="auto"/>
              <w:right w:val="nil"/>
            </w:tcBorders>
            <w:shd w:val="clear" w:color="auto" w:fill="auto"/>
            <w:noWrap/>
            <w:vAlign w:val="center"/>
            <w:hideMark/>
          </w:tcPr>
          <w:p w14:paraId="6DCD5B46"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Cp-R</w:t>
            </w:r>
          </w:p>
        </w:tc>
        <w:tc>
          <w:tcPr>
            <w:tcW w:w="1941" w:type="dxa"/>
            <w:tcBorders>
              <w:top w:val="nil"/>
              <w:left w:val="nil"/>
              <w:bottom w:val="single" w:sz="8" w:space="0" w:color="auto"/>
              <w:right w:val="nil"/>
            </w:tcBorders>
            <w:shd w:val="clear" w:color="auto" w:fill="auto"/>
            <w:noWrap/>
            <w:vAlign w:val="center"/>
            <w:hideMark/>
          </w:tcPr>
          <w:p w14:paraId="7A3384E9" w14:textId="77777777" w:rsidR="00B926E7" w:rsidRPr="00B926E7" w:rsidRDefault="00B926E7" w:rsidP="00B926E7">
            <w:pPr>
              <w:widowControl/>
              <w:adjustRightInd/>
              <w:spacing w:line="240" w:lineRule="auto"/>
              <w:jc w:val="center"/>
              <w:rPr>
                <w:color w:val="000000"/>
                <w:kern w:val="0"/>
                <w:sz w:val="15"/>
                <w:szCs w:val="18"/>
              </w:rPr>
            </w:pPr>
            <w:r w:rsidRPr="00B926E7">
              <w:rPr>
                <w:color w:val="000000"/>
                <w:kern w:val="0"/>
                <w:sz w:val="15"/>
                <w:szCs w:val="18"/>
              </w:rPr>
              <w:t>CCCAATCATCCCAACTAT</w:t>
            </w:r>
          </w:p>
        </w:tc>
        <w:tc>
          <w:tcPr>
            <w:tcW w:w="1134" w:type="dxa"/>
            <w:vMerge/>
            <w:tcBorders>
              <w:top w:val="nil"/>
              <w:left w:val="nil"/>
              <w:bottom w:val="single" w:sz="8" w:space="0" w:color="000000"/>
              <w:right w:val="nil"/>
            </w:tcBorders>
            <w:vAlign w:val="center"/>
            <w:hideMark/>
          </w:tcPr>
          <w:p w14:paraId="257EE1D9" w14:textId="77777777" w:rsidR="00B926E7" w:rsidRPr="00B926E7" w:rsidRDefault="00B926E7" w:rsidP="00B926E7">
            <w:pPr>
              <w:widowControl/>
              <w:adjustRightInd/>
              <w:spacing w:line="240" w:lineRule="auto"/>
              <w:jc w:val="left"/>
              <w:rPr>
                <w:color w:val="000000"/>
                <w:kern w:val="0"/>
                <w:sz w:val="15"/>
                <w:szCs w:val="18"/>
              </w:rPr>
            </w:pPr>
          </w:p>
        </w:tc>
      </w:tr>
    </w:tbl>
    <w:p w14:paraId="2CE225C0" w14:textId="77777777" w:rsidR="00B926E7" w:rsidRPr="00B926E7" w:rsidRDefault="00B926E7" w:rsidP="00B926E7">
      <w:pPr>
        <w:adjustRightInd/>
        <w:spacing w:line="240" w:lineRule="auto"/>
        <w:rPr>
          <w:szCs w:val="24"/>
        </w:rPr>
      </w:pPr>
    </w:p>
    <w:p w14:paraId="5B914E67" w14:textId="2F462DF0" w:rsidR="00B926E7" w:rsidRDefault="00B926E7" w:rsidP="00B926E7">
      <w:pPr>
        <w:pStyle w:val="affe"/>
        <w:spacing w:before="156" w:after="156"/>
      </w:pPr>
      <w:r w:rsidRPr="00B926E7">
        <w:rPr>
          <w:rFonts w:hint="eastAsia"/>
        </w:rPr>
        <w:lastRenderedPageBreak/>
        <w:t>阳性对照和阴性对照</w:t>
      </w:r>
    </w:p>
    <w:p w14:paraId="6FFBB1D4" w14:textId="269BBF4C" w:rsidR="00B926E7" w:rsidRDefault="00B926E7" w:rsidP="00B926E7">
      <w:pPr>
        <w:pStyle w:val="affffb"/>
        <w:ind w:firstLine="420"/>
      </w:pPr>
      <w:r w:rsidRPr="00B926E7">
        <w:rPr>
          <w:rFonts w:hint="eastAsia"/>
        </w:rPr>
        <w:t>以牦牛大肠杆菌、多杀性巴氏杆菌和产气荚膜梭菌DNA分别作为阳性对照。以任意一种非目标菌的DNA作为阴性对照。</w:t>
      </w:r>
    </w:p>
    <w:p w14:paraId="3863D2F2" w14:textId="08612B88" w:rsidR="00B926E7" w:rsidRDefault="00B926E7" w:rsidP="00B926E7">
      <w:pPr>
        <w:pStyle w:val="affe"/>
        <w:spacing w:before="156" w:after="156"/>
      </w:pPr>
      <w:r w:rsidRPr="00B926E7">
        <w:rPr>
          <w:rFonts w:hint="eastAsia"/>
        </w:rPr>
        <w:t>多重PCR反应体系</w:t>
      </w:r>
    </w:p>
    <w:p w14:paraId="6B5CA948" w14:textId="027767C9" w:rsidR="00B926E7" w:rsidRDefault="00B926E7" w:rsidP="00B926E7">
      <w:pPr>
        <w:pStyle w:val="affffb"/>
        <w:ind w:firstLine="420"/>
      </w:pPr>
      <w:r w:rsidRPr="00B926E7">
        <w:rPr>
          <w:rFonts w:hint="eastAsia"/>
        </w:rPr>
        <w:t>50 μL体系：2×Taq Mix 25 μL，DNA模板1 μL，上、下引物各1 μL，纯水1</w:t>
      </w:r>
      <w:r w:rsidR="002205A4">
        <w:rPr>
          <w:rFonts w:hint="eastAsia"/>
        </w:rPr>
        <w:t>8</w:t>
      </w:r>
      <w:r w:rsidRPr="00B926E7">
        <w:rPr>
          <w:rFonts w:hint="eastAsia"/>
        </w:rPr>
        <w:t xml:space="preserve"> μL。</w:t>
      </w:r>
    </w:p>
    <w:p w14:paraId="3EFCFDBC" w14:textId="10D979CF" w:rsidR="00B926E7" w:rsidRDefault="00B926E7" w:rsidP="00B926E7">
      <w:pPr>
        <w:pStyle w:val="affe"/>
        <w:spacing w:before="156" w:after="156"/>
      </w:pPr>
      <w:r w:rsidRPr="00B926E7">
        <w:rPr>
          <w:rFonts w:hint="eastAsia"/>
        </w:rPr>
        <w:t>多重PCR反应条件</w:t>
      </w:r>
    </w:p>
    <w:p w14:paraId="33A432D8" w14:textId="7640386D" w:rsidR="00B926E7" w:rsidRDefault="00B926E7" w:rsidP="00B926E7">
      <w:pPr>
        <w:pStyle w:val="affffb"/>
        <w:ind w:firstLine="420"/>
      </w:pPr>
      <w:r w:rsidRPr="00B926E7">
        <w:rPr>
          <w:rFonts w:hint="eastAsia"/>
        </w:rPr>
        <w:t>反应条件为：94 ℃预变性5 min，94 ℃变性30 s，55 ℃退火30 s，72 ℃延伸30 s，共30个循环，最后72 ℃延伸5 min。</w:t>
      </w:r>
    </w:p>
    <w:p w14:paraId="66D9DA2E" w14:textId="42129AD7" w:rsidR="00B926E7" w:rsidRDefault="00B926E7" w:rsidP="00B926E7">
      <w:pPr>
        <w:pStyle w:val="affe"/>
        <w:spacing w:before="156" w:after="156"/>
      </w:pPr>
      <w:r w:rsidRPr="00B926E7">
        <w:rPr>
          <w:rFonts w:hint="eastAsia"/>
        </w:rPr>
        <w:t>琼脂糖凝胶电泳</w:t>
      </w:r>
    </w:p>
    <w:p w14:paraId="2585502E" w14:textId="0EF9593D" w:rsidR="00B926E7" w:rsidRDefault="00B926E7" w:rsidP="00B926E7">
      <w:pPr>
        <w:pStyle w:val="affffb"/>
        <w:ind w:firstLine="420"/>
      </w:pPr>
      <w:r w:rsidRPr="00B926E7">
        <w:rPr>
          <w:rFonts w:hint="eastAsia"/>
        </w:rPr>
        <w:t>将50×TAE缓冲液稀释为</w:t>
      </w:r>
      <w:bookmarkStart w:id="105" w:name="_Hlk201595596"/>
      <w:r w:rsidRPr="00B926E7">
        <w:rPr>
          <w:rFonts w:hint="eastAsia"/>
        </w:rPr>
        <w:t>1×TAE缓冲液</w:t>
      </w:r>
      <w:bookmarkEnd w:id="105"/>
      <w:r w:rsidRPr="00B926E7">
        <w:rPr>
          <w:rFonts w:hint="eastAsia"/>
        </w:rPr>
        <w:t>；用1×TAE缓冲液加入0.1%体积的核酸染料制备</w:t>
      </w:r>
      <w:bookmarkStart w:id="106" w:name="_Hlk201595791"/>
      <w:r w:rsidRPr="00B926E7">
        <w:rPr>
          <w:rFonts w:hint="eastAsia"/>
        </w:rPr>
        <w:t>3%琼脂糖凝胶</w:t>
      </w:r>
      <w:bookmarkEnd w:id="106"/>
      <w:r w:rsidRPr="00B926E7">
        <w:rPr>
          <w:rFonts w:hint="eastAsia"/>
        </w:rPr>
        <w:t>；取4~6 μL多重PCR产物进行点样，用DL500 DNA Maker作参照；电压100V，电流100A，电泳30~40 min。用凝胶成像仪观察分析，记录、保存电泳结果。</w:t>
      </w:r>
    </w:p>
    <w:p w14:paraId="742945F9" w14:textId="4F31D3B7" w:rsidR="00B926E7" w:rsidRDefault="00B926E7" w:rsidP="00B926E7">
      <w:pPr>
        <w:pStyle w:val="affc"/>
        <w:spacing w:before="312" w:after="312"/>
      </w:pPr>
      <w:bookmarkStart w:id="107" w:name="_Toc201594347"/>
      <w:bookmarkStart w:id="108" w:name="_Toc201594360"/>
      <w:bookmarkStart w:id="109" w:name="_Toc202013847"/>
      <w:bookmarkStart w:id="110" w:name="_Toc202017414"/>
      <w:bookmarkStart w:id="111" w:name="_Toc202345274"/>
      <w:bookmarkStart w:id="112" w:name="_Toc202357943"/>
      <w:bookmarkStart w:id="113" w:name="_Toc202445813"/>
      <w:r w:rsidRPr="00B926E7">
        <w:rPr>
          <w:rFonts w:hint="eastAsia"/>
        </w:rPr>
        <w:t>结果判定</w:t>
      </w:r>
      <w:bookmarkEnd w:id="107"/>
      <w:bookmarkEnd w:id="108"/>
      <w:bookmarkEnd w:id="109"/>
      <w:bookmarkEnd w:id="110"/>
      <w:bookmarkEnd w:id="111"/>
      <w:bookmarkEnd w:id="112"/>
      <w:bookmarkEnd w:id="113"/>
    </w:p>
    <w:p w14:paraId="420CAEFF" w14:textId="158F5469" w:rsidR="00B926E7" w:rsidRDefault="00EA0DC3" w:rsidP="00FB079F">
      <w:pPr>
        <w:pStyle w:val="affd"/>
        <w:spacing w:before="156" w:after="156"/>
      </w:pPr>
      <w:bookmarkStart w:id="114" w:name="_Toc201594348"/>
      <w:r>
        <w:rPr>
          <w:rFonts w:hint="eastAsia"/>
        </w:rPr>
        <w:t>检测结果</w:t>
      </w:r>
      <w:r w:rsidR="00FB079F" w:rsidRPr="00FB079F">
        <w:rPr>
          <w:rFonts w:hint="eastAsia"/>
        </w:rPr>
        <w:t>成立条件</w:t>
      </w:r>
      <w:bookmarkEnd w:id="114"/>
    </w:p>
    <w:p w14:paraId="673A7D2C" w14:textId="45973498" w:rsidR="00FB079F" w:rsidRDefault="00FB079F" w:rsidP="00FB079F">
      <w:pPr>
        <w:pStyle w:val="affffb"/>
        <w:ind w:firstLine="420"/>
      </w:pPr>
      <w:r w:rsidRPr="00FB079F">
        <w:rPr>
          <w:rFonts w:hint="eastAsia"/>
        </w:rPr>
        <w:t>牦牛大肠杆菌、多杀性巴氏杆菌和产气荚膜梭菌阳性对照的多重PCR产物经电泳后，分别得到了141 bp、248 bp和190 bp的特异性条带，同时阴性对照PCR产物电泳后没有任何条带，则试验成立，否则不成立。</w:t>
      </w:r>
    </w:p>
    <w:p w14:paraId="6CEC929C" w14:textId="77777777" w:rsidR="00DB5FA9" w:rsidRDefault="00DB5FA9" w:rsidP="00DB5FA9">
      <w:pPr>
        <w:pStyle w:val="affd"/>
        <w:spacing w:before="156" w:after="156"/>
      </w:pPr>
      <w:r>
        <w:rPr>
          <w:rFonts w:hint="eastAsia"/>
        </w:rPr>
        <w:t>结果判定</w:t>
      </w:r>
    </w:p>
    <w:p w14:paraId="56C96B24" w14:textId="72328A49" w:rsidR="00FB079F" w:rsidRDefault="00FB079F" w:rsidP="00DB5FA9">
      <w:pPr>
        <w:pStyle w:val="afffffffff1"/>
      </w:pPr>
      <w:r w:rsidRPr="00FB079F">
        <w:rPr>
          <w:rFonts w:hint="eastAsia"/>
        </w:rPr>
        <w:t>在试验结果成立的前提下，</w:t>
      </w:r>
      <w:r w:rsidR="00DB5FA9">
        <w:rPr>
          <w:rFonts w:hint="eastAsia"/>
        </w:rPr>
        <w:t>若</w:t>
      </w:r>
      <w:r w:rsidRPr="00FB079F">
        <w:rPr>
          <w:rFonts w:hint="eastAsia"/>
        </w:rPr>
        <w:t>样品中PCR产物电泳后在141 bp、248 bp和190 bp的位置上出现特异性条带，则判定为大肠杆菌、多杀性巴氏杆菌和产气荚膜梭菌检测阳性；若同时出现2条或3条特异性条带，则判定为对应的病原混合感染</w:t>
      </w:r>
      <w:r w:rsidR="00BB513B">
        <w:rPr>
          <w:rFonts w:hint="eastAsia"/>
        </w:rPr>
        <w:t>(见附录B)</w:t>
      </w:r>
      <w:r w:rsidRPr="00FB079F">
        <w:rPr>
          <w:rFonts w:hint="eastAsia"/>
        </w:rPr>
        <w:t>。</w:t>
      </w:r>
    </w:p>
    <w:p w14:paraId="125E756C" w14:textId="1B9C054F" w:rsidR="00FB079F" w:rsidRDefault="00FB079F" w:rsidP="00DB5FA9">
      <w:pPr>
        <w:pStyle w:val="afffffffff1"/>
      </w:pPr>
      <w:r w:rsidRPr="00FB079F">
        <w:rPr>
          <w:rFonts w:hint="eastAsia"/>
        </w:rPr>
        <w:t>若样品中PCR产物电泳后在141 bp、248 bp和190 bp的位置上均未出现特异性条带，则判定为阴性。</w:t>
      </w:r>
    </w:p>
    <w:p w14:paraId="63653833" w14:textId="030D1964" w:rsidR="00FB079F" w:rsidRDefault="00FB079F" w:rsidP="00FB079F">
      <w:pPr>
        <w:pStyle w:val="affc"/>
        <w:spacing w:before="312" w:after="312"/>
      </w:pPr>
      <w:bookmarkStart w:id="115" w:name="_Toc201594351"/>
      <w:bookmarkStart w:id="116" w:name="_Toc201594361"/>
      <w:bookmarkStart w:id="117" w:name="_Toc202013848"/>
      <w:bookmarkStart w:id="118" w:name="_Toc202017415"/>
      <w:bookmarkStart w:id="119" w:name="_Toc202345275"/>
      <w:bookmarkStart w:id="120" w:name="_Toc202357944"/>
      <w:bookmarkStart w:id="121" w:name="_Toc202445814"/>
      <w:r w:rsidRPr="00FB079F">
        <w:rPr>
          <w:rFonts w:hint="eastAsia"/>
        </w:rPr>
        <w:t>废弃物处理</w:t>
      </w:r>
      <w:bookmarkEnd w:id="115"/>
      <w:bookmarkEnd w:id="116"/>
      <w:bookmarkEnd w:id="117"/>
      <w:bookmarkEnd w:id="118"/>
      <w:bookmarkEnd w:id="119"/>
      <w:bookmarkEnd w:id="120"/>
      <w:bookmarkEnd w:id="121"/>
    </w:p>
    <w:p w14:paraId="03860BF3" w14:textId="4C987E15" w:rsidR="00FB079F" w:rsidRDefault="00FB079F" w:rsidP="00FB079F">
      <w:pPr>
        <w:pStyle w:val="affffb"/>
        <w:ind w:firstLine="420"/>
      </w:pPr>
      <w:r w:rsidRPr="00FB079F">
        <w:rPr>
          <w:rFonts w:hint="eastAsia"/>
        </w:rPr>
        <w:t>检测过程中的废弃物</w:t>
      </w:r>
      <w:r w:rsidR="00BF33B8">
        <w:rPr>
          <w:rFonts w:hint="eastAsia"/>
        </w:rPr>
        <w:t>无害化</w:t>
      </w:r>
      <w:r w:rsidRPr="00FB079F">
        <w:rPr>
          <w:rFonts w:hint="eastAsia"/>
        </w:rPr>
        <w:t>处理</w:t>
      </w:r>
      <w:r w:rsidR="00BF33B8">
        <w:rPr>
          <w:rFonts w:hint="eastAsia"/>
        </w:rPr>
        <w:t>应按照</w:t>
      </w:r>
      <w:r w:rsidR="00BF33B8" w:rsidRPr="00BF33B8">
        <w:rPr>
          <w:rFonts w:hint="eastAsia"/>
        </w:rPr>
        <w:t>GB 19489</w:t>
      </w:r>
      <w:r w:rsidR="00BF33B8">
        <w:rPr>
          <w:rFonts w:hint="eastAsia"/>
        </w:rPr>
        <w:t xml:space="preserve"> 和SN/T 2025 </w:t>
      </w:r>
      <w:r w:rsidR="00BF33B8" w:rsidRPr="00BF33B8">
        <w:rPr>
          <w:rFonts w:hint="eastAsia"/>
        </w:rPr>
        <w:t>的</w:t>
      </w:r>
      <w:r w:rsidR="00BF33B8">
        <w:rPr>
          <w:rFonts w:hint="eastAsia"/>
        </w:rPr>
        <w:t>规定执行</w:t>
      </w:r>
      <w:r w:rsidRPr="00FB079F">
        <w:rPr>
          <w:rFonts w:hint="eastAsia"/>
        </w:rPr>
        <w:t>。</w:t>
      </w:r>
    </w:p>
    <w:p w14:paraId="6685B5A6" w14:textId="77777777" w:rsidR="00C87750" w:rsidRDefault="00C87750" w:rsidP="00FB079F">
      <w:pPr>
        <w:pStyle w:val="affffb"/>
        <w:ind w:firstLine="420"/>
        <w:sectPr w:rsidR="00C87750" w:rsidSect="00BB513B">
          <w:pgSz w:w="11906" w:h="16838" w:code="9"/>
          <w:pgMar w:top="1928" w:right="1134" w:bottom="1134" w:left="1134" w:header="1418" w:footer="1134" w:gutter="284"/>
          <w:pgNumType w:start="1"/>
          <w:cols w:space="425"/>
          <w:formProt w:val="0"/>
          <w:docGrid w:type="lines" w:linePitch="312"/>
        </w:sectPr>
      </w:pPr>
      <w:bookmarkStart w:id="122" w:name="BookMark5"/>
      <w:bookmarkEnd w:id="30"/>
    </w:p>
    <w:p w14:paraId="51D44255" w14:textId="77777777" w:rsidR="00C87750" w:rsidRDefault="00C87750" w:rsidP="00C87750">
      <w:pPr>
        <w:pStyle w:val="af8"/>
        <w:rPr>
          <w:rFonts w:hint="eastAsia"/>
        </w:rPr>
      </w:pPr>
    </w:p>
    <w:p w14:paraId="352BFCDD" w14:textId="77777777" w:rsidR="00C87750" w:rsidRDefault="00C87750" w:rsidP="00C87750">
      <w:pPr>
        <w:pStyle w:val="afe"/>
      </w:pPr>
    </w:p>
    <w:p w14:paraId="254C06B9" w14:textId="758089F0" w:rsidR="00C87750" w:rsidRDefault="00C87750" w:rsidP="00DB4642">
      <w:pPr>
        <w:pStyle w:val="aff3"/>
        <w:spacing w:after="156"/>
      </w:pPr>
      <w:r>
        <w:br/>
      </w:r>
      <w:bookmarkStart w:id="123" w:name="_Toc202013849"/>
      <w:bookmarkStart w:id="124" w:name="_Toc202017416"/>
      <w:bookmarkStart w:id="125" w:name="_Toc202345276"/>
      <w:bookmarkStart w:id="126" w:name="_Toc202357945"/>
      <w:bookmarkStart w:id="127" w:name="_Toc202445815"/>
      <w:r>
        <w:rPr>
          <w:rFonts w:hint="eastAsia"/>
        </w:rPr>
        <w:t>（资料性）</w:t>
      </w:r>
      <w:r>
        <w:br/>
      </w:r>
      <w:r>
        <w:rPr>
          <w:rFonts w:hint="eastAsia"/>
        </w:rPr>
        <w:t>相关试剂的配制</w:t>
      </w:r>
      <w:bookmarkEnd w:id="123"/>
      <w:bookmarkEnd w:id="124"/>
      <w:bookmarkEnd w:id="125"/>
      <w:bookmarkEnd w:id="126"/>
      <w:bookmarkEnd w:id="127"/>
    </w:p>
    <w:p w14:paraId="103A593F" w14:textId="77777777" w:rsidR="00BB513B" w:rsidRDefault="00BB513B" w:rsidP="00BB513B">
      <w:pPr>
        <w:pStyle w:val="aff4"/>
        <w:spacing w:before="156" w:after="156"/>
      </w:pPr>
      <w:r w:rsidRPr="00BB513B">
        <w:rPr>
          <w:rFonts w:hint="eastAsia"/>
        </w:rPr>
        <w:t>3%琼脂糖凝胶</w:t>
      </w:r>
    </w:p>
    <w:p w14:paraId="391BFD1B" w14:textId="0AC705E8" w:rsidR="005C474C" w:rsidRDefault="005C474C" w:rsidP="00C87750">
      <w:pPr>
        <w:pStyle w:val="affffb"/>
        <w:ind w:firstLine="420"/>
        <w:sectPr w:rsidR="005C474C" w:rsidSect="00C87750">
          <w:pgSz w:w="11906" w:h="16838" w:code="9"/>
          <w:pgMar w:top="1928" w:right="1134" w:bottom="1134" w:left="1134" w:header="1418" w:footer="1134" w:gutter="284"/>
          <w:cols w:space="425"/>
          <w:formProt w:val="0"/>
          <w:docGrid w:type="lines" w:linePitch="312"/>
        </w:sectPr>
      </w:pPr>
      <w:r>
        <w:rPr>
          <w:rFonts w:hint="eastAsia"/>
        </w:rPr>
        <w:t>称取3.0g琼脂糖，加入100</w:t>
      </w:r>
      <w:r w:rsidRPr="005C474C">
        <w:rPr>
          <w:rFonts w:hint="eastAsia"/>
        </w:rPr>
        <w:t xml:space="preserve"> </w:t>
      </w:r>
      <w:r>
        <w:rPr>
          <w:rFonts w:hint="eastAsia"/>
        </w:rPr>
        <w:t xml:space="preserve">mL </w:t>
      </w:r>
      <w:r w:rsidRPr="00C87750">
        <w:rPr>
          <w:rFonts w:hint="eastAsia"/>
        </w:rPr>
        <w:t>1×TAE</w:t>
      </w:r>
      <w:r>
        <w:rPr>
          <w:rFonts w:hint="eastAsia"/>
        </w:rPr>
        <w:t>电泳</w:t>
      </w:r>
      <w:r w:rsidRPr="00C87750">
        <w:rPr>
          <w:rFonts w:hint="eastAsia"/>
        </w:rPr>
        <w:t>缓冲液</w:t>
      </w:r>
      <w:r>
        <w:rPr>
          <w:rFonts w:hint="eastAsia"/>
        </w:rPr>
        <w:t>，加热融化，温度将至60℃时，加入10</w:t>
      </w:r>
      <w:r w:rsidRPr="00B926E7">
        <w:rPr>
          <w:rFonts w:hint="eastAsia"/>
        </w:rPr>
        <w:t>μL</w:t>
      </w:r>
      <w:r>
        <w:rPr>
          <w:rFonts w:hint="eastAsia"/>
        </w:rPr>
        <w:t>核酸染料，倒胶。</w:t>
      </w:r>
    </w:p>
    <w:p w14:paraId="31C47B23" w14:textId="41DE5D35" w:rsidR="005C474C" w:rsidRDefault="005C474C" w:rsidP="005C474C">
      <w:pPr>
        <w:pStyle w:val="af8"/>
        <w:rPr>
          <w:rFonts w:hint="eastAsia"/>
        </w:rPr>
      </w:pPr>
    </w:p>
    <w:p w14:paraId="7A153EEC" w14:textId="77777777" w:rsidR="005C474C" w:rsidRDefault="005C474C" w:rsidP="005C474C">
      <w:pPr>
        <w:pStyle w:val="afe"/>
      </w:pPr>
    </w:p>
    <w:p w14:paraId="37657C12" w14:textId="676D085C" w:rsidR="005C474C" w:rsidRPr="005C474C" w:rsidRDefault="005C474C" w:rsidP="004570A0">
      <w:pPr>
        <w:pStyle w:val="aff3"/>
        <w:spacing w:after="156"/>
        <w:rPr>
          <w:noProof w:val="0"/>
        </w:rPr>
      </w:pPr>
      <w:r>
        <w:br/>
      </w:r>
      <w:bookmarkStart w:id="128" w:name="_Toc202013850"/>
      <w:bookmarkStart w:id="129" w:name="_Toc202017417"/>
      <w:bookmarkStart w:id="130" w:name="_Toc202345277"/>
      <w:bookmarkStart w:id="131" w:name="_Toc202357946"/>
      <w:bookmarkStart w:id="132" w:name="_Toc202445816"/>
      <w:r>
        <w:rPr>
          <w:rFonts w:hint="eastAsia"/>
        </w:rPr>
        <w:t>（规范性）</w:t>
      </w:r>
      <w:r>
        <w:br/>
      </w:r>
      <w:bookmarkStart w:id="133" w:name="_Hlk201596148"/>
      <w:r>
        <w:rPr>
          <w:rFonts w:hint="eastAsia"/>
          <w:noProof w:val="0"/>
        </w:rPr>
        <w:t>牦牛大肠杆菌、多杀巴氏杆菌和产气荚膜梭菌多重PCR</w:t>
      </w:r>
      <w:r w:rsidR="005F4B0A">
        <w:rPr>
          <w:rFonts w:hint="eastAsia"/>
          <w:noProof w:val="0"/>
        </w:rPr>
        <w:t>产物</w:t>
      </w:r>
      <w:r>
        <w:rPr>
          <w:rFonts w:hint="eastAsia"/>
          <w:noProof w:val="0"/>
        </w:rPr>
        <w:t>电泳图</w:t>
      </w:r>
      <w:bookmarkEnd w:id="128"/>
      <w:bookmarkEnd w:id="129"/>
      <w:bookmarkEnd w:id="130"/>
      <w:bookmarkEnd w:id="131"/>
      <w:bookmarkEnd w:id="132"/>
      <w:bookmarkEnd w:id="133"/>
    </w:p>
    <w:p w14:paraId="15532671" w14:textId="739B0156" w:rsidR="00577EB3" w:rsidRDefault="00577EB3" w:rsidP="004570A0">
      <w:pPr>
        <w:pStyle w:val="affffb"/>
        <w:ind w:firstLine="420"/>
        <w:jc w:val="center"/>
      </w:pPr>
      <w:r>
        <w:drawing>
          <wp:inline distT="0" distB="0" distL="0" distR="0" wp14:anchorId="65E6A423" wp14:editId="06EABCCB">
            <wp:extent cx="2639102" cy="1338681"/>
            <wp:effectExtent l="0" t="0" r="8890" b="0"/>
            <wp:docPr id="212098939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7944" cy="1348239"/>
                    </a:xfrm>
                    <a:prstGeom prst="rect">
                      <a:avLst/>
                    </a:prstGeom>
                    <a:noFill/>
                    <a:ln>
                      <a:noFill/>
                    </a:ln>
                  </pic:spPr>
                </pic:pic>
              </a:graphicData>
            </a:graphic>
          </wp:inline>
        </w:drawing>
      </w:r>
    </w:p>
    <w:p w14:paraId="78C284ED" w14:textId="3AE6BAE6" w:rsidR="005F4B0A" w:rsidRPr="005F4B0A" w:rsidRDefault="005C474C" w:rsidP="005F4B0A">
      <w:pPr>
        <w:pStyle w:val="af4"/>
        <w:rPr>
          <w:rFonts w:hint="eastAsia"/>
        </w:rPr>
      </w:pPr>
      <w:r>
        <w:rPr>
          <w:rFonts w:hint="eastAsia"/>
        </w:rPr>
        <w:t>说明</w:t>
      </w:r>
      <w:r w:rsidR="005F4B0A">
        <w:rPr>
          <w:rFonts w:hint="eastAsia"/>
        </w:rPr>
        <w:t>:M——</w:t>
      </w:r>
      <w:r w:rsidR="005F4B0A" w:rsidRPr="005F4B0A">
        <w:rPr>
          <w:rFonts w:hint="eastAsia"/>
        </w:rPr>
        <w:t>5.1　DL500 DNA Maker</w:t>
      </w:r>
      <w:r w:rsidR="005F4B0A">
        <w:rPr>
          <w:rFonts w:hint="eastAsia"/>
        </w:rPr>
        <w:t>；1——</w:t>
      </w:r>
      <w:r w:rsidR="005F4B0A" w:rsidRPr="005F4B0A">
        <w:rPr>
          <w:rFonts w:hint="eastAsia"/>
        </w:rPr>
        <w:t>大肠杆菌＋多杀巴氏杆菌＋产气荚膜梭菌</w:t>
      </w:r>
      <w:r w:rsidR="005F4B0A">
        <w:rPr>
          <w:rFonts w:hint="eastAsia"/>
        </w:rPr>
        <w:t>；2——</w:t>
      </w:r>
      <w:r w:rsidR="005F4B0A" w:rsidRPr="005F4B0A">
        <w:rPr>
          <w:rFonts w:hint="eastAsia"/>
        </w:rPr>
        <w:t>产气荚膜梭菌</w:t>
      </w:r>
      <w:r w:rsidR="005F4B0A">
        <w:rPr>
          <w:rFonts w:hint="eastAsia"/>
        </w:rPr>
        <w:t>；3——</w:t>
      </w:r>
      <w:r w:rsidR="005F4B0A" w:rsidRPr="005F4B0A">
        <w:rPr>
          <w:rFonts w:hint="eastAsia"/>
        </w:rPr>
        <w:t>多杀巴氏杆菌</w:t>
      </w:r>
      <w:r w:rsidR="005F4B0A">
        <w:rPr>
          <w:rFonts w:hint="eastAsia"/>
        </w:rPr>
        <w:t>；4——</w:t>
      </w:r>
      <w:r w:rsidR="005F4B0A" w:rsidRPr="005F4B0A">
        <w:rPr>
          <w:rFonts w:hint="eastAsia"/>
        </w:rPr>
        <w:t>大肠杆菌</w:t>
      </w:r>
      <w:r w:rsidR="005F4B0A">
        <w:rPr>
          <w:rFonts w:hint="eastAsia"/>
        </w:rPr>
        <w:t>；N——</w:t>
      </w:r>
      <w:r w:rsidR="005F4B0A" w:rsidRPr="005F4B0A">
        <w:rPr>
          <w:rFonts w:hint="eastAsia"/>
        </w:rPr>
        <w:t>阴性对照</w:t>
      </w:r>
      <w:r w:rsidR="005F4B0A">
        <w:rPr>
          <w:rFonts w:hint="eastAsia"/>
        </w:rPr>
        <w:t>。</w:t>
      </w:r>
    </w:p>
    <w:p w14:paraId="78C386B6" w14:textId="042E4C92" w:rsidR="005C474C" w:rsidRDefault="005C474C" w:rsidP="005F4B0A">
      <w:pPr>
        <w:pStyle w:val="af9"/>
        <w:spacing w:before="156" w:after="156"/>
      </w:pPr>
      <w:r w:rsidRPr="005C474C">
        <w:rPr>
          <w:rFonts w:hint="eastAsia"/>
        </w:rPr>
        <w:t>牦牛大肠杆菌、多杀巴氏杆菌和产气荚膜梭菌多重PCR</w:t>
      </w:r>
      <w:r w:rsidR="005F4B0A">
        <w:rPr>
          <w:rFonts w:hint="eastAsia"/>
        </w:rPr>
        <w:t>产物</w:t>
      </w:r>
      <w:r w:rsidRPr="005C474C">
        <w:rPr>
          <w:rFonts w:hint="eastAsia"/>
        </w:rPr>
        <w:t>电泳图</w:t>
      </w:r>
    </w:p>
    <w:p w14:paraId="38313378" w14:textId="2CADC050" w:rsidR="00EB3118" w:rsidRPr="00EB3118" w:rsidRDefault="00EB3118" w:rsidP="00EB3118">
      <w:pPr>
        <w:pStyle w:val="affffb"/>
        <w:ind w:firstLineChars="0" w:firstLine="0"/>
        <w:jc w:val="center"/>
        <w:rPr>
          <w:rFonts w:hint="eastAsia"/>
        </w:rPr>
      </w:pPr>
      <w:bookmarkStart w:id="134" w:name="BookMark8"/>
      <w:bookmarkEnd w:id="122"/>
      <w:r>
        <w:rPr>
          <w:rFonts w:hint="eastAsia"/>
        </w:rPr>
        <w:drawing>
          <wp:inline distT="0" distB="0" distL="0" distR="0" wp14:anchorId="20B78452" wp14:editId="6BE1526C">
            <wp:extent cx="1485900" cy="317500"/>
            <wp:effectExtent l="0" t="0" r="0" b="6350"/>
            <wp:docPr id="1477671276" name="图片 3"/>
            <wp:cNvGraphicFramePr/>
            <a:graphic xmlns:a="http://schemas.openxmlformats.org/drawingml/2006/main">
              <a:graphicData uri="http://schemas.openxmlformats.org/drawingml/2006/picture">
                <pic:pic xmlns:pic="http://schemas.openxmlformats.org/drawingml/2006/picture">
                  <pic:nvPicPr>
                    <pic:cNvPr id="1477671276"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4"/>
    </w:p>
    <w:sectPr w:rsidR="00EB3118" w:rsidRPr="00EB3118" w:rsidSect="00C87750">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5F62A" w14:textId="77777777" w:rsidR="00E37D3F" w:rsidRDefault="00E37D3F" w:rsidP="00D86DB7">
      <w:r>
        <w:separator/>
      </w:r>
    </w:p>
    <w:p w14:paraId="1D319B14" w14:textId="77777777" w:rsidR="00E37D3F" w:rsidRDefault="00E37D3F"/>
    <w:p w14:paraId="1316FE5F" w14:textId="77777777" w:rsidR="00E37D3F" w:rsidRDefault="00E37D3F"/>
  </w:endnote>
  <w:endnote w:type="continuationSeparator" w:id="0">
    <w:p w14:paraId="6F8F93F9" w14:textId="77777777" w:rsidR="00E37D3F" w:rsidRDefault="00E37D3F" w:rsidP="00D86DB7">
      <w:r>
        <w:continuationSeparator/>
      </w:r>
    </w:p>
    <w:p w14:paraId="722C9B2F" w14:textId="77777777" w:rsidR="00E37D3F" w:rsidRDefault="00E37D3F"/>
    <w:p w14:paraId="344A5149" w14:textId="77777777" w:rsidR="00E37D3F" w:rsidRDefault="00E37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76C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7E1D"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97624"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0D1"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2CCC0" w14:textId="77777777" w:rsidR="00E37D3F" w:rsidRDefault="00E37D3F" w:rsidP="00D86DB7">
      <w:r>
        <w:separator/>
      </w:r>
    </w:p>
  </w:footnote>
  <w:footnote w:type="continuationSeparator" w:id="0">
    <w:p w14:paraId="53127A5B" w14:textId="77777777" w:rsidR="00E37D3F" w:rsidRDefault="00E37D3F" w:rsidP="00D86DB7">
      <w:r>
        <w:continuationSeparator/>
      </w:r>
    </w:p>
    <w:p w14:paraId="06ECE694" w14:textId="77777777" w:rsidR="00E37D3F" w:rsidRDefault="00E37D3F"/>
    <w:p w14:paraId="4956765C" w14:textId="77777777" w:rsidR="00E37D3F" w:rsidRDefault="00E37D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5E93"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62CC"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AB640"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1C1A" w14:textId="48626D84"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D0766A">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C6F5" w14:textId="642401B9"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EB3118">
      <w:rPr>
        <w:rFonts w:hint="eastAsia"/>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MCFJIHpnHjBZc6G+yLzh/lN2YwXm5VP237+prWhQJFTsNXsCJ5pTrkedMMZGBLAi4K+xJ5BEi9oQh2pprhL7IQ==" w:salt="Raf0aRqT8oFeOOPp+J1Y5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B9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37F"/>
    <w:rsid w:val="000331D3"/>
    <w:rsid w:val="000346A5"/>
    <w:rsid w:val="000359C3"/>
    <w:rsid w:val="00035A7D"/>
    <w:rsid w:val="000365ED"/>
    <w:rsid w:val="000410C4"/>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4A0"/>
    <w:rsid w:val="000A296B"/>
    <w:rsid w:val="000A7311"/>
    <w:rsid w:val="000B060F"/>
    <w:rsid w:val="000B1592"/>
    <w:rsid w:val="000B1FF2"/>
    <w:rsid w:val="000B3CDA"/>
    <w:rsid w:val="000B6A0B"/>
    <w:rsid w:val="000C0F6C"/>
    <w:rsid w:val="000C11DB"/>
    <w:rsid w:val="000C1492"/>
    <w:rsid w:val="000C2FBD"/>
    <w:rsid w:val="000C323B"/>
    <w:rsid w:val="000C4B41"/>
    <w:rsid w:val="000C57D6"/>
    <w:rsid w:val="000C6362"/>
    <w:rsid w:val="000C7666"/>
    <w:rsid w:val="000D0A9C"/>
    <w:rsid w:val="000D1795"/>
    <w:rsid w:val="000D329A"/>
    <w:rsid w:val="000D4B9C"/>
    <w:rsid w:val="000D4EB6"/>
    <w:rsid w:val="000D753B"/>
    <w:rsid w:val="000E0550"/>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27B7"/>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2E7"/>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05A4"/>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3278"/>
    <w:rsid w:val="002D42B5"/>
    <w:rsid w:val="002D4F1A"/>
    <w:rsid w:val="002D5EB4"/>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116"/>
    <w:rsid w:val="003331E4"/>
    <w:rsid w:val="00336C64"/>
    <w:rsid w:val="00337162"/>
    <w:rsid w:val="0034194F"/>
    <w:rsid w:val="00344605"/>
    <w:rsid w:val="003474AA"/>
    <w:rsid w:val="0034751D"/>
    <w:rsid w:val="00350D1D"/>
    <w:rsid w:val="00352C83"/>
    <w:rsid w:val="003530CD"/>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86A"/>
    <w:rsid w:val="003B6BE3"/>
    <w:rsid w:val="003B765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2FB"/>
    <w:rsid w:val="003E660F"/>
    <w:rsid w:val="003F0841"/>
    <w:rsid w:val="003F23D3"/>
    <w:rsid w:val="003F3F08"/>
    <w:rsid w:val="003F46B5"/>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0A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5D4"/>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750"/>
    <w:rsid w:val="005479DA"/>
    <w:rsid w:val="00547BCC"/>
    <w:rsid w:val="0055013B"/>
    <w:rsid w:val="00551F6F"/>
    <w:rsid w:val="00555044"/>
    <w:rsid w:val="00561475"/>
    <w:rsid w:val="0056487B"/>
    <w:rsid w:val="00564FB9"/>
    <w:rsid w:val="00573D9E"/>
    <w:rsid w:val="00577EB3"/>
    <w:rsid w:val="005801E3"/>
    <w:rsid w:val="00581802"/>
    <w:rsid w:val="00582B23"/>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74C"/>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4B0A"/>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36F"/>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2616"/>
    <w:rsid w:val="006F03A8"/>
    <w:rsid w:val="006F2ACA"/>
    <w:rsid w:val="006F2ADC"/>
    <w:rsid w:val="006F2BFE"/>
    <w:rsid w:val="006F31E9"/>
    <w:rsid w:val="006F6284"/>
    <w:rsid w:val="007002C5"/>
    <w:rsid w:val="00702FA1"/>
    <w:rsid w:val="00704387"/>
    <w:rsid w:val="00707669"/>
    <w:rsid w:val="00711CBA"/>
    <w:rsid w:val="00711FB5"/>
    <w:rsid w:val="00712A01"/>
    <w:rsid w:val="00714F58"/>
    <w:rsid w:val="00722FBF"/>
    <w:rsid w:val="00722FC2"/>
    <w:rsid w:val="00724879"/>
    <w:rsid w:val="00724E1B"/>
    <w:rsid w:val="00725949"/>
    <w:rsid w:val="0072625B"/>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DBA"/>
    <w:rsid w:val="007D6518"/>
    <w:rsid w:val="007D76BD"/>
    <w:rsid w:val="007E0BF1"/>
    <w:rsid w:val="007F0ED8"/>
    <w:rsid w:val="007F0F63"/>
    <w:rsid w:val="007F2374"/>
    <w:rsid w:val="007F75CE"/>
    <w:rsid w:val="008013A4"/>
    <w:rsid w:val="008023D7"/>
    <w:rsid w:val="008027CE"/>
    <w:rsid w:val="00802F42"/>
    <w:rsid w:val="00804383"/>
    <w:rsid w:val="00804BB7"/>
    <w:rsid w:val="00804D41"/>
    <w:rsid w:val="00810257"/>
    <w:rsid w:val="008104F5"/>
    <w:rsid w:val="00811072"/>
    <w:rsid w:val="00811369"/>
    <w:rsid w:val="00812A8E"/>
    <w:rsid w:val="00815419"/>
    <w:rsid w:val="008163C8"/>
    <w:rsid w:val="008164A1"/>
    <w:rsid w:val="00817325"/>
    <w:rsid w:val="008209E6"/>
    <w:rsid w:val="00823303"/>
    <w:rsid w:val="008233B2"/>
    <w:rsid w:val="00823A9F"/>
    <w:rsid w:val="00823C85"/>
    <w:rsid w:val="00825138"/>
    <w:rsid w:val="008269DD"/>
    <w:rsid w:val="0082741C"/>
    <w:rsid w:val="00830621"/>
    <w:rsid w:val="0083348C"/>
    <w:rsid w:val="008356A3"/>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243"/>
    <w:rsid w:val="00883F93"/>
    <w:rsid w:val="00884DB3"/>
    <w:rsid w:val="00885A9D"/>
    <w:rsid w:val="008864F6"/>
    <w:rsid w:val="0089049D"/>
    <w:rsid w:val="008928C9"/>
    <w:rsid w:val="008930CB"/>
    <w:rsid w:val="008938DC"/>
    <w:rsid w:val="00893FD1"/>
    <w:rsid w:val="00894836"/>
    <w:rsid w:val="00895172"/>
    <w:rsid w:val="00895680"/>
    <w:rsid w:val="00896DFF"/>
    <w:rsid w:val="00897064"/>
    <w:rsid w:val="008972EC"/>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39D"/>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0CF"/>
    <w:rsid w:val="008E5518"/>
    <w:rsid w:val="008E6A84"/>
    <w:rsid w:val="008F0CDC"/>
    <w:rsid w:val="008F17A3"/>
    <w:rsid w:val="008F1ED3"/>
    <w:rsid w:val="008F23A5"/>
    <w:rsid w:val="008F4C29"/>
    <w:rsid w:val="008F70BD"/>
    <w:rsid w:val="008F788F"/>
    <w:rsid w:val="008F7EA2"/>
    <w:rsid w:val="00902722"/>
    <w:rsid w:val="009027BC"/>
    <w:rsid w:val="00903A0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0AD5"/>
    <w:rsid w:val="009D112C"/>
    <w:rsid w:val="009D47FA"/>
    <w:rsid w:val="009D4C5B"/>
    <w:rsid w:val="009D50D2"/>
    <w:rsid w:val="009D6BCA"/>
    <w:rsid w:val="009D6BD5"/>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C74"/>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AEC"/>
    <w:rsid w:val="00B62B58"/>
    <w:rsid w:val="00B65149"/>
    <w:rsid w:val="00B66567"/>
    <w:rsid w:val="00B66F52"/>
    <w:rsid w:val="00B66FE5"/>
    <w:rsid w:val="00B72880"/>
    <w:rsid w:val="00B758BF"/>
    <w:rsid w:val="00B77EC8"/>
    <w:rsid w:val="00B80791"/>
    <w:rsid w:val="00B827A6"/>
    <w:rsid w:val="00B831CE"/>
    <w:rsid w:val="00B86677"/>
    <w:rsid w:val="00B87131"/>
    <w:rsid w:val="00B926E7"/>
    <w:rsid w:val="00B939B1"/>
    <w:rsid w:val="00B96D40"/>
    <w:rsid w:val="00B97386"/>
    <w:rsid w:val="00BA263B"/>
    <w:rsid w:val="00BA42B2"/>
    <w:rsid w:val="00BA58D4"/>
    <w:rsid w:val="00BA5B9E"/>
    <w:rsid w:val="00BA7C9A"/>
    <w:rsid w:val="00BB203B"/>
    <w:rsid w:val="00BB513B"/>
    <w:rsid w:val="00BB5F8F"/>
    <w:rsid w:val="00BB657A"/>
    <w:rsid w:val="00BC1A4E"/>
    <w:rsid w:val="00BC20B9"/>
    <w:rsid w:val="00BC4790"/>
    <w:rsid w:val="00BC5DC7"/>
    <w:rsid w:val="00BC6B8B"/>
    <w:rsid w:val="00BC73D8"/>
    <w:rsid w:val="00BD52D7"/>
    <w:rsid w:val="00BD5AD2"/>
    <w:rsid w:val="00BE088F"/>
    <w:rsid w:val="00BE22F3"/>
    <w:rsid w:val="00BE5B52"/>
    <w:rsid w:val="00BE7B8D"/>
    <w:rsid w:val="00BF0993"/>
    <w:rsid w:val="00BF10A9"/>
    <w:rsid w:val="00BF1703"/>
    <w:rsid w:val="00BF231C"/>
    <w:rsid w:val="00BF33B8"/>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87750"/>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020"/>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599D"/>
    <w:rsid w:val="00CF686F"/>
    <w:rsid w:val="00CF6E60"/>
    <w:rsid w:val="00CF7BCA"/>
    <w:rsid w:val="00D008FD"/>
    <w:rsid w:val="00D0321C"/>
    <w:rsid w:val="00D035EC"/>
    <w:rsid w:val="00D06AB1"/>
    <w:rsid w:val="00D072ED"/>
    <w:rsid w:val="00D0766A"/>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28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642"/>
    <w:rsid w:val="00DB498B"/>
    <w:rsid w:val="00DB5FA9"/>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D3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7D3F"/>
    <w:rsid w:val="00E44A83"/>
    <w:rsid w:val="00E502C1"/>
    <w:rsid w:val="00E502DD"/>
    <w:rsid w:val="00E50D3A"/>
    <w:rsid w:val="00E51387"/>
    <w:rsid w:val="00E51E68"/>
    <w:rsid w:val="00E52EFD"/>
    <w:rsid w:val="00E5408A"/>
    <w:rsid w:val="00E56800"/>
    <w:rsid w:val="00E60C63"/>
    <w:rsid w:val="00E61F8B"/>
    <w:rsid w:val="00E62FF9"/>
    <w:rsid w:val="00E635D6"/>
    <w:rsid w:val="00E639BC"/>
    <w:rsid w:val="00E6432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2B98"/>
    <w:rsid w:val="00E9311F"/>
    <w:rsid w:val="00E934D1"/>
    <w:rsid w:val="00E94AF0"/>
    <w:rsid w:val="00E95D13"/>
    <w:rsid w:val="00E95DD3"/>
    <w:rsid w:val="00E969D5"/>
    <w:rsid w:val="00EA0DC3"/>
    <w:rsid w:val="00EA42F7"/>
    <w:rsid w:val="00EA58D1"/>
    <w:rsid w:val="00EA61BC"/>
    <w:rsid w:val="00EA681A"/>
    <w:rsid w:val="00EA735B"/>
    <w:rsid w:val="00EB17DE"/>
    <w:rsid w:val="00EB1E69"/>
    <w:rsid w:val="00EB2086"/>
    <w:rsid w:val="00EB3118"/>
    <w:rsid w:val="00EB5EDF"/>
    <w:rsid w:val="00EB60FE"/>
    <w:rsid w:val="00EB74DB"/>
    <w:rsid w:val="00EC3376"/>
    <w:rsid w:val="00EC5359"/>
    <w:rsid w:val="00EC562A"/>
    <w:rsid w:val="00EC611B"/>
    <w:rsid w:val="00ED067A"/>
    <w:rsid w:val="00ED2B50"/>
    <w:rsid w:val="00EE0350"/>
    <w:rsid w:val="00EE0719"/>
    <w:rsid w:val="00EE0E80"/>
    <w:rsid w:val="00EE54A6"/>
    <w:rsid w:val="00EE613F"/>
    <w:rsid w:val="00EE668A"/>
    <w:rsid w:val="00EE7295"/>
    <w:rsid w:val="00EE7869"/>
    <w:rsid w:val="00EF054A"/>
    <w:rsid w:val="00EF3235"/>
    <w:rsid w:val="00EF7E72"/>
    <w:rsid w:val="00F06D37"/>
    <w:rsid w:val="00F07B9D"/>
    <w:rsid w:val="00F11586"/>
    <w:rsid w:val="00F1183B"/>
    <w:rsid w:val="00F11C9F"/>
    <w:rsid w:val="00F12263"/>
    <w:rsid w:val="00F122F9"/>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79F"/>
    <w:rsid w:val="00FB0CB9"/>
    <w:rsid w:val="00FB231D"/>
    <w:rsid w:val="00FB45F1"/>
    <w:rsid w:val="00FB4A72"/>
    <w:rsid w:val="00FB54E8"/>
    <w:rsid w:val="00FB7054"/>
    <w:rsid w:val="00FC0ADC"/>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95"/>
    <w:rsid w:val="00FF73F4"/>
    <w:rsid w:val="00FF7C4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D385F"/>
  <w15:docId w15:val="{4C81D32F-69DB-4E4F-A4CB-091192E8F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D2CEC2467D43CCA72B6E38016FA0CA"/>
        <w:category>
          <w:name w:val="常规"/>
          <w:gallery w:val="placeholder"/>
        </w:category>
        <w:types>
          <w:type w:val="bbPlcHdr"/>
        </w:types>
        <w:behaviors>
          <w:behavior w:val="content"/>
        </w:behaviors>
        <w:guid w:val="{40765A0F-7DF5-4428-AA61-4C3E781C5748}"/>
      </w:docPartPr>
      <w:docPartBody>
        <w:p w:rsidR="00742531" w:rsidRDefault="00000000">
          <w:pPr>
            <w:pStyle w:val="77D2CEC2467D43CCA72B6E38016FA0CA"/>
            <w:rPr>
              <w:rFonts w:hint="eastAsia"/>
            </w:rPr>
          </w:pPr>
          <w:r w:rsidRPr="00751A05">
            <w:rPr>
              <w:rStyle w:val="a3"/>
              <w:rFonts w:hint="eastAsia"/>
            </w:rPr>
            <w:t>单击或点击此处输入文字。</w:t>
          </w:r>
        </w:p>
      </w:docPartBody>
    </w:docPart>
    <w:docPart>
      <w:docPartPr>
        <w:name w:val="61B1B24BE9BB415DB0D3630CE863E2A8"/>
        <w:category>
          <w:name w:val="常规"/>
          <w:gallery w:val="placeholder"/>
        </w:category>
        <w:types>
          <w:type w:val="bbPlcHdr"/>
        </w:types>
        <w:behaviors>
          <w:behavior w:val="content"/>
        </w:behaviors>
        <w:guid w:val="{B5A1A025-EF01-41E1-AD59-F46123AF9FCF}"/>
      </w:docPartPr>
      <w:docPartBody>
        <w:p w:rsidR="00742531" w:rsidRDefault="00000000">
          <w:pPr>
            <w:pStyle w:val="61B1B24BE9BB415DB0D3630CE863E2A8"/>
            <w:rPr>
              <w:rFonts w:hint="eastAsia"/>
            </w:rPr>
          </w:pPr>
          <w:r w:rsidRPr="00FB6243">
            <w:rPr>
              <w:rStyle w:val="a3"/>
              <w:rFonts w:hint="eastAsia"/>
            </w:rPr>
            <w:t>选择一项。</w:t>
          </w:r>
        </w:p>
      </w:docPartBody>
    </w:docPart>
    <w:docPart>
      <w:docPartPr>
        <w:name w:val="9DAE7FE296A1469493A5B073F3EEA186"/>
        <w:category>
          <w:name w:val="常规"/>
          <w:gallery w:val="placeholder"/>
        </w:category>
        <w:types>
          <w:type w:val="bbPlcHdr"/>
        </w:types>
        <w:behaviors>
          <w:behavior w:val="content"/>
        </w:behaviors>
        <w:guid w:val="{CFF4406A-6390-496F-9880-66BCE3F7D9D9}"/>
      </w:docPartPr>
      <w:docPartBody>
        <w:p w:rsidR="00742531" w:rsidRDefault="00000000">
          <w:pPr>
            <w:pStyle w:val="9DAE7FE296A1469493A5B073F3EEA186"/>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65C"/>
    <w:rsid w:val="00332116"/>
    <w:rsid w:val="003B686A"/>
    <w:rsid w:val="00466180"/>
    <w:rsid w:val="00524030"/>
    <w:rsid w:val="00605D06"/>
    <w:rsid w:val="0066436F"/>
    <w:rsid w:val="006E2616"/>
    <w:rsid w:val="00742531"/>
    <w:rsid w:val="007F1E22"/>
    <w:rsid w:val="008356A3"/>
    <w:rsid w:val="00974F9A"/>
    <w:rsid w:val="00BE088F"/>
    <w:rsid w:val="00C213BE"/>
    <w:rsid w:val="00CF599D"/>
    <w:rsid w:val="00D5112E"/>
    <w:rsid w:val="00D7128B"/>
    <w:rsid w:val="00FF31C8"/>
    <w:rsid w:val="00FF5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7D2CEC2467D43CCA72B6E38016FA0CA">
    <w:name w:val="77D2CEC2467D43CCA72B6E38016FA0CA"/>
    <w:pPr>
      <w:widowControl w:val="0"/>
    </w:pPr>
  </w:style>
  <w:style w:type="paragraph" w:customStyle="1" w:styleId="61B1B24BE9BB415DB0D3630CE863E2A8">
    <w:name w:val="61B1B24BE9BB415DB0D3630CE863E2A8"/>
    <w:pPr>
      <w:widowControl w:val="0"/>
    </w:pPr>
  </w:style>
  <w:style w:type="paragraph" w:customStyle="1" w:styleId="9DAE7FE296A1469493A5B073F3EEA186">
    <w:name w:val="9DAE7FE296A1469493A5B073F3EEA186"/>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377</TotalTime>
  <Pages>8</Pages>
  <Words>571</Words>
  <Characters>3258</Characters>
  <Application>Microsoft Office Word</Application>
  <DocSecurity>0</DocSecurity>
  <Lines>27</Lines>
  <Paragraphs>7</Paragraphs>
  <ScaleCrop>false</ScaleCrop>
  <Company>PCMI</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QHTF</dc:creator>
  <cp:keywords/>
  <dc:description>&lt;config cover="true" show_menu="true" version="1.0.0" doctype="SDKXY"&gt;_x000d_
&lt;/config&gt;</dc:description>
  <cp:lastModifiedBy>pc</cp:lastModifiedBy>
  <cp:revision>38</cp:revision>
  <cp:lastPrinted>2025-06-28T07:37:00Z</cp:lastPrinted>
  <dcterms:created xsi:type="dcterms:W3CDTF">2025-06-03T03:21:00Z</dcterms:created>
  <dcterms:modified xsi:type="dcterms:W3CDTF">2025-07-07T01:27:00Z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