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70FA6">
      <w:pPr>
        <w:spacing w:line="48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《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eastAsia="zh-CN"/>
        </w:rPr>
        <w:t>白酒企业绿色供应链管理评价规范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》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团体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>标准编制说明</w:t>
      </w:r>
    </w:p>
    <w:p w14:paraId="7010D264">
      <w:pPr>
        <w:spacing w:line="48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（征求意见稿）</w:t>
      </w:r>
    </w:p>
    <w:p w14:paraId="7A6C4572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一、工作简况</w:t>
      </w:r>
    </w:p>
    <w:p w14:paraId="00BAD262">
      <w:pPr>
        <w:spacing w:line="480" w:lineRule="auto"/>
        <w:outlineLvl w:val="1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1.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任务来源</w:t>
      </w:r>
    </w:p>
    <w:p w14:paraId="27EBFA70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bookmarkStart w:id="0" w:name="_Hlk86420409"/>
      <w:r>
        <w:rPr>
          <w:rFonts w:hint="eastAsia" w:ascii="Times New Roman" w:hAnsi="Times New Roman" w:eastAsia="宋体" w:cs="Times New Roman"/>
          <w:sz w:val="24"/>
          <w:szCs w:val="24"/>
        </w:rPr>
        <w:t>江苏洋河酒厂股份有限公司根据行业发展需要提出团体标准提案，中国酒业协会团体标准审查委员会批准立项，</w:t>
      </w:r>
      <w:bookmarkEnd w:id="0"/>
      <w:r>
        <w:rPr>
          <w:rFonts w:hint="eastAsia" w:ascii="Times New Roman" w:hAnsi="Times New Roman" w:eastAsia="宋体" w:cs="Times New Roman"/>
          <w:sz w:val="24"/>
          <w:szCs w:val="24"/>
        </w:rPr>
        <w:t>由中国酒业协会白酒技术创新战略发展委员会牵头，江苏洋河酒厂股份有限公司等单位为主要起草单位，负责起草编制《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白酒企业绿色供应链管理评价规范</w:t>
      </w:r>
      <w:r>
        <w:rPr>
          <w:rFonts w:hint="eastAsia" w:ascii="Times New Roman" w:hAnsi="Times New Roman" w:eastAsia="宋体" w:cs="Times New Roman"/>
          <w:sz w:val="24"/>
          <w:szCs w:val="24"/>
        </w:rPr>
        <w:t>》团体标准。根据团体标准项目建议书，《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白酒企业绿色供应链管理评价规范</w:t>
      </w:r>
      <w:r>
        <w:rPr>
          <w:rFonts w:hint="eastAsia" w:ascii="Times New Roman" w:hAnsi="Times New Roman" w:eastAsia="宋体" w:cs="Times New Roman"/>
          <w:sz w:val="24"/>
          <w:szCs w:val="24"/>
        </w:rPr>
        <w:t>》团体标准中国标准分类号</w:t>
      </w:r>
      <w:r>
        <w:rPr>
          <w:rFonts w:ascii="Times New Roman" w:hAnsi="Times New Roman" w:eastAsia="宋体" w:cs="Times New Roman"/>
          <w:sz w:val="24"/>
          <w:szCs w:val="24"/>
        </w:rPr>
        <w:t>X61（ICS分类号67.160.10 ）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22D42883">
      <w:pPr>
        <w:spacing w:line="480" w:lineRule="auto"/>
        <w:outlineLvl w:val="1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2.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起草单位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计划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）</w:t>
      </w:r>
    </w:p>
    <w:p w14:paraId="6834D99B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江苏洋河酒厂股份有限公司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宜宾五粮液股份有限公司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</w:rPr>
        <w:t>方圆标志认证集团有限公司、</w:t>
      </w:r>
      <w:r>
        <w:rPr>
          <w:rFonts w:hint="eastAsia" w:ascii="Times New Roman" w:hAnsi="Times New Roman" w:eastAsia="宋体" w:cs="Times New Roman"/>
          <w:sz w:val="24"/>
          <w:szCs w:val="24"/>
        </w:rPr>
        <w:t>中国酒业协会</w: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四川水井坊股份有限公司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北京华通三可节能评估有限公司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</w:rPr>
        <w:t>贵州茅泉物流有限公司。</w:t>
      </w:r>
      <w:bookmarkStart w:id="3" w:name="_GoBack"/>
      <w:bookmarkEnd w:id="3"/>
    </w:p>
    <w:p w14:paraId="445AAA8B">
      <w:pPr>
        <w:spacing w:line="480" w:lineRule="auto"/>
        <w:outlineLvl w:val="1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3.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目的意义</w:t>
      </w:r>
    </w:p>
    <w:p w14:paraId="37FE3FD4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标准研究的目的，</w:t>
      </w:r>
      <w:r>
        <w:rPr>
          <w:rFonts w:ascii="Times New Roman" w:hAnsi="Times New Roman" w:eastAsia="宋体" w:cs="Times New Roman"/>
          <w:sz w:val="24"/>
          <w:szCs w:val="24"/>
        </w:rPr>
        <w:t>首先服务于白酒制造企业，引导和规范白酒制造企业系统地构建绿色供应链管理体</w:t>
      </w:r>
      <w:r>
        <w:rPr>
          <w:rFonts w:hint="eastAsia" w:ascii="Times New Roman" w:hAnsi="Times New Roman" w:eastAsia="宋体" w:cs="Times New Roman"/>
          <w:sz w:val="24"/>
          <w:szCs w:val="24"/>
        </w:rPr>
        <w:t>系，</w:t>
      </w:r>
      <w:r>
        <w:rPr>
          <w:rFonts w:ascii="Times New Roman" w:hAnsi="Times New Roman" w:eastAsia="宋体" w:cs="Times New Roman"/>
          <w:sz w:val="24"/>
          <w:szCs w:val="24"/>
        </w:rPr>
        <w:t>通过核心白酒企业绿色供应链管理及绿色采购的实施，带动供应链上的相关企业协同绿色发</w:t>
      </w:r>
      <w:r>
        <w:rPr>
          <w:rFonts w:hint="eastAsia" w:ascii="Times New Roman" w:hAnsi="Times New Roman" w:eastAsia="宋体" w:cs="Times New Roman"/>
          <w:sz w:val="24"/>
          <w:szCs w:val="24"/>
        </w:rPr>
        <w:t>展；</w:t>
      </w:r>
      <w:r>
        <w:rPr>
          <w:rFonts w:ascii="Times New Roman" w:hAnsi="Times New Roman" w:eastAsia="宋体" w:cs="Times New Roman"/>
          <w:sz w:val="24"/>
          <w:szCs w:val="24"/>
        </w:rPr>
        <w:t>其次，通过标准的发布实施，可以规范白酒企业绿色信息管理和环境信息披露工作，相关组</w:t>
      </w:r>
      <w:r>
        <w:rPr>
          <w:rFonts w:hint="eastAsia" w:ascii="Times New Roman" w:hAnsi="Times New Roman" w:eastAsia="宋体" w:cs="Times New Roman"/>
          <w:sz w:val="24"/>
          <w:szCs w:val="24"/>
        </w:rPr>
        <w:t>织和机构可以进行绿色认证</w:t>
      </w:r>
      <w:r>
        <w:rPr>
          <w:rFonts w:ascii="Times New Roman" w:hAnsi="Times New Roman" w:eastAsia="宋体" w:cs="Times New Roman"/>
          <w:sz w:val="24"/>
          <w:szCs w:val="24"/>
        </w:rPr>
        <w:t>/评价工作，为企业、社会团体或消费者提供可信的白酒绿色采购或白酒绿</w:t>
      </w:r>
      <w:r>
        <w:rPr>
          <w:rFonts w:hint="eastAsia" w:ascii="Times New Roman" w:hAnsi="Times New Roman" w:eastAsia="宋体" w:cs="Times New Roman"/>
          <w:sz w:val="24"/>
          <w:szCs w:val="24"/>
        </w:rPr>
        <w:t>色消费产品（或企业）</w:t>
      </w:r>
      <w:r>
        <w:rPr>
          <w:rFonts w:ascii="Times New Roman" w:hAnsi="Times New Roman" w:eastAsia="宋体" w:cs="Times New Roman"/>
          <w:sz w:val="24"/>
          <w:szCs w:val="24"/>
        </w:rPr>
        <w:t>信息，有利于政府及相关机构进行有效的市场监督，建立公开、透</w:t>
      </w:r>
      <w:r>
        <w:rPr>
          <w:rFonts w:hint="eastAsia" w:ascii="Times New Roman" w:hAnsi="Times New Roman" w:eastAsia="宋体" w:cs="Times New Roman"/>
          <w:sz w:val="24"/>
          <w:szCs w:val="24"/>
        </w:rPr>
        <w:t>明、</w:t>
      </w:r>
      <w:r>
        <w:rPr>
          <w:rFonts w:ascii="Times New Roman" w:hAnsi="Times New Roman" w:eastAsia="宋体" w:cs="Times New Roman"/>
          <w:sz w:val="24"/>
          <w:szCs w:val="24"/>
        </w:rPr>
        <w:t>绿色、可持续发展的市场机制，推进</w:t>
      </w:r>
      <w:r>
        <w:rPr>
          <w:rFonts w:hint="eastAsia" w:ascii="Times New Roman" w:hAnsi="Times New Roman" w:eastAsia="宋体" w:cs="Times New Roman"/>
          <w:sz w:val="24"/>
          <w:szCs w:val="24"/>
        </w:rPr>
        <w:t>白酒</w:t>
      </w:r>
      <w:r>
        <w:rPr>
          <w:rFonts w:ascii="Times New Roman" w:hAnsi="Times New Roman" w:eastAsia="宋体" w:cs="Times New Roman"/>
          <w:sz w:val="24"/>
          <w:szCs w:val="24"/>
        </w:rPr>
        <w:t>制造业绿色可持续发展。</w:t>
      </w:r>
    </w:p>
    <w:p w14:paraId="7CA1B90B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对白酒制造企业绿色供应链管理水平进行评价，</w:t>
      </w:r>
      <w:r>
        <w:rPr>
          <w:rFonts w:ascii="Times New Roman" w:hAnsi="Times New Roman" w:eastAsia="宋体" w:cs="Times New Roman"/>
          <w:sz w:val="24"/>
          <w:szCs w:val="24"/>
        </w:rPr>
        <w:t>建立评价指标体系并明确评价要求是白酒企业实</w:t>
      </w:r>
      <w:r>
        <w:rPr>
          <w:rFonts w:hint="eastAsia" w:ascii="Times New Roman" w:hAnsi="Times New Roman" w:eastAsia="宋体" w:cs="Times New Roman"/>
          <w:sz w:val="24"/>
          <w:szCs w:val="24"/>
        </w:rPr>
        <w:t>施绿色供应链管理持续改进的关键环节，</w:t>
      </w:r>
      <w:r>
        <w:rPr>
          <w:rFonts w:ascii="Times New Roman" w:hAnsi="Times New Roman" w:eastAsia="宋体" w:cs="Times New Roman"/>
          <w:sz w:val="24"/>
          <w:szCs w:val="24"/>
        </w:rPr>
        <w:t>也是白酒企业提高绿色供应链管理绩效的重要输入和依</w:t>
      </w:r>
      <w:r>
        <w:rPr>
          <w:rFonts w:hint="eastAsia" w:ascii="Times New Roman" w:hAnsi="Times New Roman" w:eastAsia="宋体" w:cs="Times New Roman"/>
          <w:sz w:val="24"/>
          <w:szCs w:val="24"/>
        </w:rPr>
        <w:t>据。</w:t>
      </w:r>
      <w:r>
        <w:rPr>
          <w:rFonts w:ascii="Times New Roman" w:hAnsi="Times New Roman" w:eastAsia="宋体" w:cs="Times New Roman"/>
          <w:sz w:val="24"/>
          <w:szCs w:val="24"/>
        </w:rPr>
        <w:t>本标准制定白酒制造企业绿色供应链管理有关评价要求，目的是指导和规范白酒制造企业进行供</w:t>
      </w:r>
      <w:r>
        <w:rPr>
          <w:rFonts w:hint="eastAsia" w:ascii="Times New Roman" w:hAnsi="Times New Roman" w:eastAsia="宋体" w:cs="Times New Roman"/>
          <w:sz w:val="24"/>
          <w:szCs w:val="24"/>
        </w:rPr>
        <w:t>应链管理的绿色属性识别、</w:t>
      </w:r>
      <w:r>
        <w:rPr>
          <w:rFonts w:ascii="Times New Roman" w:hAnsi="Times New Roman" w:eastAsia="宋体" w:cs="Times New Roman"/>
          <w:sz w:val="24"/>
          <w:szCs w:val="24"/>
        </w:rPr>
        <w:t>评价、确定等工作，为白酒企业持续提升绿色供应链管理绩效提供依</w:t>
      </w:r>
      <w:r>
        <w:rPr>
          <w:rFonts w:hint="eastAsia" w:ascii="Times New Roman" w:hAnsi="Times New Roman" w:eastAsia="宋体" w:cs="Times New Roman"/>
          <w:sz w:val="24"/>
          <w:szCs w:val="24"/>
        </w:rPr>
        <w:t>据。</w:t>
      </w:r>
    </w:p>
    <w:p w14:paraId="1C2AE764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二、编制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过程</w:t>
      </w:r>
    </w:p>
    <w:p w14:paraId="507D0DB4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</w:rPr>
        <w:t>月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江苏洋河酒厂股份有限公司</w:t>
      </w:r>
      <w:r>
        <w:rPr>
          <w:rFonts w:ascii="Times New Roman" w:hAnsi="Times New Roman" w:eastAsia="宋体" w:cs="Times New Roman"/>
          <w:sz w:val="24"/>
          <w:szCs w:val="24"/>
        </w:rPr>
        <w:t>提出《</w:t>
      </w:r>
      <w:r>
        <w:rPr>
          <w:rFonts w:hint="eastAsia" w:ascii="Times New Roman" w:hAnsi="Times New Roman" w:eastAsia="宋体" w:cs="Times New Roman"/>
          <w:sz w:val="24"/>
          <w:szCs w:val="24"/>
        </w:rPr>
        <w:t>白酒企业绿色供应链管理 评价标准</w:t>
      </w:r>
      <w:r>
        <w:rPr>
          <w:rFonts w:ascii="Times New Roman" w:hAnsi="Times New Roman" w:eastAsia="宋体" w:cs="Times New Roman"/>
          <w:sz w:val="24"/>
          <w:szCs w:val="24"/>
        </w:rPr>
        <w:t>》团体标准立项申请，提出标准制定框架和主要工作内容，适时开展分析方法验证性研究和系统确证。</w:t>
      </w:r>
    </w:p>
    <w:p w14:paraId="6883A029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22</w:t>
      </w:r>
      <w:r>
        <w:rPr>
          <w:rFonts w:ascii="Times New Roman" w:hAnsi="Times New Roman" w:eastAsia="宋体" w:cs="Times New Roman"/>
          <w:sz w:val="24"/>
          <w:szCs w:val="24"/>
        </w:rPr>
        <w:t>日，中国酒业协会团体标准审查委员会向专家发文“关于对《</w:t>
      </w:r>
      <w:r>
        <w:rPr>
          <w:rFonts w:hint="eastAsia" w:ascii="Times New Roman" w:hAnsi="Times New Roman" w:eastAsia="宋体" w:cs="Times New Roman"/>
          <w:sz w:val="24"/>
          <w:szCs w:val="24"/>
        </w:rPr>
        <w:t>白酒企业绿色供应链管理 评价标准</w:t>
      </w:r>
      <w:r>
        <w:rPr>
          <w:rFonts w:ascii="Times New Roman" w:hAnsi="Times New Roman" w:eastAsia="宋体" w:cs="Times New Roman"/>
          <w:sz w:val="24"/>
          <w:szCs w:val="24"/>
        </w:rPr>
        <w:t>》团体标准立项审查的函”对</w:t>
      </w:r>
      <w:r>
        <w:rPr>
          <w:rFonts w:hint="eastAsia" w:ascii="Times New Roman" w:hAnsi="Times New Roman" w:eastAsia="宋体" w:cs="Times New Roman"/>
          <w:sz w:val="24"/>
          <w:szCs w:val="24"/>
        </w:rPr>
        <w:t>本</w:t>
      </w:r>
      <w:r>
        <w:rPr>
          <w:rFonts w:ascii="Times New Roman" w:hAnsi="Times New Roman" w:eastAsia="宋体" w:cs="Times New Roman"/>
          <w:sz w:val="24"/>
          <w:szCs w:val="24"/>
        </w:rPr>
        <w:t>标准</w:t>
      </w:r>
      <w:r>
        <w:rPr>
          <w:rFonts w:hint="eastAsia" w:ascii="Times New Roman" w:hAnsi="Times New Roman" w:eastAsia="宋体" w:cs="Times New Roman"/>
          <w:sz w:val="24"/>
          <w:szCs w:val="24"/>
        </w:rPr>
        <w:t>项目建议</w:t>
      </w:r>
      <w:r>
        <w:rPr>
          <w:rFonts w:ascii="Times New Roman" w:hAnsi="Times New Roman" w:eastAsia="宋体" w:cs="Times New Roman"/>
          <w:sz w:val="24"/>
          <w:szCs w:val="24"/>
        </w:rPr>
        <w:t>进行立项审查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中酒协标【2023】03号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。审查意见基本表示赞同。</w:t>
      </w:r>
    </w:p>
    <w:p w14:paraId="1CA422B5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日，中国酒业协会团体标准审查委员会根据审查结果发文“</w:t>
      </w:r>
      <w:r>
        <w:rPr>
          <w:rFonts w:hint="eastAsia" w:ascii="Times New Roman" w:hAnsi="Times New Roman" w:eastAsia="宋体" w:cs="Times New Roman"/>
          <w:sz w:val="24"/>
          <w:szCs w:val="24"/>
        </w:rPr>
        <w:t>关于批准《白酒企业绿色供应链管理 评价标准》团体标准立项的函</w:t>
      </w:r>
      <w:r>
        <w:rPr>
          <w:rFonts w:ascii="Times New Roman" w:hAnsi="Times New Roman" w:eastAsia="宋体" w:cs="Times New Roman"/>
          <w:sz w:val="24"/>
          <w:szCs w:val="24"/>
        </w:rPr>
        <w:t>”批准立项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</w:rPr>
        <w:t>中酒协标【2023】04号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</w:rPr>
        <w:t>同步</w:t>
      </w:r>
      <w:r>
        <w:rPr>
          <w:rFonts w:ascii="Times New Roman" w:hAnsi="Times New Roman" w:eastAsia="宋体" w:cs="Times New Roman"/>
          <w:sz w:val="24"/>
          <w:szCs w:val="24"/>
        </w:rPr>
        <w:t>并公开征集起草单位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4"/>
          <w:szCs w:val="24"/>
        </w:rPr>
        <w:t>中酒协白创【2023】13号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）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</w:p>
    <w:p w14:paraId="47F24C35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-</w:t>
      </w:r>
      <w:r>
        <w:rPr>
          <w:rFonts w:ascii="Times New Roman" w:hAnsi="Times New Roman" w:eastAsia="宋体" w:cs="Times New Roman"/>
          <w:sz w:val="24"/>
          <w:szCs w:val="24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12</w:t>
      </w:r>
      <w:r>
        <w:rPr>
          <w:rFonts w:ascii="Times New Roman" w:hAnsi="Times New Roman" w:eastAsia="宋体" w:cs="Times New Roman"/>
          <w:sz w:val="24"/>
          <w:szCs w:val="24"/>
        </w:rPr>
        <w:t>月，起草组</w:t>
      </w:r>
      <w:r>
        <w:rPr>
          <w:rFonts w:hint="eastAsia" w:ascii="Times New Roman" w:hAnsi="Times New Roman" w:eastAsia="宋体" w:cs="Times New Roman"/>
          <w:sz w:val="24"/>
          <w:szCs w:val="24"/>
        </w:rPr>
        <w:t>拟定</w:t>
      </w:r>
      <w:r>
        <w:rPr>
          <w:rFonts w:ascii="Times New Roman" w:hAnsi="Times New Roman" w:eastAsia="宋体" w:cs="Times New Roman"/>
          <w:sz w:val="24"/>
          <w:szCs w:val="24"/>
        </w:rPr>
        <w:t>标准制定框架和</w:t>
      </w:r>
      <w:r>
        <w:rPr>
          <w:rFonts w:hint="eastAsia" w:ascii="Times New Roman" w:hAnsi="Times New Roman" w:eastAsia="宋体" w:cs="Times New Roman"/>
          <w:sz w:val="24"/>
          <w:szCs w:val="24"/>
        </w:rPr>
        <w:t>标准</w:t>
      </w:r>
      <w:r>
        <w:rPr>
          <w:rFonts w:ascii="Times New Roman" w:hAnsi="Times New Roman" w:eastAsia="宋体" w:cs="Times New Roman"/>
          <w:sz w:val="24"/>
          <w:szCs w:val="24"/>
        </w:rPr>
        <w:t>主要内容</w:t>
      </w:r>
      <w:r>
        <w:rPr>
          <w:rFonts w:hint="eastAsia" w:ascii="Times New Roman" w:hAnsi="Times New Roman" w:eastAsia="宋体" w:cs="Times New Roman"/>
          <w:sz w:val="24"/>
          <w:szCs w:val="24"/>
        </w:rPr>
        <w:t>，经研讨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形成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标准讨论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稿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1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随后召开2次标准讨论工作会议，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</w:rPr>
        <w:t>就标准讨论稿进行讨论修改，根据专家提出的相关意见进行答疑和建议的汇总、修订，</w:t>
      </w:r>
      <w:r>
        <w:rPr>
          <w:rFonts w:hint="eastAsia" w:ascii="Times New Roman" w:hAnsi="Times New Roman" w:eastAsia="宋体" w:cs="Times New Roman"/>
          <w:sz w:val="24"/>
          <w:szCs w:val="24"/>
          <w:highlight w:val="none"/>
          <w:lang w:val="en-US" w:eastAsia="zh-CN"/>
        </w:rPr>
        <w:t>协调意见后形成讨论稿2。</w:t>
      </w:r>
    </w:p>
    <w:p w14:paraId="711F351B">
      <w:pPr>
        <w:spacing w:line="48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2025年4月，起草组进行线上讨论会，修改标准题目为白酒企业绿色供应链管理评价规范。代表性白酒企业根据标准内容完成自评打分表，根据适用性进一步修改完善评价表，会后形成征求意见稿。</w:t>
      </w:r>
    </w:p>
    <w:p w14:paraId="1777807E">
      <w:pPr>
        <w:spacing w:line="480" w:lineRule="auto"/>
        <w:outlineLvl w:val="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三</w:t>
      </w:r>
      <w:r>
        <w:rPr>
          <w:rFonts w:ascii="宋体" w:hAnsi="宋体" w:eastAsia="宋体" w:cs="Times New Roman"/>
          <w:b/>
          <w:bCs/>
          <w:sz w:val="24"/>
          <w:szCs w:val="24"/>
        </w:rPr>
        <w:t>、编制原则和标准主要内容的论据</w:t>
      </w:r>
    </w:p>
    <w:p w14:paraId="2C535DE0">
      <w:pPr>
        <w:spacing w:line="480" w:lineRule="auto"/>
        <w:outlineLvl w:val="1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1.编制原则</w:t>
      </w:r>
    </w:p>
    <w:p w14:paraId="1B7ACC8D">
      <w:pPr>
        <w:spacing w:line="480" w:lineRule="auto"/>
        <w:ind w:firstLine="482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a</w:t>
      </w:r>
      <w:r>
        <w:rPr>
          <w:rFonts w:ascii="宋体" w:hAnsi="宋体" w:eastAsia="宋体" w:cs="Times New Roman"/>
          <w:b/>
          <w:bCs/>
          <w:sz w:val="24"/>
          <w:szCs w:val="24"/>
        </w:rPr>
        <w:t>)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规范性原则</w:t>
      </w:r>
      <w:r>
        <w:rPr>
          <w:rFonts w:hint="eastAsia" w:ascii="宋体" w:hAnsi="宋体" w:eastAsia="宋体" w:cs="Times New Roman"/>
          <w:sz w:val="24"/>
          <w:szCs w:val="24"/>
        </w:rPr>
        <w:t>。本标准以国家、行业现有的标准为制定基础，本着先进性、科学性、合理性、可行性和可操作性的原则来进行本标准的制定工作，主要依据</w:t>
      </w:r>
      <w:bookmarkStart w:id="1" w:name="_Hlk86420438"/>
      <w:r>
        <w:rPr>
          <w:rFonts w:ascii="Times New Roman" w:hAnsi="Times New Roman" w:eastAsia="宋体" w:cs="Times New Roman"/>
          <w:sz w:val="24"/>
          <w:szCs w:val="24"/>
        </w:rPr>
        <w:t>GB/T 1.1-2020</w:t>
      </w:r>
      <w:r>
        <w:rPr>
          <w:rFonts w:hint="eastAsia" w:ascii="宋体" w:hAnsi="宋体" w:eastAsia="宋体" w:cs="Times New Roman"/>
          <w:sz w:val="24"/>
          <w:szCs w:val="24"/>
        </w:rPr>
        <w:t>《标准化工作导则 第1部分：标准化文件的结构和起草规则》、</w:t>
      </w:r>
      <w:r>
        <w:rPr>
          <w:rFonts w:ascii="Times New Roman" w:hAnsi="Times New Roman" w:eastAsia="宋体" w:cs="Times New Roman"/>
          <w:sz w:val="24"/>
          <w:szCs w:val="24"/>
        </w:rPr>
        <w:t>GB/T 20004.1-2016</w:t>
      </w:r>
      <w:r>
        <w:rPr>
          <w:rFonts w:hint="eastAsia" w:ascii="Times New Roman" w:hAnsi="Times New Roman" w:eastAsia="宋体" w:cs="Times New Roman"/>
          <w:sz w:val="24"/>
          <w:szCs w:val="24"/>
        </w:rPr>
        <w:t>《</w:t>
      </w:r>
      <w:r>
        <w:rPr>
          <w:rFonts w:ascii="Times New Roman" w:hAnsi="Times New Roman" w:eastAsia="宋体" w:cs="Times New Roman"/>
          <w:sz w:val="24"/>
          <w:szCs w:val="24"/>
        </w:rPr>
        <w:t>团体标准化 第1部分：良好行为指南</w:t>
      </w:r>
      <w:r>
        <w:rPr>
          <w:rFonts w:hint="eastAsia" w:ascii="Times New Roman" w:hAnsi="Times New Roman" w:eastAsia="宋体" w:cs="Times New Roman"/>
          <w:sz w:val="24"/>
          <w:szCs w:val="24"/>
        </w:rPr>
        <w:t>》</w:t>
      </w:r>
      <w:r>
        <w:rPr>
          <w:rFonts w:ascii="Times New Roman" w:hAnsi="Times New Roman" w:eastAsia="宋体" w:cs="Times New Roman"/>
          <w:sz w:val="24"/>
          <w:szCs w:val="24"/>
        </w:rPr>
        <w:t xml:space="preserve"> 、GB/T 20004.2-2018 </w:t>
      </w:r>
      <w:r>
        <w:rPr>
          <w:rFonts w:hint="eastAsia" w:ascii="Times New Roman" w:hAnsi="Times New Roman" w:eastAsia="宋体" w:cs="Times New Roman"/>
          <w:sz w:val="24"/>
          <w:szCs w:val="24"/>
        </w:rPr>
        <w:t>《</w:t>
      </w:r>
      <w:r>
        <w:rPr>
          <w:rFonts w:ascii="Times New Roman" w:hAnsi="Times New Roman" w:eastAsia="宋体" w:cs="Times New Roman"/>
          <w:sz w:val="24"/>
          <w:szCs w:val="24"/>
        </w:rPr>
        <w:t>团体标准化 第2部分：良好行为评价</w:t>
      </w:r>
      <w:r>
        <w:rPr>
          <w:rFonts w:ascii="宋体" w:hAnsi="宋体" w:eastAsia="宋体" w:cs="Times New Roman"/>
          <w:sz w:val="24"/>
          <w:szCs w:val="24"/>
        </w:rPr>
        <w:t>指南</w:t>
      </w:r>
      <w:r>
        <w:rPr>
          <w:rFonts w:hint="eastAsia" w:ascii="Times New Roman" w:hAnsi="Times New Roman" w:eastAsia="宋体" w:cs="Times New Roman"/>
          <w:sz w:val="24"/>
          <w:szCs w:val="24"/>
        </w:rPr>
        <w:t>》</w:t>
      </w:r>
      <w:r>
        <w:rPr>
          <w:rFonts w:hint="eastAsia" w:ascii="宋体" w:hAnsi="宋体" w:eastAsia="宋体" w:cs="Times New Roman"/>
          <w:sz w:val="24"/>
          <w:szCs w:val="24"/>
        </w:rPr>
        <w:t>和《团体标准管理规定》的规定编写内容。</w:t>
      </w:r>
      <w:bookmarkEnd w:id="1"/>
    </w:p>
    <w:p w14:paraId="7609F112">
      <w:pPr>
        <w:spacing w:line="480" w:lineRule="auto"/>
        <w:ind w:firstLine="482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b)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系统性原则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  <w:r>
        <w:rPr>
          <w:rFonts w:ascii="Times New Roman" w:hAnsi="Times New Roman" w:eastAsia="宋体" w:cs="Times New Roman"/>
          <w:sz w:val="24"/>
          <w:szCs w:val="24"/>
        </w:rPr>
        <w:t>本标准与GB/T 19001、GB/T 23331、GB/T 24001、GB/T 28001、GB/T 33635、GB/T 36000、GB/T 36001等引用的法规标准协调一致。按照范围、规范性引用文件、术语和定义、评价目的范围和原则、总体要求、绿色供应链管理评价指标和评价方法、评价指标及计算方法以及评价等级的8个部分展开。</w:t>
      </w:r>
    </w:p>
    <w:p w14:paraId="32E6539C">
      <w:pPr>
        <w:spacing w:line="480" w:lineRule="auto"/>
        <w:ind w:firstLine="482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c)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行业性原则</w:t>
      </w:r>
      <w:r>
        <w:rPr>
          <w:rFonts w:ascii="宋体" w:hAnsi="宋体" w:eastAsia="宋体" w:cs="Times New Roman"/>
          <w:sz w:val="24"/>
          <w:szCs w:val="24"/>
        </w:rPr>
        <w:t>。</w:t>
      </w:r>
      <w:r>
        <w:rPr>
          <w:rFonts w:hint="eastAsia" w:ascii="宋体" w:hAnsi="宋体" w:eastAsia="宋体" w:cs="Times New Roman"/>
          <w:sz w:val="24"/>
          <w:szCs w:val="24"/>
        </w:rPr>
        <w:t>在</w:t>
      </w:r>
      <w:r>
        <w:rPr>
          <w:rFonts w:hint="eastAsia" w:ascii="Times New Roman" w:hAnsi="Times New Roman" w:eastAsia="宋体" w:cs="Times New Roman"/>
          <w:sz w:val="24"/>
          <w:szCs w:val="24"/>
        </w:rPr>
        <w:t>GB/T 33635《绿色制造 制造企业绿色供应链管理 导则》和</w:t>
      </w:r>
      <w:r>
        <w:rPr>
          <w:rFonts w:ascii="Times New Roman" w:hAnsi="Times New Roman" w:eastAsia="宋体" w:cs="Times New Roman"/>
          <w:sz w:val="24"/>
          <w:szCs w:val="24"/>
        </w:rPr>
        <w:t>GB</w:t>
      </w:r>
      <w:r>
        <w:rPr>
          <w:rFonts w:hint="eastAsia" w:ascii="Times New Roman" w:hAnsi="Times New Roman" w:eastAsia="宋体" w:cs="Times New Roman"/>
          <w:sz w:val="24"/>
          <w:szCs w:val="24"/>
        </w:rPr>
        <w:t>/</w:t>
      </w:r>
      <w:r>
        <w:rPr>
          <w:rFonts w:ascii="Times New Roman" w:hAnsi="Times New Roman" w:eastAsia="宋体" w:cs="Times New Roman"/>
          <w:sz w:val="24"/>
          <w:szCs w:val="24"/>
        </w:rPr>
        <w:t>T 39257</w:t>
      </w:r>
      <w:r>
        <w:rPr>
          <w:rFonts w:hint="eastAsia" w:ascii="Times New Roman" w:hAnsi="Times New Roman" w:eastAsia="宋体" w:cs="Times New Roman"/>
          <w:sz w:val="24"/>
          <w:szCs w:val="24"/>
        </w:rPr>
        <w:t>《</w:t>
      </w:r>
      <w:r>
        <w:rPr>
          <w:rFonts w:ascii="Times New Roman" w:hAnsi="Times New Roman" w:eastAsia="宋体" w:cs="Times New Roman"/>
          <w:sz w:val="24"/>
          <w:szCs w:val="24"/>
        </w:rPr>
        <w:t>绿色制造 制造企业绿色供应链管理 评价规范</w:t>
      </w:r>
      <w:r>
        <w:rPr>
          <w:rFonts w:hint="eastAsia" w:ascii="Times New Roman" w:hAnsi="Times New Roman" w:eastAsia="宋体" w:cs="Times New Roman"/>
          <w:sz w:val="24"/>
          <w:szCs w:val="24"/>
        </w:rPr>
        <w:t>》</w:t>
      </w:r>
      <w:r>
        <w:rPr>
          <w:rFonts w:ascii="宋体" w:hAnsi="宋体" w:eastAsia="宋体" w:cs="Times New Roman"/>
          <w:sz w:val="24"/>
          <w:szCs w:val="24"/>
        </w:rPr>
        <w:t>的基础上突出</w:t>
      </w:r>
      <w:r>
        <w:rPr>
          <w:rFonts w:hint="eastAsia" w:ascii="宋体" w:hAnsi="宋体" w:eastAsia="宋体" w:cs="Times New Roman"/>
          <w:sz w:val="24"/>
          <w:szCs w:val="24"/>
        </w:rPr>
        <w:t>白酒企业的</w:t>
      </w:r>
      <w:r>
        <w:rPr>
          <w:rFonts w:ascii="宋体" w:hAnsi="宋体" w:eastAsia="宋体" w:cs="Times New Roman"/>
          <w:sz w:val="24"/>
          <w:szCs w:val="24"/>
        </w:rPr>
        <w:t>行业特性，</w:t>
      </w:r>
      <w:r>
        <w:rPr>
          <w:rFonts w:hint="eastAsia" w:ascii="宋体" w:hAnsi="宋体" w:eastAsia="宋体" w:cs="Times New Roman"/>
          <w:sz w:val="24"/>
          <w:szCs w:val="24"/>
        </w:rPr>
        <w:t>将定义和分类进一步明确，对总体要求进一步规范，结合现有技术水平和生产的实际情况，提出符合白酒行业发展的行业性要求。</w:t>
      </w:r>
    </w:p>
    <w:p w14:paraId="166E19FA">
      <w:pPr>
        <w:spacing w:line="480" w:lineRule="auto"/>
        <w:ind w:firstLine="482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d)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定量与定性结合原则</w:t>
      </w:r>
      <w:r>
        <w:rPr>
          <w:rFonts w:hint="eastAsia" w:ascii="宋体" w:hAnsi="宋体" w:eastAsia="宋体" w:cs="Times New Roman"/>
          <w:sz w:val="24"/>
          <w:szCs w:val="24"/>
        </w:rPr>
        <w:t>。总体要求的定性指标结合理化要求的定量指标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相</w:t>
      </w:r>
      <w:r>
        <w:rPr>
          <w:rFonts w:hint="eastAsia" w:ascii="宋体" w:hAnsi="宋体" w:eastAsia="宋体" w:cs="Times New Roman"/>
          <w:sz w:val="24"/>
          <w:szCs w:val="24"/>
        </w:rPr>
        <w:t>结合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实现对白酒企业的</w:t>
      </w:r>
      <w:r>
        <w:rPr>
          <w:rFonts w:hint="eastAsia" w:ascii="Times New Roman" w:hAnsi="Times New Roman" w:eastAsia="宋体" w:cs="Times New Roman"/>
          <w:sz w:val="24"/>
          <w:szCs w:val="24"/>
        </w:rPr>
        <w:t>实施与控制、绩效评价和管理评审</w:t>
      </w:r>
      <w:r>
        <w:rPr>
          <w:rFonts w:hint="eastAsia" w:ascii="宋体" w:hAnsi="宋体" w:eastAsia="宋体" w:cs="Times New Roman"/>
          <w:sz w:val="24"/>
          <w:szCs w:val="24"/>
        </w:rPr>
        <w:t>。</w:t>
      </w:r>
    </w:p>
    <w:p w14:paraId="59DC2CE8">
      <w:pPr>
        <w:spacing w:line="480" w:lineRule="auto"/>
        <w:ind w:firstLine="482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e)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可行性和可操作性原则</w:t>
      </w:r>
      <w:r>
        <w:rPr>
          <w:rFonts w:hint="eastAsia" w:ascii="宋体" w:hAnsi="宋体" w:eastAsia="宋体" w:cs="Times New Roman"/>
          <w:sz w:val="24"/>
          <w:szCs w:val="24"/>
        </w:rPr>
        <w:t>。本标准中的评价指标体系简易可行，均已在白酒行业绿色供应链评价过程中得到实施，对于白酒产品具有可行性和可操作性。</w:t>
      </w:r>
    </w:p>
    <w:p w14:paraId="66FE0819">
      <w:pPr>
        <w:spacing w:line="480" w:lineRule="auto"/>
        <w:outlineLvl w:val="1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ascii="宋体" w:hAnsi="宋体" w:eastAsia="宋体" w:cs="Times New Roman"/>
          <w:b/>
          <w:bCs/>
          <w:sz w:val="24"/>
          <w:szCs w:val="24"/>
        </w:rPr>
        <w:t>2.标准主要内容的论据</w:t>
      </w:r>
    </w:p>
    <w:p w14:paraId="4F2E7ECC">
      <w:pPr>
        <w:spacing w:line="480" w:lineRule="auto"/>
        <w:outlineLvl w:val="2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a</w:t>
      </w:r>
      <w:r>
        <w:rPr>
          <w:rFonts w:ascii="宋体" w:hAnsi="宋体" w:eastAsia="宋体" w:cs="Times New Roman"/>
          <w:b/>
          <w:bCs/>
          <w:sz w:val="24"/>
          <w:szCs w:val="24"/>
        </w:rPr>
        <w:t>)标准名称</w:t>
      </w:r>
    </w:p>
    <w:p w14:paraId="1A203080">
      <w:p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《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白酒企业绿色供应链管理评价规范</w:t>
      </w:r>
      <w:r>
        <w:rPr>
          <w:rFonts w:hint="eastAsia" w:ascii="宋体" w:hAnsi="宋体" w:eastAsia="宋体" w:cs="Times New Roman"/>
          <w:sz w:val="24"/>
          <w:szCs w:val="24"/>
        </w:rPr>
        <w:t>》</w:t>
      </w:r>
    </w:p>
    <w:p w14:paraId="0C574F42">
      <w:pPr>
        <w:spacing w:line="480" w:lineRule="auto"/>
        <w:outlineLvl w:val="2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b)规范性引用文件</w:t>
      </w:r>
    </w:p>
    <w:p w14:paraId="3055E1F0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19001  质量管理体系要求</w:t>
      </w:r>
    </w:p>
    <w:p w14:paraId="42DADC93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23331  能源管理体系要求</w:t>
      </w:r>
    </w:p>
    <w:p w14:paraId="65B8B289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24001  环境管理体系要求及使用指南</w:t>
      </w:r>
    </w:p>
    <w:p w14:paraId="31B8B770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24420  供应链风险管理指南</w:t>
      </w:r>
    </w:p>
    <w:p w14:paraId="4CF979F8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36000  社会责任指南</w:t>
      </w:r>
    </w:p>
    <w:p w14:paraId="7885244B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36001  社会责任报告编写指南</w:t>
      </w:r>
    </w:p>
    <w:p w14:paraId="2C77D4B7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33635  绿色制造 制造企业绿色供应链管理  导则</w:t>
      </w:r>
    </w:p>
    <w:p w14:paraId="1327E76B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39256  绿色制造 制造企业绿色供应链管理 信息化管理平台规范</w:t>
      </w:r>
    </w:p>
    <w:p w14:paraId="731C4DD0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39257  绿色制造 制造企业绿色供应链管理 评价规范</w:t>
      </w:r>
    </w:p>
    <w:p w14:paraId="4FFFC69F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39258  绿色制造 制造企业绿色供应链管理 采购控制</w:t>
      </w:r>
    </w:p>
    <w:p w14:paraId="704E5F37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39259  绿色制造 制造企业绿色供应链管理 物料清单要求</w:t>
      </w:r>
    </w:p>
    <w:p w14:paraId="38839595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GB/T 45001  职业健康安全管理体系要求及使用指南</w:t>
      </w:r>
    </w:p>
    <w:p w14:paraId="21428173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HJ/T 402    清洁生产标准 白酒制造业</w:t>
      </w:r>
    </w:p>
    <w:p w14:paraId="0BB55DB7">
      <w:pPr>
        <w:spacing w:line="480" w:lineRule="auto"/>
        <w:outlineLvl w:val="2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c)术语和定义</w:t>
      </w:r>
    </w:p>
    <w:p w14:paraId="380D6D83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白酒的定义依据</w:t>
      </w:r>
      <w:r>
        <w:rPr>
          <w:rFonts w:ascii="Times New Roman" w:hAnsi="Times New Roman" w:eastAsia="宋体" w:cs="Times New Roman"/>
          <w:sz w:val="24"/>
          <w:szCs w:val="24"/>
        </w:rPr>
        <w:t>GB/T 24420《</w:t>
      </w:r>
      <w:r>
        <w:rPr>
          <w:rFonts w:hint="eastAsia" w:ascii="Times New Roman" w:hAnsi="Times New Roman" w:eastAsia="宋体" w:cs="Times New Roman"/>
          <w:sz w:val="24"/>
          <w:szCs w:val="24"/>
        </w:rPr>
        <w:t>供应链风险管理指南</w:t>
      </w:r>
      <w:r>
        <w:rPr>
          <w:rFonts w:ascii="Times New Roman" w:hAnsi="Times New Roman" w:eastAsia="宋体" w:cs="Times New Roman"/>
          <w:sz w:val="24"/>
          <w:szCs w:val="24"/>
        </w:rPr>
        <w:t>》和</w:t>
      </w:r>
      <w:r>
        <w:rPr>
          <w:rFonts w:hint="eastAsia" w:ascii="Times New Roman" w:hAnsi="Times New Roman" w:eastAsia="宋体" w:cs="Times New Roman"/>
          <w:sz w:val="24"/>
          <w:szCs w:val="24"/>
        </w:rPr>
        <w:t>GB/T33635《绿色制造制造企业绿色供应链管理  导则》中规定的及下列术语和定义适用于本文件。</w:t>
      </w:r>
    </w:p>
    <w:p w14:paraId="25062381">
      <w:pPr>
        <w:spacing w:line="480" w:lineRule="auto"/>
        <w:outlineLvl w:val="2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d)评价目的和评价范围</w:t>
      </w:r>
    </w:p>
    <w:p w14:paraId="2E67CF8D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在</w:t>
      </w:r>
      <w:r>
        <w:rPr>
          <w:rFonts w:hint="eastAsia" w:ascii="Times New Roman" w:hAnsi="Times New Roman" w:eastAsia="宋体" w:cs="Times New Roman"/>
          <w:sz w:val="24"/>
          <w:szCs w:val="24"/>
        </w:rPr>
        <w:t>《绿色工厂梯度培育及管理暂行办法》（工信部节〔</w:t>
      </w:r>
      <w:r>
        <w:rPr>
          <w:rFonts w:ascii="Times New Roman" w:hAnsi="Times New Roman" w:eastAsia="宋体" w:cs="Times New Roman"/>
          <w:sz w:val="24"/>
          <w:szCs w:val="24"/>
        </w:rPr>
        <w:t>2024〕13号）中附件3《绿色供应链管理企业评价要求》、GB/T33635《绿色制造制造企业绿色供应链管理 导则》和GB/T 39257《绿色制造 制造企业绿色供应链管理 评价规范》绿色供应链管理目的和范围基础上，考虑白酒企业业务全流程，提出评价目的、评价范围。</w:t>
      </w:r>
    </w:p>
    <w:p w14:paraId="1D6A69D5">
      <w:pPr>
        <w:spacing w:line="480" w:lineRule="auto"/>
        <w:outlineLvl w:val="2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e）评价的原则和要求</w:t>
      </w:r>
    </w:p>
    <w:p w14:paraId="70173CF0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1、评价的原则</w:t>
      </w:r>
    </w:p>
    <w:p w14:paraId="31319E1C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参考</w:t>
      </w:r>
      <w:r>
        <w:rPr>
          <w:rFonts w:ascii="Times New Roman" w:hAnsi="Times New Roman" w:eastAsia="宋体" w:cs="Times New Roman"/>
          <w:sz w:val="24"/>
          <w:szCs w:val="24"/>
        </w:rPr>
        <w:t>和依据《绿色工厂梯度培育及管理暂行办法》（工信部节〔2024〕13号）中附件3《绿色供应链管理企业评价要求》和GB/T 39257《绿色制造 制造企业绿色供应链管理 评价规范》中相关规定要求，给出评价的原则、</w:t>
      </w:r>
      <w:r>
        <w:rPr>
          <w:rFonts w:hint="eastAsia" w:ascii="Times New Roman" w:hAnsi="Times New Roman" w:eastAsia="宋体" w:cs="Times New Roman"/>
          <w:sz w:val="24"/>
          <w:szCs w:val="24"/>
        </w:rPr>
        <w:t>评价</w:t>
      </w:r>
      <w:r>
        <w:rPr>
          <w:rFonts w:ascii="Times New Roman" w:hAnsi="Times New Roman" w:eastAsia="宋体" w:cs="Times New Roman"/>
          <w:sz w:val="24"/>
          <w:szCs w:val="24"/>
        </w:rPr>
        <w:t>方式、评价方法、</w:t>
      </w:r>
      <w:r>
        <w:rPr>
          <w:rFonts w:hint="eastAsia" w:ascii="Times New Roman" w:hAnsi="Times New Roman" w:eastAsia="宋体" w:cs="Times New Roman"/>
          <w:sz w:val="24"/>
          <w:szCs w:val="24"/>
        </w:rPr>
        <w:t>评价指标选择原则、基本要求、评价指标体系及要求、评价过程以及评价结果。其中，</w:t>
      </w:r>
      <w:r>
        <w:rPr>
          <w:rFonts w:ascii="Times New Roman" w:hAnsi="Times New Roman" w:eastAsia="宋体" w:cs="Times New Roman"/>
          <w:sz w:val="24"/>
          <w:szCs w:val="24"/>
        </w:rPr>
        <w:t>对供应链企业提出基本要求和企业绿色供应链管理关键环节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其内容完成按照</w:t>
      </w:r>
      <w:r>
        <w:rPr>
          <w:rFonts w:hint="eastAsia" w:ascii="Times New Roman" w:hAnsi="Times New Roman" w:eastAsia="宋体" w:cs="Times New Roman"/>
          <w:sz w:val="24"/>
          <w:szCs w:val="24"/>
        </w:rPr>
        <w:t>《绿色工厂梯度培育及管理暂行办法》（工信部节〔</w:t>
      </w:r>
      <w:r>
        <w:rPr>
          <w:rFonts w:ascii="Times New Roman" w:hAnsi="Times New Roman" w:eastAsia="宋体" w:cs="Times New Roman"/>
          <w:sz w:val="24"/>
          <w:szCs w:val="24"/>
        </w:rPr>
        <w:t>2024〕13号）中附件3《绿色供应链管理企业评价要求》中内容执行，具体内容如下：</w:t>
      </w:r>
    </w:p>
    <w:p w14:paraId="026A954A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基本要求包括：</w:t>
      </w:r>
    </w:p>
    <w:p w14:paraId="06AED847">
      <w:pPr>
        <w:numPr>
          <w:ilvl w:val="0"/>
          <w:numId w:val="1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具有独立法人资格；</w:t>
      </w:r>
    </w:p>
    <w:p w14:paraId="7F482081">
      <w:pPr>
        <w:numPr>
          <w:ilvl w:val="0"/>
          <w:numId w:val="1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具有较强的行业影响力；</w:t>
      </w:r>
    </w:p>
    <w:p w14:paraId="6F25B239">
      <w:pPr>
        <w:numPr>
          <w:ilvl w:val="0"/>
          <w:numId w:val="1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具有较完善的能源资源、环境管理体系，各项管理制度健全，符合国家和地方的法律法规及标准规范要求，近三年无重大安全和环境污染事故；</w:t>
      </w:r>
    </w:p>
    <w:p w14:paraId="779D3CF0">
      <w:pPr>
        <w:numPr>
          <w:ilvl w:val="0"/>
          <w:numId w:val="1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企业</w:t>
      </w:r>
      <w:r>
        <w:rPr>
          <w:rFonts w:hint="eastAsia" w:ascii="宋体" w:hAnsi="宋体" w:eastAsia="宋体" w:cs="Times New Roman"/>
          <w:sz w:val="24"/>
          <w:szCs w:val="24"/>
        </w:rPr>
        <w:t>拥有数量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较多</w:t>
      </w:r>
      <w:r>
        <w:rPr>
          <w:rFonts w:hint="eastAsia" w:ascii="宋体" w:hAnsi="宋体" w:eastAsia="宋体" w:cs="Times New Roman"/>
          <w:sz w:val="24"/>
          <w:szCs w:val="24"/>
        </w:rPr>
        <w:t>的供应商，在供应商中有很强的影响力，与上下游供应商建立良好的合作关系；</w:t>
      </w:r>
    </w:p>
    <w:p w14:paraId="3693E1F7">
      <w:pPr>
        <w:numPr>
          <w:ilvl w:val="0"/>
          <w:numId w:val="1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有完善的供应商管理体系，建立健全的供应商认证、选择、审核、绩效管理和退出机制；</w:t>
      </w:r>
    </w:p>
    <w:p w14:paraId="67E62B63">
      <w:pPr>
        <w:numPr>
          <w:ilvl w:val="0"/>
          <w:numId w:val="1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有健全的财务管理制度，销售盈利能力处于行业领先水平；</w:t>
      </w:r>
    </w:p>
    <w:p w14:paraId="14FEA456">
      <w:pPr>
        <w:numPr>
          <w:ilvl w:val="0"/>
          <w:numId w:val="1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对实施绿色供应链管理有明确的工作目标、思路、计划和措施。</w:t>
      </w:r>
    </w:p>
    <w:p w14:paraId="23532C1A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注：遵循</w:t>
      </w:r>
      <w:r>
        <w:rPr>
          <w:rFonts w:hint="eastAsia" w:ascii="Times New Roman" w:hAnsi="Times New Roman" w:eastAsia="宋体" w:cs="Times New Roman"/>
          <w:sz w:val="24"/>
          <w:szCs w:val="24"/>
        </w:rPr>
        <w:t>《</w:t>
      </w:r>
      <w:r>
        <w:rPr>
          <w:rFonts w:ascii="Times New Roman" w:hAnsi="Times New Roman" w:eastAsia="宋体" w:cs="Times New Roman"/>
          <w:sz w:val="24"/>
          <w:szCs w:val="24"/>
        </w:rPr>
        <w:t>绿色工厂梯度培育及管理暂行办法》（工信部节〔2024〕13号）中的要求：基本要求必须全部满足。</w:t>
      </w:r>
    </w:p>
    <w:p w14:paraId="70862ACD">
      <w:p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企业绿色供应链管理关键环节包括：</w:t>
      </w:r>
    </w:p>
    <w:p w14:paraId="5F1DFE86">
      <w:pPr>
        <w:numPr>
          <w:ilvl w:val="0"/>
          <w:numId w:val="2"/>
        </w:num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绿色供应链管理战略</w:t>
      </w:r>
    </w:p>
    <w:p w14:paraId="0B0DE3A2">
      <w:pPr>
        <w:numPr>
          <w:ilvl w:val="0"/>
          <w:numId w:val="2"/>
        </w:num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实施绿色供应商管理</w:t>
      </w:r>
    </w:p>
    <w:p w14:paraId="1407422D">
      <w:pPr>
        <w:numPr>
          <w:ilvl w:val="0"/>
          <w:numId w:val="2"/>
        </w:numPr>
        <w:spacing w:line="48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绿色生产</w:t>
      </w:r>
    </w:p>
    <w:p w14:paraId="50F22D2D">
      <w:pPr>
        <w:numPr>
          <w:ilvl w:val="0"/>
          <w:numId w:val="2"/>
        </w:numPr>
        <w:spacing w:line="48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绿色回收</w:t>
      </w:r>
    </w:p>
    <w:p w14:paraId="13B595BD">
      <w:pPr>
        <w:numPr>
          <w:ilvl w:val="0"/>
          <w:numId w:val="2"/>
        </w:numPr>
        <w:spacing w:line="48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绿色信息平台建设</w:t>
      </w:r>
    </w:p>
    <w:p w14:paraId="39F1024A">
      <w:pPr>
        <w:numPr>
          <w:ilvl w:val="0"/>
          <w:numId w:val="2"/>
        </w:numPr>
        <w:spacing w:line="48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绿色信息披露</w:t>
      </w:r>
    </w:p>
    <w:p w14:paraId="2AEFD569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2、评价的指标体系</w:t>
      </w:r>
    </w:p>
    <w:p w14:paraId="6807578B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白酒企业绿色供应链管理评价规范</w:t>
      </w:r>
      <w:r>
        <w:rPr>
          <w:rFonts w:ascii="Times New Roman" w:hAnsi="Times New Roman" w:eastAsia="宋体" w:cs="Times New Roman"/>
          <w:sz w:val="24"/>
          <w:szCs w:val="24"/>
        </w:rPr>
        <w:t>绩效指数的一系列指标构成，包括6个一级指标和2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 w:cs="Times New Roman"/>
          <w:sz w:val="24"/>
          <w:szCs w:val="24"/>
        </w:rPr>
        <w:t>个二级指标，合计评价总分100分。</w:t>
      </w:r>
    </w:p>
    <w:p w14:paraId="22AE18CE">
      <w:pPr>
        <w:spacing w:line="480" w:lineRule="auto"/>
        <w:ind w:firstLine="480" w:firstLineChars="200"/>
        <w:rPr>
          <w:rFonts w:ascii="Times New Roman" w:hAnsi="Times New Roman" w:eastAsia="宋体" w:cs="Times New Roman"/>
          <w:bCs/>
          <w:color w:val="000000"/>
          <w:kern w:val="0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bCs/>
          <w:color w:val="000000"/>
          <w:kern w:val="0"/>
          <w:sz w:val="24"/>
          <w:szCs w:val="24"/>
          <w:lang w:bidi="ar"/>
        </w:rPr>
        <w:t>3、评价指标及计算方法</w:t>
      </w:r>
    </w:p>
    <w:p w14:paraId="3636C7B7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评价指标及计算方法等同采用《绿色工厂梯度培育及管理暂行办法》（工信部节〔</w:t>
      </w:r>
      <w:r>
        <w:rPr>
          <w:rFonts w:ascii="Times New Roman" w:hAnsi="Times New Roman" w:eastAsia="宋体" w:cs="Times New Roman"/>
          <w:sz w:val="24"/>
          <w:szCs w:val="24"/>
        </w:rPr>
        <w:t>2024〕13号）</w:t>
      </w:r>
      <w:r>
        <w:rPr>
          <w:rFonts w:hint="eastAsia" w:ascii="Times New Roman" w:hAnsi="Times New Roman" w:eastAsia="宋体" w:cs="Times New Roman"/>
          <w:sz w:val="24"/>
          <w:szCs w:val="24"/>
        </w:rPr>
        <w:t>中附件3《绿色供应链管理企业评价要求》绿色供应链评价指数计算方法。白酒行业绿色供应链管理指数的计算公式如下：</w:t>
      </w:r>
    </w:p>
    <w:p w14:paraId="5136D13D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MGSCI=X11+X12+X13+X21+X22+X23+X24+X25+X26+X31+X32+X33+X34+X41+X42+X43+X44+X45+X51+X61+X62+X63，式中MGSCI为白酒行业绿色供应链管理指数。</w:t>
      </w:r>
    </w:p>
    <w:p w14:paraId="77CE550B">
      <w:pPr>
        <w:spacing w:line="480" w:lineRule="auto"/>
        <w:ind w:firstLine="480" w:firstLineChars="200"/>
        <w:rPr>
          <w:rFonts w:ascii="Times New Roman" w:hAnsi="Times New Roman" w:eastAsia="宋体" w:cs="Times New Roman"/>
          <w:bCs/>
          <w:color w:val="000000"/>
          <w:kern w:val="0"/>
          <w:sz w:val="24"/>
          <w:szCs w:val="24"/>
          <w:lang w:bidi="ar"/>
        </w:rPr>
      </w:pPr>
      <w:r>
        <w:rPr>
          <w:rFonts w:hint="eastAsia" w:ascii="Times New Roman" w:hAnsi="Times New Roman" w:eastAsia="宋体" w:cs="Times New Roman"/>
          <w:bCs/>
          <w:color w:val="000000"/>
          <w:kern w:val="0"/>
          <w:sz w:val="24"/>
          <w:szCs w:val="24"/>
          <w:lang w:bidi="ar"/>
        </w:rPr>
        <w:t>4、评价等级</w:t>
      </w:r>
    </w:p>
    <w:p w14:paraId="3FAE22F8">
      <w:pPr>
        <w:spacing w:line="480" w:lineRule="auto"/>
        <w:ind w:firstLine="480" w:firstLineChars="200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依据白酒行业绿色供应链管理指数，依据MGSCI为白酒行业绿色供应链管理指数得分情况，分为一星级至五星级。</w:t>
      </w:r>
    </w:p>
    <w:tbl>
      <w:tblPr>
        <w:tblStyle w:val="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865"/>
        <w:gridCol w:w="4041"/>
      </w:tblGrid>
      <w:tr w14:paraId="543006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73063EED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评价结果</w:t>
            </w:r>
          </w:p>
        </w:tc>
        <w:tc>
          <w:tcPr>
            <w:tcW w:w="3261" w:type="dxa"/>
          </w:tcPr>
          <w:p w14:paraId="78B01E50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评价等级</w:t>
            </w:r>
          </w:p>
        </w:tc>
        <w:tc>
          <w:tcPr>
            <w:tcW w:w="4500" w:type="dxa"/>
          </w:tcPr>
          <w:p w14:paraId="7F991FC7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MGSCI得分情况</w:t>
            </w:r>
          </w:p>
        </w:tc>
      </w:tr>
      <w:tr w14:paraId="39F04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restart"/>
            <w:vAlign w:val="center"/>
          </w:tcPr>
          <w:p w14:paraId="50D786CD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合格</w:t>
            </w:r>
          </w:p>
        </w:tc>
        <w:tc>
          <w:tcPr>
            <w:tcW w:w="3261" w:type="dxa"/>
          </w:tcPr>
          <w:p w14:paraId="6E0D2300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五星</w:t>
            </w:r>
          </w:p>
        </w:tc>
        <w:tc>
          <w:tcPr>
            <w:tcW w:w="4500" w:type="dxa"/>
          </w:tcPr>
          <w:p w14:paraId="25C36787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hint="eastAsia" w:ascii="Times New Roman"/>
                <w:szCs w:val="18"/>
              </w:rPr>
              <w:t>基本要求符合，且</w:t>
            </w:r>
            <w:r>
              <w:rPr>
                <w:rFonts w:ascii="Times New Roman"/>
                <w:szCs w:val="18"/>
              </w:rPr>
              <w:t>MGSCI≥9</w:t>
            </w:r>
            <w:r>
              <w:rPr>
                <w:rFonts w:hint="eastAsia" w:ascii="Times New Roman"/>
                <w:szCs w:val="18"/>
              </w:rPr>
              <w:t>5</w:t>
            </w:r>
          </w:p>
        </w:tc>
      </w:tr>
      <w:tr w14:paraId="6F2DB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 w14:paraId="500B878D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</w:p>
        </w:tc>
        <w:tc>
          <w:tcPr>
            <w:tcW w:w="3261" w:type="dxa"/>
          </w:tcPr>
          <w:p w14:paraId="0F3624CE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四星</w:t>
            </w:r>
          </w:p>
        </w:tc>
        <w:tc>
          <w:tcPr>
            <w:tcW w:w="4500" w:type="dxa"/>
          </w:tcPr>
          <w:p w14:paraId="572C8448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hint="eastAsia" w:ascii="Times New Roman"/>
                <w:szCs w:val="18"/>
              </w:rPr>
              <w:t>基本要求符合，且95&gt;MGSCI≥85</w:t>
            </w:r>
          </w:p>
        </w:tc>
      </w:tr>
      <w:tr w14:paraId="365B4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 w14:paraId="2CA8A4BA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</w:p>
        </w:tc>
        <w:tc>
          <w:tcPr>
            <w:tcW w:w="3261" w:type="dxa"/>
          </w:tcPr>
          <w:p w14:paraId="498EA14B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三星</w:t>
            </w:r>
          </w:p>
        </w:tc>
        <w:tc>
          <w:tcPr>
            <w:tcW w:w="4500" w:type="dxa"/>
          </w:tcPr>
          <w:p w14:paraId="436EF0E5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hint="eastAsia" w:ascii="Times New Roman"/>
                <w:szCs w:val="18"/>
              </w:rPr>
              <w:t>基本要求符合，且85&gt;MGSCI≥75</w:t>
            </w:r>
          </w:p>
        </w:tc>
      </w:tr>
      <w:tr w14:paraId="0DDEE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 w14:paraId="1AA01290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</w:p>
        </w:tc>
        <w:tc>
          <w:tcPr>
            <w:tcW w:w="3261" w:type="dxa"/>
          </w:tcPr>
          <w:p w14:paraId="4D8DE20F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二星</w:t>
            </w:r>
          </w:p>
        </w:tc>
        <w:tc>
          <w:tcPr>
            <w:tcW w:w="4500" w:type="dxa"/>
          </w:tcPr>
          <w:p w14:paraId="3066564E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hint="eastAsia" w:ascii="Times New Roman"/>
                <w:szCs w:val="18"/>
              </w:rPr>
              <w:t>基本要求符合，且75&gt;MGSCI≥65</w:t>
            </w:r>
          </w:p>
        </w:tc>
      </w:tr>
      <w:tr w14:paraId="291142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Merge w:val="continue"/>
            <w:vAlign w:val="center"/>
          </w:tcPr>
          <w:p w14:paraId="31407042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</w:p>
        </w:tc>
        <w:tc>
          <w:tcPr>
            <w:tcW w:w="3261" w:type="dxa"/>
          </w:tcPr>
          <w:p w14:paraId="5B200715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一星</w:t>
            </w:r>
          </w:p>
        </w:tc>
        <w:tc>
          <w:tcPr>
            <w:tcW w:w="4500" w:type="dxa"/>
          </w:tcPr>
          <w:p w14:paraId="366841C2">
            <w:pPr>
              <w:pStyle w:val="18"/>
              <w:ind w:firstLine="0" w:firstLineChars="0"/>
              <w:jc w:val="center"/>
              <w:rPr>
                <w:rFonts w:hint="eastAsia" w:ascii="Times New Roman" w:eastAsia="宋体"/>
                <w:szCs w:val="18"/>
                <w:lang w:eastAsia="zh-CN"/>
              </w:rPr>
            </w:pPr>
            <w:r>
              <w:rPr>
                <w:rFonts w:hint="eastAsia" w:ascii="Times New Roman"/>
                <w:szCs w:val="18"/>
              </w:rPr>
              <w:t>基本要求符合，且</w:t>
            </w:r>
            <w:r>
              <w:rPr>
                <w:rFonts w:hint="eastAsia" w:ascii="Times New Roman"/>
                <w:szCs w:val="18"/>
                <w:lang w:val="en-US" w:eastAsia="zh-CN"/>
              </w:rPr>
              <w:t>6</w:t>
            </w:r>
            <w:r>
              <w:rPr>
                <w:rFonts w:hint="eastAsia" w:ascii="Times New Roman"/>
                <w:szCs w:val="18"/>
              </w:rPr>
              <w:t>5&gt;MGSCI≥6</w:t>
            </w:r>
            <w:r>
              <w:rPr>
                <w:rFonts w:hint="eastAsia" w:ascii="Times New Roman"/>
                <w:szCs w:val="18"/>
                <w:lang w:val="en-US" w:eastAsia="zh-CN"/>
              </w:rPr>
              <w:t>0</w:t>
            </w:r>
          </w:p>
        </w:tc>
      </w:tr>
      <w:tr w14:paraId="67D01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center"/>
          </w:tcPr>
          <w:p w14:paraId="1CD5D8E2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ascii="Times New Roman"/>
                <w:szCs w:val="18"/>
              </w:rPr>
              <w:t>不合格</w:t>
            </w:r>
          </w:p>
        </w:tc>
        <w:tc>
          <w:tcPr>
            <w:tcW w:w="3261" w:type="dxa"/>
            <w:vAlign w:val="center"/>
          </w:tcPr>
          <w:p w14:paraId="079970E5">
            <w:pPr>
              <w:pStyle w:val="18"/>
              <w:ind w:firstLine="0" w:firstLineChars="0"/>
              <w:jc w:val="center"/>
              <w:rPr>
                <w:rFonts w:ascii="Times New Roman"/>
                <w:szCs w:val="18"/>
              </w:rPr>
            </w:pPr>
            <w:r>
              <w:rPr>
                <w:rFonts w:hint="eastAsia" w:ascii="Times New Roman"/>
                <w:szCs w:val="18"/>
              </w:rPr>
              <w:t>/</w:t>
            </w:r>
          </w:p>
        </w:tc>
        <w:tc>
          <w:tcPr>
            <w:tcW w:w="4500" w:type="dxa"/>
            <w:vAlign w:val="center"/>
          </w:tcPr>
          <w:p w14:paraId="5079498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/>
                <w:kern w:val="0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18"/>
                <w:lang w:val="en-US" w:eastAsia="zh-CN" w:bidi="ar-SA"/>
              </w:rPr>
              <w:t>基本要求不符合要求；或MGSCI&lt;60</w:t>
            </w:r>
          </w:p>
        </w:tc>
      </w:tr>
    </w:tbl>
    <w:p w14:paraId="010C3A7F">
      <w:pPr>
        <w:widowControl/>
        <w:numPr>
          <w:ilvl w:val="0"/>
          <w:numId w:val="3"/>
        </w:numPr>
        <w:jc w:val="left"/>
        <w:outlineLvl w:val="2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bidi="ar"/>
        </w:rPr>
        <w:t>附录A</w:t>
      </w:r>
    </w:p>
    <w:p w14:paraId="72E6C2BD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附录A</w:t>
      </w:r>
      <w:r>
        <w:rPr>
          <w:rFonts w:ascii="Times New Roman" w:hAnsi="Times New Roman" w:eastAsia="宋体" w:cs="Times New Roman"/>
          <w:sz w:val="24"/>
          <w:szCs w:val="24"/>
        </w:rPr>
        <w:t>给出了《</w:t>
      </w:r>
      <w:r>
        <w:rPr>
          <w:rFonts w:hint="eastAsia" w:ascii="Times New Roman" w:hAnsi="Times New Roman" w:eastAsia="宋体" w:cs="Times New Roman"/>
          <w:sz w:val="24"/>
          <w:szCs w:val="24"/>
        </w:rPr>
        <w:t>白酒企业绿色供应链管理企业评价表</w:t>
      </w:r>
      <w:r>
        <w:rPr>
          <w:rFonts w:ascii="Times New Roman" w:hAnsi="Times New Roman" w:eastAsia="宋体" w:cs="Times New Roman"/>
          <w:sz w:val="24"/>
          <w:szCs w:val="24"/>
        </w:rPr>
        <w:t>》</w:t>
      </w:r>
      <w:r>
        <w:rPr>
          <w:rFonts w:hint="eastAsia" w:ascii="Times New Roman" w:hAnsi="Times New Roman" w:eastAsia="宋体" w:cs="Times New Roman"/>
          <w:sz w:val="24"/>
          <w:szCs w:val="24"/>
        </w:rPr>
        <w:t>。</w:t>
      </w:r>
    </w:p>
    <w:p w14:paraId="6B3A9EE6">
      <w:pPr>
        <w:widowControl/>
        <w:numPr>
          <w:ilvl w:val="0"/>
          <w:numId w:val="3"/>
        </w:numPr>
        <w:jc w:val="left"/>
        <w:outlineLvl w:val="2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附录B</w:t>
      </w:r>
    </w:p>
    <w:p w14:paraId="2EB1E532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附录B给出具体的评价流程和要求。</w:t>
      </w:r>
    </w:p>
    <w:p w14:paraId="318ECECF">
      <w:pPr>
        <w:widowControl/>
        <w:numPr>
          <w:ilvl w:val="0"/>
          <w:numId w:val="3"/>
        </w:numPr>
        <w:jc w:val="left"/>
        <w:outlineLvl w:val="2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附录C</w:t>
      </w:r>
    </w:p>
    <w:p w14:paraId="64F822EF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附录C</w:t>
      </w:r>
      <w:r>
        <w:rPr>
          <w:rFonts w:ascii="Times New Roman" w:hAnsi="Times New Roman" w:eastAsia="宋体" w:cs="Times New Roman"/>
          <w:sz w:val="24"/>
          <w:szCs w:val="24"/>
        </w:rPr>
        <w:t>给出了指标说明及计算方式，配套合打分表，细化考评指标定性定量评分因素。专家可以对照指标说明评分因素逐项比对确认，分档给分，减少主观随意性。</w:t>
      </w:r>
    </w:p>
    <w:p w14:paraId="4771DA92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四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标准中涉及的专利</w:t>
      </w:r>
    </w:p>
    <w:p w14:paraId="0717A490">
      <w:pPr>
        <w:spacing w:line="48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无。</w:t>
      </w:r>
    </w:p>
    <w:p w14:paraId="6967FA5C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五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、采用国际标准和国外先进标准的程度，以及与国际、国外同类标准水平的对比情况，或与测试的国外样品、样机的有关数据对比情况。</w:t>
      </w:r>
    </w:p>
    <w:p w14:paraId="4C0D8A8A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《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白酒企业绿色供应链管理评价规范</w:t>
      </w:r>
      <w:r>
        <w:rPr>
          <w:rFonts w:hint="eastAsia" w:ascii="Times New Roman" w:hAnsi="Times New Roman" w:eastAsia="宋体" w:cs="Times New Roman"/>
          <w:sz w:val="24"/>
          <w:szCs w:val="24"/>
        </w:rPr>
        <w:t>》团体标准的制定基于《绿色工厂梯度培育及管理暂行办法》（工信部节〔</w:t>
      </w:r>
      <w:r>
        <w:rPr>
          <w:rFonts w:ascii="Times New Roman" w:hAnsi="Times New Roman" w:eastAsia="宋体" w:cs="Times New Roman"/>
          <w:sz w:val="24"/>
          <w:szCs w:val="24"/>
        </w:rPr>
        <w:t>2024〕13号）中附件3《绿色供应链管理企业评价要求》和GB/T 39257《绿色制造 制造企业绿色供应链管理 评价规范》</w:t>
      </w:r>
      <w:r>
        <w:rPr>
          <w:rFonts w:hint="eastAsia" w:ascii="Times New Roman" w:hAnsi="Times New Roman" w:eastAsia="宋体" w:cs="Times New Roman"/>
          <w:sz w:val="24"/>
          <w:szCs w:val="24"/>
        </w:rPr>
        <w:t>基础上，同时结合白酒行业发展现状和使用要求进行改进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 w14:paraId="175F5A00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六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、与有关的现行法律、法规和强制性国家标准的关系</w:t>
      </w:r>
    </w:p>
    <w:p w14:paraId="54E1C63A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本标准从我国白酒行业的实际情况出发，参考了国内相关资料，体现了科学性、先进性和可操作性原则，在制定过程中充分考虑国内相关的法规要求，并结合白酒行业的特点；</w:t>
      </w:r>
      <w:r>
        <w:rPr>
          <w:rFonts w:ascii="Times New Roman" w:hAnsi="Times New Roman" w:eastAsia="宋体" w:cs="Times New Roman"/>
          <w:sz w:val="24"/>
          <w:szCs w:val="24"/>
        </w:rPr>
        <w:t>与现行法律、法规和强制性国家标准协调一致。</w:t>
      </w:r>
    </w:p>
    <w:p w14:paraId="52956D8C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七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、重大分歧意见的处理经过和依据</w:t>
      </w:r>
    </w:p>
    <w:p w14:paraId="191EC29A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无重大分歧意见。</w:t>
      </w:r>
    </w:p>
    <w:p w14:paraId="11E86C08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八、贯彻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团体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标准的要求和措施建议（包括组织措施、技术措施、过渡办法等内容）</w:t>
      </w:r>
    </w:p>
    <w:p w14:paraId="17A6220A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bookmarkStart w:id="2" w:name="_Hlk86399637"/>
      <w:r>
        <w:rPr>
          <w:rFonts w:ascii="Times New Roman" w:hAnsi="Times New Roman" w:eastAsia="宋体" w:cs="Times New Roman"/>
          <w:sz w:val="24"/>
          <w:szCs w:val="24"/>
        </w:rPr>
        <w:t>建议本标准</w:t>
      </w:r>
      <w:r>
        <w:rPr>
          <w:rFonts w:hint="eastAsia" w:ascii="Times New Roman" w:hAnsi="Times New Roman" w:eastAsia="宋体" w:cs="Times New Roman"/>
          <w:sz w:val="24"/>
          <w:szCs w:val="24"/>
        </w:rPr>
        <w:t>审核、批准</w:t>
      </w:r>
      <w:r>
        <w:rPr>
          <w:rFonts w:ascii="Times New Roman" w:hAnsi="Times New Roman" w:eastAsia="宋体" w:cs="Times New Roman"/>
          <w:sz w:val="24"/>
          <w:szCs w:val="24"/>
        </w:rPr>
        <w:t>发布后实施，由归口单位组织行业相关单位积极开展宣贯工作</w:t>
      </w:r>
      <w:r>
        <w:rPr>
          <w:rFonts w:hint="eastAsia" w:ascii="Times New Roman" w:hAnsi="Times New Roman" w:eastAsia="宋体" w:cs="Times New Roman"/>
          <w:sz w:val="24"/>
          <w:szCs w:val="24"/>
        </w:rPr>
        <w:t>，在行业内进行推广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bookmarkEnd w:id="2"/>
    <w:p w14:paraId="21B30A44">
      <w:pPr>
        <w:spacing w:line="480" w:lineRule="auto"/>
        <w:outlineLvl w:val="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</w:rPr>
        <w:t>九、废止现行相关标准的建议</w:t>
      </w:r>
    </w:p>
    <w:p w14:paraId="1FED638B">
      <w:pPr>
        <w:spacing w:line="48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无。</w:t>
      </w:r>
    </w:p>
    <w:p w14:paraId="2B03DBA9">
      <w:pPr>
        <w:spacing w:line="480" w:lineRule="auto"/>
        <w:jc w:val="left"/>
        <w:rPr>
          <w:rFonts w:ascii="Times New Roman" w:hAnsi="Times New Roman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B83663"/>
    <w:multiLevelType w:val="singleLevel"/>
    <w:tmpl w:val="91B83663"/>
    <w:lvl w:ilvl="0" w:tentative="0">
      <w:start w:val="1"/>
      <w:numFmt w:val="lowerRoman"/>
      <w:lvlText w:val="%1)"/>
      <w:lvlJc w:val="left"/>
      <w:pPr>
        <w:tabs>
          <w:tab w:val="left" w:pos="312"/>
        </w:tabs>
      </w:pPr>
    </w:lvl>
  </w:abstractNum>
  <w:abstractNum w:abstractNumId="1">
    <w:nsid w:val="D6356300"/>
    <w:multiLevelType w:val="singleLevel"/>
    <w:tmpl w:val="D6356300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20424322"/>
    <w:multiLevelType w:val="singleLevel"/>
    <w:tmpl w:val="20424322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YjM1MWJhOWU2YWExNDE5YTNkNzNiODQwYWNjN2UifQ=="/>
    <w:docVar w:name="KSO_WPS_MARK_KEY" w:val="6783ae0b-51f6-4192-b8ab-50f5a7185cd8"/>
  </w:docVars>
  <w:rsids>
    <w:rsidRoot w:val="00055A15"/>
    <w:rsid w:val="000058D3"/>
    <w:rsid w:val="00013D7B"/>
    <w:rsid w:val="00022D8C"/>
    <w:rsid w:val="00025E35"/>
    <w:rsid w:val="0003485C"/>
    <w:rsid w:val="00052655"/>
    <w:rsid w:val="00055A15"/>
    <w:rsid w:val="00063016"/>
    <w:rsid w:val="000A1367"/>
    <w:rsid w:val="000A276E"/>
    <w:rsid w:val="000B3329"/>
    <w:rsid w:val="000B36AC"/>
    <w:rsid w:val="000B3CDF"/>
    <w:rsid w:val="000C53B4"/>
    <w:rsid w:val="000C5FE2"/>
    <w:rsid w:val="000D3E4D"/>
    <w:rsid w:val="001301BD"/>
    <w:rsid w:val="001617E4"/>
    <w:rsid w:val="001623E9"/>
    <w:rsid w:val="001858D2"/>
    <w:rsid w:val="0019084A"/>
    <w:rsid w:val="00193BE4"/>
    <w:rsid w:val="001A4950"/>
    <w:rsid w:val="001D54D8"/>
    <w:rsid w:val="001E0A21"/>
    <w:rsid w:val="001E33E8"/>
    <w:rsid w:val="001F177C"/>
    <w:rsid w:val="00206780"/>
    <w:rsid w:val="00230C3E"/>
    <w:rsid w:val="00256D6A"/>
    <w:rsid w:val="00257006"/>
    <w:rsid w:val="00265407"/>
    <w:rsid w:val="00265D0A"/>
    <w:rsid w:val="002872AB"/>
    <w:rsid w:val="002A47DA"/>
    <w:rsid w:val="002A6E71"/>
    <w:rsid w:val="00306B1E"/>
    <w:rsid w:val="00311F66"/>
    <w:rsid w:val="0031605F"/>
    <w:rsid w:val="00316655"/>
    <w:rsid w:val="00327E7C"/>
    <w:rsid w:val="0033690B"/>
    <w:rsid w:val="00347CBB"/>
    <w:rsid w:val="00350D0F"/>
    <w:rsid w:val="00370157"/>
    <w:rsid w:val="0037292B"/>
    <w:rsid w:val="0038125D"/>
    <w:rsid w:val="003A349F"/>
    <w:rsid w:val="003B62EB"/>
    <w:rsid w:val="003C386F"/>
    <w:rsid w:val="003C4321"/>
    <w:rsid w:val="003C72C0"/>
    <w:rsid w:val="003D7BB8"/>
    <w:rsid w:val="003F2384"/>
    <w:rsid w:val="004132F4"/>
    <w:rsid w:val="004239C2"/>
    <w:rsid w:val="00427155"/>
    <w:rsid w:val="004339DF"/>
    <w:rsid w:val="0046520C"/>
    <w:rsid w:val="00470A5A"/>
    <w:rsid w:val="004774F9"/>
    <w:rsid w:val="00495326"/>
    <w:rsid w:val="004A0F76"/>
    <w:rsid w:val="004A481E"/>
    <w:rsid w:val="004B629A"/>
    <w:rsid w:val="004E5F10"/>
    <w:rsid w:val="004F75BC"/>
    <w:rsid w:val="0052247F"/>
    <w:rsid w:val="00530425"/>
    <w:rsid w:val="00574048"/>
    <w:rsid w:val="0059457D"/>
    <w:rsid w:val="005A5F39"/>
    <w:rsid w:val="005A73D0"/>
    <w:rsid w:val="005B19CE"/>
    <w:rsid w:val="005C3411"/>
    <w:rsid w:val="006003FF"/>
    <w:rsid w:val="00610B5D"/>
    <w:rsid w:val="00611E3A"/>
    <w:rsid w:val="0061247B"/>
    <w:rsid w:val="00613EBF"/>
    <w:rsid w:val="00630459"/>
    <w:rsid w:val="00634730"/>
    <w:rsid w:val="00641887"/>
    <w:rsid w:val="00651B97"/>
    <w:rsid w:val="00670C85"/>
    <w:rsid w:val="006739AD"/>
    <w:rsid w:val="00687AE7"/>
    <w:rsid w:val="006B118D"/>
    <w:rsid w:val="006B263A"/>
    <w:rsid w:val="006B65F1"/>
    <w:rsid w:val="006C43BA"/>
    <w:rsid w:val="006D5593"/>
    <w:rsid w:val="006D731B"/>
    <w:rsid w:val="006F12A1"/>
    <w:rsid w:val="00731B97"/>
    <w:rsid w:val="0073392C"/>
    <w:rsid w:val="00734489"/>
    <w:rsid w:val="00736BF5"/>
    <w:rsid w:val="00747AAF"/>
    <w:rsid w:val="0075466E"/>
    <w:rsid w:val="007672FE"/>
    <w:rsid w:val="0079735F"/>
    <w:rsid w:val="007E1A2D"/>
    <w:rsid w:val="007E233E"/>
    <w:rsid w:val="00801B1A"/>
    <w:rsid w:val="008274D7"/>
    <w:rsid w:val="0086662D"/>
    <w:rsid w:val="00877D94"/>
    <w:rsid w:val="00884D98"/>
    <w:rsid w:val="008B2997"/>
    <w:rsid w:val="008D5AD0"/>
    <w:rsid w:val="0090537A"/>
    <w:rsid w:val="00915E16"/>
    <w:rsid w:val="00917C38"/>
    <w:rsid w:val="00920679"/>
    <w:rsid w:val="0092126C"/>
    <w:rsid w:val="00921DA9"/>
    <w:rsid w:val="00930362"/>
    <w:rsid w:val="009314F5"/>
    <w:rsid w:val="00947F9C"/>
    <w:rsid w:val="00950B62"/>
    <w:rsid w:val="00955C30"/>
    <w:rsid w:val="00993919"/>
    <w:rsid w:val="009B3472"/>
    <w:rsid w:val="009B4BAE"/>
    <w:rsid w:val="009C60B4"/>
    <w:rsid w:val="009E7BED"/>
    <w:rsid w:val="00A05260"/>
    <w:rsid w:val="00A306FD"/>
    <w:rsid w:val="00A61736"/>
    <w:rsid w:val="00A72608"/>
    <w:rsid w:val="00A72AA7"/>
    <w:rsid w:val="00A754EE"/>
    <w:rsid w:val="00A91377"/>
    <w:rsid w:val="00AA304D"/>
    <w:rsid w:val="00AB3EB7"/>
    <w:rsid w:val="00AB6BFB"/>
    <w:rsid w:val="00AF1C4B"/>
    <w:rsid w:val="00B16694"/>
    <w:rsid w:val="00B26CFD"/>
    <w:rsid w:val="00B54EF4"/>
    <w:rsid w:val="00B565FE"/>
    <w:rsid w:val="00B6652B"/>
    <w:rsid w:val="00B761AB"/>
    <w:rsid w:val="00BA00A7"/>
    <w:rsid w:val="00BB0DD5"/>
    <w:rsid w:val="00BB1E3B"/>
    <w:rsid w:val="00BB6A6F"/>
    <w:rsid w:val="00BF5E6C"/>
    <w:rsid w:val="00C16DB8"/>
    <w:rsid w:val="00C335E8"/>
    <w:rsid w:val="00C823E7"/>
    <w:rsid w:val="00C86028"/>
    <w:rsid w:val="00C95641"/>
    <w:rsid w:val="00C96C75"/>
    <w:rsid w:val="00CC7847"/>
    <w:rsid w:val="00CC795A"/>
    <w:rsid w:val="00CD3B78"/>
    <w:rsid w:val="00CD3C38"/>
    <w:rsid w:val="00CD7B17"/>
    <w:rsid w:val="00D13F2C"/>
    <w:rsid w:val="00D7004D"/>
    <w:rsid w:val="00D90A37"/>
    <w:rsid w:val="00DA4135"/>
    <w:rsid w:val="00DA5526"/>
    <w:rsid w:val="00DC31B8"/>
    <w:rsid w:val="00DD3BCB"/>
    <w:rsid w:val="00DE56FA"/>
    <w:rsid w:val="00DE7D11"/>
    <w:rsid w:val="00E21CED"/>
    <w:rsid w:val="00E21F2F"/>
    <w:rsid w:val="00E61CAC"/>
    <w:rsid w:val="00E67201"/>
    <w:rsid w:val="00E72B62"/>
    <w:rsid w:val="00E92C4F"/>
    <w:rsid w:val="00EC3667"/>
    <w:rsid w:val="00EC6948"/>
    <w:rsid w:val="00EC6DBC"/>
    <w:rsid w:val="00ED1BED"/>
    <w:rsid w:val="00EE3F3D"/>
    <w:rsid w:val="00EF519B"/>
    <w:rsid w:val="00F00C34"/>
    <w:rsid w:val="00F40292"/>
    <w:rsid w:val="00F4588F"/>
    <w:rsid w:val="00F56599"/>
    <w:rsid w:val="00F5668B"/>
    <w:rsid w:val="00F64745"/>
    <w:rsid w:val="00F74D63"/>
    <w:rsid w:val="00FD48BC"/>
    <w:rsid w:val="00FD5335"/>
    <w:rsid w:val="00FF1548"/>
    <w:rsid w:val="00FF3A1E"/>
    <w:rsid w:val="00FF74DE"/>
    <w:rsid w:val="01056241"/>
    <w:rsid w:val="0198120A"/>
    <w:rsid w:val="0240575D"/>
    <w:rsid w:val="025E67FA"/>
    <w:rsid w:val="02A06DB3"/>
    <w:rsid w:val="036715AC"/>
    <w:rsid w:val="05604F20"/>
    <w:rsid w:val="06AA4179"/>
    <w:rsid w:val="0799720F"/>
    <w:rsid w:val="0A07270C"/>
    <w:rsid w:val="0B304BDD"/>
    <w:rsid w:val="0B711590"/>
    <w:rsid w:val="0DBC79C4"/>
    <w:rsid w:val="0DDD6D83"/>
    <w:rsid w:val="0FAB0EE6"/>
    <w:rsid w:val="0FD83E98"/>
    <w:rsid w:val="11CD2917"/>
    <w:rsid w:val="121E434B"/>
    <w:rsid w:val="14084AB5"/>
    <w:rsid w:val="147C34B3"/>
    <w:rsid w:val="149A06D1"/>
    <w:rsid w:val="15FB4C7F"/>
    <w:rsid w:val="165C4DEB"/>
    <w:rsid w:val="17074913"/>
    <w:rsid w:val="17614504"/>
    <w:rsid w:val="17C95782"/>
    <w:rsid w:val="196158F4"/>
    <w:rsid w:val="1C3B3C34"/>
    <w:rsid w:val="1CB91634"/>
    <w:rsid w:val="1D9603F2"/>
    <w:rsid w:val="1FBC3631"/>
    <w:rsid w:val="1FEA7DE9"/>
    <w:rsid w:val="20C01158"/>
    <w:rsid w:val="2134079F"/>
    <w:rsid w:val="215B0940"/>
    <w:rsid w:val="21AB1930"/>
    <w:rsid w:val="21B33201"/>
    <w:rsid w:val="21FE1F55"/>
    <w:rsid w:val="223A5719"/>
    <w:rsid w:val="244D5EFF"/>
    <w:rsid w:val="26855AD4"/>
    <w:rsid w:val="27A046D6"/>
    <w:rsid w:val="28095C8D"/>
    <w:rsid w:val="28C30038"/>
    <w:rsid w:val="28D4787B"/>
    <w:rsid w:val="2B18103D"/>
    <w:rsid w:val="2B1E7882"/>
    <w:rsid w:val="2D2C4306"/>
    <w:rsid w:val="2DCB2695"/>
    <w:rsid w:val="2E037583"/>
    <w:rsid w:val="2FBA29FF"/>
    <w:rsid w:val="301D349A"/>
    <w:rsid w:val="31375FF7"/>
    <w:rsid w:val="313B43C7"/>
    <w:rsid w:val="32205019"/>
    <w:rsid w:val="349E2D24"/>
    <w:rsid w:val="35D703E4"/>
    <w:rsid w:val="37EC6B19"/>
    <w:rsid w:val="38450ECC"/>
    <w:rsid w:val="38CB7A00"/>
    <w:rsid w:val="3B8F783F"/>
    <w:rsid w:val="3CB67364"/>
    <w:rsid w:val="3DA926B9"/>
    <w:rsid w:val="3FC528DB"/>
    <w:rsid w:val="42497671"/>
    <w:rsid w:val="442E425C"/>
    <w:rsid w:val="45593EF3"/>
    <w:rsid w:val="458261E7"/>
    <w:rsid w:val="46291401"/>
    <w:rsid w:val="477353BB"/>
    <w:rsid w:val="48396644"/>
    <w:rsid w:val="485B50AC"/>
    <w:rsid w:val="48C24183"/>
    <w:rsid w:val="49A504D3"/>
    <w:rsid w:val="49FB65FD"/>
    <w:rsid w:val="4A3225F9"/>
    <w:rsid w:val="4A8E5FA5"/>
    <w:rsid w:val="4BFE3D7C"/>
    <w:rsid w:val="4D904A55"/>
    <w:rsid w:val="4D944218"/>
    <w:rsid w:val="4DDB25DF"/>
    <w:rsid w:val="4DEE7E5C"/>
    <w:rsid w:val="4E0555E1"/>
    <w:rsid w:val="4FE54AF6"/>
    <w:rsid w:val="51846B84"/>
    <w:rsid w:val="52361E79"/>
    <w:rsid w:val="52B03FE7"/>
    <w:rsid w:val="53157AA3"/>
    <w:rsid w:val="534022E4"/>
    <w:rsid w:val="536931D9"/>
    <w:rsid w:val="53A31324"/>
    <w:rsid w:val="54101B92"/>
    <w:rsid w:val="552B5BD2"/>
    <w:rsid w:val="57F24A86"/>
    <w:rsid w:val="5A7212AC"/>
    <w:rsid w:val="5A9372B6"/>
    <w:rsid w:val="5CA40E39"/>
    <w:rsid w:val="5D0D43A4"/>
    <w:rsid w:val="5E3D04A9"/>
    <w:rsid w:val="5EC7710F"/>
    <w:rsid w:val="60A857B1"/>
    <w:rsid w:val="637F758D"/>
    <w:rsid w:val="63E861FD"/>
    <w:rsid w:val="64C6687C"/>
    <w:rsid w:val="65203561"/>
    <w:rsid w:val="664A693D"/>
    <w:rsid w:val="664E5D07"/>
    <w:rsid w:val="66EC463F"/>
    <w:rsid w:val="680844ED"/>
    <w:rsid w:val="682757D2"/>
    <w:rsid w:val="68E436CF"/>
    <w:rsid w:val="6922672F"/>
    <w:rsid w:val="69B60E86"/>
    <w:rsid w:val="69CD65EA"/>
    <w:rsid w:val="6BAC453C"/>
    <w:rsid w:val="6BDD087C"/>
    <w:rsid w:val="6CFE0065"/>
    <w:rsid w:val="6D8E0860"/>
    <w:rsid w:val="6E3E3F05"/>
    <w:rsid w:val="6F0D2199"/>
    <w:rsid w:val="6F0E3DBF"/>
    <w:rsid w:val="71543EB7"/>
    <w:rsid w:val="726E11A1"/>
    <w:rsid w:val="747E2AED"/>
    <w:rsid w:val="75363669"/>
    <w:rsid w:val="75CE5634"/>
    <w:rsid w:val="76C1203A"/>
    <w:rsid w:val="77E96C86"/>
    <w:rsid w:val="78AB6A32"/>
    <w:rsid w:val="7AF05E31"/>
    <w:rsid w:val="7B920991"/>
    <w:rsid w:val="7C973CD8"/>
    <w:rsid w:val="7D1D4795"/>
    <w:rsid w:val="7E811E1D"/>
    <w:rsid w:val="7FF4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Char"/>
    <w:basedOn w:val="9"/>
    <w:link w:val="2"/>
    <w:semiHidden/>
    <w:qFormat/>
    <w:uiPriority w:val="99"/>
  </w:style>
  <w:style w:type="character" w:customStyle="1" w:styleId="16">
    <w:name w:val="批注主题 Char"/>
    <w:basedOn w:val="15"/>
    <w:link w:val="6"/>
    <w:semiHidden/>
    <w:qFormat/>
    <w:uiPriority w:val="99"/>
    <w:rPr>
      <w:b/>
      <w:bCs/>
    </w:rPr>
  </w:style>
  <w:style w:type="paragraph" w:customStyle="1" w:styleId="17">
    <w:name w:val="章标题"/>
    <w:next w:val="18"/>
    <w:qFormat/>
    <w:uiPriority w:val="0"/>
    <w:p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">
    <w:name w:val="段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table" w:customStyle="1" w:styleId="20">
    <w:name w:val="Table Normal"/>
    <w:basedOn w:val="7"/>
    <w:qFormat/>
    <w:uiPriority w:val="0"/>
    <w:rPr>
      <w:rFonts w:eastAsia="Times New Roman"/>
    </w:rPr>
    <w:tblPr>
      <w:tblCellMar>
        <w:left w:w="0" w:type="dxa"/>
        <w:right w:w="0" w:type="dxa"/>
      </w:tblCellMar>
    </w:tblPr>
  </w:style>
  <w:style w:type="paragraph" w:styleId="21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2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3622</Words>
  <Characters>4093</Characters>
  <Lines>29</Lines>
  <Paragraphs>8</Paragraphs>
  <TotalTime>0</TotalTime>
  <ScaleCrop>false</ScaleCrop>
  <LinksUpToDate>false</LinksUpToDate>
  <CharactersWithSpaces>4185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2022-03-10T02:56:00Z</dcterms:created>
  <dc:creator>元 月</dc:creator>
  <cp:lastModifiedBy>鳢·明磊</cp:lastModifiedBy>
  <dcterms:modified xsi:type="dcterms:W3CDTF">2025-07-09T10:10:55Z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8F9905DD031C43A0BC00A6B717E1046A_13</vt:lpwstr>
  </property>
  <property fmtid="{D5CDD505-2E9C-101B-9397-08002B2CF9AE}" pid="4" name="KSOTemplateDocerSaveRecord">
    <vt:lpwstr>eyJoZGlkIjoiNjMzMTc1OGM5YmYzMmZhZGFlMjY0ODk5YTQxNWQyNTgiLCJ1c2VySWQiOiI2Mzc2MTkzNTkifQ==</vt:lpwstr>
  </property>
</Properties>
</file>