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spacing w:line="720" w:lineRule="auto"/>
        <w:jc w:val="center"/>
        <w:rPr>
          <w:rFonts w:hint="eastAsia" w:ascii="黑体" w:hAnsi="黑体" w:eastAsia="黑体" w:cs="黑体"/>
          <w:b/>
          <w:sz w:val="44"/>
          <w:szCs w:val="44"/>
        </w:rPr>
      </w:pPr>
      <w:r>
        <w:rPr>
          <w:rFonts w:hint="eastAsia" w:ascii="黑体" w:hAnsi="黑体" w:eastAsia="黑体" w:cs="黑体"/>
          <w:b/>
          <w:color w:val="000000"/>
          <w:sz w:val="44"/>
          <w:szCs w:val="44"/>
        </w:rPr>
        <w:t>顶击式振筛机</w:t>
      </w:r>
      <w:r>
        <w:rPr>
          <w:rFonts w:hint="eastAsia" w:ascii="黑体" w:hAnsi="黑体" w:eastAsia="黑体" w:cs="黑体"/>
          <w:b/>
          <w:sz w:val="44"/>
          <w:szCs w:val="44"/>
        </w:rPr>
        <w:t>校准规范</w:t>
      </w:r>
    </w:p>
    <w:p>
      <w:pPr>
        <w:spacing w:line="720" w:lineRule="auto"/>
        <w:jc w:val="center"/>
        <w:rPr>
          <w:rFonts w:hint="eastAsia" w:ascii="黑体" w:hAnsi="黑体" w:eastAsia="黑体" w:cs="黑体"/>
          <w:b/>
          <w:sz w:val="44"/>
          <w:szCs w:val="44"/>
        </w:rPr>
      </w:pPr>
      <w:r>
        <w:rPr>
          <w:rFonts w:hint="eastAsia" w:ascii="黑体" w:hAnsi="黑体" w:eastAsia="黑体" w:cs="黑体"/>
          <w:b/>
          <w:sz w:val="44"/>
          <w:szCs w:val="44"/>
        </w:rPr>
        <w:t>试验报告</w:t>
      </w:r>
    </w:p>
    <w:p>
      <w:pPr>
        <w:jc w:val="center"/>
        <w:rPr>
          <w:sz w:val="72"/>
        </w:rPr>
      </w:pPr>
    </w:p>
    <w:p>
      <w:pPr>
        <w:jc w:val="center"/>
        <w:rPr>
          <w:sz w:val="72"/>
        </w:rPr>
      </w:pPr>
    </w:p>
    <w:p>
      <w:pPr>
        <w:jc w:val="center"/>
        <w:rPr>
          <w:sz w:val="72"/>
        </w:rPr>
      </w:pPr>
    </w:p>
    <w:p>
      <w:pPr>
        <w:jc w:val="center"/>
        <w:rPr>
          <w:sz w:val="72"/>
        </w:rPr>
      </w:pPr>
    </w:p>
    <w:p>
      <w:pPr>
        <w:jc w:val="center"/>
        <w:rPr>
          <w:sz w:val="72"/>
        </w:rPr>
      </w:pPr>
    </w:p>
    <w:p>
      <w:pPr>
        <w:jc w:val="center"/>
        <w:rPr>
          <w:sz w:val="7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jc w:val="center"/>
        <w:textAlignment w:val="auto"/>
        <w:outlineLvl w:val="9"/>
        <w:rPr>
          <w:rFonts w:hint="eastAsia" w:ascii="黑体" w:hAnsi="黑体" w:eastAsia="黑体" w:cs="黑体"/>
          <w:b/>
          <w:sz w:val="32"/>
          <w:szCs w:val="36"/>
          <w:lang w:eastAsia="zh-CN"/>
        </w:rPr>
      </w:pPr>
      <w:r>
        <w:rPr>
          <w:rFonts w:hint="eastAsia" w:ascii="黑体" w:hAnsi="黑体" w:eastAsia="黑体" w:cs="黑体"/>
          <w:b/>
          <w:sz w:val="32"/>
          <w:szCs w:val="36"/>
          <w:lang w:eastAsia="zh-CN"/>
        </w:rPr>
        <w:t>北海市公共检验检测中心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jc w:val="center"/>
        <w:textAlignment w:val="auto"/>
        <w:outlineLvl w:val="9"/>
        <w:rPr>
          <w:rFonts w:hint="eastAsia" w:ascii="黑体" w:hAnsi="黑体" w:eastAsia="黑体" w:cs="黑体"/>
          <w:b/>
          <w:sz w:val="30"/>
        </w:rPr>
      </w:pPr>
      <w:r>
        <w:rPr>
          <w:rFonts w:hint="eastAsia" w:ascii="黑体" w:hAnsi="黑体" w:eastAsia="黑体" w:cs="黑体"/>
          <w:b/>
          <w:sz w:val="32"/>
          <w:szCs w:val="36"/>
        </w:rPr>
        <w:t>202</w:t>
      </w:r>
      <w:r>
        <w:rPr>
          <w:rFonts w:hint="eastAsia" w:ascii="黑体" w:hAnsi="黑体" w:eastAsia="黑体" w:cs="黑体"/>
          <w:b/>
          <w:sz w:val="32"/>
          <w:szCs w:val="36"/>
          <w:lang w:val="en-US" w:eastAsia="zh-CN"/>
        </w:rPr>
        <w:t>5</w:t>
      </w:r>
      <w:r>
        <w:rPr>
          <w:rFonts w:hint="eastAsia" w:ascii="黑体" w:hAnsi="黑体" w:eastAsia="黑体" w:cs="黑体"/>
          <w:b/>
          <w:sz w:val="32"/>
          <w:szCs w:val="36"/>
        </w:rPr>
        <w:t>年6月</w:t>
      </w:r>
    </w:p>
    <w:p>
      <w:pPr>
        <w:jc w:val="center"/>
        <w:rPr>
          <w:rFonts w:hint="eastAsia"/>
          <w:b/>
          <w:sz w:val="32"/>
          <w:szCs w:val="32"/>
        </w:rPr>
      </w:pPr>
      <w:r>
        <w:rPr>
          <w:sz w:val="48"/>
        </w:rPr>
        <w:br w:type="page"/>
      </w:r>
      <w:r>
        <w:rPr>
          <w:rFonts w:hint="eastAsia"/>
          <w:b/>
          <w:color w:val="000000"/>
          <w:sz w:val="32"/>
          <w:szCs w:val="32"/>
        </w:rPr>
        <w:t>顶击式振筛机</w:t>
      </w:r>
      <w:r>
        <w:rPr>
          <w:rFonts w:hint="eastAsia"/>
          <w:b/>
          <w:sz w:val="32"/>
          <w:szCs w:val="32"/>
        </w:rPr>
        <w:t>校准规范</w:t>
      </w: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试验报告</w:t>
      </w:r>
    </w:p>
    <w:p>
      <w:pPr>
        <w:spacing w:line="360" w:lineRule="auto"/>
        <w:outlineLvl w:val="0"/>
        <w:rPr>
          <w:rFonts w:ascii="黑体" w:hAnsi="黑体" w:eastAsia="黑体"/>
          <w:sz w:val="28"/>
          <w:szCs w:val="28"/>
        </w:rPr>
      </w:pPr>
      <w:bookmarkStart w:id="0" w:name="_Toc70618283"/>
      <w:bookmarkStart w:id="1" w:name="_Toc70618213"/>
      <w:r>
        <w:rPr>
          <w:rFonts w:hint="eastAsia" w:ascii="黑体" w:hAnsi="黑体" w:eastAsia="黑体"/>
          <w:sz w:val="28"/>
          <w:szCs w:val="28"/>
        </w:rPr>
        <w:t>1. 试验目的</w:t>
      </w:r>
      <w:bookmarkEnd w:id="0"/>
      <w:bookmarkEnd w:id="1"/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在校准规范中规定的条件下，按规定的校准项目和方法对</w:t>
      </w:r>
      <w:bookmarkStart w:id="2" w:name="OLE_LINK1"/>
      <w:r>
        <w:rPr>
          <w:rFonts w:hint="eastAsia"/>
          <w:b w:val="0"/>
          <w:bCs/>
          <w:color w:val="000000"/>
          <w:sz w:val="24"/>
          <w:szCs w:val="24"/>
        </w:rPr>
        <w:t>顶击式振筛机</w:t>
      </w:r>
      <w:bookmarkEnd w:id="2"/>
      <w:r>
        <w:rPr>
          <w:rFonts w:hint="eastAsia"/>
          <w:sz w:val="24"/>
          <w:szCs w:val="24"/>
        </w:rPr>
        <w:t>的计量性能和通用技术要求进行检测，通过对试验数据的分析计算，验证规程中相关技术参数的合理性。</w:t>
      </w:r>
    </w:p>
    <w:p>
      <w:pPr>
        <w:spacing w:line="360" w:lineRule="auto"/>
        <w:outlineLvl w:val="0"/>
        <w:rPr>
          <w:rFonts w:ascii="黑体" w:hAnsi="黑体" w:eastAsia="黑体"/>
          <w:sz w:val="28"/>
          <w:szCs w:val="28"/>
        </w:rPr>
      </w:pPr>
      <w:bookmarkStart w:id="3" w:name="_Toc70618284"/>
      <w:bookmarkStart w:id="4" w:name="_Toc70618214"/>
      <w:r>
        <w:rPr>
          <w:rFonts w:hint="eastAsia" w:ascii="黑体" w:hAnsi="黑体" w:eastAsia="黑体"/>
          <w:sz w:val="28"/>
          <w:szCs w:val="28"/>
        </w:rPr>
        <w:t>2. 试验项目</w:t>
      </w:r>
      <w:bookmarkEnd w:id="3"/>
      <w:bookmarkEnd w:id="4"/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试验项目包括：</w:t>
      </w:r>
      <w:r>
        <w:rPr>
          <w:rFonts w:hint="eastAsia" w:ascii="宋体" w:hAnsi="宋体" w:cs="宋体"/>
          <w:spacing w:val="-9"/>
          <w:sz w:val="24"/>
        </w:rPr>
        <w:t>横向摇动速率</w:t>
      </w:r>
      <w:r>
        <w:rPr>
          <w:rFonts w:hint="eastAsia"/>
          <w:sz w:val="24"/>
          <w:szCs w:val="24"/>
        </w:rPr>
        <w:t>、</w:t>
      </w:r>
      <w:r>
        <w:rPr>
          <w:rFonts w:hint="eastAsia" w:ascii="宋体" w:hAnsi="宋体" w:cs="宋体"/>
          <w:spacing w:val="-9"/>
          <w:sz w:val="24"/>
        </w:rPr>
        <w:t>垂直振动速率</w:t>
      </w:r>
      <w:r>
        <w:rPr>
          <w:rFonts w:hint="eastAsia"/>
          <w:sz w:val="24"/>
          <w:szCs w:val="24"/>
        </w:rPr>
        <w:t>、</w:t>
      </w:r>
      <w:r>
        <w:rPr>
          <w:rFonts w:hint="eastAsia" w:ascii="宋体" w:hAnsi="宋体" w:cs="宋体"/>
          <w:spacing w:val="-9"/>
          <w:sz w:val="24"/>
        </w:rPr>
        <w:t>回转半径</w:t>
      </w:r>
      <w:r>
        <w:rPr>
          <w:rFonts w:hint="eastAsia" w:ascii="宋体" w:hAnsi="宋体" w:cs="宋体"/>
          <w:spacing w:val="-9"/>
          <w:sz w:val="24"/>
          <w:lang w:eastAsia="zh-CN"/>
        </w:rPr>
        <w:t>、</w:t>
      </w:r>
      <w:r>
        <w:rPr>
          <w:rFonts w:hint="eastAsia" w:ascii="宋体" w:hAnsi="宋体" w:cs="宋体"/>
          <w:spacing w:val="-9"/>
          <w:sz w:val="24"/>
        </w:rPr>
        <w:t>振幅误差</w:t>
      </w:r>
      <w:r>
        <w:rPr>
          <w:rFonts w:hint="eastAsia" w:ascii="宋体" w:hAnsi="宋体" w:cs="宋体"/>
          <w:spacing w:val="-9"/>
          <w:sz w:val="24"/>
          <w:lang w:eastAsia="zh-CN"/>
        </w:rPr>
        <w:t>、</w:t>
      </w:r>
      <w:r>
        <w:rPr>
          <w:rFonts w:hint="eastAsia" w:ascii="宋体" w:hAnsi="宋体" w:cs="宋体"/>
          <w:spacing w:val="-6"/>
          <w:sz w:val="24"/>
        </w:rPr>
        <w:t>摇振时间误差</w:t>
      </w:r>
      <w:r>
        <w:rPr>
          <w:rFonts w:hint="eastAsia"/>
          <w:sz w:val="24"/>
          <w:szCs w:val="24"/>
        </w:rPr>
        <w:t>等。</w:t>
      </w:r>
    </w:p>
    <w:p>
      <w:pPr>
        <w:spacing w:line="360" w:lineRule="auto"/>
        <w:outlineLvl w:val="0"/>
        <w:rPr>
          <w:rFonts w:ascii="黑体" w:hAnsi="黑体" w:eastAsia="黑体"/>
          <w:sz w:val="28"/>
          <w:szCs w:val="28"/>
        </w:rPr>
      </w:pPr>
      <w:bookmarkStart w:id="5" w:name="_Toc70618215"/>
      <w:bookmarkStart w:id="6" w:name="_Toc70618285"/>
      <w:r>
        <w:rPr>
          <w:rFonts w:hint="eastAsia" w:ascii="黑体" w:hAnsi="黑体" w:eastAsia="黑体"/>
          <w:sz w:val="28"/>
          <w:szCs w:val="28"/>
        </w:rPr>
        <w:t>3. 试验条件及环境要求</w:t>
      </w:r>
      <w:bookmarkEnd w:id="5"/>
      <w:bookmarkEnd w:id="6"/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bookmarkStart w:id="7" w:name="_Toc70618216"/>
      <w:bookmarkStart w:id="8" w:name="_Toc70618286"/>
      <w:r>
        <w:rPr>
          <w:rFonts w:hint="eastAsia"/>
          <w:sz w:val="24"/>
          <w:szCs w:val="24"/>
        </w:rPr>
        <w:t xml:space="preserve">    温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度：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bidi="ar"/>
        </w:rPr>
        <w:t>30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℃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pacing w:val="-5"/>
          <w:sz w:val="24"/>
        </w:rPr>
      </w:pPr>
      <w:r>
        <w:rPr>
          <w:rFonts w:hint="eastAsia" w:ascii="宋体" w:hAnsi="宋体" w:eastAsia="宋体" w:cs="宋体"/>
          <w:sz w:val="24"/>
          <w:szCs w:val="24"/>
        </w:rPr>
        <w:t>湿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度：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bidi="ar"/>
        </w:rPr>
        <w:t>74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bidi="ar"/>
        </w:rPr>
        <w:t>%RH</w:t>
      </w:r>
    </w:p>
    <w:p>
      <w:pPr>
        <w:spacing w:line="360" w:lineRule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4. 试验地点</w:t>
      </w:r>
      <w:bookmarkEnd w:id="7"/>
      <w:bookmarkEnd w:id="8"/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>
        <w:rPr>
          <w:rFonts w:hint="eastAsia" w:ascii="Arial" w:hAnsi="Arial" w:cs="Arial"/>
          <w:color w:val="000000"/>
          <w:sz w:val="24"/>
          <w:szCs w:val="24"/>
        </w:rPr>
        <w:t>北海市海城区龙潭路上村北海市祥泰建设工程质量检测有限公司</w:t>
      </w:r>
      <w:r>
        <w:rPr>
          <w:rFonts w:hint="eastAsia"/>
          <w:sz w:val="24"/>
          <w:szCs w:val="24"/>
        </w:rPr>
        <w:t>。</w:t>
      </w:r>
    </w:p>
    <w:p>
      <w:pPr>
        <w:spacing w:line="360" w:lineRule="auto"/>
        <w:outlineLvl w:val="0"/>
        <w:rPr>
          <w:rFonts w:ascii="黑体" w:hAnsi="黑体" w:eastAsia="黑体"/>
          <w:sz w:val="28"/>
          <w:szCs w:val="28"/>
        </w:rPr>
      </w:pPr>
      <w:bookmarkStart w:id="9" w:name="_Toc70618287"/>
      <w:bookmarkStart w:id="10" w:name="_Toc70618217"/>
      <w:r>
        <w:rPr>
          <w:rFonts w:hint="eastAsia" w:ascii="黑体" w:hAnsi="黑体" w:eastAsia="黑体"/>
          <w:sz w:val="28"/>
          <w:szCs w:val="28"/>
        </w:rPr>
        <w:t>5. 试验设备</w:t>
      </w:r>
      <w:bookmarkEnd w:id="9"/>
      <w:bookmarkEnd w:id="10"/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试验用计量标准器及主要技术指标见表1</w:t>
      </w:r>
    </w:p>
    <w:p>
      <w:pPr>
        <w:spacing w:line="360" w:lineRule="auto"/>
        <w:jc w:val="center"/>
        <w:rPr>
          <w:szCs w:val="21"/>
        </w:rPr>
      </w:pPr>
      <w:r>
        <w:rPr>
          <w:rFonts w:hint="eastAsia"/>
          <w:szCs w:val="21"/>
        </w:rPr>
        <w:t>表1   试验用设备一览表</w:t>
      </w:r>
    </w:p>
    <w:tbl>
      <w:tblPr>
        <w:tblStyle w:val="9"/>
        <w:tblW w:w="8550" w:type="dxa"/>
        <w:jc w:val="center"/>
        <w:tblInd w:w="-29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1"/>
        <w:gridCol w:w="1943"/>
        <w:gridCol w:w="2326"/>
        <w:gridCol w:w="245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1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标准器名称</w:t>
            </w:r>
          </w:p>
        </w:tc>
        <w:tc>
          <w:tcPr>
            <w:tcW w:w="1943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型号规格</w:t>
            </w:r>
          </w:p>
        </w:tc>
        <w:tc>
          <w:tcPr>
            <w:tcW w:w="2326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测量范围</w:t>
            </w:r>
          </w:p>
        </w:tc>
        <w:tc>
          <w:tcPr>
            <w:tcW w:w="245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不确定度或准确度</w:t>
            </w:r>
          </w:p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等级或最大允许误差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1831" w:type="dxa"/>
            <w:vAlign w:val="center"/>
          </w:tcPr>
          <w:p>
            <w:pPr>
              <w:spacing w:before="19" w:line="480" w:lineRule="exact"/>
              <w:ind w:left="3" w:leftChars="0"/>
              <w:jc w:val="center"/>
              <w:outlineLvl w:val="0"/>
              <w:rPr>
                <w:szCs w:val="21"/>
              </w:rPr>
            </w:pPr>
            <w:r>
              <w:rPr>
                <w:rFonts w:hint="eastAsia" w:ascii="宋体" w:hAnsi="宋体" w:cs="宋体"/>
                <w:bCs/>
                <w:spacing w:val="-9"/>
                <w:szCs w:val="21"/>
              </w:rPr>
              <w:t>水泥软练测量仪</w:t>
            </w:r>
          </w:p>
        </w:tc>
        <w:tc>
          <w:tcPr>
            <w:tcW w:w="1943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SZC-IV-JZ-10</w:t>
            </w:r>
          </w:p>
        </w:tc>
        <w:tc>
          <w:tcPr>
            <w:tcW w:w="2326" w:type="dxa"/>
            <w:vAlign w:val="center"/>
          </w:tcPr>
          <w:p>
            <w:pPr>
              <w:pStyle w:val="15"/>
              <w:jc w:val="center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/>
              </w:rPr>
              <w:t>（60～900）r/m</w:t>
            </w:r>
          </w:p>
        </w:tc>
        <w:tc>
          <w:tcPr>
            <w:tcW w:w="2450" w:type="dxa"/>
            <w:vAlign w:val="center"/>
          </w:tcPr>
          <w:p>
            <w:pPr>
              <w:pStyle w:val="15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  <w:t>0.5级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  <w:jc w:val="center"/>
        </w:trPr>
        <w:tc>
          <w:tcPr>
            <w:tcW w:w="1831" w:type="dxa"/>
            <w:vAlign w:val="center"/>
          </w:tcPr>
          <w:p>
            <w:pPr>
              <w:spacing w:before="19" w:line="480" w:lineRule="exact"/>
              <w:ind w:left="3" w:leftChars="0"/>
              <w:jc w:val="center"/>
              <w:outlineLvl w:val="0"/>
              <w:rPr>
                <w:szCs w:val="21"/>
              </w:rPr>
            </w:pPr>
            <w:r>
              <w:rPr>
                <w:rFonts w:hint="eastAsia" w:ascii="宋体" w:hAnsi="宋体" w:cs="宋体"/>
                <w:bCs/>
                <w:spacing w:val="-9"/>
                <w:szCs w:val="21"/>
              </w:rPr>
              <w:t>百分表</w:t>
            </w:r>
          </w:p>
        </w:tc>
        <w:tc>
          <w:tcPr>
            <w:tcW w:w="1943" w:type="dxa"/>
            <w:vAlign w:val="center"/>
          </w:tcPr>
          <w:p>
            <w:pPr>
              <w:spacing w:line="320" w:lineRule="exact"/>
              <w:ind w:firstLine="315" w:firstLineChars="150"/>
              <w:jc w:val="center"/>
              <w:rPr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0-30mm</w:t>
            </w:r>
          </w:p>
        </w:tc>
        <w:tc>
          <w:tcPr>
            <w:tcW w:w="2326" w:type="dxa"/>
            <w:vAlign w:val="center"/>
          </w:tcPr>
          <w:p>
            <w:pPr>
              <w:pStyle w:val="15"/>
              <w:jc w:val="center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  <w:t>0～30mm</w:t>
            </w:r>
          </w:p>
        </w:tc>
        <w:tc>
          <w:tcPr>
            <w:tcW w:w="2450" w:type="dxa"/>
            <w:vAlign w:val="center"/>
          </w:tcPr>
          <w:p>
            <w:pPr>
              <w:pStyle w:val="15"/>
              <w:jc w:val="center"/>
              <w:rPr>
                <w:rFonts w:hAnsi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  <w:t>±0.03mm</w:t>
            </w:r>
          </w:p>
        </w:tc>
      </w:tr>
    </w:tbl>
    <w:p>
      <w:pPr>
        <w:spacing w:line="360" w:lineRule="auto"/>
        <w:outlineLvl w:val="0"/>
        <w:rPr>
          <w:rFonts w:ascii="黑体" w:hAnsi="黑体" w:eastAsia="黑体"/>
          <w:sz w:val="28"/>
          <w:szCs w:val="28"/>
        </w:rPr>
      </w:pPr>
      <w:bookmarkStart w:id="11" w:name="_Toc70618288"/>
      <w:bookmarkStart w:id="12" w:name="_Toc70618218"/>
      <w:r>
        <w:rPr>
          <w:rFonts w:hint="eastAsia" w:ascii="黑体" w:hAnsi="黑体" w:eastAsia="黑体"/>
          <w:sz w:val="28"/>
          <w:szCs w:val="28"/>
        </w:rPr>
        <w:t>6. 试验数据</w:t>
      </w:r>
      <w:bookmarkEnd w:id="11"/>
      <w:bookmarkEnd w:id="12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选择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</w:rPr>
        <w:t>台典型的计量器具进行试验数据验证。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计量器具名称：</w:t>
      </w:r>
      <w:r>
        <w:rPr>
          <w:rFonts w:hint="eastAsia"/>
          <w:sz w:val="24"/>
          <w:szCs w:val="24"/>
          <w:u w:val="single"/>
        </w:rPr>
        <w:t xml:space="preserve">    </w:t>
      </w:r>
      <w:r>
        <w:rPr>
          <w:rFonts w:hint="eastAsia" w:ascii="Arial" w:hAnsi="Arial" w:cs="Arial"/>
          <w:color w:val="000000"/>
          <w:sz w:val="24"/>
          <w:szCs w:val="24"/>
          <w:u w:val="single"/>
        </w:rPr>
        <w:t>震击式标准振筛机</w:t>
      </w:r>
      <w:r>
        <w:rPr>
          <w:rFonts w:hint="eastAsia"/>
          <w:sz w:val="24"/>
          <w:szCs w:val="24"/>
          <w:u w:val="single"/>
        </w:rPr>
        <w:t xml:space="preserve">  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/>
          <w:sz w:val="24"/>
          <w:szCs w:val="24"/>
          <w:u w:val="single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480" w:firstLineChars="200"/>
        <w:jc w:val="both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试验依据：</w:t>
      </w:r>
      <w:r>
        <w:rPr>
          <w:rFonts w:hint="eastAsia"/>
          <w:sz w:val="24"/>
          <w:szCs w:val="24"/>
          <w:u w:val="single"/>
        </w:rPr>
        <w:t>JJF（桂）XXX——2025《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</w:rPr>
        <w:t>顶击式振筛机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  <w:t>校准规范</w:t>
      </w:r>
      <w:r>
        <w:rPr>
          <w:rFonts w:hint="eastAsia"/>
          <w:sz w:val="24"/>
          <w:szCs w:val="24"/>
          <w:u w:val="single"/>
        </w:rPr>
        <w:t>》（征求意见稿）</w:t>
      </w:r>
      <w:r>
        <w:rPr>
          <w:rFonts w:hint="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textAlignment w:val="auto"/>
        <w:outlineLvl w:val="1"/>
        <w:rPr>
          <w:rFonts w:hint="eastAsia" w:ascii="黑体" w:hAnsi="黑体" w:eastAsia="黑体" w:cs="黑体"/>
          <w:sz w:val="28"/>
          <w:szCs w:val="28"/>
          <w:u w:val="none"/>
          <w:lang w:eastAsia="zh-CN"/>
        </w:rPr>
      </w:pPr>
      <w:bookmarkStart w:id="13" w:name="_Toc70618219"/>
      <w:bookmarkStart w:id="14" w:name="_Toc70618289"/>
      <w:r>
        <w:rPr>
          <w:rFonts w:hint="eastAsia" w:ascii="黑体" w:hAnsi="黑体" w:eastAsia="黑体" w:cs="黑体"/>
          <w:sz w:val="28"/>
          <w:szCs w:val="28"/>
        </w:rPr>
        <w:t>6.1试验</w:t>
      </w:r>
      <w:bookmarkEnd w:id="13"/>
      <w:bookmarkEnd w:id="14"/>
      <w:r>
        <w:rPr>
          <w:rFonts w:hint="eastAsia" w:ascii="黑体" w:hAnsi="黑体" w:eastAsia="黑体" w:cs="黑体"/>
          <w:sz w:val="28"/>
          <w:szCs w:val="28"/>
          <w:lang w:eastAsia="zh-CN"/>
        </w:rPr>
        <w:t>对象（</w:t>
      </w:r>
      <w:r>
        <w:rPr>
          <w:rFonts w:hint="eastAsia" w:ascii="Arial" w:hAnsi="Arial" w:cs="Arial"/>
          <w:color w:val="000000"/>
          <w:sz w:val="24"/>
          <w:szCs w:val="24"/>
          <w:u w:val="none"/>
        </w:rPr>
        <w:t>震击式标准振筛</w:t>
      </w:r>
      <w:r>
        <w:rPr>
          <w:rFonts w:hint="eastAsia" w:ascii="Arial" w:hAnsi="Arial" w:cs="Arial"/>
          <w:color w:val="000000"/>
          <w:sz w:val="24"/>
          <w:szCs w:val="24"/>
          <w:u w:val="none"/>
          <w:lang w:eastAsia="zh-CN"/>
        </w:rPr>
        <w:t>机）</w:t>
      </w:r>
      <w:r>
        <w:rPr>
          <w:rFonts w:hint="eastAsia"/>
          <w:sz w:val="24"/>
          <w:szCs w:val="24"/>
          <w:u w:val="none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35"/>
        <w:textAlignment w:val="auto"/>
        <w:outlineLvl w:val="9"/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计量器具型号：</w:t>
      </w:r>
      <w:r>
        <w:rPr>
          <w:rFonts w:hint="eastAsia"/>
          <w:sz w:val="24"/>
          <w:szCs w:val="24"/>
          <w:u w:val="single"/>
        </w:rPr>
        <w:t xml:space="preserve">   </w:t>
      </w:r>
      <w:r>
        <w:rPr>
          <w:rFonts w:hint="eastAsia" w:ascii="Arial" w:hAnsi="Arial" w:cs="Arial"/>
          <w:color w:val="000000"/>
          <w:sz w:val="20"/>
          <w:szCs w:val="20"/>
          <w:u w:val="single"/>
        </w:rPr>
        <w:t>ZBSX-92A</w:t>
      </w:r>
      <w:r>
        <w:rPr>
          <w:rFonts w:hint="eastAsia"/>
          <w:sz w:val="24"/>
          <w:szCs w:val="24"/>
          <w:u w:val="single"/>
        </w:rPr>
        <w:t xml:space="preserve">   </w:t>
      </w:r>
      <w:r>
        <w:rPr>
          <w:rFonts w:hint="eastAsia"/>
          <w:sz w:val="24"/>
          <w:szCs w:val="24"/>
        </w:rPr>
        <w:t>编号：</w:t>
      </w:r>
      <w:r>
        <w:rPr>
          <w:rFonts w:hint="eastAsia" w:ascii="Arial" w:hAnsi="Arial" w:cs="Arial"/>
          <w:color w:val="000000"/>
          <w:sz w:val="20"/>
          <w:szCs w:val="20"/>
          <w:u w:val="single"/>
          <w:lang w:val="en-US" w:eastAsia="zh-CN"/>
        </w:rPr>
        <w:t xml:space="preserve">         </w:t>
      </w:r>
      <w:r>
        <w:rPr>
          <w:rFonts w:hint="eastAsia" w:ascii="Arial" w:hAnsi="Arial" w:cs="Arial"/>
          <w:color w:val="000000"/>
          <w:sz w:val="20"/>
          <w:szCs w:val="20"/>
          <w:u w:val="single"/>
        </w:rPr>
        <w:t>28249</w:t>
      </w:r>
      <w:r>
        <w:rPr>
          <w:rFonts w:hint="eastAsia" w:ascii="Arial" w:hAnsi="Arial" w:cs="Arial"/>
          <w:color w:val="000000"/>
          <w:sz w:val="20"/>
          <w:szCs w:val="20"/>
          <w:u w:val="single"/>
          <w:lang w:val="en-US" w:eastAsia="zh-CN"/>
        </w:rPr>
        <w:t xml:space="preserve">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35"/>
        <w:textAlignment w:val="auto"/>
        <w:outlineLvl w:val="9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制造厂：</w:t>
      </w:r>
      <w:r>
        <w:rPr>
          <w:rFonts w:hint="eastAsia" w:ascii="Arial" w:hAnsi="Arial" w:cs="Arial"/>
          <w:color w:val="000000"/>
          <w:sz w:val="24"/>
          <w:szCs w:val="24"/>
          <w:u w:val="single"/>
        </w:rPr>
        <w:t>绍兴市上虞鼎鑫测试仪器厂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/>
        <w:textAlignment w:val="auto"/>
        <w:outlineLvl w:val="9"/>
        <w:rPr>
          <w:rFonts w:hint="eastAsia"/>
          <w:szCs w:val="21"/>
        </w:rPr>
      </w:pPr>
      <w:r>
        <w:rPr>
          <w:rFonts w:hint="eastAsia"/>
          <w:sz w:val="24"/>
          <w:szCs w:val="24"/>
        </w:rPr>
        <w:t>验证地点：</w:t>
      </w:r>
      <w:r>
        <w:rPr>
          <w:rFonts w:hint="eastAsia" w:ascii="Arial" w:hAnsi="Arial" w:cs="Arial"/>
          <w:color w:val="000000"/>
          <w:sz w:val="24"/>
          <w:szCs w:val="24"/>
          <w:u w:val="single"/>
        </w:rPr>
        <w:t>北海市祥泰建设工程质量检测有限公司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</w:t>
      </w:r>
      <w:r>
        <w:rPr>
          <w:rFonts w:hint="eastAsia"/>
          <w:sz w:val="24"/>
          <w:szCs w:val="24"/>
        </w:rPr>
        <w:t>试验结果见表2</w:t>
      </w:r>
      <w:r>
        <w:rPr>
          <w:rFonts w:hint="eastAsia"/>
          <w:szCs w:val="21"/>
        </w:rPr>
        <w:t>：</w:t>
      </w:r>
    </w:p>
    <w:tbl>
      <w:tblPr>
        <w:tblStyle w:val="8"/>
        <w:tblpPr w:leftFromText="180" w:rightFromText="180" w:vertAnchor="text" w:horzAnchor="page" w:tblpXSpec="center" w:tblpY="741"/>
        <w:tblOverlap w:val="never"/>
        <w:tblW w:w="955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6"/>
        <w:gridCol w:w="1131"/>
        <w:gridCol w:w="1417"/>
        <w:gridCol w:w="134"/>
        <w:gridCol w:w="1080"/>
        <w:gridCol w:w="885"/>
        <w:gridCol w:w="1305"/>
        <w:gridCol w:w="18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716" w:type="dxa"/>
            <w:vMerge w:val="restart"/>
            <w:vAlign w:val="center"/>
          </w:tcPr>
          <w:p>
            <w:pPr>
              <w:pStyle w:val="15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  <w:t>校准项目</w:t>
            </w:r>
          </w:p>
        </w:tc>
        <w:tc>
          <w:tcPr>
            <w:tcW w:w="5952" w:type="dxa"/>
            <w:gridSpan w:val="6"/>
            <w:vAlign w:val="top"/>
          </w:tcPr>
          <w:p>
            <w:pPr>
              <w:pStyle w:val="15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  <w:t>校准结果</w:t>
            </w:r>
          </w:p>
        </w:tc>
        <w:tc>
          <w:tcPr>
            <w:tcW w:w="1890" w:type="dxa"/>
            <w:vMerge w:val="restart"/>
            <w:vAlign w:val="center"/>
          </w:tcPr>
          <w:p>
            <w:pPr>
              <w:pStyle w:val="15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  <w:t>测量不确定度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1716" w:type="dxa"/>
            <w:vMerge w:val="continue"/>
            <w:vAlign w:val="center"/>
          </w:tcPr>
          <w:p>
            <w:pPr>
              <w:pStyle w:val="15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131" w:type="dxa"/>
            <w:vAlign w:val="top"/>
          </w:tcPr>
          <w:p>
            <w:pPr>
              <w:pStyle w:val="15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551" w:type="dxa"/>
            <w:gridSpan w:val="2"/>
            <w:vAlign w:val="top"/>
          </w:tcPr>
          <w:p>
            <w:pPr>
              <w:pStyle w:val="15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965" w:type="dxa"/>
            <w:gridSpan w:val="2"/>
            <w:vAlign w:val="top"/>
          </w:tcPr>
          <w:p>
            <w:pPr>
              <w:pStyle w:val="15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305" w:type="dxa"/>
            <w:vAlign w:val="top"/>
          </w:tcPr>
          <w:p>
            <w:pPr>
              <w:pStyle w:val="15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  <w:t>平均值</w:t>
            </w:r>
          </w:p>
        </w:tc>
        <w:tc>
          <w:tcPr>
            <w:tcW w:w="1890" w:type="dxa"/>
            <w:vMerge w:val="continue"/>
            <w:vAlign w:val="top"/>
          </w:tcPr>
          <w:p>
            <w:pPr>
              <w:pStyle w:val="15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16" w:type="dxa"/>
            <w:vAlign w:val="center"/>
          </w:tcPr>
          <w:p>
            <w:pPr>
              <w:spacing w:before="19" w:line="480" w:lineRule="exact"/>
              <w:ind w:left="3"/>
              <w:jc w:val="center"/>
              <w:outlineLvl w:val="0"/>
              <w:rPr>
                <w:rFonts w:hint="eastAsia" w:ascii="宋体" w:hAnsi="宋体" w:cs="宋体"/>
                <w:bCs/>
                <w:spacing w:val="-9"/>
                <w:szCs w:val="21"/>
              </w:rPr>
            </w:pPr>
            <w:r>
              <w:rPr>
                <w:rFonts w:hint="eastAsia" w:ascii="宋体" w:hAnsi="宋体" w:cs="宋体"/>
                <w:bCs/>
                <w:spacing w:val="-9"/>
                <w:szCs w:val="21"/>
              </w:rPr>
              <w:t>横向摇动速率</w:t>
            </w:r>
          </w:p>
        </w:tc>
        <w:tc>
          <w:tcPr>
            <w:tcW w:w="1131" w:type="dxa"/>
            <w:vAlign w:val="center"/>
          </w:tcPr>
          <w:p>
            <w:pPr>
              <w:pStyle w:val="15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  <w:t>229</w:t>
            </w:r>
          </w:p>
        </w:tc>
        <w:tc>
          <w:tcPr>
            <w:tcW w:w="1551" w:type="dxa"/>
            <w:gridSpan w:val="2"/>
            <w:vAlign w:val="center"/>
          </w:tcPr>
          <w:p>
            <w:pPr>
              <w:pStyle w:val="15"/>
              <w:ind w:firstLine="315" w:firstLineChars="15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  <w:t>231</w:t>
            </w:r>
          </w:p>
        </w:tc>
        <w:tc>
          <w:tcPr>
            <w:tcW w:w="1965" w:type="dxa"/>
            <w:gridSpan w:val="2"/>
            <w:vAlign w:val="center"/>
          </w:tcPr>
          <w:p>
            <w:pPr>
              <w:pStyle w:val="15"/>
              <w:ind w:firstLine="630" w:firstLineChars="3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  <w:t>226</w:t>
            </w:r>
          </w:p>
        </w:tc>
        <w:tc>
          <w:tcPr>
            <w:tcW w:w="1305" w:type="dxa"/>
            <w:vAlign w:val="center"/>
          </w:tcPr>
          <w:p>
            <w:pPr>
              <w:pStyle w:val="15"/>
              <w:ind w:firstLine="420" w:firstLineChars="2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  <w:t>229</w:t>
            </w:r>
          </w:p>
        </w:tc>
        <w:tc>
          <w:tcPr>
            <w:tcW w:w="1890" w:type="dxa"/>
            <w:vAlign w:val="top"/>
          </w:tcPr>
          <w:p>
            <w:pPr>
              <w:pStyle w:val="15"/>
              <w:rPr>
                <w:rFonts w:hint="eastAsia" w:ascii="宋体" w:hAnsi="宋体" w:eastAsia="宋体" w:cs="宋体"/>
                <w:i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/>
                <w:kern w:val="2"/>
                <w:sz w:val="21"/>
                <w:szCs w:val="21"/>
                <w:lang w:val="en-US" w:eastAsia="zh-CN"/>
              </w:rPr>
              <w:t>U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  <w:t>=1.4次/min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1716" w:type="dxa"/>
            <w:vAlign w:val="center"/>
          </w:tcPr>
          <w:p>
            <w:pPr>
              <w:spacing w:before="75" w:line="480" w:lineRule="exact"/>
              <w:jc w:val="center"/>
              <w:rPr>
                <w:rFonts w:hint="eastAsia" w:ascii="宋体" w:hAnsi="宋体" w:cs="宋体"/>
                <w:bCs/>
                <w:spacing w:val="-9"/>
                <w:szCs w:val="21"/>
              </w:rPr>
            </w:pPr>
            <w:r>
              <w:rPr>
                <w:rFonts w:hint="eastAsia" w:ascii="宋体" w:hAnsi="宋体" w:cs="宋体"/>
                <w:bCs/>
                <w:spacing w:val="-9"/>
                <w:szCs w:val="21"/>
              </w:rPr>
              <w:t>垂直振动速率</w:t>
            </w:r>
          </w:p>
        </w:tc>
        <w:tc>
          <w:tcPr>
            <w:tcW w:w="1131" w:type="dxa"/>
            <w:vAlign w:val="center"/>
          </w:tcPr>
          <w:p>
            <w:pPr>
              <w:pStyle w:val="15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  <w:t>157</w:t>
            </w:r>
          </w:p>
        </w:tc>
        <w:tc>
          <w:tcPr>
            <w:tcW w:w="1551" w:type="dxa"/>
            <w:gridSpan w:val="2"/>
            <w:vAlign w:val="center"/>
          </w:tcPr>
          <w:p>
            <w:pPr>
              <w:pStyle w:val="15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  <w:t>153</w:t>
            </w:r>
          </w:p>
        </w:tc>
        <w:tc>
          <w:tcPr>
            <w:tcW w:w="1965" w:type="dxa"/>
            <w:gridSpan w:val="2"/>
            <w:vAlign w:val="center"/>
          </w:tcPr>
          <w:p>
            <w:pPr>
              <w:pStyle w:val="15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  <w:t>155</w:t>
            </w:r>
          </w:p>
        </w:tc>
        <w:tc>
          <w:tcPr>
            <w:tcW w:w="1305" w:type="dxa"/>
            <w:vAlign w:val="center"/>
          </w:tcPr>
          <w:p>
            <w:pPr>
              <w:pStyle w:val="15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  <w:t>155</w:t>
            </w:r>
          </w:p>
        </w:tc>
        <w:tc>
          <w:tcPr>
            <w:tcW w:w="1890" w:type="dxa"/>
            <w:vAlign w:val="top"/>
          </w:tcPr>
          <w:p>
            <w:pPr>
              <w:pStyle w:val="15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/>
                <w:kern w:val="2"/>
                <w:sz w:val="21"/>
                <w:szCs w:val="21"/>
                <w:lang w:val="en-US" w:eastAsia="zh-CN"/>
              </w:rPr>
              <w:t>U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  <w:t>=1.6次/min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1716" w:type="dxa"/>
            <w:vMerge w:val="restart"/>
            <w:vAlign w:val="center"/>
          </w:tcPr>
          <w:p>
            <w:pPr>
              <w:spacing w:before="19" w:line="480" w:lineRule="exact"/>
              <w:ind w:left="3"/>
              <w:jc w:val="center"/>
              <w:outlineLvl w:val="0"/>
              <w:rPr>
                <w:rFonts w:hint="eastAsia" w:ascii="宋体" w:hAnsi="宋体" w:cs="宋体"/>
                <w:bCs/>
                <w:spacing w:val="-9"/>
                <w:szCs w:val="21"/>
              </w:rPr>
            </w:pPr>
            <w:r>
              <w:rPr>
                <w:rFonts w:hint="eastAsia" w:ascii="宋体" w:hAnsi="宋体" w:cs="宋体"/>
                <w:bCs/>
                <w:spacing w:val="-9"/>
                <w:szCs w:val="21"/>
              </w:rPr>
              <w:t>回转半径</w:t>
            </w:r>
          </w:p>
        </w:tc>
        <w:tc>
          <w:tcPr>
            <w:tcW w:w="1131" w:type="dxa"/>
            <w:vAlign w:val="center"/>
          </w:tcPr>
          <w:p>
            <w:pPr>
              <w:pStyle w:val="15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  <w:t>次 数</w:t>
            </w:r>
          </w:p>
        </w:tc>
        <w:tc>
          <w:tcPr>
            <w:tcW w:w="1551" w:type="dxa"/>
            <w:gridSpan w:val="2"/>
            <w:vAlign w:val="center"/>
          </w:tcPr>
          <w:p>
            <w:pPr>
              <w:pStyle w:val="15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080" w:type="dxa"/>
            <w:vAlign w:val="center"/>
          </w:tcPr>
          <w:p>
            <w:pPr>
              <w:pStyle w:val="15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5" w:type="dxa"/>
            <w:vAlign w:val="center"/>
          </w:tcPr>
          <w:p>
            <w:pPr>
              <w:pStyle w:val="15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305" w:type="dxa"/>
            <w:vAlign w:val="center"/>
          </w:tcPr>
          <w:p>
            <w:pPr>
              <w:pStyle w:val="15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9"/>
                <w:kern w:val="2"/>
                <w:sz w:val="21"/>
                <w:szCs w:val="21"/>
                <w:lang w:val="en-US" w:eastAsia="zh-CN"/>
              </w:rPr>
              <w:t>回转半径</w:t>
            </w:r>
          </w:p>
        </w:tc>
        <w:tc>
          <w:tcPr>
            <w:tcW w:w="1890" w:type="dxa"/>
            <w:vMerge w:val="restart"/>
            <w:vAlign w:val="center"/>
          </w:tcPr>
          <w:p>
            <w:pPr>
              <w:pStyle w:val="15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/>
                <w:sz w:val="21"/>
                <w:szCs w:val="21"/>
              </w:rPr>
              <w:t>U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=0.056 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716" w:type="dxa"/>
            <w:vMerge w:val="continue"/>
            <w:vAlign w:val="center"/>
          </w:tcPr>
          <w:p>
            <w:pPr>
              <w:spacing w:before="19" w:line="480" w:lineRule="exact"/>
              <w:ind w:left="3"/>
              <w:jc w:val="center"/>
              <w:outlineLvl w:val="0"/>
              <w:rPr>
                <w:rFonts w:hint="eastAsia" w:ascii="宋体" w:hAnsi="宋体" w:cs="宋体"/>
                <w:bCs/>
                <w:spacing w:val="-9"/>
                <w:szCs w:val="21"/>
              </w:rPr>
            </w:pPr>
          </w:p>
        </w:tc>
        <w:tc>
          <w:tcPr>
            <w:tcW w:w="1131" w:type="dxa"/>
            <w:vAlign w:val="center"/>
          </w:tcPr>
          <w:p>
            <w:pPr>
              <w:pStyle w:val="15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  <w:t>最大值</w:t>
            </w:r>
          </w:p>
        </w:tc>
        <w:tc>
          <w:tcPr>
            <w:tcW w:w="1551" w:type="dxa"/>
            <w:gridSpan w:val="2"/>
            <w:vAlign w:val="center"/>
          </w:tcPr>
          <w:p>
            <w:pPr>
              <w:pStyle w:val="15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  <w:t>13.31</w:t>
            </w:r>
          </w:p>
        </w:tc>
        <w:tc>
          <w:tcPr>
            <w:tcW w:w="1080" w:type="dxa"/>
            <w:vAlign w:val="center"/>
          </w:tcPr>
          <w:p>
            <w:pPr>
              <w:pStyle w:val="15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  <w:t>13.36</w:t>
            </w:r>
          </w:p>
        </w:tc>
        <w:tc>
          <w:tcPr>
            <w:tcW w:w="885" w:type="dxa"/>
            <w:vAlign w:val="center"/>
          </w:tcPr>
          <w:p>
            <w:pPr>
              <w:pStyle w:val="15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  <w:t>13.35</w:t>
            </w:r>
          </w:p>
        </w:tc>
        <w:tc>
          <w:tcPr>
            <w:tcW w:w="1305" w:type="dxa"/>
            <w:vMerge w:val="restart"/>
            <w:vAlign w:val="center"/>
          </w:tcPr>
          <w:p>
            <w:pPr>
              <w:pStyle w:val="15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  <w:t>12.1</w:t>
            </w:r>
          </w:p>
        </w:tc>
        <w:tc>
          <w:tcPr>
            <w:tcW w:w="1890" w:type="dxa"/>
            <w:vMerge w:val="continue"/>
            <w:vAlign w:val="center"/>
          </w:tcPr>
          <w:p>
            <w:pPr>
              <w:pStyle w:val="15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1716" w:type="dxa"/>
            <w:vMerge w:val="continue"/>
            <w:vAlign w:val="center"/>
          </w:tcPr>
          <w:p>
            <w:pPr>
              <w:spacing w:before="19" w:line="480" w:lineRule="exact"/>
              <w:ind w:left="3"/>
              <w:jc w:val="center"/>
              <w:outlineLvl w:val="0"/>
              <w:rPr>
                <w:rFonts w:hint="eastAsia" w:ascii="宋体" w:hAnsi="宋体" w:cs="宋体"/>
                <w:bCs/>
                <w:spacing w:val="-9"/>
                <w:szCs w:val="21"/>
              </w:rPr>
            </w:pPr>
          </w:p>
        </w:tc>
        <w:tc>
          <w:tcPr>
            <w:tcW w:w="1131" w:type="dxa"/>
            <w:vAlign w:val="center"/>
          </w:tcPr>
          <w:p>
            <w:pPr>
              <w:pStyle w:val="15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  <w:t>最小值</w:t>
            </w:r>
          </w:p>
        </w:tc>
        <w:tc>
          <w:tcPr>
            <w:tcW w:w="1551" w:type="dxa"/>
            <w:gridSpan w:val="2"/>
            <w:vAlign w:val="center"/>
          </w:tcPr>
          <w:p>
            <w:pPr>
              <w:pStyle w:val="15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  <w:t>1.21</w:t>
            </w:r>
          </w:p>
        </w:tc>
        <w:tc>
          <w:tcPr>
            <w:tcW w:w="1080" w:type="dxa"/>
            <w:vAlign w:val="center"/>
          </w:tcPr>
          <w:p>
            <w:pPr>
              <w:pStyle w:val="15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  <w:t>1.20</w:t>
            </w:r>
          </w:p>
        </w:tc>
        <w:tc>
          <w:tcPr>
            <w:tcW w:w="885" w:type="dxa"/>
            <w:vAlign w:val="center"/>
          </w:tcPr>
          <w:p>
            <w:pPr>
              <w:pStyle w:val="15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  <w:t>1.25</w:t>
            </w:r>
          </w:p>
        </w:tc>
        <w:tc>
          <w:tcPr>
            <w:tcW w:w="1305" w:type="dxa"/>
            <w:vMerge w:val="continue"/>
            <w:vAlign w:val="center"/>
          </w:tcPr>
          <w:p>
            <w:pPr>
              <w:pStyle w:val="15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890" w:type="dxa"/>
            <w:vMerge w:val="continue"/>
            <w:vAlign w:val="top"/>
          </w:tcPr>
          <w:p>
            <w:pPr>
              <w:pStyle w:val="15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716" w:type="dxa"/>
            <w:vMerge w:val="restart"/>
            <w:vAlign w:val="center"/>
          </w:tcPr>
          <w:p>
            <w:pPr>
              <w:spacing w:before="19" w:line="480" w:lineRule="exact"/>
              <w:ind w:left="3"/>
              <w:jc w:val="center"/>
              <w:outlineLvl w:val="0"/>
              <w:rPr>
                <w:rFonts w:hint="eastAsia" w:ascii="宋体" w:hAnsi="宋体" w:cs="宋体"/>
                <w:bCs/>
                <w:spacing w:val="-9"/>
                <w:szCs w:val="21"/>
              </w:rPr>
            </w:pPr>
            <w:r>
              <w:rPr>
                <w:rFonts w:hint="eastAsia" w:ascii="宋体" w:hAnsi="宋体" w:cs="宋体"/>
                <w:bCs/>
                <w:spacing w:val="-9"/>
                <w:szCs w:val="21"/>
              </w:rPr>
              <w:t>振幅误差</w:t>
            </w:r>
          </w:p>
        </w:tc>
        <w:tc>
          <w:tcPr>
            <w:tcW w:w="1131" w:type="dxa"/>
            <w:vAlign w:val="center"/>
          </w:tcPr>
          <w:p>
            <w:pPr>
              <w:pStyle w:val="15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  <w:t>次 数</w:t>
            </w:r>
          </w:p>
        </w:tc>
        <w:tc>
          <w:tcPr>
            <w:tcW w:w="1551" w:type="dxa"/>
            <w:gridSpan w:val="2"/>
            <w:vAlign w:val="center"/>
          </w:tcPr>
          <w:p>
            <w:pPr>
              <w:pStyle w:val="15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080" w:type="dxa"/>
            <w:vAlign w:val="center"/>
          </w:tcPr>
          <w:p>
            <w:pPr>
              <w:pStyle w:val="15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5" w:type="dxa"/>
            <w:vAlign w:val="center"/>
          </w:tcPr>
          <w:p>
            <w:pPr>
              <w:pStyle w:val="15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305" w:type="dxa"/>
            <w:vAlign w:val="center"/>
          </w:tcPr>
          <w:p>
            <w:pPr>
              <w:pStyle w:val="15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9"/>
                <w:kern w:val="2"/>
                <w:sz w:val="21"/>
                <w:szCs w:val="21"/>
                <w:lang w:val="en-US" w:eastAsia="zh-CN"/>
              </w:rPr>
              <w:t>振 幅</w:t>
            </w:r>
          </w:p>
        </w:tc>
        <w:tc>
          <w:tcPr>
            <w:tcW w:w="1890" w:type="dxa"/>
            <w:vMerge w:val="restart"/>
            <w:vAlign w:val="center"/>
          </w:tcPr>
          <w:p>
            <w:pPr>
              <w:pStyle w:val="15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/>
                <w:iCs/>
                <w:sz w:val="21"/>
                <w:szCs w:val="21"/>
              </w:rPr>
              <w:t>U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 xml:space="preserve"> =0.082 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716" w:type="dxa"/>
            <w:vMerge w:val="continue"/>
            <w:vAlign w:val="center"/>
          </w:tcPr>
          <w:p>
            <w:pPr>
              <w:spacing w:before="19" w:line="480" w:lineRule="exact"/>
              <w:ind w:left="3"/>
              <w:jc w:val="center"/>
              <w:outlineLvl w:val="0"/>
              <w:rPr>
                <w:rFonts w:hint="eastAsia" w:ascii="宋体" w:hAnsi="宋体" w:cs="宋体"/>
                <w:bCs/>
                <w:spacing w:val="-9"/>
                <w:szCs w:val="21"/>
              </w:rPr>
            </w:pPr>
          </w:p>
        </w:tc>
        <w:tc>
          <w:tcPr>
            <w:tcW w:w="1131" w:type="dxa"/>
            <w:vAlign w:val="center"/>
          </w:tcPr>
          <w:p>
            <w:pPr>
              <w:pStyle w:val="15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  <w:t>最大值</w:t>
            </w:r>
          </w:p>
        </w:tc>
        <w:tc>
          <w:tcPr>
            <w:tcW w:w="1551" w:type="dxa"/>
            <w:gridSpan w:val="2"/>
            <w:vAlign w:val="center"/>
          </w:tcPr>
          <w:p>
            <w:pPr>
              <w:pStyle w:val="15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  <w:t>3.54</w:t>
            </w:r>
          </w:p>
        </w:tc>
        <w:tc>
          <w:tcPr>
            <w:tcW w:w="1080" w:type="dxa"/>
            <w:vAlign w:val="center"/>
          </w:tcPr>
          <w:p>
            <w:pPr>
              <w:pStyle w:val="15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  <w:t>3.53</w:t>
            </w:r>
          </w:p>
        </w:tc>
        <w:tc>
          <w:tcPr>
            <w:tcW w:w="885" w:type="dxa"/>
            <w:vAlign w:val="center"/>
          </w:tcPr>
          <w:p>
            <w:pPr>
              <w:pStyle w:val="15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  <w:t>3.52</w:t>
            </w:r>
          </w:p>
        </w:tc>
        <w:tc>
          <w:tcPr>
            <w:tcW w:w="1305" w:type="dxa"/>
            <w:vMerge w:val="restart"/>
            <w:vAlign w:val="center"/>
          </w:tcPr>
          <w:p>
            <w:pPr>
              <w:pStyle w:val="15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  <w:t>2.02</w:t>
            </w:r>
          </w:p>
        </w:tc>
        <w:tc>
          <w:tcPr>
            <w:tcW w:w="1890" w:type="dxa"/>
            <w:vMerge w:val="continue"/>
            <w:vAlign w:val="top"/>
          </w:tcPr>
          <w:p>
            <w:pPr>
              <w:pStyle w:val="15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716" w:type="dxa"/>
            <w:vMerge w:val="continue"/>
            <w:vAlign w:val="center"/>
          </w:tcPr>
          <w:p>
            <w:pPr>
              <w:spacing w:before="19" w:line="480" w:lineRule="exact"/>
              <w:ind w:left="3"/>
              <w:jc w:val="center"/>
              <w:outlineLvl w:val="0"/>
              <w:rPr>
                <w:rFonts w:hint="eastAsia" w:ascii="宋体" w:hAnsi="宋体" w:cs="宋体"/>
                <w:bCs/>
                <w:spacing w:val="-9"/>
                <w:szCs w:val="21"/>
              </w:rPr>
            </w:pPr>
          </w:p>
        </w:tc>
        <w:tc>
          <w:tcPr>
            <w:tcW w:w="1131" w:type="dxa"/>
            <w:vAlign w:val="center"/>
          </w:tcPr>
          <w:p>
            <w:pPr>
              <w:pStyle w:val="15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  <w:t>最小值</w:t>
            </w:r>
          </w:p>
        </w:tc>
        <w:tc>
          <w:tcPr>
            <w:tcW w:w="1551" w:type="dxa"/>
            <w:gridSpan w:val="2"/>
            <w:vAlign w:val="center"/>
          </w:tcPr>
          <w:p>
            <w:pPr>
              <w:pStyle w:val="15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  <w:t>1.52</w:t>
            </w:r>
          </w:p>
        </w:tc>
        <w:tc>
          <w:tcPr>
            <w:tcW w:w="1080" w:type="dxa"/>
            <w:vAlign w:val="center"/>
          </w:tcPr>
          <w:p>
            <w:pPr>
              <w:pStyle w:val="15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  <w:t>1.51</w:t>
            </w:r>
          </w:p>
        </w:tc>
        <w:tc>
          <w:tcPr>
            <w:tcW w:w="885" w:type="dxa"/>
            <w:vAlign w:val="center"/>
          </w:tcPr>
          <w:p>
            <w:pPr>
              <w:pStyle w:val="15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  <w:t>1.50</w:t>
            </w:r>
          </w:p>
        </w:tc>
        <w:tc>
          <w:tcPr>
            <w:tcW w:w="1305" w:type="dxa"/>
            <w:vMerge w:val="continue"/>
            <w:vAlign w:val="center"/>
          </w:tcPr>
          <w:p>
            <w:pPr>
              <w:pStyle w:val="15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890" w:type="dxa"/>
            <w:vMerge w:val="continue"/>
            <w:vAlign w:val="top"/>
          </w:tcPr>
          <w:p>
            <w:pPr>
              <w:pStyle w:val="15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6" w:type="dxa"/>
            <w:vMerge w:val="continue"/>
            <w:vAlign w:val="center"/>
          </w:tcPr>
          <w:p>
            <w:pPr>
              <w:spacing w:before="19" w:line="480" w:lineRule="exact"/>
              <w:ind w:left="3"/>
              <w:jc w:val="center"/>
              <w:outlineLvl w:val="0"/>
              <w:rPr>
                <w:rFonts w:hint="eastAsia" w:ascii="宋体" w:hAnsi="宋体" w:cs="宋体"/>
                <w:bCs/>
                <w:spacing w:val="-9"/>
                <w:szCs w:val="21"/>
              </w:rPr>
            </w:pPr>
          </w:p>
        </w:tc>
        <w:tc>
          <w:tcPr>
            <w:tcW w:w="5952" w:type="dxa"/>
            <w:gridSpan w:val="6"/>
            <w:vAlign w:val="center"/>
          </w:tcPr>
          <w:p>
            <w:pPr>
              <w:pStyle w:val="15"/>
              <w:jc w:val="both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  <w:t>振幅误差:2.02</w:t>
            </w:r>
          </w:p>
        </w:tc>
        <w:tc>
          <w:tcPr>
            <w:tcW w:w="1890" w:type="dxa"/>
            <w:vMerge w:val="continue"/>
            <w:vAlign w:val="top"/>
          </w:tcPr>
          <w:p>
            <w:pPr>
              <w:pStyle w:val="15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1716" w:type="dxa"/>
            <w:vMerge w:val="restart"/>
            <w:vAlign w:val="center"/>
          </w:tcPr>
          <w:p>
            <w:pPr>
              <w:spacing w:before="75" w:line="480" w:lineRule="exact"/>
              <w:jc w:val="center"/>
              <w:rPr>
                <w:rFonts w:hint="eastAsia" w:ascii="宋体" w:hAnsi="宋体" w:cs="宋体"/>
                <w:bCs/>
                <w:spacing w:val="-6"/>
                <w:szCs w:val="21"/>
              </w:rPr>
            </w:pPr>
            <w:r>
              <w:rPr>
                <w:rFonts w:hint="eastAsia" w:ascii="宋体" w:hAnsi="宋体" w:cs="宋体"/>
                <w:bCs/>
                <w:spacing w:val="-6"/>
                <w:szCs w:val="21"/>
              </w:rPr>
              <w:t>摇振时间误差</w:t>
            </w:r>
          </w:p>
          <w:p>
            <w:pPr>
              <w:spacing w:before="75" w:line="480" w:lineRule="exact"/>
              <w:jc w:val="center"/>
              <w:rPr>
                <w:rFonts w:hint="default" w:ascii="宋体" w:hAnsi="宋体" w:eastAsia="宋体" w:cs="宋体"/>
                <w:bCs/>
                <w:spacing w:val="-9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pacing w:val="-6"/>
                <w:sz w:val="18"/>
                <w:szCs w:val="18"/>
                <w:lang w:eastAsia="zh-CN"/>
              </w:rPr>
              <w:t>（时间设定为</w:t>
            </w:r>
            <w:r>
              <w:rPr>
                <w:rFonts w:hint="eastAsia" w:ascii="宋体" w:hAnsi="宋体" w:cs="宋体"/>
                <w:bCs/>
                <w:spacing w:val="-6"/>
                <w:sz w:val="18"/>
                <w:szCs w:val="18"/>
                <w:lang w:val="en-US" w:eastAsia="zh-CN"/>
              </w:rPr>
              <w:t>1min)</w:t>
            </w:r>
          </w:p>
        </w:tc>
        <w:tc>
          <w:tcPr>
            <w:tcW w:w="4647" w:type="dxa"/>
            <w:gridSpan w:val="5"/>
            <w:vAlign w:val="top"/>
          </w:tcPr>
          <w:p>
            <w:pPr>
              <w:pStyle w:val="15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  <w:t>遥振时间实测值</w:t>
            </w:r>
          </w:p>
        </w:tc>
        <w:tc>
          <w:tcPr>
            <w:tcW w:w="1305" w:type="dxa"/>
            <w:vMerge w:val="restart"/>
            <w:vAlign w:val="top"/>
          </w:tcPr>
          <w:p>
            <w:pPr>
              <w:pStyle w:val="15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  <w:t>遥振时间</w:t>
            </w:r>
          </w:p>
          <w:p>
            <w:pPr>
              <w:pStyle w:val="15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  <w:t>平均值</w:t>
            </w:r>
          </w:p>
        </w:tc>
        <w:tc>
          <w:tcPr>
            <w:tcW w:w="1890" w:type="dxa"/>
            <w:vMerge w:val="restart"/>
            <w:vAlign w:val="top"/>
          </w:tcPr>
          <w:p>
            <w:pPr>
              <w:pStyle w:val="15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</w:pPr>
          </w:p>
          <w:p>
            <w:pPr>
              <w:bidi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bidi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/>
                <w:iCs/>
                <w:sz w:val="21"/>
                <w:szCs w:val="21"/>
              </w:rPr>
              <w:t>U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 xml:space="preserve"> =0.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  <w:t>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716" w:type="dxa"/>
            <w:vMerge w:val="continue"/>
            <w:vAlign w:val="top"/>
          </w:tcPr>
          <w:p>
            <w:pPr>
              <w:pStyle w:val="15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131" w:type="dxa"/>
            <w:vAlign w:val="top"/>
          </w:tcPr>
          <w:p>
            <w:pPr>
              <w:pStyle w:val="15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417" w:type="dxa"/>
            <w:vAlign w:val="top"/>
          </w:tcPr>
          <w:p>
            <w:pPr>
              <w:pStyle w:val="15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099" w:type="dxa"/>
            <w:gridSpan w:val="3"/>
            <w:vAlign w:val="top"/>
          </w:tcPr>
          <w:p>
            <w:pPr>
              <w:pStyle w:val="15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305" w:type="dxa"/>
            <w:vMerge w:val="continue"/>
            <w:vAlign w:val="top"/>
          </w:tcPr>
          <w:p>
            <w:pPr>
              <w:pStyle w:val="15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890" w:type="dxa"/>
            <w:vMerge w:val="continue"/>
            <w:vAlign w:val="top"/>
          </w:tcPr>
          <w:p>
            <w:pPr>
              <w:pStyle w:val="15"/>
              <w:jc w:val="center"/>
              <w:rPr>
                <w:rFonts w:hint="eastAsia" w:ascii="宋体" w:hAnsi="宋体" w:eastAsia="宋体" w:cs="宋体"/>
                <w:kern w:val="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1716" w:type="dxa"/>
            <w:vMerge w:val="continue"/>
            <w:vAlign w:val="top"/>
          </w:tcPr>
          <w:p>
            <w:pPr>
              <w:pStyle w:val="15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131" w:type="dxa"/>
            <w:vAlign w:val="top"/>
          </w:tcPr>
          <w:p>
            <w:pPr>
              <w:pStyle w:val="15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  <w:t>61s</w:t>
            </w:r>
          </w:p>
        </w:tc>
        <w:tc>
          <w:tcPr>
            <w:tcW w:w="1417" w:type="dxa"/>
            <w:vAlign w:val="top"/>
          </w:tcPr>
          <w:p>
            <w:pPr>
              <w:pStyle w:val="15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  <w:t>62s</w:t>
            </w:r>
          </w:p>
        </w:tc>
        <w:tc>
          <w:tcPr>
            <w:tcW w:w="2099" w:type="dxa"/>
            <w:gridSpan w:val="3"/>
            <w:vAlign w:val="top"/>
          </w:tcPr>
          <w:p>
            <w:pPr>
              <w:pStyle w:val="15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  <w:t>61s</w:t>
            </w:r>
          </w:p>
        </w:tc>
        <w:tc>
          <w:tcPr>
            <w:tcW w:w="1305" w:type="dxa"/>
            <w:vAlign w:val="top"/>
          </w:tcPr>
          <w:p>
            <w:pPr>
              <w:pStyle w:val="15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  <w:t>61s</w:t>
            </w:r>
          </w:p>
        </w:tc>
        <w:tc>
          <w:tcPr>
            <w:tcW w:w="1890" w:type="dxa"/>
            <w:vMerge w:val="continue"/>
            <w:vAlign w:val="top"/>
          </w:tcPr>
          <w:p>
            <w:pPr>
              <w:pStyle w:val="15"/>
              <w:jc w:val="center"/>
              <w:rPr>
                <w:rFonts w:hint="eastAsia" w:ascii="宋体" w:hAnsi="宋体" w:eastAsia="宋体" w:cs="宋体"/>
                <w:kern w:val="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716" w:type="dxa"/>
            <w:vMerge w:val="continue"/>
            <w:vAlign w:val="top"/>
          </w:tcPr>
          <w:p>
            <w:pPr>
              <w:pStyle w:val="15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4647" w:type="dxa"/>
            <w:gridSpan w:val="5"/>
            <w:vAlign w:val="top"/>
          </w:tcPr>
          <w:p>
            <w:pPr>
              <w:pStyle w:val="15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  <w:t>遥振时间误差：1s</w:t>
            </w:r>
          </w:p>
        </w:tc>
        <w:tc>
          <w:tcPr>
            <w:tcW w:w="1305" w:type="dxa"/>
            <w:vAlign w:val="top"/>
          </w:tcPr>
          <w:p>
            <w:pPr>
              <w:pStyle w:val="15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890" w:type="dxa"/>
            <w:vMerge w:val="continue"/>
            <w:vAlign w:val="top"/>
          </w:tcPr>
          <w:p>
            <w:pPr>
              <w:pStyle w:val="15"/>
              <w:rPr>
                <w:rFonts w:hint="eastAsia" w:ascii="宋体" w:hAnsi="宋体" w:eastAsia="宋体" w:cs="宋体"/>
                <w:kern w:val="2"/>
                <w:lang w:val="en-US" w:eastAsia="zh-CN"/>
              </w:rPr>
            </w:pPr>
          </w:p>
        </w:tc>
      </w:tr>
    </w:tbl>
    <w:p>
      <w:pPr>
        <w:pStyle w:val="3"/>
        <w:spacing w:line="380" w:lineRule="exact"/>
        <w:ind w:right="-540" w:rightChars="-257"/>
        <w:rPr>
          <w:rFonts w:ascii="黑体" w:hAnsi="黑体" w:eastAsia="黑体"/>
          <w:color w:val="FF0000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表2   试验数据</w:t>
      </w:r>
    </w:p>
    <w:p>
      <w:pPr>
        <w:spacing w:line="360" w:lineRule="auto"/>
        <w:ind w:firstLine="480"/>
        <w:rPr>
          <w:rFonts w:hint="eastAsia"/>
          <w:sz w:val="24"/>
          <w:szCs w:val="24"/>
        </w:rPr>
      </w:pPr>
    </w:p>
    <w:p>
      <w:pPr>
        <w:pStyle w:val="3"/>
        <w:spacing w:line="320" w:lineRule="exact"/>
        <w:ind w:right="-686"/>
        <w:rPr>
          <w:sz w:val="24"/>
          <w:szCs w:val="24"/>
        </w:rPr>
      </w:pPr>
      <w:bookmarkStart w:id="15" w:name="_Toc70618290"/>
      <w:bookmarkStart w:id="16" w:name="_Toc70618220"/>
      <w:r>
        <w:rPr>
          <w:rFonts w:hAnsi="宋体"/>
          <w:sz w:val="24"/>
          <w:szCs w:val="24"/>
        </w:rPr>
        <w:t>结论</w:t>
      </w:r>
      <w:r>
        <w:rPr>
          <w:rFonts w:hint="eastAsia" w:hAnsi="宋体"/>
          <w:sz w:val="24"/>
          <w:szCs w:val="24"/>
        </w:rPr>
        <w:t>：</w:t>
      </w:r>
      <w:r>
        <w:rPr>
          <w:rFonts w:hint="eastAsia" w:hAnsi="宋体"/>
          <w:sz w:val="24"/>
          <w:szCs w:val="24"/>
          <w:u w:val="single"/>
        </w:rPr>
        <w:t>满足规程规定的计量性能和通用技术要求</w:t>
      </w:r>
    </w:p>
    <w:bookmarkEnd w:id="15"/>
    <w:bookmarkEnd w:id="16"/>
    <w:p>
      <w:pPr>
        <w:spacing w:line="360" w:lineRule="auto"/>
        <w:outlineLvl w:val="0"/>
        <w:rPr>
          <w:rFonts w:hint="eastAsia" w:ascii="黑体" w:hAnsi="黑体" w:eastAsia="黑体" w:cs="黑体"/>
          <w:sz w:val="28"/>
          <w:szCs w:val="28"/>
        </w:rPr>
      </w:pPr>
      <w:bookmarkStart w:id="17" w:name="_Toc70618291"/>
      <w:bookmarkStart w:id="18" w:name="_Toc70618221"/>
      <w:bookmarkStart w:id="19" w:name="_GoBack"/>
      <w:bookmarkEnd w:id="19"/>
    </w:p>
    <w:p>
      <w:pPr>
        <w:spacing w:line="360" w:lineRule="auto"/>
        <w:outlineLvl w:val="0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7. 试验结果综述</w:t>
      </w:r>
      <w:bookmarkEnd w:id="17"/>
      <w:bookmarkEnd w:id="18"/>
    </w:p>
    <w:p>
      <w:pPr>
        <w:spacing w:line="360" w:lineRule="auto"/>
      </w:pPr>
      <w:r>
        <w:rPr>
          <w:rFonts w:hint="eastAsia"/>
          <w:sz w:val="24"/>
          <w:szCs w:val="24"/>
        </w:rPr>
        <w:t xml:space="preserve">    验证性试验结果表明：依据该规范规定的校准条件和方法对</w:t>
      </w:r>
      <w:r>
        <w:rPr>
          <w:rFonts w:hint="eastAsia"/>
          <w:b w:val="0"/>
          <w:bCs/>
          <w:color w:val="000000"/>
          <w:sz w:val="24"/>
          <w:szCs w:val="24"/>
        </w:rPr>
        <w:t>顶击式振筛机</w:t>
      </w:r>
      <w:r>
        <w:rPr>
          <w:rFonts w:hint="eastAsia"/>
          <w:sz w:val="24"/>
          <w:szCs w:val="24"/>
        </w:rPr>
        <w:t>进行校准，得到的统计数据满足计量性能要求，规范规定的校准条件和方法具备可操作性，设定的技术指标合理有效。与相关标准比较，本规范更加细致完善，完全适用于对</w:t>
      </w:r>
      <w:r>
        <w:rPr>
          <w:rFonts w:hint="eastAsia"/>
          <w:b w:val="0"/>
          <w:bCs/>
          <w:color w:val="000000"/>
          <w:sz w:val="24"/>
          <w:szCs w:val="24"/>
        </w:rPr>
        <w:t>顶击式振筛机</w:t>
      </w:r>
      <w:r>
        <w:rPr>
          <w:rFonts w:hint="eastAsia"/>
          <w:sz w:val="24"/>
          <w:szCs w:val="24"/>
        </w:rPr>
        <w:t>的计量校准。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2"/>
  </w:compat>
  <w:docVars>
    <w:docVar w:name="commondata" w:val="eyJoZGlkIjoiZjAxZjEyZTI3NGEwYjllNmVmNDYzMjAwNDBkMmNmZmEifQ=="/>
  </w:docVars>
  <w:rsids>
    <w:rsidRoot w:val="00D5587D"/>
    <w:rsid w:val="000B16F9"/>
    <w:rsid w:val="000E1A9E"/>
    <w:rsid w:val="00140EFF"/>
    <w:rsid w:val="001521A9"/>
    <w:rsid w:val="00190DE5"/>
    <w:rsid w:val="002944DD"/>
    <w:rsid w:val="0032458B"/>
    <w:rsid w:val="00350D99"/>
    <w:rsid w:val="003B3DBD"/>
    <w:rsid w:val="0046680A"/>
    <w:rsid w:val="005235F0"/>
    <w:rsid w:val="005A0EC6"/>
    <w:rsid w:val="006C3B35"/>
    <w:rsid w:val="0071713B"/>
    <w:rsid w:val="007B03C3"/>
    <w:rsid w:val="007B27E1"/>
    <w:rsid w:val="007B2A76"/>
    <w:rsid w:val="00987CF7"/>
    <w:rsid w:val="00A6330E"/>
    <w:rsid w:val="00AC013E"/>
    <w:rsid w:val="00B043D1"/>
    <w:rsid w:val="00B15ACC"/>
    <w:rsid w:val="00BD0D73"/>
    <w:rsid w:val="00D5587D"/>
    <w:rsid w:val="00EC29A4"/>
    <w:rsid w:val="00F439CC"/>
    <w:rsid w:val="07B474E9"/>
    <w:rsid w:val="086F1377"/>
    <w:rsid w:val="0AA750DD"/>
    <w:rsid w:val="0BF335EC"/>
    <w:rsid w:val="0E1E31E0"/>
    <w:rsid w:val="12364258"/>
    <w:rsid w:val="12904C4B"/>
    <w:rsid w:val="14A56439"/>
    <w:rsid w:val="19B1745D"/>
    <w:rsid w:val="1A567972"/>
    <w:rsid w:val="1FD95A0A"/>
    <w:rsid w:val="25880E43"/>
    <w:rsid w:val="2B1B58B2"/>
    <w:rsid w:val="2BC10DFB"/>
    <w:rsid w:val="2C24417C"/>
    <w:rsid w:val="30E85823"/>
    <w:rsid w:val="31F52043"/>
    <w:rsid w:val="328452CA"/>
    <w:rsid w:val="34F40A21"/>
    <w:rsid w:val="35B856C6"/>
    <w:rsid w:val="36BE50F4"/>
    <w:rsid w:val="399153FC"/>
    <w:rsid w:val="3A6B4DA8"/>
    <w:rsid w:val="3ACF784F"/>
    <w:rsid w:val="3BD46F50"/>
    <w:rsid w:val="3DC90E58"/>
    <w:rsid w:val="3F2016BA"/>
    <w:rsid w:val="420E2F66"/>
    <w:rsid w:val="42B36EA0"/>
    <w:rsid w:val="476D379D"/>
    <w:rsid w:val="4C1B2975"/>
    <w:rsid w:val="4C2817A0"/>
    <w:rsid w:val="4D0F108E"/>
    <w:rsid w:val="50194A29"/>
    <w:rsid w:val="520D67C1"/>
    <w:rsid w:val="52CB4D78"/>
    <w:rsid w:val="53F86D06"/>
    <w:rsid w:val="5503564E"/>
    <w:rsid w:val="566B17DF"/>
    <w:rsid w:val="5AAE0E58"/>
    <w:rsid w:val="5EE46A0E"/>
    <w:rsid w:val="5F1D65AC"/>
    <w:rsid w:val="60C76811"/>
    <w:rsid w:val="61007F33"/>
    <w:rsid w:val="62217C9C"/>
    <w:rsid w:val="62B1299A"/>
    <w:rsid w:val="68EB26B7"/>
    <w:rsid w:val="699C56BF"/>
    <w:rsid w:val="6B41071C"/>
    <w:rsid w:val="6CE52B54"/>
    <w:rsid w:val="70EC01C0"/>
    <w:rsid w:val="72822E9E"/>
    <w:rsid w:val="750E7AA8"/>
    <w:rsid w:val="7A5945DB"/>
    <w:rsid w:val="7E1238E1"/>
    <w:rsid w:val="7F8F6B60"/>
    <w:rsid w:val="7F92418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10"/>
    <w:qFormat/>
    <w:uiPriority w:val="0"/>
    <w:rPr>
      <w:rFonts w:ascii="宋体" w:hAnsi="Courier New" w:cstheme="minorBidi"/>
      <w:szCs w:val="22"/>
    </w:r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纯文本 Char"/>
    <w:link w:val="3"/>
    <w:qFormat/>
    <w:uiPriority w:val="0"/>
    <w:rPr>
      <w:rFonts w:ascii="宋体" w:hAnsi="Courier New" w:eastAsia="宋体"/>
    </w:rPr>
  </w:style>
  <w:style w:type="character" w:customStyle="1" w:styleId="11">
    <w:name w:val="纯文本 字符1"/>
    <w:basedOn w:val="7"/>
    <w:semiHidden/>
    <w:qFormat/>
    <w:uiPriority w:val="99"/>
    <w:rPr>
      <w:rFonts w:hAnsi="Courier New" w:cs="Courier New" w:asciiTheme="minorEastAsia"/>
      <w:szCs w:val="20"/>
    </w:rPr>
  </w:style>
  <w:style w:type="character" w:customStyle="1" w:styleId="12">
    <w:name w:val="页眉 Char"/>
    <w:basedOn w:val="7"/>
    <w:link w:val="6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页脚 Char"/>
    <w:basedOn w:val="7"/>
    <w:link w:val="5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4">
    <w:name w:val="批注框文本 Char"/>
    <w:basedOn w:val="7"/>
    <w:link w:val="4"/>
    <w:semiHidden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5">
    <w:name w:val="黑体四号"/>
    <w:basedOn w:val="2"/>
    <w:qFormat/>
    <w:uiPriority w:val="0"/>
    <w:pPr>
      <w:spacing w:before="0" w:after="0" w:line="480" w:lineRule="exact"/>
    </w:pPr>
    <w:rPr>
      <w:rFonts w:ascii="黑体" w:hAnsi="黑体" w:eastAsia="黑体"/>
      <w:b w:val="0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254</Words>
  <Characters>1453</Characters>
  <Lines>12</Lines>
  <Paragraphs>3</Paragraphs>
  <TotalTime>3</TotalTime>
  <ScaleCrop>false</ScaleCrop>
  <LinksUpToDate>false</LinksUpToDate>
  <CharactersWithSpaces>1704</CharactersWithSpaces>
  <Application>WPS Office_10.8.2.6948_F1E327BC-269C-435d-A152-05C5408002CA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2023-04-17T08:00:00Z</dcterms:created>
  <dc:creator>Administrator</dc:creator>
  <cp:lastModifiedBy>寒苑</cp:lastModifiedBy>
  <cp:lastPrinted>2025-07-04T01:43:56Z</cp:lastPrinted>
  <dcterms:modified xsi:type="dcterms:W3CDTF">2025-07-04T01:52:35Z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2052-10.8.2.6948</vt:lpwstr>
  </property>
  <property fmtid="{D5CDD505-2E9C-101B-9397-08002B2CF9AE}" pid="3" name="ICV">
    <vt:lpwstr>3B12A54C9F4249BBADF5FBC7D9DB63F6</vt:lpwstr>
  </property>
  <property fmtid="{D5CDD505-2E9C-101B-9397-08002B2CF9AE}" pid="4" name="KSOTemplateDocerSaveRecord">
    <vt:lpwstr>eyJoZGlkIjoiM2ViZjQxODQ2ZDQwYjk5MzZmZDk5MjAxYjg0Y2EyOTMiLCJ1c2VySWQiOiI0NTExMzY0ODkifQ==</vt:lpwstr>
  </property>
</Properties>
</file>