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602618">
      <w:pPr>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sz w:val="36"/>
          <w:szCs w:val="36"/>
        </w:rPr>
      </w:pPr>
      <w:r>
        <w:fldChar w:fldCharType="begin"/>
      </w:r>
      <w:r>
        <w:instrText xml:space="preserve"> HYPERLINK "https://dbba.sacinfo.org.cn/stdDetail/e7ed39a9f5bb87a837ccc8c58b836dd6" </w:instrText>
      </w:r>
      <w:r>
        <w:fldChar w:fldCharType="separate"/>
      </w:r>
      <w:r>
        <w:rPr>
          <w:rFonts w:hint="eastAsia" w:ascii="黑体" w:hAnsi="黑体" w:eastAsia="黑体"/>
          <w:sz w:val="36"/>
          <w:szCs w:val="36"/>
        </w:rPr>
        <w:t>蔬菜废弃物堆沤肥技术</w:t>
      </w:r>
      <w:r>
        <w:rPr>
          <w:rFonts w:hint="eastAsia" w:ascii="黑体" w:hAnsi="黑体" w:eastAsia="黑体"/>
          <w:sz w:val="36"/>
          <w:szCs w:val="36"/>
          <w:lang w:val="en-US" w:eastAsia="zh-CN"/>
        </w:rPr>
        <w:t>文件</w:t>
      </w:r>
      <w:r>
        <w:rPr>
          <w:rFonts w:hint="eastAsia" w:ascii="黑体" w:hAnsi="黑体" w:eastAsia="黑体"/>
          <w:sz w:val="36"/>
          <w:szCs w:val="36"/>
        </w:rPr>
        <w:fldChar w:fldCharType="end"/>
      </w:r>
    </w:p>
    <w:p w14:paraId="302B477F">
      <w:pPr>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olor w:val="000000"/>
          <w:sz w:val="36"/>
          <w:szCs w:val="36"/>
          <w:lang w:val="en-US" w:eastAsia="zh-CN"/>
        </w:rPr>
      </w:pPr>
    </w:p>
    <w:p w14:paraId="0D47B02A">
      <w:pPr>
        <w:pageBreakBefore w:val="0"/>
        <w:widowControl w:val="0"/>
        <w:kinsoku/>
        <w:wordWrap/>
        <w:overflowPunct/>
        <w:topLinePunct w:val="0"/>
        <w:autoSpaceDE/>
        <w:autoSpaceDN/>
        <w:bidi w:val="0"/>
        <w:adjustRightInd/>
        <w:snapToGrid/>
        <w:spacing w:line="360" w:lineRule="auto"/>
        <w:jc w:val="center"/>
        <w:textAlignment w:val="auto"/>
        <w:rPr>
          <w:rFonts w:ascii="黑体" w:hAnsi="黑体" w:eastAsia="黑体"/>
          <w:color w:val="000000"/>
          <w:sz w:val="36"/>
          <w:szCs w:val="36"/>
        </w:rPr>
      </w:pPr>
      <w:r>
        <w:rPr>
          <w:rFonts w:hint="eastAsia" w:ascii="黑体" w:hAnsi="黑体" w:eastAsia="黑体"/>
          <w:color w:val="000000"/>
          <w:sz w:val="36"/>
          <w:szCs w:val="36"/>
          <w:lang w:val="en-US" w:eastAsia="zh-CN"/>
        </w:rPr>
        <w:t>编制</w:t>
      </w:r>
      <w:r>
        <w:rPr>
          <w:rFonts w:ascii="黑体" w:hAnsi="黑体" w:eastAsia="黑体"/>
          <w:color w:val="000000"/>
          <w:sz w:val="36"/>
          <w:szCs w:val="36"/>
        </w:rPr>
        <w:t>说明</w:t>
      </w:r>
    </w:p>
    <w:p w14:paraId="41CDDF04">
      <w:pPr>
        <w:pageBreakBefore w:val="0"/>
        <w:widowControl w:val="0"/>
        <w:kinsoku/>
        <w:wordWrap/>
        <w:overflowPunct/>
        <w:topLinePunct w:val="0"/>
        <w:autoSpaceDE/>
        <w:autoSpaceDN/>
        <w:bidi w:val="0"/>
        <w:adjustRightInd/>
        <w:snapToGrid/>
        <w:spacing w:line="360" w:lineRule="auto"/>
        <w:jc w:val="center"/>
        <w:textAlignment w:val="auto"/>
        <w:rPr>
          <w:rFonts w:ascii="黑体" w:hAnsi="黑体" w:eastAsia="黑体"/>
          <w:color w:val="000000"/>
          <w:sz w:val="36"/>
          <w:szCs w:val="36"/>
        </w:rPr>
      </w:pPr>
    </w:p>
    <w:p w14:paraId="583883B0">
      <w:pPr>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olor w:val="000000"/>
          <w:sz w:val="36"/>
          <w:szCs w:val="36"/>
          <w:lang w:eastAsia="zh-CN"/>
        </w:rPr>
      </w:pPr>
      <w:r>
        <w:rPr>
          <w:rFonts w:hint="eastAsia" w:ascii="黑体" w:hAnsi="黑体" w:eastAsia="黑体"/>
          <w:color w:val="000000"/>
          <w:sz w:val="28"/>
          <w:szCs w:val="28"/>
          <w:lang w:eastAsia="zh-CN"/>
        </w:rPr>
        <w:t>（</w:t>
      </w:r>
      <w:r>
        <w:rPr>
          <w:rFonts w:hint="eastAsia" w:ascii="黑体" w:hAnsi="黑体" w:eastAsia="黑体"/>
          <w:color w:val="000000"/>
          <w:sz w:val="28"/>
          <w:szCs w:val="28"/>
          <w:lang w:val="en-US" w:eastAsia="zh-CN"/>
        </w:rPr>
        <w:t>送审稿</w:t>
      </w:r>
      <w:r>
        <w:rPr>
          <w:rFonts w:hint="eastAsia" w:ascii="黑体" w:hAnsi="黑体" w:eastAsia="黑体"/>
          <w:color w:val="000000"/>
          <w:sz w:val="28"/>
          <w:szCs w:val="28"/>
          <w:lang w:eastAsia="zh-CN"/>
        </w:rPr>
        <w:t>）</w:t>
      </w:r>
    </w:p>
    <w:p w14:paraId="2F31F832">
      <w:pPr>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olor w:val="000000"/>
          <w:sz w:val="36"/>
          <w:szCs w:val="36"/>
          <w:lang w:eastAsia="zh-CN"/>
        </w:rPr>
      </w:pPr>
    </w:p>
    <w:p w14:paraId="2EBB1E47">
      <w:pPr>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olor w:val="000000"/>
          <w:sz w:val="36"/>
          <w:szCs w:val="36"/>
          <w:lang w:eastAsia="zh-CN"/>
        </w:rPr>
      </w:pPr>
    </w:p>
    <w:p w14:paraId="52FDEDD1">
      <w:pPr>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olor w:val="000000"/>
          <w:sz w:val="36"/>
          <w:szCs w:val="36"/>
          <w:lang w:eastAsia="zh-CN"/>
        </w:rPr>
      </w:pPr>
    </w:p>
    <w:p w14:paraId="633B0D96">
      <w:pPr>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olor w:val="000000"/>
          <w:sz w:val="36"/>
          <w:szCs w:val="36"/>
          <w:lang w:eastAsia="zh-CN"/>
        </w:rPr>
      </w:pPr>
    </w:p>
    <w:p w14:paraId="492AE1F1">
      <w:pPr>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olor w:val="000000"/>
          <w:sz w:val="36"/>
          <w:szCs w:val="36"/>
          <w:lang w:eastAsia="zh-CN"/>
        </w:rPr>
      </w:pPr>
    </w:p>
    <w:p w14:paraId="462907E0">
      <w:pPr>
        <w:pageBreakBefore w:val="0"/>
        <w:widowControl w:val="0"/>
        <w:kinsoku/>
        <w:wordWrap/>
        <w:overflowPunct/>
        <w:topLinePunct w:val="0"/>
        <w:autoSpaceDE/>
        <w:autoSpaceDN/>
        <w:bidi w:val="0"/>
        <w:adjustRightInd/>
        <w:snapToGrid/>
        <w:spacing w:line="360" w:lineRule="auto"/>
        <w:jc w:val="center"/>
        <w:textAlignment w:val="auto"/>
        <w:rPr>
          <w:rFonts w:ascii="黑体" w:hAnsi="黑体" w:eastAsia="黑体"/>
          <w:color w:val="000000"/>
          <w:sz w:val="36"/>
          <w:szCs w:val="36"/>
        </w:rPr>
      </w:pPr>
    </w:p>
    <w:p w14:paraId="162C2D0B">
      <w:pPr>
        <w:pageBreakBefore w:val="0"/>
        <w:widowControl w:val="0"/>
        <w:kinsoku/>
        <w:wordWrap/>
        <w:overflowPunct/>
        <w:topLinePunct w:val="0"/>
        <w:autoSpaceDE/>
        <w:autoSpaceDN/>
        <w:bidi w:val="0"/>
        <w:adjustRightInd/>
        <w:snapToGrid/>
        <w:spacing w:line="360" w:lineRule="auto"/>
        <w:jc w:val="center"/>
        <w:textAlignment w:val="auto"/>
        <w:rPr>
          <w:rFonts w:ascii="黑体" w:hAnsi="黑体" w:eastAsia="黑体"/>
          <w:color w:val="000000"/>
          <w:sz w:val="36"/>
          <w:szCs w:val="36"/>
        </w:rPr>
      </w:pPr>
    </w:p>
    <w:p w14:paraId="3199C3F9">
      <w:pPr>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sz w:val="24"/>
          <w:szCs w:val="24"/>
          <w:lang w:val="en-US" w:eastAsia="zh-CN"/>
        </w:rPr>
      </w:pPr>
      <w:r>
        <w:rPr>
          <w:sz w:val="24"/>
          <w:szCs w:val="24"/>
        </w:rPr>
        <w:fldChar w:fldCharType="begin"/>
      </w:r>
      <w:r>
        <w:rPr>
          <w:sz w:val="24"/>
          <w:szCs w:val="24"/>
        </w:rPr>
        <w:instrText xml:space="preserve"> HYPERLINK "https://dbba.sacinfo.org.cn/stdDetail/e7ed39a9f5bb87a837ccc8c58b836dd6" </w:instrText>
      </w:r>
      <w:r>
        <w:rPr>
          <w:sz w:val="24"/>
          <w:szCs w:val="24"/>
        </w:rPr>
        <w:fldChar w:fldCharType="separate"/>
      </w:r>
      <w:r>
        <w:rPr>
          <w:rFonts w:hint="eastAsia" w:ascii="黑体" w:hAnsi="黑体" w:eastAsia="黑体"/>
          <w:sz w:val="24"/>
          <w:szCs w:val="24"/>
        </w:rPr>
        <w:t>蔬菜废弃物堆沤肥技术</w:t>
      </w:r>
      <w:r>
        <w:rPr>
          <w:rFonts w:hint="eastAsia" w:ascii="黑体" w:hAnsi="黑体" w:eastAsia="黑体"/>
          <w:sz w:val="24"/>
          <w:szCs w:val="24"/>
          <w:lang w:val="en-US" w:eastAsia="zh-CN"/>
        </w:rPr>
        <w:t>文件</w:t>
      </w:r>
      <w:r>
        <w:rPr>
          <w:rFonts w:hint="eastAsia" w:ascii="黑体" w:hAnsi="黑体" w:eastAsia="黑体"/>
          <w:sz w:val="24"/>
          <w:szCs w:val="24"/>
        </w:rPr>
        <w:fldChar w:fldCharType="end"/>
      </w:r>
      <w:r>
        <w:rPr>
          <w:rFonts w:hint="eastAsia" w:ascii="黑体" w:hAnsi="黑体" w:eastAsia="黑体"/>
          <w:sz w:val="24"/>
          <w:szCs w:val="24"/>
          <w:lang w:val="en-US" w:eastAsia="zh-CN"/>
        </w:rPr>
        <w:t>编制小组</w:t>
      </w:r>
    </w:p>
    <w:p w14:paraId="77AC999A">
      <w:pPr>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sz w:val="24"/>
          <w:szCs w:val="24"/>
          <w:lang w:val="en-US" w:eastAsia="zh-CN"/>
        </w:rPr>
      </w:pPr>
    </w:p>
    <w:p w14:paraId="3993580A">
      <w:pPr>
        <w:pageBreakBefore w:val="0"/>
        <w:widowControl w:val="0"/>
        <w:kinsoku/>
        <w:wordWrap/>
        <w:overflowPunct/>
        <w:topLinePunct w:val="0"/>
        <w:autoSpaceDE/>
        <w:autoSpaceDN/>
        <w:bidi w:val="0"/>
        <w:adjustRightInd/>
        <w:snapToGrid/>
        <w:spacing w:line="360" w:lineRule="auto"/>
        <w:jc w:val="center"/>
        <w:textAlignment w:val="auto"/>
        <w:rPr>
          <w:rFonts w:hint="default" w:ascii="黑体" w:hAnsi="黑体" w:eastAsia="黑体"/>
          <w:sz w:val="24"/>
          <w:szCs w:val="24"/>
          <w:lang w:val="en-US" w:eastAsia="zh-CN"/>
        </w:rPr>
      </w:pPr>
      <w:r>
        <w:rPr>
          <w:rFonts w:hint="eastAsia" w:ascii="黑体" w:hAnsi="黑体" w:eastAsia="黑体"/>
          <w:sz w:val="24"/>
          <w:szCs w:val="24"/>
          <w:lang w:val="en-US" w:eastAsia="zh-CN"/>
        </w:rPr>
        <w:t>2025年6月</w:t>
      </w:r>
    </w:p>
    <w:p w14:paraId="08D27369">
      <w:pPr>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sz w:val="36"/>
          <w:szCs w:val="36"/>
          <w:lang w:val="en-US" w:eastAsia="zh-CN"/>
        </w:rPr>
      </w:pPr>
    </w:p>
    <w:p w14:paraId="014B9589">
      <w:pPr>
        <w:pageBreakBefore w:val="0"/>
        <w:widowControl w:val="0"/>
        <w:kinsoku/>
        <w:wordWrap/>
        <w:overflowPunct/>
        <w:topLinePunct w:val="0"/>
        <w:autoSpaceDE/>
        <w:autoSpaceDN/>
        <w:bidi w:val="0"/>
        <w:adjustRightInd/>
        <w:snapToGrid/>
        <w:spacing w:line="360" w:lineRule="auto"/>
        <w:jc w:val="center"/>
        <w:textAlignment w:val="auto"/>
        <w:rPr>
          <w:rFonts w:ascii="黑体" w:hAnsi="黑体" w:eastAsia="黑体"/>
          <w:color w:val="000000"/>
          <w:sz w:val="36"/>
          <w:szCs w:val="36"/>
        </w:rPr>
      </w:pPr>
    </w:p>
    <w:p w14:paraId="21BACAAD">
      <w:pPr>
        <w:pageBreakBefore w:val="0"/>
        <w:widowControl w:val="0"/>
        <w:kinsoku/>
        <w:wordWrap/>
        <w:overflowPunct/>
        <w:topLinePunct w:val="0"/>
        <w:autoSpaceDE/>
        <w:autoSpaceDN/>
        <w:bidi w:val="0"/>
        <w:adjustRightInd/>
        <w:snapToGrid/>
        <w:spacing w:line="360" w:lineRule="auto"/>
        <w:jc w:val="center"/>
        <w:textAlignment w:val="auto"/>
        <w:rPr>
          <w:rFonts w:ascii="黑体" w:hAnsi="黑体" w:eastAsia="黑体"/>
          <w:color w:val="000000"/>
          <w:sz w:val="36"/>
          <w:szCs w:val="36"/>
        </w:rPr>
      </w:pPr>
    </w:p>
    <w:p w14:paraId="10089428">
      <w:pPr>
        <w:pageBreakBefore w:val="0"/>
        <w:widowControl w:val="0"/>
        <w:kinsoku/>
        <w:wordWrap/>
        <w:overflowPunct/>
        <w:topLinePunct w:val="0"/>
        <w:autoSpaceDE/>
        <w:autoSpaceDN/>
        <w:bidi w:val="0"/>
        <w:adjustRightInd/>
        <w:snapToGrid/>
        <w:spacing w:line="360" w:lineRule="auto"/>
        <w:jc w:val="center"/>
        <w:textAlignment w:val="auto"/>
        <w:rPr>
          <w:rFonts w:ascii="黑体" w:hAnsi="黑体" w:eastAsia="黑体"/>
          <w:color w:val="000000"/>
          <w:sz w:val="36"/>
          <w:szCs w:val="36"/>
        </w:rPr>
      </w:pPr>
    </w:p>
    <w:p w14:paraId="7B014D9D">
      <w:pPr>
        <w:pageBreakBefore w:val="0"/>
        <w:widowControl w:val="0"/>
        <w:kinsoku/>
        <w:wordWrap/>
        <w:overflowPunct/>
        <w:topLinePunct w:val="0"/>
        <w:autoSpaceDE/>
        <w:autoSpaceDN/>
        <w:bidi w:val="0"/>
        <w:adjustRightInd/>
        <w:snapToGrid/>
        <w:spacing w:line="360" w:lineRule="auto"/>
        <w:jc w:val="center"/>
        <w:textAlignment w:val="auto"/>
        <w:rPr>
          <w:rFonts w:ascii="黑体" w:hAnsi="黑体" w:eastAsia="黑体"/>
          <w:color w:val="000000"/>
          <w:sz w:val="36"/>
          <w:szCs w:val="36"/>
        </w:rPr>
      </w:pPr>
    </w:p>
    <w:p w14:paraId="7AF8B9B1">
      <w:pPr>
        <w:pageBreakBefore w:val="0"/>
        <w:widowControl w:val="0"/>
        <w:kinsoku/>
        <w:wordWrap/>
        <w:overflowPunct/>
        <w:topLinePunct w:val="0"/>
        <w:autoSpaceDE/>
        <w:autoSpaceDN/>
        <w:bidi w:val="0"/>
        <w:adjustRightInd/>
        <w:snapToGrid/>
        <w:spacing w:line="360" w:lineRule="auto"/>
        <w:jc w:val="center"/>
        <w:textAlignment w:val="auto"/>
        <w:rPr>
          <w:rFonts w:ascii="黑体" w:hAnsi="黑体" w:eastAsia="黑体"/>
          <w:color w:val="000000"/>
          <w:sz w:val="36"/>
          <w:szCs w:val="36"/>
        </w:rPr>
      </w:pPr>
    </w:p>
    <w:p w14:paraId="3E258AA3">
      <w:pPr>
        <w:pageBreakBefore w:val="0"/>
        <w:widowControl w:val="0"/>
        <w:kinsoku/>
        <w:wordWrap/>
        <w:overflowPunct/>
        <w:topLinePunct w:val="0"/>
        <w:autoSpaceDE/>
        <w:autoSpaceDN/>
        <w:bidi w:val="0"/>
        <w:adjustRightInd/>
        <w:snapToGrid/>
        <w:spacing w:line="360" w:lineRule="auto"/>
        <w:jc w:val="center"/>
        <w:textAlignment w:val="auto"/>
        <w:rPr>
          <w:rFonts w:ascii="黑体" w:hAnsi="黑体" w:eastAsia="黑体"/>
          <w:color w:val="000000"/>
          <w:sz w:val="36"/>
          <w:szCs w:val="36"/>
        </w:rPr>
      </w:pPr>
    </w:p>
    <w:p w14:paraId="0C4333DB">
      <w:pPr>
        <w:pageBreakBefore w:val="0"/>
        <w:widowControl w:val="0"/>
        <w:kinsoku/>
        <w:wordWrap/>
        <w:overflowPunct/>
        <w:topLinePunct w:val="0"/>
        <w:autoSpaceDE/>
        <w:autoSpaceDN/>
        <w:bidi w:val="0"/>
        <w:adjustRightInd/>
        <w:snapToGrid/>
        <w:spacing w:line="360" w:lineRule="auto"/>
        <w:jc w:val="center"/>
        <w:textAlignment w:val="auto"/>
        <w:rPr>
          <w:rFonts w:ascii="黑体" w:hAnsi="黑体" w:eastAsia="黑体"/>
          <w:color w:val="000000"/>
          <w:sz w:val="36"/>
          <w:szCs w:val="36"/>
        </w:rPr>
      </w:pPr>
    </w:p>
    <w:sdt>
      <w:sdtPr>
        <w:rPr>
          <w:rFonts w:ascii="宋体" w:hAnsi="宋体" w:eastAsia="宋体" w:cs="Times New Roman"/>
          <w:kern w:val="2"/>
          <w:sz w:val="21"/>
          <w:szCs w:val="21"/>
          <w:lang w:val="en-US" w:eastAsia="zh-CN" w:bidi="ar-SA"/>
        </w:rPr>
        <w:id w:val="147454094"/>
        <w15:color w:val="DBDBDB"/>
        <w:docPartObj>
          <w:docPartGallery w:val="Table of Contents"/>
          <w:docPartUnique/>
        </w:docPartObj>
      </w:sdtPr>
      <w:sdtEndPr>
        <w:rPr>
          <w:rFonts w:hint="eastAsia" w:ascii="宋体" w:hAnsi="宋体" w:eastAsia="宋体" w:cs="宋体"/>
          <w:kern w:val="2"/>
          <w:sz w:val="24"/>
          <w:szCs w:val="24"/>
          <w:lang w:val="en-US" w:eastAsia="zh-CN" w:bidi="ar-SA"/>
        </w:rPr>
      </w:sdtEndPr>
      <w:sdtContent>
        <w:p w14:paraId="1547C29A">
          <w:pPr>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rPr>
              <w:b/>
              <w:bCs/>
              <w:sz w:val="30"/>
              <w:szCs w:val="30"/>
            </w:rPr>
          </w:pPr>
          <w:r>
            <w:rPr>
              <w:rFonts w:ascii="宋体" w:hAnsi="宋体" w:eastAsia="宋体"/>
              <w:b/>
              <w:bCs/>
              <w:sz w:val="30"/>
              <w:szCs w:val="30"/>
            </w:rPr>
            <w:t>目录</w:t>
          </w:r>
        </w:p>
        <w:p w14:paraId="7511360C">
          <w:pPr>
            <w:pStyle w:val="7"/>
            <w:tabs>
              <w:tab w:val="right" w:leader="dot" w:pos="8306"/>
            </w:tabs>
            <w:spacing w:line="360" w:lineRule="auto"/>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"1-1" \h \u </w:instrText>
          </w:r>
          <w:r>
            <w:rPr>
              <w:rFonts w:hint="eastAsia" w:ascii="宋体" w:hAnsi="宋体" w:eastAsia="宋体" w:cs="宋体"/>
              <w:sz w:val="24"/>
              <w:szCs w:val="24"/>
            </w:rPr>
            <w:fldChar w:fldCharType="separate"/>
          </w:r>
          <w:bookmarkStart w:id="20" w:name="_GoBack"/>
          <w:r>
            <w:rPr>
              <w:rFonts w:hint="eastAsia" w:ascii="宋体" w:hAnsi="宋体" w:eastAsia="宋体" w:cs="宋体"/>
              <w:szCs w:val="24"/>
            </w:rPr>
            <w:fldChar w:fldCharType="begin"/>
          </w:r>
          <w:r>
            <w:rPr>
              <w:rFonts w:hint="eastAsia" w:ascii="宋体" w:hAnsi="宋体" w:eastAsia="宋体" w:cs="宋体"/>
              <w:szCs w:val="24"/>
            </w:rPr>
            <w:instrText xml:space="preserve"> HYPERLINK \l _Toc10708 </w:instrText>
          </w:r>
          <w:r>
            <w:rPr>
              <w:rFonts w:hint="eastAsia" w:ascii="宋体" w:hAnsi="宋体" w:eastAsia="宋体" w:cs="宋体"/>
              <w:szCs w:val="24"/>
            </w:rPr>
            <w:fldChar w:fldCharType="separate"/>
          </w:r>
          <w:r>
            <w:rPr>
              <w:rFonts w:hint="eastAsia" w:ascii="Times New Roman" w:hAnsi="Times New Roman" w:eastAsia="宋体" w:cs="Times New Roman"/>
              <w:kern w:val="44"/>
              <w:szCs w:val="28"/>
              <w:lang w:val="en-US" w:eastAsia="zh-CN" w:bidi="ar-SA"/>
            </w:rPr>
            <w:t>一、</w:t>
          </w:r>
          <w:r>
            <w:rPr>
              <w:rFonts w:hint="eastAsia"/>
              <w:szCs w:val="28"/>
              <w:lang w:val="en-US" w:eastAsia="zh-CN"/>
            </w:rPr>
            <w:t>编制工作概述</w:t>
          </w:r>
          <w:r>
            <w:tab/>
          </w:r>
          <w:r>
            <w:fldChar w:fldCharType="begin"/>
          </w:r>
          <w:r>
            <w:instrText xml:space="preserve"> PAGEREF _Toc10708 \h </w:instrText>
          </w:r>
          <w:r>
            <w:fldChar w:fldCharType="separate"/>
          </w:r>
          <w:r>
            <w:t>1</w:t>
          </w:r>
          <w:r>
            <w:fldChar w:fldCharType="end"/>
          </w:r>
          <w:r>
            <w:rPr>
              <w:rFonts w:hint="eastAsia" w:ascii="宋体" w:hAnsi="宋体" w:eastAsia="宋体" w:cs="宋体"/>
              <w:szCs w:val="24"/>
            </w:rPr>
            <w:fldChar w:fldCharType="end"/>
          </w:r>
        </w:p>
        <w:p w14:paraId="2AD2ADE5">
          <w:pPr>
            <w:pStyle w:val="7"/>
            <w:tabs>
              <w:tab w:val="right" w:leader="dot" w:pos="8306"/>
            </w:tabs>
            <w:spacing w:line="360" w:lineRule="auto"/>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_Toc22044 </w:instrText>
          </w:r>
          <w:r>
            <w:rPr>
              <w:rFonts w:hint="eastAsia" w:ascii="宋体" w:hAnsi="宋体" w:eastAsia="宋体" w:cs="宋体"/>
              <w:szCs w:val="24"/>
            </w:rPr>
            <w:fldChar w:fldCharType="separate"/>
          </w:r>
          <w:r>
            <w:rPr>
              <w:rFonts w:hint="eastAsia"/>
              <w:szCs w:val="28"/>
              <w:lang w:val="en-US" w:eastAsia="zh-CN"/>
            </w:rPr>
            <w:t>（一）任务来源</w:t>
          </w:r>
          <w:r>
            <w:tab/>
          </w:r>
          <w:r>
            <w:fldChar w:fldCharType="begin"/>
          </w:r>
          <w:r>
            <w:instrText xml:space="preserve"> PAGEREF _Toc22044 \h </w:instrText>
          </w:r>
          <w:r>
            <w:fldChar w:fldCharType="separate"/>
          </w:r>
          <w:r>
            <w:t>1</w:t>
          </w:r>
          <w:r>
            <w:fldChar w:fldCharType="end"/>
          </w:r>
          <w:r>
            <w:rPr>
              <w:rFonts w:hint="eastAsia" w:ascii="宋体" w:hAnsi="宋体" w:eastAsia="宋体" w:cs="宋体"/>
              <w:szCs w:val="24"/>
            </w:rPr>
            <w:fldChar w:fldCharType="end"/>
          </w:r>
        </w:p>
        <w:p w14:paraId="6717EFE4">
          <w:pPr>
            <w:pStyle w:val="7"/>
            <w:tabs>
              <w:tab w:val="right" w:leader="dot" w:pos="8306"/>
            </w:tabs>
            <w:spacing w:line="360" w:lineRule="auto"/>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_Toc7742 </w:instrText>
          </w:r>
          <w:r>
            <w:rPr>
              <w:rFonts w:hint="eastAsia" w:ascii="宋体" w:hAnsi="宋体" w:eastAsia="宋体" w:cs="宋体"/>
              <w:szCs w:val="24"/>
            </w:rPr>
            <w:fldChar w:fldCharType="separate"/>
          </w:r>
          <w:r>
            <w:rPr>
              <w:rFonts w:hint="eastAsia"/>
              <w:szCs w:val="28"/>
              <w:lang w:val="en-US" w:eastAsia="zh-CN"/>
            </w:rPr>
            <w:t>（二）目的意义</w:t>
          </w:r>
          <w:r>
            <w:tab/>
          </w:r>
          <w:r>
            <w:fldChar w:fldCharType="begin"/>
          </w:r>
          <w:r>
            <w:instrText xml:space="preserve"> PAGEREF _Toc7742 \h </w:instrText>
          </w:r>
          <w:r>
            <w:fldChar w:fldCharType="separate"/>
          </w:r>
          <w:r>
            <w:t>1</w:t>
          </w:r>
          <w:r>
            <w:fldChar w:fldCharType="end"/>
          </w:r>
          <w:r>
            <w:rPr>
              <w:rFonts w:hint="eastAsia" w:ascii="宋体" w:hAnsi="宋体" w:eastAsia="宋体" w:cs="宋体"/>
              <w:szCs w:val="24"/>
            </w:rPr>
            <w:fldChar w:fldCharType="end"/>
          </w:r>
        </w:p>
        <w:p w14:paraId="3F7DAD4F">
          <w:pPr>
            <w:pStyle w:val="7"/>
            <w:tabs>
              <w:tab w:val="right" w:leader="dot" w:pos="8306"/>
            </w:tabs>
            <w:spacing w:line="360" w:lineRule="auto"/>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_Toc6106 </w:instrText>
          </w:r>
          <w:r>
            <w:rPr>
              <w:rFonts w:hint="eastAsia" w:ascii="宋体" w:hAnsi="宋体" w:eastAsia="宋体" w:cs="宋体"/>
              <w:szCs w:val="24"/>
            </w:rPr>
            <w:fldChar w:fldCharType="separate"/>
          </w:r>
          <w:r>
            <w:rPr>
              <w:rFonts w:hint="eastAsia"/>
              <w:szCs w:val="28"/>
              <w:lang w:val="en-US" w:eastAsia="zh-CN"/>
            </w:rPr>
            <w:t>（三）主要编制单位和人员</w:t>
          </w:r>
          <w:r>
            <w:tab/>
          </w:r>
          <w:r>
            <w:fldChar w:fldCharType="begin"/>
          </w:r>
          <w:r>
            <w:instrText xml:space="preserve"> PAGEREF _Toc6106 \h </w:instrText>
          </w:r>
          <w:r>
            <w:fldChar w:fldCharType="separate"/>
          </w:r>
          <w:r>
            <w:t>2</w:t>
          </w:r>
          <w:r>
            <w:fldChar w:fldCharType="end"/>
          </w:r>
          <w:r>
            <w:rPr>
              <w:rFonts w:hint="eastAsia" w:ascii="宋体" w:hAnsi="宋体" w:eastAsia="宋体" w:cs="宋体"/>
              <w:szCs w:val="24"/>
            </w:rPr>
            <w:fldChar w:fldCharType="end"/>
          </w:r>
        </w:p>
        <w:p w14:paraId="3CF2A2AE">
          <w:pPr>
            <w:pStyle w:val="7"/>
            <w:tabs>
              <w:tab w:val="right" w:leader="dot" w:pos="8306"/>
            </w:tabs>
            <w:spacing w:line="360" w:lineRule="auto"/>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_Toc18989 </w:instrText>
          </w:r>
          <w:r>
            <w:rPr>
              <w:rFonts w:hint="eastAsia" w:ascii="宋体" w:hAnsi="宋体" w:eastAsia="宋体" w:cs="宋体"/>
              <w:szCs w:val="24"/>
            </w:rPr>
            <w:fldChar w:fldCharType="separate"/>
          </w:r>
          <w:r>
            <w:rPr>
              <w:rFonts w:hint="eastAsia"/>
              <w:szCs w:val="28"/>
              <w:lang w:val="en-US" w:eastAsia="zh-CN"/>
            </w:rPr>
            <w:t>（四）主要工作过程</w:t>
          </w:r>
          <w:r>
            <w:tab/>
          </w:r>
          <w:r>
            <w:fldChar w:fldCharType="begin"/>
          </w:r>
          <w:r>
            <w:instrText xml:space="preserve"> PAGEREF _Toc18989 \h </w:instrText>
          </w:r>
          <w:r>
            <w:fldChar w:fldCharType="separate"/>
          </w:r>
          <w:r>
            <w:t>2</w:t>
          </w:r>
          <w:r>
            <w:fldChar w:fldCharType="end"/>
          </w:r>
          <w:r>
            <w:rPr>
              <w:rFonts w:hint="eastAsia" w:ascii="宋体" w:hAnsi="宋体" w:eastAsia="宋体" w:cs="宋体"/>
              <w:szCs w:val="24"/>
            </w:rPr>
            <w:fldChar w:fldCharType="end"/>
          </w:r>
        </w:p>
        <w:p w14:paraId="276522B0">
          <w:pPr>
            <w:pStyle w:val="7"/>
            <w:tabs>
              <w:tab w:val="right" w:leader="dot" w:pos="8306"/>
            </w:tabs>
            <w:spacing w:line="360" w:lineRule="auto"/>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_Toc22068 </w:instrText>
          </w:r>
          <w:r>
            <w:rPr>
              <w:rFonts w:hint="eastAsia" w:ascii="宋体" w:hAnsi="宋体" w:eastAsia="宋体" w:cs="宋体"/>
              <w:szCs w:val="24"/>
            </w:rPr>
            <w:fldChar w:fldCharType="separate"/>
          </w:r>
          <w:r>
            <w:rPr>
              <w:rFonts w:hint="eastAsia"/>
              <w:szCs w:val="28"/>
              <w:lang w:val="en-US" w:eastAsia="zh-CN"/>
            </w:rPr>
            <w:t>（五）编制背景</w:t>
          </w:r>
          <w:r>
            <w:tab/>
          </w:r>
          <w:r>
            <w:fldChar w:fldCharType="begin"/>
          </w:r>
          <w:r>
            <w:instrText xml:space="preserve"> PAGEREF _Toc22068 \h </w:instrText>
          </w:r>
          <w:r>
            <w:fldChar w:fldCharType="separate"/>
          </w:r>
          <w:r>
            <w:t>2</w:t>
          </w:r>
          <w:r>
            <w:fldChar w:fldCharType="end"/>
          </w:r>
          <w:r>
            <w:rPr>
              <w:rFonts w:hint="eastAsia" w:ascii="宋体" w:hAnsi="宋体" w:eastAsia="宋体" w:cs="宋体"/>
              <w:szCs w:val="24"/>
            </w:rPr>
            <w:fldChar w:fldCharType="end"/>
          </w:r>
        </w:p>
        <w:p w14:paraId="235B53B4">
          <w:pPr>
            <w:pStyle w:val="7"/>
            <w:tabs>
              <w:tab w:val="right" w:leader="dot" w:pos="8306"/>
            </w:tabs>
            <w:spacing w:line="360" w:lineRule="auto"/>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_Toc1999 </w:instrText>
          </w:r>
          <w:r>
            <w:rPr>
              <w:rFonts w:hint="eastAsia" w:ascii="宋体" w:hAnsi="宋体" w:eastAsia="宋体" w:cs="宋体"/>
              <w:szCs w:val="24"/>
            </w:rPr>
            <w:fldChar w:fldCharType="separate"/>
          </w:r>
          <w:r>
            <w:rPr>
              <w:rFonts w:hint="eastAsia"/>
              <w:szCs w:val="28"/>
              <w:lang w:val="en-US" w:eastAsia="zh-CN"/>
            </w:rPr>
            <w:t>二、编制原则和主要内容</w:t>
          </w:r>
          <w:r>
            <w:tab/>
          </w:r>
          <w:r>
            <w:fldChar w:fldCharType="begin"/>
          </w:r>
          <w:r>
            <w:instrText xml:space="preserve"> PAGEREF _Toc1999 \h </w:instrText>
          </w:r>
          <w:r>
            <w:fldChar w:fldCharType="separate"/>
          </w:r>
          <w:r>
            <w:t>3</w:t>
          </w:r>
          <w:r>
            <w:fldChar w:fldCharType="end"/>
          </w:r>
          <w:r>
            <w:rPr>
              <w:rFonts w:hint="eastAsia" w:ascii="宋体" w:hAnsi="宋体" w:eastAsia="宋体" w:cs="宋体"/>
              <w:szCs w:val="24"/>
            </w:rPr>
            <w:fldChar w:fldCharType="end"/>
          </w:r>
        </w:p>
        <w:p w14:paraId="6972B938">
          <w:pPr>
            <w:pStyle w:val="7"/>
            <w:tabs>
              <w:tab w:val="right" w:leader="dot" w:pos="8306"/>
            </w:tabs>
            <w:spacing w:line="360" w:lineRule="auto"/>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_Toc30171 </w:instrText>
          </w:r>
          <w:r>
            <w:rPr>
              <w:rFonts w:hint="eastAsia" w:ascii="宋体" w:hAnsi="宋体" w:eastAsia="宋体" w:cs="宋体"/>
              <w:szCs w:val="24"/>
            </w:rPr>
            <w:fldChar w:fldCharType="separate"/>
          </w:r>
          <w:r>
            <w:rPr>
              <w:rFonts w:hint="eastAsia"/>
              <w:szCs w:val="28"/>
              <w:lang w:val="en-US" w:eastAsia="zh-CN"/>
            </w:rPr>
            <w:t>（一）编制原则</w:t>
          </w:r>
          <w:r>
            <w:tab/>
          </w:r>
          <w:r>
            <w:fldChar w:fldCharType="begin"/>
          </w:r>
          <w:r>
            <w:instrText xml:space="preserve"> PAGEREF _Toc30171 \h </w:instrText>
          </w:r>
          <w:r>
            <w:fldChar w:fldCharType="separate"/>
          </w:r>
          <w:r>
            <w:t>3</w:t>
          </w:r>
          <w:r>
            <w:fldChar w:fldCharType="end"/>
          </w:r>
          <w:r>
            <w:rPr>
              <w:rFonts w:hint="eastAsia" w:ascii="宋体" w:hAnsi="宋体" w:eastAsia="宋体" w:cs="宋体"/>
              <w:szCs w:val="24"/>
            </w:rPr>
            <w:fldChar w:fldCharType="end"/>
          </w:r>
        </w:p>
        <w:p w14:paraId="61CC1C4E">
          <w:pPr>
            <w:pStyle w:val="7"/>
            <w:tabs>
              <w:tab w:val="right" w:leader="dot" w:pos="8306"/>
            </w:tabs>
            <w:spacing w:line="360" w:lineRule="auto"/>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_Toc22345 </w:instrText>
          </w:r>
          <w:r>
            <w:rPr>
              <w:rFonts w:hint="eastAsia" w:ascii="宋体" w:hAnsi="宋体" w:eastAsia="宋体" w:cs="宋体"/>
              <w:szCs w:val="24"/>
            </w:rPr>
            <w:fldChar w:fldCharType="separate"/>
          </w:r>
          <w:r>
            <w:rPr>
              <w:rFonts w:hint="eastAsia"/>
              <w:szCs w:val="28"/>
              <w:lang w:val="en-US" w:eastAsia="zh-CN"/>
            </w:rPr>
            <w:t>（二）送审文件名称与组成</w:t>
          </w:r>
          <w:r>
            <w:tab/>
          </w:r>
          <w:r>
            <w:fldChar w:fldCharType="begin"/>
          </w:r>
          <w:r>
            <w:instrText xml:space="preserve"> PAGEREF _Toc22345 \h </w:instrText>
          </w:r>
          <w:r>
            <w:fldChar w:fldCharType="separate"/>
          </w:r>
          <w:r>
            <w:t>3</w:t>
          </w:r>
          <w:r>
            <w:fldChar w:fldCharType="end"/>
          </w:r>
          <w:r>
            <w:rPr>
              <w:rFonts w:hint="eastAsia" w:ascii="宋体" w:hAnsi="宋体" w:eastAsia="宋体" w:cs="宋体"/>
              <w:szCs w:val="24"/>
            </w:rPr>
            <w:fldChar w:fldCharType="end"/>
          </w:r>
        </w:p>
        <w:p w14:paraId="47608059">
          <w:pPr>
            <w:pStyle w:val="7"/>
            <w:tabs>
              <w:tab w:val="right" w:leader="dot" w:pos="8306"/>
            </w:tabs>
            <w:spacing w:line="360" w:lineRule="auto"/>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_Toc21434 </w:instrText>
          </w:r>
          <w:r>
            <w:rPr>
              <w:rFonts w:hint="eastAsia" w:ascii="宋体" w:hAnsi="宋体" w:eastAsia="宋体" w:cs="宋体"/>
              <w:szCs w:val="24"/>
            </w:rPr>
            <w:fldChar w:fldCharType="separate"/>
          </w:r>
          <w:r>
            <w:rPr>
              <w:rFonts w:hint="eastAsia"/>
              <w:szCs w:val="28"/>
              <w:lang w:val="en-US" w:eastAsia="zh-CN"/>
            </w:rPr>
            <w:t>（三）文件</w:t>
          </w:r>
          <w:r>
            <w:rPr>
              <w:rFonts w:hint="default"/>
              <w:szCs w:val="28"/>
              <w:lang w:val="en-US" w:eastAsia="zh-CN"/>
            </w:rPr>
            <w:t>各部分主要内容及编制说明</w:t>
          </w:r>
          <w:r>
            <w:tab/>
          </w:r>
          <w:r>
            <w:fldChar w:fldCharType="begin"/>
          </w:r>
          <w:r>
            <w:instrText xml:space="preserve"> PAGEREF _Toc21434 \h </w:instrText>
          </w:r>
          <w:r>
            <w:fldChar w:fldCharType="separate"/>
          </w:r>
          <w:r>
            <w:t>3</w:t>
          </w:r>
          <w:r>
            <w:fldChar w:fldCharType="end"/>
          </w:r>
          <w:r>
            <w:rPr>
              <w:rFonts w:hint="eastAsia" w:ascii="宋体" w:hAnsi="宋体" w:eastAsia="宋体" w:cs="宋体"/>
              <w:szCs w:val="24"/>
            </w:rPr>
            <w:fldChar w:fldCharType="end"/>
          </w:r>
        </w:p>
        <w:p w14:paraId="47F0081E">
          <w:pPr>
            <w:pStyle w:val="7"/>
            <w:tabs>
              <w:tab w:val="right" w:leader="dot" w:pos="8306"/>
            </w:tabs>
            <w:spacing w:line="360" w:lineRule="auto"/>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_Toc20971 </w:instrText>
          </w:r>
          <w:r>
            <w:rPr>
              <w:rFonts w:hint="eastAsia" w:ascii="宋体" w:hAnsi="宋体" w:eastAsia="宋体" w:cs="宋体"/>
              <w:szCs w:val="24"/>
            </w:rPr>
            <w:fldChar w:fldCharType="separate"/>
          </w:r>
          <w:r>
            <w:rPr>
              <w:rFonts w:hint="eastAsia"/>
              <w:szCs w:val="28"/>
              <w:lang w:val="en-US" w:eastAsia="zh-CN"/>
            </w:rPr>
            <w:t>三、编制过程</w:t>
          </w:r>
          <w:r>
            <w:tab/>
          </w:r>
          <w:r>
            <w:fldChar w:fldCharType="begin"/>
          </w:r>
          <w:r>
            <w:instrText xml:space="preserve"> PAGEREF _Toc20971 \h </w:instrText>
          </w:r>
          <w:r>
            <w:fldChar w:fldCharType="separate"/>
          </w:r>
          <w:r>
            <w:t>4</w:t>
          </w:r>
          <w:r>
            <w:fldChar w:fldCharType="end"/>
          </w:r>
          <w:r>
            <w:rPr>
              <w:rFonts w:hint="eastAsia" w:ascii="宋体" w:hAnsi="宋体" w:eastAsia="宋体" w:cs="宋体"/>
              <w:szCs w:val="24"/>
            </w:rPr>
            <w:fldChar w:fldCharType="end"/>
          </w:r>
        </w:p>
        <w:p w14:paraId="7973A5F8">
          <w:pPr>
            <w:pStyle w:val="7"/>
            <w:tabs>
              <w:tab w:val="right" w:leader="dot" w:pos="8306"/>
            </w:tabs>
            <w:spacing w:line="360" w:lineRule="auto"/>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_Toc15295 </w:instrText>
          </w:r>
          <w:r>
            <w:rPr>
              <w:rFonts w:hint="eastAsia" w:ascii="宋体" w:hAnsi="宋体" w:eastAsia="宋体" w:cs="宋体"/>
              <w:szCs w:val="24"/>
            </w:rPr>
            <w:fldChar w:fldCharType="separate"/>
          </w:r>
          <w:r>
            <w:rPr>
              <w:rFonts w:hint="eastAsia"/>
              <w:szCs w:val="28"/>
              <w:lang w:val="en-US" w:eastAsia="zh-CN"/>
            </w:rPr>
            <w:t>（一）起草阶段</w:t>
          </w:r>
          <w:r>
            <w:tab/>
          </w:r>
          <w:r>
            <w:fldChar w:fldCharType="begin"/>
          </w:r>
          <w:r>
            <w:instrText xml:space="preserve"> PAGEREF _Toc15295 \h </w:instrText>
          </w:r>
          <w:r>
            <w:fldChar w:fldCharType="separate"/>
          </w:r>
          <w:r>
            <w:t>4</w:t>
          </w:r>
          <w:r>
            <w:fldChar w:fldCharType="end"/>
          </w:r>
          <w:r>
            <w:rPr>
              <w:rFonts w:hint="eastAsia" w:ascii="宋体" w:hAnsi="宋体" w:eastAsia="宋体" w:cs="宋体"/>
              <w:szCs w:val="24"/>
            </w:rPr>
            <w:fldChar w:fldCharType="end"/>
          </w:r>
        </w:p>
        <w:p w14:paraId="347015A9">
          <w:pPr>
            <w:pStyle w:val="7"/>
            <w:tabs>
              <w:tab w:val="right" w:leader="dot" w:pos="8306"/>
            </w:tabs>
            <w:spacing w:line="360" w:lineRule="auto"/>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_Toc21565 </w:instrText>
          </w:r>
          <w:r>
            <w:rPr>
              <w:rFonts w:hint="eastAsia" w:ascii="宋体" w:hAnsi="宋体" w:eastAsia="宋体" w:cs="宋体"/>
              <w:szCs w:val="24"/>
            </w:rPr>
            <w:fldChar w:fldCharType="separate"/>
          </w:r>
          <w:r>
            <w:rPr>
              <w:rFonts w:hint="eastAsia"/>
              <w:szCs w:val="28"/>
              <w:lang w:val="en-US" w:eastAsia="zh-CN"/>
            </w:rPr>
            <w:t>（二）征求意见稿阶段</w:t>
          </w:r>
          <w:r>
            <w:tab/>
          </w:r>
          <w:r>
            <w:fldChar w:fldCharType="begin"/>
          </w:r>
          <w:r>
            <w:instrText xml:space="preserve"> PAGEREF _Toc21565 \h </w:instrText>
          </w:r>
          <w:r>
            <w:fldChar w:fldCharType="separate"/>
          </w:r>
          <w:r>
            <w:t>4</w:t>
          </w:r>
          <w:r>
            <w:fldChar w:fldCharType="end"/>
          </w:r>
          <w:r>
            <w:rPr>
              <w:rFonts w:hint="eastAsia" w:ascii="宋体" w:hAnsi="宋体" w:eastAsia="宋体" w:cs="宋体"/>
              <w:szCs w:val="24"/>
            </w:rPr>
            <w:fldChar w:fldCharType="end"/>
          </w:r>
        </w:p>
        <w:p w14:paraId="1514B1E9">
          <w:pPr>
            <w:pStyle w:val="7"/>
            <w:tabs>
              <w:tab w:val="right" w:leader="dot" w:pos="8306"/>
            </w:tabs>
            <w:spacing w:line="360" w:lineRule="auto"/>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_Toc16194 </w:instrText>
          </w:r>
          <w:r>
            <w:rPr>
              <w:rFonts w:hint="eastAsia" w:ascii="宋体" w:hAnsi="宋体" w:eastAsia="宋体" w:cs="宋体"/>
              <w:szCs w:val="24"/>
            </w:rPr>
            <w:fldChar w:fldCharType="separate"/>
          </w:r>
          <w:r>
            <w:rPr>
              <w:rFonts w:hint="eastAsia"/>
              <w:szCs w:val="28"/>
              <w:lang w:val="en-US" w:eastAsia="zh-CN"/>
            </w:rPr>
            <w:t>（三）送审稿阶段</w:t>
          </w:r>
          <w:r>
            <w:tab/>
          </w:r>
          <w:r>
            <w:fldChar w:fldCharType="begin"/>
          </w:r>
          <w:r>
            <w:instrText xml:space="preserve"> PAGEREF _Toc16194 \h </w:instrText>
          </w:r>
          <w:r>
            <w:fldChar w:fldCharType="separate"/>
          </w:r>
          <w:r>
            <w:t>4</w:t>
          </w:r>
          <w:r>
            <w:fldChar w:fldCharType="end"/>
          </w:r>
          <w:r>
            <w:rPr>
              <w:rFonts w:hint="eastAsia" w:ascii="宋体" w:hAnsi="宋体" w:eastAsia="宋体" w:cs="宋体"/>
              <w:szCs w:val="24"/>
            </w:rPr>
            <w:fldChar w:fldCharType="end"/>
          </w:r>
        </w:p>
        <w:p w14:paraId="55C3FE63">
          <w:pPr>
            <w:pStyle w:val="7"/>
            <w:tabs>
              <w:tab w:val="right" w:leader="dot" w:pos="8306"/>
            </w:tabs>
            <w:spacing w:line="360" w:lineRule="auto"/>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_Toc32102 </w:instrText>
          </w:r>
          <w:r>
            <w:rPr>
              <w:rFonts w:hint="eastAsia" w:ascii="宋体" w:hAnsi="宋体" w:eastAsia="宋体" w:cs="宋体"/>
              <w:szCs w:val="24"/>
            </w:rPr>
            <w:fldChar w:fldCharType="separate"/>
          </w:r>
          <w:r>
            <w:rPr>
              <w:rFonts w:hint="eastAsia"/>
              <w:szCs w:val="28"/>
              <w:lang w:val="en-US" w:eastAsia="zh-CN"/>
            </w:rPr>
            <w:t>四、与有关法律法规和强制性标准的关系</w:t>
          </w:r>
          <w:r>
            <w:tab/>
          </w:r>
          <w:r>
            <w:fldChar w:fldCharType="begin"/>
          </w:r>
          <w:r>
            <w:instrText xml:space="preserve"> PAGEREF _Toc32102 \h </w:instrText>
          </w:r>
          <w:r>
            <w:fldChar w:fldCharType="separate"/>
          </w:r>
          <w:r>
            <w:t>4</w:t>
          </w:r>
          <w:r>
            <w:fldChar w:fldCharType="end"/>
          </w:r>
          <w:r>
            <w:rPr>
              <w:rFonts w:hint="eastAsia" w:ascii="宋体" w:hAnsi="宋体" w:eastAsia="宋体" w:cs="宋体"/>
              <w:szCs w:val="24"/>
            </w:rPr>
            <w:fldChar w:fldCharType="end"/>
          </w:r>
        </w:p>
        <w:p w14:paraId="0EC747B3">
          <w:pPr>
            <w:pStyle w:val="7"/>
            <w:tabs>
              <w:tab w:val="right" w:leader="dot" w:pos="8306"/>
            </w:tabs>
            <w:spacing w:line="360" w:lineRule="auto"/>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_Toc12115 </w:instrText>
          </w:r>
          <w:r>
            <w:rPr>
              <w:rFonts w:hint="eastAsia" w:ascii="宋体" w:hAnsi="宋体" w:eastAsia="宋体" w:cs="宋体"/>
              <w:szCs w:val="24"/>
            </w:rPr>
            <w:fldChar w:fldCharType="separate"/>
          </w:r>
          <w:r>
            <w:rPr>
              <w:rFonts w:hint="eastAsia"/>
              <w:szCs w:val="28"/>
              <w:lang w:val="en-US" w:eastAsia="zh-CN"/>
            </w:rPr>
            <w:t>五、重大意见分歧处理意见和理由</w:t>
          </w:r>
          <w:r>
            <w:tab/>
          </w:r>
          <w:r>
            <w:fldChar w:fldCharType="begin"/>
          </w:r>
          <w:r>
            <w:instrText xml:space="preserve"> PAGEREF _Toc12115 \h </w:instrText>
          </w:r>
          <w:r>
            <w:fldChar w:fldCharType="separate"/>
          </w:r>
          <w:r>
            <w:t>5</w:t>
          </w:r>
          <w:r>
            <w:fldChar w:fldCharType="end"/>
          </w:r>
          <w:r>
            <w:rPr>
              <w:rFonts w:hint="eastAsia" w:ascii="宋体" w:hAnsi="宋体" w:eastAsia="宋体" w:cs="宋体"/>
              <w:szCs w:val="24"/>
            </w:rPr>
            <w:fldChar w:fldCharType="end"/>
          </w:r>
        </w:p>
        <w:p w14:paraId="5092D4A0">
          <w:pPr>
            <w:pStyle w:val="7"/>
            <w:tabs>
              <w:tab w:val="right" w:leader="dot" w:pos="8306"/>
            </w:tabs>
            <w:spacing w:line="360" w:lineRule="auto"/>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_Toc22190 </w:instrText>
          </w:r>
          <w:r>
            <w:rPr>
              <w:rFonts w:hint="eastAsia" w:ascii="宋体" w:hAnsi="宋体" w:eastAsia="宋体" w:cs="宋体"/>
              <w:szCs w:val="24"/>
            </w:rPr>
            <w:fldChar w:fldCharType="separate"/>
          </w:r>
          <w:r>
            <w:rPr>
              <w:rFonts w:hint="eastAsia"/>
              <w:szCs w:val="28"/>
              <w:lang w:val="en-US" w:eastAsia="zh-CN"/>
            </w:rPr>
            <w:t>六、作为强制性标准和推荐性国家标准的建议</w:t>
          </w:r>
          <w:r>
            <w:tab/>
          </w:r>
          <w:r>
            <w:fldChar w:fldCharType="begin"/>
          </w:r>
          <w:r>
            <w:instrText xml:space="preserve"> PAGEREF _Toc22190 \h </w:instrText>
          </w:r>
          <w:r>
            <w:fldChar w:fldCharType="separate"/>
          </w:r>
          <w:r>
            <w:t>5</w:t>
          </w:r>
          <w:r>
            <w:fldChar w:fldCharType="end"/>
          </w:r>
          <w:r>
            <w:rPr>
              <w:rFonts w:hint="eastAsia" w:ascii="宋体" w:hAnsi="宋体" w:eastAsia="宋体" w:cs="宋体"/>
              <w:szCs w:val="24"/>
            </w:rPr>
            <w:fldChar w:fldCharType="end"/>
          </w:r>
        </w:p>
        <w:p w14:paraId="697CF3AD">
          <w:pPr>
            <w:pStyle w:val="7"/>
            <w:tabs>
              <w:tab w:val="right" w:leader="dot" w:pos="8306"/>
            </w:tabs>
            <w:spacing w:line="360" w:lineRule="auto"/>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_Toc25262 </w:instrText>
          </w:r>
          <w:r>
            <w:rPr>
              <w:rFonts w:hint="eastAsia" w:ascii="宋体" w:hAnsi="宋体" w:eastAsia="宋体" w:cs="宋体"/>
              <w:szCs w:val="24"/>
            </w:rPr>
            <w:fldChar w:fldCharType="separate"/>
          </w:r>
          <w:r>
            <w:rPr>
              <w:rFonts w:hint="eastAsia"/>
              <w:szCs w:val="28"/>
              <w:lang w:val="en-US" w:eastAsia="zh-CN"/>
            </w:rPr>
            <w:t>七、贯彻该文件的要求和措施建议</w:t>
          </w:r>
          <w:r>
            <w:tab/>
          </w:r>
          <w:r>
            <w:fldChar w:fldCharType="begin"/>
          </w:r>
          <w:r>
            <w:instrText xml:space="preserve"> PAGEREF _Toc25262 \h </w:instrText>
          </w:r>
          <w:r>
            <w:fldChar w:fldCharType="separate"/>
          </w:r>
          <w:r>
            <w:t>5</w:t>
          </w:r>
          <w:r>
            <w:fldChar w:fldCharType="end"/>
          </w:r>
          <w:r>
            <w:rPr>
              <w:rFonts w:hint="eastAsia" w:ascii="宋体" w:hAnsi="宋体" w:eastAsia="宋体" w:cs="宋体"/>
              <w:szCs w:val="24"/>
            </w:rPr>
            <w:fldChar w:fldCharType="end"/>
          </w:r>
        </w:p>
        <w:p w14:paraId="6814544D">
          <w:pPr>
            <w:pStyle w:val="7"/>
            <w:tabs>
              <w:tab w:val="right" w:leader="dot" w:pos="8306"/>
            </w:tabs>
            <w:spacing w:line="360" w:lineRule="auto"/>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_Toc19498 </w:instrText>
          </w:r>
          <w:r>
            <w:rPr>
              <w:rFonts w:hint="eastAsia" w:ascii="宋体" w:hAnsi="宋体" w:eastAsia="宋体" w:cs="宋体"/>
              <w:szCs w:val="24"/>
            </w:rPr>
            <w:fldChar w:fldCharType="separate"/>
          </w:r>
          <w:r>
            <w:rPr>
              <w:rFonts w:hint="eastAsia"/>
              <w:szCs w:val="28"/>
              <w:lang w:val="en-US" w:eastAsia="zh-CN"/>
            </w:rPr>
            <w:t>八、废止现行有关标准的建议</w:t>
          </w:r>
          <w:r>
            <w:tab/>
          </w:r>
          <w:r>
            <w:fldChar w:fldCharType="begin"/>
          </w:r>
          <w:r>
            <w:instrText xml:space="preserve"> PAGEREF _Toc19498 \h </w:instrText>
          </w:r>
          <w:r>
            <w:fldChar w:fldCharType="separate"/>
          </w:r>
          <w:r>
            <w:t>5</w:t>
          </w:r>
          <w:r>
            <w:fldChar w:fldCharType="end"/>
          </w:r>
          <w:r>
            <w:rPr>
              <w:rFonts w:hint="eastAsia" w:ascii="宋体" w:hAnsi="宋体" w:eastAsia="宋体" w:cs="宋体"/>
              <w:szCs w:val="24"/>
            </w:rPr>
            <w:fldChar w:fldCharType="end"/>
          </w:r>
        </w:p>
        <w:p w14:paraId="11CA542D">
          <w:pPr>
            <w:pStyle w:val="7"/>
            <w:tabs>
              <w:tab w:val="right" w:leader="dot" w:pos="8306"/>
            </w:tabs>
            <w:spacing w:line="360" w:lineRule="auto"/>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_Toc27694 </w:instrText>
          </w:r>
          <w:r>
            <w:rPr>
              <w:rFonts w:hint="eastAsia" w:ascii="宋体" w:hAnsi="宋体" w:eastAsia="宋体" w:cs="宋体"/>
              <w:szCs w:val="24"/>
            </w:rPr>
            <w:fldChar w:fldCharType="separate"/>
          </w:r>
          <w:r>
            <w:rPr>
              <w:rFonts w:hint="eastAsia"/>
              <w:szCs w:val="28"/>
              <w:lang w:val="en-US" w:eastAsia="zh-CN"/>
            </w:rPr>
            <w:t>九、其他应予说明的事项</w:t>
          </w:r>
          <w:r>
            <w:tab/>
          </w:r>
          <w:r>
            <w:fldChar w:fldCharType="begin"/>
          </w:r>
          <w:r>
            <w:instrText xml:space="preserve"> PAGEREF _Toc27694 \h </w:instrText>
          </w:r>
          <w:r>
            <w:fldChar w:fldCharType="separate"/>
          </w:r>
          <w:r>
            <w:t>5</w:t>
          </w:r>
          <w:r>
            <w:fldChar w:fldCharType="end"/>
          </w:r>
          <w:r>
            <w:rPr>
              <w:rFonts w:hint="eastAsia" w:ascii="宋体" w:hAnsi="宋体" w:eastAsia="宋体" w:cs="宋体"/>
              <w:szCs w:val="24"/>
            </w:rPr>
            <w:fldChar w:fldCharType="end"/>
          </w:r>
          <w:bookmarkEnd w:id="20"/>
        </w:p>
        <w:p w14:paraId="19E963BF">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Cs w:val="24"/>
            </w:rPr>
            <w:fldChar w:fldCharType="end"/>
          </w:r>
        </w:p>
      </w:sdtContent>
    </w:sdt>
    <w:p w14:paraId="0EC5E274">
      <w:pPr>
        <w:pageBreakBefore w:val="0"/>
        <w:widowControl w:val="0"/>
        <w:kinsoku/>
        <w:wordWrap/>
        <w:overflowPunct/>
        <w:topLinePunct w:val="0"/>
        <w:autoSpaceDE/>
        <w:autoSpaceDN/>
        <w:bidi w:val="0"/>
        <w:adjustRightInd/>
        <w:snapToGrid/>
        <w:spacing w:line="360" w:lineRule="auto"/>
        <w:textAlignment w:val="auto"/>
      </w:pPr>
    </w:p>
    <w:p w14:paraId="6C11581F">
      <w:pPr>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olor w:val="000000"/>
          <w:sz w:val="36"/>
          <w:szCs w:val="36"/>
          <w:lang w:val="en-US" w:eastAsia="zh-CN"/>
        </w:rPr>
      </w:pPr>
    </w:p>
    <w:p w14:paraId="308B67E1">
      <w:pPr>
        <w:pageBreakBefore w:val="0"/>
        <w:widowControl w:val="0"/>
        <w:kinsoku/>
        <w:wordWrap/>
        <w:overflowPunct/>
        <w:topLinePunct w:val="0"/>
        <w:autoSpaceDE/>
        <w:autoSpaceDN/>
        <w:bidi w:val="0"/>
        <w:adjustRightInd/>
        <w:snapToGrid/>
        <w:spacing w:line="360" w:lineRule="auto"/>
        <w:jc w:val="both"/>
        <w:textAlignment w:val="auto"/>
        <w:rPr>
          <w:rFonts w:ascii="黑体" w:hAnsi="黑体" w:eastAsia="黑体"/>
          <w:color w:val="000000"/>
          <w:sz w:val="36"/>
          <w:szCs w:val="36"/>
        </w:rPr>
      </w:pPr>
    </w:p>
    <w:p w14:paraId="1ABCE741">
      <w:pPr>
        <w:pageBreakBefore w:val="0"/>
        <w:widowControl w:val="0"/>
        <w:kinsoku/>
        <w:wordWrap/>
        <w:overflowPunct/>
        <w:topLinePunct w:val="0"/>
        <w:autoSpaceDE/>
        <w:autoSpaceDN/>
        <w:bidi w:val="0"/>
        <w:adjustRightInd/>
        <w:snapToGrid/>
        <w:spacing w:line="360" w:lineRule="auto"/>
        <w:jc w:val="center"/>
        <w:textAlignment w:val="auto"/>
        <w:rPr>
          <w:rFonts w:ascii="黑体" w:hAnsi="黑体" w:eastAsia="黑体"/>
          <w:color w:val="000000"/>
          <w:sz w:val="36"/>
          <w:szCs w:val="36"/>
        </w:rPr>
      </w:pPr>
    </w:p>
    <w:p w14:paraId="57F8A176">
      <w:pPr>
        <w:pageBreakBefore w:val="0"/>
        <w:widowControl w:val="0"/>
        <w:kinsoku/>
        <w:wordWrap/>
        <w:overflowPunct/>
        <w:topLinePunct w:val="0"/>
        <w:autoSpaceDE/>
        <w:autoSpaceDN/>
        <w:bidi w:val="0"/>
        <w:adjustRightInd/>
        <w:snapToGrid/>
        <w:spacing w:line="360" w:lineRule="auto"/>
        <w:jc w:val="center"/>
        <w:textAlignment w:val="auto"/>
        <w:rPr>
          <w:rFonts w:ascii="黑体" w:hAnsi="黑体" w:eastAsia="黑体"/>
          <w:color w:val="000000"/>
          <w:sz w:val="36"/>
          <w:szCs w:val="36"/>
        </w:rPr>
        <w:sectPr>
          <w:footerReference r:id="rId3" w:type="default"/>
          <w:pgSz w:w="11906" w:h="16838"/>
          <w:pgMar w:top="1440" w:right="1800" w:bottom="1440" w:left="1800" w:header="851" w:footer="992" w:gutter="0"/>
          <w:cols w:space="425" w:num="1"/>
          <w:docGrid w:type="lines" w:linePitch="312" w:charSpace="0"/>
        </w:sectPr>
      </w:pPr>
    </w:p>
    <w:p w14:paraId="0B1F252E">
      <w:pPr>
        <w:pStyle w:val="2"/>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textAlignment w:val="auto"/>
        <w:rPr>
          <w:rFonts w:hint="eastAsia"/>
          <w:color w:val="FF0000"/>
          <w:sz w:val="28"/>
          <w:szCs w:val="28"/>
          <w:lang w:val="en-US" w:eastAsia="zh-CN"/>
        </w:rPr>
      </w:pPr>
      <w:bookmarkStart w:id="0" w:name="_Toc10708"/>
      <w:r>
        <w:rPr>
          <w:rFonts w:hint="eastAsia" w:ascii="Times New Roman" w:hAnsi="Times New Roman" w:eastAsia="宋体" w:cs="Times New Roman"/>
          <w:b/>
          <w:color w:val="FF0000"/>
          <w:kern w:val="44"/>
          <w:sz w:val="28"/>
          <w:szCs w:val="28"/>
          <w:lang w:val="en-US" w:eastAsia="zh-CN" w:bidi="ar-SA"/>
        </w:rPr>
        <w:t>一、</w:t>
      </w:r>
      <w:r>
        <w:rPr>
          <w:rFonts w:hint="eastAsia"/>
          <w:color w:val="FF0000"/>
          <w:sz w:val="28"/>
          <w:szCs w:val="28"/>
          <w:lang w:val="en-US" w:eastAsia="zh-CN"/>
        </w:rPr>
        <w:t>编制工作概述</w:t>
      </w:r>
      <w:bookmarkEnd w:id="0"/>
    </w:p>
    <w:p w14:paraId="60A9A65E">
      <w:pPr>
        <w:pStyle w:val="2"/>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textAlignment w:val="auto"/>
        <w:rPr>
          <w:rFonts w:hint="eastAsia"/>
          <w:b/>
          <w:color w:val="FF0000"/>
          <w:sz w:val="28"/>
          <w:szCs w:val="28"/>
          <w:lang w:val="en-US" w:eastAsia="zh-CN"/>
        </w:rPr>
      </w:pPr>
      <w:bookmarkStart w:id="1" w:name="_Toc22044"/>
      <w:r>
        <w:rPr>
          <w:rFonts w:hint="eastAsia"/>
          <w:b/>
          <w:color w:val="FF0000"/>
          <w:sz w:val="28"/>
          <w:szCs w:val="28"/>
          <w:lang w:val="en-US" w:eastAsia="zh-CN"/>
        </w:rPr>
        <w:t>（一）任务来源</w:t>
      </w:r>
      <w:bookmarkEnd w:id="1"/>
    </w:p>
    <w:p w14:paraId="4E9D7FBC">
      <w:pPr>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lang w:val="en-US" w:eastAsia="zh-CN"/>
        </w:rPr>
      </w:pPr>
      <w:r>
        <w:rPr>
          <w:rFonts w:hint="eastAsia" w:ascii="等线" w:hAnsi="等线" w:eastAsia="等线"/>
          <w:color w:val="000000"/>
          <w:sz w:val="24"/>
          <w:szCs w:val="24"/>
          <w:lang w:val="en-US" w:eastAsia="zh-CN"/>
        </w:rPr>
        <w:t>2025年1月，根据甘肃省市场监督管理局《关于下达 2025 年度第 1批地方标准制修订计划的函》（计划编号：2025-T-011）的任务要求，甘肃农业大学组织编写了该文件，主管单位和归口单位为甘肃省农业农村厅。</w:t>
      </w:r>
    </w:p>
    <w:p w14:paraId="74946366">
      <w:pPr>
        <w:pStyle w:val="2"/>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textAlignment w:val="auto"/>
        <w:rPr>
          <w:rFonts w:hint="default"/>
          <w:b/>
          <w:color w:val="FF0000"/>
          <w:sz w:val="28"/>
          <w:szCs w:val="28"/>
          <w:lang w:val="en-US" w:eastAsia="zh-CN"/>
        </w:rPr>
      </w:pPr>
      <w:bookmarkStart w:id="2" w:name="_Toc7742"/>
      <w:r>
        <w:rPr>
          <w:rFonts w:hint="eastAsia"/>
          <w:b/>
          <w:color w:val="FF0000"/>
          <w:sz w:val="28"/>
          <w:szCs w:val="28"/>
          <w:lang w:val="en-US" w:eastAsia="zh-CN"/>
        </w:rPr>
        <w:t>（二）目的意义</w:t>
      </w:r>
      <w:bookmarkEnd w:id="2"/>
    </w:p>
    <w:p w14:paraId="65089962">
      <w:pPr>
        <w:pageBreakBefore w:val="0"/>
        <w:widowControl w:val="0"/>
        <w:kinsoku/>
        <w:wordWrap/>
        <w:overflowPunct/>
        <w:topLinePunct w:val="0"/>
        <w:autoSpaceDE/>
        <w:autoSpaceDN/>
        <w:bidi w:val="0"/>
        <w:adjustRightInd/>
        <w:snapToGrid/>
        <w:spacing w:line="360" w:lineRule="auto"/>
        <w:ind w:left="40" w:firstLine="480" w:firstLineChars="200"/>
        <w:textAlignment w:val="auto"/>
        <w:rPr>
          <w:rFonts w:hint="eastAsia" w:ascii="等线" w:hAnsi="等线" w:eastAsia="等线"/>
          <w:color w:val="000000"/>
          <w:sz w:val="24"/>
          <w:szCs w:val="24"/>
        </w:rPr>
      </w:pPr>
      <w:r>
        <w:rPr>
          <w:rFonts w:hint="eastAsia" w:ascii="等线" w:hAnsi="等线" w:eastAsia="等线"/>
          <w:color w:val="000000"/>
          <w:sz w:val="24"/>
          <w:szCs w:val="24"/>
        </w:rPr>
        <w:t>中国是世界上蔬菜生产第一大国</w:t>
      </w:r>
      <w:r>
        <w:rPr>
          <w:rFonts w:hint="eastAsia" w:ascii="宋体" w:hAnsi="宋体"/>
          <w:color w:val="000000"/>
          <w:sz w:val="24"/>
          <w:szCs w:val="24"/>
        </w:rPr>
        <w:t>,2019</w:t>
      </w:r>
      <w:r>
        <w:rPr>
          <w:rFonts w:hint="eastAsia" w:ascii="等线" w:hAnsi="等线" w:eastAsia="等线"/>
          <w:color w:val="000000"/>
          <w:sz w:val="24"/>
          <w:szCs w:val="24"/>
        </w:rPr>
        <w:t>年全国蔬菜产量已达到了</w:t>
      </w:r>
      <w:r>
        <w:rPr>
          <w:rFonts w:hint="eastAsia" w:ascii="宋体" w:hAnsi="宋体"/>
          <w:color w:val="000000"/>
          <w:sz w:val="24"/>
          <w:szCs w:val="24"/>
        </w:rPr>
        <w:t xml:space="preserve">7.2 </w:t>
      </w:r>
      <w:r>
        <w:rPr>
          <w:rFonts w:hint="eastAsia" w:ascii="等线" w:hAnsi="等线" w:eastAsia="等线"/>
          <w:color w:val="000000"/>
          <w:sz w:val="24"/>
          <w:szCs w:val="24"/>
        </w:rPr>
        <w:t>亿</w:t>
      </w:r>
      <w:r>
        <w:rPr>
          <w:rFonts w:hint="eastAsia" w:ascii="宋体" w:hAnsi="宋体"/>
          <w:color w:val="000000"/>
          <w:sz w:val="24"/>
          <w:szCs w:val="24"/>
        </w:rPr>
        <w:t>t,</w:t>
      </w:r>
      <w:r>
        <w:rPr>
          <w:rFonts w:hint="eastAsia" w:ascii="等线" w:hAnsi="等线" w:eastAsia="等线"/>
          <w:color w:val="000000"/>
          <w:sz w:val="24"/>
          <w:szCs w:val="24"/>
        </w:rPr>
        <w:t>蔬菜种植面积和产量分别占全球</w:t>
      </w:r>
      <w:r>
        <w:rPr>
          <w:rFonts w:hint="eastAsia" w:ascii="宋体" w:hAnsi="宋体"/>
          <w:color w:val="000000"/>
          <w:sz w:val="24"/>
          <w:szCs w:val="24"/>
        </w:rPr>
        <w:t>50.1%</w:t>
      </w:r>
      <w:r>
        <w:rPr>
          <w:rFonts w:hint="eastAsia" w:ascii="等线" w:hAnsi="等线" w:eastAsia="等线"/>
          <w:color w:val="000000"/>
          <w:sz w:val="24"/>
          <w:szCs w:val="24"/>
        </w:rPr>
        <w:t>和</w:t>
      </w:r>
      <w:r>
        <w:rPr>
          <w:rFonts w:hint="eastAsia" w:ascii="宋体" w:hAnsi="宋体"/>
          <w:color w:val="000000"/>
          <w:sz w:val="24"/>
          <w:szCs w:val="24"/>
        </w:rPr>
        <w:t>62.6%</w:t>
      </w:r>
      <w:r>
        <w:rPr>
          <w:rFonts w:hint="eastAsia" w:ascii="等线" w:hAnsi="等线" w:eastAsia="等线"/>
          <w:color w:val="000000"/>
          <w:sz w:val="24"/>
          <w:szCs w:val="24"/>
        </w:rPr>
        <w:t>。蔬菜收获、流通和消费过程中</w:t>
      </w:r>
      <w:r>
        <w:rPr>
          <w:rFonts w:hint="eastAsia" w:ascii="宋体" w:hAnsi="宋体"/>
          <w:color w:val="000000"/>
          <w:sz w:val="24"/>
          <w:szCs w:val="24"/>
        </w:rPr>
        <w:t>,</w:t>
      </w:r>
      <w:r>
        <w:rPr>
          <w:rFonts w:hint="eastAsia" w:ascii="等线" w:hAnsi="等线" w:eastAsia="等线"/>
          <w:color w:val="000000"/>
          <w:sz w:val="24"/>
          <w:szCs w:val="24"/>
        </w:rPr>
        <w:t>商品平均损失率在</w:t>
      </w:r>
      <w:r>
        <w:rPr>
          <w:rFonts w:hint="eastAsia" w:ascii="宋体" w:hAnsi="宋体"/>
          <w:color w:val="000000"/>
          <w:sz w:val="24"/>
          <w:szCs w:val="24"/>
        </w:rPr>
        <w:t>30%</w:t>
      </w:r>
      <w:r>
        <w:rPr>
          <w:rFonts w:hint="eastAsia" w:ascii="等线" w:hAnsi="等线" w:eastAsia="等线"/>
          <w:color w:val="000000"/>
          <w:sz w:val="24"/>
          <w:szCs w:val="24"/>
        </w:rPr>
        <w:t>以上</w:t>
      </w:r>
      <w:r>
        <w:rPr>
          <w:rFonts w:hint="eastAsia" w:ascii="宋体" w:hAnsi="宋体"/>
          <w:color w:val="000000"/>
          <w:sz w:val="24"/>
          <w:szCs w:val="24"/>
        </w:rPr>
        <w:t>,</w:t>
      </w:r>
      <w:r>
        <w:rPr>
          <w:rFonts w:hint="eastAsia" w:ascii="等线" w:hAnsi="等线" w:eastAsia="等线"/>
          <w:color w:val="000000"/>
          <w:sz w:val="24"/>
          <w:szCs w:val="24"/>
        </w:rPr>
        <w:t>其中流通环节占总损失率的</w:t>
      </w:r>
      <w:r>
        <w:rPr>
          <w:rFonts w:hint="eastAsia" w:ascii="宋体" w:hAnsi="宋体"/>
          <w:color w:val="000000"/>
          <w:sz w:val="24"/>
          <w:szCs w:val="24"/>
        </w:rPr>
        <w:t>60.0%</w:t>
      </w:r>
      <w:r>
        <w:rPr>
          <w:rFonts w:hint="eastAsia" w:ascii="等线" w:hAnsi="等线" w:eastAsia="等线"/>
          <w:color w:val="000000"/>
          <w:sz w:val="24"/>
          <w:szCs w:val="24"/>
        </w:rPr>
        <w:t>以上。在蔬菜废弃物已成为仅次于水稻、玉米和小麦的第四大类农作物废弃物</w:t>
      </w:r>
      <w:r>
        <w:rPr>
          <w:rFonts w:hint="eastAsia" w:ascii="宋体" w:hAnsi="宋体"/>
          <w:color w:val="000000"/>
          <w:sz w:val="24"/>
          <w:szCs w:val="24"/>
        </w:rPr>
        <w:t>,2019</w:t>
      </w:r>
      <w:r>
        <w:rPr>
          <w:rFonts w:hint="eastAsia" w:ascii="等线" w:hAnsi="等线" w:eastAsia="等线"/>
          <w:color w:val="000000"/>
          <w:sz w:val="24"/>
          <w:szCs w:val="24"/>
        </w:rPr>
        <w:t>年全国尾菜产生量超过</w:t>
      </w:r>
      <w:r>
        <w:rPr>
          <w:rFonts w:hint="eastAsia" w:ascii="宋体" w:hAnsi="宋体"/>
          <w:color w:val="000000"/>
          <w:sz w:val="24"/>
          <w:szCs w:val="24"/>
        </w:rPr>
        <w:t xml:space="preserve">3.1 </w:t>
      </w:r>
      <w:r>
        <w:rPr>
          <w:rFonts w:hint="eastAsia" w:ascii="等线" w:hAnsi="等线" w:eastAsia="等线"/>
          <w:color w:val="000000"/>
          <w:sz w:val="24"/>
          <w:szCs w:val="24"/>
        </w:rPr>
        <w:t>亿</w:t>
      </w:r>
      <w:r>
        <w:rPr>
          <w:rFonts w:hint="eastAsia" w:ascii="宋体" w:hAnsi="宋体"/>
          <w:color w:val="000000"/>
          <w:sz w:val="24"/>
          <w:szCs w:val="24"/>
        </w:rPr>
        <w:t>t</w:t>
      </w:r>
      <w:r>
        <w:rPr>
          <w:rFonts w:hint="eastAsia" w:ascii="等线" w:hAnsi="等线" w:eastAsia="等线"/>
          <w:color w:val="000000"/>
          <w:sz w:val="24"/>
          <w:szCs w:val="24"/>
        </w:rPr>
        <w:t>。甘肃是我国“高原夏菜”主产区和最大的“北菜南运、西菜东调”的集散中心，</w:t>
      </w:r>
      <w:r>
        <w:rPr>
          <w:rFonts w:hint="eastAsia" w:ascii="宋体" w:hAnsi="宋体"/>
          <w:color w:val="000000"/>
          <w:sz w:val="24"/>
          <w:szCs w:val="24"/>
        </w:rPr>
        <w:t>2018</w:t>
      </w:r>
      <w:r>
        <w:rPr>
          <w:rFonts w:hint="eastAsia" w:ascii="等线" w:hAnsi="等线" w:eastAsia="等线"/>
          <w:color w:val="000000"/>
          <w:sz w:val="24"/>
          <w:szCs w:val="24"/>
        </w:rPr>
        <w:t>年尾菜产生量为</w:t>
      </w:r>
      <w:r>
        <w:rPr>
          <w:rFonts w:hint="eastAsia" w:ascii="宋体" w:hAnsi="宋体"/>
          <w:color w:val="000000"/>
          <w:sz w:val="24"/>
          <w:szCs w:val="24"/>
        </w:rPr>
        <w:t xml:space="preserve">1089 </w:t>
      </w:r>
      <w:r>
        <w:rPr>
          <w:rFonts w:hint="eastAsia" w:ascii="等线" w:hAnsi="等线" w:eastAsia="等线"/>
          <w:color w:val="000000"/>
          <w:sz w:val="24"/>
          <w:szCs w:val="24"/>
        </w:rPr>
        <w:t>万</w:t>
      </w:r>
      <w:r>
        <w:rPr>
          <w:rFonts w:hint="eastAsia" w:ascii="宋体" w:hAnsi="宋体"/>
          <w:color w:val="000000"/>
          <w:sz w:val="24"/>
          <w:szCs w:val="24"/>
        </w:rPr>
        <w:t>t</w:t>
      </w:r>
      <w:r>
        <w:rPr>
          <w:rFonts w:hint="eastAsia" w:ascii="等线" w:hAnsi="等线" w:eastAsia="等线"/>
          <w:color w:val="000000"/>
          <w:sz w:val="24"/>
          <w:szCs w:val="24"/>
        </w:rPr>
        <w:t>。尾菜具有产生期集中量大、含水率高、易腐烂变质、资源密度和能量价值低等特殊属性</w:t>
      </w:r>
      <w:r>
        <w:rPr>
          <w:rFonts w:hint="eastAsia" w:ascii="宋体" w:hAnsi="宋体"/>
          <w:color w:val="000000"/>
          <w:sz w:val="24"/>
          <w:szCs w:val="24"/>
        </w:rPr>
        <w:t>,</w:t>
      </w:r>
      <w:r>
        <w:rPr>
          <w:rFonts w:hint="eastAsia" w:ascii="等线" w:hAnsi="等线" w:eastAsia="等线"/>
          <w:color w:val="000000"/>
          <w:sz w:val="24"/>
          <w:szCs w:val="24"/>
        </w:rPr>
        <w:t>处理不及时易污染环境</w:t>
      </w:r>
      <w:r>
        <w:rPr>
          <w:rFonts w:hint="eastAsia" w:ascii="等线" w:hAnsi="等线" w:eastAsia="等线" w:cs="等线"/>
          <w:color w:val="000000"/>
          <w:sz w:val="24"/>
          <w:szCs w:val="24"/>
        </w:rPr>
        <w:t>。</w:t>
      </w:r>
      <w:r>
        <w:rPr>
          <w:rFonts w:hint="eastAsia" w:ascii="等线" w:hAnsi="等线" w:eastAsia="等线"/>
          <w:color w:val="000000"/>
          <w:sz w:val="24"/>
          <w:szCs w:val="24"/>
        </w:rPr>
        <w:t>加快废弃物资源化利用是近年来党中央国务院加快农业现代化、促进乡村振兴战略实施的重大举措，也是推进农业供给侧结构性改革、持续促进农业高质量发展的必然要求。甘肃省非常重视尾菜的资源化利用工作，但尾菜的高含水量、低干物质和易腐臭导致尾菜堆沤肥比较困难，需要添加物提高干物质含量，调整水分达到堆沤肥条件。</w:t>
      </w:r>
    </w:p>
    <w:p w14:paraId="6BA2610D">
      <w:pPr>
        <w:pageBreakBefore w:val="0"/>
        <w:widowControl w:val="0"/>
        <w:kinsoku/>
        <w:wordWrap/>
        <w:overflowPunct/>
        <w:topLinePunct w:val="0"/>
        <w:autoSpaceDE/>
        <w:autoSpaceDN/>
        <w:bidi w:val="0"/>
        <w:adjustRightInd/>
        <w:snapToGrid/>
        <w:spacing w:line="360" w:lineRule="auto"/>
        <w:ind w:left="40" w:firstLine="480" w:firstLineChars="200"/>
        <w:textAlignment w:val="auto"/>
        <w:rPr>
          <w:rFonts w:hint="default" w:ascii="等线" w:hAnsi="等线" w:eastAsia="等线"/>
          <w:color w:val="000000"/>
          <w:sz w:val="24"/>
          <w:szCs w:val="24"/>
          <w:lang w:val="en-US" w:eastAsia="zh-CN"/>
        </w:rPr>
      </w:pPr>
      <w:r>
        <w:rPr>
          <w:rFonts w:hint="eastAsia" w:ascii="等线" w:hAnsi="等线" w:eastAsia="等线"/>
          <w:color w:val="000000"/>
          <w:sz w:val="24"/>
          <w:szCs w:val="24"/>
          <w:lang w:val="en-US" w:eastAsia="zh-CN"/>
        </w:rPr>
        <w:t>甘肃农业大学资源与环境学院总结蔬菜废弃物堆沤肥方面的多年经验，编制了《蔬菜废弃物堆沤肥技术文件》。文件的编制对我省蔬菜废弃物的资源化利用和农业环境保护具有重要的现实和指导意义。</w:t>
      </w:r>
    </w:p>
    <w:p w14:paraId="6866473F">
      <w:pPr>
        <w:pStyle w:val="2"/>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textAlignment w:val="auto"/>
        <w:rPr>
          <w:rFonts w:hint="eastAsia"/>
          <w:b/>
          <w:color w:val="FF0000"/>
          <w:sz w:val="28"/>
          <w:szCs w:val="28"/>
          <w:lang w:val="en-US" w:eastAsia="zh-CN"/>
        </w:rPr>
      </w:pPr>
      <w:bookmarkStart w:id="3" w:name="_Toc6106"/>
      <w:r>
        <w:rPr>
          <w:rFonts w:hint="eastAsia"/>
          <w:b/>
          <w:color w:val="FF0000"/>
          <w:sz w:val="28"/>
          <w:szCs w:val="28"/>
          <w:lang w:val="en-US" w:eastAsia="zh-CN"/>
        </w:rPr>
        <w:t>（三）主要编制单位和人员</w:t>
      </w:r>
      <w:bookmarkEnd w:id="3"/>
    </w:p>
    <w:p w14:paraId="4C7937F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等线" w:hAnsi="等线" w:eastAsia="等线"/>
          <w:color w:val="000000"/>
          <w:sz w:val="24"/>
          <w:szCs w:val="24"/>
        </w:rPr>
      </w:pPr>
      <w:r>
        <w:rPr>
          <w:rFonts w:hint="eastAsia" w:ascii="等线" w:hAnsi="等线" w:eastAsia="等线"/>
          <w:color w:val="000000"/>
          <w:sz w:val="24"/>
          <w:szCs w:val="24"/>
          <w:lang w:val="en-US" w:eastAsia="zh-CN"/>
        </w:rPr>
        <w:t>本文件起草单位：</w:t>
      </w:r>
      <w:r>
        <w:rPr>
          <w:rFonts w:hint="eastAsia" w:ascii="等线" w:hAnsi="等线" w:eastAsia="等线"/>
          <w:color w:val="000000"/>
          <w:sz w:val="24"/>
          <w:szCs w:val="24"/>
        </w:rPr>
        <w:t>甘肃农业大学，庄浪县农业技术推广中心，敦煌市农业技术推广中心，</w:t>
      </w:r>
      <w:r>
        <w:rPr>
          <w:rFonts w:hint="eastAsia" w:ascii="等线" w:hAnsi="等线" w:eastAsia="等线"/>
          <w:color w:val="000000"/>
          <w:sz w:val="24"/>
          <w:szCs w:val="24"/>
          <w:lang w:val="en-US" w:eastAsia="zh-CN"/>
        </w:rPr>
        <w:t>西峰区</w:t>
      </w:r>
      <w:r>
        <w:rPr>
          <w:rFonts w:hint="eastAsia" w:ascii="等线" w:hAnsi="等线" w:eastAsia="等线"/>
          <w:color w:val="000000"/>
          <w:sz w:val="24"/>
          <w:szCs w:val="24"/>
        </w:rPr>
        <w:t>农业技术推广中心。</w:t>
      </w:r>
    </w:p>
    <w:p w14:paraId="73894CD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等线" w:hAnsi="等线" w:eastAsia="等线"/>
          <w:color w:val="000000"/>
          <w:sz w:val="24"/>
          <w:szCs w:val="24"/>
          <w:lang w:val="en-US" w:eastAsia="zh-CN"/>
        </w:rPr>
      </w:pPr>
      <w:r>
        <w:rPr>
          <w:rFonts w:hint="eastAsia" w:ascii="等线" w:hAnsi="等线" w:eastAsia="等线"/>
          <w:color w:val="000000"/>
          <w:sz w:val="24"/>
          <w:szCs w:val="24"/>
        </w:rPr>
        <w:t xml:space="preserve">本文件主要起草人：张文明 陈娟娟 余彩芬 薛俊燕 柳志华 </w:t>
      </w:r>
      <w:r>
        <w:rPr>
          <w:rFonts w:hint="eastAsia" w:ascii="等线" w:hAnsi="等线" w:eastAsia="等线"/>
          <w:color w:val="000000"/>
          <w:sz w:val="24"/>
          <w:szCs w:val="24"/>
          <w:lang w:val="en-US" w:eastAsia="zh-CN"/>
        </w:rPr>
        <w:t>梁晓丽 陈娜 黄晓荣 车会成 石芳芳 石金龙</w:t>
      </w:r>
    </w:p>
    <w:p w14:paraId="7F0B1A7A">
      <w:pPr>
        <w:pStyle w:val="2"/>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textAlignment w:val="auto"/>
        <w:rPr>
          <w:rFonts w:hint="eastAsia"/>
          <w:b/>
          <w:color w:val="FF0000"/>
          <w:sz w:val="28"/>
          <w:szCs w:val="28"/>
          <w:lang w:val="en-US" w:eastAsia="zh-CN"/>
        </w:rPr>
      </w:pPr>
      <w:bookmarkStart w:id="4" w:name="_Toc18989"/>
      <w:r>
        <w:rPr>
          <w:rFonts w:hint="eastAsia"/>
          <w:b/>
          <w:color w:val="FF0000"/>
          <w:sz w:val="28"/>
          <w:szCs w:val="28"/>
          <w:lang w:val="en-US" w:eastAsia="zh-CN"/>
        </w:rPr>
        <w:t>（四）主要工作过程</w:t>
      </w:r>
      <w:bookmarkEnd w:id="4"/>
    </w:p>
    <w:p w14:paraId="0C8BED4A">
      <w:pPr>
        <w:pageBreakBefore w:val="0"/>
        <w:widowControl w:val="0"/>
        <w:kinsoku/>
        <w:wordWrap/>
        <w:overflowPunct/>
        <w:topLinePunct w:val="0"/>
        <w:autoSpaceDE/>
        <w:autoSpaceDN/>
        <w:bidi w:val="0"/>
        <w:adjustRightInd/>
        <w:snapToGrid/>
        <w:spacing w:line="360" w:lineRule="auto"/>
        <w:textAlignment w:val="auto"/>
        <w:rPr>
          <w:rFonts w:hint="default" w:ascii="等线" w:hAnsi="等线" w:eastAsia="等线"/>
          <w:color w:val="000000"/>
          <w:sz w:val="24"/>
          <w:szCs w:val="24"/>
          <w:lang w:val="en-US" w:eastAsia="zh-CN"/>
        </w:rPr>
      </w:pPr>
      <w:r>
        <w:rPr>
          <w:rFonts w:hint="eastAsia" w:ascii="等线" w:hAnsi="等线" w:eastAsia="等线"/>
          <w:color w:val="000000"/>
          <w:sz w:val="24"/>
          <w:szCs w:val="24"/>
          <w:lang w:val="en-US" w:eastAsia="zh-CN"/>
        </w:rPr>
        <w:t>1、现有工作基础</w:t>
      </w:r>
    </w:p>
    <w:p w14:paraId="33D14E15">
      <w:pPr>
        <w:pageBreakBefore w:val="0"/>
        <w:widowControl w:val="0"/>
        <w:kinsoku/>
        <w:wordWrap/>
        <w:overflowPunct/>
        <w:topLinePunct w:val="0"/>
        <w:autoSpaceDE/>
        <w:autoSpaceDN/>
        <w:bidi w:val="0"/>
        <w:adjustRightInd/>
        <w:snapToGrid/>
        <w:spacing w:line="360" w:lineRule="auto"/>
        <w:ind w:firstLine="480" w:firstLineChars="200"/>
        <w:textAlignment w:val="auto"/>
        <w:rPr>
          <w:rFonts w:ascii="等线" w:hAnsi="等线" w:eastAsia="等线"/>
          <w:color w:val="000000"/>
          <w:sz w:val="24"/>
          <w:szCs w:val="24"/>
        </w:rPr>
      </w:pPr>
      <w:r>
        <w:rPr>
          <w:rFonts w:ascii="等线" w:hAnsi="等线" w:eastAsia="等线"/>
          <w:color w:val="000000"/>
          <w:sz w:val="24"/>
          <w:szCs w:val="24"/>
        </w:rPr>
        <w:t>2021</w:t>
      </w:r>
      <w:r>
        <w:rPr>
          <w:rFonts w:hint="eastAsia" w:ascii="等线" w:hAnsi="等线" w:eastAsia="等线"/>
          <w:color w:val="000000"/>
          <w:sz w:val="24"/>
          <w:szCs w:val="24"/>
        </w:rPr>
        <w:t>年，课题组获批</w:t>
      </w:r>
      <w:r>
        <w:rPr>
          <w:rFonts w:ascii="等线" w:hAnsi="等线" w:eastAsia="等线"/>
          <w:color w:val="000000"/>
          <w:sz w:val="24"/>
          <w:szCs w:val="24"/>
        </w:rPr>
        <w:t>甘肃省教育厅产业支撑计划项目：（2021CYZC-50）尾菜资源化利用关键技术研究与示范</w:t>
      </w:r>
      <w:r>
        <w:rPr>
          <w:rFonts w:hint="eastAsia" w:ascii="等线" w:hAnsi="等线" w:eastAsia="等线"/>
          <w:color w:val="000000"/>
          <w:sz w:val="24"/>
          <w:szCs w:val="24"/>
        </w:rPr>
        <w:t>。通过3年的项目研究</w:t>
      </w:r>
      <w:r>
        <w:rPr>
          <w:rFonts w:ascii="等线" w:hAnsi="等线" w:eastAsia="等线"/>
          <w:color w:val="000000"/>
          <w:sz w:val="24"/>
          <w:szCs w:val="24"/>
        </w:rPr>
        <w:t>，</w:t>
      </w:r>
      <w:r>
        <w:rPr>
          <w:rFonts w:hint="eastAsia" w:ascii="等线" w:hAnsi="等线" w:eastAsia="等线"/>
          <w:color w:val="000000"/>
          <w:sz w:val="24"/>
          <w:szCs w:val="24"/>
        </w:rPr>
        <w:t>在尾菜堆沤肥方面积累了大量经验，相对现行甘肃省地方标准《</w:t>
      </w:r>
      <w:r>
        <w:rPr>
          <w:rFonts w:hint="eastAsia" w:ascii="等线" w:hAnsi="等线" w:eastAsia="等线" w:cs="等线"/>
          <w:sz w:val="24"/>
          <w:szCs w:val="24"/>
        </w:rPr>
        <w:t>蔬菜废弃物堆肥技术规程</w:t>
      </w:r>
      <w:r>
        <w:rPr>
          <w:rFonts w:hint="eastAsia" w:ascii="等线" w:hAnsi="等线" w:eastAsia="等线"/>
          <w:color w:val="000000"/>
          <w:sz w:val="24"/>
          <w:szCs w:val="24"/>
        </w:rPr>
        <w:t>》（</w:t>
      </w:r>
      <w:r>
        <w:rPr>
          <w:rFonts w:hint="eastAsia" w:ascii="宋体" w:hAnsi="宋体"/>
          <w:color w:val="000000"/>
          <w:sz w:val="24"/>
          <w:szCs w:val="24"/>
        </w:rPr>
        <w:t>DB62/T 2190-2011</w:t>
      </w:r>
      <w:r>
        <w:rPr>
          <w:rFonts w:hint="eastAsia" w:ascii="等线" w:hAnsi="等线" w:eastAsia="等线"/>
          <w:color w:val="000000"/>
          <w:sz w:val="24"/>
          <w:szCs w:val="24"/>
        </w:rPr>
        <w:t>）和《</w:t>
      </w:r>
      <w:r>
        <w:rPr>
          <w:rFonts w:hint="eastAsia" w:ascii="等线" w:hAnsi="等线" w:eastAsia="等线" w:cs="等线"/>
          <w:sz w:val="24"/>
          <w:szCs w:val="24"/>
        </w:rPr>
        <w:t>蔬菜废弃物沤肥技术规程</w:t>
      </w:r>
      <w:r>
        <w:rPr>
          <w:rFonts w:hint="eastAsia" w:ascii="等线" w:hAnsi="等线" w:eastAsia="等线"/>
          <w:color w:val="000000"/>
          <w:sz w:val="24"/>
          <w:szCs w:val="24"/>
        </w:rPr>
        <w:t>》（</w:t>
      </w:r>
      <w:r>
        <w:rPr>
          <w:rFonts w:hint="eastAsia" w:ascii="宋体" w:hAnsi="宋体"/>
          <w:color w:val="000000"/>
          <w:sz w:val="24"/>
          <w:szCs w:val="24"/>
        </w:rPr>
        <w:t>DB62/T 219</w:t>
      </w:r>
      <w:r>
        <w:rPr>
          <w:rFonts w:ascii="宋体" w:hAnsi="宋体"/>
          <w:color w:val="000000"/>
          <w:sz w:val="24"/>
          <w:szCs w:val="24"/>
        </w:rPr>
        <w:t>1</w:t>
      </w:r>
      <w:r>
        <w:rPr>
          <w:rFonts w:hint="eastAsia" w:ascii="宋体" w:hAnsi="宋体"/>
          <w:color w:val="000000"/>
          <w:sz w:val="24"/>
          <w:szCs w:val="24"/>
        </w:rPr>
        <w:t>-2011</w:t>
      </w:r>
      <w:r>
        <w:rPr>
          <w:rFonts w:hint="eastAsia" w:ascii="等线" w:hAnsi="等线" w:eastAsia="等线"/>
          <w:color w:val="000000"/>
          <w:sz w:val="24"/>
          <w:szCs w:val="24"/>
        </w:rPr>
        <w:t>），技术上具有较大改进</w:t>
      </w:r>
      <w:r>
        <w:rPr>
          <w:rFonts w:ascii="等线" w:hAnsi="等线" w:eastAsia="等线"/>
          <w:color w:val="000000"/>
          <w:sz w:val="24"/>
          <w:szCs w:val="24"/>
        </w:rPr>
        <w:t>。</w:t>
      </w:r>
      <w:r>
        <w:rPr>
          <w:rFonts w:hint="eastAsia" w:ascii="等线" w:hAnsi="等线" w:eastAsia="等线"/>
          <w:color w:val="000000"/>
          <w:sz w:val="24"/>
          <w:szCs w:val="24"/>
          <w:lang w:val="en-US" w:eastAsia="zh-CN"/>
        </w:rPr>
        <w:t>依托项目完成硕士论文2篇，发表学术论文4篇（SCI论文2篇）。</w:t>
      </w:r>
    </w:p>
    <w:p w14:paraId="4B22CCCC">
      <w:pPr>
        <w:pageBreakBefore w:val="0"/>
        <w:widowControl w:val="0"/>
        <w:kinsoku/>
        <w:wordWrap/>
        <w:overflowPunct/>
        <w:topLinePunct w:val="0"/>
        <w:autoSpaceDE/>
        <w:autoSpaceDN/>
        <w:bidi w:val="0"/>
        <w:adjustRightInd/>
        <w:snapToGrid/>
        <w:spacing w:line="360" w:lineRule="auto"/>
        <w:textAlignment w:val="auto"/>
        <w:rPr>
          <w:rFonts w:hint="eastAsia" w:ascii="等线" w:hAnsi="等线" w:eastAsia="等线"/>
          <w:color w:val="000000"/>
          <w:sz w:val="24"/>
          <w:szCs w:val="24"/>
        </w:rPr>
      </w:pPr>
      <w:r>
        <w:rPr>
          <w:rFonts w:hint="eastAsia" w:ascii="等线" w:hAnsi="等线" w:eastAsia="等线"/>
          <w:color w:val="000000"/>
          <w:sz w:val="24"/>
          <w:szCs w:val="24"/>
        </w:rPr>
        <w:t>2</w:t>
      </w:r>
      <w:r>
        <w:rPr>
          <w:rFonts w:hint="eastAsia" w:ascii="等线" w:hAnsi="等线" w:eastAsia="等线"/>
          <w:color w:val="000000"/>
          <w:sz w:val="24"/>
          <w:szCs w:val="24"/>
          <w:lang w:eastAsia="zh-CN"/>
        </w:rPr>
        <w:t>、</w:t>
      </w:r>
      <w:r>
        <w:rPr>
          <w:rFonts w:hint="eastAsia" w:ascii="等线" w:hAnsi="等线" w:eastAsia="等线"/>
          <w:color w:val="000000"/>
          <w:sz w:val="24"/>
          <w:szCs w:val="24"/>
        </w:rPr>
        <w:t>成立</w:t>
      </w:r>
      <w:r>
        <w:rPr>
          <w:rFonts w:hint="eastAsia" w:ascii="等线" w:hAnsi="等线" w:eastAsia="等线"/>
          <w:color w:val="000000"/>
          <w:sz w:val="24"/>
          <w:szCs w:val="24"/>
          <w:lang w:eastAsia="zh-CN"/>
        </w:rPr>
        <w:t>文件</w:t>
      </w:r>
      <w:r>
        <w:rPr>
          <w:rFonts w:hint="eastAsia" w:ascii="等线" w:hAnsi="等线" w:eastAsia="等线"/>
          <w:color w:val="000000"/>
          <w:sz w:val="24"/>
          <w:szCs w:val="24"/>
        </w:rPr>
        <w:t>编制技术小组</w:t>
      </w:r>
    </w:p>
    <w:p w14:paraId="65420CC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等线" w:hAnsi="等线" w:eastAsia="等线"/>
          <w:color w:val="000000"/>
          <w:sz w:val="24"/>
          <w:szCs w:val="24"/>
        </w:rPr>
      </w:pPr>
      <w:r>
        <w:rPr>
          <w:rFonts w:hint="eastAsia" w:ascii="等线" w:hAnsi="等线" w:eastAsia="等线"/>
          <w:color w:val="000000"/>
          <w:sz w:val="24"/>
          <w:szCs w:val="24"/>
        </w:rPr>
        <w:t>为做好本</w:t>
      </w:r>
      <w:r>
        <w:rPr>
          <w:rFonts w:hint="eastAsia" w:ascii="等线" w:hAnsi="等线" w:eastAsia="等线"/>
          <w:color w:val="000000"/>
          <w:sz w:val="24"/>
          <w:szCs w:val="24"/>
          <w:lang w:eastAsia="zh-CN"/>
        </w:rPr>
        <w:t>文件</w:t>
      </w:r>
      <w:r>
        <w:rPr>
          <w:rFonts w:hint="eastAsia" w:ascii="等线" w:hAnsi="等线" w:eastAsia="等线"/>
          <w:color w:val="000000"/>
          <w:sz w:val="24"/>
          <w:szCs w:val="24"/>
        </w:rPr>
        <w:t>的编制工作，成立了以张文明</w:t>
      </w:r>
      <w:r>
        <w:rPr>
          <w:rFonts w:hint="eastAsia" w:ascii="等线" w:hAnsi="等线" w:eastAsia="等线"/>
          <w:color w:val="000000"/>
          <w:sz w:val="24"/>
          <w:szCs w:val="24"/>
          <w:lang w:eastAsia="zh-CN"/>
        </w:rPr>
        <w:t>、</w:t>
      </w:r>
      <w:r>
        <w:rPr>
          <w:rFonts w:hint="eastAsia" w:ascii="等线" w:hAnsi="等线" w:eastAsia="等线"/>
          <w:color w:val="000000"/>
          <w:sz w:val="24"/>
          <w:szCs w:val="24"/>
        </w:rPr>
        <w:t>陈娟娟</w:t>
      </w:r>
      <w:r>
        <w:rPr>
          <w:rFonts w:hint="eastAsia" w:ascii="等线" w:hAnsi="等线" w:eastAsia="等线"/>
          <w:color w:val="000000"/>
          <w:sz w:val="24"/>
          <w:szCs w:val="24"/>
          <w:lang w:eastAsia="zh-CN"/>
        </w:rPr>
        <w:t>、</w:t>
      </w:r>
      <w:r>
        <w:rPr>
          <w:rFonts w:hint="eastAsia" w:ascii="等线" w:hAnsi="等线" w:eastAsia="等线"/>
          <w:color w:val="000000"/>
          <w:sz w:val="24"/>
          <w:szCs w:val="24"/>
        </w:rPr>
        <w:t>余彩芬</w:t>
      </w:r>
      <w:r>
        <w:rPr>
          <w:rFonts w:hint="eastAsia" w:ascii="等线" w:hAnsi="等线" w:eastAsia="等线"/>
          <w:color w:val="000000"/>
          <w:sz w:val="24"/>
          <w:szCs w:val="24"/>
          <w:lang w:eastAsia="zh-CN"/>
        </w:rPr>
        <w:t>、</w:t>
      </w:r>
      <w:r>
        <w:rPr>
          <w:rFonts w:hint="eastAsia" w:ascii="等线" w:hAnsi="等线" w:eastAsia="等线"/>
          <w:color w:val="000000"/>
          <w:sz w:val="24"/>
          <w:szCs w:val="24"/>
        </w:rPr>
        <w:t>薛俊燕</w:t>
      </w:r>
      <w:r>
        <w:rPr>
          <w:rFonts w:hint="eastAsia" w:ascii="等线" w:hAnsi="等线" w:eastAsia="等线"/>
          <w:color w:val="000000"/>
          <w:sz w:val="24"/>
          <w:szCs w:val="24"/>
          <w:lang w:eastAsia="zh-CN"/>
        </w:rPr>
        <w:t>、</w:t>
      </w:r>
      <w:r>
        <w:rPr>
          <w:rFonts w:hint="eastAsia" w:ascii="等线" w:hAnsi="等线" w:eastAsia="等线"/>
          <w:color w:val="000000"/>
          <w:sz w:val="24"/>
          <w:szCs w:val="24"/>
        </w:rPr>
        <w:t>柳志华</w:t>
      </w:r>
      <w:r>
        <w:rPr>
          <w:rFonts w:hint="eastAsia" w:ascii="等线" w:hAnsi="等线" w:eastAsia="等线"/>
          <w:color w:val="000000"/>
          <w:sz w:val="24"/>
          <w:szCs w:val="24"/>
          <w:lang w:eastAsia="zh-CN"/>
        </w:rPr>
        <w:t>、</w:t>
      </w:r>
      <w:r>
        <w:rPr>
          <w:rFonts w:hint="eastAsia" w:ascii="等线" w:hAnsi="等线" w:eastAsia="等线"/>
          <w:color w:val="000000"/>
          <w:sz w:val="24"/>
          <w:szCs w:val="24"/>
          <w:lang w:val="en-US" w:eastAsia="zh-CN"/>
        </w:rPr>
        <w:t>梁晓丽、陈娜、黄晓荣、车会成、石芳芳、石金龙</w:t>
      </w:r>
      <w:r>
        <w:rPr>
          <w:rFonts w:hint="eastAsia" w:ascii="等线" w:hAnsi="等线" w:eastAsia="等线"/>
          <w:color w:val="000000"/>
          <w:sz w:val="24"/>
          <w:szCs w:val="24"/>
        </w:rPr>
        <w:t>等为主要成员的</w:t>
      </w:r>
      <w:r>
        <w:rPr>
          <w:rFonts w:hint="eastAsia" w:ascii="等线" w:hAnsi="等线" w:eastAsia="等线"/>
          <w:color w:val="000000"/>
          <w:sz w:val="24"/>
          <w:szCs w:val="24"/>
          <w:lang w:eastAsia="zh-CN"/>
        </w:rPr>
        <w:t>文件</w:t>
      </w:r>
      <w:r>
        <w:rPr>
          <w:rFonts w:hint="eastAsia" w:ascii="等线" w:hAnsi="等线" w:eastAsia="等线"/>
          <w:color w:val="000000"/>
          <w:sz w:val="24"/>
          <w:szCs w:val="24"/>
        </w:rPr>
        <w:t>编制技术小组。</w:t>
      </w:r>
    </w:p>
    <w:p w14:paraId="7F2ECEFC">
      <w:pPr>
        <w:pStyle w:val="2"/>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textAlignment w:val="auto"/>
        <w:rPr>
          <w:rFonts w:hint="eastAsia"/>
          <w:b/>
          <w:color w:val="FF0000"/>
          <w:sz w:val="28"/>
          <w:szCs w:val="28"/>
          <w:lang w:val="en-US" w:eastAsia="zh-CN"/>
        </w:rPr>
      </w:pPr>
      <w:bookmarkStart w:id="5" w:name="_Toc22068"/>
      <w:r>
        <w:rPr>
          <w:rFonts w:hint="eastAsia"/>
          <w:b/>
          <w:color w:val="FF0000"/>
          <w:sz w:val="28"/>
          <w:szCs w:val="28"/>
          <w:lang w:val="en-US" w:eastAsia="zh-CN"/>
        </w:rPr>
        <w:t>（五）编制背景</w:t>
      </w:r>
      <w:bookmarkEnd w:id="5"/>
    </w:p>
    <w:p w14:paraId="45B3EB3D">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等线" w:hAnsi="等线" w:eastAsia="等线"/>
          <w:color w:val="000000"/>
          <w:sz w:val="24"/>
          <w:szCs w:val="24"/>
        </w:rPr>
      </w:pPr>
      <w:r>
        <w:rPr>
          <w:rFonts w:hint="eastAsia" w:ascii="等线" w:hAnsi="等线" w:eastAsia="等线"/>
          <w:color w:val="000000"/>
          <w:sz w:val="24"/>
          <w:szCs w:val="24"/>
        </w:rPr>
        <w:t>甘肃省于</w:t>
      </w:r>
      <w:r>
        <w:rPr>
          <w:rFonts w:hint="eastAsia" w:ascii="宋体" w:hAnsi="宋体"/>
          <w:color w:val="000000"/>
          <w:sz w:val="24"/>
          <w:szCs w:val="24"/>
        </w:rPr>
        <w:t>2011</w:t>
      </w:r>
      <w:r>
        <w:rPr>
          <w:rFonts w:hint="eastAsia" w:ascii="等线" w:hAnsi="等线" w:eastAsia="等线"/>
          <w:color w:val="000000"/>
          <w:sz w:val="24"/>
          <w:szCs w:val="24"/>
        </w:rPr>
        <w:t>年制定了《</w:t>
      </w:r>
      <w:r>
        <w:rPr>
          <w:rFonts w:hint="eastAsia" w:ascii="等线" w:hAnsi="等线" w:eastAsia="等线" w:cs="等线"/>
          <w:sz w:val="24"/>
          <w:szCs w:val="24"/>
        </w:rPr>
        <w:t>蔬菜废弃物堆肥技术规程</w:t>
      </w:r>
      <w:r>
        <w:rPr>
          <w:rFonts w:hint="eastAsia" w:ascii="等线" w:hAnsi="等线" w:eastAsia="等线"/>
          <w:color w:val="000000"/>
          <w:sz w:val="24"/>
          <w:szCs w:val="24"/>
        </w:rPr>
        <w:t>》（</w:t>
      </w:r>
      <w:r>
        <w:rPr>
          <w:rFonts w:hint="eastAsia" w:ascii="宋体" w:hAnsi="宋体"/>
          <w:color w:val="000000"/>
          <w:sz w:val="24"/>
          <w:szCs w:val="24"/>
        </w:rPr>
        <w:t>DB62/T 2190-2011</w:t>
      </w:r>
      <w:r>
        <w:rPr>
          <w:rFonts w:hint="eastAsia" w:ascii="等线" w:hAnsi="等线" w:eastAsia="等线"/>
          <w:color w:val="000000"/>
          <w:sz w:val="24"/>
          <w:szCs w:val="24"/>
        </w:rPr>
        <w:t>）、《蔬菜废弃物沤肥技术规程》（DB62/T 2191-2011）。规程中对尾菜堆沤肥的技术进行了详细规定，但由于技术的发展，更好技术的应用对提高尾菜堆沤肥质量、缩短堆沤肥周期，减少尾菜堆沤肥的恶臭等方面具有显著改善。原标准中主要通过加土吸收尾菜的高含水量，然后通过塑料膜密封增温，加入化肥提高养分含量，造成升温慢、水分散失慢，堆沤周期长，也增加了处理成本。通过前期大量研究，通过添加大量秸秆或低含水量的畜禽粪便，可以达到快速升温腐熟，提高养分含量等效果，达到高温堆肥的要求；也可以添加少量秸秆或畜禽粪便，可以达到尾菜的低成本和快速沤肥。因此，特申请修订此标准。</w:t>
      </w:r>
    </w:p>
    <w:p w14:paraId="4B8A77DB">
      <w:pPr>
        <w:pStyle w:val="2"/>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textAlignment w:val="auto"/>
        <w:rPr>
          <w:rFonts w:hint="eastAsia"/>
          <w:b/>
          <w:color w:val="FF0000"/>
          <w:sz w:val="28"/>
          <w:szCs w:val="28"/>
          <w:lang w:val="en-US" w:eastAsia="zh-CN"/>
        </w:rPr>
      </w:pPr>
      <w:bookmarkStart w:id="6" w:name="_Toc1999"/>
      <w:r>
        <w:rPr>
          <w:rFonts w:hint="eastAsia"/>
          <w:b/>
          <w:color w:val="FF0000"/>
          <w:sz w:val="28"/>
          <w:szCs w:val="28"/>
          <w:lang w:val="en-US" w:eastAsia="zh-CN"/>
        </w:rPr>
        <w:t>二、编制原则和主要内容</w:t>
      </w:r>
      <w:bookmarkEnd w:id="6"/>
    </w:p>
    <w:p w14:paraId="10AEC237">
      <w:pPr>
        <w:pStyle w:val="2"/>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textAlignment w:val="auto"/>
        <w:rPr>
          <w:rFonts w:hint="eastAsia"/>
          <w:b/>
          <w:color w:val="FF0000"/>
          <w:sz w:val="28"/>
          <w:szCs w:val="28"/>
          <w:lang w:val="en-US" w:eastAsia="zh-CN"/>
        </w:rPr>
      </w:pPr>
      <w:bookmarkStart w:id="7" w:name="_Toc30171"/>
      <w:r>
        <w:rPr>
          <w:rFonts w:hint="eastAsia"/>
          <w:b/>
          <w:color w:val="FF0000"/>
          <w:sz w:val="28"/>
          <w:szCs w:val="28"/>
          <w:lang w:val="en-US" w:eastAsia="zh-CN"/>
        </w:rPr>
        <w:t>（一）编制原则</w:t>
      </w:r>
      <w:bookmarkEnd w:id="7"/>
    </w:p>
    <w:p w14:paraId="0A4DF10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等线" w:hAnsi="等线" w:eastAsia="等线"/>
          <w:color w:val="000000"/>
          <w:sz w:val="24"/>
          <w:szCs w:val="24"/>
          <w:lang w:val="en-US" w:eastAsia="zh-CN"/>
        </w:rPr>
      </w:pPr>
      <w:r>
        <w:rPr>
          <w:rFonts w:hint="eastAsia" w:ascii="等线" w:hAnsi="等线" w:eastAsia="等线"/>
          <w:color w:val="000000"/>
          <w:sz w:val="24"/>
          <w:szCs w:val="24"/>
          <w:lang w:val="en-US" w:eastAsia="zh-CN"/>
        </w:rPr>
        <w:t>本文件编制遵循国家现有的农业有关方针、政策和法规及我省蔬菜废弃物资源化利用现实需要，按照 GB/T1.1-2020《标准化工作导则第 1 部分：标准化文件的结构和起草规则》的规定进行编写。</w:t>
      </w:r>
    </w:p>
    <w:p w14:paraId="5BBF63D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等线" w:hAnsi="等线" w:eastAsia="等线"/>
          <w:color w:val="000000"/>
          <w:sz w:val="24"/>
          <w:szCs w:val="24"/>
          <w:lang w:val="en-US" w:eastAsia="zh-CN"/>
        </w:rPr>
      </w:pPr>
      <w:r>
        <w:rPr>
          <w:rFonts w:hint="eastAsia" w:ascii="等线" w:hAnsi="等线" w:eastAsia="等线"/>
          <w:color w:val="000000"/>
          <w:sz w:val="24"/>
          <w:szCs w:val="24"/>
          <w:lang w:val="en-US" w:eastAsia="zh-CN"/>
        </w:rPr>
        <w:t>甘肃农业大学资源与环境学院应用多年来在蔬菜废弃物资源化利用方面积累的大量经验和技术成果，通过试验研究和应用验证，确保本文件能够科学文件指导蔬菜废弃物堆沤肥生产实际。</w:t>
      </w:r>
    </w:p>
    <w:p w14:paraId="25860AAE">
      <w:pPr>
        <w:pStyle w:val="2"/>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textAlignment w:val="auto"/>
        <w:rPr>
          <w:rFonts w:hint="eastAsia"/>
          <w:b/>
          <w:color w:val="FF0000"/>
          <w:sz w:val="28"/>
          <w:szCs w:val="28"/>
          <w:lang w:val="en-US" w:eastAsia="zh-CN"/>
        </w:rPr>
      </w:pPr>
      <w:bookmarkStart w:id="8" w:name="_Toc22345"/>
      <w:r>
        <w:rPr>
          <w:rFonts w:hint="eastAsia"/>
          <w:b/>
          <w:color w:val="FF0000"/>
          <w:sz w:val="28"/>
          <w:szCs w:val="28"/>
          <w:lang w:val="en-US" w:eastAsia="zh-CN"/>
        </w:rPr>
        <w:t>（二）送审文件名称与组成</w:t>
      </w:r>
      <w:bookmarkEnd w:id="8"/>
    </w:p>
    <w:p w14:paraId="2F091FE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等线" w:hAnsi="等线" w:eastAsia="等线"/>
          <w:color w:val="000000"/>
          <w:sz w:val="24"/>
          <w:szCs w:val="24"/>
          <w:lang w:val="en-US" w:eastAsia="zh-CN"/>
        </w:rPr>
      </w:pPr>
      <w:r>
        <w:rPr>
          <w:rFonts w:hint="eastAsia" w:ascii="等线" w:hAnsi="等线" w:eastAsia="等线"/>
          <w:color w:val="000000"/>
          <w:sz w:val="24"/>
          <w:szCs w:val="24"/>
          <w:lang w:val="en-US" w:eastAsia="zh-CN"/>
        </w:rPr>
        <w:t>送审的文件为《蔬菜废弃物堆沤肥技术文件》。整个文件分为5部分。第一部分：范围；第二部分：文件性引用文件；第三部分：术语和定义；第四部分：堆沤肥方法；第五部分：发酵。</w:t>
      </w:r>
    </w:p>
    <w:p w14:paraId="7B247D37">
      <w:pPr>
        <w:pStyle w:val="2"/>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textAlignment w:val="auto"/>
        <w:rPr>
          <w:rFonts w:hint="default"/>
          <w:b/>
          <w:color w:val="FF0000"/>
          <w:sz w:val="28"/>
          <w:szCs w:val="28"/>
          <w:lang w:val="en-US" w:eastAsia="zh-CN"/>
        </w:rPr>
      </w:pPr>
      <w:bookmarkStart w:id="9" w:name="_Toc21434"/>
      <w:r>
        <w:rPr>
          <w:rFonts w:hint="eastAsia"/>
          <w:b/>
          <w:color w:val="FF0000"/>
          <w:sz w:val="28"/>
          <w:szCs w:val="28"/>
          <w:lang w:val="en-US" w:eastAsia="zh-CN"/>
        </w:rPr>
        <w:t>（三）文件</w:t>
      </w:r>
      <w:r>
        <w:rPr>
          <w:rFonts w:hint="default"/>
          <w:b/>
          <w:color w:val="FF0000"/>
          <w:sz w:val="28"/>
          <w:szCs w:val="28"/>
          <w:lang w:val="en-US" w:eastAsia="zh-CN"/>
        </w:rPr>
        <w:t>各部分主要内容及编制说明</w:t>
      </w:r>
      <w:bookmarkEnd w:id="9"/>
    </w:p>
    <w:p w14:paraId="6A0695B0">
      <w:pPr>
        <w:pageBreakBefore w:val="0"/>
        <w:widowControl w:val="0"/>
        <w:kinsoku/>
        <w:wordWrap/>
        <w:overflowPunct/>
        <w:topLinePunct w:val="0"/>
        <w:autoSpaceDE/>
        <w:autoSpaceDN/>
        <w:bidi w:val="0"/>
        <w:adjustRightInd/>
        <w:snapToGrid/>
        <w:spacing w:line="360" w:lineRule="auto"/>
        <w:textAlignment w:val="auto"/>
        <w:rPr>
          <w:rFonts w:hint="default" w:ascii="等线" w:hAnsi="等线" w:eastAsia="等线"/>
          <w:color w:val="000000"/>
          <w:sz w:val="24"/>
          <w:szCs w:val="24"/>
          <w:lang w:val="en-US" w:eastAsia="zh-CN"/>
        </w:rPr>
      </w:pPr>
      <w:r>
        <w:rPr>
          <w:rFonts w:hint="default" w:ascii="等线" w:hAnsi="等线" w:eastAsia="等线"/>
          <w:color w:val="000000"/>
          <w:sz w:val="24"/>
          <w:szCs w:val="24"/>
          <w:lang w:val="en-US" w:eastAsia="zh-CN"/>
        </w:rPr>
        <w:t>1.</w:t>
      </w:r>
      <w:r>
        <w:rPr>
          <w:rFonts w:hint="eastAsia" w:ascii="等线" w:hAnsi="等线" w:eastAsia="等线"/>
          <w:color w:val="000000"/>
          <w:sz w:val="24"/>
          <w:szCs w:val="24"/>
          <w:lang w:val="en-US" w:eastAsia="zh-CN"/>
        </w:rPr>
        <w:t xml:space="preserve"> </w:t>
      </w:r>
      <w:r>
        <w:rPr>
          <w:rFonts w:hint="default" w:ascii="等线" w:hAnsi="等线" w:eastAsia="等线"/>
          <w:color w:val="000000"/>
          <w:sz w:val="24"/>
          <w:szCs w:val="24"/>
          <w:lang w:val="en-US" w:eastAsia="zh-CN"/>
        </w:rPr>
        <w:t xml:space="preserve">第一部分 范围 </w:t>
      </w:r>
    </w:p>
    <w:p w14:paraId="3C75BD7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等线" w:hAnsi="等线" w:eastAsia="等线"/>
          <w:color w:val="000000"/>
          <w:sz w:val="24"/>
          <w:szCs w:val="24"/>
          <w:lang w:val="en-US" w:eastAsia="zh-CN"/>
        </w:rPr>
      </w:pPr>
      <w:r>
        <w:rPr>
          <w:rFonts w:hint="eastAsia" w:ascii="等线" w:hAnsi="等线" w:eastAsia="等线"/>
          <w:color w:val="000000"/>
          <w:sz w:val="24"/>
          <w:szCs w:val="24"/>
          <w:lang w:val="en-US" w:eastAsia="zh-CN"/>
        </w:rPr>
        <w:t>本文件适用于蔬菜废弃物的堆沤肥技术。</w:t>
      </w:r>
    </w:p>
    <w:p w14:paraId="09B49C7B">
      <w:pPr>
        <w:pageBreakBefore w:val="0"/>
        <w:widowControl w:val="0"/>
        <w:numPr>
          <w:ilvl w:val="0"/>
          <w:numId w:val="1"/>
        </w:numPr>
        <w:kinsoku/>
        <w:wordWrap/>
        <w:overflowPunct/>
        <w:topLinePunct w:val="0"/>
        <w:autoSpaceDE/>
        <w:autoSpaceDN/>
        <w:bidi w:val="0"/>
        <w:adjustRightInd/>
        <w:snapToGrid/>
        <w:spacing w:line="360" w:lineRule="auto"/>
        <w:textAlignment w:val="auto"/>
        <w:rPr>
          <w:rFonts w:hint="default" w:ascii="等线" w:hAnsi="等线" w:eastAsia="等线"/>
          <w:color w:val="000000"/>
          <w:sz w:val="24"/>
          <w:szCs w:val="24"/>
          <w:lang w:val="en-US" w:eastAsia="zh-CN"/>
        </w:rPr>
      </w:pPr>
      <w:r>
        <w:rPr>
          <w:rFonts w:hint="default" w:ascii="等线" w:hAnsi="等线" w:eastAsia="等线"/>
          <w:color w:val="000000"/>
          <w:sz w:val="24"/>
          <w:szCs w:val="24"/>
          <w:lang w:val="en-US" w:eastAsia="zh-CN"/>
        </w:rPr>
        <w:t xml:space="preserve">第二部分 </w:t>
      </w:r>
      <w:r>
        <w:rPr>
          <w:rFonts w:hint="eastAsia" w:ascii="等线" w:hAnsi="等线" w:eastAsia="等线"/>
          <w:color w:val="000000"/>
          <w:sz w:val="24"/>
          <w:szCs w:val="24"/>
          <w:lang w:val="en-US" w:eastAsia="zh-CN"/>
        </w:rPr>
        <w:t>文件</w:t>
      </w:r>
      <w:r>
        <w:rPr>
          <w:rFonts w:hint="default" w:ascii="等线" w:hAnsi="等线" w:eastAsia="等线"/>
          <w:color w:val="000000"/>
          <w:sz w:val="24"/>
          <w:szCs w:val="24"/>
          <w:lang w:val="en-US" w:eastAsia="zh-CN"/>
        </w:rPr>
        <w:t xml:space="preserve">性引用文件 </w:t>
      </w:r>
    </w:p>
    <w:p w14:paraId="445577F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等线" w:hAnsi="等线" w:eastAsia="等线"/>
          <w:color w:val="000000"/>
          <w:sz w:val="24"/>
          <w:szCs w:val="24"/>
          <w:lang w:val="en-US" w:eastAsia="zh-CN"/>
        </w:rPr>
      </w:pPr>
      <w:r>
        <w:rPr>
          <w:rFonts w:hint="eastAsia" w:ascii="等线" w:hAnsi="等线" w:eastAsia="等线"/>
          <w:color w:val="000000"/>
          <w:sz w:val="24"/>
          <w:szCs w:val="24"/>
          <w:lang w:val="en-US" w:eastAsia="zh-CN"/>
        </w:rPr>
        <w:t>本文件适用于蔬菜废弃物的堆沤肥技术。</w:t>
      </w:r>
    </w:p>
    <w:p w14:paraId="24090BF8">
      <w:pPr>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default" w:ascii="等线" w:hAnsi="等线" w:eastAsia="等线"/>
          <w:color w:val="000000"/>
          <w:sz w:val="24"/>
          <w:szCs w:val="24"/>
          <w:lang w:val="en-US" w:eastAsia="zh-CN"/>
        </w:rPr>
      </w:pPr>
      <w:r>
        <w:rPr>
          <w:rFonts w:hint="eastAsia" w:ascii="等线" w:hAnsi="等线" w:eastAsia="等线"/>
          <w:color w:val="000000"/>
          <w:sz w:val="24"/>
          <w:szCs w:val="24"/>
          <w:lang w:val="en-US" w:eastAsia="zh-CN"/>
        </w:rPr>
        <w:t>第三部分：术语和定义</w:t>
      </w:r>
    </w:p>
    <w:p w14:paraId="5F157136">
      <w:pPr>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等线" w:hAnsi="等线" w:eastAsia="等线"/>
          <w:color w:val="000000"/>
          <w:sz w:val="24"/>
          <w:szCs w:val="24"/>
          <w:lang w:val="en-US" w:eastAsia="zh-CN"/>
        </w:rPr>
      </w:pPr>
      <w:r>
        <w:rPr>
          <w:rFonts w:hint="eastAsia" w:ascii="等线" w:hAnsi="等线" w:eastAsia="等线"/>
          <w:color w:val="000000"/>
          <w:sz w:val="24"/>
          <w:szCs w:val="24"/>
          <w:lang w:val="en-US" w:eastAsia="zh-CN"/>
        </w:rPr>
        <w:t xml:space="preserve">  详细介绍了本文件中的主要术语和定义。</w:t>
      </w:r>
    </w:p>
    <w:p w14:paraId="61A97BEE">
      <w:pPr>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等线" w:hAnsi="等线" w:eastAsia="等线"/>
          <w:color w:val="000000"/>
          <w:sz w:val="24"/>
          <w:szCs w:val="24"/>
          <w:lang w:val="en-US" w:eastAsia="zh-CN"/>
        </w:rPr>
      </w:pPr>
      <w:r>
        <w:rPr>
          <w:rFonts w:hint="eastAsia" w:ascii="等线" w:hAnsi="等线" w:eastAsia="等线"/>
          <w:color w:val="000000"/>
          <w:sz w:val="24"/>
          <w:szCs w:val="24"/>
          <w:lang w:val="en-US" w:eastAsia="zh-CN"/>
        </w:rPr>
        <w:t>第四部分：堆沤肥方法；</w:t>
      </w:r>
    </w:p>
    <w:p w14:paraId="359AF1E6">
      <w:pPr>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ascii="等线" w:hAnsi="等线" w:eastAsia="等线"/>
          <w:color w:val="000000"/>
          <w:sz w:val="24"/>
          <w:szCs w:val="24"/>
          <w:lang w:val="en-US" w:eastAsia="zh-CN"/>
        </w:rPr>
      </w:pPr>
      <w:r>
        <w:rPr>
          <w:rFonts w:hint="eastAsia" w:ascii="等线" w:hAnsi="等线" w:eastAsia="等线"/>
          <w:color w:val="000000"/>
          <w:sz w:val="24"/>
          <w:szCs w:val="24"/>
          <w:lang w:val="en-US" w:eastAsia="zh-CN"/>
        </w:rPr>
        <w:t>详细介绍了堆沤肥场地、堆沤肥方式和原料处理。</w:t>
      </w:r>
    </w:p>
    <w:p w14:paraId="21C42D8B">
      <w:pPr>
        <w:pageBreakBefore w:val="0"/>
        <w:widowControl w:val="0"/>
        <w:kinsoku/>
        <w:wordWrap/>
        <w:overflowPunct/>
        <w:topLinePunct w:val="0"/>
        <w:autoSpaceDE/>
        <w:autoSpaceDN/>
        <w:bidi w:val="0"/>
        <w:adjustRightInd/>
        <w:snapToGrid/>
        <w:spacing w:line="360" w:lineRule="auto"/>
        <w:textAlignment w:val="auto"/>
        <w:rPr>
          <w:rFonts w:hint="eastAsia" w:ascii="等线" w:hAnsi="等线" w:eastAsia="等线"/>
          <w:color w:val="000000"/>
          <w:sz w:val="24"/>
          <w:szCs w:val="24"/>
          <w:lang w:val="en-US" w:eastAsia="zh-CN"/>
        </w:rPr>
      </w:pPr>
      <w:r>
        <w:rPr>
          <w:rFonts w:hint="eastAsia" w:ascii="等线" w:hAnsi="等线" w:eastAsia="等线"/>
          <w:color w:val="000000"/>
          <w:sz w:val="24"/>
          <w:szCs w:val="24"/>
          <w:lang w:val="en-US" w:eastAsia="zh-CN"/>
        </w:rPr>
        <w:t>第五部分：发酵。</w:t>
      </w:r>
    </w:p>
    <w:p w14:paraId="445900CB">
      <w:pPr>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等线" w:hAnsi="等线" w:eastAsia="等线"/>
          <w:color w:val="000000"/>
          <w:sz w:val="24"/>
          <w:szCs w:val="24"/>
          <w:lang w:val="en-US" w:eastAsia="zh-CN"/>
        </w:rPr>
      </w:pPr>
      <w:r>
        <w:rPr>
          <w:rFonts w:hint="eastAsia" w:ascii="等线" w:hAnsi="等线" w:eastAsia="等线"/>
          <w:color w:val="000000"/>
          <w:sz w:val="24"/>
          <w:szCs w:val="24"/>
          <w:lang w:val="en-US" w:eastAsia="zh-CN"/>
        </w:rPr>
        <w:t>详细介绍了堆沤肥翻堆、搅拌、测温、腐熟和贮存。</w:t>
      </w:r>
    </w:p>
    <w:p w14:paraId="46A34767">
      <w:pPr>
        <w:pStyle w:val="2"/>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textAlignment w:val="auto"/>
        <w:rPr>
          <w:rFonts w:hint="eastAsia"/>
          <w:b/>
          <w:color w:val="FF0000"/>
          <w:sz w:val="28"/>
          <w:szCs w:val="28"/>
          <w:lang w:val="en-US" w:eastAsia="zh-CN"/>
        </w:rPr>
      </w:pPr>
      <w:bookmarkStart w:id="10" w:name="_Toc20971"/>
      <w:r>
        <w:rPr>
          <w:rFonts w:hint="eastAsia"/>
          <w:b/>
          <w:color w:val="FF0000"/>
          <w:sz w:val="28"/>
          <w:szCs w:val="28"/>
          <w:lang w:val="en-US" w:eastAsia="zh-CN"/>
        </w:rPr>
        <w:t>三、编制过程</w:t>
      </w:r>
      <w:bookmarkEnd w:id="10"/>
    </w:p>
    <w:p w14:paraId="5C9D7BB0">
      <w:pPr>
        <w:pStyle w:val="2"/>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textAlignment w:val="auto"/>
        <w:rPr>
          <w:rFonts w:hint="eastAsia"/>
          <w:b/>
          <w:color w:val="FF0000"/>
          <w:sz w:val="28"/>
          <w:szCs w:val="28"/>
          <w:lang w:val="en-US" w:eastAsia="zh-CN"/>
        </w:rPr>
      </w:pPr>
      <w:bookmarkStart w:id="11" w:name="_Toc15295"/>
      <w:r>
        <w:rPr>
          <w:rFonts w:hint="eastAsia"/>
          <w:b/>
          <w:color w:val="FF0000"/>
          <w:sz w:val="28"/>
          <w:szCs w:val="28"/>
          <w:lang w:val="en-US" w:eastAsia="zh-CN"/>
        </w:rPr>
        <w:t>（一）起草阶段</w:t>
      </w:r>
      <w:bookmarkEnd w:id="11"/>
    </w:p>
    <w:p w14:paraId="3E8E5B76">
      <w:pPr>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等线" w:hAnsi="等线" w:eastAsia="等线"/>
          <w:color w:val="000000"/>
          <w:sz w:val="24"/>
          <w:szCs w:val="24"/>
          <w:lang w:val="en-US" w:eastAsia="zh-CN"/>
        </w:rPr>
      </w:pPr>
      <w:r>
        <w:rPr>
          <w:rFonts w:hint="default" w:ascii="等线" w:hAnsi="等线" w:eastAsia="等线"/>
          <w:color w:val="000000"/>
          <w:sz w:val="24"/>
          <w:szCs w:val="24"/>
          <w:lang w:val="en-US" w:eastAsia="zh-CN"/>
        </w:rPr>
        <w:t>202</w:t>
      </w:r>
      <w:r>
        <w:rPr>
          <w:rFonts w:hint="eastAsia" w:ascii="等线" w:hAnsi="等线" w:eastAsia="等线"/>
          <w:color w:val="000000"/>
          <w:sz w:val="24"/>
          <w:szCs w:val="24"/>
          <w:lang w:val="en-US" w:eastAsia="zh-CN"/>
        </w:rPr>
        <w:t>5</w:t>
      </w:r>
      <w:r>
        <w:rPr>
          <w:rFonts w:hint="default" w:ascii="等线" w:hAnsi="等线" w:eastAsia="等线"/>
          <w:color w:val="000000"/>
          <w:sz w:val="24"/>
          <w:szCs w:val="24"/>
          <w:lang w:val="en-US" w:eastAsia="zh-CN"/>
        </w:rPr>
        <w:t xml:space="preserve"> 年 </w:t>
      </w:r>
      <w:r>
        <w:rPr>
          <w:rFonts w:hint="eastAsia" w:ascii="等线" w:hAnsi="等线" w:eastAsia="等线"/>
          <w:color w:val="000000"/>
          <w:sz w:val="24"/>
          <w:szCs w:val="24"/>
          <w:lang w:val="en-US" w:eastAsia="zh-CN"/>
        </w:rPr>
        <w:t>1-4</w:t>
      </w:r>
      <w:r>
        <w:rPr>
          <w:rFonts w:hint="default" w:ascii="等线" w:hAnsi="等线" w:eastAsia="等线"/>
          <w:color w:val="000000"/>
          <w:sz w:val="24"/>
          <w:szCs w:val="24"/>
          <w:lang w:val="en-US" w:eastAsia="zh-CN"/>
        </w:rPr>
        <w:t>月</w:t>
      </w:r>
      <w:r>
        <w:rPr>
          <w:rFonts w:hint="eastAsia" w:ascii="等线" w:hAnsi="等线" w:eastAsia="等线"/>
          <w:color w:val="000000"/>
          <w:sz w:val="24"/>
          <w:szCs w:val="24"/>
          <w:lang w:val="en-US" w:eastAsia="zh-CN"/>
        </w:rPr>
        <w:t>。2025年1月</w:t>
      </w:r>
      <w:r>
        <w:rPr>
          <w:rFonts w:hint="default" w:ascii="等线" w:hAnsi="等线" w:eastAsia="等线"/>
          <w:color w:val="000000"/>
          <w:sz w:val="24"/>
          <w:szCs w:val="24"/>
          <w:lang w:val="en-US" w:eastAsia="zh-CN"/>
        </w:rPr>
        <w:t>甘肃省市场监督管理局的立项通知下达后，</w:t>
      </w:r>
      <w:r>
        <w:rPr>
          <w:rFonts w:hint="eastAsia" w:ascii="等线" w:hAnsi="等线" w:eastAsia="等线"/>
          <w:color w:val="000000"/>
          <w:sz w:val="24"/>
          <w:szCs w:val="24"/>
          <w:lang w:val="en-US" w:eastAsia="zh-CN"/>
        </w:rPr>
        <w:t>项目组依据GB/T1.1-2020《标准化工作导则第 1 部分：标准化文件的结构和起草规则》，组织项目成员进行标准的编写工作，《蔬菜废弃物堆沤肥技术文件》。</w:t>
      </w:r>
    </w:p>
    <w:p w14:paraId="428307BB">
      <w:pPr>
        <w:pStyle w:val="2"/>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textAlignment w:val="auto"/>
        <w:rPr>
          <w:rFonts w:hint="eastAsia"/>
          <w:b/>
          <w:color w:val="FF0000"/>
          <w:sz w:val="28"/>
          <w:szCs w:val="28"/>
          <w:lang w:val="en-US" w:eastAsia="zh-CN"/>
        </w:rPr>
      </w:pPr>
      <w:bookmarkStart w:id="12" w:name="_Toc21565"/>
      <w:r>
        <w:rPr>
          <w:rFonts w:hint="eastAsia"/>
          <w:b/>
          <w:color w:val="FF0000"/>
          <w:sz w:val="28"/>
          <w:szCs w:val="28"/>
          <w:lang w:val="en-US" w:eastAsia="zh-CN"/>
        </w:rPr>
        <w:t>（二）征求意见稿阶段</w:t>
      </w:r>
      <w:bookmarkEnd w:id="12"/>
    </w:p>
    <w:p w14:paraId="4F9D2F5B">
      <w:pPr>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等线" w:hAnsi="等线" w:eastAsia="等线"/>
          <w:color w:val="000000"/>
          <w:sz w:val="24"/>
          <w:szCs w:val="24"/>
          <w:lang w:val="en-US" w:eastAsia="zh-CN"/>
        </w:rPr>
      </w:pPr>
      <w:r>
        <w:rPr>
          <w:rFonts w:hint="default" w:ascii="等线" w:hAnsi="等线" w:eastAsia="等线"/>
          <w:color w:val="000000"/>
          <w:sz w:val="24"/>
          <w:szCs w:val="24"/>
          <w:lang w:val="en-US" w:eastAsia="zh-CN"/>
        </w:rPr>
        <w:t>202</w:t>
      </w:r>
      <w:r>
        <w:rPr>
          <w:rFonts w:hint="eastAsia" w:ascii="等线" w:hAnsi="等线" w:eastAsia="等线"/>
          <w:color w:val="000000"/>
          <w:sz w:val="24"/>
          <w:szCs w:val="24"/>
          <w:lang w:val="en-US" w:eastAsia="zh-CN"/>
        </w:rPr>
        <w:t>5</w:t>
      </w:r>
      <w:r>
        <w:rPr>
          <w:rFonts w:hint="default" w:ascii="等线" w:hAnsi="等线" w:eastAsia="等线"/>
          <w:color w:val="000000"/>
          <w:sz w:val="24"/>
          <w:szCs w:val="24"/>
          <w:lang w:val="en-US" w:eastAsia="zh-CN"/>
        </w:rPr>
        <w:t xml:space="preserve"> 年 </w:t>
      </w:r>
      <w:r>
        <w:rPr>
          <w:rFonts w:hint="eastAsia" w:ascii="等线" w:hAnsi="等线" w:eastAsia="等线"/>
          <w:color w:val="000000"/>
          <w:sz w:val="24"/>
          <w:szCs w:val="24"/>
          <w:lang w:val="en-US" w:eastAsia="zh-CN"/>
        </w:rPr>
        <w:t>5-7</w:t>
      </w:r>
      <w:r>
        <w:rPr>
          <w:rFonts w:hint="default" w:ascii="等线" w:hAnsi="等线" w:eastAsia="等线"/>
          <w:color w:val="000000"/>
          <w:sz w:val="24"/>
          <w:szCs w:val="24"/>
          <w:lang w:val="en-US" w:eastAsia="zh-CN"/>
        </w:rPr>
        <w:t>月</w:t>
      </w:r>
      <w:r>
        <w:rPr>
          <w:rFonts w:hint="eastAsia" w:ascii="等线" w:hAnsi="等线" w:eastAsia="等线"/>
          <w:color w:val="000000"/>
          <w:sz w:val="24"/>
          <w:szCs w:val="24"/>
          <w:lang w:val="en-US" w:eastAsia="zh-CN"/>
        </w:rPr>
        <w:t>。针对文件草案，编制组广泛征求意见，共收集到甘肃省农业科学院、陇南师范学院、庆阳市、平凉市、天水市、白银市等县区农业技术部门18份意见，多次进行内部讨论，初步完成征求意见稿。经过多次征求我省各市（州）农技推广中心、省农科院等相关专家的意见，对本文件进行了修改，形成征求意见稿（修订版）。</w:t>
      </w:r>
    </w:p>
    <w:p w14:paraId="13E71102">
      <w:pPr>
        <w:pStyle w:val="2"/>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textAlignment w:val="auto"/>
        <w:rPr>
          <w:rFonts w:hint="eastAsia"/>
          <w:b/>
          <w:color w:val="FF0000"/>
          <w:sz w:val="28"/>
          <w:szCs w:val="28"/>
          <w:lang w:val="en-US" w:eastAsia="zh-CN"/>
        </w:rPr>
      </w:pPr>
      <w:bookmarkStart w:id="13" w:name="_Toc16194"/>
      <w:r>
        <w:rPr>
          <w:rFonts w:hint="eastAsia"/>
          <w:b/>
          <w:color w:val="FF0000"/>
          <w:sz w:val="28"/>
          <w:szCs w:val="28"/>
          <w:lang w:val="en-US" w:eastAsia="zh-CN"/>
        </w:rPr>
        <w:t>（三）送审稿阶段</w:t>
      </w:r>
      <w:bookmarkEnd w:id="13"/>
    </w:p>
    <w:p w14:paraId="4A009AF5">
      <w:pPr>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等线" w:hAnsi="等线" w:eastAsia="等线"/>
          <w:color w:val="000000"/>
          <w:sz w:val="24"/>
          <w:szCs w:val="24"/>
          <w:lang w:val="en-US" w:eastAsia="zh-CN"/>
        </w:rPr>
      </w:pPr>
      <w:r>
        <w:rPr>
          <w:rFonts w:hint="default" w:ascii="等线" w:hAnsi="等线" w:eastAsia="等线"/>
          <w:color w:val="000000"/>
          <w:sz w:val="24"/>
          <w:szCs w:val="24"/>
          <w:lang w:val="en-US" w:eastAsia="zh-CN"/>
        </w:rPr>
        <w:t>202</w:t>
      </w:r>
      <w:r>
        <w:rPr>
          <w:rFonts w:hint="eastAsia" w:ascii="等线" w:hAnsi="等线" w:eastAsia="等线"/>
          <w:color w:val="000000"/>
          <w:sz w:val="24"/>
          <w:szCs w:val="24"/>
          <w:lang w:val="en-US" w:eastAsia="zh-CN"/>
        </w:rPr>
        <w:t>5</w:t>
      </w:r>
      <w:r>
        <w:rPr>
          <w:rFonts w:hint="default" w:ascii="等线" w:hAnsi="等线" w:eastAsia="等线"/>
          <w:color w:val="000000"/>
          <w:sz w:val="24"/>
          <w:szCs w:val="24"/>
          <w:lang w:val="en-US" w:eastAsia="zh-CN"/>
        </w:rPr>
        <w:t xml:space="preserve"> 年</w:t>
      </w:r>
      <w:r>
        <w:rPr>
          <w:rFonts w:hint="eastAsia" w:ascii="等线" w:hAnsi="等线" w:eastAsia="等线"/>
          <w:color w:val="000000"/>
          <w:sz w:val="24"/>
          <w:szCs w:val="24"/>
          <w:lang w:val="en-US" w:eastAsia="zh-CN"/>
        </w:rPr>
        <w:t>7</w:t>
      </w:r>
      <w:r>
        <w:rPr>
          <w:rFonts w:hint="default" w:ascii="等线" w:hAnsi="等线" w:eastAsia="等线"/>
          <w:color w:val="000000"/>
          <w:sz w:val="24"/>
          <w:szCs w:val="24"/>
          <w:lang w:val="en-US" w:eastAsia="zh-CN"/>
        </w:rPr>
        <w:t>月</w:t>
      </w:r>
      <w:r>
        <w:rPr>
          <w:rFonts w:hint="eastAsia" w:ascii="等线" w:hAnsi="等线" w:eastAsia="等线"/>
          <w:color w:val="000000"/>
          <w:sz w:val="24"/>
          <w:szCs w:val="24"/>
          <w:lang w:val="en-US" w:eastAsia="zh-CN"/>
        </w:rPr>
        <w:t>，编制组历经半年的不断修订完善，书面征求省内相关专家意见，梳理专家意见并进行修订，将修订后的《蔬菜废弃物堆沤肥技术文件》形成送审稿上报。</w:t>
      </w:r>
    </w:p>
    <w:p w14:paraId="300D2914">
      <w:pPr>
        <w:pStyle w:val="2"/>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textAlignment w:val="auto"/>
        <w:rPr>
          <w:rFonts w:hint="eastAsia"/>
          <w:b/>
          <w:color w:val="FF0000"/>
          <w:sz w:val="28"/>
          <w:szCs w:val="28"/>
          <w:lang w:val="en-US" w:eastAsia="zh-CN"/>
        </w:rPr>
      </w:pPr>
      <w:bookmarkStart w:id="14" w:name="_Toc32102"/>
      <w:r>
        <w:rPr>
          <w:rFonts w:hint="eastAsia"/>
          <w:b/>
          <w:color w:val="FF0000"/>
          <w:sz w:val="28"/>
          <w:szCs w:val="28"/>
          <w:lang w:val="en-US" w:eastAsia="zh-CN"/>
        </w:rPr>
        <w:t>四、与有关法律法规和强制性标准的关系</w:t>
      </w:r>
      <w:bookmarkEnd w:id="14"/>
    </w:p>
    <w:p w14:paraId="26DB1257">
      <w:pPr>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等线" w:hAnsi="等线" w:eastAsia="等线"/>
          <w:color w:val="000000"/>
          <w:sz w:val="24"/>
          <w:szCs w:val="24"/>
          <w:lang w:val="en-US" w:eastAsia="zh-CN"/>
        </w:rPr>
      </w:pPr>
      <w:r>
        <w:rPr>
          <w:rFonts w:hint="eastAsia" w:ascii="等线" w:hAnsi="等线" w:eastAsia="等线"/>
          <w:color w:val="000000"/>
          <w:sz w:val="24"/>
          <w:szCs w:val="24"/>
          <w:lang w:val="en-US" w:eastAsia="zh-CN"/>
        </w:rPr>
        <w:t>《蔬菜废弃物堆沤肥技术文件》严格按照 GB/T 1.1-2020《标准化工作导则 第 1 部分：标准化文件的结构和起草规则》给出的规则编写。本文件是编制组在多年实际应用和研究总结的基础上形成的，引用的文件性文件都是最新修订的，术语的定义文件、标准与现行的法律法规和强制性标准文件无抵触。</w:t>
      </w:r>
    </w:p>
    <w:p w14:paraId="686FDF07">
      <w:pPr>
        <w:pStyle w:val="2"/>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textAlignment w:val="auto"/>
        <w:rPr>
          <w:rFonts w:hint="eastAsia"/>
          <w:b/>
          <w:color w:val="FF0000"/>
          <w:sz w:val="28"/>
          <w:szCs w:val="28"/>
          <w:lang w:val="en-US" w:eastAsia="zh-CN"/>
        </w:rPr>
      </w:pPr>
      <w:bookmarkStart w:id="15" w:name="_Toc12115"/>
      <w:r>
        <w:rPr>
          <w:rFonts w:hint="eastAsia"/>
          <w:b/>
          <w:color w:val="FF0000"/>
          <w:sz w:val="28"/>
          <w:szCs w:val="28"/>
          <w:lang w:val="en-US" w:eastAsia="zh-CN"/>
        </w:rPr>
        <w:t>五、重大意见分歧处理意见和理由</w:t>
      </w:r>
      <w:bookmarkEnd w:id="15"/>
    </w:p>
    <w:p w14:paraId="5F335FC9">
      <w:pPr>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等线" w:hAnsi="等线" w:eastAsia="等线"/>
          <w:color w:val="000000"/>
          <w:sz w:val="24"/>
          <w:szCs w:val="24"/>
          <w:lang w:val="en-US" w:eastAsia="zh-CN"/>
        </w:rPr>
      </w:pPr>
      <w:r>
        <w:rPr>
          <w:rFonts w:hint="eastAsia" w:ascii="等线" w:hAnsi="等线" w:eastAsia="等线"/>
          <w:color w:val="000000"/>
          <w:sz w:val="24"/>
          <w:szCs w:val="24"/>
          <w:lang w:val="en-US" w:eastAsia="zh-CN"/>
        </w:rPr>
        <w:t>本文件广泛征求了蔬菜废弃物资源化利用领域的专家意见，包括农业科研院所、农业企业及农技推广部门等单位的专家，无重大意见分歧。</w:t>
      </w:r>
    </w:p>
    <w:p w14:paraId="29E9C265">
      <w:pPr>
        <w:pStyle w:val="2"/>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textAlignment w:val="auto"/>
        <w:rPr>
          <w:rFonts w:hint="eastAsia"/>
          <w:b/>
          <w:color w:val="FF0000"/>
          <w:sz w:val="28"/>
          <w:szCs w:val="28"/>
          <w:lang w:val="en-US" w:eastAsia="zh-CN"/>
        </w:rPr>
      </w:pPr>
      <w:bookmarkStart w:id="16" w:name="_Toc22190"/>
      <w:r>
        <w:rPr>
          <w:rFonts w:hint="eastAsia"/>
          <w:b/>
          <w:color w:val="FF0000"/>
          <w:sz w:val="28"/>
          <w:szCs w:val="28"/>
          <w:lang w:val="en-US" w:eastAsia="zh-CN"/>
        </w:rPr>
        <w:t>六、作为强制性标准和推荐性国家标准的建议</w:t>
      </w:r>
      <w:bookmarkEnd w:id="16"/>
    </w:p>
    <w:p w14:paraId="042850DC">
      <w:pPr>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等线" w:hAnsi="等线" w:eastAsia="等线"/>
          <w:color w:val="000000"/>
          <w:sz w:val="24"/>
          <w:szCs w:val="24"/>
          <w:lang w:val="en-US" w:eastAsia="zh-CN"/>
        </w:rPr>
      </w:pPr>
      <w:r>
        <w:rPr>
          <w:rFonts w:hint="eastAsia" w:ascii="等线" w:hAnsi="等线" w:eastAsia="等线"/>
          <w:color w:val="000000"/>
          <w:sz w:val="24"/>
          <w:szCs w:val="24"/>
          <w:lang w:val="en-US" w:eastAsia="zh-CN"/>
        </w:rPr>
        <w:t>建议本文件作为推荐性地方文件使用。</w:t>
      </w:r>
    </w:p>
    <w:p w14:paraId="4446CDE0">
      <w:pPr>
        <w:pStyle w:val="2"/>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textAlignment w:val="auto"/>
        <w:rPr>
          <w:rFonts w:hint="eastAsia"/>
          <w:b/>
          <w:color w:val="FF0000"/>
          <w:sz w:val="28"/>
          <w:szCs w:val="28"/>
          <w:lang w:val="en-US" w:eastAsia="zh-CN"/>
        </w:rPr>
      </w:pPr>
      <w:bookmarkStart w:id="17" w:name="_Toc25262"/>
      <w:r>
        <w:rPr>
          <w:rFonts w:hint="eastAsia"/>
          <w:b/>
          <w:color w:val="FF0000"/>
          <w:sz w:val="28"/>
          <w:szCs w:val="28"/>
          <w:lang w:val="en-US" w:eastAsia="zh-CN"/>
        </w:rPr>
        <w:t>七、贯彻该文件的要求和措施建议</w:t>
      </w:r>
      <w:bookmarkEnd w:id="17"/>
    </w:p>
    <w:p w14:paraId="14DE3F29">
      <w:pPr>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等线" w:hAnsi="等线" w:eastAsia="等线"/>
          <w:color w:val="000000"/>
          <w:sz w:val="24"/>
          <w:szCs w:val="24"/>
          <w:lang w:val="en-US" w:eastAsia="zh-CN"/>
        </w:rPr>
      </w:pPr>
      <w:r>
        <w:rPr>
          <w:rFonts w:hint="eastAsia" w:ascii="等线" w:hAnsi="等线" w:eastAsia="等线"/>
          <w:color w:val="000000"/>
          <w:sz w:val="24"/>
          <w:szCs w:val="24"/>
          <w:lang w:val="en-US" w:eastAsia="zh-CN"/>
        </w:rPr>
        <w:t>建议《蔬菜废弃物堆沤肥技术文件》作为推荐性文件发布实施。建议文件发布实施后，由文件编制单位加强对各级技术人员的培训，确保本文件落地实施。</w:t>
      </w:r>
    </w:p>
    <w:p w14:paraId="51E8AFA6">
      <w:pPr>
        <w:pStyle w:val="2"/>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textAlignment w:val="auto"/>
        <w:rPr>
          <w:rFonts w:hint="eastAsia"/>
          <w:b/>
          <w:color w:val="FF0000"/>
          <w:sz w:val="28"/>
          <w:szCs w:val="28"/>
          <w:lang w:val="en-US" w:eastAsia="zh-CN"/>
        </w:rPr>
      </w:pPr>
      <w:bookmarkStart w:id="18" w:name="_Toc19498"/>
      <w:r>
        <w:rPr>
          <w:rFonts w:hint="eastAsia"/>
          <w:b/>
          <w:color w:val="FF0000"/>
          <w:sz w:val="28"/>
          <w:szCs w:val="28"/>
          <w:lang w:val="en-US" w:eastAsia="zh-CN"/>
        </w:rPr>
        <w:t>八、废止现行有关标准的建议</w:t>
      </w:r>
      <w:bookmarkEnd w:id="18"/>
    </w:p>
    <w:p w14:paraId="321EAA4C">
      <w:pPr>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等线" w:hAnsi="等线" w:eastAsia="等线"/>
          <w:color w:val="000000"/>
          <w:sz w:val="24"/>
          <w:szCs w:val="24"/>
          <w:lang w:val="en-US" w:eastAsia="zh-CN"/>
        </w:rPr>
      </w:pPr>
      <w:r>
        <w:rPr>
          <w:rFonts w:hint="eastAsia" w:ascii="等线" w:hAnsi="等线" w:eastAsia="等线"/>
          <w:color w:val="000000"/>
          <w:sz w:val="24"/>
          <w:szCs w:val="24"/>
          <w:lang w:val="en-US" w:eastAsia="zh-CN"/>
        </w:rPr>
        <w:t>本文件为修订文件，本文件发布后建议废止</w:t>
      </w:r>
      <w:r>
        <w:rPr>
          <w:rFonts w:hint="eastAsia" w:ascii="等线" w:hAnsi="等线" w:eastAsia="等线"/>
          <w:color w:val="000000"/>
          <w:sz w:val="24"/>
          <w:szCs w:val="24"/>
        </w:rPr>
        <w:t>《</w:t>
      </w:r>
      <w:r>
        <w:rPr>
          <w:rFonts w:hint="eastAsia" w:ascii="等线" w:hAnsi="等线" w:eastAsia="等线" w:cs="等线"/>
          <w:sz w:val="24"/>
          <w:szCs w:val="24"/>
        </w:rPr>
        <w:t>蔬菜废弃物堆肥技术规程</w:t>
      </w:r>
      <w:r>
        <w:rPr>
          <w:rFonts w:hint="eastAsia" w:ascii="等线" w:hAnsi="等线" w:eastAsia="等线"/>
          <w:color w:val="000000"/>
          <w:sz w:val="24"/>
          <w:szCs w:val="24"/>
        </w:rPr>
        <w:t>》（</w:t>
      </w:r>
      <w:r>
        <w:rPr>
          <w:rFonts w:hint="eastAsia" w:ascii="宋体" w:hAnsi="宋体"/>
          <w:color w:val="000000"/>
          <w:sz w:val="24"/>
          <w:szCs w:val="24"/>
        </w:rPr>
        <w:t>DB62/T 2190-2011</w:t>
      </w:r>
      <w:r>
        <w:rPr>
          <w:rFonts w:hint="eastAsia" w:ascii="等线" w:hAnsi="等线" w:eastAsia="等线"/>
          <w:color w:val="000000"/>
          <w:sz w:val="24"/>
          <w:szCs w:val="24"/>
        </w:rPr>
        <w:t>）</w:t>
      </w:r>
      <w:r>
        <w:rPr>
          <w:rFonts w:hint="eastAsia" w:ascii="等线" w:hAnsi="等线" w:eastAsia="等线"/>
          <w:color w:val="000000"/>
          <w:sz w:val="24"/>
          <w:szCs w:val="24"/>
          <w:lang w:val="en-US" w:eastAsia="zh-CN"/>
        </w:rPr>
        <w:t>和</w:t>
      </w:r>
      <w:r>
        <w:rPr>
          <w:rFonts w:hint="eastAsia" w:ascii="等线" w:hAnsi="等线" w:eastAsia="等线"/>
          <w:color w:val="000000"/>
          <w:sz w:val="24"/>
          <w:szCs w:val="24"/>
        </w:rPr>
        <w:t>《蔬菜废弃物沤肥技术规程》（DB62/T 2191-2011）。</w:t>
      </w:r>
    </w:p>
    <w:p w14:paraId="3D1185CB">
      <w:pPr>
        <w:pStyle w:val="2"/>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textAlignment w:val="auto"/>
        <w:rPr>
          <w:rFonts w:hint="eastAsia"/>
          <w:b/>
          <w:color w:val="FF0000"/>
          <w:sz w:val="28"/>
          <w:szCs w:val="28"/>
          <w:lang w:val="en-US" w:eastAsia="zh-CN"/>
        </w:rPr>
      </w:pPr>
      <w:bookmarkStart w:id="19" w:name="_Toc27694"/>
      <w:r>
        <w:rPr>
          <w:rFonts w:hint="eastAsia"/>
          <w:b/>
          <w:color w:val="FF0000"/>
          <w:sz w:val="28"/>
          <w:szCs w:val="28"/>
          <w:lang w:val="en-US" w:eastAsia="zh-CN"/>
        </w:rPr>
        <w:t>九、其他应予说明的事项</w:t>
      </w:r>
      <w:bookmarkEnd w:id="19"/>
    </w:p>
    <w:p w14:paraId="36094F5C">
      <w:pPr>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lang w:val="en-US" w:eastAsia="zh-CN"/>
        </w:rPr>
      </w:pPr>
      <w:r>
        <w:rPr>
          <w:rFonts w:hint="eastAsia" w:ascii="等线" w:hAnsi="等线" w:eastAsia="等线"/>
          <w:color w:val="000000"/>
          <w:sz w:val="24"/>
          <w:szCs w:val="24"/>
          <w:lang w:val="en-US" w:eastAsia="zh-CN"/>
        </w:rPr>
        <w:t>无。</w:t>
      </w:r>
    </w:p>
    <w:p w14:paraId="5B27D302">
      <w:pPr>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14:paraId="15F92DE2">
      <w:pPr>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ascii="等线" w:hAnsi="等线" w:eastAsia="等线"/>
          <w:color w:val="000000"/>
          <w:sz w:val="24"/>
          <w:szCs w:val="24"/>
          <w:lang w:val="en-US" w:eastAsia="zh-CN"/>
        </w:rPr>
      </w:pPr>
    </w:p>
    <w:p w14:paraId="3D3AD17E">
      <w:pPr>
        <w:pageBreakBefore w:val="0"/>
        <w:widowControl w:val="0"/>
        <w:kinsoku/>
        <w:wordWrap/>
        <w:overflowPunct/>
        <w:topLinePunct w:val="0"/>
        <w:autoSpaceDE/>
        <w:autoSpaceDN/>
        <w:bidi w:val="0"/>
        <w:adjustRightInd/>
        <w:snapToGrid/>
        <w:spacing w:line="360" w:lineRule="auto"/>
        <w:textAlignment w:val="auto"/>
        <w:rPr>
          <w:rFonts w:hint="eastAsia" w:ascii="等线" w:hAnsi="等线" w:eastAsia="等线"/>
          <w:color w:val="000000"/>
          <w:sz w:val="24"/>
          <w:szCs w:val="24"/>
          <w:lang w:val="en-US" w:eastAsia="zh-CN"/>
        </w:rPr>
      </w:pPr>
    </w:p>
    <w:p w14:paraId="52869062">
      <w:pPr>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等线" w:hAnsi="等线" w:eastAsia="等线"/>
          <w:color w:val="000000"/>
          <w:sz w:val="24"/>
          <w:szCs w:val="24"/>
          <w:lang w:val="en-US" w:eastAsia="zh-CN"/>
        </w:rPr>
      </w:pPr>
    </w:p>
    <w:p w14:paraId="20D21745">
      <w:pPr>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等线" w:hAnsi="等线" w:eastAsia="等线"/>
          <w:color w:val="000000"/>
          <w:sz w:val="24"/>
          <w:szCs w:val="24"/>
          <w:lang w:val="en-US" w:eastAsia="zh-CN"/>
        </w:rPr>
      </w:pPr>
    </w:p>
    <w:p w14:paraId="794D7988">
      <w:pPr>
        <w:pageBreakBefore w:val="0"/>
        <w:widowControl w:val="0"/>
        <w:kinsoku/>
        <w:wordWrap/>
        <w:overflowPunct/>
        <w:topLinePunct w:val="0"/>
        <w:autoSpaceDE/>
        <w:autoSpaceDN/>
        <w:bidi w:val="0"/>
        <w:adjustRightInd/>
        <w:snapToGrid/>
        <w:spacing w:line="360" w:lineRule="auto"/>
        <w:textAlignment w:val="auto"/>
        <w:rPr>
          <w:rFonts w:hint="eastAsia" w:ascii="等线" w:hAnsi="等线" w:eastAsia="等线"/>
          <w:color w:val="000000"/>
          <w:sz w:val="24"/>
          <w:szCs w:val="24"/>
          <w:lang w:val="en-US" w:eastAsia="zh-CN"/>
        </w:rPr>
      </w:pPr>
    </w:p>
    <w:p w14:paraId="06F6E289">
      <w:pPr>
        <w:pageBreakBefore w:val="0"/>
        <w:widowControl w:val="0"/>
        <w:kinsoku/>
        <w:wordWrap/>
        <w:overflowPunct/>
        <w:topLinePunct w:val="0"/>
        <w:autoSpaceDE/>
        <w:autoSpaceDN/>
        <w:bidi w:val="0"/>
        <w:adjustRightInd/>
        <w:snapToGrid/>
        <w:spacing w:line="360" w:lineRule="auto"/>
        <w:textAlignment w:val="auto"/>
        <w:rPr>
          <w:rFonts w:ascii="等线" w:hAnsi="等线" w:eastAsia="等线"/>
          <w:color w:val="000000"/>
          <w:sz w:val="24"/>
          <w:szCs w:val="24"/>
        </w:rPr>
      </w:pP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F303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D0C00">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D0C00">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E5F6D">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A3DFE6">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1A3DFE6">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DB5CD5"/>
    <w:multiLevelType w:val="singleLevel"/>
    <w:tmpl w:val="65DB5CD5"/>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F90"/>
    <w:rsid w:val="000F2E40"/>
    <w:rsid w:val="00340B70"/>
    <w:rsid w:val="003A1D82"/>
    <w:rsid w:val="003C6862"/>
    <w:rsid w:val="004229B4"/>
    <w:rsid w:val="005965EC"/>
    <w:rsid w:val="005C3F90"/>
    <w:rsid w:val="005D17CC"/>
    <w:rsid w:val="00676359"/>
    <w:rsid w:val="006E25E6"/>
    <w:rsid w:val="007324D4"/>
    <w:rsid w:val="007501FA"/>
    <w:rsid w:val="00756B40"/>
    <w:rsid w:val="008066CE"/>
    <w:rsid w:val="009133D3"/>
    <w:rsid w:val="00A13361"/>
    <w:rsid w:val="00A7374F"/>
    <w:rsid w:val="00AE7E8F"/>
    <w:rsid w:val="00AF773B"/>
    <w:rsid w:val="00B30388"/>
    <w:rsid w:val="00D12E2A"/>
    <w:rsid w:val="00E622A1"/>
    <w:rsid w:val="00F35454"/>
    <w:rsid w:val="02A209F3"/>
    <w:rsid w:val="02D36DFE"/>
    <w:rsid w:val="03261624"/>
    <w:rsid w:val="07EF39B9"/>
    <w:rsid w:val="085F360E"/>
    <w:rsid w:val="0A7B346E"/>
    <w:rsid w:val="13734411"/>
    <w:rsid w:val="14CD5132"/>
    <w:rsid w:val="15593193"/>
    <w:rsid w:val="16957C0A"/>
    <w:rsid w:val="17DA4A5F"/>
    <w:rsid w:val="1A1F5262"/>
    <w:rsid w:val="2A5306A1"/>
    <w:rsid w:val="2C29790B"/>
    <w:rsid w:val="2E975000"/>
    <w:rsid w:val="30A2601D"/>
    <w:rsid w:val="30BD4AC6"/>
    <w:rsid w:val="37335AE2"/>
    <w:rsid w:val="394F72FA"/>
    <w:rsid w:val="3B651FE2"/>
    <w:rsid w:val="3BC575F8"/>
    <w:rsid w:val="3CBD0327"/>
    <w:rsid w:val="3E23240C"/>
    <w:rsid w:val="3E304B29"/>
    <w:rsid w:val="40D519B8"/>
    <w:rsid w:val="43370708"/>
    <w:rsid w:val="45CB13A7"/>
    <w:rsid w:val="47F210A1"/>
    <w:rsid w:val="494E2307"/>
    <w:rsid w:val="4DE90850"/>
    <w:rsid w:val="50834F8C"/>
    <w:rsid w:val="50F419E6"/>
    <w:rsid w:val="54045086"/>
    <w:rsid w:val="55A0038E"/>
    <w:rsid w:val="56AD074D"/>
    <w:rsid w:val="592E180D"/>
    <w:rsid w:val="5A0C5FF2"/>
    <w:rsid w:val="5F4955F3"/>
    <w:rsid w:val="62B27913"/>
    <w:rsid w:val="641120D5"/>
    <w:rsid w:val="64346872"/>
    <w:rsid w:val="675C7A04"/>
    <w:rsid w:val="69D16911"/>
    <w:rsid w:val="6A2B4273"/>
    <w:rsid w:val="6BBB1626"/>
    <w:rsid w:val="714A5F4D"/>
    <w:rsid w:val="72A2709C"/>
    <w:rsid w:val="7A48677B"/>
    <w:rsid w:val="7C6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3"/>
    <w:unhideWhenUsed/>
    <w:qFormat/>
    <w:uiPriority w:val="99"/>
    <w:pPr>
      <w:jc w:val="center"/>
    </w:pPr>
    <w:rPr>
      <w:sz w:val="24"/>
      <w:szCs w:val="24"/>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tabs>
        <w:tab w:val="center" w:pos="4153"/>
        <w:tab w:val="right" w:pos="8306"/>
      </w:tabs>
      <w:snapToGrid w:val="0"/>
      <w:jc w:val="center"/>
    </w:pPr>
    <w:rPr>
      <w:sz w:val="18"/>
      <w:szCs w:val="18"/>
    </w:rPr>
  </w:style>
  <w:style w:type="paragraph" w:styleId="7">
    <w:name w:val="toc 1"/>
    <w:basedOn w:val="1"/>
    <w:next w:val="1"/>
    <w:semiHidden/>
    <w:unhideWhenUsed/>
    <w:qFormat/>
    <w:uiPriority w:val="39"/>
  </w:style>
  <w:style w:type="paragraph" w:styleId="8">
    <w:name w:val="Normal (Web)"/>
    <w:basedOn w:val="1"/>
    <w:unhideWhenUsed/>
    <w:qFormat/>
    <w:uiPriority w:val="99"/>
    <w:pPr>
      <w:spacing w:before="100" w:beforeAutospacing="1" w:after="100" w:afterAutospacing="1"/>
      <w:jc w:val="left"/>
    </w:pPr>
    <w:rPr>
      <w:kern w:val="0"/>
      <w:sz w:val="24"/>
      <w:szCs w:val="24"/>
    </w:rPr>
  </w:style>
  <w:style w:type="table" w:styleId="10">
    <w:name w:val="Table Grid"/>
    <w:basedOn w:val="9"/>
    <w:qFormat/>
    <w:uiPriority w:val="99"/>
    <w:pPr>
      <w:widowControl w:val="0"/>
      <w:jc w:val="both"/>
    </w:pPr>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000FF"/>
      <w:u w:val="single"/>
    </w:rPr>
  </w:style>
  <w:style w:type="character" w:customStyle="1" w:styleId="13">
    <w:name w:val="正文文本 字符"/>
    <w:basedOn w:val="11"/>
    <w:link w:val="4"/>
    <w:qFormat/>
    <w:uiPriority w:val="99"/>
    <w:rPr>
      <w:rFonts w:ascii="Times New Roman" w:hAnsi="Times New Roman" w:eastAsia="宋体" w:cs="Times New Roman"/>
      <w:sz w:val="24"/>
      <w:szCs w:val="24"/>
    </w:rPr>
  </w:style>
  <w:style w:type="character" w:customStyle="1" w:styleId="14">
    <w:name w:val="页眉 字符"/>
    <w:basedOn w:val="11"/>
    <w:link w:val="6"/>
    <w:qFormat/>
    <w:uiPriority w:val="99"/>
    <w:rPr>
      <w:rFonts w:ascii="Times New Roman" w:hAnsi="Times New Roman" w:eastAsia="宋体" w:cs="Times New Roman"/>
      <w:sz w:val="18"/>
      <w:szCs w:val="18"/>
    </w:rPr>
  </w:style>
  <w:style w:type="character" w:customStyle="1" w:styleId="15">
    <w:name w:val="页脚 字符"/>
    <w:basedOn w:val="11"/>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2659</Words>
  <Characters>2855</Characters>
  <Lines>11</Lines>
  <Paragraphs>3</Paragraphs>
  <TotalTime>0</TotalTime>
  <ScaleCrop>false</ScaleCrop>
  <LinksUpToDate>false</LinksUpToDate>
  <CharactersWithSpaces>2963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2023-11-13T07:00:00Z</dcterms:created>
  <dc:creator>文明 张</dc:creator>
  <cp:lastModifiedBy>k  o</cp:lastModifiedBy>
  <cp:lastPrinted>2023-11-29T00:20:00Z</cp:lastPrinted>
  <dcterms:modified xsi:type="dcterms:W3CDTF">2025-07-08T08:31:23Z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eyJoZGlkIjoiYzFiMjk2MjJiNzIwNTQwYWMwNmRhMGRmMTFmNTNlNzUiLCJ1c2VySWQiOiI1MTE0OTMyNzkifQ==</vt:lpwstr>
  </property>
  <property fmtid="{D5CDD505-2E9C-101B-9397-08002B2CF9AE}" pid="3" name="KSOProductBuildVer">
    <vt:lpwstr>2052-12.1.0.21915</vt:lpwstr>
  </property>
  <property fmtid="{D5CDD505-2E9C-101B-9397-08002B2CF9AE}" pid="4" name="ICV">
    <vt:lpwstr>29B9FFDB75274294B3DE7195E499E0D2_12</vt:lpwstr>
  </property>
</Properties>
</file>