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E564EA">
      <w:pPr>
        <w:pStyle w:val="4"/>
        <w:kinsoku w:val="0"/>
        <w:overflowPunct w:val="0"/>
        <w:spacing w:before="68"/>
        <w:ind w:left="497"/>
        <w:rPr>
          <w:rFonts w:ascii="黑体" w:eastAsia="黑体" w:cs="黑体"/>
        </w:rPr>
      </w:pPr>
      <w:r>
        <w:rPr>
          <w:rFonts w:ascii="Times New Roman" w:cs="Times New Roman" w:eastAsiaTheme="minorEastAsia"/>
        </w:rPr>
        <w:t>ICS</w:t>
      </w:r>
      <w:r>
        <w:rPr>
          <w:rFonts w:ascii="Times New Roman" w:cs="Times New Roman" w:eastAsiaTheme="minorEastAsia"/>
          <w:spacing w:val="51"/>
        </w:rPr>
        <w:t xml:space="preserve"> </w:t>
      </w:r>
      <w:r>
        <w:rPr>
          <w:rFonts w:ascii="黑体" w:eastAsia="黑体" w:cs="黑体"/>
        </w:rPr>
        <w:t>11.220</w:t>
      </w:r>
    </w:p>
    <w:p w14:paraId="0A0B2974">
      <w:pPr>
        <w:pStyle w:val="4"/>
        <w:kinsoku w:val="0"/>
        <w:overflowPunct w:val="0"/>
        <w:spacing w:before="41"/>
        <w:ind w:left="497"/>
        <w:rPr>
          <w:rFonts w:ascii="黑体" w:eastAsia="黑体" w:cs="黑体"/>
        </w:rPr>
      </w:pPr>
      <w:r>
        <w:rPr>
          <w:rFonts w:ascii="黑体" w:eastAsia="黑体" w:cs="黑体"/>
        </w:rPr>
        <w:t>B 41</w:t>
      </w:r>
    </w:p>
    <w:p w14:paraId="26F18166">
      <w:pPr>
        <w:pStyle w:val="4"/>
        <w:kinsoku w:val="0"/>
        <w:overflowPunct w:val="0"/>
        <w:spacing w:before="419"/>
        <w:ind w:left="497"/>
        <w:rPr>
          <w:rFonts w:ascii="Times New Roman" w:cs="Times New Roman" w:eastAsiaTheme="minorEastAsia"/>
          <w:b/>
          <w:bCs/>
          <w:w w:val="130"/>
          <w:sz w:val="96"/>
          <w:szCs w:val="96"/>
        </w:rPr>
      </w:pPr>
      <w:r>
        <w:rPr>
          <w:rFonts w:ascii="Times New Roman" w:cs="Times New Roman" w:eastAsiaTheme="minorEastAsia"/>
          <w:sz w:val="24"/>
          <w:szCs w:val="24"/>
        </w:rPr>
        <w:br w:type="column"/>
      </w:r>
      <w:r>
        <w:rPr>
          <w:rFonts w:ascii="Times New Roman" w:cs="Times New Roman" w:eastAsiaTheme="minorEastAsia"/>
          <w:b/>
          <w:bCs/>
          <w:w w:val="130"/>
          <w:sz w:val="96"/>
          <w:szCs w:val="96"/>
        </w:rPr>
        <w:t>DB34</w:t>
      </w:r>
    </w:p>
    <w:p w14:paraId="4ABFB23B">
      <w:pPr>
        <w:pStyle w:val="4"/>
        <w:kinsoku w:val="0"/>
        <w:overflowPunct w:val="0"/>
        <w:spacing w:before="419"/>
        <w:ind w:left="497"/>
        <w:rPr>
          <w:rFonts w:ascii="Times New Roman" w:cs="Times New Roman" w:eastAsiaTheme="minorEastAsia"/>
          <w:b/>
          <w:bCs/>
          <w:w w:val="130"/>
          <w:sz w:val="96"/>
          <w:szCs w:val="96"/>
        </w:rPr>
        <w:sectPr>
          <w:type w:val="continuous"/>
          <w:pgSz w:w="11910" w:h="16840"/>
          <w:pgMar w:top="520" w:right="700" w:bottom="280" w:left="920" w:header="720" w:footer="720" w:gutter="0"/>
          <w:cols w:equalWidth="0" w:num="2">
            <w:col w:w="1601" w:space="4775"/>
            <w:col w:w="3914"/>
          </w:cols>
        </w:sectPr>
      </w:pPr>
    </w:p>
    <w:p w14:paraId="599FAB0C">
      <w:pPr>
        <w:pStyle w:val="4"/>
        <w:kinsoku w:val="0"/>
        <w:overflowPunct w:val="0"/>
        <w:spacing w:before="4"/>
        <w:rPr>
          <w:rFonts w:ascii="Times New Roman" w:cs="Times New Roman" w:eastAsiaTheme="minorEastAsia"/>
          <w:b/>
          <w:bCs/>
          <w:sz w:val="18"/>
          <w:szCs w:val="18"/>
        </w:rPr>
      </w:pPr>
    </w:p>
    <w:p w14:paraId="127FD524">
      <w:pPr>
        <w:pStyle w:val="4"/>
        <w:tabs>
          <w:tab w:val="left" w:pos="1991"/>
          <w:tab w:val="left" w:pos="3483"/>
          <w:tab w:val="left" w:pos="4976"/>
          <w:tab w:val="left" w:pos="6469"/>
          <w:tab w:val="left" w:pos="7962"/>
          <w:tab w:val="left" w:pos="9455"/>
        </w:tabs>
        <w:kinsoku w:val="0"/>
        <w:overflowPunct w:val="0"/>
        <w:spacing w:before="33"/>
        <w:ind w:left="498"/>
        <w:rPr>
          <w:rFonts w:ascii="黑体" w:eastAsia="黑体" w:cs="黑体"/>
          <w:sz w:val="48"/>
          <w:szCs w:val="48"/>
        </w:rPr>
      </w:pPr>
      <w:r>
        <w:rPr>
          <w:rFonts w:hint="eastAsia" w:ascii="黑体" w:eastAsia="黑体" w:cs="黑体"/>
          <w:sz w:val="48"/>
          <w:szCs w:val="48"/>
        </w:rPr>
        <w:t>安</w:t>
      </w:r>
      <w:r>
        <w:rPr>
          <w:rFonts w:ascii="黑体" w:eastAsia="黑体" w:cs="黑体"/>
          <w:sz w:val="48"/>
          <w:szCs w:val="48"/>
        </w:rPr>
        <w:tab/>
      </w:r>
      <w:r>
        <w:rPr>
          <w:rFonts w:hint="eastAsia" w:ascii="黑体" w:eastAsia="黑体" w:cs="黑体"/>
          <w:sz w:val="48"/>
          <w:szCs w:val="48"/>
        </w:rPr>
        <w:t>徽</w:t>
      </w:r>
      <w:r>
        <w:rPr>
          <w:rFonts w:ascii="黑体" w:eastAsia="黑体" w:cs="黑体"/>
          <w:sz w:val="48"/>
          <w:szCs w:val="48"/>
        </w:rPr>
        <w:tab/>
      </w:r>
      <w:r>
        <w:rPr>
          <w:rFonts w:hint="eastAsia" w:ascii="黑体" w:eastAsia="黑体" w:cs="黑体"/>
          <w:sz w:val="48"/>
          <w:szCs w:val="48"/>
        </w:rPr>
        <w:t>省</w:t>
      </w:r>
      <w:r>
        <w:rPr>
          <w:rFonts w:ascii="黑体" w:eastAsia="黑体" w:cs="黑体"/>
          <w:sz w:val="48"/>
          <w:szCs w:val="48"/>
        </w:rPr>
        <w:tab/>
      </w:r>
      <w:r>
        <w:rPr>
          <w:rFonts w:hint="eastAsia" w:ascii="黑体" w:eastAsia="黑体" w:cs="黑体"/>
          <w:sz w:val="48"/>
          <w:szCs w:val="48"/>
        </w:rPr>
        <w:t>地</w:t>
      </w:r>
      <w:r>
        <w:rPr>
          <w:rFonts w:ascii="黑体" w:eastAsia="黑体" w:cs="黑体"/>
          <w:sz w:val="48"/>
          <w:szCs w:val="48"/>
        </w:rPr>
        <w:tab/>
      </w:r>
      <w:r>
        <w:rPr>
          <w:rFonts w:hint="eastAsia" w:ascii="黑体" w:eastAsia="黑体" w:cs="黑体"/>
          <w:sz w:val="48"/>
          <w:szCs w:val="48"/>
        </w:rPr>
        <w:t>方</w:t>
      </w:r>
      <w:r>
        <w:rPr>
          <w:rFonts w:ascii="黑体" w:eastAsia="黑体" w:cs="黑体"/>
          <w:sz w:val="48"/>
          <w:szCs w:val="48"/>
        </w:rPr>
        <w:tab/>
      </w:r>
      <w:r>
        <w:rPr>
          <w:rFonts w:hint="eastAsia" w:ascii="黑体" w:eastAsia="黑体" w:cs="黑体"/>
          <w:sz w:val="48"/>
          <w:szCs w:val="48"/>
        </w:rPr>
        <w:t>标</w:t>
      </w:r>
      <w:r>
        <w:rPr>
          <w:rFonts w:ascii="黑体" w:eastAsia="黑体" w:cs="黑体"/>
          <w:sz w:val="48"/>
          <w:szCs w:val="48"/>
        </w:rPr>
        <w:tab/>
      </w:r>
      <w:r>
        <w:rPr>
          <w:rFonts w:hint="eastAsia" w:ascii="黑体" w:eastAsia="黑体" w:cs="黑体"/>
          <w:sz w:val="48"/>
          <w:szCs w:val="48"/>
        </w:rPr>
        <w:t>准</w:t>
      </w:r>
    </w:p>
    <w:p w14:paraId="7BBD6F40">
      <w:pPr>
        <w:pStyle w:val="3"/>
        <w:kinsoku w:val="0"/>
        <w:overflowPunct w:val="0"/>
        <w:spacing w:before="307"/>
        <w:ind w:firstLine="6720" w:firstLineChars="2400"/>
        <w:rPr>
          <w:rFonts w:ascii="黑体" w:eastAsia="黑体" w:cs="黑体"/>
        </w:rPr>
      </w:pPr>
      <w:r>
        <w:t xml:space="preserve">DB </w:t>
      </w:r>
      <w:r>
        <w:rPr>
          <w:rFonts w:ascii="黑体" w:eastAsia="黑体" w:cs="黑体"/>
        </w:rPr>
        <w:t>34/T</w:t>
      </w:r>
      <w:r>
        <w:rPr>
          <w:rFonts w:ascii="黑体" w:eastAsia="黑体" w:cs="黑体"/>
          <w:spacing w:val="-6"/>
        </w:rPr>
        <w:t xml:space="preserve"> </w:t>
      </w:r>
      <w:r>
        <w:rPr>
          <w:rFonts w:ascii="黑体" w:eastAsia="黑体" w:cs="黑体"/>
        </w:rPr>
        <w:t>1390</w:t>
      </w:r>
      <w:r>
        <w:rPr>
          <w:rFonts w:eastAsia="黑体"/>
        </w:rPr>
        <w:t>—</w:t>
      </w:r>
      <w:r>
        <w:rPr>
          <w:rFonts w:ascii="黑体" w:eastAsia="黑体" w:cs="黑体"/>
        </w:rPr>
        <w:t>XXXX</w:t>
      </w:r>
    </w:p>
    <w:p w14:paraId="39C86B39">
      <w:pPr>
        <w:pStyle w:val="3"/>
        <w:kinsoku w:val="0"/>
        <w:overflowPunct w:val="0"/>
        <w:spacing w:before="307"/>
        <w:ind w:firstLine="6720" w:firstLineChars="2800"/>
        <w:rPr>
          <w:rFonts w:ascii="黑体" w:eastAsia="黑体" w:cs="黑体"/>
          <w:sz w:val="24"/>
          <w:szCs w:val="24"/>
        </w:rPr>
      </w:pPr>
      <w:r>
        <w:rPr>
          <w:rFonts w:hint="eastAsia"/>
          <w:sz w:val="24"/>
          <w:szCs w:val="24"/>
        </w:rPr>
        <w:t>代替</w:t>
      </w:r>
      <w:r>
        <w:rPr>
          <w:sz w:val="24"/>
          <w:szCs w:val="24"/>
        </w:rPr>
        <w:t xml:space="preserve">DB </w:t>
      </w:r>
      <w:r>
        <w:rPr>
          <w:rFonts w:ascii="黑体" w:eastAsia="黑体" w:cs="黑体"/>
          <w:sz w:val="24"/>
          <w:szCs w:val="24"/>
        </w:rPr>
        <w:t>34/T</w:t>
      </w:r>
      <w:r>
        <w:rPr>
          <w:rFonts w:ascii="黑体" w:eastAsia="黑体" w:cs="黑体"/>
          <w:spacing w:val="-6"/>
          <w:sz w:val="24"/>
          <w:szCs w:val="24"/>
        </w:rPr>
        <w:t xml:space="preserve"> </w:t>
      </w:r>
      <w:r>
        <w:rPr>
          <w:rFonts w:ascii="黑体" w:eastAsia="黑体" w:cs="黑体"/>
          <w:sz w:val="24"/>
          <w:szCs w:val="24"/>
        </w:rPr>
        <w:t>1390</w:t>
      </w:r>
      <w:r>
        <w:rPr>
          <w:rFonts w:eastAsia="黑体"/>
          <w:sz w:val="24"/>
          <w:szCs w:val="24"/>
        </w:rPr>
        <w:t>—</w:t>
      </w:r>
      <w:r>
        <w:rPr>
          <w:rFonts w:ascii="黑体" w:eastAsia="黑体" w:cs="黑体"/>
          <w:sz w:val="24"/>
          <w:szCs w:val="24"/>
        </w:rPr>
        <w:t>2011</w:t>
      </w:r>
    </w:p>
    <w:p w14:paraId="06B9D91E">
      <w:pPr>
        <w:pStyle w:val="3"/>
        <w:kinsoku w:val="0"/>
        <w:overflowPunct w:val="0"/>
        <w:spacing w:before="307"/>
        <w:rPr>
          <w:rFonts w:ascii="黑体" w:eastAsia="黑体" w:cs="黑体"/>
        </w:rPr>
      </w:pPr>
      <w:r>
        <mc:AlternateContent>
          <mc:Choice Requires="wps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page">
                  <wp:posOffset>845185</wp:posOffset>
                </wp:positionH>
                <wp:positionV relativeFrom="paragraph">
                  <wp:posOffset>136525</wp:posOffset>
                </wp:positionV>
                <wp:extent cx="6120130" cy="12700"/>
                <wp:effectExtent l="0" t="0" r="0" b="0"/>
                <wp:wrapTopAndBottom/>
                <wp:docPr id="2025784434" name="Freefor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120130" cy="12700"/>
                        </a:xfrm>
                        <a:custGeom>
                          <a:avLst/>
                          <a:gdLst>
                            <a:gd name="T0" fmla="*/ 0 w 9638"/>
                            <a:gd name="T1" fmla="*/ 0 h 20"/>
                            <a:gd name="T2" fmla="*/ 9637 w 9638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638" h="20">
                              <a:moveTo>
                                <a:pt x="0" y="0"/>
                              </a:moveTo>
                              <a:lnTo>
                                <a:pt x="9637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2" o:spid="_x0000_s1026" o:spt="100" style="position:absolute;left:0pt;margin-left:66.55pt;margin-top:10.75pt;height:1pt;width:481.9pt;mso-position-horizontal-relative:page;mso-wrap-distance-bottom:0pt;mso-wrap-distance-top:0pt;z-index:251659264;mso-width-relative:page;mso-height-relative:page;" filled="f" stroked="t" coordsize="9638,20" o:allowincell="f" o:gfxdata="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" path="m0,0l9637,0e">
                <v:path o:connectlocs="0,0;6119495,0" o:connectangles="0,0"/>
                <v:fill on="f" focussize="0,0"/>
                <v:stroke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50B0EB0D">
      <w:pPr>
        <w:pStyle w:val="3"/>
        <w:kinsoku w:val="0"/>
        <w:overflowPunct w:val="0"/>
        <w:spacing w:before="307"/>
        <w:ind w:left="7304"/>
        <w:rPr>
          <w:rFonts w:ascii="黑体" w:eastAsia="黑体" w:cs="黑体"/>
        </w:rPr>
      </w:pPr>
      <w:r>
        <w:t xml:space="preserve">                    </w:t>
      </w:r>
    </w:p>
    <w:p w14:paraId="45F14A89">
      <w:pPr>
        <w:pStyle w:val="4"/>
        <w:kinsoku w:val="0"/>
        <w:overflowPunct w:val="0"/>
        <w:rPr>
          <w:rFonts w:ascii="黑体" w:eastAsia="黑体" w:cs="黑体"/>
          <w:sz w:val="30"/>
          <w:szCs w:val="30"/>
        </w:rPr>
      </w:pPr>
    </w:p>
    <w:p w14:paraId="66064B61">
      <w:pPr>
        <w:pStyle w:val="4"/>
        <w:kinsoku w:val="0"/>
        <w:overflowPunct w:val="0"/>
        <w:spacing w:before="203" w:line="244" w:lineRule="auto"/>
        <w:ind w:left="352" w:right="568"/>
        <w:jc w:val="center"/>
        <w:rPr>
          <w:rFonts w:ascii="黑体" w:eastAsia="黑体" w:cs="黑体"/>
          <w:sz w:val="52"/>
          <w:szCs w:val="52"/>
        </w:rPr>
      </w:pPr>
      <w:r>
        <w:rPr>
          <w:rFonts w:hint="eastAsia" w:ascii="黑体" w:eastAsia="黑体" w:cs="黑体"/>
          <w:w w:val="95"/>
          <w:sz w:val="52"/>
          <w:szCs w:val="52"/>
        </w:rPr>
        <w:t>动物疫病集中监测样品采集</w:t>
      </w:r>
      <w:r>
        <w:rPr>
          <w:rFonts w:hint="eastAsia" w:ascii="黑体" w:eastAsia="黑体" w:cs="黑体"/>
          <w:sz w:val="52"/>
          <w:szCs w:val="52"/>
        </w:rPr>
        <w:t>技术规范</w:t>
      </w:r>
    </w:p>
    <w:p w14:paraId="078C9B47">
      <w:pPr>
        <w:pStyle w:val="3"/>
        <w:kinsoku w:val="0"/>
        <w:overflowPunct w:val="0"/>
        <w:spacing w:before="397" w:line="297" w:lineRule="auto"/>
        <w:ind w:right="282"/>
        <w:jc w:val="center"/>
      </w:pPr>
      <w:r>
        <w:t>Technical code for Samples collection for Animal epidemic disease detection</w:t>
      </w:r>
    </w:p>
    <w:p w14:paraId="404CBD40">
      <w:pPr>
        <w:pStyle w:val="4"/>
        <w:kinsoku w:val="0"/>
        <w:overflowPunct w:val="0"/>
        <w:rPr>
          <w:rFonts w:ascii="Times New Roman" w:cs="Times New Roman" w:eastAsiaTheme="minorEastAsia"/>
          <w:sz w:val="30"/>
          <w:szCs w:val="30"/>
        </w:rPr>
      </w:pPr>
    </w:p>
    <w:p w14:paraId="166FE615">
      <w:pPr>
        <w:pStyle w:val="4"/>
        <w:kinsoku w:val="0"/>
        <w:overflowPunct w:val="0"/>
        <w:jc w:val="center"/>
        <w:rPr>
          <w:rFonts w:ascii="Times New Roman" w:cs="Times New Roman" w:eastAsiaTheme="minorEastAsia"/>
          <w:sz w:val="30"/>
          <w:szCs w:val="30"/>
        </w:rPr>
      </w:pPr>
      <w:r>
        <w:rPr>
          <w:rFonts w:hint="eastAsia" w:ascii="Times New Roman" w:eastAsia="等线" w:cs="Times New Roman"/>
          <w:sz w:val="30"/>
          <w:szCs w:val="30"/>
        </w:rPr>
        <w:t>（征求意见稿）</w:t>
      </w:r>
    </w:p>
    <w:p w14:paraId="47D6CFC1">
      <w:pPr>
        <w:pStyle w:val="4"/>
        <w:kinsoku w:val="0"/>
        <w:overflowPunct w:val="0"/>
        <w:rPr>
          <w:rFonts w:ascii="Times New Roman" w:cs="Times New Roman" w:eastAsiaTheme="minorEastAsia"/>
          <w:sz w:val="30"/>
          <w:szCs w:val="30"/>
        </w:rPr>
      </w:pPr>
    </w:p>
    <w:p w14:paraId="24BAD32F">
      <w:pPr>
        <w:pStyle w:val="4"/>
        <w:kinsoku w:val="0"/>
        <w:overflowPunct w:val="0"/>
        <w:rPr>
          <w:rFonts w:ascii="Times New Roman" w:cs="Times New Roman" w:eastAsiaTheme="minorEastAsia"/>
          <w:sz w:val="30"/>
          <w:szCs w:val="30"/>
        </w:rPr>
      </w:pPr>
    </w:p>
    <w:p w14:paraId="40AAA720">
      <w:pPr>
        <w:pStyle w:val="4"/>
        <w:kinsoku w:val="0"/>
        <w:overflowPunct w:val="0"/>
        <w:rPr>
          <w:rFonts w:ascii="Times New Roman" w:cs="Times New Roman" w:eastAsiaTheme="minorEastAsia"/>
          <w:sz w:val="30"/>
          <w:szCs w:val="30"/>
        </w:rPr>
      </w:pPr>
    </w:p>
    <w:p w14:paraId="685F2AFE">
      <w:pPr>
        <w:pStyle w:val="4"/>
        <w:kinsoku w:val="0"/>
        <w:overflowPunct w:val="0"/>
        <w:rPr>
          <w:rFonts w:ascii="Times New Roman" w:cs="Times New Roman" w:eastAsiaTheme="minorEastAsia"/>
          <w:sz w:val="30"/>
          <w:szCs w:val="30"/>
        </w:rPr>
      </w:pPr>
    </w:p>
    <w:p w14:paraId="73A19DBE">
      <w:pPr>
        <w:pStyle w:val="4"/>
        <w:kinsoku w:val="0"/>
        <w:overflowPunct w:val="0"/>
        <w:rPr>
          <w:rFonts w:ascii="Times New Roman" w:cs="Times New Roman" w:eastAsiaTheme="minorEastAsia"/>
          <w:sz w:val="30"/>
          <w:szCs w:val="30"/>
        </w:rPr>
      </w:pPr>
    </w:p>
    <w:p w14:paraId="04480581">
      <w:pPr>
        <w:pStyle w:val="4"/>
        <w:kinsoku w:val="0"/>
        <w:overflowPunct w:val="0"/>
        <w:rPr>
          <w:rFonts w:ascii="Times New Roman" w:cs="Times New Roman" w:eastAsiaTheme="minorEastAsia"/>
          <w:sz w:val="30"/>
          <w:szCs w:val="30"/>
        </w:rPr>
      </w:pPr>
    </w:p>
    <w:p w14:paraId="77FD2A30">
      <w:pPr>
        <w:pStyle w:val="4"/>
        <w:kinsoku w:val="0"/>
        <w:overflowPunct w:val="0"/>
        <w:rPr>
          <w:rFonts w:ascii="Times New Roman" w:cs="Times New Roman" w:eastAsiaTheme="minorEastAsia"/>
          <w:sz w:val="30"/>
          <w:szCs w:val="30"/>
        </w:rPr>
      </w:pPr>
    </w:p>
    <w:p w14:paraId="2DEAE993">
      <w:pPr>
        <w:pStyle w:val="4"/>
        <w:kinsoku w:val="0"/>
        <w:overflowPunct w:val="0"/>
        <w:rPr>
          <w:rFonts w:ascii="Times New Roman" w:cs="Times New Roman" w:eastAsiaTheme="minorEastAsia"/>
          <w:sz w:val="30"/>
          <w:szCs w:val="30"/>
        </w:rPr>
      </w:pPr>
    </w:p>
    <w:p w14:paraId="600C3469">
      <w:pPr>
        <w:pStyle w:val="4"/>
        <w:kinsoku w:val="0"/>
        <w:overflowPunct w:val="0"/>
        <w:rPr>
          <w:rFonts w:ascii="Times New Roman" w:cs="Times New Roman" w:eastAsiaTheme="minorEastAsia"/>
          <w:sz w:val="30"/>
          <w:szCs w:val="30"/>
        </w:rPr>
      </w:pPr>
    </w:p>
    <w:p w14:paraId="5B601A47">
      <w:pPr>
        <w:pStyle w:val="4"/>
        <w:kinsoku w:val="0"/>
        <w:overflowPunct w:val="0"/>
        <w:rPr>
          <w:rFonts w:ascii="Times New Roman" w:cs="Times New Roman" w:eastAsiaTheme="minorEastAsia"/>
          <w:sz w:val="30"/>
          <w:szCs w:val="30"/>
        </w:rPr>
      </w:pPr>
    </w:p>
    <w:p w14:paraId="4FD60AF3">
      <w:pPr>
        <w:pStyle w:val="4"/>
        <w:kinsoku w:val="0"/>
        <w:overflowPunct w:val="0"/>
        <w:rPr>
          <w:rFonts w:ascii="Times New Roman" w:cs="Times New Roman" w:eastAsiaTheme="minorEastAsia"/>
          <w:sz w:val="30"/>
          <w:szCs w:val="30"/>
        </w:rPr>
      </w:pPr>
    </w:p>
    <w:p w14:paraId="6C23DD42">
      <w:pPr>
        <w:pStyle w:val="4"/>
        <w:kinsoku w:val="0"/>
        <w:overflowPunct w:val="0"/>
        <w:rPr>
          <w:rFonts w:ascii="Times New Roman" w:cs="Times New Roman" w:eastAsiaTheme="minorEastAsia"/>
          <w:sz w:val="30"/>
          <w:szCs w:val="30"/>
        </w:rPr>
      </w:pPr>
    </w:p>
    <w:p w14:paraId="68637A01">
      <w:pPr>
        <w:pStyle w:val="4"/>
        <w:kinsoku w:val="0"/>
        <w:overflowPunct w:val="0"/>
        <w:spacing w:before="4"/>
        <w:rPr>
          <w:rFonts w:ascii="Times New Roman" w:cs="Times New Roman" w:eastAsiaTheme="minorEastAsia"/>
          <w:sz w:val="37"/>
          <w:szCs w:val="37"/>
        </w:rPr>
      </w:pPr>
    </w:p>
    <w:p w14:paraId="484FAEBC">
      <w:pPr>
        <w:pStyle w:val="4"/>
        <w:tabs>
          <w:tab w:val="left" w:pos="7855"/>
        </w:tabs>
        <w:kinsoku w:val="0"/>
        <w:overflowPunct w:val="0"/>
        <w:spacing w:before="1"/>
        <w:ind w:left="498"/>
        <w:rPr>
          <w:rFonts w:ascii="黑体" w:eastAsia="黑体" w:cs="黑体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page">
                  <wp:posOffset>899795</wp:posOffset>
                </wp:positionH>
                <wp:positionV relativeFrom="paragraph">
                  <wp:posOffset>217805</wp:posOffset>
                </wp:positionV>
                <wp:extent cx="6120130" cy="12700"/>
                <wp:effectExtent l="0" t="0" r="0" b="0"/>
                <wp:wrapNone/>
                <wp:docPr id="1969675942" name="Freefor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120130" cy="12700"/>
                        </a:xfrm>
                        <a:custGeom>
                          <a:avLst/>
                          <a:gdLst>
                            <a:gd name="T0" fmla="*/ 0 w 9638"/>
                            <a:gd name="T1" fmla="*/ 0 h 20"/>
                            <a:gd name="T2" fmla="*/ 9637 w 9638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638" h="20">
                              <a:moveTo>
                                <a:pt x="0" y="0"/>
                              </a:moveTo>
                              <a:lnTo>
                                <a:pt x="9637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3" o:spid="_x0000_s1026" o:spt="100" style="position:absolute;left:0pt;margin-left:70.85pt;margin-top:17.15pt;height:1pt;width:481.9pt;mso-position-horizontal-relative:page;z-index:251660288;mso-width-relative:page;mso-height-relative:page;" filled="f" stroked="t" coordsize="9638,20" o:allowincell="f" o:gfxdata="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" path="m0,0l9637,0e">
                <v:path o:connectlocs="0,0;6119495,0" o:connectangles="0,0"/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eastAsia="黑体" w:cs="黑体"/>
          <w:sz w:val="28"/>
          <w:szCs w:val="28"/>
        </w:rPr>
        <w:t>20XX</w:t>
      </w:r>
      <w:r>
        <w:rPr>
          <w:rFonts w:ascii="黑体" w:eastAsia="黑体" w:cs="黑体"/>
          <w:spacing w:val="-71"/>
          <w:sz w:val="28"/>
          <w:szCs w:val="28"/>
        </w:rPr>
        <w:t xml:space="preserve"> </w:t>
      </w:r>
      <w:r>
        <w:rPr>
          <w:rFonts w:ascii="黑体" w:eastAsia="黑体" w:cs="黑体"/>
          <w:sz w:val="28"/>
          <w:szCs w:val="28"/>
        </w:rPr>
        <w:t>-</w:t>
      </w:r>
      <w:r>
        <w:rPr>
          <w:rFonts w:ascii="黑体" w:eastAsia="黑体" w:cs="黑体"/>
          <w:spacing w:val="-70"/>
          <w:sz w:val="28"/>
          <w:szCs w:val="28"/>
        </w:rPr>
        <w:t xml:space="preserve"> </w:t>
      </w:r>
      <w:r>
        <w:rPr>
          <w:rFonts w:ascii="黑体" w:eastAsia="黑体" w:cs="黑体"/>
          <w:sz w:val="28"/>
          <w:szCs w:val="28"/>
        </w:rPr>
        <w:t>XX-</w:t>
      </w:r>
      <w:r>
        <w:rPr>
          <w:rFonts w:ascii="黑体" w:eastAsia="黑体" w:cs="黑体"/>
          <w:spacing w:val="-71"/>
          <w:sz w:val="28"/>
          <w:szCs w:val="28"/>
        </w:rPr>
        <w:t xml:space="preserve"> </w:t>
      </w:r>
      <w:r>
        <w:rPr>
          <w:rFonts w:ascii="黑体" w:eastAsia="黑体" w:cs="黑体"/>
          <w:sz w:val="28"/>
          <w:szCs w:val="28"/>
        </w:rPr>
        <w:t>XX</w:t>
      </w:r>
      <w:r>
        <w:rPr>
          <w:rFonts w:hint="eastAsia" w:ascii="黑体" w:eastAsia="黑体" w:cs="黑体"/>
          <w:sz w:val="28"/>
          <w:szCs w:val="28"/>
        </w:rPr>
        <w:t>发布</w:t>
      </w:r>
      <w:r>
        <w:rPr>
          <w:rFonts w:ascii="黑体" w:eastAsia="黑体" w:cs="黑体"/>
          <w:sz w:val="28"/>
          <w:szCs w:val="28"/>
        </w:rPr>
        <w:tab/>
      </w:r>
      <w:r>
        <w:rPr>
          <w:rFonts w:ascii="黑体" w:eastAsia="黑体" w:cs="黑体"/>
          <w:sz w:val="28"/>
          <w:szCs w:val="28"/>
        </w:rPr>
        <w:t>20XX</w:t>
      </w:r>
      <w:r>
        <w:rPr>
          <w:rFonts w:ascii="黑体" w:eastAsia="黑体" w:cs="黑体"/>
          <w:spacing w:val="-71"/>
          <w:sz w:val="28"/>
          <w:szCs w:val="28"/>
        </w:rPr>
        <w:t xml:space="preserve"> </w:t>
      </w:r>
      <w:r>
        <w:rPr>
          <w:rFonts w:ascii="黑体" w:eastAsia="黑体" w:cs="黑体"/>
          <w:sz w:val="28"/>
          <w:szCs w:val="28"/>
        </w:rPr>
        <w:t>-</w:t>
      </w:r>
      <w:r>
        <w:rPr>
          <w:rFonts w:ascii="黑体" w:eastAsia="黑体" w:cs="黑体"/>
          <w:spacing w:val="-70"/>
          <w:sz w:val="28"/>
          <w:szCs w:val="28"/>
        </w:rPr>
        <w:t xml:space="preserve"> </w:t>
      </w:r>
      <w:r>
        <w:rPr>
          <w:rFonts w:ascii="黑体" w:eastAsia="黑体" w:cs="黑体"/>
          <w:sz w:val="28"/>
          <w:szCs w:val="28"/>
        </w:rPr>
        <w:t>XX</w:t>
      </w:r>
      <w:r>
        <w:rPr>
          <w:rFonts w:ascii="黑体" w:eastAsia="黑体" w:cs="黑体"/>
          <w:spacing w:val="-71"/>
          <w:sz w:val="28"/>
          <w:szCs w:val="28"/>
        </w:rPr>
        <w:t xml:space="preserve"> </w:t>
      </w:r>
      <w:r>
        <w:rPr>
          <w:rFonts w:ascii="黑体" w:eastAsia="黑体" w:cs="黑体"/>
          <w:sz w:val="28"/>
          <w:szCs w:val="28"/>
        </w:rPr>
        <w:t>-XX</w:t>
      </w:r>
      <w:r>
        <w:rPr>
          <w:rFonts w:ascii="黑体" w:eastAsia="黑体" w:cs="黑体"/>
          <w:spacing w:val="-71"/>
          <w:sz w:val="28"/>
          <w:szCs w:val="28"/>
        </w:rPr>
        <w:t xml:space="preserve"> </w:t>
      </w:r>
      <w:r>
        <w:rPr>
          <w:rFonts w:hint="eastAsia" w:ascii="黑体" w:eastAsia="黑体" w:cs="黑体"/>
          <w:sz w:val="28"/>
          <w:szCs w:val="28"/>
        </w:rPr>
        <w:t>实施</w:t>
      </w:r>
    </w:p>
    <w:p w14:paraId="3C5FDBAA">
      <w:pPr>
        <w:pStyle w:val="4"/>
        <w:kinsoku w:val="0"/>
        <w:overflowPunct w:val="0"/>
        <w:rPr>
          <w:rFonts w:ascii="黑体" w:eastAsia="黑体" w:cs="黑体"/>
          <w:sz w:val="20"/>
          <w:szCs w:val="20"/>
        </w:rPr>
      </w:pPr>
    </w:p>
    <w:p w14:paraId="69F133DF">
      <w:pPr>
        <w:pStyle w:val="4"/>
        <w:kinsoku w:val="0"/>
        <w:overflowPunct w:val="0"/>
        <w:rPr>
          <w:rFonts w:ascii="黑体" w:eastAsia="黑体" w:cs="黑体"/>
          <w:sz w:val="20"/>
          <w:szCs w:val="20"/>
        </w:rPr>
      </w:pPr>
    </w:p>
    <w:p w14:paraId="6370D5E6">
      <w:pPr>
        <w:pStyle w:val="4"/>
        <w:tabs>
          <w:tab w:val="left" w:pos="7112"/>
        </w:tabs>
        <w:kinsoku w:val="0"/>
        <w:overflowPunct w:val="0"/>
        <w:spacing w:before="209"/>
        <w:ind w:left="2383"/>
        <w:rPr>
          <w:rFonts w:ascii="黑体" w:eastAsia="黑体" w:cs="黑体"/>
          <w:w w:val="120"/>
          <w:position w:val="3"/>
          <w:sz w:val="28"/>
          <w:szCs w:val="28"/>
        </w:rPr>
      </w:pPr>
      <w:r>
        <w:rPr>
          <w:rFonts w:hint="eastAsia" w:ascii="黑体" w:eastAsia="黑体" w:cs="黑体"/>
          <w:spacing w:val="39"/>
          <w:w w:val="130"/>
          <w:sz w:val="28"/>
          <w:szCs w:val="28"/>
        </w:rPr>
        <w:t>安徽省市场监督管理</w:t>
      </w:r>
      <w:r>
        <w:rPr>
          <w:rFonts w:hint="eastAsia" w:ascii="黑体" w:eastAsia="黑体" w:cs="黑体"/>
          <w:w w:val="130"/>
          <w:sz w:val="28"/>
          <w:szCs w:val="28"/>
        </w:rPr>
        <w:t>局</w:t>
      </w:r>
      <w:r>
        <w:rPr>
          <w:rFonts w:ascii="黑体" w:eastAsia="黑体" w:cs="黑体"/>
          <w:w w:val="130"/>
          <w:sz w:val="28"/>
          <w:szCs w:val="28"/>
        </w:rPr>
        <w:tab/>
      </w:r>
      <w:r>
        <w:rPr>
          <w:rFonts w:hint="eastAsia" w:ascii="黑体" w:eastAsia="黑体" w:cs="黑体"/>
          <w:w w:val="120"/>
          <w:position w:val="3"/>
          <w:sz w:val="28"/>
          <w:szCs w:val="28"/>
        </w:rPr>
        <w:t>发</w:t>
      </w:r>
      <w:r>
        <w:rPr>
          <w:rFonts w:ascii="黑体" w:eastAsia="黑体" w:cs="黑体"/>
          <w:spacing w:val="-6"/>
          <w:w w:val="120"/>
          <w:position w:val="3"/>
          <w:sz w:val="28"/>
          <w:szCs w:val="28"/>
        </w:rPr>
        <w:t xml:space="preserve"> </w:t>
      </w:r>
      <w:r>
        <w:rPr>
          <w:rFonts w:hint="eastAsia" w:ascii="黑体" w:eastAsia="黑体" w:cs="黑体"/>
          <w:w w:val="120"/>
          <w:position w:val="3"/>
          <w:sz w:val="28"/>
          <w:szCs w:val="28"/>
        </w:rPr>
        <w:t>布</w:t>
      </w:r>
    </w:p>
    <w:p w14:paraId="6340AC1F">
      <w:pPr>
        <w:pStyle w:val="4"/>
        <w:tabs>
          <w:tab w:val="left" w:pos="7112"/>
        </w:tabs>
        <w:kinsoku w:val="0"/>
        <w:overflowPunct w:val="0"/>
        <w:spacing w:before="209"/>
        <w:ind w:left="2383"/>
        <w:rPr>
          <w:rFonts w:ascii="黑体" w:eastAsia="黑体" w:cs="黑体"/>
          <w:w w:val="120"/>
          <w:position w:val="3"/>
          <w:sz w:val="28"/>
          <w:szCs w:val="28"/>
        </w:rPr>
        <w:sectPr>
          <w:type w:val="continuous"/>
          <w:pgSz w:w="11910" w:h="16840"/>
          <w:pgMar w:top="520" w:right="700" w:bottom="280" w:left="920" w:header="720" w:footer="720" w:gutter="0"/>
          <w:cols w:equalWidth="0" w:num="1">
            <w:col w:w="10290"/>
          </w:cols>
        </w:sectPr>
      </w:pPr>
    </w:p>
    <w:p w14:paraId="3EE3CA94">
      <w:pPr>
        <w:pStyle w:val="4"/>
        <w:kinsoku w:val="0"/>
        <w:overflowPunct w:val="0"/>
        <w:spacing w:before="59"/>
        <w:ind w:right="430"/>
        <w:jc w:val="right"/>
        <w:rPr>
          <w:rFonts w:ascii="黑体" w:eastAsia="黑体" w:cs="黑体"/>
        </w:rPr>
      </w:pPr>
      <w:r>
        <w:rPr>
          <w:rFonts w:ascii="黑体" w:eastAsia="黑体" w:cs="黑体"/>
        </w:rPr>
        <w:t>DB34/T 1390</w:t>
      </w:r>
      <w:r>
        <w:rPr>
          <w:rFonts w:ascii="Times New Roman" w:eastAsia="黑体" w:cs="Times New Roman"/>
        </w:rPr>
        <w:t>—</w:t>
      </w:r>
      <w:r>
        <w:rPr>
          <w:rFonts w:ascii="黑体" w:eastAsia="黑体" w:cs="黑体"/>
        </w:rPr>
        <w:t>20XX</w:t>
      </w:r>
    </w:p>
    <w:p w14:paraId="35F341FB">
      <w:pPr>
        <w:pStyle w:val="4"/>
        <w:kinsoku w:val="0"/>
        <w:overflowPunct w:val="0"/>
        <w:rPr>
          <w:rFonts w:ascii="黑体" w:eastAsia="黑体" w:cs="黑体"/>
          <w:sz w:val="20"/>
          <w:szCs w:val="20"/>
        </w:rPr>
      </w:pPr>
    </w:p>
    <w:p w14:paraId="3433FAD8">
      <w:pPr>
        <w:pStyle w:val="4"/>
        <w:kinsoku w:val="0"/>
        <w:overflowPunct w:val="0"/>
        <w:rPr>
          <w:rFonts w:ascii="黑体" w:eastAsia="黑体" w:cs="黑体"/>
          <w:sz w:val="20"/>
          <w:szCs w:val="20"/>
        </w:rPr>
      </w:pPr>
    </w:p>
    <w:p w14:paraId="16BF6507">
      <w:pPr>
        <w:pStyle w:val="2"/>
        <w:tabs>
          <w:tab w:val="left" w:pos="5493"/>
        </w:tabs>
        <w:kinsoku w:val="0"/>
        <w:overflowPunct w:val="0"/>
        <w:spacing w:before="199"/>
      </w:pPr>
      <w:r>
        <w:rPr>
          <w:rFonts w:hint="eastAsia"/>
        </w:rPr>
        <w:t>前</w:t>
      </w:r>
      <w:r>
        <w:tab/>
      </w:r>
      <w:r>
        <w:rPr>
          <w:rFonts w:hint="eastAsia"/>
        </w:rPr>
        <w:t>言</w:t>
      </w:r>
    </w:p>
    <w:p w14:paraId="36DD4DF6">
      <w:pPr>
        <w:pStyle w:val="4"/>
        <w:kinsoku w:val="0"/>
        <w:overflowPunct w:val="0"/>
        <w:rPr>
          <w:rFonts w:ascii="黑体" w:eastAsia="黑体" w:cs="黑体"/>
          <w:sz w:val="32"/>
          <w:szCs w:val="32"/>
        </w:rPr>
      </w:pPr>
    </w:p>
    <w:p w14:paraId="79DCAA8B">
      <w:pPr>
        <w:ind w:firstLine="440" w:firstLineChars="200"/>
      </w:pPr>
      <w:r>
        <w:rPr>
          <w:rFonts w:hint="eastAsia"/>
        </w:rPr>
        <w:t>本标准按照</w:t>
      </w:r>
      <w:r>
        <w:t>GB/T 1.1-2020</w:t>
      </w:r>
      <w:r>
        <w:rPr>
          <w:rFonts w:hint="eastAsia"/>
        </w:rPr>
        <w:t>《标准化工作导则 第1部分：标准化文件的结构和起草规则》的规定起草。</w:t>
      </w:r>
    </w:p>
    <w:p w14:paraId="4CFD2A8D">
      <w:pPr>
        <w:ind w:firstLine="440" w:firstLineChars="200"/>
      </w:pPr>
      <w:r>
        <w:rPr>
          <w:rFonts w:hint="eastAsia"/>
        </w:rPr>
        <w:t>本标准代替</w:t>
      </w:r>
      <w:r>
        <w:t>DB34/T 1390-2011</w:t>
      </w:r>
      <w:r>
        <w:rPr>
          <w:rFonts w:hint="eastAsia"/>
        </w:rPr>
        <w:t>《动物疫病监测样品（血清、棉拭子）采集技术规范》，与DB34/T 1</w:t>
      </w:r>
      <w:r>
        <w:t>390-2011</w:t>
      </w:r>
      <w:r>
        <w:rPr>
          <w:rFonts w:hint="eastAsia"/>
        </w:rPr>
        <w:t>相比，除结构调整和编辑性修改外，主要技术变化如下：</w:t>
      </w:r>
    </w:p>
    <w:p w14:paraId="6B42DE48">
      <w:pPr>
        <w:ind w:firstLine="440" w:firstLineChars="200"/>
        <w:rPr>
          <w:rFonts w:ascii="Times New Roman" w:cs="Times New Roman"/>
        </w:rPr>
      </w:pPr>
      <w:r>
        <w:rPr>
          <w:rFonts w:ascii="Times New Roman" w:cs="Times New Roman"/>
        </w:rPr>
        <w:t>a）修改了标题，扩大所涉样品种类（见标题页）；</w:t>
      </w:r>
    </w:p>
    <w:p w14:paraId="4370378A">
      <w:pPr>
        <w:ind w:firstLine="440" w:firstLineChars="200"/>
        <w:rPr>
          <w:rFonts w:ascii="Times New Roman" w:cs="Times New Roman"/>
        </w:rPr>
      </w:pPr>
      <w:r>
        <w:rPr>
          <w:rFonts w:ascii="Times New Roman" w:cs="Times New Roman"/>
        </w:rPr>
        <w:t>b）修改了前言中的标准提出单位（见前言页）；</w:t>
      </w:r>
    </w:p>
    <w:p w14:paraId="245D046A">
      <w:pPr>
        <w:ind w:firstLine="440" w:firstLineChars="200"/>
        <w:rPr>
          <w:rFonts w:ascii="Times New Roman" w:cs="Times New Roman"/>
        </w:rPr>
      </w:pPr>
      <w:r>
        <w:rPr>
          <w:rFonts w:ascii="Times New Roman" w:cs="Times New Roman"/>
        </w:rPr>
        <w:t>c）修改了范围（见第1章）；</w:t>
      </w:r>
    </w:p>
    <w:p w14:paraId="710F96A5">
      <w:pPr>
        <w:ind w:firstLine="440" w:firstLineChars="200"/>
        <w:rPr>
          <w:rFonts w:ascii="Times New Roman" w:cs="Times New Roman"/>
        </w:rPr>
      </w:pPr>
      <w:r>
        <w:rPr>
          <w:rFonts w:ascii="Times New Roman" w:cs="Times New Roman"/>
        </w:rPr>
        <w:t>d）增加了规范性引用文件（见第2章）；</w:t>
      </w:r>
    </w:p>
    <w:p w14:paraId="4A786E9E">
      <w:pPr>
        <w:ind w:firstLine="440" w:firstLineChars="200"/>
        <w:rPr>
          <w:rFonts w:ascii="Times New Roman" w:cs="Times New Roman"/>
        </w:rPr>
      </w:pPr>
      <w:r>
        <w:rPr>
          <w:rFonts w:ascii="Times New Roman" w:cs="Times New Roman"/>
        </w:rPr>
        <w:t>e）删除了3.1和3.2的内容（见2011年版第三章）</w:t>
      </w:r>
    </w:p>
    <w:p w14:paraId="4E7B6A8D">
      <w:pPr>
        <w:ind w:firstLine="440" w:firstLineChars="200"/>
        <w:rPr>
          <w:rFonts w:ascii="Times New Roman" w:cs="Times New Roman"/>
        </w:rPr>
      </w:pPr>
      <w:r>
        <w:rPr>
          <w:rFonts w:ascii="Times New Roman" w:cs="Times New Roman"/>
        </w:rPr>
        <w:t>f）增加了“采样要求”的有关内容（见4.1）；</w:t>
      </w:r>
    </w:p>
    <w:p w14:paraId="0CCBC08B">
      <w:pPr>
        <w:ind w:firstLine="440" w:firstLineChars="200"/>
        <w:rPr>
          <w:rFonts w:ascii="Times New Roman" w:cs="Times New Roman"/>
        </w:rPr>
      </w:pPr>
      <w:r>
        <w:rPr>
          <w:rFonts w:ascii="Times New Roman" w:cs="Times New Roman"/>
        </w:rPr>
        <w:t>g）修改“4.2器具和试剂”为</w:t>
      </w:r>
      <w:r>
        <w:rPr>
          <w:rFonts w:ascii="Times New Roman" w:cs="Times New Roman"/>
          <w:szCs w:val="21"/>
        </w:rPr>
        <w:t>“4.2采样器具和保存液”（见4.2）；</w:t>
      </w:r>
    </w:p>
    <w:p w14:paraId="725916D8">
      <w:pPr>
        <w:ind w:firstLine="440" w:firstLineChars="200"/>
        <w:rPr>
          <w:rFonts w:ascii="Times New Roman" w:cs="Times New Roman"/>
        </w:rPr>
      </w:pPr>
      <w:r>
        <w:rPr>
          <w:rFonts w:ascii="Times New Roman" w:cs="Times New Roman"/>
        </w:rPr>
        <w:t>h）调整了4.2.1的内容，增加了“血清采集器具”和“组织样品采样器具”的相关内容（见4.2.1）；</w:t>
      </w:r>
    </w:p>
    <w:p w14:paraId="600DD9A8">
      <w:pPr>
        <w:ind w:firstLine="440" w:firstLineChars="200"/>
        <w:rPr>
          <w:rFonts w:ascii="Times New Roman" w:cs="Times New Roman"/>
        </w:rPr>
      </w:pPr>
      <w:r>
        <w:rPr>
          <w:rFonts w:ascii="Times New Roman" w:cs="Times New Roman"/>
          <w:szCs w:val="21"/>
        </w:rPr>
        <w:t>i</w:t>
      </w:r>
      <w:r>
        <w:rPr>
          <w:rFonts w:ascii="Times New Roman" w:cs="Times New Roman"/>
        </w:rPr>
        <w:t>）</w:t>
      </w:r>
      <w:r>
        <w:rPr>
          <w:rFonts w:ascii="Times New Roman" w:cs="Times New Roman"/>
          <w:szCs w:val="21"/>
        </w:rPr>
        <w:t>增加了“4.2.2试剂”的相关内容（见4.2.2）；</w:t>
      </w:r>
    </w:p>
    <w:p w14:paraId="6A35DCC0">
      <w:pPr>
        <w:ind w:firstLine="440" w:firstLineChars="200"/>
        <w:rPr>
          <w:rFonts w:ascii="Times New Roman" w:cs="Times New Roman"/>
        </w:rPr>
      </w:pPr>
      <w:r>
        <w:rPr>
          <w:rFonts w:ascii="Times New Roman" w:cs="Times New Roman"/>
        </w:rPr>
        <w:t>j）增加了“4.3</w:t>
      </w:r>
      <w:r>
        <w:rPr>
          <w:rFonts w:ascii="Times New Roman" w:cs="Times New Roman"/>
          <w:szCs w:val="21"/>
        </w:rPr>
        <w:t xml:space="preserve"> 记录和防护材料</w:t>
      </w:r>
      <w:r>
        <w:rPr>
          <w:rFonts w:ascii="Times New Roman" w:cs="Times New Roman"/>
        </w:rPr>
        <w:t>”的相关内容（见4.3）；</w:t>
      </w:r>
    </w:p>
    <w:p w14:paraId="4D3A91A7">
      <w:pPr>
        <w:ind w:firstLine="440" w:firstLineChars="200"/>
        <w:rPr>
          <w:rFonts w:ascii="Times New Roman" w:cs="Times New Roman"/>
          <w:szCs w:val="21"/>
        </w:rPr>
      </w:pPr>
      <w:r>
        <w:rPr>
          <w:rFonts w:ascii="Times New Roman" w:cs="Times New Roman"/>
          <w:szCs w:val="21"/>
        </w:rPr>
        <w:t>k</w:t>
      </w:r>
      <w:r>
        <w:rPr>
          <w:rFonts w:ascii="Times New Roman" w:cs="Times New Roman"/>
        </w:rPr>
        <w:t>）</w:t>
      </w:r>
      <w:r>
        <w:rPr>
          <w:rFonts w:ascii="Times New Roman" w:cs="Times New Roman"/>
          <w:szCs w:val="21"/>
        </w:rPr>
        <w:t>修改了“5.2.1 采样方法”的相关内容（见5.2.1）；</w:t>
      </w:r>
    </w:p>
    <w:p w14:paraId="2460A3C6">
      <w:pPr>
        <w:ind w:firstLine="440" w:firstLineChars="200"/>
        <w:rPr>
          <w:rFonts w:ascii="Times New Roman" w:cs="Times New Roman"/>
          <w:szCs w:val="21"/>
        </w:rPr>
      </w:pPr>
      <w:r>
        <w:rPr>
          <w:rFonts w:ascii="Times New Roman" w:cs="Times New Roman"/>
          <w:szCs w:val="21"/>
        </w:rPr>
        <w:t>l</w:t>
      </w:r>
      <w:r>
        <w:rPr>
          <w:rFonts w:ascii="Times New Roman" w:cs="Times New Roman"/>
        </w:rPr>
        <w:t>）</w:t>
      </w:r>
      <w:r>
        <w:rPr>
          <w:rFonts w:ascii="Times New Roman" w:cs="Times New Roman"/>
          <w:szCs w:val="21"/>
        </w:rPr>
        <w:t>修改了“5.2.2离心方法”的相关内容（见5.2.2）；</w:t>
      </w:r>
    </w:p>
    <w:p w14:paraId="67103D79">
      <w:pPr>
        <w:ind w:firstLine="440" w:firstLineChars="200"/>
        <w:rPr>
          <w:rFonts w:ascii="Times New Roman" w:cs="Times New Roman"/>
          <w:szCs w:val="21"/>
        </w:rPr>
      </w:pPr>
      <w:r>
        <w:rPr>
          <w:rFonts w:ascii="Times New Roman" w:cs="Times New Roman"/>
          <w:szCs w:val="21"/>
        </w:rPr>
        <w:t>m</w:t>
      </w:r>
      <w:r>
        <w:rPr>
          <w:rFonts w:ascii="Times New Roman" w:cs="Times New Roman"/>
        </w:rPr>
        <w:t>）</w:t>
      </w:r>
      <w:r>
        <w:rPr>
          <w:rFonts w:ascii="Times New Roman" w:cs="Times New Roman"/>
          <w:szCs w:val="21"/>
        </w:rPr>
        <w:t>增加了“5.2.3 样品编号”的相关内容（见5.2.3）；</w:t>
      </w:r>
    </w:p>
    <w:p w14:paraId="26853F0D">
      <w:pPr>
        <w:ind w:firstLine="440" w:firstLineChars="200"/>
        <w:rPr>
          <w:rFonts w:ascii="Times New Roman" w:cs="Times New Roman"/>
          <w:szCs w:val="21"/>
        </w:rPr>
      </w:pPr>
      <w:r>
        <w:rPr>
          <w:rFonts w:ascii="Times New Roman" w:cs="Times New Roman"/>
          <w:szCs w:val="21"/>
        </w:rPr>
        <w:t>n</w:t>
      </w:r>
      <w:r>
        <w:rPr>
          <w:rFonts w:ascii="Times New Roman" w:cs="Times New Roman"/>
        </w:rPr>
        <w:t>）</w:t>
      </w:r>
      <w:r>
        <w:rPr>
          <w:rFonts w:ascii="Times New Roman" w:cs="Times New Roman"/>
          <w:szCs w:val="21"/>
        </w:rPr>
        <w:t>增加了“5.3全血样品”的相关采样要求（见5.3）；</w:t>
      </w:r>
    </w:p>
    <w:p w14:paraId="70BE9A45">
      <w:pPr>
        <w:ind w:firstLine="440" w:firstLineChars="200"/>
        <w:rPr>
          <w:rFonts w:ascii="Times New Roman" w:cs="Times New Roman"/>
          <w:szCs w:val="21"/>
        </w:rPr>
      </w:pPr>
      <w:r>
        <w:rPr>
          <w:rFonts w:ascii="Times New Roman" w:cs="Times New Roman"/>
          <w:szCs w:val="21"/>
        </w:rPr>
        <w:t>o</w:t>
      </w:r>
      <w:r>
        <w:rPr>
          <w:rFonts w:ascii="Times New Roman" w:cs="Times New Roman"/>
        </w:rPr>
        <w:t>）</w:t>
      </w:r>
      <w:r>
        <w:rPr>
          <w:rFonts w:ascii="Times New Roman" w:cs="Times New Roman"/>
          <w:szCs w:val="21"/>
        </w:rPr>
        <w:t>修改了“5.3拭子与粪便样品”为“5.4拭子与粪便样品”，并修改了相关内容，增加了“眼部组织和分泌物拭子”、“肛拭子”和 “环境拭子”的相关采样要求( 5.4，见2011年版5.3)；</w:t>
      </w:r>
    </w:p>
    <w:p w14:paraId="66BF2CA3">
      <w:pPr>
        <w:ind w:firstLine="440" w:firstLineChars="200"/>
        <w:rPr>
          <w:rFonts w:ascii="Times New Roman" w:cs="Times New Roman"/>
          <w:szCs w:val="21"/>
        </w:rPr>
      </w:pPr>
      <w:r>
        <w:rPr>
          <w:rFonts w:ascii="Times New Roman" w:cs="Times New Roman"/>
          <w:szCs w:val="21"/>
        </w:rPr>
        <w:t>p</w:t>
      </w:r>
      <w:r>
        <w:rPr>
          <w:rFonts w:ascii="Times New Roman" w:cs="Times New Roman"/>
        </w:rPr>
        <w:t>）</w:t>
      </w:r>
      <w:r>
        <w:rPr>
          <w:rFonts w:ascii="Times New Roman" w:cs="Times New Roman"/>
          <w:szCs w:val="21"/>
        </w:rPr>
        <w:t>修改“5.3.2样品编号”为“5.4.2样品编号”，删除了与上文的重复叙述（见5.4.2，2011年版5.3.2）；</w:t>
      </w:r>
    </w:p>
    <w:p w14:paraId="6AF2F5D0">
      <w:pPr>
        <w:ind w:firstLine="440" w:firstLineChars="200"/>
        <w:rPr>
          <w:rFonts w:ascii="Times New Roman" w:cs="Times New Roman"/>
          <w:szCs w:val="21"/>
        </w:rPr>
      </w:pPr>
      <w:r>
        <w:rPr>
          <w:rFonts w:ascii="Times New Roman" w:cs="Times New Roman"/>
          <w:szCs w:val="21"/>
        </w:rPr>
        <w:t>q</w:t>
      </w:r>
      <w:r>
        <w:rPr>
          <w:rFonts w:ascii="Times New Roman" w:cs="Times New Roman"/>
        </w:rPr>
        <w:t>）</w:t>
      </w:r>
      <w:r>
        <w:rPr>
          <w:rFonts w:ascii="Times New Roman" w:cs="Times New Roman"/>
          <w:szCs w:val="21"/>
        </w:rPr>
        <w:t>增加了“5.5组织及液体样品”的有关内容（见5.5）；</w:t>
      </w:r>
    </w:p>
    <w:p w14:paraId="33B70A51">
      <w:pPr>
        <w:ind w:firstLine="440" w:firstLineChars="200"/>
        <w:rPr>
          <w:rFonts w:ascii="Times New Roman" w:cs="Times New Roman"/>
        </w:rPr>
      </w:pPr>
      <w:r>
        <w:rPr>
          <w:rFonts w:ascii="Times New Roman" w:cs="Times New Roman"/>
        </w:rPr>
        <w:t>r）增加了“废弃物处理”的相关内容（见第7章）；</w:t>
      </w:r>
    </w:p>
    <w:p w14:paraId="4F13C993">
      <w:pPr>
        <w:ind w:firstLine="440" w:firstLineChars="200"/>
        <w:rPr>
          <w:rFonts w:ascii="Times New Roman" w:cs="Times New Roman"/>
        </w:rPr>
      </w:pPr>
      <w:r>
        <w:rPr>
          <w:rFonts w:ascii="Times New Roman" w:cs="Times New Roman"/>
        </w:rPr>
        <w:t>s）增加了“</w:t>
      </w:r>
      <w:r>
        <w:rPr>
          <w:rFonts w:ascii="Times New Roman" w:cs="Times New Roman"/>
          <w:szCs w:val="21"/>
        </w:rPr>
        <w:t>附录A 样品保存液的配制</w:t>
      </w:r>
      <w:r>
        <w:rPr>
          <w:rFonts w:ascii="Times New Roman" w:cs="Times New Roman"/>
        </w:rPr>
        <w:t>”的内容（见附录页）</w:t>
      </w:r>
      <w:r>
        <w:rPr>
          <w:rFonts w:hint="eastAsia" w:ascii="Times New Roman" w:cs="Times New Roman"/>
        </w:rPr>
        <w:t>；</w:t>
      </w:r>
    </w:p>
    <w:p w14:paraId="73FB1B9D">
      <w:pPr>
        <w:ind w:firstLine="440" w:firstLineChars="200"/>
        <w:rPr>
          <w:rFonts w:ascii="Times New Roman" w:cs="Times New Roman"/>
        </w:rPr>
      </w:pPr>
      <w:r>
        <w:rPr>
          <w:rFonts w:ascii="Times New Roman" w:cs="Times New Roman"/>
        </w:rPr>
        <w:t>t）删除了附录C（见2011年版附录页）</w:t>
      </w:r>
      <w:r>
        <w:rPr>
          <w:rFonts w:hint="eastAsia" w:ascii="Times New Roman" w:cs="Times New Roman"/>
        </w:rPr>
        <w:t>。</w:t>
      </w:r>
    </w:p>
    <w:p w14:paraId="06BB306A">
      <w:pPr>
        <w:ind w:firstLine="440" w:firstLineChars="200"/>
      </w:pPr>
      <w:r>
        <w:rPr>
          <w:rFonts w:hint="eastAsia"/>
        </w:rPr>
        <w:t>本标准由安徽省动物疫病预防与控制中心提出。</w:t>
      </w:r>
    </w:p>
    <w:p w14:paraId="589DCF47">
      <w:pPr>
        <w:ind w:firstLine="440" w:firstLineChars="200"/>
      </w:pPr>
      <w:r>
        <w:rPr>
          <w:rFonts w:hint="eastAsia"/>
        </w:rPr>
        <w:t>本标准由安徽省农业标准化技术委员会归口。</w:t>
      </w:r>
    </w:p>
    <w:p w14:paraId="70CDD049">
      <w:pPr>
        <w:ind w:firstLine="440" w:firstLineChars="200"/>
      </w:pPr>
      <w:r>
        <w:rPr>
          <w:rFonts w:hint="eastAsia"/>
        </w:rPr>
        <w:t>本标准起草单位：安徽省动物疫病预防与控制中心、滁州市动物疫病预防与控制中心、泾县畜牧兽医水产服务中心（泾县动物卫生监督所）、青阳县畜牧兽医发展中心。</w:t>
      </w:r>
    </w:p>
    <w:p w14:paraId="22058D8B">
      <w:pPr>
        <w:pStyle w:val="4"/>
        <w:kinsoku w:val="0"/>
        <w:overflowPunct w:val="0"/>
        <w:ind w:firstLine="420" w:firstLineChars="200"/>
      </w:pPr>
      <w:r>
        <w:rPr>
          <w:rFonts w:hint="eastAsia"/>
        </w:rPr>
        <w:t>本标准起草人：刘华等。</w:t>
      </w:r>
    </w:p>
    <w:p w14:paraId="0E3180D2">
      <w:pPr>
        <w:ind w:firstLine="440" w:firstLineChars="200"/>
      </w:pPr>
      <w:r>
        <w:rPr>
          <w:rFonts w:hint="eastAsia"/>
        </w:rPr>
        <w:t>本文件及其所代替文件的历次版本发布情况为：</w:t>
      </w:r>
    </w:p>
    <w:p w14:paraId="0E858105">
      <w:pPr>
        <w:ind w:firstLine="440" w:firstLineChars="200"/>
      </w:pPr>
      <w:r>
        <w:rPr>
          <w:rFonts w:hint="eastAsia"/>
        </w:rPr>
        <w:t>——</w:t>
      </w:r>
      <w:r>
        <w:t>2011</w:t>
      </w:r>
      <w:r>
        <w:rPr>
          <w:rFonts w:hint="eastAsia"/>
        </w:rPr>
        <w:t>年</w:t>
      </w:r>
      <w:r>
        <w:t>4</w:t>
      </w:r>
      <w:r>
        <w:rPr>
          <w:rFonts w:hint="eastAsia"/>
        </w:rPr>
        <w:t>月首次发布为</w:t>
      </w:r>
      <w:r>
        <w:t>DB34/T 1390-2011</w:t>
      </w:r>
      <w:r>
        <w:rPr>
          <w:rFonts w:hint="eastAsia"/>
        </w:rPr>
        <w:t>，2025年第一次修订。</w:t>
      </w:r>
    </w:p>
    <w:p w14:paraId="6ADB23C5">
      <w:pPr>
        <w:pStyle w:val="4"/>
        <w:kinsoku w:val="0"/>
        <w:overflowPunct w:val="0"/>
        <w:rPr>
          <w:sz w:val="20"/>
          <w:szCs w:val="20"/>
        </w:rPr>
      </w:pPr>
    </w:p>
    <w:p w14:paraId="31E648B7">
      <w:pPr>
        <w:pStyle w:val="4"/>
        <w:kinsoku w:val="0"/>
        <w:overflowPunct w:val="0"/>
        <w:rPr>
          <w:sz w:val="20"/>
          <w:szCs w:val="20"/>
        </w:rPr>
      </w:pPr>
    </w:p>
    <w:p w14:paraId="22AA6A73">
      <w:pPr>
        <w:pStyle w:val="4"/>
        <w:kinsoku w:val="0"/>
        <w:overflowPunct w:val="0"/>
        <w:rPr>
          <w:sz w:val="20"/>
          <w:szCs w:val="20"/>
        </w:rPr>
      </w:pPr>
    </w:p>
    <w:p w14:paraId="7AF67117">
      <w:pPr>
        <w:pStyle w:val="4"/>
        <w:kinsoku w:val="0"/>
        <w:overflowPunct w:val="0"/>
        <w:rPr>
          <w:sz w:val="20"/>
          <w:szCs w:val="20"/>
        </w:rPr>
      </w:pPr>
    </w:p>
    <w:p w14:paraId="5F9E1DB2">
      <w:pPr>
        <w:pStyle w:val="4"/>
        <w:kinsoku w:val="0"/>
        <w:overflowPunct w:val="0"/>
        <w:rPr>
          <w:sz w:val="20"/>
          <w:szCs w:val="20"/>
        </w:rPr>
      </w:pPr>
    </w:p>
    <w:p w14:paraId="2EF71B91">
      <w:pPr>
        <w:pStyle w:val="4"/>
        <w:kinsoku w:val="0"/>
        <w:overflowPunct w:val="0"/>
        <w:spacing w:before="59"/>
        <w:ind w:right="430"/>
        <w:jc w:val="right"/>
        <w:rPr>
          <w:rFonts w:ascii="黑体" w:eastAsia="黑体" w:cs="黑体"/>
        </w:rPr>
      </w:pPr>
    </w:p>
    <w:p w14:paraId="01F0AEFC">
      <w:pPr>
        <w:pStyle w:val="4"/>
        <w:kinsoku w:val="0"/>
        <w:overflowPunct w:val="0"/>
        <w:spacing w:before="59"/>
        <w:ind w:right="430"/>
        <w:jc w:val="right"/>
        <w:rPr>
          <w:rFonts w:ascii="黑体" w:eastAsia="黑体" w:cs="黑体"/>
        </w:rPr>
      </w:pPr>
    </w:p>
    <w:p w14:paraId="0CD43EBB">
      <w:pPr>
        <w:pStyle w:val="4"/>
        <w:kinsoku w:val="0"/>
        <w:overflowPunct w:val="0"/>
        <w:spacing w:before="59"/>
        <w:ind w:right="430"/>
        <w:jc w:val="right"/>
        <w:rPr>
          <w:rFonts w:ascii="黑体" w:eastAsia="黑体" w:cs="黑体"/>
        </w:rPr>
      </w:pPr>
    </w:p>
    <w:p w14:paraId="734636FF">
      <w:pPr>
        <w:pStyle w:val="4"/>
        <w:kinsoku w:val="0"/>
        <w:overflowPunct w:val="0"/>
        <w:spacing w:before="59"/>
        <w:ind w:right="430"/>
        <w:jc w:val="right"/>
        <w:rPr>
          <w:rFonts w:ascii="黑体" w:eastAsia="黑体" w:cs="黑体"/>
        </w:rPr>
      </w:pPr>
    </w:p>
    <w:p w14:paraId="37376D4D">
      <w:pPr>
        <w:pStyle w:val="4"/>
        <w:kinsoku w:val="0"/>
        <w:overflowPunct w:val="0"/>
        <w:spacing w:before="59"/>
        <w:ind w:right="430"/>
        <w:jc w:val="right"/>
        <w:rPr>
          <w:rFonts w:ascii="黑体" w:eastAsia="黑体" w:cs="黑体"/>
        </w:rPr>
      </w:pPr>
    </w:p>
    <w:p w14:paraId="648109F5">
      <w:pPr>
        <w:pStyle w:val="4"/>
        <w:kinsoku w:val="0"/>
        <w:overflowPunct w:val="0"/>
        <w:spacing w:before="59"/>
        <w:ind w:right="430"/>
        <w:jc w:val="right"/>
        <w:rPr>
          <w:rFonts w:ascii="黑体" w:eastAsia="黑体" w:cs="黑体"/>
        </w:rPr>
      </w:pPr>
    </w:p>
    <w:p w14:paraId="3F6C9D38">
      <w:pPr>
        <w:pStyle w:val="4"/>
        <w:kinsoku w:val="0"/>
        <w:overflowPunct w:val="0"/>
        <w:spacing w:before="59"/>
        <w:ind w:right="430"/>
        <w:jc w:val="right"/>
        <w:rPr>
          <w:rFonts w:ascii="黑体" w:eastAsia="黑体" w:cs="黑体"/>
        </w:rPr>
      </w:pPr>
    </w:p>
    <w:p w14:paraId="382B8720">
      <w:pPr>
        <w:pStyle w:val="4"/>
        <w:kinsoku w:val="0"/>
        <w:overflowPunct w:val="0"/>
        <w:spacing w:before="59"/>
        <w:ind w:right="430"/>
        <w:jc w:val="right"/>
        <w:rPr>
          <w:rFonts w:ascii="黑体" w:eastAsia="黑体" w:cs="黑体"/>
        </w:rPr>
      </w:pPr>
    </w:p>
    <w:p w14:paraId="035A3F9D">
      <w:pPr>
        <w:pStyle w:val="4"/>
        <w:kinsoku w:val="0"/>
        <w:overflowPunct w:val="0"/>
        <w:spacing w:before="59"/>
        <w:ind w:right="430"/>
        <w:jc w:val="right"/>
        <w:rPr>
          <w:rFonts w:ascii="黑体" w:eastAsia="黑体" w:cs="黑体"/>
        </w:rPr>
      </w:pPr>
    </w:p>
    <w:p w14:paraId="2133F44C">
      <w:pPr>
        <w:pStyle w:val="4"/>
        <w:kinsoku w:val="0"/>
        <w:overflowPunct w:val="0"/>
        <w:spacing w:before="59"/>
        <w:ind w:right="430"/>
        <w:jc w:val="right"/>
        <w:rPr>
          <w:rFonts w:ascii="黑体" w:eastAsia="黑体" w:cs="黑体"/>
        </w:rPr>
      </w:pPr>
      <w:r>
        <w:rPr>
          <w:rFonts w:ascii="黑体" w:eastAsia="黑体" w:cs="黑体"/>
        </w:rPr>
        <w:t>DB34/T 1390</w:t>
      </w:r>
      <w:r>
        <w:rPr>
          <w:rFonts w:ascii="Times New Roman" w:eastAsia="黑体" w:cs="Times New Roman"/>
        </w:rPr>
        <w:t>—</w:t>
      </w:r>
      <w:r>
        <w:rPr>
          <w:rFonts w:ascii="黑体" w:eastAsia="黑体" w:cs="黑体"/>
        </w:rPr>
        <w:t>20XX</w:t>
      </w:r>
    </w:p>
    <w:p w14:paraId="25C4FCD1">
      <w:pPr>
        <w:pStyle w:val="4"/>
        <w:kinsoku w:val="0"/>
        <w:overflowPunct w:val="0"/>
        <w:rPr>
          <w:rFonts w:ascii="黑体" w:eastAsia="黑体" w:cs="黑体"/>
          <w:sz w:val="20"/>
          <w:szCs w:val="20"/>
        </w:rPr>
      </w:pPr>
    </w:p>
    <w:p w14:paraId="0C96694A">
      <w:pPr>
        <w:pStyle w:val="4"/>
        <w:kinsoku w:val="0"/>
        <w:overflowPunct w:val="0"/>
        <w:rPr>
          <w:rFonts w:ascii="黑体" w:eastAsia="黑体" w:cs="黑体"/>
          <w:sz w:val="20"/>
          <w:szCs w:val="20"/>
        </w:rPr>
      </w:pPr>
    </w:p>
    <w:p w14:paraId="3500C6DC">
      <w:pPr>
        <w:pStyle w:val="2"/>
        <w:kinsoku w:val="0"/>
        <w:overflowPunct w:val="0"/>
        <w:spacing w:before="55" w:line="268" w:lineRule="auto"/>
        <w:ind w:right="2227" w:hanging="2241"/>
        <w:jc w:val="center"/>
      </w:pPr>
      <w:r>
        <w:rPr>
          <w:rFonts w:hint="eastAsia"/>
        </w:rPr>
        <w:t>动物疫病集中监测样品采集技术规范</w:t>
      </w:r>
    </w:p>
    <w:p w14:paraId="70EE76FA">
      <w:pPr>
        <w:pStyle w:val="4"/>
        <w:kinsoku w:val="0"/>
        <w:overflowPunct w:val="0"/>
        <w:rPr>
          <w:rFonts w:ascii="黑体" w:eastAsia="黑体" w:cs="黑体"/>
          <w:sz w:val="20"/>
          <w:szCs w:val="20"/>
        </w:rPr>
      </w:pPr>
    </w:p>
    <w:p w14:paraId="44012DBB">
      <w:pPr>
        <w:pStyle w:val="12"/>
        <w:numPr>
          <w:ilvl w:val="0"/>
          <w:numId w:val="1"/>
        </w:numPr>
        <w:tabs>
          <w:tab w:val="left" w:pos="813"/>
        </w:tabs>
        <w:kinsoku w:val="0"/>
        <w:overflowPunct w:val="0"/>
        <w:adjustRightInd/>
        <w:spacing w:before="100" w:beforeAutospacing="1" w:after="120" w:afterLines="50"/>
        <w:ind w:left="440" w:leftChars="200" w:right="220" w:rightChars="100" w:firstLine="0"/>
        <w:jc w:val="both"/>
        <w:rPr>
          <w:rFonts w:ascii="黑体" w:eastAsia="黑体" w:cs="黑体"/>
          <w:sz w:val="21"/>
          <w:szCs w:val="21"/>
        </w:rPr>
      </w:pPr>
      <w:r>
        <w:rPr>
          <w:rFonts w:hint="eastAsia" w:ascii="黑体" w:eastAsia="黑体" w:cs="黑体"/>
          <w:sz w:val="21"/>
          <w:szCs w:val="21"/>
        </w:rPr>
        <w:t>范围</w:t>
      </w:r>
    </w:p>
    <w:p w14:paraId="4EFAF1B4">
      <w:pPr>
        <w:pStyle w:val="4"/>
        <w:adjustRightInd/>
        <w:spacing w:line="278" w:lineRule="auto"/>
        <w:ind w:left="499" w:right="220" w:rightChars="100" w:firstLine="420"/>
        <w:jc w:val="both"/>
      </w:pPr>
      <w:r>
        <w:rPr>
          <w:rFonts w:hint="eastAsia"/>
        </w:rPr>
        <w:t>本标准规定了动物疫病监测集中采样前的准备、样品采集与处理、样品包装与废弃物处理、采样记录和样品运输。</w:t>
      </w:r>
    </w:p>
    <w:p w14:paraId="50037198">
      <w:pPr>
        <w:pStyle w:val="4"/>
        <w:adjustRightInd/>
        <w:spacing w:line="278" w:lineRule="auto"/>
        <w:ind w:left="499" w:right="220" w:rightChars="100" w:firstLine="420"/>
        <w:jc w:val="both"/>
      </w:pPr>
      <w:r>
        <w:rPr>
          <w:rFonts w:hint="eastAsia"/>
        </w:rPr>
        <w:t>本标准适用于安徽省行政区域内春、秋两季动物疫病集中监测时所需样品的采集、保存和运输方法。</w:t>
      </w:r>
    </w:p>
    <w:p w14:paraId="0802DCB3">
      <w:pPr>
        <w:pStyle w:val="12"/>
        <w:numPr>
          <w:ilvl w:val="0"/>
          <w:numId w:val="1"/>
        </w:numPr>
        <w:tabs>
          <w:tab w:val="left" w:pos="813"/>
        </w:tabs>
        <w:kinsoku w:val="0"/>
        <w:overflowPunct w:val="0"/>
        <w:adjustRightInd/>
        <w:spacing w:before="100" w:beforeAutospacing="1" w:after="120" w:afterLines="50"/>
        <w:ind w:left="440" w:leftChars="200" w:right="220" w:rightChars="100" w:firstLine="0"/>
        <w:jc w:val="both"/>
        <w:rPr>
          <w:rFonts w:ascii="黑体" w:eastAsia="黑体" w:cs="黑体"/>
          <w:sz w:val="21"/>
          <w:szCs w:val="21"/>
        </w:rPr>
      </w:pPr>
      <w:r>
        <w:rPr>
          <w:rFonts w:hint="eastAsia" w:ascii="黑体" w:eastAsia="黑体" w:cs="黑体"/>
          <w:sz w:val="21"/>
          <w:szCs w:val="21"/>
        </w:rPr>
        <w:t>规范性引用文件</w:t>
      </w:r>
    </w:p>
    <w:p w14:paraId="27A96564">
      <w:pPr>
        <w:pStyle w:val="4"/>
        <w:kinsoku w:val="0"/>
        <w:overflowPunct w:val="0"/>
        <w:adjustRightInd/>
        <w:spacing w:before="1"/>
        <w:ind w:left="220" w:leftChars="100" w:right="220" w:rightChars="100" w:firstLine="420" w:firstLineChars="200"/>
        <w:jc w:val="both"/>
      </w:pPr>
      <w:r>
        <w:rPr>
          <w:rFonts w:hint="eastAsia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14:paraId="23DF22C9">
      <w:pPr>
        <w:pStyle w:val="4"/>
        <w:kinsoku w:val="0"/>
        <w:overflowPunct w:val="0"/>
        <w:adjustRightInd/>
        <w:spacing w:before="1" w:after="29"/>
        <w:ind w:left="497" w:right="220" w:rightChars="100" w:firstLine="420"/>
        <w:jc w:val="both"/>
      </w:pPr>
      <w:r>
        <w:t xml:space="preserve">GB 16548  </w:t>
      </w:r>
      <w:r>
        <w:rPr>
          <w:rFonts w:hint="eastAsia"/>
        </w:rPr>
        <w:t>病害动物和病害动物产品生物安全处理规程</w:t>
      </w:r>
    </w:p>
    <w:p w14:paraId="78AF7EF2">
      <w:pPr>
        <w:pStyle w:val="4"/>
        <w:kinsoku w:val="0"/>
        <w:overflowPunct w:val="0"/>
        <w:adjustRightInd/>
        <w:spacing w:before="1" w:after="29"/>
        <w:ind w:left="497" w:right="220" w:rightChars="100" w:firstLine="420"/>
        <w:jc w:val="both"/>
      </w:pPr>
      <w:r>
        <w:t xml:space="preserve">NY/T 541  </w:t>
      </w:r>
      <w:r>
        <w:rPr>
          <w:rFonts w:hint="eastAsia"/>
        </w:rPr>
        <w:t>兽医诊断样品采集、保存与运输技术规范</w:t>
      </w:r>
    </w:p>
    <w:p w14:paraId="49A62B30">
      <w:pPr>
        <w:pStyle w:val="4"/>
        <w:kinsoku w:val="0"/>
        <w:overflowPunct w:val="0"/>
        <w:adjustRightInd/>
        <w:spacing w:before="1" w:after="29"/>
        <w:ind w:left="497" w:right="220" w:rightChars="100" w:firstLine="420"/>
        <w:jc w:val="both"/>
      </w:pPr>
      <w:r>
        <w:t xml:space="preserve">NY/T 767  </w:t>
      </w:r>
      <w:r>
        <w:rPr>
          <w:rFonts w:hint="eastAsia"/>
        </w:rPr>
        <w:t>高致病性禽流感消毒技术规范</w:t>
      </w:r>
    </w:p>
    <w:p w14:paraId="6F49298B">
      <w:pPr>
        <w:pStyle w:val="4"/>
        <w:kinsoku w:val="0"/>
        <w:overflowPunct w:val="0"/>
        <w:adjustRightInd/>
        <w:spacing w:before="1" w:after="29"/>
        <w:ind w:left="497" w:right="220" w:rightChars="100" w:firstLine="420"/>
        <w:jc w:val="both"/>
      </w:pPr>
      <w:r>
        <w:t xml:space="preserve">NY/T 768  </w:t>
      </w:r>
      <w:r>
        <w:rPr>
          <w:rFonts w:hint="eastAsia"/>
        </w:rPr>
        <w:t>高致病性禽流感人员防护技术规范</w:t>
      </w:r>
    </w:p>
    <w:p w14:paraId="48550DB0">
      <w:pPr>
        <w:pStyle w:val="4"/>
        <w:kinsoku w:val="0"/>
        <w:overflowPunct w:val="0"/>
        <w:adjustRightInd/>
        <w:spacing w:before="1" w:after="29"/>
        <w:ind w:left="499" w:right="220" w:rightChars="100" w:firstLine="420"/>
        <w:jc w:val="both"/>
      </w:pPr>
      <w:r>
        <w:t>NY/T 4139</w:t>
      </w:r>
      <w:r>
        <w:rPr>
          <w:rFonts w:hint="eastAsia"/>
        </w:rPr>
        <w:t xml:space="preserve"> 兽医流行病学调查与抽样</w:t>
      </w:r>
    </w:p>
    <w:p w14:paraId="584A39B2">
      <w:pPr>
        <w:pStyle w:val="12"/>
        <w:numPr>
          <w:ilvl w:val="0"/>
          <w:numId w:val="1"/>
        </w:numPr>
        <w:tabs>
          <w:tab w:val="left" w:pos="813"/>
        </w:tabs>
        <w:kinsoku w:val="0"/>
        <w:overflowPunct w:val="0"/>
        <w:adjustRightInd/>
        <w:spacing w:before="100" w:beforeAutospacing="1" w:after="120" w:afterLines="50"/>
        <w:ind w:left="440" w:leftChars="200" w:right="220" w:rightChars="100" w:firstLine="0"/>
        <w:jc w:val="both"/>
        <w:rPr>
          <w:rFonts w:ascii="黑体" w:eastAsia="黑体" w:cs="黑体"/>
          <w:sz w:val="21"/>
          <w:szCs w:val="21"/>
        </w:rPr>
      </w:pPr>
      <w:r>
        <w:rPr>
          <w:rFonts w:hint="eastAsia" w:ascii="黑体" w:eastAsia="黑体" w:cs="黑体"/>
          <w:sz w:val="21"/>
          <w:szCs w:val="21"/>
        </w:rPr>
        <w:t>术语和定义</w:t>
      </w:r>
    </w:p>
    <w:p w14:paraId="189DD1AB">
      <w:pPr>
        <w:pStyle w:val="4"/>
        <w:kinsoku w:val="0"/>
        <w:overflowPunct w:val="0"/>
        <w:adjustRightInd/>
        <w:spacing w:before="103" w:beforeLines="43" w:after="43" w:line="278" w:lineRule="auto"/>
        <w:ind w:left="499" w:right="220" w:rightChars="100" w:firstLine="420"/>
        <w:jc w:val="both"/>
        <w:rPr>
          <w:sz w:val="24"/>
          <w:szCs w:val="24"/>
        </w:rPr>
      </w:pPr>
      <w:r>
        <w:rPr>
          <w:rFonts w:hint="eastAsia"/>
        </w:rPr>
        <w:t>无。</w:t>
      </w:r>
    </w:p>
    <w:p w14:paraId="0BBDF960">
      <w:pPr>
        <w:pStyle w:val="12"/>
        <w:numPr>
          <w:ilvl w:val="0"/>
          <w:numId w:val="1"/>
        </w:numPr>
        <w:tabs>
          <w:tab w:val="left" w:pos="813"/>
        </w:tabs>
        <w:kinsoku w:val="0"/>
        <w:overflowPunct w:val="0"/>
        <w:adjustRightInd/>
        <w:spacing w:before="100" w:beforeAutospacing="1" w:after="120" w:afterLines="50"/>
        <w:ind w:left="440" w:leftChars="200" w:right="220" w:rightChars="100" w:firstLine="0"/>
        <w:jc w:val="both"/>
        <w:rPr>
          <w:rFonts w:ascii="黑体" w:eastAsia="黑体" w:cs="黑体"/>
          <w:sz w:val="21"/>
          <w:szCs w:val="21"/>
        </w:rPr>
      </w:pPr>
      <w:r>
        <w:rPr>
          <w:rFonts w:hint="eastAsia" w:ascii="黑体" w:eastAsia="黑体" w:cs="黑体"/>
          <w:sz w:val="21"/>
          <w:szCs w:val="21"/>
        </w:rPr>
        <w:t>采样前的准备</w:t>
      </w:r>
    </w:p>
    <w:p w14:paraId="330A3E24">
      <w:pPr>
        <w:pStyle w:val="12"/>
        <w:numPr>
          <w:ilvl w:val="1"/>
          <w:numId w:val="1"/>
        </w:numPr>
        <w:tabs>
          <w:tab w:val="left" w:pos="1023"/>
        </w:tabs>
        <w:kinsoku w:val="0"/>
        <w:overflowPunct w:val="0"/>
        <w:adjustRightInd/>
        <w:spacing w:before="120" w:beforeLines="50" w:after="120" w:afterLines="50"/>
        <w:ind w:left="967" w:leftChars="200" w:right="220" w:rightChars="100" w:hanging="527"/>
        <w:jc w:val="both"/>
        <w:rPr>
          <w:rFonts w:ascii="黑体" w:eastAsia="黑体" w:cs="黑体"/>
          <w:sz w:val="21"/>
          <w:szCs w:val="21"/>
        </w:rPr>
      </w:pPr>
      <w:r>
        <w:rPr>
          <w:rFonts w:hint="eastAsia" w:ascii="黑体" w:eastAsia="黑体" w:cs="黑体"/>
          <w:sz w:val="21"/>
          <w:szCs w:val="21"/>
        </w:rPr>
        <w:t>采样要求</w:t>
      </w:r>
    </w:p>
    <w:p w14:paraId="62949DF7">
      <w:pPr>
        <w:pStyle w:val="12"/>
        <w:numPr>
          <w:ilvl w:val="2"/>
          <w:numId w:val="1"/>
        </w:numPr>
        <w:tabs>
          <w:tab w:val="left" w:pos="1233"/>
        </w:tabs>
        <w:kinsoku w:val="0"/>
        <w:overflowPunct w:val="0"/>
        <w:adjustRightInd/>
        <w:spacing w:before="43"/>
        <w:ind w:left="1177" w:leftChars="200" w:right="220" w:rightChars="100" w:hanging="737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根据采样目的，采集不同类型，按照</w:t>
      </w:r>
      <w:r>
        <w:rPr>
          <w:sz w:val="21"/>
          <w:szCs w:val="21"/>
        </w:rPr>
        <w:t>NY/T 4139</w:t>
      </w:r>
      <w:r>
        <w:rPr>
          <w:rFonts w:hint="eastAsia"/>
          <w:sz w:val="21"/>
          <w:szCs w:val="21"/>
        </w:rPr>
        <w:t>采集不同数量的样品。</w:t>
      </w:r>
    </w:p>
    <w:p w14:paraId="58605365">
      <w:pPr>
        <w:pStyle w:val="12"/>
        <w:numPr>
          <w:ilvl w:val="2"/>
          <w:numId w:val="1"/>
        </w:numPr>
        <w:tabs>
          <w:tab w:val="left" w:pos="1233"/>
        </w:tabs>
        <w:kinsoku w:val="0"/>
        <w:overflowPunct w:val="0"/>
        <w:adjustRightInd/>
        <w:spacing w:before="43"/>
        <w:ind w:left="1177" w:leftChars="200" w:right="220" w:rightChars="100" w:hanging="737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采样人员必须是兽医技术人员，熟悉采样器具的使用，掌握正确的釆样方法。</w:t>
      </w:r>
    </w:p>
    <w:p w14:paraId="0967F3A5">
      <w:pPr>
        <w:pStyle w:val="12"/>
        <w:numPr>
          <w:ilvl w:val="2"/>
          <w:numId w:val="1"/>
        </w:numPr>
        <w:tabs>
          <w:tab w:val="left" w:pos="1233"/>
        </w:tabs>
        <w:kinsoku w:val="0"/>
        <w:overflowPunct w:val="0"/>
        <w:adjustRightInd/>
        <w:spacing w:before="43"/>
        <w:ind w:left="1177" w:leftChars="200" w:right="220" w:rightChars="100" w:hanging="737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怀疑炭疽时，不得解剖。</w:t>
      </w:r>
    </w:p>
    <w:p w14:paraId="5C29B6F6">
      <w:pPr>
        <w:pStyle w:val="12"/>
        <w:numPr>
          <w:ilvl w:val="2"/>
          <w:numId w:val="1"/>
        </w:numPr>
        <w:tabs>
          <w:tab w:val="left" w:pos="1233"/>
        </w:tabs>
        <w:kinsoku w:val="0"/>
        <w:overflowPunct w:val="0"/>
        <w:adjustRightInd/>
        <w:spacing w:before="43"/>
        <w:ind w:left="1177" w:leftChars="200" w:right="220" w:rightChars="100" w:hanging="737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所有器械应提前灭菌，每种样品单独采集，独立包装。</w:t>
      </w:r>
    </w:p>
    <w:p w14:paraId="07ED5470">
      <w:pPr>
        <w:pStyle w:val="12"/>
        <w:numPr>
          <w:ilvl w:val="1"/>
          <w:numId w:val="1"/>
        </w:numPr>
        <w:tabs>
          <w:tab w:val="left" w:pos="1023"/>
        </w:tabs>
        <w:kinsoku w:val="0"/>
        <w:overflowPunct w:val="0"/>
        <w:adjustRightInd/>
        <w:spacing w:before="120" w:beforeLines="50" w:after="120" w:afterLines="50"/>
        <w:ind w:left="1026" w:right="220" w:rightChars="100" w:hanging="527"/>
        <w:jc w:val="both"/>
        <w:rPr>
          <w:rFonts w:ascii="黑体" w:eastAsia="黑体" w:cs="黑体"/>
          <w:sz w:val="21"/>
          <w:szCs w:val="21"/>
        </w:rPr>
      </w:pPr>
      <w:r>
        <w:rPr>
          <w:rFonts w:hint="eastAsia" w:ascii="黑体" w:eastAsia="黑体" w:cs="黑体"/>
          <w:sz w:val="21"/>
          <w:szCs w:val="21"/>
        </w:rPr>
        <w:t>采样器具和保存液</w:t>
      </w:r>
    </w:p>
    <w:p w14:paraId="6F5B6E85">
      <w:pPr>
        <w:pStyle w:val="12"/>
        <w:numPr>
          <w:ilvl w:val="2"/>
          <w:numId w:val="1"/>
        </w:numPr>
        <w:tabs>
          <w:tab w:val="left" w:pos="1233"/>
        </w:tabs>
        <w:kinsoku w:val="0"/>
        <w:overflowPunct w:val="0"/>
        <w:adjustRightInd/>
        <w:spacing w:before="43"/>
        <w:ind w:left="1175" w:leftChars="200" w:right="220" w:rightChars="100" w:hanging="735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采样器具</w:t>
      </w:r>
    </w:p>
    <w:p w14:paraId="59F3D518">
      <w:pPr>
        <w:pStyle w:val="4"/>
        <w:kinsoku w:val="0"/>
        <w:overflowPunct w:val="0"/>
        <w:adjustRightInd/>
        <w:spacing w:before="1"/>
        <w:ind w:left="440" w:leftChars="200" w:right="220" w:rightChars="100"/>
        <w:jc w:val="both"/>
      </w:pPr>
      <w:r>
        <w:rPr>
          <w:rFonts w:ascii="黑体" w:eastAsia="黑体" w:cs="黑体"/>
        </w:rPr>
        <w:t>4.2.1.1</w:t>
      </w:r>
      <w:r>
        <w:rPr>
          <w:rFonts w:hint="eastAsia"/>
        </w:rPr>
        <w:t>血清采集器具：采样箱、镊子、</w:t>
      </w:r>
      <w:r>
        <w:t>75</w:t>
      </w:r>
      <w:r>
        <w:rPr>
          <w:rFonts w:hint="eastAsia"/>
        </w:rPr>
        <w:t>％酒精棉、不同规格一次性注射器或一次性兽用采血盛血器、样品容器（如各种规格塑料离心管、带盖试管、自封塑料袋等）、试管架。</w:t>
      </w:r>
    </w:p>
    <w:p w14:paraId="3D5B0211">
      <w:pPr>
        <w:tabs>
          <w:tab w:val="left" w:pos="1160"/>
        </w:tabs>
        <w:kinsoku w:val="0"/>
        <w:overflowPunct w:val="0"/>
        <w:adjustRightInd/>
        <w:spacing w:line="269" w:lineRule="exact"/>
        <w:ind w:right="220" w:rightChars="100" w:firstLine="420" w:firstLineChars="200"/>
        <w:jc w:val="both"/>
        <w:rPr>
          <w:sz w:val="21"/>
          <w:szCs w:val="21"/>
        </w:rPr>
      </w:pPr>
      <w:r>
        <w:rPr>
          <w:rFonts w:ascii="黑体" w:eastAsia="黑体" w:cs="黑体"/>
          <w:sz w:val="21"/>
          <w:szCs w:val="21"/>
        </w:rPr>
        <w:t>4.2.1.2</w:t>
      </w:r>
      <w:r>
        <w:rPr>
          <w:rFonts w:hint="eastAsia"/>
          <w:sz w:val="21"/>
          <w:szCs w:val="21"/>
        </w:rPr>
        <w:t>拭子采集器具：塑料盒（</w:t>
      </w:r>
      <w:r>
        <w:rPr>
          <w:sz w:val="21"/>
          <w:szCs w:val="21"/>
        </w:rPr>
        <w:t>1.5mL</w:t>
      </w:r>
      <w:r>
        <w:rPr>
          <w:rFonts w:hint="eastAsia"/>
          <w:spacing w:val="-8"/>
          <w:sz w:val="21"/>
          <w:szCs w:val="21"/>
        </w:rPr>
        <w:t>塑料离心管专用</w:t>
      </w:r>
      <w:r>
        <w:rPr>
          <w:rFonts w:hint="eastAsia"/>
          <w:sz w:val="21"/>
          <w:szCs w:val="21"/>
        </w:rPr>
        <w:t>）、无菌棉拭子、剪刀。</w:t>
      </w:r>
    </w:p>
    <w:p w14:paraId="365A8EC6">
      <w:pPr>
        <w:pStyle w:val="12"/>
        <w:tabs>
          <w:tab w:val="left" w:pos="1160"/>
        </w:tabs>
        <w:kinsoku w:val="0"/>
        <w:overflowPunct w:val="0"/>
        <w:adjustRightInd/>
        <w:spacing w:line="269" w:lineRule="exact"/>
        <w:ind w:left="440" w:leftChars="200" w:right="220" w:rightChars="100" w:firstLine="0"/>
        <w:jc w:val="both"/>
        <w:rPr>
          <w:sz w:val="21"/>
          <w:szCs w:val="21"/>
        </w:rPr>
      </w:pPr>
      <w:r>
        <w:rPr>
          <w:rFonts w:ascii="黑体" w:eastAsia="黑体" w:cs="黑体"/>
          <w:sz w:val="21"/>
          <w:szCs w:val="21"/>
        </w:rPr>
        <w:t>4.2.1.3</w:t>
      </w:r>
      <w:r>
        <w:rPr>
          <w:rFonts w:hint="eastAsia"/>
          <w:sz w:val="21"/>
          <w:szCs w:val="21"/>
        </w:rPr>
        <w:t>组织样品采集器具：手术刀或解剖刀、组织剪、组织镊、酒精喷灯或</w:t>
      </w:r>
      <w:r>
        <w:rPr>
          <w:sz w:val="21"/>
          <w:szCs w:val="21"/>
        </w:rPr>
        <w:t>75%</w:t>
      </w:r>
      <w:r>
        <w:rPr>
          <w:rFonts w:hint="eastAsia"/>
          <w:sz w:val="21"/>
          <w:szCs w:val="21"/>
        </w:rPr>
        <w:t>酒精棉、样品容器（自封袋或灭菌容器）；</w:t>
      </w:r>
    </w:p>
    <w:p w14:paraId="45FE0262">
      <w:pPr>
        <w:tabs>
          <w:tab w:val="left" w:pos="1160"/>
        </w:tabs>
        <w:kinsoku w:val="0"/>
        <w:overflowPunct w:val="0"/>
        <w:adjustRightInd/>
        <w:ind w:right="220" w:rightChars="100" w:firstLine="420" w:firstLineChars="200"/>
        <w:jc w:val="both"/>
        <w:rPr>
          <w:sz w:val="21"/>
          <w:szCs w:val="21"/>
        </w:rPr>
      </w:pPr>
      <w:r>
        <w:rPr>
          <w:rFonts w:ascii="黑体" w:eastAsia="黑体" w:cs="黑体"/>
          <w:sz w:val="21"/>
          <w:szCs w:val="21"/>
        </w:rPr>
        <w:t>4.2.1.4</w:t>
      </w:r>
      <w:r>
        <w:rPr>
          <w:rFonts w:hint="eastAsia"/>
          <w:sz w:val="21"/>
          <w:szCs w:val="21"/>
        </w:rPr>
        <w:t>其他：冷藏容器（如保温箱、保温桶、泡沫盒等）、冰袋、保定工具等。</w:t>
      </w:r>
    </w:p>
    <w:p w14:paraId="1C2F4081">
      <w:pPr>
        <w:pStyle w:val="12"/>
        <w:numPr>
          <w:ilvl w:val="2"/>
          <w:numId w:val="1"/>
        </w:numPr>
        <w:tabs>
          <w:tab w:val="left" w:pos="1233"/>
        </w:tabs>
        <w:kinsoku w:val="0"/>
        <w:overflowPunct w:val="0"/>
        <w:adjustRightInd/>
        <w:spacing w:before="43"/>
        <w:ind w:left="1175" w:leftChars="200" w:right="220" w:rightChars="100" w:hanging="735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保存液</w:t>
      </w:r>
    </w:p>
    <w:p w14:paraId="0F8F17F0">
      <w:pPr>
        <w:pStyle w:val="4"/>
        <w:kinsoku w:val="0"/>
        <w:overflowPunct w:val="0"/>
        <w:adjustRightInd/>
        <w:spacing w:before="1"/>
        <w:ind w:left="440" w:leftChars="200" w:right="220" w:rightChars="100" w:firstLine="420" w:firstLineChars="200"/>
        <w:jc w:val="both"/>
      </w:pPr>
      <w:r>
        <w:rPr>
          <w:rFonts w:hint="eastAsia"/>
        </w:rPr>
        <w:t>加有抗生素的</w:t>
      </w:r>
      <w:r>
        <w:t>pH7.4</w:t>
      </w:r>
      <w:r>
        <w:rPr>
          <w:rFonts w:hint="eastAsia"/>
        </w:rPr>
        <w:t>等渗磷酸盐缓冲液（</w:t>
      </w:r>
      <w:r>
        <w:t>PBS</w:t>
      </w:r>
      <w:r>
        <w:rPr>
          <w:rFonts w:hint="eastAsia"/>
        </w:rPr>
        <w:t>）（配制方法见附录</w:t>
      </w:r>
      <w:r>
        <w:t xml:space="preserve"> A</w:t>
      </w:r>
      <w:r>
        <w:rPr>
          <w:rFonts w:hint="eastAsia"/>
        </w:rPr>
        <w:t>）、</w:t>
      </w:r>
      <w:r>
        <w:t>30%</w:t>
      </w:r>
      <w:r>
        <w:rPr>
          <w:rFonts w:hint="eastAsia"/>
        </w:rPr>
        <w:t>甘油磷酸盐缓冲液（配制方法见附录</w:t>
      </w:r>
      <w:r>
        <w:t>A</w:t>
      </w:r>
      <w:r>
        <w:rPr>
          <w:rFonts w:hint="eastAsia"/>
        </w:rPr>
        <w:t>）、生理盐水等。</w:t>
      </w:r>
    </w:p>
    <w:p w14:paraId="56B58FED">
      <w:pPr>
        <w:pStyle w:val="12"/>
        <w:numPr>
          <w:ilvl w:val="1"/>
          <w:numId w:val="1"/>
        </w:numPr>
        <w:tabs>
          <w:tab w:val="left" w:pos="1023"/>
        </w:tabs>
        <w:kinsoku w:val="0"/>
        <w:overflowPunct w:val="0"/>
        <w:adjustRightInd/>
        <w:spacing w:before="120" w:beforeLines="50" w:after="120" w:afterLines="50"/>
        <w:ind w:left="967" w:leftChars="200" w:right="220" w:rightChars="100" w:hanging="527"/>
        <w:jc w:val="both"/>
        <w:rPr>
          <w:rFonts w:ascii="黑体" w:eastAsia="黑体" w:cs="黑体"/>
          <w:sz w:val="15"/>
          <w:szCs w:val="15"/>
        </w:rPr>
      </w:pPr>
      <w:r>
        <w:rPr>
          <w:rFonts w:hint="eastAsia" w:ascii="黑体" w:eastAsia="黑体" w:cs="黑体"/>
          <w:sz w:val="21"/>
          <w:szCs w:val="21"/>
        </w:rPr>
        <w:t>记录和防护材料</w:t>
      </w:r>
    </w:p>
    <w:p w14:paraId="0B165F3B">
      <w:pPr>
        <w:pStyle w:val="4"/>
        <w:kinsoku w:val="0"/>
        <w:overflowPunct w:val="0"/>
        <w:adjustRightInd/>
        <w:spacing w:before="59"/>
        <w:ind w:left="440" w:leftChars="200" w:right="220" w:rightChars="100" w:firstLine="420" w:firstLineChars="200"/>
        <w:jc w:val="both"/>
      </w:pPr>
      <w:r>
        <w:rPr>
          <w:rFonts w:hint="eastAsia"/>
        </w:rPr>
        <w:t>不干胶标签、签字笔、防水记号笔、采样单、封条、记录本等；丁腈手套或乳胶手套、一次性防护服、防护口罩、防护帽、鞋套或胶靴、护目镜或面罩等。</w:t>
      </w:r>
    </w:p>
    <w:p w14:paraId="33ED40B2">
      <w:pPr>
        <w:pStyle w:val="12"/>
        <w:numPr>
          <w:ilvl w:val="0"/>
          <w:numId w:val="1"/>
        </w:numPr>
        <w:tabs>
          <w:tab w:val="left" w:pos="813"/>
        </w:tabs>
        <w:kinsoku w:val="0"/>
        <w:overflowPunct w:val="0"/>
        <w:adjustRightInd/>
        <w:spacing w:before="120" w:beforeLines="50" w:after="120" w:afterLines="50"/>
        <w:ind w:left="440" w:leftChars="200" w:right="220" w:rightChars="100" w:firstLine="0"/>
        <w:jc w:val="both"/>
        <w:rPr>
          <w:rFonts w:ascii="黑体" w:eastAsia="黑体" w:cs="黑体"/>
          <w:sz w:val="21"/>
          <w:szCs w:val="21"/>
        </w:rPr>
      </w:pPr>
      <w:r>
        <w:rPr>
          <w:rFonts w:hint="eastAsia" w:ascii="黑体" w:eastAsia="黑体" w:cs="黑体"/>
          <w:sz w:val="21"/>
          <w:szCs w:val="21"/>
        </w:rPr>
        <w:t>样品采集</w:t>
      </w:r>
    </w:p>
    <w:p w14:paraId="3E84807D">
      <w:pPr>
        <w:pStyle w:val="12"/>
        <w:numPr>
          <w:ilvl w:val="1"/>
          <w:numId w:val="1"/>
        </w:numPr>
        <w:tabs>
          <w:tab w:val="left" w:pos="1023"/>
        </w:tabs>
        <w:kinsoku w:val="0"/>
        <w:overflowPunct w:val="0"/>
        <w:adjustRightInd/>
        <w:spacing w:before="120" w:beforeLines="50" w:after="120" w:afterLines="50"/>
        <w:ind w:left="967" w:leftChars="200" w:right="220" w:rightChars="100" w:hanging="527"/>
        <w:jc w:val="both"/>
        <w:rPr>
          <w:rFonts w:ascii="黑体" w:eastAsia="黑体" w:cs="黑体"/>
          <w:sz w:val="21"/>
          <w:szCs w:val="21"/>
        </w:rPr>
      </w:pPr>
      <w:r>
        <w:rPr>
          <w:rFonts w:hint="eastAsia" w:ascii="黑体" w:eastAsia="黑体" w:cs="黑体"/>
          <w:sz w:val="21"/>
          <w:szCs w:val="21"/>
        </w:rPr>
        <w:t>基本要求</w:t>
      </w:r>
    </w:p>
    <w:p w14:paraId="7F3AF0DF">
      <w:pPr>
        <w:pStyle w:val="4"/>
        <w:adjustRightInd/>
        <w:spacing w:before="1" w:line="278" w:lineRule="auto"/>
        <w:ind w:left="440" w:leftChars="200" w:right="220" w:rightChars="100" w:firstLine="420"/>
        <w:jc w:val="both"/>
      </w:pPr>
      <w:r>
        <w:rPr>
          <w:rFonts w:hint="eastAsia"/>
        </w:rPr>
        <w:t>采样人员采样时按</w:t>
      </w:r>
      <w:r>
        <w:t xml:space="preserve"> NY/T 767</w:t>
      </w:r>
      <w:r>
        <w:rPr>
          <w:rFonts w:hint="eastAsia"/>
        </w:rPr>
        <w:t>做好消毒工作，按</w:t>
      </w:r>
      <w:r>
        <w:t>NY/T 768</w:t>
      </w:r>
      <w:r>
        <w:rPr>
          <w:rFonts w:hint="eastAsia"/>
        </w:rPr>
        <w:t>做好防护工作。同种动物采样先到养殖场，后到散养户。采样过程要注意无菌操作，同时避免交叉污染。保定器具要按</w:t>
      </w:r>
      <w:r>
        <w:t>NY/T 767</w:t>
      </w:r>
      <w:r>
        <w:rPr>
          <w:rFonts w:hint="eastAsia"/>
        </w:rPr>
        <w:t>做好消毒。</w:t>
      </w:r>
    </w:p>
    <w:p w14:paraId="683EA167">
      <w:pPr>
        <w:pStyle w:val="4"/>
        <w:kinsoku w:val="0"/>
        <w:overflowPunct w:val="0"/>
        <w:adjustRightInd/>
        <w:spacing w:before="59"/>
        <w:ind w:left="440" w:leftChars="200" w:right="220" w:rightChars="100"/>
        <w:jc w:val="both"/>
        <w:rPr>
          <w:rFonts w:ascii="黑体" w:eastAsia="黑体" w:cs="黑体"/>
        </w:rPr>
      </w:pPr>
    </w:p>
    <w:p w14:paraId="00F582A2">
      <w:pPr>
        <w:pStyle w:val="4"/>
        <w:kinsoku w:val="0"/>
        <w:overflowPunct w:val="0"/>
        <w:adjustRightInd/>
        <w:spacing w:before="59"/>
        <w:ind w:left="440" w:leftChars="200" w:right="220" w:rightChars="100"/>
        <w:jc w:val="right"/>
        <w:rPr>
          <w:rFonts w:ascii="黑体" w:eastAsia="黑体" w:cs="黑体"/>
        </w:rPr>
      </w:pPr>
      <w:r>
        <w:rPr>
          <w:rFonts w:ascii="黑体" w:eastAsia="黑体" w:cs="黑体"/>
        </w:rPr>
        <w:t>DB34/T 1390</w:t>
      </w:r>
      <w:r>
        <w:rPr>
          <w:rFonts w:ascii="Times New Roman" w:eastAsia="黑体" w:cs="Times New Roman"/>
        </w:rPr>
        <w:t>—</w:t>
      </w:r>
      <w:r>
        <w:rPr>
          <w:rFonts w:ascii="黑体" w:eastAsia="黑体" w:cs="黑体"/>
        </w:rPr>
        <w:t>20XX</w:t>
      </w:r>
    </w:p>
    <w:p w14:paraId="5B274526">
      <w:pPr>
        <w:pStyle w:val="12"/>
        <w:numPr>
          <w:ilvl w:val="1"/>
          <w:numId w:val="1"/>
        </w:numPr>
        <w:tabs>
          <w:tab w:val="left" w:pos="1023"/>
        </w:tabs>
        <w:kinsoku w:val="0"/>
        <w:overflowPunct w:val="0"/>
        <w:adjustRightInd/>
        <w:spacing w:before="120" w:beforeLines="50" w:after="120" w:afterLines="50"/>
        <w:ind w:left="967" w:leftChars="200" w:right="220" w:rightChars="100" w:hanging="527"/>
        <w:jc w:val="both"/>
        <w:rPr>
          <w:rFonts w:ascii="黑体" w:eastAsia="黑体" w:cs="黑体"/>
          <w:sz w:val="21"/>
          <w:szCs w:val="21"/>
        </w:rPr>
      </w:pPr>
      <w:r>
        <w:rPr>
          <w:rFonts w:hint="eastAsia" w:ascii="黑体" w:eastAsia="黑体" w:cs="黑体"/>
          <w:sz w:val="21"/>
          <w:szCs w:val="21"/>
        </w:rPr>
        <w:t>血清样品</w:t>
      </w:r>
    </w:p>
    <w:p w14:paraId="38FAEC18">
      <w:pPr>
        <w:pStyle w:val="12"/>
        <w:numPr>
          <w:ilvl w:val="2"/>
          <w:numId w:val="1"/>
        </w:numPr>
        <w:tabs>
          <w:tab w:val="left" w:pos="1233"/>
        </w:tabs>
        <w:kinsoku w:val="0"/>
        <w:overflowPunct w:val="0"/>
        <w:adjustRightInd/>
        <w:ind w:left="965" w:leftChars="200" w:right="220" w:rightChars="100"/>
        <w:jc w:val="both"/>
        <w:rPr>
          <w:rFonts w:ascii="黑体" w:eastAsia="黑体" w:cs="黑体"/>
          <w:sz w:val="21"/>
          <w:szCs w:val="21"/>
        </w:rPr>
      </w:pPr>
      <w:r>
        <w:rPr>
          <w:rFonts w:hint="eastAsia" w:ascii="黑体" w:eastAsia="黑体" w:cs="黑体"/>
          <w:sz w:val="21"/>
          <w:szCs w:val="21"/>
        </w:rPr>
        <w:t>采样要求与方法</w:t>
      </w:r>
    </w:p>
    <w:p w14:paraId="3BC35CB6">
      <w:pPr>
        <w:pStyle w:val="4"/>
        <w:kinsoku w:val="0"/>
        <w:overflowPunct w:val="0"/>
        <w:adjustRightInd/>
        <w:spacing w:before="5"/>
        <w:ind w:left="440" w:leftChars="200" w:right="220" w:rightChars="100" w:firstLine="420" w:firstLineChars="200"/>
        <w:jc w:val="both"/>
      </w:pPr>
      <w:r>
        <w:rPr>
          <w:rFonts w:hint="eastAsia"/>
        </w:rPr>
        <w:t>采样前对采样部位进行消毒。采集家禽血样时，使用</w:t>
      </w:r>
      <w:r>
        <w:t>2.5mL</w:t>
      </w:r>
      <w:r>
        <w:rPr>
          <w:rFonts w:hint="eastAsia"/>
        </w:rPr>
        <w:t>或</w:t>
      </w:r>
      <w:r>
        <w:t>5mL</w:t>
      </w:r>
      <w:r>
        <w:rPr>
          <w:rFonts w:hint="eastAsia"/>
        </w:rPr>
        <w:t>一次性兽用采血盛血器，心脏或翅静脉采血，每只禽采全血</w:t>
      </w:r>
      <w:r>
        <w:t>1.5</w:t>
      </w:r>
      <w:r>
        <w:rPr>
          <w:rFonts w:hint="eastAsia"/>
        </w:rPr>
        <w:t>～</w:t>
      </w:r>
      <w:r>
        <w:t>2.5mL</w:t>
      </w:r>
      <w:r>
        <w:rPr>
          <w:rFonts w:hint="eastAsia"/>
        </w:rPr>
        <w:t>；采集猪血样时，使用</w:t>
      </w:r>
      <w:r>
        <w:t>5mL</w:t>
      </w:r>
      <w:r>
        <w:rPr>
          <w:rFonts w:hint="eastAsia"/>
        </w:rPr>
        <w:t>或</w:t>
      </w:r>
      <w:r>
        <w:t>10mL</w:t>
      </w:r>
      <w:r>
        <w:rPr>
          <w:rFonts w:hint="eastAsia"/>
        </w:rPr>
        <w:t>一次性兽用采血盛血器，仔猪或中等大小的猪前腔静脉采血，成年猪可用耳静脉采血，每头采全血</w:t>
      </w:r>
      <w:r>
        <w:t>3</w:t>
      </w:r>
      <w:r>
        <w:rPr>
          <w:rFonts w:hint="eastAsia"/>
        </w:rPr>
        <w:t>～</w:t>
      </w:r>
      <w:r>
        <w:t>5mL</w:t>
      </w:r>
      <w:r>
        <w:rPr>
          <w:rFonts w:hint="eastAsia"/>
        </w:rPr>
        <w:t>；采集牛血样时，使用</w:t>
      </w:r>
      <w:r>
        <w:t>12</w:t>
      </w:r>
      <w:r>
        <w:rPr>
          <w:rFonts w:hint="eastAsia"/>
        </w:rPr>
        <w:t>号以上针头穿刺颈静脉，连接</w:t>
      </w:r>
      <w:r>
        <w:t>5mL</w:t>
      </w:r>
      <w:r>
        <w:rPr>
          <w:rFonts w:hint="eastAsia"/>
        </w:rPr>
        <w:t>一次性兽用采血盛血器，每头采全血</w:t>
      </w:r>
      <w:r>
        <w:t>3</w:t>
      </w:r>
      <w:r>
        <w:rPr>
          <w:rFonts w:hint="eastAsia"/>
        </w:rPr>
        <w:t>～</w:t>
      </w:r>
      <w:r>
        <w:t>5mL</w:t>
      </w:r>
      <w:r>
        <w:rPr>
          <w:rFonts w:hint="eastAsia"/>
        </w:rPr>
        <w:t>；采集羊血样时，使用</w:t>
      </w:r>
      <w:r>
        <w:t>5mL</w:t>
      </w:r>
      <w:r>
        <w:rPr>
          <w:rFonts w:hint="eastAsia"/>
        </w:rPr>
        <w:t>一次性兽用采血盛血器（</w:t>
      </w:r>
      <w:r>
        <w:t>8</w:t>
      </w:r>
      <w:r>
        <w:rPr>
          <w:rFonts w:hint="eastAsia"/>
        </w:rPr>
        <w:t>号以上针头），颈静脉采血，每头采全血</w:t>
      </w:r>
      <w:r>
        <w:t>3</w:t>
      </w:r>
      <w:r>
        <w:rPr>
          <w:rFonts w:hint="eastAsia"/>
        </w:rPr>
        <w:t>～</w:t>
      </w:r>
      <w:r>
        <w:t>5mL</w:t>
      </w:r>
      <w:r>
        <w:rPr>
          <w:rFonts w:hint="eastAsia"/>
        </w:rPr>
        <w:t>。抽血时，不宜将注射器抽满，抽血完毕后，将注射器内芯活塞抽至最大量程，以便析出血清。各类动物血样采集方法按照</w:t>
      </w:r>
      <w:r>
        <w:t>NY/T 541</w:t>
      </w:r>
      <w:r>
        <w:rPr>
          <w:rFonts w:hint="eastAsia"/>
        </w:rPr>
        <w:t>进行。</w:t>
      </w:r>
    </w:p>
    <w:p w14:paraId="6E2343AB">
      <w:pPr>
        <w:pStyle w:val="12"/>
        <w:numPr>
          <w:ilvl w:val="2"/>
          <w:numId w:val="1"/>
        </w:numPr>
        <w:tabs>
          <w:tab w:val="left" w:pos="1233"/>
        </w:tabs>
        <w:kinsoku w:val="0"/>
        <w:overflowPunct w:val="0"/>
        <w:adjustRightInd/>
        <w:ind w:left="965" w:leftChars="200" w:right="220" w:rightChars="100"/>
        <w:jc w:val="both"/>
        <w:rPr>
          <w:rFonts w:ascii="黑体" w:eastAsia="黑体" w:cs="黑体"/>
          <w:sz w:val="21"/>
          <w:szCs w:val="21"/>
        </w:rPr>
      </w:pPr>
      <w:r>
        <w:rPr>
          <w:rFonts w:hint="eastAsia" w:ascii="黑体" w:eastAsia="黑体" w:cs="黑体"/>
          <w:sz w:val="21"/>
          <w:szCs w:val="21"/>
        </w:rPr>
        <w:t>离心方法</w:t>
      </w:r>
    </w:p>
    <w:p w14:paraId="3A03A53F">
      <w:pPr>
        <w:pStyle w:val="4"/>
        <w:kinsoku w:val="0"/>
        <w:overflowPunct w:val="0"/>
        <w:adjustRightInd/>
        <w:spacing w:before="5"/>
        <w:ind w:left="440" w:leftChars="200" w:right="220" w:rightChars="100" w:firstLine="420" w:firstLineChars="200"/>
        <w:jc w:val="both"/>
      </w:pPr>
      <w:r>
        <w:rPr>
          <w:rFonts w:hint="eastAsia"/>
        </w:rPr>
        <w:t>全血样品采集完毕后，不可立即放入冰盒中，最好在室温下（</w:t>
      </w:r>
      <w:r>
        <w:t>20</w:t>
      </w:r>
      <w:r>
        <w:rPr>
          <w:rFonts w:hint="eastAsia"/>
        </w:rPr>
        <w:t>℃）放置</w:t>
      </w:r>
      <w:r>
        <w:t>2</w:t>
      </w:r>
      <w:r>
        <w:rPr>
          <w:rFonts w:hint="eastAsia"/>
        </w:rPr>
        <w:t>～</w:t>
      </w:r>
      <w:r>
        <w:t>4</w:t>
      </w:r>
      <w:r>
        <w:rPr>
          <w:rFonts w:hint="eastAsia"/>
        </w:rPr>
        <w:t>小时（防止暴晒），环境温度较低时可在恒温培养箱</w:t>
      </w:r>
      <w:r>
        <w:t>20</w:t>
      </w:r>
      <w:r>
        <w:rPr>
          <w:rFonts w:hint="eastAsia"/>
        </w:rPr>
        <w:t>～</w:t>
      </w:r>
      <w:r>
        <w:t>37</w:t>
      </w:r>
      <w:r>
        <w:rPr>
          <w:rFonts w:hint="eastAsia"/>
        </w:rPr>
        <w:t>℃环境下放置</w:t>
      </w:r>
      <w:r>
        <w:t>1</w:t>
      </w:r>
      <w:r>
        <w:rPr>
          <w:rFonts w:hint="eastAsia"/>
        </w:rPr>
        <w:t>小时，待全血凝固并析出血清后，注入</w:t>
      </w:r>
      <w:r>
        <w:t>1.5mL</w:t>
      </w:r>
      <w:r>
        <w:rPr>
          <w:rFonts w:hint="eastAsia"/>
        </w:rPr>
        <w:t>或</w:t>
      </w:r>
      <w:r>
        <w:t>5mL</w:t>
      </w:r>
      <w:r>
        <w:rPr>
          <w:rFonts w:hint="eastAsia"/>
        </w:rPr>
        <w:t>离心管，必要时可</w:t>
      </w:r>
      <w:r>
        <w:t>8000</w:t>
      </w:r>
      <w:r>
        <w:rPr>
          <w:rFonts w:hint="eastAsia"/>
        </w:rPr>
        <w:t>转离心</w:t>
      </w:r>
      <w:r>
        <w:t>4min</w:t>
      </w:r>
      <w:r>
        <w:rPr>
          <w:rFonts w:hint="eastAsia"/>
        </w:rPr>
        <w:t>或低速离心</w:t>
      </w:r>
      <w:r>
        <w:t>10</w:t>
      </w:r>
      <w:r>
        <w:rPr>
          <w:rFonts w:hint="eastAsia"/>
        </w:rPr>
        <w:t>～</w:t>
      </w:r>
      <w:r>
        <w:t>15min</w:t>
      </w:r>
      <w:r>
        <w:rPr>
          <w:rFonts w:hint="eastAsia"/>
        </w:rPr>
        <w:t>，取上清液置于另一离心管内。</w:t>
      </w:r>
    </w:p>
    <w:p w14:paraId="38C707E4">
      <w:pPr>
        <w:pStyle w:val="12"/>
        <w:numPr>
          <w:ilvl w:val="2"/>
          <w:numId w:val="1"/>
        </w:numPr>
        <w:tabs>
          <w:tab w:val="left" w:pos="1233"/>
        </w:tabs>
        <w:kinsoku w:val="0"/>
        <w:overflowPunct w:val="0"/>
        <w:adjustRightInd/>
        <w:ind w:left="965" w:leftChars="200" w:right="220" w:rightChars="100"/>
        <w:jc w:val="both"/>
        <w:rPr>
          <w:rFonts w:ascii="黑体" w:eastAsia="黑体" w:cs="黑体"/>
          <w:sz w:val="21"/>
          <w:szCs w:val="21"/>
        </w:rPr>
      </w:pPr>
      <w:r>
        <w:rPr>
          <w:rFonts w:hint="eastAsia" w:ascii="黑体" w:eastAsia="黑体" w:cs="黑体"/>
          <w:sz w:val="21"/>
          <w:szCs w:val="21"/>
        </w:rPr>
        <w:t>样品编号</w:t>
      </w:r>
    </w:p>
    <w:p w14:paraId="6F86FC12">
      <w:pPr>
        <w:pStyle w:val="4"/>
        <w:kinsoku w:val="0"/>
        <w:overflowPunct w:val="0"/>
        <w:adjustRightInd/>
        <w:spacing w:before="1"/>
        <w:ind w:left="440" w:leftChars="200" w:right="220" w:rightChars="100" w:firstLine="420" w:firstLineChars="200"/>
        <w:jc w:val="both"/>
      </w:pPr>
      <w:r>
        <w:rPr>
          <w:rFonts w:hint="eastAsia"/>
        </w:rPr>
        <w:t>在离心管管盖或管壁上用防水记号笔做好标记（与采样器编号一致），以</w:t>
      </w:r>
      <w:r>
        <w:t>“A01,A02,A03……</w:t>
      </w:r>
      <w:r>
        <w:rPr>
          <w:rFonts w:hint="eastAsia"/>
        </w:rPr>
        <w:t>、</w:t>
      </w:r>
      <w:r>
        <w:t>B01,B02,B03……</w:t>
      </w:r>
      <w:r>
        <w:rPr>
          <w:rFonts w:hint="eastAsia"/>
        </w:rPr>
        <w:t>、</w:t>
      </w:r>
      <w:r>
        <w:t>C01,C02,C03……</w:t>
      </w:r>
      <w:r>
        <w:rPr>
          <w:rFonts w:hint="eastAsia"/>
        </w:rPr>
        <w:t>、</w:t>
      </w:r>
      <w:r>
        <w:t>D01,D02,D03……</w:t>
      </w:r>
      <w:r>
        <w:rPr>
          <w:rFonts w:hint="eastAsia"/>
        </w:rPr>
        <w:t>、</w:t>
      </w:r>
      <w:r>
        <w:t>E01,E02, E03……</w:t>
      </w:r>
      <w:r>
        <w:rPr>
          <w:rFonts w:hint="eastAsia"/>
        </w:rPr>
        <w:t>、</w:t>
      </w:r>
      <w:r>
        <w:t>F01,F02,F03……”</w:t>
      </w:r>
      <w:r>
        <w:rPr>
          <w:rFonts w:hint="eastAsia"/>
        </w:rPr>
        <w:t>（字母与数字间不要加任何符号）模式编写。不同种类动物，英文字母不同（猪</w:t>
      </w:r>
      <w:r>
        <w:t>A</w:t>
      </w:r>
      <w:r>
        <w:rPr>
          <w:rFonts w:hint="eastAsia"/>
        </w:rPr>
        <w:t>，羊</w:t>
      </w:r>
      <w:r>
        <w:t>B</w:t>
      </w:r>
      <w:r>
        <w:rPr>
          <w:rFonts w:hint="eastAsia"/>
        </w:rPr>
        <w:t>，牛</w:t>
      </w:r>
      <w:r>
        <w:t>C</w:t>
      </w:r>
      <w:r>
        <w:rPr>
          <w:rFonts w:hint="eastAsia"/>
        </w:rPr>
        <w:t>，鸡</w:t>
      </w:r>
      <w:r>
        <w:t>D</w:t>
      </w:r>
      <w:r>
        <w:rPr>
          <w:rFonts w:hint="eastAsia"/>
        </w:rPr>
        <w:t>，鸭</w:t>
      </w:r>
      <w:r>
        <w:t>E</w:t>
      </w:r>
      <w:r>
        <w:rPr>
          <w:rFonts w:hint="eastAsia"/>
        </w:rPr>
        <w:t>，鹅</w:t>
      </w:r>
      <w:r>
        <w:t>F</w:t>
      </w:r>
      <w:r>
        <w:rPr>
          <w:rFonts w:hint="eastAsia"/>
        </w:rPr>
        <w:t>，犬</w:t>
      </w:r>
      <w:r>
        <w:t>G</w:t>
      </w:r>
      <w:r>
        <w:rPr>
          <w:rFonts w:hint="eastAsia"/>
        </w:rPr>
        <w:t>，马</w:t>
      </w:r>
      <w:r>
        <w:t>H</w:t>
      </w:r>
      <w:r>
        <w:rPr>
          <w:rFonts w:hint="eastAsia"/>
        </w:rPr>
        <w:t>，驴</w:t>
      </w:r>
      <w:r>
        <w:t>I</w:t>
      </w:r>
      <w:r>
        <w:rPr>
          <w:rFonts w:hint="eastAsia"/>
        </w:rPr>
        <w:t>，其他</w:t>
      </w:r>
      <w:r>
        <w:t>J</w:t>
      </w:r>
      <w:r>
        <w:rPr>
          <w:rFonts w:hint="eastAsia"/>
        </w:rPr>
        <w:t>），同一种动物英文字母相同，数字不同。编号不可出现重复。</w:t>
      </w:r>
    </w:p>
    <w:p w14:paraId="2FC889A7">
      <w:pPr>
        <w:pStyle w:val="12"/>
        <w:numPr>
          <w:ilvl w:val="2"/>
          <w:numId w:val="1"/>
        </w:numPr>
        <w:tabs>
          <w:tab w:val="left" w:pos="1233"/>
        </w:tabs>
        <w:kinsoku w:val="0"/>
        <w:overflowPunct w:val="0"/>
        <w:adjustRightInd/>
        <w:ind w:left="965" w:leftChars="200" w:right="220" w:rightChars="100"/>
        <w:jc w:val="both"/>
        <w:rPr>
          <w:rFonts w:ascii="黑体" w:eastAsia="黑体" w:cs="黑体"/>
          <w:sz w:val="21"/>
          <w:szCs w:val="21"/>
        </w:rPr>
      </w:pPr>
      <w:r>
        <w:rPr>
          <w:rFonts w:hint="eastAsia" w:ascii="黑体" w:eastAsia="黑体" w:cs="黑体"/>
          <w:sz w:val="21"/>
          <w:szCs w:val="21"/>
        </w:rPr>
        <w:t>血清要求</w:t>
      </w:r>
    </w:p>
    <w:p w14:paraId="19E410A4">
      <w:pPr>
        <w:pStyle w:val="4"/>
        <w:kinsoku w:val="0"/>
        <w:overflowPunct w:val="0"/>
        <w:adjustRightInd/>
        <w:ind w:left="440" w:leftChars="200" w:right="220" w:rightChars="100" w:firstLine="416" w:firstLineChars="200"/>
        <w:jc w:val="both"/>
        <w:rPr>
          <w:spacing w:val="-1"/>
        </w:rPr>
      </w:pPr>
      <w:r>
        <w:rPr>
          <w:rFonts w:hint="eastAsia"/>
          <w:spacing w:val="-1"/>
        </w:rPr>
        <w:t>要求无溶血、无腐败，每份血清不少于</w:t>
      </w:r>
      <w:r>
        <w:rPr>
          <w:spacing w:val="-1"/>
        </w:rPr>
        <w:t>0.8mL</w:t>
      </w:r>
      <w:r>
        <w:rPr>
          <w:rFonts w:hint="eastAsia"/>
          <w:spacing w:val="-1"/>
        </w:rPr>
        <w:t>，不同禽（或畜）只的血样不能混合。</w:t>
      </w:r>
    </w:p>
    <w:p w14:paraId="7B4CF34E">
      <w:pPr>
        <w:pStyle w:val="12"/>
        <w:numPr>
          <w:ilvl w:val="1"/>
          <w:numId w:val="1"/>
        </w:numPr>
        <w:tabs>
          <w:tab w:val="left" w:pos="1023"/>
        </w:tabs>
        <w:kinsoku w:val="0"/>
        <w:overflowPunct w:val="0"/>
        <w:adjustRightInd/>
        <w:spacing w:before="120" w:beforeLines="50" w:after="120" w:afterLines="50"/>
        <w:ind w:left="967" w:leftChars="200" w:right="220" w:rightChars="100" w:hanging="527"/>
        <w:jc w:val="both"/>
        <w:rPr>
          <w:rFonts w:ascii="黑体" w:eastAsia="黑体" w:cs="黑体"/>
          <w:sz w:val="21"/>
          <w:szCs w:val="21"/>
        </w:rPr>
      </w:pPr>
      <w:r>
        <w:rPr>
          <w:rFonts w:hint="eastAsia" w:ascii="黑体" w:eastAsia="黑体" w:cs="黑体"/>
          <w:sz w:val="21"/>
          <w:szCs w:val="21"/>
        </w:rPr>
        <w:t>全血样品</w:t>
      </w:r>
    </w:p>
    <w:p w14:paraId="3B6B204A">
      <w:pPr>
        <w:pStyle w:val="4"/>
        <w:kinsoku w:val="0"/>
        <w:overflowPunct w:val="0"/>
        <w:adjustRightInd/>
        <w:spacing w:before="120" w:beforeLines="50" w:after="120" w:afterLines="50"/>
        <w:ind w:left="440" w:leftChars="200" w:right="220" w:rightChars="100" w:firstLine="420" w:firstLineChars="200"/>
        <w:jc w:val="both"/>
      </w:pPr>
      <w:r>
        <w:rPr>
          <w:rFonts w:hint="eastAsia"/>
        </w:rPr>
        <w:t>按照</w:t>
      </w:r>
      <w:r>
        <w:t>NY/T 541</w:t>
      </w:r>
      <w:r>
        <w:rPr>
          <w:rFonts w:hint="eastAsia"/>
        </w:rPr>
        <w:t>进行处理。</w:t>
      </w:r>
    </w:p>
    <w:p w14:paraId="7FD0D8E9">
      <w:pPr>
        <w:pStyle w:val="12"/>
        <w:numPr>
          <w:ilvl w:val="1"/>
          <w:numId w:val="1"/>
        </w:numPr>
        <w:tabs>
          <w:tab w:val="left" w:pos="1023"/>
        </w:tabs>
        <w:kinsoku w:val="0"/>
        <w:overflowPunct w:val="0"/>
        <w:adjustRightInd/>
        <w:spacing w:before="120" w:beforeLines="50" w:after="120" w:afterLines="50"/>
        <w:ind w:left="967" w:leftChars="200" w:right="220" w:rightChars="100" w:hanging="527"/>
        <w:jc w:val="both"/>
        <w:rPr>
          <w:rFonts w:ascii="黑体" w:eastAsia="黑体" w:cs="黑体"/>
          <w:sz w:val="21"/>
          <w:szCs w:val="21"/>
        </w:rPr>
      </w:pPr>
      <w:r>
        <w:rPr>
          <w:rFonts w:hint="eastAsia" w:ascii="黑体" w:eastAsia="黑体" w:cs="黑体"/>
          <w:sz w:val="21"/>
          <w:szCs w:val="21"/>
        </w:rPr>
        <w:t>拭子与粪便样品</w:t>
      </w:r>
    </w:p>
    <w:p w14:paraId="61877E87">
      <w:pPr>
        <w:pStyle w:val="12"/>
        <w:numPr>
          <w:ilvl w:val="2"/>
          <w:numId w:val="1"/>
        </w:numPr>
        <w:tabs>
          <w:tab w:val="left" w:pos="1233"/>
        </w:tabs>
        <w:kinsoku w:val="0"/>
        <w:overflowPunct w:val="0"/>
        <w:adjustRightInd/>
        <w:ind w:left="965" w:leftChars="200" w:right="220" w:rightChars="100"/>
        <w:jc w:val="both"/>
        <w:rPr>
          <w:rFonts w:ascii="黑体" w:eastAsia="黑体" w:cs="黑体"/>
          <w:sz w:val="21"/>
          <w:szCs w:val="21"/>
        </w:rPr>
      </w:pPr>
      <w:r>
        <w:rPr>
          <w:rFonts w:hint="eastAsia" w:ascii="黑体" w:eastAsia="黑体" w:cs="黑体"/>
          <w:sz w:val="21"/>
          <w:szCs w:val="21"/>
        </w:rPr>
        <w:t>采集方法</w:t>
      </w:r>
    </w:p>
    <w:p w14:paraId="0436EA14">
      <w:pPr>
        <w:pStyle w:val="12"/>
        <w:numPr>
          <w:ilvl w:val="3"/>
          <w:numId w:val="1"/>
        </w:numPr>
        <w:tabs>
          <w:tab w:val="left" w:pos="1443"/>
        </w:tabs>
        <w:kinsoku w:val="0"/>
        <w:overflowPunct w:val="0"/>
        <w:adjustRightInd/>
        <w:ind w:left="1387" w:leftChars="200" w:right="220" w:rightChars="100" w:hanging="947"/>
        <w:jc w:val="both"/>
        <w:rPr>
          <w:rFonts w:ascii="黑体" w:eastAsia="黑体" w:cs="黑体"/>
          <w:sz w:val="21"/>
          <w:szCs w:val="21"/>
        </w:rPr>
      </w:pPr>
      <w:r>
        <w:rPr>
          <w:rFonts w:hint="eastAsia" w:ascii="黑体" w:eastAsia="黑体" w:cs="黑体"/>
          <w:sz w:val="21"/>
          <w:szCs w:val="21"/>
        </w:rPr>
        <w:t>禽类双拭子</w:t>
      </w:r>
    </w:p>
    <w:p w14:paraId="790B8BB3">
      <w:pPr>
        <w:pStyle w:val="4"/>
        <w:kinsoku w:val="0"/>
        <w:overflowPunct w:val="0"/>
        <w:adjustRightInd/>
        <w:spacing w:before="5"/>
        <w:ind w:left="440" w:leftChars="200" w:right="220" w:rightChars="100" w:firstLine="412" w:firstLineChars="200"/>
        <w:jc w:val="both"/>
        <w:rPr>
          <w:spacing w:val="-1"/>
        </w:rPr>
      </w:pPr>
      <w:r>
        <w:rPr>
          <w:rFonts w:hint="eastAsia"/>
          <w:spacing w:val="-2"/>
        </w:rPr>
        <w:t>将双头棉拭子</w:t>
      </w:r>
      <w:r>
        <w:rPr>
          <w:rFonts w:hint="eastAsia"/>
        </w:rPr>
        <w:t>（最好为木质</w:t>
      </w:r>
      <w:r>
        <w:rPr>
          <w:rFonts w:hint="eastAsia"/>
          <w:spacing w:val="-11"/>
        </w:rPr>
        <w:t>）</w:t>
      </w:r>
      <w:r>
        <w:rPr>
          <w:rFonts w:hint="eastAsia"/>
          <w:spacing w:val="-1"/>
        </w:rPr>
        <w:t>一端插入泄殖腔约</w:t>
      </w:r>
      <w:r>
        <w:t>1.5</w:t>
      </w:r>
      <w:r>
        <w:rPr>
          <w:rFonts w:hint="eastAsia"/>
        </w:rPr>
        <w:t>～</w:t>
      </w:r>
      <w:r>
        <w:t>2</w:t>
      </w:r>
      <w:r>
        <w:rPr>
          <w:spacing w:val="-4"/>
        </w:rPr>
        <w:t>cm</w:t>
      </w:r>
      <w:r>
        <w:rPr>
          <w:rFonts w:hint="eastAsia"/>
          <w:spacing w:val="-2"/>
        </w:rPr>
        <w:t>，旋转</w:t>
      </w:r>
      <w:r>
        <w:t>2</w:t>
      </w:r>
      <w:r>
        <w:rPr>
          <w:rFonts w:hint="eastAsia"/>
        </w:rPr>
        <w:t>～</w:t>
      </w:r>
      <w:r>
        <w:t>3</w:t>
      </w:r>
      <w:r>
        <w:rPr>
          <w:rFonts w:hint="eastAsia"/>
          <w:spacing w:val="-4"/>
        </w:rPr>
        <w:t>圈后沾上粪便，将另一端</w:t>
      </w:r>
      <w:r>
        <w:rPr>
          <w:rFonts w:hint="eastAsia"/>
          <w:spacing w:val="-1"/>
        </w:rPr>
        <w:t>插入</w:t>
      </w:r>
      <w:r>
        <w:rPr>
          <w:rFonts w:hint="eastAsia"/>
        </w:rPr>
        <w:t>喉头口及上颚裂处来回刮</w:t>
      </w:r>
      <w:r>
        <w:t>3</w:t>
      </w:r>
      <w:r>
        <w:rPr>
          <w:rFonts w:hint="eastAsia"/>
        </w:rPr>
        <w:t>～</w:t>
      </w:r>
      <w:r>
        <w:t>5</w:t>
      </w:r>
      <w:r>
        <w:rPr>
          <w:rFonts w:hint="eastAsia"/>
        </w:rPr>
        <w:t>次取咽喉分泌液，将样品端插入离心管剪下或折断，一并放入同一个</w:t>
      </w:r>
      <w:r>
        <w:rPr>
          <w:rFonts w:hint="eastAsia"/>
          <w:spacing w:val="-1"/>
        </w:rPr>
        <w:t>含有抗生素</w:t>
      </w:r>
      <w:r>
        <w:t>PBS</w:t>
      </w:r>
      <w:r>
        <w:rPr>
          <w:rFonts w:hint="eastAsia"/>
          <w:spacing w:val="-1"/>
        </w:rPr>
        <w:t>的</w:t>
      </w:r>
      <w:r>
        <w:rPr>
          <w:rFonts w:hint="eastAsia"/>
        </w:rPr>
        <w:t>（加</w:t>
      </w:r>
      <w:r>
        <w:t>0.8</w:t>
      </w:r>
      <w:r>
        <w:rPr>
          <w:rFonts w:hint="eastAsia"/>
        </w:rPr>
        <w:t>～</w:t>
      </w:r>
      <w:r>
        <w:t>1.0mLPBS</w:t>
      </w:r>
      <w:r>
        <w:rPr>
          <w:rFonts w:hint="eastAsia"/>
        </w:rPr>
        <w:t>）</w:t>
      </w:r>
      <w:r>
        <w:t>1.5mL</w:t>
      </w:r>
      <w:r>
        <w:rPr>
          <w:rFonts w:hint="eastAsia"/>
        </w:rPr>
        <w:t>塑料离心管中，盖上管盖，用防水记号笔做好标记。</w:t>
      </w:r>
    </w:p>
    <w:p w14:paraId="40D0154F">
      <w:pPr>
        <w:pStyle w:val="12"/>
        <w:numPr>
          <w:ilvl w:val="3"/>
          <w:numId w:val="1"/>
        </w:numPr>
        <w:tabs>
          <w:tab w:val="left" w:pos="1443"/>
        </w:tabs>
        <w:kinsoku w:val="0"/>
        <w:overflowPunct w:val="0"/>
        <w:adjustRightInd/>
        <w:ind w:left="1387" w:leftChars="200" w:right="220" w:rightChars="100" w:hanging="947"/>
        <w:jc w:val="both"/>
        <w:rPr>
          <w:rFonts w:ascii="黑体" w:eastAsia="黑体" w:cs="黑体"/>
          <w:sz w:val="21"/>
          <w:szCs w:val="21"/>
        </w:rPr>
      </w:pPr>
      <w:r>
        <w:rPr>
          <w:rFonts w:hint="eastAsia" w:ascii="黑体" w:eastAsia="黑体" w:cs="黑体"/>
          <w:sz w:val="21"/>
          <w:szCs w:val="21"/>
        </w:rPr>
        <w:t>鼻拭子</w:t>
      </w:r>
    </w:p>
    <w:p w14:paraId="1378E2BE">
      <w:pPr>
        <w:pStyle w:val="4"/>
        <w:kinsoku w:val="0"/>
        <w:overflowPunct w:val="0"/>
        <w:adjustRightInd/>
        <w:spacing w:before="1"/>
        <w:ind w:left="440" w:leftChars="200" w:right="220" w:rightChars="100" w:firstLine="420" w:firstLineChars="200"/>
        <w:jc w:val="both"/>
      </w:pPr>
      <w:r>
        <w:rPr>
          <w:rFonts w:hint="eastAsia"/>
        </w:rPr>
        <w:t>将棉拭子一端插入动物鼻腔约</w:t>
      </w:r>
      <w:r>
        <w:t>2</w:t>
      </w:r>
      <w:r>
        <w:rPr>
          <w:rFonts w:hint="eastAsia"/>
        </w:rPr>
        <w:t>～</w:t>
      </w:r>
      <w:r>
        <w:t>3cm</w:t>
      </w:r>
      <w:r>
        <w:rPr>
          <w:rFonts w:hint="eastAsia"/>
        </w:rPr>
        <w:t>，旋转后沾上分泌液，将样品端置于含有抗生素</w:t>
      </w:r>
      <w:r>
        <w:t>PBS</w:t>
      </w:r>
      <w:r>
        <w:rPr>
          <w:rFonts w:hint="eastAsia"/>
        </w:rPr>
        <w:t>的（加</w:t>
      </w:r>
      <w:r>
        <w:t>0.8</w:t>
      </w:r>
      <w:r>
        <w:rPr>
          <w:rFonts w:hint="eastAsia"/>
        </w:rPr>
        <w:t>～</w:t>
      </w:r>
      <w:r>
        <w:t>1.0mLPBS</w:t>
      </w:r>
      <w:r>
        <w:rPr>
          <w:rFonts w:hint="eastAsia"/>
        </w:rPr>
        <w:t>）</w:t>
      </w:r>
      <w:r>
        <w:t>1.5mL</w:t>
      </w:r>
      <w:r>
        <w:rPr>
          <w:rFonts w:hint="eastAsia"/>
        </w:rPr>
        <w:t>塑料离心管中，剪下或折断，盖上管盖，用防水记号笔</w:t>
      </w:r>
      <w:r>
        <w:rPr>
          <w:rFonts w:hint="eastAsia"/>
          <w:lang w:eastAsia="zh-CN"/>
        </w:rPr>
        <w:t>做好</w:t>
      </w:r>
      <w:r>
        <w:rPr>
          <w:rFonts w:hint="eastAsia"/>
        </w:rPr>
        <w:t>标记。</w:t>
      </w:r>
    </w:p>
    <w:p w14:paraId="07B0E299">
      <w:pPr>
        <w:pStyle w:val="12"/>
        <w:numPr>
          <w:ilvl w:val="3"/>
          <w:numId w:val="1"/>
        </w:numPr>
        <w:tabs>
          <w:tab w:val="left" w:pos="1443"/>
        </w:tabs>
        <w:kinsoku w:val="0"/>
        <w:overflowPunct w:val="0"/>
        <w:adjustRightInd/>
        <w:ind w:left="1387" w:leftChars="200" w:right="220" w:rightChars="100" w:hanging="947"/>
        <w:jc w:val="both"/>
        <w:rPr>
          <w:rFonts w:ascii="黑体" w:eastAsia="黑体" w:cs="黑体"/>
          <w:sz w:val="21"/>
          <w:szCs w:val="21"/>
        </w:rPr>
      </w:pPr>
      <w:r>
        <w:rPr>
          <w:rFonts w:hint="eastAsia" w:ascii="黑体" w:eastAsia="黑体" w:cs="黑体"/>
          <w:sz w:val="21"/>
          <w:szCs w:val="21"/>
        </w:rPr>
        <w:t>眼部组织和分泌物拭子</w:t>
      </w:r>
    </w:p>
    <w:p w14:paraId="7806D931">
      <w:pPr>
        <w:pStyle w:val="4"/>
        <w:kinsoku w:val="0"/>
        <w:overflowPunct w:val="0"/>
        <w:adjustRightInd/>
        <w:spacing w:before="120" w:beforeLines="50" w:after="120" w:afterLines="50"/>
        <w:ind w:left="440" w:leftChars="200" w:right="220" w:rightChars="100" w:firstLine="420" w:firstLineChars="200"/>
        <w:jc w:val="both"/>
        <w:rPr>
          <w:rFonts w:ascii="黑体" w:eastAsia="黑体" w:cs="黑体"/>
        </w:rPr>
      </w:pPr>
      <w:r>
        <w:rPr>
          <w:rFonts w:hint="eastAsia"/>
        </w:rPr>
        <w:t>按照</w:t>
      </w:r>
      <w:r>
        <w:t>NY/T 541</w:t>
      </w:r>
      <w:r>
        <w:rPr>
          <w:rFonts w:hint="eastAsia"/>
        </w:rPr>
        <w:t>进行。</w:t>
      </w:r>
    </w:p>
    <w:p w14:paraId="160BB4EC">
      <w:pPr>
        <w:pStyle w:val="12"/>
        <w:numPr>
          <w:ilvl w:val="3"/>
          <w:numId w:val="1"/>
        </w:numPr>
        <w:tabs>
          <w:tab w:val="left" w:pos="1443"/>
        </w:tabs>
        <w:kinsoku w:val="0"/>
        <w:overflowPunct w:val="0"/>
        <w:adjustRightInd/>
        <w:ind w:left="1387" w:leftChars="200" w:right="220" w:rightChars="100" w:hanging="947"/>
        <w:jc w:val="both"/>
        <w:rPr>
          <w:rFonts w:ascii="黑体" w:eastAsia="黑体" w:cs="黑体"/>
          <w:sz w:val="21"/>
          <w:szCs w:val="21"/>
        </w:rPr>
      </w:pPr>
      <w:r>
        <w:rPr>
          <w:rFonts w:hint="eastAsia" w:ascii="黑体" w:eastAsia="黑体" w:cs="黑体"/>
          <w:sz w:val="21"/>
          <w:szCs w:val="21"/>
        </w:rPr>
        <w:t>粪便样品和肛拭子</w:t>
      </w:r>
    </w:p>
    <w:p w14:paraId="69B473AF">
      <w:pPr>
        <w:pStyle w:val="4"/>
        <w:kinsoku w:val="0"/>
        <w:overflowPunct w:val="0"/>
        <w:adjustRightInd/>
        <w:spacing w:before="1"/>
        <w:ind w:left="440" w:leftChars="200" w:right="220" w:rightChars="100" w:firstLine="420" w:firstLineChars="200"/>
        <w:jc w:val="both"/>
      </w:pPr>
      <w:r>
        <w:rPr>
          <w:rFonts w:hint="eastAsia"/>
        </w:rPr>
        <w:t>按照</w:t>
      </w:r>
      <w:r>
        <w:t>NY/T 541</w:t>
      </w:r>
      <w:r>
        <w:rPr>
          <w:rFonts w:hint="eastAsia"/>
        </w:rPr>
        <w:t>进行。保存粪便和泄殖腔拭子的</w:t>
      </w:r>
      <w:r>
        <w:t>PBS</w:t>
      </w:r>
      <w:r>
        <w:rPr>
          <w:rFonts w:hint="eastAsia"/>
        </w:rPr>
        <w:t>中抗生素浓度提高</w:t>
      </w:r>
      <w:r>
        <w:t>5</w:t>
      </w:r>
      <w:r>
        <w:rPr>
          <w:rFonts w:hint="eastAsia"/>
        </w:rPr>
        <w:t>倍（配制方法见附录</w:t>
      </w:r>
      <w:r>
        <w:t>A</w:t>
      </w:r>
      <w:r>
        <w:rPr>
          <w:rFonts w:hint="eastAsia"/>
        </w:rPr>
        <w:t>）。野禽或珍禽采集</w:t>
      </w:r>
      <w:r>
        <w:t>10</w:t>
      </w:r>
      <w:r>
        <w:rPr>
          <w:rFonts w:hint="eastAsia"/>
        </w:rPr>
        <w:t>个新鲜粪便样品</w:t>
      </w:r>
      <w:r>
        <w:t>(</w:t>
      </w:r>
      <w:r>
        <w:rPr>
          <w:rFonts w:hint="eastAsia"/>
        </w:rPr>
        <w:t>每个样品</w:t>
      </w:r>
      <w:r>
        <w:t>1</w:t>
      </w:r>
      <w:r>
        <w:rPr>
          <w:rFonts w:hint="eastAsia"/>
        </w:rPr>
        <w:t>～</w:t>
      </w:r>
      <w:r>
        <w:t>2g)</w:t>
      </w:r>
      <w:r>
        <w:rPr>
          <w:rFonts w:hint="eastAsia"/>
        </w:rPr>
        <w:t>，置于内含有抗生素</w:t>
      </w:r>
      <w:r>
        <w:t xml:space="preserve"> PBS</w:t>
      </w:r>
      <w:r>
        <w:rPr>
          <w:rFonts w:hint="eastAsia"/>
        </w:rPr>
        <w:t>（加</w:t>
      </w:r>
      <w:r>
        <w:t>0.8</w:t>
      </w:r>
      <w:r>
        <w:rPr>
          <w:rFonts w:hint="eastAsia"/>
        </w:rPr>
        <w:t>～</w:t>
      </w:r>
      <w:r>
        <w:t>1.0mLPBS</w:t>
      </w:r>
      <w:r>
        <w:rPr>
          <w:rFonts w:hint="eastAsia"/>
        </w:rPr>
        <w:t>）的</w:t>
      </w:r>
      <w:r>
        <w:t>1.5mL</w:t>
      </w:r>
      <w:r>
        <w:rPr>
          <w:rFonts w:hint="eastAsia"/>
        </w:rPr>
        <w:t>塑料离心管中。</w:t>
      </w:r>
    </w:p>
    <w:p w14:paraId="2C0D3581">
      <w:pPr>
        <w:pStyle w:val="12"/>
        <w:numPr>
          <w:ilvl w:val="3"/>
          <w:numId w:val="1"/>
        </w:numPr>
        <w:tabs>
          <w:tab w:val="left" w:pos="1443"/>
        </w:tabs>
        <w:kinsoku w:val="0"/>
        <w:overflowPunct w:val="0"/>
        <w:adjustRightInd/>
        <w:ind w:left="1387" w:leftChars="200" w:right="220" w:rightChars="100" w:hanging="947"/>
        <w:jc w:val="both"/>
        <w:rPr>
          <w:rFonts w:ascii="黑体" w:eastAsia="黑体" w:cs="黑体"/>
          <w:sz w:val="21"/>
          <w:szCs w:val="21"/>
        </w:rPr>
      </w:pPr>
      <w:r>
        <w:rPr>
          <w:rFonts w:hint="eastAsia" w:ascii="黑体" w:eastAsia="黑体" w:cs="黑体"/>
          <w:sz w:val="21"/>
          <w:szCs w:val="21"/>
        </w:rPr>
        <w:t>环境拭子</w:t>
      </w:r>
    </w:p>
    <w:p w14:paraId="61C805FD">
      <w:pPr>
        <w:pStyle w:val="4"/>
        <w:kinsoku w:val="0"/>
        <w:overflowPunct w:val="0"/>
        <w:adjustRightInd/>
        <w:spacing w:before="1"/>
        <w:ind w:left="440" w:leftChars="200" w:right="220" w:rightChars="100" w:firstLine="420" w:firstLineChars="200"/>
        <w:jc w:val="both"/>
      </w:pPr>
      <w:r>
        <w:rPr>
          <w:rFonts w:hint="eastAsia"/>
        </w:rPr>
        <w:t>环境样品通常采集食槽、垫料、排泄物、运输工具（脚踏板、轮胎夹缝等）、肉案、笼具、废弃物堆积点、下水漏缝板、通风口等处。可用棉花或棉纱拭子采取。用生理盐水浸湿无菌棉拭子后，在环境（物品）表面按“</w:t>
      </w:r>
      <w:r>
        <w:t>Z</w:t>
      </w:r>
      <w:r>
        <w:rPr>
          <w:rFonts w:hint="eastAsia"/>
        </w:rPr>
        <w:t>”字形轨迹画线，边画边旋转棉拭子接触面，连续数次，画线区域尽可能覆盖环境（物品）界面，采集完成后将棉头放入洁净的</w:t>
      </w:r>
      <w:r>
        <w:t>1.5mL</w:t>
      </w:r>
      <w:r>
        <w:rPr>
          <w:rFonts w:hint="eastAsia"/>
        </w:rPr>
        <w:t>离心管中，加入保存液，折断棉签杆，盖紧盖子，做好标记。</w:t>
      </w:r>
    </w:p>
    <w:p w14:paraId="0A60829E">
      <w:pPr>
        <w:pStyle w:val="12"/>
        <w:numPr>
          <w:ilvl w:val="2"/>
          <w:numId w:val="1"/>
        </w:numPr>
        <w:tabs>
          <w:tab w:val="left" w:pos="1233"/>
        </w:tabs>
        <w:kinsoku w:val="0"/>
        <w:overflowPunct w:val="0"/>
        <w:adjustRightInd/>
        <w:ind w:left="965" w:leftChars="200" w:right="220" w:rightChars="100"/>
        <w:jc w:val="both"/>
        <w:rPr>
          <w:rFonts w:ascii="黑体" w:eastAsia="黑体" w:cs="黑体"/>
          <w:sz w:val="21"/>
          <w:szCs w:val="21"/>
        </w:rPr>
      </w:pPr>
      <w:r>
        <w:rPr>
          <w:rFonts w:hint="eastAsia" w:ascii="黑体" w:eastAsia="黑体" w:cs="黑体"/>
          <w:sz w:val="21"/>
          <w:szCs w:val="21"/>
        </w:rPr>
        <w:t>样品编号</w:t>
      </w:r>
    </w:p>
    <w:p w14:paraId="612D2226">
      <w:pPr>
        <w:pStyle w:val="4"/>
        <w:kinsoku w:val="0"/>
        <w:overflowPunct w:val="0"/>
        <w:adjustRightInd/>
        <w:spacing w:before="43" w:line="278" w:lineRule="auto"/>
        <w:ind w:left="440" w:leftChars="200" w:right="220" w:rightChars="100" w:firstLine="420" w:firstLineChars="200"/>
        <w:jc w:val="both"/>
      </w:pPr>
      <w:r>
        <w:rPr>
          <w:rFonts w:hint="eastAsia"/>
        </w:rPr>
        <w:t>同</w:t>
      </w:r>
      <w:r>
        <w:t>5.2.3</w:t>
      </w:r>
      <w:r>
        <w:rPr>
          <w:rFonts w:hint="eastAsia"/>
        </w:rPr>
        <w:t>规定。</w:t>
      </w:r>
    </w:p>
    <w:p w14:paraId="5E096FD9">
      <w:pPr>
        <w:pStyle w:val="12"/>
        <w:numPr>
          <w:ilvl w:val="1"/>
          <w:numId w:val="1"/>
        </w:numPr>
        <w:tabs>
          <w:tab w:val="left" w:pos="1023"/>
        </w:tabs>
        <w:kinsoku w:val="0"/>
        <w:overflowPunct w:val="0"/>
        <w:adjustRightInd/>
        <w:spacing w:before="120" w:beforeLines="50" w:after="120" w:afterLines="50"/>
        <w:ind w:left="967" w:leftChars="200" w:right="220" w:rightChars="100" w:hanging="527"/>
        <w:jc w:val="both"/>
        <w:rPr>
          <w:rFonts w:ascii="黑体" w:eastAsia="黑体" w:cs="黑体"/>
          <w:sz w:val="21"/>
          <w:szCs w:val="21"/>
        </w:rPr>
      </w:pPr>
      <w:r>
        <w:rPr>
          <w:rFonts w:hint="eastAsia" w:ascii="黑体" w:eastAsia="黑体" w:cs="黑体"/>
          <w:sz w:val="21"/>
          <w:szCs w:val="21"/>
        </w:rPr>
        <w:t>组织及液体样品</w:t>
      </w:r>
    </w:p>
    <w:p w14:paraId="4360C84D">
      <w:pPr>
        <w:pStyle w:val="12"/>
        <w:numPr>
          <w:ilvl w:val="2"/>
          <w:numId w:val="1"/>
        </w:numPr>
        <w:tabs>
          <w:tab w:val="left" w:pos="1233"/>
        </w:tabs>
        <w:kinsoku w:val="0"/>
        <w:overflowPunct w:val="0"/>
        <w:adjustRightInd/>
        <w:ind w:left="965" w:leftChars="200" w:right="220" w:rightChars="100"/>
        <w:jc w:val="both"/>
        <w:rPr>
          <w:rFonts w:ascii="黑体" w:eastAsia="黑体" w:cs="黑体"/>
          <w:sz w:val="21"/>
          <w:szCs w:val="21"/>
        </w:rPr>
      </w:pPr>
      <w:r>
        <w:rPr>
          <w:rFonts w:hint="eastAsia" w:ascii="黑体" w:eastAsia="黑体" w:cs="黑体"/>
          <w:sz w:val="21"/>
          <w:szCs w:val="21"/>
        </w:rPr>
        <w:t>淋巴结</w:t>
      </w:r>
    </w:p>
    <w:p w14:paraId="333C79DE">
      <w:pPr>
        <w:pStyle w:val="4"/>
        <w:kinsoku w:val="0"/>
        <w:overflowPunct w:val="0"/>
        <w:adjustRightInd/>
        <w:spacing w:before="1"/>
        <w:ind w:left="440" w:leftChars="200" w:right="220" w:rightChars="100" w:firstLine="420" w:firstLineChars="200"/>
        <w:jc w:val="both"/>
      </w:pPr>
      <w:r>
        <w:rPr>
          <w:rFonts w:hint="eastAsia"/>
        </w:rPr>
        <w:t>屠宰线上取整个颌下淋巴结，无害化处理环节，按</w:t>
      </w:r>
      <w:r>
        <w:t>NY/T 541</w:t>
      </w:r>
      <w:r>
        <w:rPr>
          <w:rFonts w:hint="eastAsia"/>
        </w:rPr>
        <w:t>规定原则解剖，取颌下淋巴结或腹股沟淋巴结。剥离脂肪，火焰消毒或</w:t>
      </w:r>
      <w:r>
        <w:t>75%</w:t>
      </w:r>
      <w:r>
        <w:rPr>
          <w:rFonts w:hint="eastAsia"/>
        </w:rPr>
        <w:t>擦拭消毒刀具，防止交叉污染。</w:t>
      </w:r>
    </w:p>
    <w:p w14:paraId="3545FC00">
      <w:pPr>
        <w:pStyle w:val="4"/>
        <w:kinsoku w:val="0"/>
        <w:overflowPunct w:val="0"/>
        <w:adjustRightInd/>
        <w:spacing w:before="1"/>
        <w:ind w:left="440" w:leftChars="200" w:right="220" w:rightChars="100" w:firstLine="420" w:firstLineChars="200"/>
        <w:jc w:val="both"/>
      </w:pPr>
    </w:p>
    <w:p w14:paraId="04809C5F">
      <w:pPr>
        <w:pStyle w:val="4"/>
        <w:kinsoku w:val="0"/>
        <w:overflowPunct w:val="0"/>
        <w:adjustRightInd/>
        <w:spacing w:line="278" w:lineRule="auto"/>
        <w:ind w:left="440" w:leftChars="200" w:right="220" w:rightChars="100" w:firstLine="420"/>
        <w:jc w:val="right"/>
        <w:rPr>
          <w:rFonts w:ascii="黑体" w:eastAsia="黑体" w:cs="黑体"/>
        </w:rPr>
      </w:pPr>
      <w:r>
        <w:rPr>
          <w:rFonts w:ascii="黑体" w:eastAsia="黑体" w:cs="黑体"/>
        </w:rPr>
        <w:t>DB34/T 1390</w:t>
      </w:r>
      <w:r>
        <w:rPr>
          <w:rFonts w:ascii="Times New Roman" w:eastAsia="黑体" w:cs="Times New Roman"/>
        </w:rPr>
        <w:t>—</w:t>
      </w:r>
      <w:r>
        <w:rPr>
          <w:rFonts w:ascii="黑体" w:eastAsia="黑体" w:cs="黑体"/>
        </w:rPr>
        <w:t>20XX</w:t>
      </w:r>
    </w:p>
    <w:p w14:paraId="2A5A201A">
      <w:pPr>
        <w:pStyle w:val="4"/>
        <w:kinsoku w:val="0"/>
        <w:overflowPunct w:val="0"/>
        <w:adjustRightInd/>
        <w:spacing w:before="1"/>
        <w:ind w:left="440" w:leftChars="200" w:right="220" w:rightChars="100" w:firstLine="420" w:firstLineChars="200"/>
        <w:jc w:val="both"/>
      </w:pPr>
    </w:p>
    <w:p w14:paraId="277FC09E">
      <w:pPr>
        <w:pStyle w:val="12"/>
        <w:numPr>
          <w:ilvl w:val="2"/>
          <w:numId w:val="1"/>
        </w:numPr>
        <w:tabs>
          <w:tab w:val="left" w:pos="1233"/>
        </w:tabs>
        <w:kinsoku w:val="0"/>
        <w:overflowPunct w:val="0"/>
        <w:adjustRightInd/>
        <w:ind w:left="965" w:leftChars="200" w:right="220" w:rightChars="100"/>
        <w:jc w:val="both"/>
        <w:rPr>
          <w:rFonts w:ascii="黑体" w:eastAsia="黑体" w:cs="黑体"/>
          <w:sz w:val="21"/>
          <w:szCs w:val="21"/>
        </w:rPr>
      </w:pPr>
      <w:r>
        <w:rPr>
          <w:rFonts w:hint="eastAsia" w:ascii="黑体" w:eastAsia="黑体" w:cs="黑体"/>
          <w:sz w:val="21"/>
          <w:szCs w:val="21"/>
        </w:rPr>
        <w:t>扁桃体</w:t>
      </w:r>
    </w:p>
    <w:p w14:paraId="2BB55984">
      <w:pPr>
        <w:pStyle w:val="4"/>
        <w:kinsoku w:val="0"/>
        <w:overflowPunct w:val="0"/>
        <w:adjustRightInd/>
        <w:spacing w:before="1"/>
        <w:ind w:left="440" w:leftChars="200" w:right="220" w:rightChars="100" w:firstLine="420" w:firstLineChars="200"/>
        <w:jc w:val="both"/>
      </w:pPr>
      <w:r>
        <w:rPr>
          <w:rFonts w:hint="eastAsia"/>
        </w:rPr>
        <w:t>先用开口器打开口腔，将扁桃体采样枪的采样钩紧贴扁桃体，快速扣动扳机取出组织，置于</w:t>
      </w:r>
      <w:r>
        <w:t>30%</w:t>
      </w:r>
      <w:r>
        <w:rPr>
          <w:rFonts w:hint="eastAsia"/>
        </w:rPr>
        <w:t>磷酸盐缓冲液的带盖离心管中。</w:t>
      </w:r>
    </w:p>
    <w:p w14:paraId="3EF43FD4">
      <w:pPr>
        <w:pStyle w:val="12"/>
        <w:numPr>
          <w:ilvl w:val="2"/>
          <w:numId w:val="1"/>
        </w:numPr>
        <w:tabs>
          <w:tab w:val="left" w:pos="1233"/>
        </w:tabs>
        <w:kinsoku w:val="0"/>
        <w:overflowPunct w:val="0"/>
        <w:adjustRightInd/>
        <w:ind w:left="965" w:leftChars="200" w:right="220" w:rightChars="100"/>
        <w:jc w:val="both"/>
        <w:rPr>
          <w:rFonts w:ascii="黑体" w:eastAsia="黑体" w:cs="黑体"/>
          <w:sz w:val="21"/>
          <w:szCs w:val="21"/>
        </w:rPr>
      </w:pPr>
      <w:r>
        <w:rPr>
          <w:rFonts w:hint="eastAsia" w:ascii="黑体" w:eastAsia="黑体" w:cs="黑体"/>
          <w:sz w:val="21"/>
          <w:szCs w:val="21"/>
        </w:rPr>
        <w:t>皮肤组织</w:t>
      </w:r>
    </w:p>
    <w:p w14:paraId="2DF65B03">
      <w:pPr>
        <w:pStyle w:val="4"/>
        <w:kinsoku w:val="0"/>
        <w:overflowPunct w:val="0"/>
        <w:adjustRightInd/>
        <w:spacing w:before="1"/>
        <w:ind w:left="440" w:leftChars="200" w:right="220" w:rightChars="100" w:firstLine="420" w:firstLineChars="200"/>
        <w:jc w:val="both"/>
      </w:pPr>
      <w:r>
        <w:rPr>
          <w:rFonts w:hint="eastAsia"/>
        </w:rPr>
        <w:t>可选取新鲜的结痂或水泡皮，使用清水对采集部位进行冲洗，剪取</w:t>
      </w:r>
      <w:r>
        <w:t>3</w:t>
      </w:r>
      <w:r>
        <w:rPr>
          <w:rFonts w:hint="eastAsia"/>
        </w:rPr>
        <w:t>～</w:t>
      </w:r>
      <w:r>
        <w:t>5g</w:t>
      </w:r>
      <w:r>
        <w:rPr>
          <w:rFonts w:hint="eastAsia"/>
        </w:rPr>
        <w:t>痂皮或水泡皮，置于</w:t>
      </w:r>
      <w:r>
        <w:t>30%</w:t>
      </w:r>
      <w:r>
        <w:rPr>
          <w:rFonts w:hint="eastAsia"/>
        </w:rPr>
        <w:t>磷酸盐缓冲液的带盖离心管中。</w:t>
      </w:r>
    </w:p>
    <w:p w14:paraId="78297DD3">
      <w:pPr>
        <w:pStyle w:val="12"/>
        <w:numPr>
          <w:ilvl w:val="2"/>
          <w:numId w:val="1"/>
        </w:numPr>
        <w:tabs>
          <w:tab w:val="left" w:pos="1233"/>
        </w:tabs>
        <w:kinsoku w:val="0"/>
        <w:overflowPunct w:val="0"/>
        <w:adjustRightInd/>
        <w:ind w:left="965" w:leftChars="200" w:right="220" w:rightChars="100"/>
        <w:jc w:val="both"/>
        <w:rPr>
          <w:rFonts w:ascii="黑体" w:eastAsia="黑体" w:cs="黑体"/>
          <w:sz w:val="21"/>
          <w:szCs w:val="21"/>
        </w:rPr>
      </w:pPr>
      <w:r>
        <w:rPr>
          <w:rFonts w:hint="eastAsia" w:ascii="黑体" w:eastAsia="黑体" w:cs="黑体"/>
          <w:sz w:val="21"/>
          <w:szCs w:val="21"/>
        </w:rPr>
        <w:t>脑组织</w:t>
      </w:r>
    </w:p>
    <w:p w14:paraId="18911557">
      <w:pPr>
        <w:pStyle w:val="4"/>
        <w:kinsoku w:val="0"/>
        <w:overflowPunct w:val="0"/>
        <w:adjustRightInd/>
        <w:spacing w:before="1"/>
        <w:ind w:left="440" w:leftChars="200" w:right="220" w:rightChars="100" w:firstLine="420" w:firstLineChars="200"/>
        <w:jc w:val="both"/>
      </w:pPr>
      <w:r>
        <w:rPr>
          <w:rFonts w:hint="eastAsia"/>
        </w:rPr>
        <w:t>按</w:t>
      </w:r>
      <w:r>
        <w:t>NY/T 541</w:t>
      </w:r>
      <w:r>
        <w:rPr>
          <w:rFonts w:hint="eastAsia"/>
        </w:rPr>
        <w:t>进行。</w:t>
      </w:r>
    </w:p>
    <w:p w14:paraId="7C6EBA4D">
      <w:pPr>
        <w:pStyle w:val="12"/>
        <w:numPr>
          <w:ilvl w:val="2"/>
          <w:numId w:val="1"/>
        </w:numPr>
        <w:tabs>
          <w:tab w:val="left" w:pos="1233"/>
        </w:tabs>
        <w:kinsoku w:val="0"/>
        <w:overflowPunct w:val="0"/>
        <w:adjustRightInd/>
        <w:ind w:left="965" w:leftChars="200" w:right="220" w:rightChars="100"/>
        <w:jc w:val="both"/>
        <w:rPr>
          <w:rFonts w:ascii="黑体" w:eastAsia="黑体" w:cs="黑体"/>
          <w:sz w:val="21"/>
          <w:szCs w:val="21"/>
        </w:rPr>
      </w:pPr>
      <w:r>
        <w:rPr>
          <w:rFonts w:hint="eastAsia" w:ascii="黑体" w:eastAsia="黑体" w:cs="黑体"/>
          <w:sz w:val="21"/>
          <w:szCs w:val="21"/>
        </w:rPr>
        <w:t>水泡液</w:t>
      </w:r>
    </w:p>
    <w:p w14:paraId="2C692910">
      <w:pPr>
        <w:pStyle w:val="4"/>
        <w:kinsoku w:val="0"/>
        <w:overflowPunct w:val="0"/>
        <w:adjustRightInd/>
        <w:spacing w:before="1"/>
        <w:ind w:left="440" w:leftChars="200" w:right="220" w:rightChars="100" w:firstLine="420" w:firstLineChars="200"/>
        <w:jc w:val="both"/>
      </w:pPr>
      <w:r>
        <w:rPr>
          <w:rFonts w:hint="eastAsia"/>
        </w:rPr>
        <w:t>按</w:t>
      </w:r>
      <w:r>
        <w:t>NY/T 541</w:t>
      </w:r>
      <w:r>
        <w:rPr>
          <w:rFonts w:hint="eastAsia"/>
        </w:rPr>
        <w:t>进行。选取未破裂的水泡，用无菌注射器吸取不少于</w:t>
      </w:r>
      <w:r>
        <w:t>1mL</w:t>
      </w:r>
      <w:r>
        <w:rPr>
          <w:rFonts w:hint="eastAsia"/>
        </w:rPr>
        <w:t>的水泡液，注入</w:t>
      </w:r>
      <w:r>
        <w:t>30%</w:t>
      </w:r>
      <w:r>
        <w:rPr>
          <w:rFonts w:hint="eastAsia"/>
        </w:rPr>
        <w:t>甘油磷酸盐缓冲液的带盖离心管中。</w:t>
      </w:r>
    </w:p>
    <w:p w14:paraId="49E11BB1">
      <w:pPr>
        <w:pStyle w:val="12"/>
        <w:numPr>
          <w:ilvl w:val="2"/>
          <w:numId w:val="1"/>
        </w:numPr>
        <w:tabs>
          <w:tab w:val="left" w:pos="1233"/>
        </w:tabs>
        <w:kinsoku w:val="0"/>
        <w:overflowPunct w:val="0"/>
        <w:adjustRightInd/>
        <w:ind w:left="965" w:leftChars="200" w:right="220" w:rightChars="100"/>
        <w:jc w:val="both"/>
        <w:rPr>
          <w:rFonts w:ascii="黑体" w:eastAsia="黑体" w:cs="黑体"/>
          <w:sz w:val="21"/>
          <w:szCs w:val="21"/>
        </w:rPr>
      </w:pPr>
      <w:r>
        <w:rPr>
          <w:rFonts w:ascii="黑体" w:eastAsia="黑体" w:cs="黑体"/>
          <w:sz w:val="21"/>
          <w:szCs w:val="21"/>
        </w:rPr>
        <w:t>O-P</w:t>
      </w:r>
      <w:r>
        <w:rPr>
          <w:rFonts w:hint="eastAsia" w:ascii="黑体" w:eastAsia="黑体" w:cs="黑体"/>
          <w:sz w:val="21"/>
          <w:szCs w:val="21"/>
        </w:rPr>
        <w:t>液</w:t>
      </w:r>
    </w:p>
    <w:p w14:paraId="166EB627">
      <w:pPr>
        <w:pStyle w:val="4"/>
        <w:kinsoku w:val="0"/>
        <w:overflowPunct w:val="0"/>
        <w:adjustRightInd/>
        <w:spacing w:before="1"/>
        <w:ind w:left="440" w:leftChars="200" w:right="220" w:rightChars="100" w:firstLine="420" w:firstLineChars="200"/>
        <w:jc w:val="both"/>
      </w:pPr>
      <w:r>
        <w:rPr>
          <w:rFonts w:hint="eastAsia"/>
        </w:rPr>
        <w:t>按</w:t>
      </w:r>
      <w:r>
        <w:t>NY/T 541</w:t>
      </w:r>
      <w:r>
        <w:rPr>
          <w:rFonts w:hint="eastAsia"/>
        </w:rPr>
        <w:t>进行。</w:t>
      </w:r>
    </w:p>
    <w:p w14:paraId="78E68948">
      <w:pPr>
        <w:pStyle w:val="12"/>
        <w:numPr>
          <w:ilvl w:val="2"/>
          <w:numId w:val="1"/>
        </w:numPr>
        <w:tabs>
          <w:tab w:val="left" w:pos="1233"/>
        </w:tabs>
        <w:kinsoku w:val="0"/>
        <w:overflowPunct w:val="0"/>
        <w:adjustRightInd/>
        <w:ind w:left="965" w:leftChars="200" w:right="220" w:rightChars="100"/>
        <w:jc w:val="both"/>
        <w:rPr>
          <w:rFonts w:ascii="黑体" w:eastAsia="黑体" w:cs="黑体"/>
          <w:sz w:val="21"/>
          <w:szCs w:val="21"/>
        </w:rPr>
      </w:pPr>
      <w:r>
        <w:rPr>
          <w:rFonts w:hint="eastAsia" w:ascii="黑体" w:eastAsia="黑体" w:cs="黑体"/>
          <w:sz w:val="21"/>
          <w:szCs w:val="21"/>
        </w:rPr>
        <w:t>乳汁</w:t>
      </w:r>
    </w:p>
    <w:p w14:paraId="25BC8048">
      <w:pPr>
        <w:pStyle w:val="4"/>
        <w:kinsoku w:val="0"/>
        <w:overflowPunct w:val="0"/>
        <w:adjustRightInd/>
        <w:spacing w:before="1"/>
        <w:ind w:left="440" w:leftChars="200" w:right="220" w:rightChars="100" w:firstLine="420" w:firstLineChars="200"/>
        <w:jc w:val="both"/>
      </w:pPr>
      <w:r>
        <w:rPr>
          <w:rFonts w:hint="eastAsia"/>
        </w:rPr>
        <w:t>先用消毒药水洗净乳房，最初所挤的</w:t>
      </w:r>
      <w:r>
        <w:t>3</w:t>
      </w:r>
      <w:r>
        <w:rPr>
          <w:rFonts w:hint="eastAsia"/>
        </w:rPr>
        <w:t>～</w:t>
      </w:r>
      <w:r>
        <w:t>4</w:t>
      </w:r>
      <w:r>
        <w:rPr>
          <w:rFonts w:hint="eastAsia"/>
        </w:rPr>
        <w:t>把乳汁弃去，然后再采集</w:t>
      </w:r>
      <w:r>
        <w:t>10mL</w:t>
      </w:r>
      <w:r>
        <w:rPr>
          <w:rFonts w:hint="eastAsia"/>
        </w:rPr>
        <w:t>左右乳汁于灭菌试管中，进行血清学检验的乳汁不应冻结、加热或强烈震动。</w:t>
      </w:r>
    </w:p>
    <w:p w14:paraId="0317D375">
      <w:pPr>
        <w:pStyle w:val="12"/>
        <w:numPr>
          <w:ilvl w:val="2"/>
          <w:numId w:val="1"/>
        </w:numPr>
        <w:tabs>
          <w:tab w:val="left" w:pos="1233"/>
        </w:tabs>
        <w:kinsoku w:val="0"/>
        <w:overflowPunct w:val="0"/>
        <w:adjustRightInd/>
        <w:ind w:left="965" w:leftChars="200" w:right="220" w:rightChars="100"/>
        <w:jc w:val="both"/>
        <w:rPr>
          <w:rFonts w:ascii="黑体" w:eastAsia="黑体" w:cs="黑体"/>
          <w:sz w:val="21"/>
          <w:szCs w:val="21"/>
        </w:rPr>
      </w:pPr>
      <w:r>
        <w:rPr>
          <w:rFonts w:hint="eastAsia" w:ascii="黑体" w:eastAsia="黑体" w:cs="黑体"/>
          <w:sz w:val="21"/>
          <w:szCs w:val="21"/>
        </w:rPr>
        <w:t>环境污水</w:t>
      </w:r>
    </w:p>
    <w:p w14:paraId="57EC4562">
      <w:pPr>
        <w:pStyle w:val="4"/>
        <w:kinsoku w:val="0"/>
        <w:overflowPunct w:val="0"/>
        <w:adjustRightInd/>
        <w:spacing w:before="1"/>
        <w:ind w:left="440" w:leftChars="200" w:right="220" w:rightChars="100" w:firstLine="420" w:firstLineChars="200"/>
        <w:jc w:val="both"/>
      </w:pPr>
      <w:r>
        <w:rPr>
          <w:rFonts w:hint="eastAsia"/>
        </w:rPr>
        <w:t>可从饲槽、排水沟、低洼积水坑等地取</w:t>
      </w:r>
      <w:r>
        <w:t>20</w:t>
      </w:r>
      <w:r>
        <w:rPr>
          <w:rFonts w:hint="eastAsia"/>
        </w:rPr>
        <w:t>～</w:t>
      </w:r>
      <w:r>
        <w:t>40mL</w:t>
      </w:r>
      <w:r>
        <w:rPr>
          <w:rFonts w:hint="eastAsia"/>
        </w:rPr>
        <w:t>，置于</w:t>
      </w:r>
      <w:r>
        <w:t>50mL</w:t>
      </w:r>
      <w:r>
        <w:rPr>
          <w:rFonts w:hint="eastAsia"/>
        </w:rPr>
        <w:t>带盖离心管中。</w:t>
      </w:r>
    </w:p>
    <w:p w14:paraId="097C6098">
      <w:pPr>
        <w:pStyle w:val="12"/>
        <w:numPr>
          <w:ilvl w:val="1"/>
          <w:numId w:val="1"/>
        </w:numPr>
        <w:tabs>
          <w:tab w:val="left" w:pos="1023"/>
        </w:tabs>
        <w:kinsoku w:val="0"/>
        <w:overflowPunct w:val="0"/>
        <w:adjustRightInd/>
        <w:spacing w:before="120" w:beforeLines="50" w:after="120" w:afterLines="50"/>
        <w:ind w:left="967" w:leftChars="200" w:right="220" w:rightChars="100" w:hanging="527"/>
        <w:jc w:val="both"/>
        <w:rPr>
          <w:rFonts w:ascii="黑体" w:eastAsia="黑体" w:cs="黑体"/>
          <w:sz w:val="21"/>
          <w:szCs w:val="21"/>
        </w:rPr>
      </w:pPr>
      <w:r>
        <w:rPr>
          <w:rFonts w:hint="eastAsia" w:ascii="黑体" w:eastAsia="黑体" w:cs="黑体"/>
          <w:sz w:val="21"/>
          <w:szCs w:val="21"/>
        </w:rPr>
        <w:t>采样单的填写</w:t>
      </w:r>
    </w:p>
    <w:p w14:paraId="0CAEDA7A">
      <w:pPr>
        <w:pStyle w:val="4"/>
        <w:kinsoku w:val="0"/>
        <w:overflowPunct w:val="0"/>
        <w:adjustRightInd/>
        <w:spacing w:before="1"/>
        <w:ind w:left="440" w:leftChars="200" w:right="220" w:rightChars="100" w:firstLine="420" w:firstLineChars="200"/>
        <w:jc w:val="both"/>
      </w:pPr>
      <w:r>
        <w:rPr>
          <w:rFonts w:hint="eastAsia"/>
        </w:rPr>
        <w:t>采样单（参见附录</w:t>
      </w:r>
      <w:r>
        <w:t>B</w:t>
      </w:r>
      <w:r>
        <w:rPr>
          <w:rFonts w:hint="eastAsia"/>
        </w:rPr>
        <w:t>）要用钢笔或签字笔逐项填写。所有表格填写之前须仔细阅读表格及下面的相关备注或填表说明。应完整、清楚、工整填写，不得使用省略或简易符号替代，不得随意对表格进行合并或删除。送样时，应将采样单随样品一起送到实验室。</w:t>
      </w:r>
    </w:p>
    <w:p w14:paraId="40311758">
      <w:pPr>
        <w:pStyle w:val="12"/>
        <w:numPr>
          <w:ilvl w:val="1"/>
          <w:numId w:val="1"/>
        </w:numPr>
        <w:tabs>
          <w:tab w:val="left" w:pos="1023"/>
        </w:tabs>
        <w:kinsoku w:val="0"/>
        <w:overflowPunct w:val="0"/>
        <w:adjustRightInd/>
        <w:spacing w:before="120" w:beforeLines="50" w:after="120" w:afterLines="50"/>
        <w:ind w:left="967" w:leftChars="200" w:right="220" w:rightChars="100" w:hanging="527"/>
        <w:jc w:val="both"/>
        <w:rPr>
          <w:rFonts w:ascii="黑体" w:eastAsia="黑体" w:cs="黑体"/>
          <w:sz w:val="21"/>
          <w:szCs w:val="21"/>
        </w:rPr>
      </w:pPr>
      <w:r>
        <w:rPr>
          <w:rFonts w:hint="eastAsia" w:ascii="黑体" w:eastAsia="黑体" w:cs="黑体"/>
          <w:sz w:val="21"/>
          <w:szCs w:val="21"/>
        </w:rPr>
        <w:t>包装要求</w:t>
      </w:r>
    </w:p>
    <w:p w14:paraId="5C181B93">
      <w:pPr>
        <w:pStyle w:val="4"/>
        <w:kinsoku w:val="0"/>
        <w:overflowPunct w:val="0"/>
        <w:adjustRightInd/>
        <w:spacing w:before="1"/>
        <w:ind w:left="440" w:leftChars="200" w:right="220" w:rightChars="100" w:firstLine="420" w:firstLineChars="200"/>
        <w:jc w:val="both"/>
      </w:pPr>
      <w:r>
        <w:rPr>
          <w:rFonts w:hint="eastAsia"/>
        </w:rPr>
        <w:t>同一采样点的同一类样品要置于同一个自封塑料袋中，用记号笔或不干胶标签在自封袋外标记采样点名称（如某市某县某乡某村散养户，某市某县某养殖场</w:t>
      </w:r>
      <w:r>
        <w:t>,</w:t>
      </w:r>
      <w:r>
        <w:rPr>
          <w:rFonts w:hint="eastAsia"/>
        </w:rPr>
        <w:t>某市某县某交易市场，某市某县某野禽栖息地）、份数、编号范围等信息。同一县（区）的样品，按监测疫病的种类集中于另一较大自封塑料袋中，在自封袋外标记县区名称，监测疫病的种类，采样点数量和样品总数等信息。</w:t>
      </w:r>
    </w:p>
    <w:p w14:paraId="1566B87C">
      <w:pPr>
        <w:pStyle w:val="12"/>
        <w:numPr>
          <w:ilvl w:val="0"/>
          <w:numId w:val="1"/>
        </w:numPr>
        <w:tabs>
          <w:tab w:val="left" w:pos="813"/>
        </w:tabs>
        <w:kinsoku w:val="0"/>
        <w:overflowPunct w:val="0"/>
        <w:adjustRightInd/>
        <w:spacing w:before="100" w:beforeAutospacing="1" w:after="120" w:afterLines="50"/>
        <w:ind w:left="440" w:leftChars="200" w:right="220" w:rightChars="100" w:firstLine="0"/>
        <w:jc w:val="both"/>
        <w:rPr>
          <w:rFonts w:ascii="黑体" w:eastAsia="黑体" w:cs="黑体"/>
          <w:sz w:val="21"/>
          <w:szCs w:val="21"/>
        </w:rPr>
      </w:pPr>
      <w:r>
        <w:rPr>
          <w:rFonts w:hint="eastAsia" w:ascii="黑体" w:eastAsia="黑体" w:cs="黑体"/>
          <w:sz w:val="21"/>
          <w:szCs w:val="21"/>
        </w:rPr>
        <w:t>保存和运输</w:t>
      </w:r>
    </w:p>
    <w:p w14:paraId="4FE7DFDC">
      <w:pPr>
        <w:pStyle w:val="12"/>
        <w:numPr>
          <w:ilvl w:val="1"/>
          <w:numId w:val="2"/>
        </w:numPr>
        <w:tabs>
          <w:tab w:val="left" w:pos="1023"/>
        </w:tabs>
        <w:kinsoku w:val="0"/>
        <w:overflowPunct w:val="0"/>
        <w:adjustRightInd/>
        <w:ind w:left="965" w:leftChars="200" w:right="220" w:rightChars="100" w:hanging="525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样品置于保温容器中运输，保温容器必须密封，防止渗漏。</w:t>
      </w:r>
    </w:p>
    <w:p w14:paraId="719B2067">
      <w:pPr>
        <w:pStyle w:val="12"/>
        <w:numPr>
          <w:ilvl w:val="1"/>
          <w:numId w:val="2"/>
        </w:numPr>
        <w:tabs>
          <w:tab w:val="left" w:pos="1023"/>
        </w:tabs>
        <w:kinsoku w:val="0"/>
        <w:overflowPunct w:val="0"/>
        <w:adjustRightInd/>
        <w:spacing w:before="43"/>
        <w:ind w:left="965" w:leftChars="200" w:right="220" w:rightChars="100" w:hanging="525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样品应在特定的温度下运输，拭子样品要作暂时的冷藏或冷冻处理，然后立即运送省级实验室。</w:t>
      </w:r>
    </w:p>
    <w:p w14:paraId="44671A86">
      <w:pPr>
        <w:pStyle w:val="4"/>
        <w:kinsoku w:val="0"/>
        <w:overflowPunct w:val="0"/>
        <w:adjustRightInd/>
        <w:spacing w:before="1"/>
        <w:ind w:left="440" w:leftChars="200" w:right="220" w:rightChars="100" w:firstLine="420" w:firstLineChars="200"/>
        <w:jc w:val="both"/>
      </w:pPr>
      <w:r>
        <w:t>——</w:t>
      </w:r>
      <w:r>
        <w:rPr>
          <w:rFonts w:hint="eastAsia"/>
        </w:rPr>
        <w:t>若能在</w:t>
      </w:r>
      <w:r>
        <w:t>4h</w:t>
      </w:r>
      <w:r>
        <w:rPr>
          <w:rFonts w:hint="eastAsia"/>
        </w:rPr>
        <w:t>内送到省级实验室，可只用冰袋冷藏运输。</w:t>
      </w:r>
    </w:p>
    <w:p w14:paraId="54A52EC4">
      <w:pPr>
        <w:pStyle w:val="4"/>
        <w:kinsoku w:val="0"/>
        <w:overflowPunct w:val="0"/>
        <w:adjustRightInd/>
        <w:spacing w:before="1"/>
        <w:ind w:left="440" w:leftChars="200" w:right="220" w:rightChars="100" w:firstLine="420" w:firstLineChars="200"/>
        <w:jc w:val="both"/>
      </w:pPr>
      <w:r>
        <w:t>——</w:t>
      </w:r>
      <w:r>
        <w:rPr>
          <w:rFonts w:hint="eastAsia"/>
        </w:rPr>
        <w:t>如果超过</w:t>
      </w:r>
      <w:r>
        <w:t>4h</w:t>
      </w:r>
      <w:r>
        <w:rPr>
          <w:rFonts w:hint="eastAsia"/>
        </w:rPr>
        <w:t>，要作冷冻处理。应先将样品置于</w:t>
      </w:r>
      <w:r>
        <w:t>-30</w:t>
      </w:r>
      <w:r>
        <w:rPr>
          <w:rFonts w:hint="eastAsia"/>
        </w:rPr>
        <w:t>℃冻结，然后再在保温箱内加冰袋运输，经冻结的样品必须在</w:t>
      </w:r>
      <w:r>
        <w:t>24h</w:t>
      </w:r>
      <w:r>
        <w:rPr>
          <w:rFonts w:hint="eastAsia"/>
        </w:rPr>
        <w:t>内送到。</w:t>
      </w:r>
    </w:p>
    <w:p w14:paraId="1ED5F335">
      <w:pPr>
        <w:pStyle w:val="4"/>
        <w:kinsoku w:val="0"/>
        <w:overflowPunct w:val="0"/>
        <w:adjustRightInd/>
        <w:spacing w:before="1"/>
        <w:ind w:left="440" w:leftChars="200" w:right="220" w:rightChars="100" w:firstLine="420" w:firstLineChars="200"/>
        <w:jc w:val="both"/>
      </w:pPr>
      <w:r>
        <w:t>——</w:t>
      </w:r>
      <w:r>
        <w:rPr>
          <w:rFonts w:hint="eastAsia"/>
        </w:rPr>
        <w:t>若</w:t>
      </w:r>
      <w:r>
        <w:t>24h</w:t>
      </w:r>
      <w:r>
        <w:rPr>
          <w:rFonts w:hint="eastAsia"/>
        </w:rPr>
        <w:t>不能送到省级实验室，需要在运输过程中保持</w:t>
      </w:r>
      <w:r>
        <w:t>-20</w:t>
      </w:r>
      <w:r>
        <w:rPr>
          <w:rFonts w:hint="eastAsia"/>
        </w:rPr>
        <w:t>℃以下。</w:t>
      </w:r>
    </w:p>
    <w:p w14:paraId="3167B91E">
      <w:pPr>
        <w:pStyle w:val="12"/>
        <w:numPr>
          <w:ilvl w:val="1"/>
          <w:numId w:val="2"/>
        </w:numPr>
        <w:tabs>
          <w:tab w:val="left" w:pos="1023"/>
        </w:tabs>
        <w:kinsoku w:val="0"/>
        <w:overflowPunct w:val="0"/>
        <w:adjustRightInd/>
        <w:spacing w:before="43"/>
        <w:ind w:left="965" w:leftChars="200" w:right="220" w:rightChars="100" w:hanging="525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血清样品要与拭子样品分开存放。若</w:t>
      </w:r>
      <w:r>
        <w:rPr>
          <w:sz w:val="21"/>
          <w:szCs w:val="21"/>
        </w:rPr>
        <w:t>24h</w:t>
      </w:r>
      <w:r>
        <w:rPr>
          <w:rFonts w:hint="eastAsia"/>
          <w:sz w:val="21"/>
          <w:szCs w:val="21"/>
        </w:rPr>
        <w:t>内运达省级实验室，在保温箱内加冰袋冷藏运输；若超过</w:t>
      </w:r>
      <w:r>
        <w:rPr>
          <w:sz w:val="21"/>
          <w:szCs w:val="21"/>
        </w:rPr>
        <w:t>24h</w:t>
      </w:r>
      <w:r>
        <w:rPr>
          <w:rFonts w:hint="eastAsia"/>
          <w:sz w:val="21"/>
          <w:szCs w:val="21"/>
        </w:rPr>
        <w:t>，要先冷冻后，在保温箱内加大量冰袋运输，途中不能超过</w:t>
      </w:r>
      <w:r>
        <w:rPr>
          <w:sz w:val="21"/>
          <w:szCs w:val="21"/>
        </w:rPr>
        <w:t>48h</w:t>
      </w:r>
      <w:r>
        <w:rPr>
          <w:rFonts w:hint="eastAsia"/>
          <w:sz w:val="21"/>
          <w:szCs w:val="21"/>
        </w:rPr>
        <w:t>。</w:t>
      </w:r>
    </w:p>
    <w:p w14:paraId="646F11E5">
      <w:pPr>
        <w:pStyle w:val="12"/>
        <w:numPr>
          <w:ilvl w:val="1"/>
          <w:numId w:val="2"/>
        </w:numPr>
        <w:tabs>
          <w:tab w:val="left" w:pos="1023"/>
        </w:tabs>
        <w:kinsoku w:val="0"/>
        <w:overflowPunct w:val="0"/>
        <w:adjustRightInd/>
        <w:spacing w:before="43"/>
        <w:ind w:left="965" w:leftChars="200" w:right="220" w:rightChars="100" w:hanging="525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各种样品到达省级实验室后，若暂时不进行处理，则应冷冻（最好</w:t>
      </w:r>
      <w:r>
        <w:rPr>
          <w:sz w:val="21"/>
          <w:szCs w:val="21"/>
        </w:rPr>
        <w:t>-70</w:t>
      </w:r>
      <w:r>
        <w:rPr>
          <w:rFonts w:hint="eastAsia"/>
          <w:sz w:val="21"/>
          <w:szCs w:val="21"/>
        </w:rPr>
        <w:t>℃或以下）保存，不得反复冻融。</w:t>
      </w:r>
    </w:p>
    <w:p w14:paraId="14D1961D">
      <w:pPr>
        <w:pStyle w:val="12"/>
        <w:numPr>
          <w:ilvl w:val="0"/>
          <w:numId w:val="1"/>
        </w:numPr>
        <w:tabs>
          <w:tab w:val="left" w:pos="813"/>
        </w:tabs>
        <w:kinsoku w:val="0"/>
        <w:overflowPunct w:val="0"/>
        <w:adjustRightInd/>
        <w:spacing w:before="100" w:beforeAutospacing="1" w:after="120" w:afterLines="50"/>
        <w:ind w:left="440" w:leftChars="200" w:right="220" w:rightChars="100" w:firstLine="0"/>
        <w:jc w:val="both"/>
        <w:rPr>
          <w:rFonts w:ascii="黑体" w:eastAsia="黑体" w:cs="黑体"/>
          <w:sz w:val="21"/>
          <w:szCs w:val="21"/>
        </w:rPr>
      </w:pPr>
      <w:r>
        <w:rPr>
          <w:rFonts w:hint="eastAsia" w:ascii="黑体" w:eastAsia="黑体" w:cs="黑体"/>
          <w:sz w:val="21"/>
          <w:szCs w:val="21"/>
        </w:rPr>
        <w:t>废弃物处理</w:t>
      </w:r>
    </w:p>
    <w:p w14:paraId="79B1728B">
      <w:pPr>
        <w:pStyle w:val="12"/>
        <w:tabs>
          <w:tab w:val="left" w:pos="1023"/>
        </w:tabs>
        <w:kinsoku w:val="0"/>
        <w:overflowPunct w:val="0"/>
        <w:adjustRightInd/>
        <w:spacing w:before="43"/>
        <w:ind w:left="965" w:leftChars="200" w:right="220" w:rightChars="100"/>
        <w:jc w:val="both"/>
        <w:rPr>
          <w:sz w:val="21"/>
          <w:szCs w:val="21"/>
        </w:rPr>
      </w:pPr>
      <w:r>
        <w:rPr>
          <w:rFonts w:hint="eastAsia" w:ascii="黑体" w:hAnsi="黑体" w:eastAsia="黑体"/>
          <w:sz w:val="21"/>
          <w:szCs w:val="21"/>
        </w:rPr>
        <w:t xml:space="preserve">7.1 </w:t>
      </w:r>
      <w:r>
        <w:rPr>
          <w:rFonts w:hint="eastAsia"/>
          <w:sz w:val="21"/>
          <w:szCs w:val="21"/>
        </w:rPr>
        <w:t>无法达到检测要求的样品做无害化处理，应按照</w:t>
      </w:r>
      <w:r>
        <w:rPr>
          <w:sz w:val="21"/>
          <w:szCs w:val="21"/>
        </w:rPr>
        <w:t>GB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16548</w:t>
      </w:r>
      <w:r>
        <w:rPr>
          <w:rFonts w:hint="eastAsia"/>
          <w:sz w:val="21"/>
          <w:szCs w:val="21"/>
        </w:rPr>
        <w:t>、中华人民共和国国务院令第</w:t>
      </w:r>
      <w:r>
        <w:rPr>
          <w:sz w:val="21"/>
          <w:szCs w:val="21"/>
        </w:rPr>
        <w:t>424</w:t>
      </w:r>
      <w:r>
        <w:rPr>
          <w:rFonts w:hint="eastAsia"/>
          <w:sz w:val="21"/>
          <w:szCs w:val="21"/>
        </w:rPr>
        <w:t>号的规定执行；</w:t>
      </w:r>
    </w:p>
    <w:p w14:paraId="76883B16">
      <w:pPr>
        <w:pStyle w:val="12"/>
        <w:tabs>
          <w:tab w:val="left" w:pos="1023"/>
        </w:tabs>
        <w:kinsoku w:val="0"/>
        <w:overflowPunct w:val="0"/>
        <w:adjustRightInd/>
        <w:spacing w:before="43"/>
        <w:ind w:left="965" w:leftChars="200" w:right="220" w:rightChars="100"/>
        <w:jc w:val="both"/>
        <w:rPr>
          <w:sz w:val="21"/>
          <w:szCs w:val="21"/>
        </w:rPr>
      </w:pPr>
      <w:r>
        <w:rPr>
          <w:rFonts w:hint="eastAsia" w:ascii="黑体" w:hAnsi="黑体" w:eastAsia="黑体"/>
          <w:sz w:val="21"/>
          <w:szCs w:val="21"/>
        </w:rPr>
        <w:t xml:space="preserve">7.2 </w:t>
      </w:r>
      <w:r>
        <w:rPr>
          <w:rFonts w:hint="eastAsia"/>
          <w:sz w:val="21"/>
          <w:szCs w:val="21"/>
        </w:rPr>
        <w:t>采过病料用完后的器械，如一次性器械应进行生物安全无害化处理；</w:t>
      </w:r>
    </w:p>
    <w:p w14:paraId="4E5605CC">
      <w:pPr>
        <w:pStyle w:val="12"/>
        <w:tabs>
          <w:tab w:val="left" w:pos="1023"/>
        </w:tabs>
        <w:kinsoku w:val="0"/>
        <w:overflowPunct w:val="0"/>
        <w:adjustRightInd/>
        <w:spacing w:before="43"/>
        <w:ind w:left="965" w:leftChars="200" w:right="220" w:rightChars="100"/>
        <w:jc w:val="both"/>
        <w:rPr>
          <w:sz w:val="20"/>
          <w:szCs w:val="20"/>
        </w:rPr>
      </w:pPr>
      <w:r>
        <w:rPr>
          <w:rFonts w:hint="eastAsia" w:ascii="黑体" w:hAnsi="黑体" w:eastAsia="黑体"/>
          <w:sz w:val="21"/>
          <w:szCs w:val="21"/>
        </w:rPr>
        <w:t xml:space="preserve">7.3 </w:t>
      </w:r>
      <w:r>
        <w:rPr>
          <w:rFonts w:hint="eastAsia"/>
          <w:sz w:val="21"/>
          <w:szCs w:val="21"/>
        </w:rPr>
        <w:t>可重复使用的器械应先消毒后清洗。</w:t>
      </w:r>
    </w:p>
    <w:p w14:paraId="4E6DC153">
      <w:pPr>
        <w:pStyle w:val="4"/>
        <w:kinsoku w:val="0"/>
        <w:overflowPunct w:val="0"/>
        <w:adjustRightInd/>
        <w:ind w:right="220" w:rightChars="100"/>
        <w:jc w:val="both"/>
        <w:rPr>
          <w:sz w:val="20"/>
          <w:szCs w:val="20"/>
        </w:rPr>
      </w:pPr>
    </w:p>
    <w:p w14:paraId="24472B1D">
      <w:pPr>
        <w:pStyle w:val="4"/>
        <w:kinsoku w:val="0"/>
        <w:overflowPunct w:val="0"/>
        <w:rPr>
          <w:sz w:val="20"/>
          <w:szCs w:val="20"/>
        </w:rPr>
      </w:pPr>
    </w:p>
    <w:p w14:paraId="7BD23F9C">
      <w:pPr>
        <w:pStyle w:val="4"/>
        <w:kinsoku w:val="0"/>
        <w:overflowPunct w:val="0"/>
        <w:spacing w:before="59"/>
        <w:ind w:right="430"/>
        <w:jc w:val="right"/>
        <w:rPr>
          <w:rFonts w:ascii="黑体" w:eastAsia="黑体" w:cs="黑体"/>
        </w:rPr>
      </w:pPr>
    </w:p>
    <w:p w14:paraId="4F23F019">
      <w:pPr>
        <w:pStyle w:val="4"/>
        <w:kinsoku w:val="0"/>
        <w:overflowPunct w:val="0"/>
        <w:spacing w:before="59"/>
        <w:ind w:right="430"/>
        <w:jc w:val="right"/>
        <w:rPr>
          <w:rFonts w:ascii="黑体" w:eastAsia="黑体" w:cs="黑体"/>
        </w:rPr>
      </w:pPr>
    </w:p>
    <w:p w14:paraId="47278D15">
      <w:pPr>
        <w:pStyle w:val="4"/>
        <w:kinsoku w:val="0"/>
        <w:overflowPunct w:val="0"/>
        <w:spacing w:before="59"/>
        <w:ind w:right="430"/>
        <w:jc w:val="right"/>
        <w:rPr>
          <w:rFonts w:ascii="黑体" w:eastAsia="黑体" w:cs="黑体"/>
        </w:rPr>
      </w:pPr>
    </w:p>
    <w:p w14:paraId="44F49059">
      <w:pPr>
        <w:pStyle w:val="4"/>
        <w:kinsoku w:val="0"/>
        <w:overflowPunct w:val="0"/>
        <w:spacing w:before="59"/>
        <w:ind w:right="430"/>
        <w:jc w:val="right"/>
        <w:rPr>
          <w:rFonts w:ascii="黑体" w:eastAsia="黑体" w:cs="黑体"/>
        </w:rPr>
      </w:pPr>
      <w:r>
        <w:rPr>
          <w:rFonts w:hint="eastAsia" w:ascii="黑体" w:eastAsia="黑体" w:cs="黑体"/>
        </w:rPr>
        <w:t>D</w:t>
      </w:r>
      <w:r>
        <w:rPr>
          <w:rFonts w:ascii="黑体" w:eastAsia="黑体" w:cs="黑体"/>
        </w:rPr>
        <w:t>B34/T 1390</w:t>
      </w:r>
      <w:r>
        <w:rPr>
          <w:rFonts w:ascii="Times New Roman" w:eastAsia="黑体" w:cs="Times New Roman"/>
        </w:rPr>
        <w:t>—</w:t>
      </w:r>
      <w:r>
        <w:rPr>
          <w:rFonts w:ascii="黑体" w:eastAsia="黑体" w:cs="黑体"/>
        </w:rPr>
        <w:t>20XX</w:t>
      </w:r>
    </w:p>
    <w:p w14:paraId="0293436D">
      <w:pPr>
        <w:pStyle w:val="4"/>
        <w:kinsoku w:val="0"/>
        <w:overflowPunct w:val="0"/>
        <w:rPr>
          <w:rFonts w:ascii="黑体" w:eastAsia="黑体" w:cs="黑体"/>
          <w:sz w:val="20"/>
          <w:szCs w:val="20"/>
        </w:rPr>
      </w:pPr>
    </w:p>
    <w:p w14:paraId="390C0556">
      <w:pPr>
        <w:pStyle w:val="4"/>
        <w:tabs>
          <w:tab w:val="left" w:pos="485"/>
          <w:tab w:val="left" w:pos="905"/>
        </w:tabs>
        <w:kinsoku w:val="0"/>
        <w:overflowPunct w:val="0"/>
        <w:spacing w:before="71"/>
        <w:ind w:left="65"/>
        <w:jc w:val="center"/>
        <w:rPr>
          <w:rFonts w:ascii="黑体" w:eastAsia="黑体" w:cs="黑体"/>
        </w:rPr>
      </w:pPr>
      <w:r>
        <w:rPr>
          <w:rFonts w:hint="eastAsia" w:ascii="黑体" w:eastAsia="黑体" w:cs="黑体"/>
        </w:rPr>
        <w:t>附</w:t>
      </w:r>
      <w:r>
        <w:rPr>
          <w:rFonts w:ascii="黑体" w:eastAsia="黑体" w:cs="黑体"/>
        </w:rPr>
        <w:tab/>
      </w:r>
      <w:r>
        <w:rPr>
          <w:rFonts w:hint="eastAsia" w:ascii="黑体" w:eastAsia="黑体" w:cs="黑体"/>
        </w:rPr>
        <w:t>录</w:t>
      </w:r>
      <w:r>
        <w:rPr>
          <w:rFonts w:ascii="黑体" w:eastAsia="黑体" w:cs="黑体"/>
        </w:rPr>
        <w:tab/>
      </w:r>
      <w:r>
        <w:rPr>
          <w:rFonts w:ascii="黑体" w:eastAsia="黑体" w:cs="黑体"/>
        </w:rPr>
        <w:t>A</w:t>
      </w:r>
    </w:p>
    <w:p w14:paraId="1CAAE3F0">
      <w:pPr>
        <w:pStyle w:val="4"/>
        <w:kinsoku w:val="0"/>
        <w:overflowPunct w:val="0"/>
        <w:spacing w:before="43"/>
        <w:ind w:left="352" w:right="288"/>
        <w:jc w:val="center"/>
        <w:rPr>
          <w:rFonts w:ascii="黑体" w:eastAsia="黑体" w:cs="黑体"/>
        </w:rPr>
      </w:pPr>
      <w:r>
        <w:rPr>
          <w:rFonts w:hint="eastAsia" w:ascii="黑体" w:eastAsia="黑体" w:cs="黑体"/>
        </w:rPr>
        <w:t>（规范性附录）</w:t>
      </w:r>
    </w:p>
    <w:p w14:paraId="29A73B15">
      <w:pPr>
        <w:pStyle w:val="4"/>
        <w:kinsoku w:val="0"/>
        <w:overflowPunct w:val="0"/>
        <w:spacing w:before="44"/>
        <w:ind w:left="352" w:right="288"/>
        <w:jc w:val="center"/>
        <w:rPr>
          <w:rFonts w:ascii="黑体" w:eastAsia="黑体" w:cs="黑体"/>
        </w:rPr>
      </w:pPr>
      <w:r>
        <w:rPr>
          <w:rFonts w:hint="eastAsia" w:ascii="黑体" w:eastAsia="黑体" w:cs="黑体"/>
        </w:rPr>
        <w:t>样品保存液的配制</w:t>
      </w:r>
    </w:p>
    <w:p w14:paraId="6FFCA1B5">
      <w:pPr>
        <w:pStyle w:val="4"/>
        <w:kinsoku w:val="0"/>
        <w:overflowPunct w:val="0"/>
        <w:spacing w:before="11"/>
        <w:rPr>
          <w:rFonts w:ascii="黑体" w:eastAsia="黑体" w:cs="黑体"/>
          <w:sz w:val="26"/>
          <w:szCs w:val="26"/>
        </w:rPr>
      </w:pPr>
    </w:p>
    <w:p w14:paraId="6EEC4ADC">
      <w:pPr>
        <w:pStyle w:val="12"/>
        <w:numPr>
          <w:ilvl w:val="1"/>
          <w:numId w:val="3"/>
        </w:numPr>
        <w:tabs>
          <w:tab w:val="left" w:pos="1023"/>
        </w:tabs>
        <w:kinsoku w:val="0"/>
        <w:overflowPunct w:val="0"/>
        <w:ind w:hanging="525"/>
        <w:rPr>
          <w:rFonts w:ascii="黑体" w:eastAsia="黑体" w:cs="黑体"/>
          <w:sz w:val="21"/>
          <w:szCs w:val="21"/>
        </w:rPr>
      </w:pPr>
      <w:r>
        <w:rPr>
          <w:rFonts w:ascii="黑体" w:eastAsia="黑体" w:cs="黑体"/>
          <w:sz w:val="21"/>
          <w:szCs w:val="21"/>
        </w:rPr>
        <w:t>pH7.4</w:t>
      </w:r>
      <w:r>
        <w:rPr>
          <w:rFonts w:hint="eastAsia" w:ascii="黑体" w:eastAsia="黑体" w:cs="黑体"/>
          <w:spacing w:val="-8"/>
          <w:sz w:val="21"/>
          <w:szCs w:val="21"/>
        </w:rPr>
        <w:t>等渗磷酸盐缓冲液</w:t>
      </w:r>
      <w:r>
        <w:rPr>
          <w:rFonts w:hint="eastAsia" w:ascii="黑体" w:eastAsia="黑体" w:cs="黑体"/>
          <w:sz w:val="21"/>
          <w:szCs w:val="21"/>
        </w:rPr>
        <w:t>（</w:t>
      </w:r>
      <w:r>
        <w:rPr>
          <w:rFonts w:ascii="黑体" w:eastAsia="黑体" w:cs="黑体"/>
          <w:sz w:val="21"/>
          <w:szCs w:val="21"/>
        </w:rPr>
        <w:t>0.01 mol</w:t>
      </w:r>
      <w:r>
        <w:rPr>
          <w:rFonts w:hint="eastAsia" w:ascii="黑体" w:eastAsia="黑体" w:cs="黑体"/>
          <w:sz w:val="21"/>
          <w:szCs w:val="21"/>
        </w:rPr>
        <w:t>·</w:t>
      </w:r>
      <w:r>
        <w:rPr>
          <w:rFonts w:ascii="黑体" w:eastAsia="黑体" w:cs="黑体"/>
          <w:sz w:val="21"/>
          <w:szCs w:val="21"/>
        </w:rPr>
        <w:t>L</w:t>
      </w:r>
      <w:r>
        <w:rPr>
          <w:rFonts w:ascii="黑体" w:eastAsia="黑体" w:cs="黑体"/>
          <w:position w:val="11"/>
          <w:sz w:val="11"/>
          <w:szCs w:val="11"/>
        </w:rPr>
        <w:t>-1</w:t>
      </w:r>
      <w:r>
        <w:rPr>
          <w:rFonts w:hint="eastAsia" w:ascii="黑体" w:eastAsia="黑体" w:cs="黑体"/>
          <w:sz w:val="21"/>
          <w:szCs w:val="21"/>
        </w:rPr>
        <w:t>，</w:t>
      </w:r>
      <w:r>
        <w:rPr>
          <w:rFonts w:ascii="黑体" w:eastAsia="黑体" w:cs="黑体"/>
          <w:sz w:val="21"/>
          <w:szCs w:val="21"/>
        </w:rPr>
        <w:t>pH7.4</w:t>
      </w:r>
      <w:r>
        <w:rPr>
          <w:rFonts w:hint="eastAsia" w:ascii="黑体" w:eastAsia="黑体" w:cs="黑体"/>
          <w:sz w:val="21"/>
          <w:szCs w:val="21"/>
        </w:rPr>
        <w:t>，</w:t>
      </w:r>
      <w:r>
        <w:rPr>
          <w:rFonts w:ascii="黑体" w:eastAsia="黑体" w:cs="黑体"/>
          <w:sz w:val="21"/>
          <w:szCs w:val="21"/>
        </w:rPr>
        <w:t>PBS</w:t>
      </w:r>
      <w:r>
        <w:rPr>
          <w:rFonts w:hint="eastAsia" w:ascii="黑体" w:eastAsia="黑体" w:cs="黑体"/>
          <w:sz w:val="21"/>
          <w:szCs w:val="21"/>
        </w:rPr>
        <w:t>）</w:t>
      </w:r>
    </w:p>
    <w:p w14:paraId="672B5462">
      <w:pPr>
        <w:pStyle w:val="4"/>
        <w:kinsoku w:val="0"/>
        <w:overflowPunct w:val="0"/>
        <w:spacing w:before="8"/>
        <w:rPr>
          <w:rFonts w:ascii="黑体" w:eastAsia="黑体" w:cs="黑体"/>
          <w:sz w:val="27"/>
          <w:szCs w:val="27"/>
        </w:rPr>
      </w:pPr>
    </w:p>
    <w:p w14:paraId="55376A1A">
      <w:pPr>
        <w:pStyle w:val="4"/>
        <w:tabs>
          <w:tab w:val="left" w:pos="3335"/>
        </w:tabs>
        <w:kinsoku w:val="0"/>
        <w:overflowPunct w:val="0"/>
        <w:spacing w:before="1"/>
        <w:ind w:left="922"/>
      </w:pPr>
      <w:r>
        <w:t>——NaCl</w:t>
      </w:r>
      <w:r>
        <w:tab/>
      </w:r>
      <w:r>
        <w:t>8.0</w:t>
      </w:r>
      <w:r>
        <w:rPr>
          <w:spacing w:val="-1"/>
        </w:rPr>
        <w:t xml:space="preserve"> </w:t>
      </w:r>
      <w:r>
        <w:t>g</w:t>
      </w:r>
    </w:p>
    <w:p w14:paraId="67D977E5">
      <w:pPr>
        <w:pStyle w:val="4"/>
        <w:tabs>
          <w:tab w:val="left" w:pos="3342"/>
        </w:tabs>
        <w:kinsoku w:val="0"/>
        <w:overflowPunct w:val="0"/>
        <w:spacing w:before="42"/>
        <w:ind w:left="922"/>
        <w:rPr>
          <w:position w:val="1"/>
        </w:rPr>
      </w:pPr>
      <w:r>
        <w:rPr>
          <w:position w:val="1"/>
        </w:rPr>
        <w:t>——KH</w:t>
      </w:r>
      <w:r>
        <w:rPr>
          <w:sz w:val="11"/>
          <w:szCs w:val="11"/>
        </w:rPr>
        <w:t>2</w:t>
      </w:r>
      <w:r>
        <w:rPr>
          <w:position w:val="1"/>
        </w:rPr>
        <w:t>P0</w:t>
      </w:r>
      <w:r>
        <w:rPr>
          <w:sz w:val="11"/>
          <w:szCs w:val="11"/>
        </w:rPr>
        <w:t>4</w:t>
      </w:r>
      <w:r>
        <w:rPr>
          <w:sz w:val="11"/>
          <w:szCs w:val="11"/>
        </w:rPr>
        <w:tab/>
      </w:r>
      <w:r>
        <w:rPr>
          <w:position w:val="1"/>
        </w:rPr>
        <w:t>0.2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g</w:t>
      </w:r>
    </w:p>
    <w:p w14:paraId="6BD81997">
      <w:pPr>
        <w:pStyle w:val="4"/>
        <w:tabs>
          <w:tab w:val="left" w:pos="3291"/>
        </w:tabs>
        <w:kinsoku w:val="0"/>
        <w:overflowPunct w:val="0"/>
        <w:spacing w:before="43"/>
        <w:ind w:left="921"/>
        <w:rPr>
          <w:position w:val="1"/>
        </w:rPr>
      </w:pPr>
      <w:r>
        <w:rPr>
          <w:position w:val="1"/>
        </w:rPr>
        <w:t>——Na</w:t>
      </w:r>
      <w:r>
        <w:rPr>
          <w:sz w:val="11"/>
          <w:szCs w:val="11"/>
        </w:rPr>
        <w:t>2</w:t>
      </w:r>
      <w:r>
        <w:rPr>
          <w:position w:val="1"/>
        </w:rPr>
        <w:t>HP0</w:t>
      </w:r>
      <w:r>
        <w:rPr>
          <w:sz w:val="11"/>
          <w:szCs w:val="11"/>
        </w:rPr>
        <w:t>4</w:t>
      </w:r>
      <w:r>
        <w:rPr>
          <w:rFonts w:hint="eastAsia"/>
          <w:position w:val="1"/>
        </w:rPr>
        <w:t>·</w:t>
      </w:r>
      <w:r>
        <w:rPr>
          <w:position w:val="1"/>
        </w:rPr>
        <w:t>12H</w:t>
      </w:r>
      <w:r>
        <w:rPr>
          <w:sz w:val="11"/>
          <w:szCs w:val="11"/>
        </w:rPr>
        <w:t>2</w:t>
      </w:r>
      <w:r>
        <w:rPr>
          <w:position w:val="1"/>
        </w:rPr>
        <w:t>0</w:t>
      </w:r>
      <w:r>
        <w:rPr>
          <w:position w:val="1"/>
        </w:rPr>
        <w:tab/>
      </w:r>
      <w:r>
        <w:rPr>
          <w:position w:val="1"/>
        </w:rPr>
        <w:t>2.9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g</w:t>
      </w:r>
    </w:p>
    <w:p w14:paraId="3ED7D4AF">
      <w:pPr>
        <w:pStyle w:val="4"/>
        <w:tabs>
          <w:tab w:val="left" w:pos="3335"/>
        </w:tabs>
        <w:kinsoku w:val="0"/>
        <w:overflowPunct w:val="0"/>
        <w:spacing w:before="44"/>
        <w:ind w:left="921"/>
      </w:pPr>
      <w:r>
        <w:t>——KCL</w:t>
      </w:r>
      <w:r>
        <w:tab/>
      </w:r>
      <w:r>
        <w:t>0.2</w:t>
      </w:r>
      <w:r>
        <w:rPr>
          <w:spacing w:val="-1"/>
        </w:rPr>
        <w:t xml:space="preserve"> </w:t>
      </w:r>
      <w:r>
        <w:t>g</w:t>
      </w:r>
    </w:p>
    <w:p w14:paraId="6A24496B">
      <w:pPr>
        <w:pStyle w:val="4"/>
        <w:kinsoku w:val="0"/>
        <w:overflowPunct w:val="0"/>
        <w:spacing w:before="43" w:line="278" w:lineRule="auto"/>
        <w:ind w:left="497" w:right="429" w:firstLine="419"/>
      </w:pPr>
      <w:r>
        <w:rPr>
          <w:rFonts w:hint="eastAsia"/>
          <w:spacing w:val="-2"/>
        </w:rPr>
        <w:t>将上列试剂按次序加入定量容器中，加适量蒸馏水溶解后，再定容至</w:t>
      </w:r>
      <w:r>
        <w:rPr>
          <w:spacing w:val="-2"/>
        </w:rPr>
        <w:t xml:space="preserve"> </w:t>
      </w:r>
      <w:r>
        <w:t>1000</w:t>
      </w:r>
      <w:r>
        <w:rPr>
          <w:spacing w:val="-54"/>
        </w:rPr>
        <w:t xml:space="preserve"> </w:t>
      </w:r>
      <w:r>
        <w:rPr>
          <w:spacing w:val="-4"/>
        </w:rPr>
        <w:t>mL</w:t>
      </w:r>
      <w:r>
        <w:rPr>
          <w:rFonts w:hint="eastAsia"/>
          <w:spacing w:val="-2"/>
        </w:rPr>
        <w:t>，调</w:t>
      </w:r>
      <w:r>
        <w:t>pH</w:t>
      </w:r>
      <w:r>
        <w:rPr>
          <w:rFonts w:hint="eastAsia"/>
        </w:rPr>
        <w:t>至</w:t>
      </w:r>
      <w:r>
        <w:rPr>
          <w:spacing w:val="-3"/>
        </w:rPr>
        <w:t>7.4</w:t>
      </w:r>
      <w:r>
        <w:rPr>
          <w:rFonts w:hint="eastAsia"/>
          <w:spacing w:val="-2"/>
        </w:rPr>
        <w:t>，高压消毒灭菌</w:t>
      </w:r>
      <w:r>
        <w:t>112kPa20min</w:t>
      </w:r>
      <w:r>
        <w:rPr>
          <w:rFonts w:hint="eastAsia"/>
        </w:rPr>
        <w:t>，冷却后，保存于</w:t>
      </w:r>
      <w:r>
        <w:t>4</w:t>
      </w:r>
      <w:r>
        <w:rPr>
          <w:rFonts w:hint="eastAsia"/>
        </w:rPr>
        <w:t>℃冰箱中备用。</w:t>
      </w:r>
    </w:p>
    <w:p w14:paraId="15E46238">
      <w:pPr>
        <w:pStyle w:val="4"/>
        <w:kinsoku w:val="0"/>
        <w:overflowPunct w:val="0"/>
        <w:spacing w:before="5"/>
        <w:rPr>
          <w:sz w:val="24"/>
          <w:szCs w:val="24"/>
        </w:rPr>
      </w:pPr>
    </w:p>
    <w:p w14:paraId="652B28A8">
      <w:pPr>
        <w:pStyle w:val="12"/>
        <w:numPr>
          <w:ilvl w:val="1"/>
          <w:numId w:val="3"/>
        </w:numPr>
        <w:tabs>
          <w:tab w:val="left" w:pos="1023"/>
        </w:tabs>
        <w:kinsoku w:val="0"/>
        <w:overflowPunct w:val="0"/>
        <w:ind w:hanging="525"/>
        <w:rPr>
          <w:rFonts w:ascii="黑体" w:eastAsia="黑体" w:cs="黑体"/>
          <w:sz w:val="21"/>
          <w:szCs w:val="21"/>
        </w:rPr>
      </w:pPr>
      <w:r>
        <w:rPr>
          <w:rFonts w:hint="eastAsia" w:ascii="黑体" w:eastAsia="黑体" w:cs="黑体"/>
          <w:sz w:val="21"/>
          <w:szCs w:val="21"/>
        </w:rPr>
        <w:t>棉拭子用抗生素</w:t>
      </w:r>
      <w:r>
        <w:rPr>
          <w:rFonts w:ascii="黑体" w:eastAsia="黑体" w:cs="黑体"/>
          <w:sz w:val="21"/>
          <w:szCs w:val="21"/>
        </w:rPr>
        <w:t>PBS</w:t>
      </w:r>
      <w:r>
        <w:rPr>
          <w:rFonts w:hint="eastAsia" w:ascii="黑体" w:eastAsia="黑体" w:cs="黑体"/>
          <w:sz w:val="21"/>
          <w:szCs w:val="21"/>
        </w:rPr>
        <w:t>（病毒保存液）的配制</w:t>
      </w:r>
    </w:p>
    <w:p w14:paraId="4711BF57">
      <w:pPr>
        <w:pStyle w:val="4"/>
        <w:kinsoku w:val="0"/>
        <w:overflowPunct w:val="0"/>
        <w:spacing w:before="10"/>
        <w:rPr>
          <w:rFonts w:ascii="黑体" w:eastAsia="黑体" w:cs="黑体"/>
          <w:sz w:val="26"/>
          <w:szCs w:val="26"/>
        </w:rPr>
      </w:pPr>
    </w:p>
    <w:p w14:paraId="61CCBA6E">
      <w:pPr>
        <w:pStyle w:val="4"/>
        <w:kinsoku w:val="0"/>
        <w:overflowPunct w:val="0"/>
        <w:spacing w:before="1" w:line="273" w:lineRule="auto"/>
        <w:ind w:left="497" w:right="431" w:firstLine="419"/>
        <w:jc w:val="both"/>
      </w:pPr>
      <w:r>
        <w:rPr>
          <w:rFonts w:hint="eastAsia"/>
          <w:spacing w:val="-1"/>
        </w:rPr>
        <w:t>取上述</w:t>
      </w:r>
      <w:r>
        <w:t>PBS</w:t>
      </w:r>
      <w:r>
        <w:rPr>
          <w:rFonts w:hint="eastAsia"/>
          <w:spacing w:val="-5"/>
        </w:rPr>
        <w:t>液，按要求加入下列抗生素：喉气管拭子用</w:t>
      </w:r>
      <w:r>
        <w:t>PBS</w:t>
      </w:r>
      <w:r>
        <w:rPr>
          <w:rFonts w:hint="eastAsia"/>
          <w:spacing w:val="-2"/>
        </w:rPr>
        <w:t>液中加入青霉素</w:t>
      </w:r>
      <w:r>
        <w:t>(2000IU</w:t>
      </w:r>
      <w:r>
        <w:rPr>
          <w:rFonts w:hint="eastAsia"/>
        </w:rPr>
        <w:t>·</w:t>
      </w:r>
      <w:r>
        <w:t>mL</w:t>
      </w:r>
      <w:r>
        <w:rPr>
          <w:position w:val="11"/>
          <w:sz w:val="11"/>
          <w:szCs w:val="11"/>
        </w:rPr>
        <w:t>-1</w:t>
      </w:r>
      <w:r>
        <w:rPr>
          <w:spacing w:val="-8"/>
        </w:rPr>
        <w:t>)</w:t>
      </w:r>
      <w:r>
        <w:rPr>
          <w:rFonts w:hint="eastAsia"/>
          <w:spacing w:val="-8"/>
        </w:rPr>
        <w:t>、链</w:t>
      </w:r>
      <w:r>
        <w:rPr>
          <w:rFonts w:hint="eastAsia"/>
        </w:rPr>
        <w:t>霉素</w:t>
      </w:r>
      <w:r>
        <w:t>(2mg</w:t>
      </w:r>
      <w:r>
        <w:rPr>
          <w:rFonts w:hint="eastAsia"/>
        </w:rPr>
        <w:t>·</w:t>
      </w:r>
      <w:r>
        <w:t>mL</w:t>
      </w:r>
      <w:r>
        <w:rPr>
          <w:position w:val="11"/>
          <w:sz w:val="11"/>
          <w:szCs w:val="11"/>
        </w:rPr>
        <w:t>-1</w:t>
      </w:r>
      <w:r>
        <w:t>)</w:t>
      </w:r>
      <w:r>
        <w:rPr>
          <w:rFonts w:hint="eastAsia"/>
        </w:rPr>
        <w:t>、丁胺卡那霉素</w:t>
      </w:r>
      <w:r>
        <w:t>(1000IU</w:t>
      </w:r>
      <w:r>
        <w:rPr>
          <w:rFonts w:hint="eastAsia"/>
        </w:rPr>
        <w:t>·</w:t>
      </w:r>
      <w:r>
        <w:t>mL</w:t>
      </w:r>
      <w:r>
        <w:rPr>
          <w:position w:val="11"/>
          <w:sz w:val="11"/>
          <w:szCs w:val="11"/>
        </w:rPr>
        <w:t>-1</w:t>
      </w:r>
      <w:r>
        <w:t>)</w:t>
      </w:r>
      <w:r>
        <w:rPr>
          <w:rFonts w:hint="eastAsia"/>
        </w:rPr>
        <w:t>、制霉菌素</w:t>
      </w:r>
      <w:r>
        <w:t>(1000IU</w:t>
      </w:r>
      <w:r>
        <w:rPr>
          <w:rFonts w:hint="eastAsia"/>
        </w:rPr>
        <w:t>·</w:t>
      </w:r>
      <w:r>
        <w:t>mL</w:t>
      </w:r>
      <w:r>
        <w:rPr>
          <w:position w:val="11"/>
          <w:sz w:val="11"/>
          <w:szCs w:val="11"/>
        </w:rPr>
        <w:t>-1</w:t>
      </w:r>
      <w:r>
        <w:t>)</w:t>
      </w:r>
      <w:r>
        <w:rPr>
          <w:rFonts w:hint="eastAsia"/>
        </w:rPr>
        <w:t>。粪便和泄殖腔拭子所用</w:t>
      </w:r>
      <w:r>
        <w:rPr>
          <w:rFonts w:hint="eastAsia"/>
          <w:spacing w:val="-1"/>
        </w:rPr>
        <w:t>的</w:t>
      </w:r>
      <w:r>
        <w:t>PBS</w:t>
      </w:r>
      <w:r>
        <w:rPr>
          <w:rFonts w:hint="eastAsia"/>
        </w:rPr>
        <w:t>中，抗生素浓度应提高</w:t>
      </w:r>
      <w:r>
        <w:t>5</w:t>
      </w:r>
      <w:r>
        <w:rPr>
          <w:rFonts w:hint="eastAsia"/>
        </w:rPr>
        <w:t>倍。加入抗生素后应调</w:t>
      </w:r>
      <w:r>
        <w:t>pH</w:t>
      </w:r>
      <w:r>
        <w:rPr>
          <w:rFonts w:hint="eastAsia"/>
        </w:rPr>
        <w:t>至</w:t>
      </w:r>
      <w:r>
        <w:t>7.4</w:t>
      </w:r>
      <w:r>
        <w:rPr>
          <w:rFonts w:hint="eastAsia"/>
        </w:rPr>
        <w:t>。</w:t>
      </w:r>
    </w:p>
    <w:p w14:paraId="4703DBA7">
      <w:pPr>
        <w:pStyle w:val="4"/>
        <w:kinsoku w:val="0"/>
        <w:overflowPunct w:val="0"/>
        <w:spacing w:before="5"/>
        <w:ind w:left="917"/>
      </w:pPr>
      <w:r>
        <w:rPr>
          <w:rFonts w:hint="eastAsia"/>
        </w:rPr>
        <w:t>采样前将</w:t>
      </w:r>
      <w:r>
        <w:t>PBS</w:t>
      </w:r>
      <w:r>
        <w:rPr>
          <w:rFonts w:hint="eastAsia"/>
        </w:rPr>
        <w:t>分装至</w:t>
      </w:r>
      <w:r>
        <w:t>1.5mL</w:t>
      </w:r>
      <w:r>
        <w:rPr>
          <w:rFonts w:hint="eastAsia"/>
        </w:rPr>
        <w:t>塑料离心管，每管中加这种</w:t>
      </w:r>
      <w:r>
        <w:t>PBS0.8</w:t>
      </w:r>
      <w:r>
        <w:rPr>
          <w:rFonts w:hint="eastAsia"/>
        </w:rPr>
        <w:t>～</w:t>
      </w:r>
      <w:r>
        <w:t>1.0mL</w:t>
      </w:r>
      <w:r>
        <w:rPr>
          <w:rFonts w:hint="eastAsia"/>
        </w:rPr>
        <w:t>。</w:t>
      </w:r>
    </w:p>
    <w:p w14:paraId="17F5F181">
      <w:pPr>
        <w:pStyle w:val="4"/>
        <w:kinsoku w:val="0"/>
        <w:overflowPunct w:val="0"/>
        <w:spacing w:before="43" w:line="278" w:lineRule="auto"/>
        <w:ind w:left="497" w:right="430" w:firstLine="420"/>
      </w:pPr>
      <w:r>
        <w:rPr>
          <w:rFonts w:hint="eastAsia"/>
        </w:rPr>
        <w:t>采粪便和泄殖腔拭子时，在塑料离心管中加含有</w:t>
      </w:r>
      <w:r>
        <w:t>5</w:t>
      </w:r>
      <w:r>
        <w:rPr>
          <w:rFonts w:hint="eastAsia"/>
        </w:rPr>
        <w:t>倍浓度抗生素的</w:t>
      </w:r>
      <w:r>
        <w:t>PBS0.8</w:t>
      </w:r>
      <w:r>
        <w:rPr>
          <w:rFonts w:hint="eastAsia"/>
        </w:rPr>
        <w:t>～</w:t>
      </w:r>
      <w:r>
        <w:t>1.0mL</w:t>
      </w:r>
      <w:r>
        <w:rPr>
          <w:rFonts w:hint="eastAsia"/>
        </w:rPr>
        <w:t>，采样前冷冻保存。</w:t>
      </w:r>
    </w:p>
    <w:p w14:paraId="1EDF1990">
      <w:pPr>
        <w:pStyle w:val="4"/>
        <w:kinsoku w:val="0"/>
        <w:overflowPunct w:val="0"/>
        <w:spacing w:before="43" w:line="278" w:lineRule="auto"/>
        <w:ind w:right="430"/>
      </w:pPr>
    </w:p>
    <w:p w14:paraId="58C4E405">
      <w:pPr>
        <w:pStyle w:val="12"/>
        <w:numPr>
          <w:ilvl w:val="1"/>
          <w:numId w:val="3"/>
        </w:numPr>
        <w:tabs>
          <w:tab w:val="left" w:pos="1023"/>
        </w:tabs>
        <w:kinsoku w:val="0"/>
        <w:overflowPunct w:val="0"/>
        <w:ind w:hanging="525"/>
        <w:rPr>
          <w:rFonts w:ascii="黑体" w:eastAsia="黑体" w:cs="黑体"/>
          <w:sz w:val="21"/>
          <w:szCs w:val="21"/>
        </w:rPr>
      </w:pPr>
      <w:r>
        <w:rPr>
          <w:rFonts w:ascii="黑体" w:eastAsia="黑体" w:cs="黑体"/>
          <w:sz w:val="21"/>
          <w:szCs w:val="21"/>
        </w:rPr>
        <w:t>30%</w:t>
      </w:r>
      <w:r>
        <w:rPr>
          <w:rFonts w:hint="eastAsia" w:ascii="黑体" w:eastAsia="黑体" w:cs="黑体"/>
          <w:sz w:val="21"/>
          <w:szCs w:val="21"/>
        </w:rPr>
        <w:t>甘油磷酸盐缓冲液</w:t>
      </w:r>
      <w:r>
        <w:rPr>
          <w:rFonts w:ascii="黑体" w:eastAsia="黑体" w:cs="黑体"/>
          <w:sz w:val="21"/>
          <w:szCs w:val="21"/>
        </w:rPr>
        <w:t>(pH7.6)</w:t>
      </w:r>
    </w:p>
    <w:p w14:paraId="6BD6BFAE">
      <w:pPr>
        <w:pStyle w:val="4"/>
        <w:kinsoku w:val="0"/>
        <w:overflowPunct w:val="0"/>
        <w:spacing w:before="10"/>
        <w:rPr>
          <w:rFonts w:ascii="黑体" w:eastAsia="黑体" w:cs="黑体"/>
          <w:sz w:val="26"/>
          <w:szCs w:val="26"/>
        </w:rPr>
      </w:pPr>
    </w:p>
    <w:p w14:paraId="4E0A2984">
      <w:pPr>
        <w:pStyle w:val="4"/>
        <w:tabs>
          <w:tab w:val="left" w:pos="3335"/>
        </w:tabs>
        <w:kinsoku w:val="0"/>
        <w:overflowPunct w:val="0"/>
        <w:spacing w:before="1"/>
        <w:ind w:left="922"/>
      </w:pPr>
      <w:r>
        <w:rPr>
          <w:rFonts w:hint="eastAsia"/>
        </w:rPr>
        <w:t>甘油</w:t>
      </w:r>
      <w:r>
        <w:t xml:space="preserve">                       30.00 mL</w:t>
      </w:r>
    </w:p>
    <w:p w14:paraId="0F59388C">
      <w:pPr>
        <w:pStyle w:val="4"/>
        <w:tabs>
          <w:tab w:val="left" w:pos="3335"/>
        </w:tabs>
        <w:kinsoku w:val="0"/>
        <w:overflowPunct w:val="0"/>
        <w:spacing w:before="1"/>
        <w:ind w:left="922"/>
      </w:pPr>
      <w:r>
        <w:rPr>
          <w:rFonts w:hint="eastAsia"/>
        </w:rPr>
        <w:t>氯化钠</w:t>
      </w:r>
      <w:r>
        <w:t>(NaCl)               4.20 g</w:t>
      </w:r>
    </w:p>
    <w:p w14:paraId="5649DB41">
      <w:pPr>
        <w:pStyle w:val="4"/>
        <w:tabs>
          <w:tab w:val="left" w:pos="3335"/>
        </w:tabs>
        <w:kinsoku w:val="0"/>
        <w:overflowPunct w:val="0"/>
        <w:spacing w:before="1"/>
        <w:ind w:left="922"/>
      </w:pPr>
      <w:r>
        <w:rPr>
          <w:rFonts w:hint="eastAsia"/>
        </w:rPr>
        <w:t>磷酸二氢钾</w:t>
      </w:r>
      <w:r>
        <w:t>(KH2PO4)         1.00 g</w:t>
      </w:r>
    </w:p>
    <w:p w14:paraId="65A65298">
      <w:pPr>
        <w:pStyle w:val="4"/>
        <w:tabs>
          <w:tab w:val="left" w:pos="3335"/>
        </w:tabs>
        <w:kinsoku w:val="0"/>
        <w:overflowPunct w:val="0"/>
        <w:spacing w:before="1"/>
        <w:ind w:left="922"/>
      </w:pPr>
      <w:r>
        <w:rPr>
          <w:rFonts w:hint="eastAsia"/>
        </w:rPr>
        <w:t>磷酸氢二钾（</w:t>
      </w:r>
      <w:r>
        <w:t>K2HPO4 )       3.10 g</w:t>
      </w:r>
    </w:p>
    <w:p w14:paraId="60007940">
      <w:pPr>
        <w:pStyle w:val="4"/>
        <w:kinsoku w:val="0"/>
        <w:overflowPunct w:val="0"/>
        <w:ind w:firstLine="1000" w:firstLineChars="500"/>
        <w:rPr>
          <w:sz w:val="20"/>
          <w:szCs w:val="20"/>
        </w:rPr>
      </w:pPr>
      <w:r>
        <w:rPr>
          <w:sz w:val="20"/>
          <w:szCs w:val="20"/>
        </w:rPr>
        <w:t xml:space="preserve">0.02% </w:t>
      </w:r>
      <w:r>
        <w:rPr>
          <w:rFonts w:hint="eastAsia"/>
          <w:sz w:val="20"/>
          <w:szCs w:val="20"/>
        </w:rPr>
        <w:t>酚红</w:t>
      </w:r>
      <w:r>
        <w:rPr>
          <w:sz w:val="20"/>
          <w:szCs w:val="20"/>
        </w:rPr>
        <w:t xml:space="preserve">                  1.50 mL</w:t>
      </w:r>
    </w:p>
    <w:p w14:paraId="10E0E33F">
      <w:pPr>
        <w:pStyle w:val="4"/>
        <w:kinsoku w:val="0"/>
        <w:overflowPunct w:val="0"/>
        <w:ind w:firstLine="900" w:firstLineChars="450"/>
        <w:rPr>
          <w:sz w:val="20"/>
          <w:szCs w:val="20"/>
        </w:rPr>
      </w:pPr>
      <w:r>
        <w:rPr>
          <w:rFonts w:hint="eastAsia"/>
          <w:sz w:val="20"/>
          <w:szCs w:val="20"/>
        </w:rPr>
        <w:t>蒸馏水</w:t>
      </w:r>
      <w:r>
        <w:rPr>
          <w:sz w:val="20"/>
          <w:szCs w:val="20"/>
        </w:rPr>
        <w:t xml:space="preserve">                      </w:t>
      </w:r>
      <w:r>
        <w:rPr>
          <w:rFonts w:hint="eastAsia"/>
          <w:sz w:val="20"/>
          <w:szCs w:val="20"/>
        </w:rPr>
        <w:t>加至</w:t>
      </w:r>
      <w:r>
        <w:rPr>
          <w:sz w:val="20"/>
          <w:szCs w:val="20"/>
        </w:rPr>
        <w:t>100mL</w:t>
      </w:r>
    </w:p>
    <w:p w14:paraId="16CA7482">
      <w:pPr>
        <w:pStyle w:val="4"/>
        <w:kinsoku w:val="0"/>
        <w:overflowPunct w:val="0"/>
        <w:spacing w:before="43" w:line="278" w:lineRule="auto"/>
        <w:ind w:left="497" w:right="430" w:firstLine="420"/>
      </w:pPr>
      <w:r>
        <w:rPr>
          <w:rFonts w:hint="eastAsia"/>
        </w:rPr>
        <w:t>调配方法：</w:t>
      </w:r>
      <w:bookmarkStart w:id="0" w:name="_GoBack"/>
      <w:r>
        <w:rPr>
          <w:rFonts w:hint="eastAsia"/>
        </w:rPr>
        <w:t>加热溶化</w:t>
      </w:r>
      <w:bookmarkEnd w:id="0"/>
      <w:r>
        <w:rPr>
          <w:rFonts w:hint="eastAsia"/>
        </w:rPr>
        <w:t>，校正</w:t>
      </w:r>
      <w:r>
        <w:t>pH</w:t>
      </w:r>
      <w:r>
        <w:rPr>
          <w:rFonts w:hint="eastAsia"/>
        </w:rPr>
        <w:t>为</w:t>
      </w:r>
      <w:r>
        <w:t>7.6,100kPa,15min</w:t>
      </w:r>
      <w:r>
        <w:rPr>
          <w:rFonts w:hint="eastAsia"/>
        </w:rPr>
        <w:t>灭菌，冰箱保存备用。</w:t>
      </w:r>
    </w:p>
    <w:p w14:paraId="486F904D">
      <w:pPr>
        <w:pStyle w:val="4"/>
        <w:tabs>
          <w:tab w:val="left" w:pos="3335"/>
        </w:tabs>
        <w:kinsoku w:val="0"/>
        <w:overflowPunct w:val="0"/>
        <w:spacing w:before="1"/>
        <w:ind w:left="922"/>
      </w:pPr>
    </w:p>
    <w:p w14:paraId="01FF6D33">
      <w:pPr>
        <w:pStyle w:val="4"/>
        <w:tabs>
          <w:tab w:val="left" w:pos="3291"/>
        </w:tabs>
        <w:kinsoku w:val="0"/>
        <w:overflowPunct w:val="0"/>
        <w:spacing w:before="43"/>
        <w:ind w:left="921"/>
        <w:rPr>
          <w:position w:val="1"/>
        </w:rPr>
      </w:pPr>
    </w:p>
    <w:p w14:paraId="08E745DD">
      <w:pPr>
        <w:pStyle w:val="4"/>
        <w:kinsoku w:val="0"/>
        <w:overflowPunct w:val="0"/>
        <w:rPr>
          <w:sz w:val="20"/>
          <w:szCs w:val="20"/>
        </w:rPr>
      </w:pPr>
    </w:p>
    <w:p w14:paraId="14FDC3E5">
      <w:pPr>
        <w:pStyle w:val="4"/>
        <w:kinsoku w:val="0"/>
        <w:overflowPunct w:val="0"/>
        <w:rPr>
          <w:sz w:val="20"/>
          <w:szCs w:val="20"/>
        </w:rPr>
      </w:pPr>
    </w:p>
    <w:p w14:paraId="543B6B17">
      <w:pPr>
        <w:pStyle w:val="4"/>
        <w:kinsoku w:val="0"/>
        <w:overflowPunct w:val="0"/>
        <w:rPr>
          <w:sz w:val="20"/>
          <w:szCs w:val="20"/>
        </w:rPr>
      </w:pPr>
    </w:p>
    <w:p w14:paraId="78B99CAF">
      <w:pPr>
        <w:pStyle w:val="4"/>
        <w:kinsoku w:val="0"/>
        <w:overflowPunct w:val="0"/>
        <w:rPr>
          <w:sz w:val="20"/>
          <w:szCs w:val="20"/>
        </w:rPr>
      </w:pPr>
    </w:p>
    <w:p w14:paraId="52BE00D4">
      <w:pPr>
        <w:pStyle w:val="4"/>
        <w:kinsoku w:val="0"/>
        <w:overflowPunct w:val="0"/>
        <w:rPr>
          <w:sz w:val="20"/>
          <w:szCs w:val="20"/>
        </w:rPr>
      </w:pPr>
    </w:p>
    <w:p w14:paraId="359F8782">
      <w:pPr>
        <w:pStyle w:val="4"/>
        <w:kinsoku w:val="0"/>
        <w:overflowPunct w:val="0"/>
        <w:rPr>
          <w:sz w:val="20"/>
          <w:szCs w:val="20"/>
        </w:rPr>
      </w:pPr>
    </w:p>
    <w:p w14:paraId="3E39A82F">
      <w:pPr>
        <w:pStyle w:val="4"/>
        <w:kinsoku w:val="0"/>
        <w:overflowPunct w:val="0"/>
        <w:rPr>
          <w:sz w:val="20"/>
          <w:szCs w:val="20"/>
        </w:rPr>
      </w:pPr>
    </w:p>
    <w:p w14:paraId="57C8BB17">
      <w:pPr>
        <w:pStyle w:val="4"/>
        <w:kinsoku w:val="0"/>
        <w:overflowPunct w:val="0"/>
        <w:rPr>
          <w:sz w:val="20"/>
          <w:szCs w:val="20"/>
        </w:rPr>
      </w:pPr>
    </w:p>
    <w:p w14:paraId="02CCBA8C">
      <w:pPr>
        <w:pStyle w:val="4"/>
        <w:kinsoku w:val="0"/>
        <w:overflowPunct w:val="0"/>
        <w:rPr>
          <w:sz w:val="20"/>
          <w:szCs w:val="20"/>
        </w:rPr>
      </w:pPr>
    </w:p>
    <w:p w14:paraId="57FD01E7">
      <w:pPr>
        <w:pStyle w:val="4"/>
        <w:kinsoku w:val="0"/>
        <w:overflowPunct w:val="0"/>
        <w:rPr>
          <w:sz w:val="20"/>
          <w:szCs w:val="20"/>
        </w:rPr>
      </w:pPr>
    </w:p>
    <w:p w14:paraId="188A4D30">
      <w:pPr>
        <w:pStyle w:val="4"/>
        <w:kinsoku w:val="0"/>
        <w:overflowPunct w:val="0"/>
        <w:rPr>
          <w:sz w:val="20"/>
          <w:szCs w:val="20"/>
        </w:rPr>
      </w:pPr>
    </w:p>
    <w:p w14:paraId="5A728E7C">
      <w:pPr>
        <w:pStyle w:val="4"/>
        <w:kinsoku w:val="0"/>
        <w:overflowPunct w:val="0"/>
        <w:rPr>
          <w:sz w:val="20"/>
          <w:szCs w:val="20"/>
        </w:rPr>
      </w:pPr>
    </w:p>
    <w:p w14:paraId="3C180515">
      <w:pPr>
        <w:pStyle w:val="4"/>
        <w:kinsoku w:val="0"/>
        <w:overflowPunct w:val="0"/>
        <w:rPr>
          <w:sz w:val="20"/>
          <w:szCs w:val="20"/>
        </w:rPr>
      </w:pPr>
    </w:p>
    <w:p w14:paraId="238AB10C">
      <w:pPr>
        <w:pStyle w:val="4"/>
        <w:kinsoku w:val="0"/>
        <w:overflowPunct w:val="0"/>
        <w:rPr>
          <w:sz w:val="20"/>
          <w:szCs w:val="20"/>
        </w:rPr>
      </w:pPr>
    </w:p>
    <w:p w14:paraId="5B5174BD">
      <w:pPr>
        <w:pStyle w:val="4"/>
        <w:kinsoku w:val="0"/>
        <w:overflowPunct w:val="0"/>
        <w:rPr>
          <w:sz w:val="20"/>
          <w:szCs w:val="20"/>
        </w:rPr>
      </w:pPr>
    </w:p>
    <w:p w14:paraId="2A7747FE">
      <w:pPr>
        <w:pStyle w:val="4"/>
        <w:kinsoku w:val="0"/>
        <w:overflowPunct w:val="0"/>
        <w:spacing w:before="59"/>
        <w:ind w:left="214"/>
        <w:jc w:val="right"/>
        <w:rPr>
          <w:rFonts w:ascii="黑体" w:eastAsia="黑体" w:cs="黑体"/>
        </w:rPr>
      </w:pPr>
    </w:p>
    <w:p w14:paraId="2159C14B">
      <w:pPr>
        <w:pStyle w:val="4"/>
        <w:kinsoku w:val="0"/>
        <w:overflowPunct w:val="0"/>
        <w:spacing w:before="59"/>
        <w:ind w:left="214"/>
        <w:jc w:val="right"/>
        <w:rPr>
          <w:rFonts w:ascii="黑体" w:eastAsia="黑体" w:cs="黑体"/>
        </w:rPr>
      </w:pPr>
      <w:r>
        <w:rPr>
          <w:rFonts w:ascii="黑体" w:eastAsia="黑体" w:cs="黑体"/>
        </w:rPr>
        <w:t>DB34/T 1390</w:t>
      </w:r>
      <w:r>
        <w:rPr>
          <w:rFonts w:ascii="Times New Roman" w:eastAsia="黑体" w:cs="Times New Roman"/>
        </w:rPr>
        <w:t>—</w:t>
      </w:r>
      <w:r>
        <w:rPr>
          <w:rFonts w:ascii="黑体" w:eastAsia="黑体" w:cs="黑体"/>
        </w:rPr>
        <w:t>20XX</w:t>
      </w:r>
    </w:p>
    <w:p w14:paraId="6749EC40">
      <w:pPr>
        <w:pStyle w:val="4"/>
        <w:tabs>
          <w:tab w:val="left" w:pos="420"/>
          <w:tab w:val="left" w:pos="840"/>
        </w:tabs>
        <w:kinsoku w:val="0"/>
        <w:overflowPunct w:val="0"/>
        <w:spacing w:before="71"/>
        <w:ind w:right="499"/>
        <w:jc w:val="center"/>
        <w:rPr>
          <w:rFonts w:ascii="黑体" w:eastAsia="黑体" w:cs="黑体"/>
        </w:rPr>
      </w:pPr>
      <w:r>
        <w:rPr>
          <w:rFonts w:hint="eastAsia" w:ascii="黑体" w:eastAsia="黑体" w:cs="黑体"/>
        </w:rPr>
        <w:t>附</w:t>
      </w:r>
      <w:r>
        <w:rPr>
          <w:rFonts w:ascii="黑体" w:eastAsia="黑体" w:cs="黑体"/>
        </w:rPr>
        <w:tab/>
      </w:r>
      <w:r>
        <w:rPr>
          <w:rFonts w:hint="eastAsia" w:ascii="黑体" w:eastAsia="黑体" w:cs="黑体"/>
        </w:rPr>
        <w:t>录</w:t>
      </w:r>
      <w:r>
        <w:rPr>
          <w:rFonts w:ascii="黑体" w:eastAsia="黑体" w:cs="黑体"/>
        </w:rPr>
        <w:tab/>
      </w:r>
      <w:r>
        <w:rPr>
          <w:rFonts w:ascii="黑体" w:eastAsia="黑体" w:cs="黑体"/>
        </w:rPr>
        <w:t>B</w:t>
      </w:r>
    </w:p>
    <w:p w14:paraId="3B205525">
      <w:pPr>
        <w:pStyle w:val="4"/>
        <w:tabs>
          <w:tab w:val="left" w:pos="420"/>
          <w:tab w:val="left" w:pos="840"/>
        </w:tabs>
        <w:kinsoku w:val="0"/>
        <w:overflowPunct w:val="0"/>
        <w:spacing w:before="71"/>
        <w:ind w:right="499"/>
        <w:jc w:val="center"/>
        <w:rPr>
          <w:rFonts w:ascii="黑体" w:eastAsia="黑体" w:cs="黑体"/>
        </w:rPr>
      </w:pPr>
      <w:r>
        <w:rPr>
          <w:rFonts w:hint="eastAsia" w:ascii="黑体" w:eastAsia="黑体" w:cs="黑体"/>
        </w:rPr>
        <w:t>（资料性附录）</w:t>
      </w:r>
    </w:p>
    <w:p w14:paraId="7FACE9D3">
      <w:pPr>
        <w:pStyle w:val="4"/>
        <w:kinsoku w:val="0"/>
        <w:overflowPunct w:val="0"/>
        <w:spacing w:before="44"/>
        <w:ind w:left="352" w:right="288" w:firstLine="3990" w:firstLineChars="1900"/>
        <w:rPr>
          <w:rFonts w:ascii="黑体" w:eastAsia="黑体" w:cs="黑体"/>
        </w:rPr>
      </w:pPr>
      <w:r>
        <w:rPr>
          <w:rFonts w:hint="eastAsia" w:ascii="黑体" w:eastAsia="黑体" w:cs="黑体"/>
        </w:rPr>
        <w:t>抽（采）样单</w:t>
      </w:r>
    </w:p>
    <w:p w14:paraId="1336E1CA">
      <w:pPr>
        <w:pStyle w:val="4"/>
        <w:kinsoku w:val="0"/>
        <w:overflowPunct w:val="0"/>
        <w:spacing w:before="44"/>
        <w:ind w:left="69" w:right="568"/>
        <w:jc w:val="center"/>
        <w:rPr>
          <w:rFonts w:ascii="黑体" w:eastAsia="黑体" w:cs="黑体"/>
          <w:sz w:val="28"/>
          <w:szCs w:val="28"/>
        </w:rPr>
      </w:pPr>
    </w:p>
    <w:tbl>
      <w:tblPr>
        <w:tblStyle w:val="7"/>
        <w:tblW w:w="5000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9"/>
        <w:gridCol w:w="2316"/>
        <w:gridCol w:w="1324"/>
        <w:gridCol w:w="1820"/>
        <w:gridCol w:w="1324"/>
        <w:gridCol w:w="498"/>
        <w:gridCol w:w="1645"/>
      </w:tblGrid>
      <w:tr w14:paraId="5E82BA0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52" w:type="pc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75CF586F">
            <w:pPr>
              <w:spacing w:line="360" w:lineRule="auto"/>
              <w:rPr>
                <w:rFonts w:hint="eastAsia" w:ascii="等线" w:hAnsi="等线" w:eastAsia="等线"/>
                <w:b/>
                <w:szCs w:val="21"/>
              </w:rPr>
            </w:pPr>
            <w:r>
              <w:rPr>
                <w:rFonts w:hint="eastAsia" w:ascii="等线" w:hAnsi="等线" w:eastAsia="等线"/>
                <w:b/>
                <w:szCs w:val="21"/>
              </w:rPr>
              <w:t>采样点名称</w:t>
            </w:r>
          </w:p>
        </w:tc>
        <w:tc>
          <w:tcPr>
            <w:tcW w:w="1732" w:type="pct"/>
            <w:gridSpan w:val="2"/>
            <w:tcBorders>
              <w:top w:val="single" w:color="auto" w:sz="12" w:space="0"/>
            </w:tcBorders>
            <w:vAlign w:val="center"/>
          </w:tcPr>
          <w:p w14:paraId="0DBB0FD4">
            <w:pPr>
              <w:spacing w:line="360" w:lineRule="auto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66" w:type="pct"/>
            <w:tcBorders>
              <w:top w:val="single" w:color="auto" w:sz="12" w:space="0"/>
            </w:tcBorders>
            <w:vAlign w:val="center"/>
          </w:tcPr>
          <w:p w14:paraId="01D264EF">
            <w:pPr>
              <w:spacing w:line="360" w:lineRule="auto"/>
              <w:jc w:val="center"/>
              <w:rPr>
                <w:rFonts w:hint="eastAsia" w:ascii="等线" w:hAnsi="等线" w:eastAsia="等线"/>
                <w:b/>
                <w:szCs w:val="21"/>
              </w:rPr>
            </w:pPr>
            <w:r>
              <w:rPr>
                <w:rFonts w:hint="eastAsia" w:ascii="等线" w:hAnsi="等线" w:eastAsia="等线"/>
                <w:b/>
                <w:szCs w:val="21"/>
              </w:rPr>
              <w:t>地址</w:t>
            </w:r>
          </w:p>
        </w:tc>
        <w:tc>
          <w:tcPr>
            <w:tcW w:w="1650" w:type="pct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6D8106FF"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  </w:t>
            </w:r>
            <w:r>
              <w:rPr>
                <w:rFonts w:hint="eastAsia" w:hAnsi="宋体"/>
                <w:szCs w:val="21"/>
              </w:rPr>
              <w:t xml:space="preserve"> 县    乡（镇）    村 </w:t>
            </w:r>
          </w:p>
        </w:tc>
      </w:tr>
      <w:tr w14:paraId="2D043D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52" w:type="pct"/>
            <w:tcBorders>
              <w:left w:val="single" w:color="auto" w:sz="12" w:space="0"/>
            </w:tcBorders>
            <w:vAlign w:val="center"/>
          </w:tcPr>
          <w:p w14:paraId="7BF95183">
            <w:pPr>
              <w:jc w:val="center"/>
              <w:rPr>
                <w:rFonts w:hint="eastAsia" w:ascii="等线" w:hAnsi="等线" w:eastAsia="等线"/>
                <w:b/>
                <w:szCs w:val="21"/>
              </w:rPr>
            </w:pPr>
            <w:r>
              <w:rPr>
                <w:rFonts w:hint="eastAsia" w:ascii="等线" w:hAnsi="等线" w:eastAsia="等线"/>
                <w:b/>
                <w:szCs w:val="21"/>
              </w:rPr>
              <w:t>经度</w:t>
            </w:r>
          </w:p>
        </w:tc>
        <w:tc>
          <w:tcPr>
            <w:tcW w:w="1732" w:type="pct"/>
            <w:gridSpan w:val="2"/>
            <w:vAlign w:val="center"/>
          </w:tcPr>
          <w:p w14:paraId="02BC8EEE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66" w:type="pct"/>
            <w:vAlign w:val="center"/>
          </w:tcPr>
          <w:p w14:paraId="728DD4E3">
            <w:pPr>
              <w:spacing w:line="360" w:lineRule="auto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ascii="等线" w:hAnsi="等线" w:eastAsia="等线"/>
                <w:b/>
                <w:szCs w:val="21"/>
              </w:rPr>
              <w:t>纬度</w:t>
            </w:r>
          </w:p>
        </w:tc>
        <w:tc>
          <w:tcPr>
            <w:tcW w:w="1650" w:type="pct"/>
            <w:gridSpan w:val="3"/>
            <w:tcBorders>
              <w:right w:val="single" w:color="auto" w:sz="12" w:space="0"/>
            </w:tcBorders>
            <w:vAlign w:val="center"/>
          </w:tcPr>
          <w:p w14:paraId="736F2CE7">
            <w:pPr>
              <w:spacing w:line="360" w:lineRule="auto"/>
              <w:jc w:val="center"/>
              <w:rPr>
                <w:rFonts w:eastAsia="仿宋_GB2312"/>
                <w:szCs w:val="21"/>
              </w:rPr>
            </w:pPr>
          </w:p>
        </w:tc>
      </w:tr>
      <w:tr w14:paraId="09E6E77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752" w:type="pct"/>
            <w:vMerge w:val="restart"/>
            <w:tcBorders>
              <w:left w:val="single" w:color="auto" w:sz="12" w:space="0"/>
            </w:tcBorders>
            <w:vAlign w:val="center"/>
          </w:tcPr>
          <w:p w14:paraId="3640A44D">
            <w:pPr>
              <w:spacing w:line="240" w:lineRule="exact"/>
              <w:jc w:val="center"/>
              <w:rPr>
                <w:rFonts w:hint="eastAsia" w:ascii="等线" w:hAnsi="等线" w:eastAsia="等线"/>
                <w:b/>
                <w:szCs w:val="21"/>
              </w:rPr>
            </w:pPr>
            <w:r>
              <w:rPr>
                <w:rFonts w:hint="eastAsia" w:ascii="等线" w:hAnsi="等线" w:eastAsia="等线"/>
                <w:b/>
                <w:szCs w:val="21"/>
              </w:rPr>
              <w:t>动物</w:t>
            </w:r>
          </w:p>
          <w:p w14:paraId="0FA42A2F">
            <w:pPr>
              <w:spacing w:line="240" w:lineRule="exact"/>
              <w:jc w:val="center"/>
              <w:rPr>
                <w:rFonts w:hint="eastAsia" w:ascii="等线" w:hAnsi="等线" w:eastAsia="等线"/>
                <w:b/>
                <w:szCs w:val="21"/>
              </w:rPr>
            </w:pPr>
            <w:r>
              <w:rPr>
                <w:rFonts w:hint="eastAsia" w:ascii="等线" w:hAnsi="等线" w:eastAsia="等线"/>
                <w:b/>
                <w:szCs w:val="21"/>
              </w:rPr>
              <w:t>用途</w:t>
            </w:r>
          </w:p>
        </w:tc>
        <w:tc>
          <w:tcPr>
            <w:tcW w:w="1102" w:type="pct"/>
            <w:vMerge w:val="restart"/>
            <w:vAlign w:val="center"/>
          </w:tcPr>
          <w:p w14:paraId="687388B5">
            <w:pPr>
              <w:spacing w:line="24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〇蛋用  〇种用</w:t>
            </w:r>
          </w:p>
          <w:p w14:paraId="7D289CC9">
            <w:pPr>
              <w:spacing w:line="24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〇肉用  〇兼用</w:t>
            </w:r>
          </w:p>
          <w:p w14:paraId="1211B22A">
            <w:pPr>
              <w:spacing w:line="24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 xml:space="preserve">〇奶用  〇宠物  </w:t>
            </w:r>
          </w:p>
          <w:p w14:paraId="79FC3641">
            <w:pPr>
              <w:spacing w:line="240" w:lineRule="exact"/>
              <w:rPr>
                <w:rFonts w:eastAsia="仿宋_GB2312"/>
                <w:szCs w:val="21"/>
              </w:rPr>
            </w:pPr>
            <w:r>
              <w:rPr>
                <w:rFonts w:hint="eastAsia" w:hAnsi="宋体"/>
                <w:szCs w:val="21"/>
              </w:rPr>
              <w:t>〇其他</w:t>
            </w:r>
          </w:p>
        </w:tc>
        <w:tc>
          <w:tcPr>
            <w:tcW w:w="630" w:type="pct"/>
            <w:vMerge w:val="restart"/>
            <w:vAlign w:val="center"/>
          </w:tcPr>
          <w:p w14:paraId="199DAF7D">
            <w:pPr>
              <w:spacing w:line="240" w:lineRule="exact"/>
              <w:jc w:val="center"/>
              <w:rPr>
                <w:rFonts w:hint="eastAsia" w:ascii="等线" w:hAnsi="等线" w:eastAsia="等线"/>
                <w:b/>
                <w:szCs w:val="21"/>
              </w:rPr>
            </w:pPr>
            <w:r>
              <w:rPr>
                <w:rFonts w:hint="eastAsia" w:ascii="等线" w:hAnsi="等线" w:eastAsia="等线"/>
                <w:b/>
                <w:szCs w:val="21"/>
              </w:rPr>
              <w:t>动物</w:t>
            </w:r>
          </w:p>
          <w:p w14:paraId="0629E04B">
            <w:pPr>
              <w:spacing w:line="240" w:lineRule="exact"/>
              <w:jc w:val="center"/>
              <w:rPr>
                <w:rFonts w:hint="eastAsia" w:ascii="等线" w:hAnsi="等线" w:eastAsia="等线"/>
                <w:b/>
                <w:szCs w:val="21"/>
              </w:rPr>
            </w:pPr>
            <w:r>
              <w:rPr>
                <w:rFonts w:hint="eastAsia" w:ascii="等线" w:hAnsi="等线" w:eastAsia="等线"/>
                <w:b/>
                <w:szCs w:val="21"/>
              </w:rPr>
              <w:t>代次</w:t>
            </w:r>
          </w:p>
        </w:tc>
        <w:tc>
          <w:tcPr>
            <w:tcW w:w="866" w:type="pct"/>
            <w:vMerge w:val="restart"/>
            <w:vAlign w:val="center"/>
          </w:tcPr>
          <w:p w14:paraId="774919C6">
            <w:pPr>
              <w:spacing w:line="24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〇祖代及以上</w:t>
            </w:r>
          </w:p>
          <w:p w14:paraId="0C4F84DA">
            <w:pPr>
              <w:spacing w:line="24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〇父母代</w:t>
            </w:r>
          </w:p>
          <w:p w14:paraId="11E9670E">
            <w:pPr>
              <w:spacing w:line="24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〇商品代</w:t>
            </w:r>
          </w:p>
          <w:p w14:paraId="562139BE">
            <w:pPr>
              <w:spacing w:line="240" w:lineRule="exact"/>
              <w:rPr>
                <w:rFonts w:eastAsia="仿宋_GB2312"/>
                <w:szCs w:val="21"/>
              </w:rPr>
            </w:pPr>
            <w:r>
              <w:rPr>
                <w:rFonts w:hint="eastAsia" w:hAnsi="宋体"/>
                <w:szCs w:val="21"/>
              </w:rPr>
              <w:t>〇其  他</w:t>
            </w:r>
          </w:p>
        </w:tc>
        <w:tc>
          <w:tcPr>
            <w:tcW w:w="867" w:type="pct"/>
            <w:gridSpan w:val="2"/>
            <w:tcBorders>
              <w:bottom w:val="single" w:color="auto" w:sz="4" w:space="0"/>
            </w:tcBorders>
            <w:vAlign w:val="center"/>
          </w:tcPr>
          <w:p w14:paraId="4B991BD7">
            <w:pPr>
              <w:spacing w:line="240" w:lineRule="exact"/>
              <w:jc w:val="center"/>
              <w:rPr>
                <w:rFonts w:hint="eastAsia" w:ascii="等线" w:hAnsi="等线" w:eastAsia="等线"/>
                <w:sz w:val="18"/>
                <w:szCs w:val="21"/>
              </w:rPr>
            </w:pPr>
            <w:r>
              <w:rPr>
                <w:rFonts w:hint="eastAsia" w:ascii="等线" w:hAnsi="等线" w:eastAsia="等线"/>
                <w:b/>
                <w:sz w:val="18"/>
                <w:szCs w:val="21"/>
              </w:rPr>
              <w:t>存栏量/当日屠宰、交易、处理或接诊量</w:t>
            </w:r>
            <w:r>
              <w:rPr>
                <w:rFonts w:hint="eastAsia" w:ascii="等线" w:hAnsi="等线" w:eastAsia="等线"/>
                <w:sz w:val="18"/>
                <w:szCs w:val="21"/>
              </w:rPr>
              <w:t>（只/头/羽/匹）</w:t>
            </w:r>
          </w:p>
        </w:tc>
        <w:tc>
          <w:tcPr>
            <w:tcW w:w="783" w:type="pct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 w14:paraId="17670853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14:paraId="0FF7F97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752" w:type="pct"/>
            <w:vMerge w:val="continue"/>
            <w:tcBorders>
              <w:left w:val="single" w:color="auto" w:sz="12" w:space="0"/>
            </w:tcBorders>
            <w:vAlign w:val="center"/>
          </w:tcPr>
          <w:p w14:paraId="20FDECBB">
            <w:pPr>
              <w:spacing w:line="240" w:lineRule="exact"/>
              <w:jc w:val="center"/>
              <w:rPr>
                <w:rFonts w:hint="eastAsia" w:ascii="等线" w:hAnsi="等线" w:eastAsia="等线"/>
                <w:b/>
                <w:szCs w:val="21"/>
              </w:rPr>
            </w:pPr>
          </w:p>
        </w:tc>
        <w:tc>
          <w:tcPr>
            <w:tcW w:w="1102" w:type="pct"/>
            <w:vMerge w:val="continue"/>
            <w:vAlign w:val="center"/>
          </w:tcPr>
          <w:p w14:paraId="019B9FBF">
            <w:pPr>
              <w:spacing w:line="240" w:lineRule="exact"/>
              <w:rPr>
                <w:rFonts w:hint="eastAsia" w:hAnsi="宋体"/>
                <w:szCs w:val="21"/>
              </w:rPr>
            </w:pPr>
          </w:p>
        </w:tc>
        <w:tc>
          <w:tcPr>
            <w:tcW w:w="630" w:type="pct"/>
            <w:vMerge w:val="continue"/>
            <w:vAlign w:val="center"/>
          </w:tcPr>
          <w:p w14:paraId="29B529AD">
            <w:pPr>
              <w:spacing w:line="240" w:lineRule="exact"/>
              <w:jc w:val="center"/>
              <w:rPr>
                <w:rFonts w:hint="eastAsia" w:ascii="等线" w:hAnsi="等线" w:eastAsia="等线"/>
                <w:b/>
                <w:szCs w:val="21"/>
              </w:rPr>
            </w:pPr>
          </w:p>
        </w:tc>
        <w:tc>
          <w:tcPr>
            <w:tcW w:w="866" w:type="pct"/>
            <w:vMerge w:val="continue"/>
            <w:vAlign w:val="center"/>
          </w:tcPr>
          <w:p w14:paraId="097FFC6A">
            <w:pPr>
              <w:spacing w:line="240" w:lineRule="exact"/>
              <w:rPr>
                <w:rFonts w:hint="eastAsia" w:hAnsi="宋体"/>
                <w:szCs w:val="21"/>
              </w:rPr>
            </w:pPr>
          </w:p>
        </w:tc>
        <w:tc>
          <w:tcPr>
            <w:tcW w:w="867" w:type="pct"/>
            <w:gridSpan w:val="2"/>
            <w:tcBorders>
              <w:top w:val="single" w:color="auto" w:sz="4" w:space="0"/>
            </w:tcBorders>
            <w:vAlign w:val="center"/>
          </w:tcPr>
          <w:p w14:paraId="26AC4B85">
            <w:pPr>
              <w:spacing w:line="240" w:lineRule="exact"/>
              <w:jc w:val="center"/>
              <w:rPr>
                <w:rFonts w:hint="eastAsia" w:ascii="等线" w:hAnsi="等线" w:eastAsia="等线"/>
                <w:b/>
                <w:sz w:val="18"/>
                <w:szCs w:val="21"/>
              </w:rPr>
            </w:pPr>
            <w:r>
              <w:rPr>
                <w:rFonts w:hint="eastAsia" w:ascii="等线" w:hAnsi="等线" w:eastAsia="等线"/>
                <w:b/>
                <w:sz w:val="18"/>
                <w:szCs w:val="21"/>
              </w:rPr>
              <w:t>屠宰场/市场/无害化处理厂动物来源</w:t>
            </w:r>
          </w:p>
        </w:tc>
        <w:tc>
          <w:tcPr>
            <w:tcW w:w="783" w:type="pct"/>
            <w:tcBorders>
              <w:top w:val="single" w:color="auto" w:sz="4" w:space="0"/>
              <w:right w:val="single" w:color="auto" w:sz="12" w:space="0"/>
            </w:tcBorders>
            <w:vAlign w:val="center"/>
          </w:tcPr>
          <w:p w14:paraId="1FB69444">
            <w:pPr>
              <w:spacing w:line="240" w:lineRule="exact"/>
              <w:rPr>
                <w:rFonts w:eastAsia="仿宋_GB2312"/>
                <w:szCs w:val="21"/>
              </w:rPr>
            </w:pPr>
            <w:r>
              <w:rPr>
                <w:rFonts w:hint="eastAsia" w:hAnsi="宋体"/>
                <w:szCs w:val="21"/>
              </w:rPr>
              <w:t>〇</w:t>
            </w:r>
            <w:r>
              <w:rPr>
                <w:rFonts w:hint="eastAsia" w:eastAsia="仿宋_GB2312"/>
                <w:szCs w:val="21"/>
              </w:rPr>
              <w:t>本县</w:t>
            </w:r>
          </w:p>
          <w:p w14:paraId="409D8C3A">
            <w:pPr>
              <w:spacing w:line="240" w:lineRule="exact"/>
              <w:rPr>
                <w:rFonts w:eastAsia="仿宋_GB2312"/>
                <w:szCs w:val="21"/>
              </w:rPr>
            </w:pPr>
            <w:r>
              <w:rPr>
                <w:rFonts w:hint="eastAsia" w:hAnsi="宋体"/>
                <w:szCs w:val="21"/>
              </w:rPr>
              <w:t>〇</w:t>
            </w:r>
            <w:r>
              <w:rPr>
                <w:rFonts w:hint="eastAsia" w:eastAsia="仿宋_GB2312"/>
                <w:szCs w:val="21"/>
              </w:rPr>
              <w:t>外地</w:t>
            </w:r>
            <w:r>
              <w:rPr>
                <w:rFonts w:eastAsia="仿宋_GB2312"/>
                <w:szCs w:val="21"/>
                <w:u w:val="single"/>
              </w:rPr>
              <w:t xml:space="preserve">      </w:t>
            </w:r>
            <w:r>
              <w:rPr>
                <w:rFonts w:hint="eastAsia" w:eastAsia="仿宋_GB2312"/>
                <w:szCs w:val="21"/>
              </w:rPr>
              <w:t>省</w:t>
            </w:r>
            <w:r>
              <w:rPr>
                <w:rFonts w:eastAsia="仿宋_GB2312"/>
                <w:szCs w:val="21"/>
                <w:u w:val="single"/>
              </w:rPr>
              <w:t xml:space="preserve">      </w:t>
            </w:r>
            <w:r>
              <w:rPr>
                <w:rFonts w:hint="eastAsia" w:eastAsia="仿宋_GB2312"/>
                <w:szCs w:val="21"/>
              </w:rPr>
              <w:t>县</w:t>
            </w:r>
          </w:p>
        </w:tc>
      </w:tr>
      <w:tr w14:paraId="32CB12B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752" w:type="pct"/>
            <w:tcBorders>
              <w:left w:val="single" w:color="auto" w:sz="12" w:space="0"/>
            </w:tcBorders>
            <w:vAlign w:val="center"/>
          </w:tcPr>
          <w:p w14:paraId="0534E302">
            <w:pPr>
              <w:spacing w:line="2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ascii="等线" w:hAnsi="等线" w:eastAsia="等线"/>
                <w:b/>
                <w:szCs w:val="21"/>
              </w:rPr>
              <w:t>场点类型</w:t>
            </w:r>
          </w:p>
        </w:tc>
        <w:tc>
          <w:tcPr>
            <w:tcW w:w="4248" w:type="pct"/>
            <w:gridSpan w:val="6"/>
            <w:tcBorders>
              <w:right w:val="single" w:color="auto" w:sz="12" w:space="0"/>
            </w:tcBorders>
            <w:vAlign w:val="center"/>
          </w:tcPr>
          <w:p w14:paraId="4F8AE4B2">
            <w:pPr>
              <w:spacing w:line="26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 xml:space="preserve">〇规模养殖场     〇自然村散户  〇屠宰场      〇农贸市场   〇野禽栖息地   </w:t>
            </w:r>
          </w:p>
          <w:p w14:paraId="40801391">
            <w:pPr>
              <w:spacing w:line="260" w:lineRule="exact"/>
              <w:rPr>
                <w:rFonts w:eastAsia="仿宋_GB2312"/>
                <w:szCs w:val="21"/>
              </w:rPr>
            </w:pPr>
            <w:r>
              <w:rPr>
                <w:rFonts w:hint="eastAsia" w:hAnsi="宋体"/>
                <w:szCs w:val="21"/>
              </w:rPr>
              <w:t>〇活畜禽交易市场 〇宠物医院    〇无害化处理厂/点 〇其他</w:t>
            </w:r>
            <w:r>
              <w:rPr>
                <w:rFonts w:hint="eastAsia" w:hAnsi="宋体"/>
                <w:szCs w:val="21"/>
                <w:u w:val="single"/>
              </w:rPr>
              <w:t xml:space="preserve">                    </w:t>
            </w:r>
            <w:r>
              <w:rPr>
                <w:rFonts w:hint="eastAsia" w:hAnsi="宋体"/>
                <w:szCs w:val="21"/>
              </w:rPr>
              <w:t xml:space="preserve"> </w:t>
            </w:r>
          </w:p>
        </w:tc>
      </w:tr>
      <w:tr w14:paraId="6F668CD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752" w:type="pct"/>
            <w:tcBorders>
              <w:left w:val="single" w:color="auto" w:sz="12" w:space="0"/>
            </w:tcBorders>
            <w:vAlign w:val="center"/>
          </w:tcPr>
          <w:p w14:paraId="77038027">
            <w:pPr>
              <w:spacing w:line="360" w:lineRule="auto"/>
              <w:jc w:val="center"/>
              <w:rPr>
                <w:rFonts w:eastAsia="等线"/>
                <w:b/>
                <w:szCs w:val="21"/>
              </w:rPr>
            </w:pPr>
            <w:r>
              <w:rPr>
                <w:rFonts w:hint="eastAsia" w:eastAsia="等线"/>
                <w:b/>
                <w:szCs w:val="21"/>
              </w:rPr>
              <w:t>动物类别</w:t>
            </w:r>
          </w:p>
        </w:tc>
        <w:tc>
          <w:tcPr>
            <w:tcW w:w="1102" w:type="pct"/>
            <w:vAlign w:val="center"/>
          </w:tcPr>
          <w:p w14:paraId="20E7B090">
            <w:pPr>
              <w:spacing w:line="360" w:lineRule="auto"/>
              <w:jc w:val="center"/>
              <w:rPr>
                <w:rFonts w:eastAsia="等线"/>
                <w:b/>
                <w:szCs w:val="21"/>
              </w:rPr>
            </w:pPr>
            <w:r>
              <w:rPr>
                <w:rFonts w:hint="eastAsia" w:eastAsia="等线"/>
                <w:b/>
                <w:szCs w:val="21"/>
              </w:rPr>
              <w:t>样品类型</w:t>
            </w:r>
            <w:r>
              <w:rPr>
                <w:rFonts w:eastAsia="等线"/>
                <w:b/>
                <w:szCs w:val="21"/>
                <w:vertAlign w:val="superscript"/>
              </w:rPr>
              <w:t>*</w:t>
            </w:r>
          </w:p>
        </w:tc>
        <w:tc>
          <w:tcPr>
            <w:tcW w:w="630" w:type="pct"/>
            <w:vAlign w:val="center"/>
          </w:tcPr>
          <w:p w14:paraId="2DD279BC">
            <w:pPr>
              <w:spacing w:line="360" w:lineRule="auto"/>
              <w:jc w:val="center"/>
              <w:rPr>
                <w:rFonts w:eastAsia="等线"/>
                <w:b/>
                <w:szCs w:val="21"/>
              </w:rPr>
            </w:pPr>
            <w:r>
              <w:rPr>
                <w:rFonts w:hint="eastAsia" w:eastAsia="等线"/>
                <w:b/>
                <w:szCs w:val="21"/>
              </w:rPr>
              <w:t>数量（份）</w:t>
            </w:r>
          </w:p>
        </w:tc>
        <w:tc>
          <w:tcPr>
            <w:tcW w:w="866" w:type="pct"/>
            <w:vAlign w:val="center"/>
          </w:tcPr>
          <w:p w14:paraId="7BF2351D">
            <w:pPr>
              <w:spacing w:line="360" w:lineRule="auto"/>
              <w:jc w:val="center"/>
              <w:rPr>
                <w:rFonts w:eastAsia="等线"/>
                <w:b/>
                <w:szCs w:val="21"/>
              </w:rPr>
            </w:pPr>
            <w:r>
              <w:rPr>
                <w:rFonts w:hint="eastAsia" w:eastAsia="等线"/>
                <w:b/>
                <w:szCs w:val="21"/>
              </w:rPr>
              <w:t>日龄（</w:t>
            </w:r>
            <w:r>
              <w:rPr>
                <w:rFonts w:eastAsia="等线"/>
                <w:b/>
                <w:szCs w:val="21"/>
              </w:rPr>
              <w:t>d</w:t>
            </w:r>
            <w:r>
              <w:rPr>
                <w:rFonts w:hint="eastAsia" w:eastAsia="等线"/>
                <w:b/>
                <w:szCs w:val="21"/>
              </w:rPr>
              <w:t>）</w:t>
            </w:r>
          </w:p>
        </w:tc>
        <w:tc>
          <w:tcPr>
            <w:tcW w:w="1650" w:type="pct"/>
            <w:gridSpan w:val="3"/>
            <w:tcBorders>
              <w:right w:val="single" w:color="auto" w:sz="12" w:space="0"/>
            </w:tcBorders>
            <w:vAlign w:val="center"/>
          </w:tcPr>
          <w:p w14:paraId="78B012DF">
            <w:pPr>
              <w:spacing w:line="360" w:lineRule="auto"/>
              <w:jc w:val="center"/>
              <w:rPr>
                <w:rFonts w:eastAsia="等线"/>
                <w:b/>
                <w:szCs w:val="21"/>
              </w:rPr>
            </w:pPr>
            <w:r>
              <w:rPr>
                <w:rFonts w:hint="eastAsia" w:eastAsia="等线"/>
                <w:b/>
                <w:szCs w:val="21"/>
              </w:rPr>
              <w:t>起止编号</w:t>
            </w:r>
            <w:r>
              <w:rPr>
                <w:rFonts w:eastAsia="等线"/>
                <w:b/>
                <w:szCs w:val="21"/>
                <w:vertAlign w:val="superscript"/>
              </w:rPr>
              <w:t>**</w:t>
            </w:r>
          </w:p>
        </w:tc>
      </w:tr>
      <w:tr w14:paraId="2327A44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52" w:type="pct"/>
            <w:tcBorders>
              <w:left w:val="single" w:color="auto" w:sz="12" w:space="0"/>
            </w:tcBorders>
            <w:vAlign w:val="center"/>
          </w:tcPr>
          <w:p w14:paraId="283C0253">
            <w:pPr>
              <w:spacing w:line="360" w:lineRule="auto"/>
              <w:ind w:firstLine="110" w:firstLineChars="50"/>
              <w:rPr>
                <w:rFonts w:eastAsia="仿宋_GB2312"/>
                <w:szCs w:val="21"/>
              </w:rPr>
            </w:pPr>
          </w:p>
        </w:tc>
        <w:tc>
          <w:tcPr>
            <w:tcW w:w="1102" w:type="pct"/>
            <w:vAlign w:val="center"/>
          </w:tcPr>
          <w:p w14:paraId="23099309">
            <w:pPr>
              <w:spacing w:line="360" w:lineRule="auto"/>
              <w:ind w:firstLine="110" w:firstLineChars="5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30" w:type="pct"/>
            <w:vAlign w:val="center"/>
          </w:tcPr>
          <w:p w14:paraId="7E6B4A0A">
            <w:pPr>
              <w:spacing w:line="360" w:lineRule="auto"/>
              <w:ind w:firstLine="110" w:firstLineChars="5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66" w:type="pct"/>
            <w:vAlign w:val="center"/>
          </w:tcPr>
          <w:p w14:paraId="057694EA">
            <w:pPr>
              <w:spacing w:line="360" w:lineRule="auto"/>
              <w:ind w:firstLine="110" w:firstLineChars="5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650" w:type="pct"/>
            <w:gridSpan w:val="3"/>
            <w:tcBorders>
              <w:right w:val="single" w:color="auto" w:sz="12" w:space="0"/>
            </w:tcBorders>
            <w:vAlign w:val="center"/>
          </w:tcPr>
          <w:p w14:paraId="719AAB38">
            <w:pPr>
              <w:spacing w:line="360" w:lineRule="auto"/>
              <w:ind w:firstLine="110" w:firstLineChars="50"/>
              <w:jc w:val="center"/>
              <w:rPr>
                <w:rFonts w:eastAsia="仿宋_GB2312"/>
                <w:szCs w:val="21"/>
              </w:rPr>
            </w:pPr>
          </w:p>
        </w:tc>
      </w:tr>
      <w:tr w14:paraId="33623B6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52" w:type="pct"/>
            <w:tcBorders>
              <w:left w:val="single" w:color="auto" w:sz="12" w:space="0"/>
            </w:tcBorders>
            <w:vAlign w:val="center"/>
          </w:tcPr>
          <w:p w14:paraId="554A7E9C">
            <w:pPr>
              <w:spacing w:line="360" w:lineRule="auto"/>
              <w:ind w:firstLine="110" w:firstLineChars="50"/>
              <w:rPr>
                <w:rFonts w:eastAsia="仿宋_GB2312"/>
                <w:szCs w:val="21"/>
              </w:rPr>
            </w:pPr>
          </w:p>
        </w:tc>
        <w:tc>
          <w:tcPr>
            <w:tcW w:w="1102" w:type="pct"/>
            <w:vAlign w:val="center"/>
          </w:tcPr>
          <w:p w14:paraId="293A9D04">
            <w:pPr>
              <w:spacing w:line="360" w:lineRule="auto"/>
              <w:ind w:firstLine="110" w:firstLineChars="5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30" w:type="pct"/>
            <w:vAlign w:val="center"/>
          </w:tcPr>
          <w:p w14:paraId="60C616B2">
            <w:pPr>
              <w:spacing w:line="360" w:lineRule="auto"/>
              <w:ind w:firstLine="110" w:firstLineChars="5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66" w:type="pct"/>
            <w:vAlign w:val="center"/>
          </w:tcPr>
          <w:p w14:paraId="6EE3F4A6">
            <w:pPr>
              <w:spacing w:line="360" w:lineRule="auto"/>
              <w:ind w:firstLine="110" w:firstLineChars="5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650" w:type="pct"/>
            <w:gridSpan w:val="3"/>
            <w:tcBorders>
              <w:right w:val="single" w:color="auto" w:sz="12" w:space="0"/>
            </w:tcBorders>
            <w:vAlign w:val="center"/>
          </w:tcPr>
          <w:p w14:paraId="3C03FB51">
            <w:pPr>
              <w:spacing w:line="360" w:lineRule="auto"/>
              <w:ind w:firstLine="110" w:firstLineChars="50"/>
              <w:jc w:val="center"/>
              <w:rPr>
                <w:rFonts w:eastAsia="仿宋_GB2312"/>
                <w:szCs w:val="21"/>
              </w:rPr>
            </w:pPr>
          </w:p>
        </w:tc>
      </w:tr>
      <w:tr w14:paraId="120057B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52" w:type="pct"/>
            <w:tcBorders>
              <w:left w:val="single" w:color="auto" w:sz="12" w:space="0"/>
            </w:tcBorders>
            <w:vAlign w:val="center"/>
          </w:tcPr>
          <w:p w14:paraId="0A7A1FF2">
            <w:pPr>
              <w:spacing w:line="360" w:lineRule="auto"/>
              <w:ind w:firstLine="110" w:firstLineChars="50"/>
              <w:rPr>
                <w:rFonts w:eastAsia="仿宋_GB2312"/>
                <w:szCs w:val="21"/>
              </w:rPr>
            </w:pPr>
          </w:p>
        </w:tc>
        <w:tc>
          <w:tcPr>
            <w:tcW w:w="1102" w:type="pct"/>
            <w:vAlign w:val="center"/>
          </w:tcPr>
          <w:p w14:paraId="0F88B062">
            <w:pPr>
              <w:spacing w:line="360" w:lineRule="auto"/>
              <w:ind w:firstLine="110" w:firstLineChars="5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30" w:type="pct"/>
            <w:vAlign w:val="center"/>
          </w:tcPr>
          <w:p w14:paraId="3A98A9A3">
            <w:pPr>
              <w:spacing w:line="360" w:lineRule="auto"/>
              <w:ind w:firstLine="110" w:firstLineChars="5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66" w:type="pct"/>
            <w:vAlign w:val="center"/>
          </w:tcPr>
          <w:p w14:paraId="0E1EB36F">
            <w:pPr>
              <w:spacing w:line="360" w:lineRule="auto"/>
              <w:ind w:firstLine="110" w:firstLineChars="5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650" w:type="pct"/>
            <w:gridSpan w:val="3"/>
            <w:tcBorders>
              <w:right w:val="single" w:color="auto" w:sz="12" w:space="0"/>
            </w:tcBorders>
            <w:vAlign w:val="center"/>
          </w:tcPr>
          <w:p w14:paraId="56AB8D4E">
            <w:pPr>
              <w:spacing w:line="360" w:lineRule="auto"/>
              <w:ind w:firstLine="110" w:firstLineChars="50"/>
              <w:jc w:val="center"/>
              <w:rPr>
                <w:rFonts w:eastAsia="仿宋_GB2312"/>
                <w:szCs w:val="21"/>
              </w:rPr>
            </w:pPr>
          </w:p>
        </w:tc>
      </w:tr>
      <w:tr w14:paraId="2C1BC89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52" w:type="pct"/>
            <w:tcBorders>
              <w:left w:val="single" w:color="auto" w:sz="12" w:space="0"/>
            </w:tcBorders>
            <w:vAlign w:val="center"/>
          </w:tcPr>
          <w:p w14:paraId="70BEE281">
            <w:pPr>
              <w:spacing w:line="360" w:lineRule="auto"/>
              <w:ind w:firstLine="110" w:firstLineChars="50"/>
              <w:rPr>
                <w:rFonts w:eastAsia="仿宋_GB2312"/>
                <w:szCs w:val="21"/>
              </w:rPr>
            </w:pPr>
          </w:p>
        </w:tc>
        <w:tc>
          <w:tcPr>
            <w:tcW w:w="1102" w:type="pct"/>
            <w:vAlign w:val="center"/>
          </w:tcPr>
          <w:p w14:paraId="45E2568B">
            <w:pPr>
              <w:spacing w:line="360" w:lineRule="auto"/>
              <w:ind w:firstLine="110" w:firstLineChars="5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30" w:type="pct"/>
            <w:vAlign w:val="center"/>
          </w:tcPr>
          <w:p w14:paraId="2B12FEFC">
            <w:pPr>
              <w:spacing w:line="360" w:lineRule="auto"/>
              <w:ind w:firstLine="110" w:firstLineChars="5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66" w:type="pct"/>
            <w:vAlign w:val="center"/>
          </w:tcPr>
          <w:p w14:paraId="243773BE">
            <w:pPr>
              <w:spacing w:line="360" w:lineRule="auto"/>
              <w:ind w:firstLine="110" w:firstLineChars="5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650" w:type="pct"/>
            <w:gridSpan w:val="3"/>
            <w:tcBorders>
              <w:right w:val="single" w:color="auto" w:sz="12" w:space="0"/>
            </w:tcBorders>
            <w:vAlign w:val="center"/>
          </w:tcPr>
          <w:p w14:paraId="5C1B1D6D">
            <w:pPr>
              <w:spacing w:line="360" w:lineRule="auto"/>
              <w:ind w:firstLine="110" w:firstLineChars="50"/>
              <w:jc w:val="center"/>
              <w:rPr>
                <w:rFonts w:eastAsia="仿宋_GB2312"/>
                <w:szCs w:val="21"/>
              </w:rPr>
            </w:pPr>
          </w:p>
        </w:tc>
      </w:tr>
      <w:tr w14:paraId="07C3702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52" w:type="pct"/>
            <w:tcBorders>
              <w:left w:val="single" w:color="auto" w:sz="12" w:space="0"/>
            </w:tcBorders>
            <w:vAlign w:val="center"/>
          </w:tcPr>
          <w:p w14:paraId="42BCED20">
            <w:pPr>
              <w:spacing w:line="360" w:lineRule="auto"/>
              <w:ind w:firstLine="110" w:firstLineChars="50"/>
              <w:rPr>
                <w:rFonts w:eastAsia="仿宋_GB2312"/>
                <w:szCs w:val="21"/>
              </w:rPr>
            </w:pPr>
          </w:p>
        </w:tc>
        <w:tc>
          <w:tcPr>
            <w:tcW w:w="1102" w:type="pct"/>
            <w:vAlign w:val="center"/>
          </w:tcPr>
          <w:p w14:paraId="52FE80C4">
            <w:pPr>
              <w:spacing w:line="360" w:lineRule="auto"/>
              <w:ind w:firstLine="110" w:firstLineChars="5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30" w:type="pct"/>
            <w:vAlign w:val="center"/>
          </w:tcPr>
          <w:p w14:paraId="6B1A7E00">
            <w:pPr>
              <w:spacing w:line="360" w:lineRule="auto"/>
              <w:ind w:firstLine="110" w:firstLineChars="5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66" w:type="pct"/>
            <w:vAlign w:val="center"/>
          </w:tcPr>
          <w:p w14:paraId="76B364D9">
            <w:pPr>
              <w:spacing w:line="360" w:lineRule="auto"/>
              <w:ind w:firstLine="110" w:firstLineChars="5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650" w:type="pct"/>
            <w:gridSpan w:val="3"/>
            <w:tcBorders>
              <w:right w:val="single" w:color="auto" w:sz="12" w:space="0"/>
            </w:tcBorders>
            <w:vAlign w:val="center"/>
          </w:tcPr>
          <w:p w14:paraId="2BB429C8">
            <w:pPr>
              <w:spacing w:line="360" w:lineRule="auto"/>
              <w:ind w:firstLine="110" w:firstLineChars="50"/>
              <w:jc w:val="center"/>
              <w:rPr>
                <w:rFonts w:eastAsia="仿宋_GB2312"/>
                <w:szCs w:val="21"/>
              </w:rPr>
            </w:pPr>
          </w:p>
        </w:tc>
      </w:tr>
      <w:tr w14:paraId="73F8117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52" w:type="pct"/>
            <w:tcBorders>
              <w:left w:val="single" w:color="auto" w:sz="12" w:space="0"/>
            </w:tcBorders>
            <w:vAlign w:val="center"/>
          </w:tcPr>
          <w:p w14:paraId="71150FF7">
            <w:pPr>
              <w:spacing w:line="360" w:lineRule="auto"/>
              <w:ind w:firstLine="90" w:firstLineChars="50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1102" w:type="pct"/>
            <w:vAlign w:val="center"/>
          </w:tcPr>
          <w:p w14:paraId="55ED8711">
            <w:pPr>
              <w:spacing w:line="360" w:lineRule="auto"/>
              <w:ind w:firstLine="110" w:firstLineChars="5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30" w:type="pct"/>
            <w:vAlign w:val="center"/>
          </w:tcPr>
          <w:p w14:paraId="1A2CDF0A">
            <w:pPr>
              <w:spacing w:line="360" w:lineRule="auto"/>
              <w:ind w:firstLine="110" w:firstLineChars="5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66" w:type="pct"/>
            <w:vAlign w:val="center"/>
          </w:tcPr>
          <w:p w14:paraId="0797CDED">
            <w:pPr>
              <w:spacing w:line="360" w:lineRule="auto"/>
              <w:ind w:firstLine="110" w:firstLineChars="5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650" w:type="pct"/>
            <w:gridSpan w:val="3"/>
            <w:tcBorders>
              <w:right w:val="single" w:color="auto" w:sz="12" w:space="0"/>
            </w:tcBorders>
            <w:vAlign w:val="center"/>
          </w:tcPr>
          <w:p w14:paraId="1E315D21">
            <w:pPr>
              <w:spacing w:line="360" w:lineRule="auto"/>
              <w:ind w:firstLine="110" w:firstLineChars="50"/>
              <w:jc w:val="center"/>
              <w:rPr>
                <w:rFonts w:eastAsia="仿宋_GB2312"/>
                <w:szCs w:val="21"/>
              </w:rPr>
            </w:pPr>
          </w:p>
        </w:tc>
      </w:tr>
      <w:tr w14:paraId="764EB69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exact"/>
        </w:trPr>
        <w:tc>
          <w:tcPr>
            <w:tcW w:w="5000" w:type="pct"/>
            <w:gridSpan w:val="7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7DB29CDD">
            <w:pPr>
              <w:spacing w:line="200" w:lineRule="exact"/>
              <w:ind w:firstLine="180" w:firstLineChars="100"/>
              <w:rPr>
                <w:rFonts w:eastAsia="楷体"/>
                <w:sz w:val="18"/>
                <w:szCs w:val="18"/>
                <w:u w:val="single"/>
              </w:rPr>
            </w:pPr>
            <w:r>
              <w:rPr>
                <w:rFonts w:hint="eastAsia" w:eastAsia="楷体"/>
                <w:sz w:val="18"/>
                <w:szCs w:val="18"/>
              </w:rPr>
              <w:t>注：</w:t>
            </w:r>
            <w:r>
              <w:rPr>
                <w:rFonts w:eastAsia="楷体"/>
                <w:sz w:val="18"/>
                <w:szCs w:val="18"/>
              </w:rPr>
              <w:t>*1.</w:t>
            </w:r>
            <w:r>
              <w:rPr>
                <w:rFonts w:hint="eastAsia" w:eastAsia="楷体"/>
                <w:sz w:val="18"/>
                <w:szCs w:val="18"/>
              </w:rPr>
              <w:t>咽喉</w:t>
            </w:r>
            <w:r>
              <w:rPr>
                <w:rFonts w:eastAsia="楷体"/>
                <w:sz w:val="18"/>
                <w:szCs w:val="18"/>
              </w:rPr>
              <w:t>/</w:t>
            </w:r>
            <w:r>
              <w:rPr>
                <w:rFonts w:hint="eastAsia" w:eastAsia="楷体"/>
                <w:sz w:val="18"/>
                <w:szCs w:val="18"/>
              </w:rPr>
              <w:t>泄殖腔拭子，</w:t>
            </w:r>
            <w:r>
              <w:rPr>
                <w:rFonts w:eastAsia="楷体"/>
                <w:sz w:val="18"/>
                <w:szCs w:val="18"/>
              </w:rPr>
              <w:t>2.</w:t>
            </w:r>
            <w:r>
              <w:rPr>
                <w:rFonts w:hint="eastAsia" w:eastAsia="楷体"/>
                <w:sz w:val="18"/>
                <w:szCs w:val="18"/>
              </w:rPr>
              <w:t>鼻拭子，</w:t>
            </w:r>
            <w:r>
              <w:rPr>
                <w:rFonts w:eastAsia="楷体"/>
                <w:sz w:val="18"/>
                <w:szCs w:val="18"/>
              </w:rPr>
              <w:t>3.</w:t>
            </w:r>
            <w:r>
              <w:rPr>
                <w:rFonts w:hint="eastAsia" w:eastAsia="楷体"/>
                <w:sz w:val="18"/>
                <w:szCs w:val="18"/>
              </w:rPr>
              <w:t>口鼻拭子，</w:t>
            </w:r>
            <w:r>
              <w:rPr>
                <w:rFonts w:eastAsia="楷体"/>
                <w:sz w:val="18"/>
                <w:szCs w:val="18"/>
              </w:rPr>
              <w:t>4.</w:t>
            </w:r>
            <w:r>
              <w:rPr>
                <w:rFonts w:hint="eastAsia" w:eastAsia="楷体"/>
                <w:sz w:val="18"/>
                <w:szCs w:val="18"/>
              </w:rPr>
              <w:t>眼拭子，</w:t>
            </w:r>
            <w:r>
              <w:rPr>
                <w:rFonts w:eastAsia="楷体"/>
                <w:sz w:val="18"/>
                <w:szCs w:val="18"/>
              </w:rPr>
              <w:t>5.</w:t>
            </w:r>
            <w:r>
              <w:rPr>
                <w:rFonts w:hint="eastAsia" w:eastAsia="楷体"/>
                <w:sz w:val="18"/>
                <w:szCs w:val="18"/>
              </w:rPr>
              <w:t>咽拭子，</w:t>
            </w:r>
            <w:r>
              <w:rPr>
                <w:rFonts w:eastAsia="楷体"/>
                <w:sz w:val="18"/>
                <w:szCs w:val="18"/>
              </w:rPr>
              <w:t>6.</w:t>
            </w:r>
            <w:r>
              <w:rPr>
                <w:rFonts w:hint="eastAsia" w:eastAsia="楷体"/>
                <w:sz w:val="18"/>
                <w:szCs w:val="18"/>
              </w:rPr>
              <w:t>肛拭子，</w:t>
            </w:r>
            <w:r>
              <w:rPr>
                <w:rFonts w:eastAsia="楷体"/>
                <w:sz w:val="18"/>
                <w:szCs w:val="18"/>
              </w:rPr>
              <w:t>7.</w:t>
            </w:r>
            <w:r>
              <w:rPr>
                <w:rFonts w:hint="eastAsia" w:eastAsia="楷体"/>
                <w:sz w:val="18"/>
                <w:szCs w:val="18"/>
              </w:rPr>
              <w:t>环境拭子，</w:t>
            </w:r>
            <w:r>
              <w:rPr>
                <w:rFonts w:eastAsia="楷体"/>
                <w:sz w:val="18"/>
                <w:szCs w:val="18"/>
              </w:rPr>
              <w:t>8.</w:t>
            </w:r>
            <w:r>
              <w:rPr>
                <w:rFonts w:hint="eastAsia" w:eastAsia="楷体"/>
                <w:sz w:val="18"/>
                <w:szCs w:val="18"/>
              </w:rPr>
              <w:t>粪便拭子，</w:t>
            </w:r>
            <w:r>
              <w:rPr>
                <w:rFonts w:eastAsia="楷体"/>
                <w:sz w:val="18"/>
                <w:szCs w:val="18"/>
              </w:rPr>
              <w:t xml:space="preserve">9. </w:t>
            </w:r>
            <w:r>
              <w:rPr>
                <w:rFonts w:hint="eastAsia" w:eastAsia="楷体"/>
                <w:sz w:val="18"/>
                <w:szCs w:val="18"/>
              </w:rPr>
              <w:t>组织（颌下淋巴结、淋巴结、心脏、肝脏、脾脏、肾脏、肺脏、喉头</w:t>
            </w:r>
            <w:r>
              <w:rPr>
                <w:rFonts w:eastAsia="楷体"/>
                <w:sz w:val="18"/>
                <w:szCs w:val="18"/>
              </w:rPr>
              <w:t>-</w:t>
            </w:r>
            <w:r>
              <w:rPr>
                <w:rFonts w:hint="eastAsia" w:eastAsia="楷体"/>
                <w:sz w:val="18"/>
                <w:szCs w:val="18"/>
              </w:rPr>
              <w:t>气管、肠、脑等）；</w:t>
            </w:r>
            <w:r>
              <w:rPr>
                <w:rFonts w:eastAsia="楷体"/>
                <w:sz w:val="18"/>
                <w:szCs w:val="18"/>
              </w:rPr>
              <w:t>10.</w:t>
            </w:r>
            <w:r>
              <w:rPr>
                <w:rFonts w:hint="eastAsia" w:eastAsia="楷体"/>
                <w:sz w:val="18"/>
                <w:szCs w:val="18"/>
              </w:rPr>
              <w:t>血液（全血、血清、抗凝血）；</w:t>
            </w:r>
            <w:r>
              <w:rPr>
                <w:rFonts w:eastAsia="楷体"/>
                <w:sz w:val="18"/>
                <w:szCs w:val="18"/>
              </w:rPr>
              <w:t>11.</w:t>
            </w:r>
            <w:r>
              <w:rPr>
                <w:rFonts w:hint="eastAsia" w:eastAsia="楷体"/>
                <w:sz w:val="18"/>
                <w:szCs w:val="18"/>
              </w:rPr>
              <w:t>肉；</w:t>
            </w:r>
            <w:r>
              <w:rPr>
                <w:rFonts w:eastAsia="楷体"/>
                <w:sz w:val="18"/>
                <w:szCs w:val="18"/>
              </w:rPr>
              <w:t>12.</w:t>
            </w:r>
            <w:r>
              <w:rPr>
                <w:rFonts w:hint="eastAsia" w:eastAsia="楷体"/>
                <w:sz w:val="18"/>
                <w:szCs w:val="18"/>
              </w:rPr>
              <w:t>蛋（蛋清、种蛋）；</w:t>
            </w:r>
            <w:r>
              <w:rPr>
                <w:rFonts w:eastAsia="楷体"/>
                <w:sz w:val="18"/>
                <w:szCs w:val="18"/>
              </w:rPr>
              <w:t>13.</w:t>
            </w:r>
            <w:r>
              <w:rPr>
                <w:rFonts w:hint="eastAsia" w:eastAsia="楷体"/>
                <w:sz w:val="18"/>
                <w:szCs w:val="18"/>
              </w:rPr>
              <w:t>奶；</w:t>
            </w:r>
            <w:r>
              <w:rPr>
                <w:rFonts w:eastAsia="楷体"/>
                <w:sz w:val="18"/>
                <w:szCs w:val="18"/>
              </w:rPr>
              <w:t>14.</w:t>
            </w:r>
            <w:r>
              <w:rPr>
                <w:rFonts w:hint="eastAsia" w:eastAsia="楷体"/>
                <w:sz w:val="18"/>
                <w:szCs w:val="18"/>
              </w:rPr>
              <w:t>肠内容物；</w:t>
            </w:r>
            <w:r>
              <w:rPr>
                <w:rFonts w:eastAsia="楷体"/>
                <w:sz w:val="18"/>
                <w:szCs w:val="18"/>
              </w:rPr>
              <w:t>15.</w:t>
            </w:r>
            <w:r>
              <w:rPr>
                <w:rFonts w:hint="eastAsia" w:eastAsia="楷体"/>
                <w:sz w:val="18"/>
                <w:szCs w:val="18"/>
              </w:rPr>
              <w:t>骨髓；</w:t>
            </w:r>
            <w:r>
              <w:rPr>
                <w:rFonts w:eastAsia="楷体"/>
                <w:sz w:val="18"/>
                <w:szCs w:val="18"/>
              </w:rPr>
              <w:t>16.</w:t>
            </w:r>
            <w:r>
              <w:rPr>
                <w:rFonts w:hint="eastAsia" w:eastAsia="楷体"/>
                <w:sz w:val="18"/>
                <w:szCs w:val="18"/>
              </w:rPr>
              <w:t>其他</w:t>
            </w:r>
            <w:r>
              <w:rPr>
                <w:rFonts w:eastAsia="楷体"/>
                <w:sz w:val="18"/>
                <w:szCs w:val="18"/>
                <w:u w:val="single"/>
              </w:rPr>
              <w:t xml:space="preserve">            </w:t>
            </w:r>
          </w:p>
          <w:p w14:paraId="21D12BE7">
            <w:pPr>
              <w:spacing w:line="200" w:lineRule="exact"/>
              <w:ind w:firstLine="180" w:firstLineChars="100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.**A</w:t>
            </w:r>
            <w:r>
              <w:rPr>
                <w:rFonts w:hint="eastAsia" w:eastAsia="楷体"/>
                <w:sz w:val="18"/>
                <w:szCs w:val="18"/>
              </w:rPr>
              <w:t>猪，</w:t>
            </w:r>
            <w:r>
              <w:rPr>
                <w:rFonts w:eastAsia="楷体"/>
                <w:sz w:val="18"/>
                <w:szCs w:val="18"/>
              </w:rPr>
              <w:t>B</w:t>
            </w:r>
            <w:r>
              <w:rPr>
                <w:rFonts w:hint="eastAsia" w:eastAsia="楷体"/>
                <w:sz w:val="18"/>
                <w:szCs w:val="18"/>
              </w:rPr>
              <w:t>羊，</w:t>
            </w:r>
            <w:r>
              <w:rPr>
                <w:rFonts w:eastAsia="楷体"/>
                <w:sz w:val="18"/>
                <w:szCs w:val="18"/>
              </w:rPr>
              <w:t>C</w:t>
            </w:r>
            <w:r>
              <w:rPr>
                <w:rFonts w:hint="eastAsia" w:eastAsia="楷体"/>
                <w:sz w:val="18"/>
                <w:szCs w:val="18"/>
              </w:rPr>
              <w:t>牛，</w:t>
            </w:r>
            <w:r>
              <w:rPr>
                <w:rFonts w:eastAsia="楷体"/>
                <w:sz w:val="18"/>
                <w:szCs w:val="18"/>
              </w:rPr>
              <w:t>D</w:t>
            </w:r>
            <w:r>
              <w:rPr>
                <w:rFonts w:hint="eastAsia" w:eastAsia="楷体"/>
                <w:sz w:val="18"/>
                <w:szCs w:val="18"/>
              </w:rPr>
              <w:t>鸡，</w:t>
            </w:r>
            <w:r>
              <w:rPr>
                <w:rFonts w:eastAsia="楷体"/>
                <w:sz w:val="18"/>
                <w:szCs w:val="18"/>
              </w:rPr>
              <w:t>E</w:t>
            </w:r>
            <w:r>
              <w:rPr>
                <w:rFonts w:hint="eastAsia" w:eastAsia="楷体"/>
                <w:sz w:val="18"/>
                <w:szCs w:val="18"/>
              </w:rPr>
              <w:t>鸭，</w:t>
            </w:r>
            <w:r>
              <w:rPr>
                <w:rFonts w:eastAsia="楷体"/>
                <w:sz w:val="18"/>
                <w:szCs w:val="18"/>
              </w:rPr>
              <w:t>F</w:t>
            </w:r>
            <w:r>
              <w:rPr>
                <w:rFonts w:hint="eastAsia" w:eastAsia="楷体"/>
                <w:sz w:val="18"/>
                <w:szCs w:val="18"/>
              </w:rPr>
              <w:t>鹅，</w:t>
            </w:r>
            <w:r>
              <w:rPr>
                <w:rFonts w:eastAsia="楷体"/>
                <w:sz w:val="18"/>
                <w:szCs w:val="18"/>
              </w:rPr>
              <w:t>G</w:t>
            </w:r>
            <w:r>
              <w:rPr>
                <w:rFonts w:hint="eastAsia" w:eastAsia="楷体"/>
                <w:sz w:val="18"/>
                <w:szCs w:val="18"/>
              </w:rPr>
              <w:t>犬，</w:t>
            </w:r>
            <w:r>
              <w:rPr>
                <w:rFonts w:eastAsia="楷体"/>
                <w:sz w:val="18"/>
                <w:szCs w:val="18"/>
              </w:rPr>
              <w:t>H</w:t>
            </w:r>
            <w:r>
              <w:rPr>
                <w:rFonts w:hint="eastAsia" w:eastAsia="楷体"/>
                <w:sz w:val="18"/>
                <w:szCs w:val="18"/>
              </w:rPr>
              <w:t>马，</w:t>
            </w:r>
            <w:r>
              <w:rPr>
                <w:rFonts w:eastAsia="楷体"/>
                <w:sz w:val="18"/>
                <w:szCs w:val="18"/>
              </w:rPr>
              <w:t>I</w:t>
            </w:r>
            <w:r>
              <w:rPr>
                <w:rFonts w:hint="eastAsia" w:eastAsia="楷体"/>
                <w:sz w:val="18"/>
                <w:szCs w:val="18"/>
              </w:rPr>
              <w:t>驴，</w:t>
            </w:r>
            <w:r>
              <w:rPr>
                <w:rFonts w:eastAsia="楷体"/>
                <w:sz w:val="18"/>
                <w:szCs w:val="18"/>
              </w:rPr>
              <w:t>J</w:t>
            </w:r>
            <w:r>
              <w:rPr>
                <w:rFonts w:hint="eastAsia" w:eastAsia="楷体"/>
                <w:sz w:val="18"/>
                <w:szCs w:val="18"/>
              </w:rPr>
              <w:t>其他</w:t>
            </w:r>
            <w:r>
              <w:rPr>
                <w:rFonts w:eastAsia="楷体"/>
                <w:sz w:val="18"/>
                <w:szCs w:val="18"/>
                <w:u w:val="single"/>
              </w:rPr>
              <w:t xml:space="preserve">            </w:t>
            </w:r>
            <w:r>
              <w:rPr>
                <w:rFonts w:hint="eastAsia" w:eastAsia="楷体"/>
                <w:sz w:val="18"/>
                <w:szCs w:val="18"/>
              </w:rPr>
              <w:t>。编号时加字母以区分，如A01-A10。</w:t>
            </w:r>
          </w:p>
          <w:p w14:paraId="2D2D54DE">
            <w:pPr>
              <w:spacing w:line="220" w:lineRule="exact"/>
              <w:ind w:firstLine="90" w:firstLineChars="50"/>
              <w:rPr>
                <w:rFonts w:eastAsia="楷体"/>
                <w:sz w:val="18"/>
                <w:szCs w:val="18"/>
              </w:rPr>
            </w:pPr>
          </w:p>
        </w:tc>
      </w:tr>
      <w:tr w14:paraId="7546370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52" w:type="pct"/>
            <w:tcBorders>
              <w:left w:val="single" w:color="auto" w:sz="12" w:space="0"/>
            </w:tcBorders>
            <w:vAlign w:val="center"/>
          </w:tcPr>
          <w:p w14:paraId="14569370">
            <w:pPr>
              <w:snapToGrid w:val="0"/>
              <w:jc w:val="center"/>
              <w:rPr>
                <w:rFonts w:hint="eastAsia" w:ascii="等线" w:hAnsi="等线" w:eastAsia="等线"/>
                <w:b/>
                <w:szCs w:val="21"/>
              </w:rPr>
            </w:pPr>
            <w:r>
              <w:rPr>
                <w:rFonts w:hint="eastAsia" w:ascii="等线" w:hAnsi="等线" w:eastAsia="等线"/>
                <w:b/>
                <w:szCs w:val="21"/>
              </w:rPr>
              <w:t>免疫病种</w:t>
            </w:r>
          </w:p>
        </w:tc>
        <w:tc>
          <w:tcPr>
            <w:tcW w:w="1732" w:type="pct"/>
            <w:gridSpan w:val="2"/>
            <w:vAlign w:val="center"/>
          </w:tcPr>
          <w:p w14:paraId="0388A597">
            <w:pPr>
              <w:snapToGrid w:val="0"/>
              <w:jc w:val="center"/>
              <w:rPr>
                <w:rFonts w:hint="eastAsia" w:ascii="等线" w:hAnsi="等线" w:eastAsia="等线"/>
                <w:b/>
                <w:szCs w:val="21"/>
              </w:rPr>
            </w:pPr>
            <w:r>
              <w:rPr>
                <w:rFonts w:hint="eastAsia" w:ascii="等线" w:hAnsi="等线" w:eastAsia="等线"/>
                <w:b/>
                <w:szCs w:val="21"/>
              </w:rPr>
              <w:t>疫苗名称</w:t>
            </w:r>
          </w:p>
        </w:tc>
        <w:tc>
          <w:tcPr>
            <w:tcW w:w="866" w:type="pct"/>
            <w:vAlign w:val="center"/>
          </w:tcPr>
          <w:p w14:paraId="3D57E797">
            <w:pPr>
              <w:snapToGrid w:val="0"/>
              <w:jc w:val="center"/>
              <w:rPr>
                <w:rFonts w:hint="eastAsia" w:ascii="等线" w:hAnsi="等线" w:eastAsia="等线"/>
                <w:b/>
                <w:szCs w:val="21"/>
              </w:rPr>
            </w:pPr>
            <w:r>
              <w:rPr>
                <w:rFonts w:hint="eastAsia" w:ascii="等线" w:hAnsi="等线" w:eastAsia="等线"/>
                <w:b/>
                <w:szCs w:val="21"/>
              </w:rPr>
              <w:t>生产厂家</w:t>
            </w:r>
          </w:p>
        </w:tc>
        <w:tc>
          <w:tcPr>
            <w:tcW w:w="630" w:type="pct"/>
            <w:vAlign w:val="center"/>
          </w:tcPr>
          <w:p w14:paraId="524E0BDD">
            <w:pPr>
              <w:snapToGrid w:val="0"/>
              <w:jc w:val="center"/>
              <w:rPr>
                <w:rFonts w:hint="eastAsia" w:ascii="等线" w:hAnsi="等线" w:eastAsia="等线"/>
                <w:b/>
                <w:szCs w:val="21"/>
              </w:rPr>
            </w:pPr>
            <w:r>
              <w:rPr>
                <w:rFonts w:hint="eastAsia" w:ascii="等线" w:hAnsi="等线" w:eastAsia="等线"/>
                <w:b/>
                <w:szCs w:val="21"/>
              </w:rPr>
              <w:t>免疫次数</w:t>
            </w:r>
          </w:p>
        </w:tc>
        <w:tc>
          <w:tcPr>
            <w:tcW w:w="1020" w:type="pct"/>
            <w:gridSpan w:val="2"/>
            <w:tcBorders>
              <w:right w:val="single" w:color="auto" w:sz="12" w:space="0"/>
            </w:tcBorders>
            <w:vAlign w:val="center"/>
          </w:tcPr>
          <w:p w14:paraId="746025AF">
            <w:pPr>
              <w:snapToGrid w:val="0"/>
              <w:jc w:val="center"/>
              <w:rPr>
                <w:rFonts w:hint="eastAsia" w:ascii="等线" w:hAnsi="等线" w:eastAsia="等线"/>
                <w:b/>
                <w:szCs w:val="21"/>
              </w:rPr>
            </w:pPr>
            <w:r>
              <w:rPr>
                <w:rFonts w:hint="eastAsia" w:ascii="等线" w:hAnsi="等线" w:eastAsia="等线"/>
                <w:b/>
                <w:szCs w:val="21"/>
              </w:rPr>
              <w:t>末次免疫时间</w:t>
            </w:r>
          </w:p>
        </w:tc>
      </w:tr>
      <w:tr w14:paraId="1D66506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2" w:type="pct"/>
            <w:tcBorders>
              <w:left w:val="single" w:color="auto" w:sz="12" w:space="0"/>
            </w:tcBorders>
            <w:vAlign w:val="center"/>
          </w:tcPr>
          <w:p w14:paraId="02286045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32" w:type="pct"/>
            <w:gridSpan w:val="2"/>
            <w:vAlign w:val="center"/>
          </w:tcPr>
          <w:p w14:paraId="761B01AB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66" w:type="pct"/>
            <w:vAlign w:val="center"/>
          </w:tcPr>
          <w:p w14:paraId="725BC92D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30" w:type="pct"/>
            <w:vAlign w:val="center"/>
          </w:tcPr>
          <w:p w14:paraId="1C65AFE3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20" w:type="pct"/>
            <w:gridSpan w:val="2"/>
            <w:tcBorders>
              <w:right w:val="single" w:color="auto" w:sz="12" w:space="0"/>
            </w:tcBorders>
            <w:vAlign w:val="center"/>
          </w:tcPr>
          <w:p w14:paraId="20D92B4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  <w:tr w14:paraId="32B17A7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2" w:type="pct"/>
            <w:tcBorders>
              <w:left w:val="single" w:color="auto" w:sz="12" w:space="0"/>
            </w:tcBorders>
            <w:vAlign w:val="center"/>
          </w:tcPr>
          <w:p w14:paraId="2FFD64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32" w:type="pct"/>
            <w:gridSpan w:val="2"/>
            <w:vAlign w:val="center"/>
          </w:tcPr>
          <w:p w14:paraId="65FA5921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66" w:type="pct"/>
            <w:vAlign w:val="center"/>
          </w:tcPr>
          <w:p w14:paraId="2D7F8A41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30" w:type="pct"/>
            <w:vAlign w:val="center"/>
          </w:tcPr>
          <w:p w14:paraId="1E0E76C3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20" w:type="pct"/>
            <w:gridSpan w:val="2"/>
            <w:tcBorders>
              <w:right w:val="single" w:color="auto" w:sz="12" w:space="0"/>
            </w:tcBorders>
            <w:vAlign w:val="center"/>
          </w:tcPr>
          <w:p w14:paraId="1745E950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  <w:tr w14:paraId="76F03BE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2" w:type="pct"/>
            <w:tcBorders>
              <w:left w:val="single" w:color="auto" w:sz="12" w:space="0"/>
            </w:tcBorders>
            <w:vAlign w:val="center"/>
          </w:tcPr>
          <w:p w14:paraId="600313CF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32" w:type="pct"/>
            <w:gridSpan w:val="2"/>
            <w:vAlign w:val="center"/>
          </w:tcPr>
          <w:p w14:paraId="1A494F3A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66" w:type="pct"/>
            <w:vAlign w:val="center"/>
          </w:tcPr>
          <w:p w14:paraId="328B48F9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30" w:type="pct"/>
            <w:vAlign w:val="center"/>
          </w:tcPr>
          <w:p w14:paraId="1E7A9207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20" w:type="pct"/>
            <w:gridSpan w:val="2"/>
            <w:tcBorders>
              <w:right w:val="single" w:color="auto" w:sz="12" w:space="0"/>
            </w:tcBorders>
            <w:vAlign w:val="center"/>
          </w:tcPr>
          <w:p w14:paraId="71FA0F07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  <w:tr w14:paraId="68C8DF4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2" w:type="pct"/>
            <w:tcBorders>
              <w:left w:val="single" w:color="auto" w:sz="12" w:space="0"/>
            </w:tcBorders>
            <w:vAlign w:val="center"/>
          </w:tcPr>
          <w:p w14:paraId="5E3A50C9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32" w:type="pct"/>
            <w:gridSpan w:val="2"/>
            <w:vAlign w:val="center"/>
          </w:tcPr>
          <w:p w14:paraId="09436FFE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66" w:type="pct"/>
            <w:vAlign w:val="center"/>
          </w:tcPr>
          <w:p w14:paraId="4AFFF5A7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30" w:type="pct"/>
            <w:vAlign w:val="center"/>
          </w:tcPr>
          <w:p w14:paraId="2DE0BD98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20" w:type="pct"/>
            <w:gridSpan w:val="2"/>
            <w:tcBorders>
              <w:right w:val="single" w:color="auto" w:sz="12" w:space="0"/>
            </w:tcBorders>
            <w:vAlign w:val="center"/>
          </w:tcPr>
          <w:p w14:paraId="759E1F96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  <w:tr w14:paraId="56C3038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2" w:type="pct"/>
            <w:tcBorders>
              <w:left w:val="single" w:color="auto" w:sz="12" w:space="0"/>
            </w:tcBorders>
            <w:vAlign w:val="center"/>
          </w:tcPr>
          <w:p w14:paraId="3C3329D8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32" w:type="pct"/>
            <w:gridSpan w:val="2"/>
            <w:vAlign w:val="center"/>
          </w:tcPr>
          <w:p w14:paraId="6D30F72B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66" w:type="pct"/>
            <w:vAlign w:val="center"/>
          </w:tcPr>
          <w:p w14:paraId="690ECB28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30" w:type="pct"/>
            <w:vAlign w:val="center"/>
          </w:tcPr>
          <w:p w14:paraId="5641FC32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20" w:type="pct"/>
            <w:gridSpan w:val="2"/>
            <w:tcBorders>
              <w:right w:val="single" w:color="auto" w:sz="12" w:space="0"/>
            </w:tcBorders>
            <w:vAlign w:val="center"/>
          </w:tcPr>
          <w:p w14:paraId="3F4772EA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  <w:tr w14:paraId="6DD154E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2" w:type="pct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66CD558E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32" w:type="pct"/>
            <w:gridSpan w:val="2"/>
            <w:tcBorders>
              <w:bottom w:val="single" w:color="auto" w:sz="12" w:space="0"/>
            </w:tcBorders>
            <w:vAlign w:val="center"/>
          </w:tcPr>
          <w:p w14:paraId="1C231CEC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66" w:type="pct"/>
            <w:tcBorders>
              <w:bottom w:val="single" w:color="auto" w:sz="12" w:space="0"/>
            </w:tcBorders>
            <w:vAlign w:val="center"/>
          </w:tcPr>
          <w:p w14:paraId="67E22BAF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30" w:type="pct"/>
            <w:tcBorders>
              <w:bottom w:val="single" w:color="auto" w:sz="12" w:space="0"/>
            </w:tcBorders>
            <w:vAlign w:val="center"/>
          </w:tcPr>
          <w:p w14:paraId="22EF532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20" w:type="pct"/>
            <w:gridSpan w:val="2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58FCBF9D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  <w:tr w14:paraId="7E2F396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2008" w:hRule="atLeast"/>
        </w:trPr>
        <w:tc>
          <w:tcPr>
            <w:tcW w:w="2484" w:type="pct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</w:tcPr>
          <w:p w14:paraId="02D65DB1">
            <w:pPr>
              <w:snapToGrid w:val="0"/>
              <w:rPr>
                <w:rFonts w:eastAsia="仿宋_GB2312"/>
                <w:szCs w:val="21"/>
              </w:rPr>
            </w:pPr>
          </w:p>
          <w:p w14:paraId="7C264E9A">
            <w:pPr>
              <w:snapToGrid w:val="0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抽（采）样人员（签名）</w:t>
            </w:r>
          </w:p>
          <w:p w14:paraId="68541795">
            <w:pPr>
              <w:snapToGrid w:val="0"/>
              <w:rPr>
                <w:rFonts w:eastAsia="仿宋_GB2312"/>
                <w:szCs w:val="21"/>
              </w:rPr>
            </w:pPr>
          </w:p>
          <w:p w14:paraId="4C6B3D17">
            <w:pPr>
              <w:snapToGrid w:val="0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联系电话：</w:t>
            </w:r>
          </w:p>
          <w:p w14:paraId="2D3439BE">
            <w:pPr>
              <w:snapToGrid w:val="0"/>
              <w:rPr>
                <w:rFonts w:eastAsia="仿宋_GB2312"/>
                <w:szCs w:val="21"/>
              </w:rPr>
            </w:pPr>
          </w:p>
          <w:p w14:paraId="62B2EB8B">
            <w:pPr>
              <w:snapToGrid w:val="0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抽（采）样单位（盖章）</w:t>
            </w:r>
          </w:p>
          <w:p w14:paraId="442BFEC6">
            <w:pPr>
              <w:snapToGrid w:val="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                         </w:t>
            </w:r>
          </w:p>
          <w:p w14:paraId="5D7C751A">
            <w:pPr>
              <w:snapToGrid w:val="0"/>
              <w:ind w:firstLine="2420" w:firstLineChars="110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</w:t>
            </w:r>
            <w:r>
              <w:rPr>
                <w:rFonts w:hint="eastAsia" w:eastAsia="仿宋_GB2312"/>
                <w:szCs w:val="21"/>
              </w:rPr>
              <w:t>年</w:t>
            </w:r>
            <w:r>
              <w:rPr>
                <w:rFonts w:eastAsia="仿宋_GB2312"/>
                <w:szCs w:val="21"/>
              </w:rPr>
              <w:t xml:space="preserve">   </w:t>
            </w:r>
            <w:r>
              <w:rPr>
                <w:rFonts w:hint="eastAsia" w:eastAsia="仿宋_GB2312"/>
                <w:szCs w:val="21"/>
              </w:rPr>
              <w:t>月</w:t>
            </w:r>
            <w:r>
              <w:rPr>
                <w:rFonts w:eastAsia="仿宋_GB2312"/>
                <w:szCs w:val="21"/>
              </w:rPr>
              <w:t xml:space="preserve">   </w:t>
            </w:r>
            <w:r>
              <w:rPr>
                <w:rFonts w:hint="eastAsia" w:eastAsia="仿宋_GB2312"/>
                <w:szCs w:val="21"/>
              </w:rPr>
              <w:t>日</w:t>
            </w:r>
          </w:p>
        </w:tc>
        <w:tc>
          <w:tcPr>
            <w:tcW w:w="2516" w:type="pct"/>
            <w:gridSpan w:val="4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72820711">
            <w:pPr>
              <w:snapToGrid w:val="0"/>
              <w:rPr>
                <w:rFonts w:eastAsia="仿宋_GB2312"/>
                <w:szCs w:val="21"/>
              </w:rPr>
            </w:pPr>
          </w:p>
          <w:p w14:paraId="3159D0A7">
            <w:pPr>
              <w:snapToGrid w:val="0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被抽（采）样单位代表（签名）</w:t>
            </w:r>
          </w:p>
          <w:p w14:paraId="09D72E63">
            <w:pPr>
              <w:snapToGrid w:val="0"/>
              <w:rPr>
                <w:rFonts w:eastAsia="仿宋_GB2312"/>
                <w:szCs w:val="21"/>
              </w:rPr>
            </w:pPr>
          </w:p>
          <w:p w14:paraId="39137390">
            <w:pPr>
              <w:snapToGrid w:val="0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联系电话：</w:t>
            </w:r>
          </w:p>
          <w:p w14:paraId="4F8C0144">
            <w:pPr>
              <w:snapToGrid w:val="0"/>
              <w:rPr>
                <w:rFonts w:eastAsia="仿宋_GB2312"/>
                <w:szCs w:val="21"/>
              </w:rPr>
            </w:pPr>
          </w:p>
          <w:p w14:paraId="20E788F3">
            <w:pPr>
              <w:snapToGrid w:val="0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被抽（采）样单位（盖章）</w:t>
            </w:r>
            <w:r>
              <w:rPr>
                <w:rFonts w:eastAsia="仿宋_GB2312"/>
                <w:szCs w:val="21"/>
              </w:rPr>
              <w:t xml:space="preserve"> </w:t>
            </w:r>
          </w:p>
          <w:p w14:paraId="7F4206D8">
            <w:pPr>
              <w:snapToGrid w:val="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                     </w:t>
            </w:r>
          </w:p>
          <w:p w14:paraId="06CFDDC0">
            <w:pPr>
              <w:snapToGrid w:val="0"/>
              <w:ind w:firstLine="2640" w:firstLineChars="120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</w:t>
            </w:r>
            <w:r>
              <w:rPr>
                <w:rFonts w:hint="eastAsia" w:eastAsia="仿宋_GB2312"/>
                <w:szCs w:val="21"/>
              </w:rPr>
              <w:t>年</w:t>
            </w:r>
            <w:r>
              <w:rPr>
                <w:rFonts w:eastAsia="仿宋_GB2312"/>
                <w:szCs w:val="21"/>
              </w:rPr>
              <w:t xml:space="preserve">   </w:t>
            </w:r>
            <w:r>
              <w:rPr>
                <w:rFonts w:hint="eastAsia" w:eastAsia="仿宋_GB2312"/>
                <w:szCs w:val="21"/>
              </w:rPr>
              <w:t>月</w:t>
            </w:r>
            <w:r>
              <w:rPr>
                <w:rFonts w:eastAsia="仿宋_GB2312"/>
                <w:szCs w:val="21"/>
              </w:rPr>
              <w:t xml:space="preserve">   </w:t>
            </w:r>
            <w:r>
              <w:rPr>
                <w:rFonts w:hint="eastAsia" w:eastAsia="仿宋_GB2312"/>
                <w:szCs w:val="21"/>
              </w:rPr>
              <w:t>日</w:t>
            </w:r>
          </w:p>
          <w:p w14:paraId="029E2A8A">
            <w:pPr>
              <w:snapToGrid w:val="0"/>
              <w:ind w:firstLine="2640" w:firstLineChars="1200"/>
              <w:rPr>
                <w:rFonts w:eastAsia="仿宋_GB2312"/>
                <w:szCs w:val="21"/>
              </w:rPr>
            </w:pPr>
          </w:p>
        </w:tc>
      </w:tr>
    </w:tbl>
    <w:p w14:paraId="26588BFD">
      <w:pPr>
        <w:snapToGrid w:val="0"/>
        <w:rPr>
          <w:rFonts w:eastAsia="仿宋_GB2312"/>
          <w:b/>
          <w:szCs w:val="21"/>
        </w:rPr>
      </w:pPr>
      <w:r>
        <w:rPr>
          <w:rFonts w:hint="eastAsia" w:eastAsia="仿宋_GB2312"/>
          <w:b/>
          <w:szCs w:val="21"/>
        </w:rPr>
        <w:t>说明：</w:t>
      </w:r>
      <w:r>
        <w:rPr>
          <w:rFonts w:eastAsia="仿宋_GB2312"/>
          <w:b/>
          <w:szCs w:val="21"/>
        </w:rPr>
        <w:t xml:space="preserve"> </w:t>
      </w:r>
      <w:r>
        <w:rPr>
          <w:rFonts w:hint="eastAsia" w:eastAsia="仿宋_GB2312"/>
          <w:szCs w:val="21"/>
        </w:rPr>
        <w:t>此单一式三份，第一联抽检单位保存，第二联交检验单位随样品封存，第三联交被抽检单位保存。</w:t>
      </w:r>
    </w:p>
    <w:p w14:paraId="4EBA5E53">
      <w:pPr>
        <w:rPr>
          <w:rFonts w:eastAsia="仿宋_GB2312"/>
          <w:szCs w:val="21"/>
        </w:rPr>
      </w:pPr>
      <w:r>
        <mc:AlternateContent>
          <mc:Choice Requires="wps">
            <w:drawing>
              <wp:anchor distT="0" distB="0" distL="0" distR="0" simplePos="0" relativeHeight="251661312" behindDoc="0" locked="0" layoutInCell="0" allowOverlap="1">
                <wp:simplePos x="0" y="0"/>
                <wp:positionH relativeFrom="page">
                  <wp:posOffset>2755900</wp:posOffset>
                </wp:positionH>
                <wp:positionV relativeFrom="paragraph">
                  <wp:posOffset>209550</wp:posOffset>
                </wp:positionV>
                <wp:extent cx="2199640" cy="12700"/>
                <wp:effectExtent l="0" t="0" r="0" b="0"/>
                <wp:wrapTopAndBottom/>
                <wp:docPr id="1271090939" name="Freeform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99640" cy="12700"/>
                        </a:xfrm>
                        <a:custGeom>
                          <a:avLst/>
                          <a:gdLst>
                            <a:gd name="T0" fmla="*/ 0 w 3464"/>
                            <a:gd name="T1" fmla="*/ 0 h 20"/>
                            <a:gd name="T2" fmla="*/ 3463 w 3464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464" h="20">
                              <a:moveTo>
                                <a:pt x="0" y="0"/>
                              </a:moveTo>
                              <a:lnTo>
                                <a:pt x="3463" y="0"/>
                              </a:lnTo>
                            </a:path>
                          </a:pathLst>
                        </a:custGeom>
                        <a:noFill/>
                        <a:ln w="533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4" o:spid="_x0000_s1026" o:spt="100" style="position:absolute;left:0pt;margin-left:217pt;margin-top:16.5pt;height:1pt;width:173.2pt;mso-position-horizontal-relative:page;mso-wrap-distance-bottom:0pt;mso-wrap-distance-top:0pt;z-index:251661312;mso-width-relative:page;mso-height-relative:page;" filled="f" stroked="t" coordsize="3464,20" o:allowincell="f" o:gfxdata="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" path="m0,0l3463,0e">
                <v:path o:connectlocs="0,0;2199005,0" o:connectangles="0,0"/>
                <v:fill on="f" focussize="0,0"/>
                <v:stroke weight="0.4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3C6DC7E7">
      <w:pPr>
        <w:pStyle w:val="4"/>
        <w:kinsoku w:val="0"/>
        <w:overflowPunct w:val="0"/>
        <w:spacing w:before="59"/>
        <w:ind w:left="214"/>
        <w:jc w:val="right"/>
        <w:rPr>
          <w:rFonts w:eastAsia="仿宋_GB2312"/>
        </w:rPr>
      </w:pPr>
    </w:p>
    <w:sectPr>
      <w:pgSz w:w="11910" w:h="16840"/>
      <w:pgMar w:top="1360" w:right="700" w:bottom="280" w:left="92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402"/>
    <w:multiLevelType w:val="multilevel"/>
    <w:tmpl w:val="00000402"/>
    <w:lvl w:ilvl="0" w:tentative="0">
      <w:start w:val="1"/>
      <w:numFmt w:val="decimal"/>
      <w:lvlText w:val="%1"/>
      <w:lvlJc w:val="left"/>
      <w:pPr>
        <w:ind w:left="812" w:hanging="316"/>
      </w:pPr>
      <w:rPr>
        <w:rFonts w:ascii="黑体" w:eastAsia="黑体" w:cs="黑体"/>
        <w:b w:val="0"/>
        <w:bCs w:val="0"/>
        <w:w w:val="100"/>
        <w:sz w:val="21"/>
        <w:szCs w:val="21"/>
      </w:rPr>
    </w:lvl>
    <w:lvl w:ilvl="1" w:tentative="0">
      <w:start w:val="1"/>
      <w:numFmt w:val="decimal"/>
      <w:lvlText w:val="%1.%2"/>
      <w:lvlJc w:val="left"/>
      <w:pPr>
        <w:ind w:left="1022" w:hanging="526"/>
      </w:pPr>
      <w:rPr>
        <w:rFonts w:ascii="黑体" w:eastAsia="黑体" w:cs="黑体"/>
        <w:b w:val="0"/>
        <w:bCs w:val="0"/>
        <w:w w:val="100"/>
        <w:sz w:val="21"/>
        <w:szCs w:val="21"/>
      </w:rPr>
    </w:lvl>
    <w:lvl w:ilvl="2" w:tentative="0">
      <w:start w:val="1"/>
      <w:numFmt w:val="decimal"/>
      <w:lvlText w:val="%1.%2.%3"/>
      <w:lvlJc w:val="left"/>
      <w:pPr>
        <w:ind w:left="1587" w:hanging="736"/>
      </w:pPr>
      <w:rPr>
        <w:rFonts w:ascii="黑体" w:eastAsia="黑体" w:cs="黑体"/>
        <w:b w:val="0"/>
        <w:bCs w:val="0"/>
        <w:spacing w:val="-1"/>
        <w:w w:val="100"/>
        <w:sz w:val="21"/>
        <w:szCs w:val="21"/>
      </w:rPr>
    </w:lvl>
    <w:lvl w:ilvl="3" w:tentative="0">
      <w:start w:val="1"/>
      <w:numFmt w:val="decimal"/>
      <w:lvlText w:val="%1.%2.%3.%4"/>
      <w:lvlJc w:val="left"/>
      <w:pPr>
        <w:ind w:left="1442" w:hanging="946"/>
      </w:pPr>
      <w:rPr>
        <w:rFonts w:ascii="黑体" w:eastAsia="黑体" w:cs="黑体"/>
        <w:b w:val="0"/>
        <w:bCs w:val="0"/>
        <w:w w:val="100"/>
        <w:sz w:val="21"/>
        <w:szCs w:val="21"/>
      </w:rPr>
    </w:lvl>
    <w:lvl w:ilvl="4" w:tentative="0">
      <w:start w:val="0"/>
      <w:numFmt w:val="bullet"/>
      <w:lvlText w:val="•"/>
      <w:lvlJc w:val="left"/>
      <w:pPr>
        <w:ind w:left="1240" w:hanging="946"/>
      </w:pPr>
    </w:lvl>
    <w:lvl w:ilvl="5" w:tentative="0">
      <w:start w:val="0"/>
      <w:numFmt w:val="bullet"/>
      <w:lvlText w:val="•"/>
      <w:lvlJc w:val="left"/>
      <w:pPr>
        <w:ind w:left="1440" w:hanging="946"/>
      </w:pPr>
    </w:lvl>
    <w:lvl w:ilvl="6" w:tentative="0">
      <w:start w:val="0"/>
      <w:numFmt w:val="bullet"/>
      <w:lvlText w:val="•"/>
      <w:lvlJc w:val="left"/>
      <w:pPr>
        <w:ind w:left="3208" w:hanging="946"/>
      </w:pPr>
    </w:lvl>
    <w:lvl w:ilvl="7" w:tentative="0">
      <w:start w:val="0"/>
      <w:numFmt w:val="bullet"/>
      <w:lvlText w:val="•"/>
      <w:lvlJc w:val="left"/>
      <w:pPr>
        <w:ind w:left="4977" w:hanging="946"/>
      </w:pPr>
    </w:lvl>
    <w:lvl w:ilvl="8" w:tentative="0">
      <w:start w:val="0"/>
      <w:numFmt w:val="bullet"/>
      <w:lvlText w:val="•"/>
      <w:lvlJc w:val="left"/>
      <w:pPr>
        <w:ind w:left="6746" w:hanging="946"/>
      </w:pPr>
    </w:lvl>
  </w:abstractNum>
  <w:abstractNum w:abstractNumId="1">
    <w:nsid w:val="00000405"/>
    <w:multiLevelType w:val="multilevel"/>
    <w:tmpl w:val="00000405"/>
    <w:lvl w:ilvl="0" w:tentative="0">
      <w:start w:val="6"/>
      <w:numFmt w:val="decimal"/>
      <w:lvlText w:val="%1"/>
      <w:lvlJc w:val="left"/>
      <w:pPr>
        <w:ind w:left="1022" w:hanging="526"/>
      </w:pPr>
      <w:rPr>
        <w:rFonts w:cs="Times New Roman"/>
      </w:rPr>
    </w:lvl>
    <w:lvl w:ilvl="1" w:tentative="0">
      <w:start w:val="1"/>
      <w:numFmt w:val="decimal"/>
      <w:lvlText w:val="%1.%2"/>
      <w:lvlJc w:val="left"/>
      <w:pPr>
        <w:ind w:left="1022" w:hanging="526"/>
      </w:pPr>
      <w:rPr>
        <w:rFonts w:ascii="黑体" w:eastAsia="黑体" w:cs="黑体"/>
        <w:b w:val="0"/>
        <w:bCs w:val="0"/>
        <w:spacing w:val="-1"/>
        <w:w w:val="100"/>
        <w:sz w:val="21"/>
        <w:szCs w:val="21"/>
      </w:rPr>
    </w:lvl>
    <w:lvl w:ilvl="2" w:tentative="0">
      <w:start w:val="0"/>
      <w:numFmt w:val="bullet"/>
      <w:lvlText w:val="•"/>
      <w:lvlJc w:val="left"/>
      <w:pPr>
        <w:ind w:left="2872" w:hanging="526"/>
      </w:pPr>
    </w:lvl>
    <w:lvl w:ilvl="3" w:tentative="0">
      <w:start w:val="0"/>
      <w:numFmt w:val="bullet"/>
      <w:lvlText w:val="•"/>
      <w:lvlJc w:val="left"/>
      <w:pPr>
        <w:ind w:left="3799" w:hanging="526"/>
      </w:pPr>
    </w:lvl>
    <w:lvl w:ilvl="4" w:tentative="0">
      <w:start w:val="0"/>
      <w:numFmt w:val="bullet"/>
      <w:lvlText w:val="•"/>
      <w:lvlJc w:val="left"/>
      <w:pPr>
        <w:ind w:left="4725" w:hanging="526"/>
      </w:pPr>
    </w:lvl>
    <w:lvl w:ilvl="5" w:tentative="0">
      <w:start w:val="0"/>
      <w:numFmt w:val="bullet"/>
      <w:lvlText w:val="•"/>
      <w:lvlJc w:val="left"/>
      <w:pPr>
        <w:ind w:left="5652" w:hanging="526"/>
      </w:pPr>
    </w:lvl>
    <w:lvl w:ilvl="6" w:tentative="0">
      <w:start w:val="0"/>
      <w:numFmt w:val="bullet"/>
      <w:lvlText w:val="•"/>
      <w:lvlJc w:val="left"/>
      <w:pPr>
        <w:ind w:left="6578" w:hanging="526"/>
      </w:pPr>
    </w:lvl>
    <w:lvl w:ilvl="7" w:tentative="0">
      <w:start w:val="0"/>
      <w:numFmt w:val="bullet"/>
      <w:lvlText w:val="•"/>
      <w:lvlJc w:val="left"/>
      <w:pPr>
        <w:ind w:left="7505" w:hanging="526"/>
      </w:pPr>
    </w:lvl>
    <w:lvl w:ilvl="8" w:tentative="0">
      <w:start w:val="0"/>
      <w:numFmt w:val="bullet"/>
      <w:lvlText w:val="•"/>
      <w:lvlJc w:val="left"/>
      <w:pPr>
        <w:ind w:left="8431" w:hanging="526"/>
      </w:pPr>
    </w:lvl>
  </w:abstractNum>
  <w:abstractNum w:abstractNumId="2">
    <w:nsid w:val="00000406"/>
    <w:multiLevelType w:val="multilevel"/>
    <w:tmpl w:val="00000406"/>
    <w:lvl w:ilvl="0" w:tentative="0">
      <w:start w:val="1"/>
      <w:numFmt w:val="upperLetter"/>
      <w:lvlText w:val="%1"/>
      <w:lvlJc w:val="left"/>
      <w:pPr>
        <w:ind w:left="1022" w:hanging="526"/>
      </w:pPr>
      <w:rPr>
        <w:rFonts w:cs="Times New Roman"/>
      </w:rPr>
    </w:lvl>
    <w:lvl w:ilvl="1" w:tentative="0">
      <w:start w:val="1"/>
      <w:numFmt w:val="decimal"/>
      <w:lvlText w:val="%1.%2"/>
      <w:lvlJc w:val="left"/>
      <w:pPr>
        <w:ind w:left="1022" w:hanging="526"/>
      </w:pPr>
      <w:rPr>
        <w:rFonts w:ascii="黑体" w:eastAsia="黑体" w:cs="黑体"/>
        <w:b w:val="0"/>
        <w:bCs w:val="0"/>
        <w:spacing w:val="-52"/>
        <w:w w:val="100"/>
        <w:sz w:val="21"/>
        <w:szCs w:val="21"/>
      </w:rPr>
    </w:lvl>
    <w:lvl w:ilvl="2" w:tentative="0">
      <w:start w:val="0"/>
      <w:numFmt w:val="bullet"/>
      <w:lvlText w:val="•"/>
      <w:lvlJc w:val="left"/>
      <w:pPr>
        <w:ind w:left="2872" w:hanging="526"/>
      </w:pPr>
    </w:lvl>
    <w:lvl w:ilvl="3" w:tentative="0">
      <w:start w:val="0"/>
      <w:numFmt w:val="bullet"/>
      <w:lvlText w:val="•"/>
      <w:lvlJc w:val="left"/>
      <w:pPr>
        <w:ind w:left="3799" w:hanging="526"/>
      </w:pPr>
    </w:lvl>
    <w:lvl w:ilvl="4" w:tentative="0">
      <w:start w:val="0"/>
      <w:numFmt w:val="bullet"/>
      <w:lvlText w:val="•"/>
      <w:lvlJc w:val="left"/>
      <w:pPr>
        <w:ind w:left="4725" w:hanging="526"/>
      </w:pPr>
    </w:lvl>
    <w:lvl w:ilvl="5" w:tentative="0">
      <w:start w:val="0"/>
      <w:numFmt w:val="bullet"/>
      <w:lvlText w:val="•"/>
      <w:lvlJc w:val="left"/>
      <w:pPr>
        <w:ind w:left="5652" w:hanging="526"/>
      </w:pPr>
    </w:lvl>
    <w:lvl w:ilvl="6" w:tentative="0">
      <w:start w:val="0"/>
      <w:numFmt w:val="bullet"/>
      <w:lvlText w:val="•"/>
      <w:lvlJc w:val="left"/>
      <w:pPr>
        <w:ind w:left="6578" w:hanging="526"/>
      </w:pPr>
    </w:lvl>
    <w:lvl w:ilvl="7" w:tentative="0">
      <w:start w:val="0"/>
      <w:numFmt w:val="bullet"/>
      <w:lvlText w:val="•"/>
      <w:lvlJc w:val="left"/>
      <w:pPr>
        <w:ind w:left="7505" w:hanging="526"/>
      </w:pPr>
    </w:lvl>
    <w:lvl w:ilvl="8" w:tentative="0">
      <w:start w:val="0"/>
      <w:numFmt w:val="bullet"/>
      <w:lvlText w:val="•"/>
      <w:lvlJc w:val="left"/>
      <w:pPr>
        <w:ind w:left="8431" w:hanging="526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HorizontalSpacing w:val="120"/>
  <w:drawingGridVerticalSpacing w:val="120"/>
  <w:displayHorizontalDrawingGridEvery w:val="0"/>
  <w:displayVerticalDrawingGridEvery w:val="3"/>
  <w:doNotUseMarginsForDrawingGridOrigin w:val="1"/>
  <w:drawingGridHorizontalOrigin w:val="1800"/>
  <w:drawingGridVerticalOrigin w:val="1440"/>
  <w:doNotShadeFormData w:val="1"/>
  <w:characterSpacingControl w:val="doNotCompress"/>
  <w:doNotValidateAgainstSchema/>
  <w:doNotDemarcateInvalidXml/>
  <w:compat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680"/>
    <w:rsid w:val="0006111E"/>
    <w:rsid w:val="0006171C"/>
    <w:rsid w:val="00083FA6"/>
    <w:rsid w:val="000A00F7"/>
    <w:rsid w:val="00100BBC"/>
    <w:rsid w:val="00117A5E"/>
    <w:rsid w:val="00177E55"/>
    <w:rsid w:val="001B349D"/>
    <w:rsid w:val="001C32FC"/>
    <w:rsid w:val="002011AB"/>
    <w:rsid w:val="00215DD7"/>
    <w:rsid w:val="00242B7F"/>
    <w:rsid w:val="002528E0"/>
    <w:rsid w:val="00272E2F"/>
    <w:rsid w:val="002B7415"/>
    <w:rsid w:val="002F21DD"/>
    <w:rsid w:val="00381054"/>
    <w:rsid w:val="00382BD6"/>
    <w:rsid w:val="003E5E4B"/>
    <w:rsid w:val="00442342"/>
    <w:rsid w:val="004716C6"/>
    <w:rsid w:val="004D7F45"/>
    <w:rsid w:val="005549BE"/>
    <w:rsid w:val="005D2D31"/>
    <w:rsid w:val="005D58B1"/>
    <w:rsid w:val="00623CA9"/>
    <w:rsid w:val="006938AD"/>
    <w:rsid w:val="006A4300"/>
    <w:rsid w:val="006C6BAD"/>
    <w:rsid w:val="006E0419"/>
    <w:rsid w:val="006E4CFA"/>
    <w:rsid w:val="0070726E"/>
    <w:rsid w:val="00746680"/>
    <w:rsid w:val="00767986"/>
    <w:rsid w:val="00792536"/>
    <w:rsid w:val="007D6331"/>
    <w:rsid w:val="008218BE"/>
    <w:rsid w:val="0082315C"/>
    <w:rsid w:val="008940A3"/>
    <w:rsid w:val="008C28A3"/>
    <w:rsid w:val="0095789B"/>
    <w:rsid w:val="009B5044"/>
    <w:rsid w:val="009D1763"/>
    <w:rsid w:val="009E284D"/>
    <w:rsid w:val="00A1323E"/>
    <w:rsid w:val="00A56FDF"/>
    <w:rsid w:val="00A611B1"/>
    <w:rsid w:val="00A86280"/>
    <w:rsid w:val="00AD7604"/>
    <w:rsid w:val="00B06AA6"/>
    <w:rsid w:val="00B11007"/>
    <w:rsid w:val="00B3117A"/>
    <w:rsid w:val="00B77635"/>
    <w:rsid w:val="00B80EC4"/>
    <w:rsid w:val="00BA22A8"/>
    <w:rsid w:val="00C117B3"/>
    <w:rsid w:val="00C17790"/>
    <w:rsid w:val="00CC773E"/>
    <w:rsid w:val="00CF437B"/>
    <w:rsid w:val="00D12388"/>
    <w:rsid w:val="00D13328"/>
    <w:rsid w:val="00D33F64"/>
    <w:rsid w:val="00D533F4"/>
    <w:rsid w:val="00DC06A9"/>
    <w:rsid w:val="00DC5484"/>
    <w:rsid w:val="00E2500A"/>
    <w:rsid w:val="00E43721"/>
    <w:rsid w:val="00E6488A"/>
    <w:rsid w:val="00E73EA5"/>
    <w:rsid w:val="00EB4B90"/>
    <w:rsid w:val="00ED0989"/>
    <w:rsid w:val="00ED4A62"/>
    <w:rsid w:val="00ED5D29"/>
    <w:rsid w:val="00ED62B3"/>
    <w:rsid w:val="00EE0299"/>
    <w:rsid w:val="00EF097F"/>
    <w:rsid w:val="00EF5FCF"/>
    <w:rsid w:val="00F0478E"/>
    <w:rsid w:val="00F40FD4"/>
    <w:rsid w:val="00F441E5"/>
    <w:rsid w:val="00F6074E"/>
    <w:rsid w:val="00F60A30"/>
    <w:rsid w:val="00F60EA6"/>
    <w:rsid w:val="00F73B1F"/>
    <w:rsid w:val="00FF5068"/>
    <w:rsid w:val="76D15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w14:defaultImageDpi w14:val="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1"/>
    <w:pPr>
      <w:ind w:left="4534"/>
      <w:outlineLvl w:val="0"/>
    </w:pPr>
    <w:rPr>
      <w:rFonts w:ascii="黑体" w:eastAsia="黑体" w:cs="黑体"/>
      <w:sz w:val="32"/>
      <w:szCs w:val="32"/>
    </w:rPr>
  </w:style>
  <w:style w:type="paragraph" w:styleId="3">
    <w:name w:val="heading 2"/>
    <w:basedOn w:val="1"/>
    <w:next w:val="1"/>
    <w:link w:val="10"/>
    <w:qFormat/>
    <w:uiPriority w:val="1"/>
    <w:pPr>
      <w:spacing w:before="1"/>
      <w:ind w:left="65"/>
      <w:outlineLvl w:val="1"/>
    </w:pPr>
    <w:rPr>
      <w:rFonts w:ascii="Times New Roman" w:cs="Times New Roman" w:eastAsiaTheme="minorEastAsia"/>
      <w:sz w:val="28"/>
      <w:szCs w:val="28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1"/>
    <w:qFormat/>
    <w:uiPriority w:val="1"/>
    <w:rPr>
      <w:sz w:val="21"/>
      <w:szCs w:val="21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标题 1 字符"/>
    <w:basedOn w:val="8"/>
    <w:link w:val="2"/>
    <w:uiPriority w:val="9"/>
    <w:rPr>
      <w:rFonts w:ascii="宋体" w:hAnsi="Times New Roman" w:eastAsia="宋体" w:cs="宋体"/>
      <w:b/>
      <w:bCs/>
      <w:kern w:val="44"/>
      <w:sz w:val="44"/>
      <w:szCs w:val="44"/>
    </w:rPr>
  </w:style>
  <w:style w:type="character" w:customStyle="1" w:styleId="10">
    <w:name w:val="标题 2 字符"/>
    <w:basedOn w:val="8"/>
    <w:link w:val="3"/>
    <w:semiHidden/>
    <w:uiPriority w:val="9"/>
    <w:rPr>
      <w:rFonts w:cs="Times New Roman" w:asciiTheme="majorHAnsi" w:hAnsiTheme="majorHAnsi" w:eastAsiaTheme="majorEastAsia"/>
      <w:b/>
      <w:bCs/>
      <w:kern w:val="0"/>
      <w:sz w:val="32"/>
      <w:szCs w:val="32"/>
    </w:rPr>
  </w:style>
  <w:style w:type="character" w:customStyle="1" w:styleId="11">
    <w:name w:val="正文文本 字符"/>
    <w:basedOn w:val="8"/>
    <w:link w:val="4"/>
    <w:semiHidden/>
    <w:uiPriority w:val="99"/>
    <w:rPr>
      <w:rFonts w:ascii="宋体" w:hAnsi="Times New Roman" w:eastAsia="宋体" w:cs="宋体"/>
      <w:kern w:val="0"/>
      <w:sz w:val="22"/>
    </w:rPr>
  </w:style>
  <w:style w:type="paragraph" w:styleId="12">
    <w:name w:val="List Paragraph"/>
    <w:basedOn w:val="1"/>
    <w:qFormat/>
    <w:uiPriority w:val="1"/>
    <w:pPr>
      <w:ind w:left="1022" w:hanging="525"/>
    </w:pPr>
    <w:rPr>
      <w:sz w:val="24"/>
      <w:szCs w:val="24"/>
    </w:rPr>
  </w:style>
  <w:style w:type="paragraph" w:customStyle="1" w:styleId="13">
    <w:name w:val="Table Paragraph"/>
    <w:basedOn w:val="1"/>
    <w:qFormat/>
    <w:uiPriority w:val="1"/>
    <w:rPr>
      <w:sz w:val="24"/>
      <w:szCs w:val="24"/>
    </w:rPr>
  </w:style>
  <w:style w:type="character" w:customStyle="1" w:styleId="14">
    <w:name w:val="页眉 字符"/>
    <w:basedOn w:val="8"/>
    <w:link w:val="6"/>
    <w:uiPriority w:val="99"/>
    <w:rPr>
      <w:rFonts w:ascii="宋体" w:hAnsi="Times New Roman" w:eastAsia="宋体" w:cs="宋体"/>
      <w:kern w:val="0"/>
      <w:sz w:val="18"/>
      <w:szCs w:val="18"/>
    </w:rPr>
  </w:style>
  <w:style w:type="character" w:customStyle="1" w:styleId="15">
    <w:name w:val="页脚 字符"/>
    <w:basedOn w:val="8"/>
    <w:link w:val="5"/>
    <w:uiPriority w:val="99"/>
    <w:rPr>
      <w:rFonts w:ascii="宋体" w:hAnsi="Times New Roman" w:eastAsia="宋体" w:cs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4280</Words>
  <Characters>5211</Characters>
  <Lines>255</Lines>
  <Paragraphs>217</Paragraphs>
  <TotalTime>183</TotalTime>
  <ScaleCrop>false</ScaleCrop>
  <LinksUpToDate>false</LinksUpToDate>
  <CharactersWithSpaces>5444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2025-05-26T03:38:00Z</dcterms:created>
  <dc:creator>CNIS</dc:creator>
  <cp:lastModifiedBy>忐忑</cp:lastModifiedBy>
  <dcterms:modified xsi:type="dcterms:W3CDTF">2025-07-17T01:55:58Z</dcterms:modified>
  <dc:title>标准名称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7.0 for Word</vt:lpwstr>
  </property>
  <property fmtid="{D5CDD505-2E9C-101B-9397-08002B2CF9AE}" pid="3" name="KSOTemplateDocerSaveRecord">
    <vt:lpwstr>eyJoZGlkIjoiMjE1MGZmOTRhZjllMGExZDlkZTMzYmYzNTljMTkwODUiLCJ1c2VySWQiOiI0MzYwMTU0NjQifQ==</vt:lpwstr>
  </property>
  <property fmtid="{D5CDD505-2E9C-101B-9397-08002B2CF9AE}" pid="4" name="KSOProductBuildVer">
    <vt:lpwstr>2052-12.1.0.21915</vt:lpwstr>
  </property>
  <property fmtid="{D5CDD505-2E9C-101B-9397-08002B2CF9AE}" pid="5" name="ICV">
    <vt:lpwstr>01D8407088AF43AC97B4858EFD362A7B_12</vt:lpwstr>
  </property>
</Properties>
</file>