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5307D1">
      <w:pPr>
        <w:pStyle w:val="124"/>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ICS</w:t>
      </w:r>
      <w:r>
        <w:rPr>
          <w:rFonts w:hint="default" w:ascii="Times New Roman" w:hAnsi="Times New Roman" w:eastAsia="Ms" w:cs="Times New Roman"/>
          <w:color w:val="000000" w:themeColor="text1"/>
          <w:highlight w:val="none"/>
          <w14:textFill>
            <w14:solidFill>
              <w14:schemeClr w14:val="tx1"/>
            </w14:solidFill>
          </w14:textFill>
        </w:rPr>
        <w:t> </w:t>
      </w:r>
      <w:bookmarkStart w:id="0" w:name="ICS"/>
      <w:r>
        <w:rPr>
          <w:rFonts w:hint="default" w:ascii="Times New Roman" w:hAnsi="Times New Roman" w:cs="Times New Roman"/>
          <w:color w:val="000000" w:themeColor="text1"/>
          <w:highlight w:val="none"/>
          <w14:textFill>
            <w14:solidFill>
              <w14:schemeClr w14:val="tx1"/>
            </w14:solidFill>
          </w14:textFill>
        </w:rPr>
        <w:fldChar w:fldCharType="begin">
          <w:ffData>
            <w:name w:val="ICS"/>
            <w:enabled/>
            <w:calcOnExit w:val="0"/>
            <w:helpText w:type="text" w:val="请输入正确的ICS号："/>
            <w:textInput>
              <w:default w:val="点击此处添加ICS号"/>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点击此处添加ICS号</w:t>
      </w:r>
      <w:r>
        <w:rPr>
          <w:rFonts w:hint="default" w:ascii="Times New Roman" w:hAnsi="Times New Roman" w:cs="Times New Roman"/>
          <w:color w:val="000000" w:themeColor="text1"/>
          <w:highlight w:val="none"/>
          <w14:textFill>
            <w14:solidFill>
              <w14:schemeClr w14:val="tx1"/>
            </w14:solidFill>
          </w14:textFill>
        </w:rPr>
        <w:fldChar w:fldCharType="end"/>
      </w:r>
      <w:bookmarkEnd w:id="0"/>
    </w:p>
    <w:p w14:paraId="4B491962">
      <w:pPr>
        <w:pStyle w:val="124"/>
        <w:rPr>
          <w:rFonts w:hint="default" w:ascii="Times New Roman" w:hAnsi="Times New Roman" w:cs="Times New Roman"/>
          <w:color w:val="000000" w:themeColor="text1"/>
          <w:highlight w:val="none"/>
          <w14:textFill>
            <w14:solidFill>
              <w14:schemeClr w14:val="tx1"/>
            </w14:solidFill>
          </w14:textFill>
        </w:rPr>
      </w:pPr>
      <w:bookmarkStart w:id="1" w:name="WXFLH"/>
      <w:r>
        <w:rPr>
          <w:rFonts w:hint="default" w:ascii="Times New Roman" w:hAnsi="Times New Roman" w:cs="Times New Roman"/>
          <w:color w:val="000000" w:themeColor="text1"/>
          <w:highlight w:val="none"/>
          <w14:textFill>
            <w14:solidFill>
              <w14:schemeClr w14:val="tx1"/>
            </w14:solidFill>
          </w14:textFill>
        </w:rPr>
        <w:fldChar w:fldCharType="begin">
          <w:ffData>
            <w:name w:val="WXFLH"/>
            <w:enabled/>
            <w:calcOnExit w:val="0"/>
            <w:helpText w:type="text" w:val="请输入中国标准文献分类号："/>
            <w:textInput>
              <w:default w:val="点击此处添加中国标准文献分类号"/>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点击此处添加中国标准文献分类号</w:t>
      </w:r>
      <w:r>
        <w:rPr>
          <w:rFonts w:hint="default" w:ascii="Times New Roman" w:hAnsi="Times New Roman" w:cs="Times New Roman"/>
          <w:color w:val="000000" w:themeColor="text1"/>
          <w:highlight w:val="none"/>
          <w14:textFill>
            <w14:solidFill>
              <w14:schemeClr w14:val="tx1"/>
            </w14:solidFill>
          </w14:textFill>
        </w:rPr>
        <w:fldChar w:fldCharType="end"/>
      </w:r>
      <w:bookmarkEnd w:id="1"/>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6516F7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14:paraId="07A04068">
            <w:pPr>
              <w:pStyle w:val="124"/>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rPr>
                <w:rFonts w:hint="default" w:ascii="Times New Roman" w:hAnsi="Times New Roman" w:cs="Times New Roman"/>
                <w:color w:val="000000" w:themeColor="text1"/>
                <w:highlight w:val="none"/>
                <w14:textFill>
                  <w14:solidFill>
                    <w14:schemeClr w14:val="tx1"/>
                  </w14:solidFill>
                </w14:textFill>
              </w:rPr>
              <w:fldChar w:fldCharType="begin">
                <w:ffData>
                  <w:name w:val="BAH"/>
                  <w:enabled/>
                  <w:calcOnExit w:val="0"/>
                  <w:textInput/>
                </w:ffData>
              </w:fldChar>
            </w:r>
            <w:bookmarkStart w:id="2" w:name="BAH"/>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     </w:t>
            </w:r>
            <w:r>
              <w:rPr>
                <w:rFonts w:hint="default" w:ascii="Times New Roman" w:hAnsi="Times New Roman" w:cs="Times New Roman"/>
                <w:color w:val="000000" w:themeColor="text1"/>
                <w:highlight w:val="none"/>
                <w14:textFill>
                  <w14:solidFill>
                    <w14:schemeClr w14:val="tx1"/>
                  </w14:solidFill>
                </w14:textFill>
              </w:rPr>
              <w:fldChar w:fldCharType="end"/>
            </w:r>
            <w:bookmarkEnd w:id="2"/>
          </w:p>
        </w:tc>
      </w:tr>
    </w:tbl>
    <w:p w14:paraId="5AF3604A">
      <w:pPr>
        <w:pStyle w:val="11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DB</w:t>
      </w:r>
      <w:bookmarkStart w:id="3" w:name="c3"/>
      <w:r>
        <w:rPr>
          <w:rFonts w:hint="default" w:ascii="Times New Roman" w:hAnsi="Times New Roman" w:cs="Times New Roman"/>
          <w:color w:val="000000" w:themeColor="text1"/>
          <w:highlight w:val="none"/>
          <w14:textFill>
            <w14:solidFill>
              <w14:schemeClr w14:val="tx1"/>
            </w14:solidFill>
          </w14:textFill>
        </w:rPr>
        <w:fldChar w:fldCharType="begin">
          <w:ffData>
            <w:name w:val="c3"/>
            <w:enabled/>
            <w:calcOnExit w:val="0"/>
            <w:textInput>
              <w:maxLength w:val="2"/>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34</w:t>
      </w:r>
      <w:r>
        <w:rPr>
          <w:rFonts w:hint="default" w:ascii="Times New Roman" w:hAnsi="Times New Roman" w:cs="Times New Roman"/>
          <w:color w:val="000000" w:themeColor="text1"/>
          <w:highlight w:val="none"/>
          <w14:textFill>
            <w14:solidFill>
              <w14:schemeClr w14:val="tx1"/>
            </w14:solidFill>
          </w14:textFill>
        </w:rPr>
        <w:fldChar w:fldCharType="end"/>
      </w:r>
      <w:bookmarkEnd w:id="3"/>
    </w:p>
    <w:p w14:paraId="6D45DC2D">
      <w:pPr>
        <w:pStyle w:val="111"/>
        <w:rPr>
          <w:rFonts w:hint="default" w:ascii="Times New Roman" w:hAnsi="Times New Roman" w:cs="Times New Roman"/>
          <w:color w:val="000000" w:themeColor="text1"/>
          <w:highlight w:val="none"/>
          <w14:textFill>
            <w14:solidFill>
              <w14:schemeClr w14:val="tx1"/>
            </w14:solidFill>
          </w14:textFill>
        </w:rPr>
      </w:pPr>
      <w:bookmarkStart w:id="4" w:name="c4"/>
      <w:r>
        <w:rPr>
          <w:rFonts w:hint="default" w:ascii="Times New Roman" w:hAnsi="Times New Roman" w:cs="Times New Roman"/>
          <w:color w:val="000000" w:themeColor="text1"/>
          <w:highlight w:val="none"/>
          <w14:textFill>
            <w14:solidFill>
              <w14:schemeClr w14:val="tx1"/>
            </w14:solidFill>
          </w14:textFill>
        </w:rPr>
        <w:fldChar w:fldCharType="begin">
          <w:ffData>
            <w:name w:val="c4"/>
            <w:enabled/>
            <w:calcOnExit w:val="0"/>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安徽省</w:t>
      </w:r>
      <w:r>
        <w:rPr>
          <w:rFonts w:hint="default" w:ascii="Times New Roman" w:hAnsi="Times New Roman" w:cs="Times New Roman"/>
          <w:color w:val="000000" w:themeColor="text1"/>
          <w:highlight w:val="none"/>
          <w14:textFill>
            <w14:solidFill>
              <w14:schemeClr w14:val="tx1"/>
            </w14:solidFill>
          </w14:textFill>
        </w:rPr>
        <w:fldChar w:fldCharType="end"/>
      </w:r>
      <w:bookmarkEnd w:id="4"/>
      <w:r>
        <w:rPr>
          <w:rFonts w:hint="default" w:ascii="Times New Roman" w:hAnsi="Times New Roman" w:cs="Times New Roman"/>
          <w:color w:val="000000" w:themeColor="text1"/>
          <w:highlight w:val="none"/>
          <w14:textFill>
            <w14:solidFill>
              <w14:schemeClr w14:val="tx1"/>
            </w14:solidFill>
          </w14:textFill>
        </w:rPr>
        <w:t>地方标准</w:t>
      </w:r>
    </w:p>
    <w:p w14:paraId="330B10E0">
      <w:pPr>
        <w:pStyle w:val="48"/>
        <w:outlineLvl w:val="0"/>
        <w:rPr>
          <w:rFonts w:hint="default" w:ascii="Times New Roman" w:hAnsi="Times New Roman" w:cs="Times New Roman"/>
          <w:color w:val="000000" w:themeColor="text1"/>
          <w:highlight w:val="none"/>
          <w14:textFill>
            <w14:solidFill>
              <w14:schemeClr w14:val="tx1"/>
            </w14:solidFill>
          </w14:textFill>
        </w:rPr>
      </w:pPr>
      <w:bookmarkStart w:id="5" w:name="_Toc17850"/>
      <w:bookmarkStart w:id="6" w:name="_Toc9843"/>
      <w:bookmarkStart w:id="7" w:name="_Toc9683"/>
      <w:bookmarkStart w:id="8" w:name="_Toc24391"/>
      <w:bookmarkStart w:id="9" w:name="_Toc2751"/>
      <w:bookmarkStart w:id="10" w:name="_Toc4791"/>
      <w:r>
        <w:rPr>
          <w:rFonts w:hint="default" w:ascii="Times New Roman" w:hAnsi="Times New Roman" w:cs="Times New Roman"/>
          <w:color w:val="000000" w:themeColor="text1"/>
          <w:highlight w:val="none"/>
          <w14:textFill>
            <w14:solidFill>
              <w14:schemeClr w14:val="tx1"/>
            </w14:solidFill>
          </w14:textFill>
        </w:rPr>
        <w:t xml:space="preserve">DB </w:t>
      </w:r>
      <w:bookmarkStart w:id="11" w:name="StdNo0"/>
      <w:r>
        <w:rPr>
          <w:rFonts w:hint="default" w:ascii="Times New Roman" w:hAnsi="Times New Roman" w:cs="Times New Roman"/>
          <w:color w:val="000000" w:themeColor="text1"/>
          <w:highlight w:val="none"/>
          <w14:textFill>
            <w14:solidFill>
              <w14:schemeClr w14:val="tx1"/>
            </w14:solidFill>
          </w14:textFill>
        </w:rPr>
        <w:fldChar w:fldCharType="begin">
          <w:ffData>
            <w:name w:val="StdNo0"/>
            <w:enabled/>
            <w:calcOnExit w:val="0"/>
            <w:textInput>
              <w:default w:val="XX"/>
              <w:maxLength w:val="2"/>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34</w:t>
      </w:r>
      <w:r>
        <w:rPr>
          <w:rFonts w:hint="default" w:ascii="Times New Roman" w:hAnsi="Times New Roman" w:cs="Times New Roman"/>
          <w:color w:val="000000" w:themeColor="text1"/>
          <w:highlight w:val="none"/>
          <w14:textFill>
            <w14:solidFill>
              <w14:schemeClr w14:val="tx1"/>
            </w14:solidFill>
          </w14:textFill>
        </w:rPr>
        <w:fldChar w:fldCharType="end"/>
      </w:r>
      <w:bookmarkEnd w:id="11"/>
      <w:r>
        <w:rPr>
          <w:rFonts w:hint="default" w:ascii="Times New Roman" w:hAnsi="Times New Roman" w:cs="Times New Roman"/>
          <w:color w:val="000000" w:themeColor="text1"/>
          <w:highlight w:val="none"/>
          <w14:textFill>
            <w14:solidFill>
              <w14:schemeClr w14:val="tx1"/>
            </w14:solidFill>
          </w14:textFill>
        </w:rPr>
        <w:t xml:space="preserve">/ </w:t>
      </w:r>
      <w:bookmarkStart w:id="12" w:name="StdNo1"/>
      <w:r>
        <w:rPr>
          <w:rFonts w:hint="default" w:ascii="Times New Roman" w:hAnsi="Times New Roman" w:cs="Times New Roman"/>
          <w:color w:val="000000" w:themeColor="text1"/>
          <w:highlight w:val="none"/>
          <w14:textFill>
            <w14:solidFill>
              <w14:schemeClr w14:val="tx1"/>
            </w14:solidFill>
          </w14:textFill>
        </w:rPr>
        <w:fldChar w:fldCharType="begin">
          <w:ffData>
            <w:name w:val="StdNo1"/>
            <w:enabled/>
            <w:calcOnExit w:val="0"/>
            <w:textInput>
              <w:default w:val="XXXXX"/>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XXXXX</w:t>
      </w:r>
      <w:r>
        <w:rPr>
          <w:rFonts w:hint="default" w:ascii="Times New Roman" w:hAnsi="Times New Roman" w:cs="Times New Roman"/>
          <w:color w:val="000000" w:themeColor="text1"/>
          <w:highlight w:val="none"/>
          <w14:textFill>
            <w14:solidFill>
              <w14:schemeClr w14:val="tx1"/>
            </w14:solidFill>
          </w14:textFill>
        </w:rPr>
        <w:fldChar w:fldCharType="end"/>
      </w:r>
      <w:bookmarkEnd w:id="12"/>
      <w:r>
        <w:rPr>
          <w:rFonts w:hint="default" w:ascii="Times New Roman" w:hAnsi="Times New Roman" w:cs="Times New Roman"/>
          <w:color w:val="000000" w:themeColor="text1"/>
          <w:highlight w:val="none"/>
          <w14:textFill>
            <w14:solidFill>
              <w14:schemeClr w14:val="tx1"/>
            </w14:solidFill>
          </w14:textFill>
        </w:rPr>
        <w:t>—</w:t>
      </w:r>
      <w:bookmarkStart w:id="13" w:name="StdNo2"/>
      <w:r>
        <w:rPr>
          <w:rFonts w:hint="default" w:ascii="Times New Roman" w:hAnsi="Times New Roman" w:cs="Times New Roman"/>
          <w:color w:val="000000" w:themeColor="text1"/>
          <w:highlight w:val="none"/>
          <w14:textFill>
            <w14:solidFill>
              <w14:schemeClr w14:val="tx1"/>
            </w14:solidFill>
          </w14:textFill>
        </w:rPr>
        <w:fldChar w:fldCharType="begin">
          <w:ffData>
            <w:name w:val="StdNo2"/>
            <w:enabled/>
            <w:calcOnExit w:val="0"/>
            <w:textInput>
              <w:default w:val="XXXX"/>
              <w:maxLength w:val="4"/>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XXXX</w:t>
      </w:r>
      <w:r>
        <w:rPr>
          <w:rFonts w:hint="default" w:ascii="Times New Roman" w:hAnsi="Times New Roman" w:cs="Times New Roman"/>
          <w:color w:val="000000" w:themeColor="text1"/>
          <w:highlight w:val="none"/>
          <w14:textFill>
            <w14:solidFill>
              <w14:schemeClr w14:val="tx1"/>
            </w14:solidFill>
          </w14:textFill>
        </w:rPr>
        <w:fldChar w:fldCharType="end"/>
      </w:r>
      <w:bookmarkEnd w:id="5"/>
      <w:bookmarkEnd w:id="6"/>
      <w:bookmarkEnd w:id="7"/>
      <w:bookmarkEnd w:id="8"/>
      <w:bookmarkEnd w:id="9"/>
      <w:bookmarkEnd w:id="10"/>
      <w:bookmarkEnd w:id="13"/>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6EF28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33A64137">
            <w:pPr>
              <w:pStyle w:val="77"/>
              <w:rPr>
                <w:rFonts w:hint="default" w:ascii="Times New Roman" w:hAnsi="Times New Roman" w:cs="Times New Roman"/>
                <w:color w:val="000000" w:themeColor="text1"/>
                <w:highlight w:val="none"/>
                <w14:textFill>
                  <w14:solidFill>
                    <w14:schemeClr w14:val="tx1"/>
                  </w14:solidFill>
                </w14:textFill>
              </w:rPr>
            </w:pPr>
            <w:bookmarkStart w:id="14" w:name="DT"/>
            <w:r>
              <w:rPr>
                <w:rFonts w:hint="default" w:ascii="Times New Roman" w:hAnsi="Times New Roman" w:cs="Times New Roman"/>
                <w:color w:val="000000" w:themeColor="text1"/>
                <w:highlight w:val="none"/>
                <w14:textFill>
                  <w14:solidFill>
                    <w14:schemeClr w14:val="tx1"/>
                  </w14:solidFill>
                </w14:textFill>
              </w:rPr>
              <w:fldChar w:fldCharType="begin">
                <w:ffData>
                  <w:name w:val="DT"/>
                  <w:enabled/>
                  <w:calcOnExit w:val="0"/>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     </w:t>
            </w:r>
            <w:r>
              <w:rPr>
                <w:rFonts w:hint="default" w:ascii="Times New Roman" w:hAnsi="Times New Roman" w:cs="Times New Roman"/>
                <w:color w:val="000000" w:themeColor="text1"/>
                <w:highlight w:val="none"/>
                <w14:textFill>
                  <w14:solidFill>
                    <w14:schemeClr w14:val="tx1"/>
                  </w14:solidFill>
                </w14:textFill>
              </w:rPr>
              <w:fldChar w:fldCharType="end"/>
            </w:r>
            <w:bookmarkEnd w:id="14"/>
          </w:p>
        </w:tc>
      </w:tr>
    </w:tbl>
    <w:p w14:paraId="62722B76">
      <w:pPr>
        <w:pStyle w:val="48"/>
        <w:rPr>
          <w:rFonts w:hint="default" w:ascii="Times New Roman" w:hAnsi="Times New Roman" w:cs="Times New Roman"/>
          <w:color w:val="000000" w:themeColor="text1"/>
          <w:highlight w:val="none"/>
          <w14:textFill>
            <w14:solidFill>
              <w14:schemeClr w14:val="tx1"/>
            </w14:solidFill>
          </w14:textFill>
        </w:rPr>
      </w:pPr>
    </w:p>
    <w:p w14:paraId="0AF5EFCC">
      <w:pPr>
        <w:pStyle w:val="48"/>
        <w:rPr>
          <w:rFonts w:hint="default" w:ascii="Times New Roman" w:hAnsi="Times New Roman" w:cs="Times New Roman"/>
          <w:color w:val="000000" w:themeColor="text1"/>
          <w:highlight w:val="none"/>
          <w14:textFill>
            <w14:solidFill>
              <w14:schemeClr w14:val="tx1"/>
            </w14:solidFill>
          </w14:textFill>
        </w:rPr>
      </w:pPr>
    </w:p>
    <w:p w14:paraId="61EC64CB">
      <w:pPr>
        <w:pStyle w:val="79"/>
        <w:framePr w:wrap="around" w:x="1149"/>
        <w:tabs>
          <w:tab w:val="center" w:pos="4879"/>
          <w:tab w:val="left" w:pos="8501"/>
        </w:tabs>
        <w:jc w:val="left"/>
        <w:outlineLvl w:val="0"/>
        <w:rPr>
          <w:rFonts w:hint="eastAsia" w:ascii="Times New Roman" w:hAnsi="Times New Roman" w:eastAsia="黑体" w:cs="Times New Roman"/>
          <w:color w:val="000000" w:themeColor="text1"/>
          <w:highlight w:val="none"/>
          <w:lang w:eastAsia="zh-CN"/>
          <w14:textFill>
            <w14:solidFill>
              <w14:schemeClr w14:val="tx1"/>
            </w14:solidFill>
          </w14:textFill>
        </w:rPr>
      </w:pPr>
      <w:r>
        <w:rPr>
          <w:rFonts w:hint="eastAsia" w:ascii="Times New Roman" w:cs="Times New Roman"/>
          <w:color w:val="000000" w:themeColor="text1"/>
          <w:highlight w:val="none"/>
          <w:lang w:eastAsia="zh-CN"/>
          <w14:textFill>
            <w14:solidFill>
              <w14:schemeClr w14:val="tx1"/>
            </w14:solidFill>
          </w14:textFill>
        </w:rPr>
        <w:tab/>
      </w:r>
      <w:bookmarkStart w:id="15" w:name="_Toc24976"/>
      <w:bookmarkStart w:id="16" w:name="_Toc14670"/>
      <w:bookmarkStart w:id="17" w:name="_Toc20185"/>
      <w:r>
        <w:rPr>
          <w:rFonts w:hint="default" w:ascii="Times New Roman" w:hAnsi="Times New Roman" w:cs="Times New Roman"/>
          <w:color w:val="000000" w:themeColor="text1"/>
          <w:highlight w:val="none"/>
          <w14:textFill>
            <w14:solidFill>
              <w14:schemeClr w14:val="tx1"/>
            </w14:solidFill>
          </w14:textFill>
        </w:rPr>
        <w:t>产业园区土地集约利用评价</w:t>
      </w:r>
      <w:bookmarkEnd w:id="15"/>
      <w:bookmarkEnd w:id="16"/>
      <w:bookmarkEnd w:id="17"/>
      <w:r>
        <w:rPr>
          <w:rFonts w:hint="eastAsia" w:ascii="Times New Roman" w:cs="Times New Roman"/>
          <w:color w:val="000000" w:themeColor="text1"/>
          <w:highlight w:val="none"/>
          <w:lang w:eastAsia="zh-CN"/>
          <w14:textFill>
            <w14:solidFill>
              <w14:schemeClr w14:val="tx1"/>
            </w14:solidFill>
          </w14:textFill>
        </w:rPr>
        <w:tab/>
      </w:r>
    </w:p>
    <w:p w14:paraId="404F041E">
      <w:pPr>
        <w:pStyle w:val="80"/>
        <w:framePr w:wrap="around" w:x="1149"/>
        <w:rPr>
          <w:rFonts w:hint="default" w:ascii="Times New Roman" w:hAnsi="Times New Roman" w:cs="Times New Roman"/>
          <w:color w:val="000000" w:themeColor="text1"/>
          <w:highlight w:val="none"/>
          <w14:textFill>
            <w14:solidFill>
              <w14:schemeClr w14:val="tx1"/>
            </w14:solidFill>
          </w14:textFill>
        </w:rPr>
      </w:pPr>
      <w:bookmarkStart w:id="18" w:name="StdEnglishName"/>
      <w:r>
        <w:rPr>
          <w:rFonts w:hint="default" w:ascii="Times New Roman" w:hAnsi="Times New Roman" w:cs="Times New Roman"/>
          <w:color w:val="000000" w:themeColor="text1"/>
          <w:highlight w:val="none"/>
          <w14:textFill>
            <w14:solidFill>
              <w14:schemeClr w14:val="tx1"/>
            </w14:solidFill>
          </w14:textFill>
        </w:rPr>
        <w:fldChar w:fldCharType="begin">
          <w:ffData>
            <w:name w:val="StdEnglishName"/>
            <w:enabled/>
            <w:calcOnExit w:val="0"/>
            <w:textInput>
              <w:default w:val="点击此处添加标准英文译名"/>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eastAsia" w:eastAsia="黑体"/>
          <w:szCs w:val="28"/>
          <w:highlight w:val="none"/>
          <w:lang w:val="en-US" w:eastAsia="zh-CN"/>
        </w:rPr>
        <w:t>E</w:t>
      </w:r>
      <w:r>
        <w:rPr>
          <w:rFonts w:hint="eastAsia" w:eastAsia="黑体"/>
          <w:szCs w:val="28"/>
          <w:highlight w:val="none"/>
        </w:rPr>
        <w:t>valuation</w:t>
      </w:r>
      <w:r>
        <w:rPr>
          <w:rFonts w:hint="eastAsia" w:eastAsia="黑体"/>
          <w:szCs w:val="28"/>
          <w:highlight w:val="none"/>
          <w:lang w:val="en-US" w:eastAsia="zh-CN"/>
        </w:rPr>
        <w:t xml:space="preserve"> of</w:t>
      </w:r>
      <w:r>
        <w:rPr>
          <w:rFonts w:eastAsia="黑体"/>
          <w:szCs w:val="28"/>
          <w:highlight w:val="none"/>
        </w:rPr>
        <w:t xml:space="preserve"> Land Intensive Use in Industrial Parks</w:t>
      </w:r>
      <w:r>
        <w:rPr>
          <w:rFonts w:hint="default" w:ascii="Times New Roman" w:hAnsi="Times New Roman" w:cs="Times New Roman"/>
          <w:color w:val="000000" w:themeColor="text1"/>
          <w:highlight w:val="none"/>
          <w14:textFill>
            <w14:solidFill>
              <w14:schemeClr w14:val="tx1"/>
            </w14:solidFill>
          </w14:textFill>
        </w:rPr>
        <w:fldChar w:fldCharType="end"/>
      </w:r>
      <w:bookmarkEnd w:id="18"/>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30EC53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855" w:type="dxa"/>
            <w:tcBorders>
              <w:top w:val="nil"/>
              <w:left w:val="nil"/>
              <w:bottom w:val="nil"/>
              <w:right w:val="nil"/>
            </w:tcBorders>
            <w:noWrap w:val="0"/>
            <w:vAlign w:val="top"/>
          </w:tcPr>
          <w:p w14:paraId="78C0110A">
            <w:pPr>
              <w:pStyle w:val="81"/>
              <w:framePr w:wrap="around" w:x="1149"/>
              <w:bidi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f1/fg1wAAAAsB&#10;AAAPAAAAAAAAAAEAIAAAACIAAABkcnMvZG93bnJldi54bWxQSwECFAAUAAAACACHTuJAjWJ5laoB&#10;AABnAwAADgAAAAAAAAABACAAAAAmAQAAZHJzL2Uyb0RvYy54bWxQSwUGAAAAAAYABgBZAQAAQgUA&#10;AAAA&#10;">
                      <v:fill on="t" focussize="0,0"/>
                      <v:stroke on="f"/>
                      <v:imagedata o:title=""/>
                      <o:lock v:ext="edit" aspectratio="f"/>
                      <w10:anchorlock/>
                    </v:rect>
                  </w:pict>
                </mc:Fallback>
              </mc:AlternateContent>
            </w:r>
            <w:r>
              <w:rPr>
                <w:rFonts w:hint="default" w:ascii="Times New Roman" w:hAnsi="Times New Roman" w:cs="Times New Roman"/>
                <w:color w:val="000000" w:themeColor="text1"/>
                <w:highlight w:val="none"/>
                <w:lang w:val="en-US" w:eastAsia="zh-CN"/>
                <w14:textFill>
                  <w14:solidFill>
                    <w14:schemeClr w14:val="tx1"/>
                  </w14:solidFill>
                </w14:textFill>
              </w:rPr>
              <w:t>（征求意见稿）</w:t>
            </w:r>
          </w:p>
        </w:tc>
      </w:tr>
      <w:tr w14:paraId="03FD21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157F4785">
            <w:pPr>
              <w:pStyle w:val="83"/>
              <w:framePr w:wrap="around" w:x="1149"/>
              <w:rPr>
                <w:rFonts w:hint="default" w:ascii="Times New Roman" w:hAnsi="Times New Roman" w:cs="Times New Roman"/>
                <w:color w:val="000000" w:themeColor="text1"/>
                <w:highlight w:val="none"/>
                <w14:textFill>
                  <w14:solidFill>
                    <w14:schemeClr w14:val="tx1"/>
                  </w14:solidFill>
                </w14:textFill>
              </w:rPr>
            </w:pPr>
            <w:bookmarkStart w:id="19" w:name="WCRQ"/>
            <w:r>
              <w:rPr>
                <w:rFonts w:hint="default" w:ascii="Times New Roman" w:hAnsi="Times New Roman" w:cs="Times New Roman"/>
                <w:color w:val="000000" w:themeColor="text1"/>
                <w:highlight w:val="none"/>
                <w14:textFill>
                  <w14:solidFill>
                    <w14:schemeClr w14:val="tx1"/>
                  </w14:solidFill>
                </w14:textFill>
              </w:rPr>
              <w:fldChar w:fldCharType="begin">
                <w:ffData>
                  <w:name w:val="WCRQ"/>
                  <w:enabled/>
                  <w:calcOnExit w:val="0"/>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     </w:t>
            </w:r>
            <w:r>
              <w:rPr>
                <w:rFonts w:hint="default" w:ascii="Times New Roman" w:hAnsi="Times New Roman" w:cs="Times New Roman"/>
                <w:color w:val="000000" w:themeColor="text1"/>
                <w:highlight w:val="none"/>
                <w14:textFill>
                  <w14:solidFill>
                    <w14:schemeClr w14:val="tx1"/>
                  </w14:solidFill>
                </w14:textFill>
              </w:rPr>
              <w:fldChar w:fldCharType="end"/>
            </w:r>
            <w:bookmarkEnd w:id="19"/>
          </w:p>
        </w:tc>
      </w:tr>
    </w:tbl>
    <w:p w14:paraId="6362F160">
      <w:pPr>
        <w:pStyle w:val="131"/>
        <w:rPr>
          <w:rFonts w:hint="default" w:ascii="Times New Roman" w:hAnsi="Times New Roman" w:cs="Times New Roman"/>
          <w:color w:val="000000" w:themeColor="text1"/>
          <w:highlight w:val="none"/>
          <w14:textFill>
            <w14:solidFill>
              <w14:schemeClr w14:val="tx1"/>
            </w14:solidFill>
          </w14:textFill>
        </w:rPr>
      </w:pPr>
      <w:bookmarkStart w:id="20" w:name="FY"/>
      <w:r>
        <w:rPr>
          <w:rFonts w:hint="default" w:ascii="Times New Roman" w:hAnsi="Times New Roman" w:cs="Times New Roman"/>
          <w:color w:val="000000" w:themeColor="text1"/>
          <w:highlight w:val="none"/>
          <w14:textFill>
            <w14:solidFill>
              <w14:schemeClr w14:val="tx1"/>
            </w14:solidFill>
          </w14:textFill>
        </w:rPr>
        <w:fldChar w:fldCharType="begin">
          <w:ffData>
            <w:name w:val="FY"/>
            <w:enabled/>
            <w:calcOnExit w:val="0"/>
            <w:textInput>
              <w:default w:val="XXXX"/>
              <w:maxLength w:val="4"/>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XXXX</w:t>
      </w:r>
      <w:r>
        <w:rPr>
          <w:rFonts w:hint="default" w:ascii="Times New Roman" w:hAnsi="Times New Roman" w:cs="Times New Roman"/>
          <w:color w:val="000000" w:themeColor="text1"/>
          <w:highlight w:val="none"/>
          <w14:textFill>
            <w14:solidFill>
              <w14:schemeClr w14:val="tx1"/>
            </w14:solidFill>
          </w14:textFill>
        </w:rPr>
        <w:fldChar w:fldCharType="end"/>
      </w:r>
      <w:bookmarkEnd w:id="20"/>
      <w:r>
        <w:rPr>
          <w:rFonts w:hint="default" w:ascii="Times New Roman" w:hAnsi="Times New Roman" w:cs="Times New Roman"/>
          <w:color w:val="000000" w:themeColor="text1"/>
          <w:highlight w:val="none"/>
          <w14:textFill>
            <w14:solidFill>
              <w14:schemeClr w14:val="tx1"/>
            </w14:solidFill>
          </w14:textFill>
        </w:rPr>
        <w:t xml:space="preserve"> - </w:t>
      </w:r>
      <w:r>
        <w:rPr>
          <w:rFonts w:hint="default" w:ascii="Times New Roman" w:hAnsi="Times New Roman" w:cs="Times New Roman"/>
          <w:color w:val="000000" w:themeColor="text1"/>
          <w:highlight w:val="none"/>
          <w14:textFill>
            <w14:solidFill>
              <w14:schemeClr w14:val="tx1"/>
            </w14:solidFill>
          </w14:textFill>
        </w:rPr>
        <w:fldChar w:fldCharType="begin">
          <w:ffData>
            <w:name w:val="FM"/>
            <w:enabled/>
            <w:calcOnExit w:val="0"/>
            <w:textInput>
              <w:default w:val="XX"/>
              <w:maxLength w:val="2"/>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XX</w:t>
      </w:r>
      <w:r>
        <w:rPr>
          <w:rFonts w:hint="default" w:ascii="Times New Roman" w:hAnsi="Times New Roman" w:cs="Times New Roman"/>
          <w:color w:val="000000" w:themeColor="text1"/>
          <w:highlight w:val="none"/>
          <w14:textFill>
            <w14:solidFill>
              <w14:schemeClr w14:val="tx1"/>
            </w14:solidFill>
          </w14:textFill>
        </w:rPr>
        <w:fldChar w:fldCharType="end"/>
      </w:r>
      <w:r>
        <w:rPr>
          <w:rFonts w:hint="default" w:ascii="Times New Roman" w:hAnsi="Times New Roman" w:cs="Times New Roman"/>
          <w:color w:val="000000" w:themeColor="text1"/>
          <w:highlight w:val="none"/>
          <w14:textFill>
            <w14:solidFill>
              <w14:schemeClr w14:val="tx1"/>
            </w14:solidFill>
          </w14:textFill>
        </w:rPr>
        <w:t xml:space="preserve"> - </w:t>
      </w:r>
      <w:bookmarkStart w:id="21" w:name="FD"/>
      <w:r>
        <w:rPr>
          <w:rFonts w:hint="default" w:ascii="Times New Roman" w:hAnsi="Times New Roman" w:cs="Times New Roman"/>
          <w:color w:val="000000" w:themeColor="text1"/>
          <w:highlight w:val="none"/>
          <w14:textFill>
            <w14:solidFill>
              <w14:schemeClr w14:val="tx1"/>
            </w14:solidFill>
          </w14:textFill>
        </w:rPr>
        <w:fldChar w:fldCharType="begin">
          <w:ffData>
            <w:name w:val="FD"/>
            <w:enabled/>
            <w:calcOnExit w:val="0"/>
            <w:textInput>
              <w:default w:val="XX"/>
              <w:maxLength w:val="2"/>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XX</w:t>
      </w:r>
      <w:r>
        <w:rPr>
          <w:rFonts w:hint="default" w:ascii="Times New Roman" w:hAnsi="Times New Roman" w:cs="Times New Roman"/>
          <w:color w:val="000000" w:themeColor="text1"/>
          <w:highlight w:val="none"/>
          <w14:textFill>
            <w14:solidFill>
              <w14:schemeClr w14:val="tx1"/>
            </w14:solidFill>
          </w14:textFill>
        </w:rPr>
        <w:fldChar w:fldCharType="end"/>
      </w:r>
      <w:bookmarkEnd w:id="21"/>
      <w:r>
        <w:rPr>
          <w:rFonts w:hint="default" w:ascii="Times New Roman" w:hAnsi="Times New Roman" w:cs="Times New Roman"/>
          <w:color w:val="000000" w:themeColor="text1"/>
          <w:highlight w:val="none"/>
          <w14:textFill>
            <w14:solidFill>
              <w14:schemeClr w14:val="tx1"/>
            </w14:solidFill>
          </w14:textFill>
        </w:rPr>
        <w:t>发布</w:t>
      </w:r>
      <w:r>
        <w:rPr>
          <w:rFonts w:hint="default" w:ascii="Times New Roman" w:hAnsi="Times New Roman" w:cs="Times New Roman"/>
          <w:color w:val="000000" w:themeColor="text1"/>
          <w:highlight w:val="none"/>
          <w14:textFill>
            <w14:solidFill>
              <w14:schemeClr w14:val="tx1"/>
            </w14:solidFill>
          </w14:textFill>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6"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lh2s81gAA&#10;AAsBAAAPAAAAAAAAAAEAIAAAACIAAABkcnMvZG93bnJldi54bWxQSwECFAAUAAAACACHTuJAf0+e&#10;j+cBAADcAwAADgAAAAAAAAABACAAAAAlAQAAZHJzL2Uyb0RvYy54bWxQSwUGAAAAAAYABgBZAQAA&#10;fgUAAAAA&#10;">
                <v:fill on="f" focussize="0,0"/>
                <v:stroke color="#000000" joinstyle="round"/>
                <v:imagedata o:title=""/>
                <o:lock v:ext="edit" aspectratio="f"/>
                <w10:anchorlock/>
              </v:line>
            </w:pict>
          </mc:Fallback>
        </mc:AlternateContent>
      </w:r>
    </w:p>
    <w:p w14:paraId="31BD1B42">
      <w:pPr>
        <w:pStyle w:val="132"/>
        <w:rPr>
          <w:rFonts w:hint="default" w:ascii="Times New Roman" w:hAnsi="Times New Roman" w:cs="Times New Roman"/>
          <w:color w:val="000000" w:themeColor="text1"/>
          <w:highlight w:val="none"/>
          <w14:textFill>
            <w14:solidFill>
              <w14:schemeClr w14:val="tx1"/>
            </w14:solidFill>
          </w14:textFill>
        </w:rPr>
      </w:pPr>
      <w:bookmarkStart w:id="22" w:name="SY"/>
      <w:r>
        <w:rPr>
          <w:rFonts w:hint="default" w:ascii="Times New Roman" w:hAnsi="Times New Roman" w:cs="Times New Roman"/>
          <w:color w:val="000000" w:themeColor="text1"/>
          <w:highlight w:val="none"/>
          <w14:textFill>
            <w14:solidFill>
              <w14:schemeClr w14:val="tx1"/>
            </w14:solidFill>
          </w14:textFill>
        </w:rPr>
        <w:fldChar w:fldCharType="begin">
          <w:ffData>
            <w:name w:val="SY"/>
            <w:enabled/>
            <w:calcOnExit w:val="0"/>
            <w:textInput>
              <w:default w:val="XXXX"/>
              <w:maxLength w:val="4"/>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XXXX</w:t>
      </w:r>
      <w:r>
        <w:rPr>
          <w:rFonts w:hint="default" w:ascii="Times New Roman" w:hAnsi="Times New Roman" w:cs="Times New Roman"/>
          <w:color w:val="000000" w:themeColor="text1"/>
          <w:highlight w:val="none"/>
          <w14:textFill>
            <w14:solidFill>
              <w14:schemeClr w14:val="tx1"/>
            </w14:solidFill>
          </w14:textFill>
        </w:rPr>
        <w:fldChar w:fldCharType="end"/>
      </w:r>
      <w:bookmarkEnd w:id="22"/>
      <w:r>
        <w:rPr>
          <w:rFonts w:hint="default" w:ascii="Times New Roman" w:hAnsi="Times New Roman" w:cs="Times New Roman"/>
          <w:color w:val="000000" w:themeColor="text1"/>
          <w:highlight w:val="none"/>
          <w14:textFill>
            <w14:solidFill>
              <w14:schemeClr w14:val="tx1"/>
            </w14:solidFill>
          </w14:textFill>
        </w:rPr>
        <w:t xml:space="preserve"> - </w:t>
      </w:r>
      <w:bookmarkStart w:id="23" w:name="SM"/>
      <w:r>
        <w:rPr>
          <w:rFonts w:hint="default" w:ascii="Times New Roman" w:hAnsi="Times New Roman" w:cs="Times New Roman"/>
          <w:color w:val="000000" w:themeColor="text1"/>
          <w:highlight w:val="none"/>
          <w14:textFill>
            <w14:solidFill>
              <w14:schemeClr w14:val="tx1"/>
            </w14:solidFill>
          </w14:textFill>
        </w:rPr>
        <w:fldChar w:fldCharType="begin">
          <w:ffData>
            <w:name w:val="SM"/>
            <w:enabled/>
            <w:calcOnExit w:val="0"/>
            <w:textInput>
              <w:default w:val="XX"/>
              <w:maxLength w:val="2"/>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XX</w:t>
      </w:r>
      <w:r>
        <w:rPr>
          <w:rFonts w:hint="default" w:ascii="Times New Roman" w:hAnsi="Times New Roman" w:cs="Times New Roman"/>
          <w:color w:val="000000" w:themeColor="text1"/>
          <w:highlight w:val="none"/>
          <w14:textFill>
            <w14:solidFill>
              <w14:schemeClr w14:val="tx1"/>
            </w14:solidFill>
          </w14:textFill>
        </w:rPr>
        <w:fldChar w:fldCharType="end"/>
      </w:r>
      <w:bookmarkEnd w:id="23"/>
      <w:r>
        <w:rPr>
          <w:rFonts w:hint="default" w:ascii="Times New Roman" w:hAnsi="Times New Roman" w:cs="Times New Roman"/>
          <w:color w:val="000000" w:themeColor="text1"/>
          <w:highlight w:val="none"/>
          <w14:textFill>
            <w14:solidFill>
              <w14:schemeClr w14:val="tx1"/>
            </w14:solidFill>
          </w14:textFill>
        </w:rPr>
        <w:t xml:space="preserve"> - </w:t>
      </w:r>
      <w:bookmarkStart w:id="24" w:name="SD"/>
      <w:r>
        <w:rPr>
          <w:rFonts w:hint="default" w:ascii="Times New Roman" w:hAnsi="Times New Roman" w:cs="Times New Roman"/>
          <w:color w:val="000000" w:themeColor="text1"/>
          <w:highlight w:val="none"/>
          <w14:textFill>
            <w14:solidFill>
              <w14:schemeClr w14:val="tx1"/>
            </w14:solidFill>
          </w14:textFill>
        </w:rPr>
        <w:fldChar w:fldCharType="begin">
          <w:ffData>
            <w:name w:val="SD"/>
            <w:enabled/>
            <w:calcOnExit w:val="0"/>
            <w:textInput>
              <w:default w:val="XX"/>
              <w:maxLength w:val="2"/>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XX</w:t>
      </w:r>
      <w:r>
        <w:rPr>
          <w:rFonts w:hint="default" w:ascii="Times New Roman" w:hAnsi="Times New Roman" w:cs="Times New Roman"/>
          <w:color w:val="000000" w:themeColor="text1"/>
          <w:highlight w:val="none"/>
          <w14:textFill>
            <w14:solidFill>
              <w14:schemeClr w14:val="tx1"/>
            </w14:solidFill>
          </w14:textFill>
        </w:rPr>
        <w:fldChar w:fldCharType="end"/>
      </w:r>
      <w:bookmarkEnd w:id="24"/>
      <w:r>
        <w:rPr>
          <w:rFonts w:hint="default" w:ascii="Times New Roman" w:hAnsi="Times New Roman" w:cs="Times New Roman"/>
          <w:color w:val="000000" w:themeColor="text1"/>
          <w:highlight w:val="none"/>
          <w14:textFill>
            <w14:solidFill>
              <w14:schemeClr w14:val="tx1"/>
            </w14:solidFill>
          </w14:textFill>
        </w:rPr>
        <w:t>实施</w:t>
      </w:r>
    </w:p>
    <w:p w14:paraId="26AA1784">
      <w:pPr>
        <w:pStyle w:val="112"/>
        <w:rPr>
          <w:rFonts w:hint="default" w:ascii="Times New Roman" w:hAnsi="Times New Roman" w:cs="Times New Roman"/>
          <w:color w:val="000000" w:themeColor="text1"/>
          <w:highlight w:val="none"/>
          <w14:textFill>
            <w14:solidFill>
              <w14:schemeClr w14:val="tx1"/>
            </w14:solidFill>
          </w14:textFill>
        </w:rPr>
      </w:pPr>
      <w:bookmarkStart w:id="25" w:name="fm"/>
      <w:r>
        <w:rPr>
          <w:rFonts w:hint="default" w:ascii="Times New Roman" w:hAnsi="Times New Roman" w:cs="Times New Roman"/>
          <w:color w:val="000000" w:themeColor="text1"/>
          <w:w w:val="100"/>
          <w:highlight w:val="none"/>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bXu1tkAAAAN&#10;AQAADwAAAAAAAAABACAAAAAiAAAAZHJzL2Rvd25yZXYueG1sUEsBAhQAFAAAAAgAh07iQBXfBLqp&#10;AQAAZwMAAA4AAAAAAAAAAQAgAAAAKAEAAGRycy9lMm9Eb2MueG1sUEsFBgAAAAAGAAYAWQEAAEMF&#10;AAAAAA==&#10;">
                <v:fill on="t" focussize="0,0"/>
                <v:stroke on="f"/>
                <v:imagedata o:title=""/>
                <o:lock v:ext="edit" aspectratio="f"/>
              </v:rect>
            </w:pict>
          </mc:Fallback>
        </mc:AlternateContent>
      </w:r>
      <w:r>
        <w:rPr>
          <w:rFonts w:hint="default" w:ascii="Times New Roman" w:hAnsi="Times New Roman" w:cs="Times New Roman"/>
          <w:color w:val="000000" w:themeColor="text1"/>
          <w:w w:val="100"/>
          <w:highlight w:val="none"/>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9p9R&#10;CqoBAABnAwAADgAAAAAAAAABACAAAAApAQAAZHJzL2Uyb0RvYy54bWxQSwUGAAAAAAYABgBZAQAA&#10;RQUAAAAA&#10;">
                <v:fill on="t" focussize="0,0"/>
                <v:stroke on="f"/>
                <v:imagedata o:title=""/>
                <o:lock v:ext="edit" aspectratio="f"/>
              </v:rect>
            </w:pict>
          </mc:Fallback>
        </mc:AlternateContent>
      </w:r>
      <w:r>
        <w:rPr>
          <w:rFonts w:hint="default" w:ascii="Times New Roman" w:hAnsi="Times New Roman" w:cs="Times New Roman"/>
          <w:color w:val="000000" w:themeColor="text1"/>
          <w:w w:val="100"/>
          <w:highlight w:val="none"/>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7"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AG&#10;pbxc5wEAANwDAAAOAAAAAAAAAAEAIAAAACcBAABkcnMvZTJvRG9jLnhtbFBLBQYAAAAABgAGAFkB&#10;AACABQAAAAA=&#10;">
                <v:fill on="f" focussize="0,0"/>
                <v:stroke color="#000000" joinstyle="round"/>
                <v:imagedata o:title=""/>
                <o:lock v:ext="edit" aspectratio="f"/>
              </v:line>
            </w:pict>
          </mc:Fallback>
        </mc:AlternateContent>
      </w:r>
      <w:r>
        <w:rPr>
          <w:rFonts w:hint="default" w:ascii="Times New Roman" w:hAnsi="Times New Roman" w:cs="Times New Roman"/>
          <w:color w:val="000000" w:themeColor="text1"/>
          <w:highlight w:val="none"/>
          <w14:textFill>
            <w14:solidFill>
              <w14:schemeClr w14:val="tx1"/>
            </w14:solidFill>
          </w14:textFill>
        </w:rPr>
        <w:fldChar w:fldCharType="begin">
          <w:ffData>
            <w:name w:val="fm"/>
            <w:enabled/>
            <w:calcOnExit w:val="0"/>
            <w:textInput/>
          </w:ffData>
        </w:fldChar>
      </w:r>
      <w:r>
        <w:rPr>
          <w:rFonts w:hint="default" w:ascii="Times New Roman" w:hAnsi="Times New Roman" w:cs="Times New Roman"/>
          <w:color w:val="000000" w:themeColor="text1"/>
          <w:highlight w:val="none"/>
          <w14:textFill>
            <w14:solidFill>
              <w14:schemeClr w14:val="tx1"/>
            </w14:solidFill>
          </w14:textFill>
        </w:rPr>
        <w:instrText xml:space="preserve"> FORMTEXT </w:instrText>
      </w:r>
      <w:r>
        <w:rPr>
          <w:rFonts w:hint="default" w:ascii="Times New Roman" w:hAnsi="Times New Roman" w:cs="Times New Roman"/>
          <w:color w:val="000000" w:themeColor="text1"/>
          <w:highlight w:val="none"/>
          <w14:textFill>
            <w14:solidFill>
              <w14:schemeClr w14:val="tx1"/>
            </w14:solidFill>
          </w14:textFill>
        </w:rPr>
        <w:fldChar w:fldCharType="separate"/>
      </w:r>
      <w:r>
        <w:rPr>
          <w:rFonts w:hint="default" w:ascii="Times New Roman" w:hAnsi="Times New Roman" w:cs="Times New Roman"/>
          <w:color w:val="000000" w:themeColor="text1"/>
          <w:highlight w:val="none"/>
          <w14:textFill>
            <w14:solidFill>
              <w14:schemeClr w14:val="tx1"/>
            </w14:solidFill>
          </w14:textFill>
        </w:rPr>
        <w:t>安徽省市场监督管理局</w:t>
      </w:r>
      <w:r>
        <w:rPr>
          <w:rFonts w:hint="default" w:ascii="Times New Roman" w:hAnsi="Times New Roman" w:cs="Times New Roman"/>
          <w:color w:val="000000" w:themeColor="text1"/>
          <w:highlight w:val="none"/>
          <w14:textFill>
            <w14:solidFill>
              <w14:schemeClr w14:val="tx1"/>
            </w14:solidFill>
          </w14:textFill>
        </w:rPr>
        <w:fldChar w:fldCharType="end"/>
      </w:r>
      <w:bookmarkEnd w:id="25"/>
      <w:r>
        <w:rPr>
          <w:rFonts w:hint="default" w:ascii="Times New Roman" w:hAnsi="Times New Roman" w:cs="Times New Roman"/>
          <w:color w:val="000000" w:themeColor="text1"/>
          <w:highlight w:val="none"/>
          <w14:textFill>
            <w14:solidFill>
              <w14:schemeClr w14:val="tx1"/>
            </w14:solidFill>
          </w14:textFill>
        </w:rPr>
        <w:t>   </w:t>
      </w:r>
      <w:r>
        <w:rPr>
          <w:rStyle w:val="74"/>
          <w:rFonts w:hint="default" w:ascii="Times New Roman" w:hAnsi="Times New Roman" w:cs="Times New Roman"/>
          <w:color w:val="000000" w:themeColor="text1"/>
          <w:highlight w:val="none"/>
          <w14:textFill>
            <w14:solidFill>
              <w14:schemeClr w14:val="tx1"/>
            </w14:solidFill>
          </w14:textFill>
        </w:rPr>
        <w:t>发布</w:t>
      </w:r>
    </w:p>
    <w:p w14:paraId="0D70E8BB">
      <w:pPr>
        <w:pStyle w:val="25"/>
        <w:rPr>
          <w:rFonts w:hint="default" w:ascii="Times New Roman" w:hAnsi="Times New Roman" w:cs="Times New Roman"/>
          <w:color w:val="000000" w:themeColor="text1"/>
          <w:highlight w:val="none"/>
          <w14:textFill>
            <w14:solidFill>
              <w14:schemeClr w14:val="tx1"/>
            </w14:solidFill>
          </w14:textFill>
        </w:rPr>
        <w:sectPr>
          <w:pgSz w:w="11906" w:h="16838"/>
          <w:pgMar w:top="567" w:right="850" w:bottom="1134" w:left="1418" w:header="0" w:footer="0" w:gutter="0"/>
          <w:pgNumType w:fmt="upperRoman" w:start="1"/>
          <w:cols w:space="720" w:num="1"/>
          <w:docGrid w:type="lines" w:linePitch="312" w:charSpace="0"/>
        </w:sectPr>
      </w:pPr>
    </w:p>
    <w:p w14:paraId="77B7CC7E">
      <w:pPr>
        <w:pStyle w:val="21"/>
        <w:spacing w:before="78" w:after="78"/>
        <w:rPr>
          <w:rStyle w:val="40"/>
          <w:rFonts w:hint="default" w:ascii="Times New Roman" w:hAnsi="Times New Roman" w:eastAsia="宋体" w:cs="Times New Roman"/>
          <w:color w:val="000000" w:themeColor="text1"/>
          <w:highlight w:val="none"/>
          <w:lang w:val="en-US" w:eastAsia="zh-CN"/>
          <w14:textFill>
            <w14:solidFill>
              <w14:schemeClr w14:val="tx1"/>
            </w14:solidFill>
          </w14:textFill>
        </w:rPr>
      </w:pPr>
      <w:bookmarkStart w:id="26" w:name="OLE_LINK3"/>
    </w:p>
    <w:p w14:paraId="32E0535E">
      <w:pPr>
        <w:rPr>
          <w:rFonts w:hint="default" w:ascii="Times New Roman" w:hAnsi="Times New Roman" w:cs="Times New Roman"/>
          <w:color w:val="000000" w:themeColor="text1"/>
          <w:highlight w:val="none"/>
          <w:lang w:val="en-US" w:eastAsia="zh-CN"/>
          <w14:textFill>
            <w14:solidFill>
              <w14:schemeClr w14:val="tx1"/>
            </w14:solidFill>
          </w14:textFill>
        </w:rPr>
        <w:sectPr>
          <w:headerReference r:id="rId3" w:type="default"/>
          <w:footerReference r:id="rId4" w:type="default"/>
          <w:pgSz w:w="11906" w:h="16838"/>
          <w:pgMar w:top="567" w:right="1134" w:bottom="1134" w:left="1418" w:header="1418" w:footer="1134" w:gutter="0"/>
          <w:pgNumType w:fmt="upperRoman" w:start="1"/>
          <w:cols w:space="720" w:num="1"/>
          <w:formProt w:val="0"/>
          <w:docGrid w:type="lines" w:linePitch="312" w:charSpace="0"/>
        </w:sectPr>
      </w:pPr>
    </w:p>
    <w:p w14:paraId="1274542D">
      <w:pPr>
        <w:pStyle w:val="51"/>
        <w:shd w:val="clear" w:color="FFFFFF" w:fill="FFFFFF"/>
        <w:rPr>
          <w:rFonts w:hint="default" w:ascii="Times New Roman" w:hAnsi="Times New Roman" w:cs="Times New Roman"/>
          <w:color w:val="000000" w:themeColor="text1"/>
          <w:highlight w:val="none"/>
          <w14:textFill>
            <w14:solidFill>
              <w14:schemeClr w14:val="tx1"/>
            </w14:solidFill>
          </w14:textFill>
        </w:rPr>
      </w:pPr>
      <w:bookmarkStart w:id="27" w:name="_Toc19991"/>
      <w:bookmarkStart w:id="28" w:name="_Toc13861"/>
      <w:bookmarkStart w:id="29" w:name="_Toc4568"/>
      <w:bookmarkStart w:id="30" w:name="_Toc19213"/>
      <w:r>
        <w:rPr>
          <w:rFonts w:hint="default" w:ascii="Times New Roman" w:hAnsi="Times New Roman" w:cs="Times New Roman"/>
          <w:color w:val="000000" w:themeColor="text1"/>
          <w:highlight w:val="none"/>
          <w14:textFill>
            <w14:solidFill>
              <w14:schemeClr w14:val="tx1"/>
            </w14:solidFill>
          </w14:textFill>
        </w:rPr>
        <w:t>目</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次</w:t>
      </w:r>
      <w:bookmarkEnd w:id="27"/>
      <w:bookmarkEnd w:id="28"/>
      <w:bookmarkEnd w:id="29"/>
      <w:bookmarkEnd w:id="30"/>
    </w:p>
    <w:p w14:paraId="3F48A806">
      <w:pPr>
        <w:pStyle w:val="21"/>
        <w:tabs>
          <w:tab w:val="right" w:leader="dot" w:pos="9354"/>
          <w:tab w:val="clear" w:pos="9241"/>
        </w:tabs>
      </w:pPr>
      <w:r>
        <w:rPr>
          <w:rStyle w:val="40"/>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Style w:val="40"/>
          <w:rFonts w:hint="default" w:ascii="Times New Roman" w:hAnsi="Times New Roman" w:eastAsia="宋体" w:cs="Times New Roman"/>
          <w:color w:val="000000" w:themeColor="text1"/>
          <w:highlight w:val="none"/>
          <w:lang w:val="en-US" w:eastAsia="zh-CN"/>
          <w14:textFill>
            <w14:solidFill>
              <w14:schemeClr w14:val="tx1"/>
            </w14:solidFill>
          </w14:textFill>
        </w:rPr>
        <w:instrText xml:space="preserve">TOC \o "1-1" \h \u </w:instrText>
      </w:r>
      <w:r>
        <w:rPr>
          <w:rStyle w:val="40"/>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separate"/>
      </w:r>
    </w:p>
    <w:p w14:paraId="0C24782A">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_Toc8181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cs="Times New Roman" w:eastAsiaTheme="minorEastAsia"/>
          <w:bCs w:val="0"/>
          <w:kern w:val="44"/>
          <w:szCs w:val="18"/>
          <w:highlight w:val="none"/>
          <w:lang w:val="en-US" w:eastAsia="zh-CN" w:bidi="ar-SA"/>
        </w:rPr>
        <w:t>前  言</w:t>
      </w:r>
      <w:r>
        <w:tab/>
      </w:r>
      <w:r>
        <w:fldChar w:fldCharType="begin"/>
      </w:r>
      <w:r>
        <w:instrText xml:space="preserve"> PAGEREF _Toc8181 \h </w:instrText>
      </w:r>
      <w:r>
        <w:fldChar w:fldCharType="separate"/>
      </w:r>
      <w:r>
        <w:t>II</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1CAD3ABE">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_Toc32729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i w:val="0"/>
          <w:szCs w:val="21"/>
        </w:rPr>
        <w:t xml:space="preserve">1 </w:t>
      </w:r>
      <w:r>
        <w:rPr>
          <w:rFonts w:hint="eastAsia"/>
          <w:highlight w:val="none"/>
        </w:rPr>
        <w:t>范围</w:t>
      </w:r>
      <w:r>
        <w:tab/>
      </w:r>
      <w:r>
        <w:fldChar w:fldCharType="begin"/>
      </w:r>
      <w:r>
        <w:instrText xml:space="preserve"> PAGEREF _Toc32729 \h </w:instrText>
      </w:r>
      <w:r>
        <w:fldChar w:fldCharType="separate"/>
      </w:r>
      <w:r>
        <w:t>1</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651AD45A">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_Toc21219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i w:val="0"/>
          <w:szCs w:val="21"/>
        </w:rPr>
        <w:t xml:space="preserve">2 </w:t>
      </w:r>
      <w:r>
        <w:rPr>
          <w:rFonts w:hint="eastAsia"/>
          <w:highlight w:val="none"/>
        </w:rPr>
        <w:t>规范性引用文件</w:t>
      </w:r>
      <w:r>
        <w:tab/>
      </w:r>
      <w:r>
        <w:fldChar w:fldCharType="begin"/>
      </w:r>
      <w:r>
        <w:instrText xml:space="preserve"> PAGEREF _Toc21219 \h </w:instrText>
      </w:r>
      <w:r>
        <w:fldChar w:fldCharType="separate"/>
      </w:r>
      <w:r>
        <w:t>1</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413B850D">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_Toc15964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i w:val="0"/>
          <w:szCs w:val="21"/>
        </w:rPr>
        <w:t xml:space="preserve">3 </w:t>
      </w:r>
      <w:r>
        <w:rPr>
          <w:rFonts w:hint="eastAsia"/>
          <w:szCs w:val="21"/>
          <w:highlight w:val="none"/>
        </w:rPr>
        <w:t>术语和定义</w:t>
      </w:r>
      <w:r>
        <w:tab/>
      </w:r>
      <w:r>
        <w:fldChar w:fldCharType="begin"/>
      </w:r>
      <w:r>
        <w:instrText xml:space="preserve"> PAGEREF _Toc15964 \h </w:instrText>
      </w:r>
      <w:r>
        <w:fldChar w:fldCharType="separate"/>
      </w:r>
      <w:r>
        <w:t>1</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2948D799">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_Toc27893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i w:val="0"/>
          <w:szCs w:val="21"/>
        </w:rPr>
        <w:t xml:space="preserve">4 </w:t>
      </w:r>
      <w:r>
        <w:rPr>
          <w:rFonts w:hint="eastAsia"/>
          <w:highlight w:val="none"/>
          <w:lang w:val="en-US" w:eastAsia="zh-CN"/>
        </w:rPr>
        <w:t>评价对象</w:t>
      </w:r>
      <w:r>
        <w:tab/>
      </w:r>
      <w:r>
        <w:fldChar w:fldCharType="begin"/>
      </w:r>
      <w:r>
        <w:instrText xml:space="preserve"> PAGEREF _Toc27893 \h </w:instrText>
      </w:r>
      <w:r>
        <w:fldChar w:fldCharType="separate"/>
      </w:r>
      <w:r>
        <w:t>1</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462805E0">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_Toc13283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i w:val="0"/>
          <w:szCs w:val="21"/>
        </w:rPr>
        <w:t xml:space="preserve">5 </w:t>
      </w:r>
      <w:r>
        <w:rPr>
          <w:rFonts w:hint="eastAsia"/>
          <w:highlight w:val="none"/>
          <w:lang w:val="en-US" w:eastAsia="zh-CN"/>
        </w:rPr>
        <w:t>工作程序</w:t>
      </w:r>
      <w:r>
        <w:tab/>
      </w:r>
      <w:r>
        <w:fldChar w:fldCharType="begin"/>
      </w:r>
      <w:r>
        <w:instrText xml:space="preserve"> PAGEREF _Toc13283 \h </w:instrText>
      </w:r>
      <w:r>
        <w:fldChar w:fldCharType="separate"/>
      </w:r>
      <w:r>
        <w:t>1</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4DE9E114">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_Toc16857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i w:val="0"/>
          <w:szCs w:val="21"/>
        </w:rPr>
        <w:t xml:space="preserve">6 </w:t>
      </w:r>
      <w:r>
        <w:rPr>
          <w:rFonts w:hint="eastAsia" w:ascii="宋体" w:hAnsi="宋体" w:eastAsia="宋体" w:cs="宋体"/>
          <w:b w:val="0"/>
          <w:bCs w:val="0"/>
          <w:spacing w:val="0"/>
          <w:szCs w:val="20"/>
          <w:highlight w:val="none"/>
        </w:rPr>
        <w:t>技术步骤</w:t>
      </w:r>
      <w:r>
        <w:tab/>
      </w:r>
      <w:r>
        <w:fldChar w:fldCharType="begin"/>
      </w:r>
      <w:r>
        <w:instrText xml:space="preserve"> PAGEREF _Toc16857 \h </w:instrText>
      </w:r>
      <w:r>
        <w:fldChar w:fldCharType="separate"/>
      </w:r>
      <w:r>
        <w:t>2</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0506E97B">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_Toc7906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i w:val="0"/>
          <w:szCs w:val="21"/>
        </w:rPr>
        <w:t xml:space="preserve">7 </w:t>
      </w:r>
      <w:r>
        <w:rPr>
          <w:rFonts w:ascii="Times New Roman"/>
          <w:highlight w:val="none"/>
        </w:rPr>
        <w:t>工作准备</w:t>
      </w:r>
      <w:r>
        <w:tab/>
      </w:r>
      <w:r>
        <w:fldChar w:fldCharType="begin"/>
      </w:r>
      <w:r>
        <w:instrText xml:space="preserve"> PAGEREF _Toc7906 \h </w:instrText>
      </w:r>
      <w:r>
        <w:fldChar w:fldCharType="separate"/>
      </w:r>
      <w:r>
        <w:t>2</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08D980A9">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_Toc9593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bCs w:val="0"/>
          <w:i w:val="0"/>
          <w:szCs w:val="21"/>
          <w:lang w:val="en-US" w:eastAsia="zh-CN"/>
        </w:rPr>
        <w:t xml:space="preserve">8 </w:t>
      </w:r>
      <w:r>
        <w:rPr>
          <w:rFonts w:hint="eastAsia"/>
          <w:bCs w:val="0"/>
          <w:highlight w:val="none"/>
          <w:lang w:val="en-US" w:eastAsia="zh-CN"/>
        </w:rPr>
        <w:t>用地情况调查</w:t>
      </w:r>
      <w:r>
        <w:tab/>
      </w:r>
      <w:r>
        <w:fldChar w:fldCharType="begin"/>
      </w:r>
      <w:r>
        <w:instrText xml:space="preserve"> PAGEREF _Toc9593 \h </w:instrText>
      </w:r>
      <w:r>
        <w:fldChar w:fldCharType="separate"/>
      </w:r>
      <w:r>
        <w:t>2</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57C102E1">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_Toc24908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bCs w:val="0"/>
          <w:i w:val="0"/>
          <w:szCs w:val="21"/>
          <w:lang w:val="en-US" w:eastAsia="zh-CN"/>
        </w:rPr>
        <w:t xml:space="preserve">9 </w:t>
      </w:r>
      <w:r>
        <w:rPr>
          <w:rFonts w:hint="eastAsia"/>
          <w:bCs w:val="0"/>
          <w:highlight w:val="none"/>
          <w:lang w:val="en-US" w:eastAsia="zh-CN"/>
        </w:rPr>
        <w:t>土地集约利用程度评价</w:t>
      </w:r>
      <w:r>
        <w:tab/>
      </w:r>
      <w:r>
        <w:fldChar w:fldCharType="begin"/>
      </w:r>
      <w:r>
        <w:instrText xml:space="preserve"> PAGEREF _Toc24908 \h </w:instrText>
      </w:r>
      <w:r>
        <w:fldChar w:fldCharType="separate"/>
      </w:r>
      <w:r>
        <w:t>3</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7848BE3A">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_Toc1273 </w:instrText>
      </w:r>
      <w:r>
        <w:rPr>
          <w:rFonts w:hint="default" w:ascii="Times New Roman" w:hAnsi="Times New Roman" w:eastAsia="宋体" w:cs="Times New Roman"/>
          <w:highlight w:val="none"/>
          <w:lang w:val="en-US" w:eastAsia="zh-CN"/>
        </w:rPr>
        <w:fldChar w:fldCharType="separate"/>
      </w:r>
      <w:r>
        <w:rPr>
          <w:rFonts w:hint="default" w:ascii="Times New Roman" w:hAnsi="Times New Roman" w:eastAsia="黑体" w:cs="Times New Roman"/>
          <w:i w:val="0"/>
          <w:szCs w:val="21"/>
        </w:rPr>
        <w:t xml:space="preserve">10 </w:t>
      </w:r>
      <w:r>
        <w:rPr>
          <w:rFonts w:ascii="Times New Roman"/>
          <w:highlight w:val="none"/>
        </w:rPr>
        <w:t>成果编制</w:t>
      </w:r>
      <w:r>
        <w:tab/>
      </w:r>
      <w:r>
        <w:fldChar w:fldCharType="begin"/>
      </w:r>
      <w:r>
        <w:instrText xml:space="preserve"> PAGEREF _Toc1273 \h </w:instrText>
      </w:r>
      <w:r>
        <w:fldChar w:fldCharType="separate"/>
      </w:r>
      <w:r>
        <w:t>7</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29D5A43E">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_Toc16907 </w:instrText>
      </w:r>
      <w:r>
        <w:rPr>
          <w:rFonts w:hint="default" w:ascii="Times New Roman" w:hAnsi="Times New Roman" w:eastAsia="宋体" w:cs="Times New Roman"/>
          <w:highlight w:val="none"/>
          <w:lang w:val="en-US" w:eastAsia="zh-CN"/>
        </w:rPr>
        <w:fldChar w:fldCharType="separate"/>
      </w:r>
      <w:r>
        <w:rPr>
          <w:rFonts w:hint="eastAsia" w:ascii="黑体" w:hAnsi="Times New Roman" w:eastAsia="黑体"/>
          <w:i w:val="0"/>
          <w:spacing w:val="0"/>
          <w:w w:val="100"/>
        </w:rPr>
        <w:t xml:space="preserve">附　录　A </w:t>
      </w:r>
      <w:r>
        <w:rPr>
          <w:rFonts w:hint="eastAsia"/>
          <w:highlight w:val="none"/>
        </w:rPr>
        <w:t>（规范性）</w:t>
      </w:r>
      <w:r>
        <w:rPr>
          <w:rFonts w:hint="eastAsia"/>
          <w:highlight w:val="none"/>
          <w:lang w:val="en-US" w:eastAsia="zh-CN"/>
        </w:rPr>
        <w:t>产业园</w:t>
      </w:r>
      <w:r>
        <w:rPr>
          <w:rFonts w:hint="eastAsia"/>
          <w:highlight w:val="none"/>
        </w:rPr>
        <w:t>区土地</w:t>
      </w:r>
      <w:r>
        <w:rPr>
          <w:rFonts w:hint="eastAsia"/>
          <w:highlight w:val="none"/>
          <w:lang w:val="en-US" w:eastAsia="zh-CN"/>
        </w:rPr>
        <w:t>节约集约利用状况调查表</w:t>
      </w:r>
      <w:r>
        <w:tab/>
      </w:r>
      <w:r>
        <w:fldChar w:fldCharType="begin"/>
      </w:r>
      <w:r>
        <w:instrText xml:space="preserve"> PAGEREF _Toc16907 \h </w:instrText>
      </w:r>
      <w:r>
        <w:fldChar w:fldCharType="separate"/>
      </w:r>
      <w:r>
        <w:t>9</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46C8BE76">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_Toc16373 </w:instrText>
      </w:r>
      <w:r>
        <w:rPr>
          <w:rFonts w:hint="default" w:ascii="Times New Roman" w:hAnsi="Times New Roman" w:eastAsia="宋体" w:cs="Times New Roman"/>
          <w:highlight w:val="none"/>
          <w:lang w:val="en-US" w:eastAsia="zh-CN"/>
        </w:rPr>
        <w:fldChar w:fldCharType="separate"/>
      </w:r>
      <w:r>
        <w:rPr>
          <w:rFonts w:hint="eastAsia" w:ascii="黑体" w:hAnsi="Times New Roman" w:eastAsia="黑体"/>
          <w:i w:val="0"/>
          <w:spacing w:val="0"/>
          <w:w w:val="100"/>
          <w:lang w:val="en-US" w:eastAsia="zh-CN"/>
        </w:rPr>
        <w:t xml:space="preserve">附　录　B </w:t>
      </w:r>
      <w:r>
        <w:rPr>
          <w:rFonts w:hint="eastAsia"/>
          <w:highlight w:val="none"/>
          <w:lang w:val="en-US" w:eastAsia="zh-CN"/>
        </w:rPr>
        <w:t>（资料性）指标定义</w:t>
      </w:r>
      <w:r>
        <w:tab/>
      </w:r>
      <w:r>
        <w:fldChar w:fldCharType="begin"/>
      </w:r>
      <w:r>
        <w:instrText xml:space="preserve"> PAGEREF _Toc16373 \h </w:instrText>
      </w:r>
      <w:r>
        <w:fldChar w:fldCharType="separate"/>
      </w:r>
      <w:r>
        <w:t>1</w:t>
      </w:r>
      <w:r>
        <w:rPr>
          <w:rFonts w:hint="eastAsia"/>
          <w:lang w:val="en-US" w:eastAsia="zh-CN"/>
        </w:rPr>
        <w:t>4</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2797A021">
      <w:pPr>
        <w:pStyle w:val="21"/>
        <w:tabs>
          <w:tab w:val="right" w:leader="dot" w:pos="9354"/>
          <w:tab w:val="clear" w:pos="9241"/>
        </w:tabs>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begin"/>
      </w:r>
      <w:r>
        <w:rPr>
          <w:rFonts w:hint="default" w:ascii="Times New Roman" w:hAnsi="Times New Roman" w:eastAsia="宋体" w:cs="Times New Roman"/>
          <w:highlight w:val="none"/>
          <w:lang w:val="en-US" w:eastAsia="zh-CN"/>
        </w:rPr>
        <w:instrText xml:space="preserve"> HYPERLINK \l _Toc26755 </w:instrText>
      </w:r>
      <w:r>
        <w:rPr>
          <w:rFonts w:hint="default" w:ascii="Times New Roman" w:hAnsi="Times New Roman" w:eastAsia="宋体" w:cs="Times New Roman"/>
          <w:highlight w:val="none"/>
          <w:lang w:val="en-US" w:eastAsia="zh-CN"/>
        </w:rPr>
        <w:fldChar w:fldCharType="separate"/>
      </w:r>
      <w:r>
        <w:rPr>
          <w:rFonts w:hint="eastAsia"/>
          <w:spacing w:val="105"/>
          <w:highlight w:val="none"/>
        </w:rPr>
        <w:t>参考文</w:t>
      </w:r>
      <w:r>
        <w:rPr>
          <w:rFonts w:hint="eastAsia"/>
          <w:highlight w:val="none"/>
        </w:rPr>
        <w:t>献</w:t>
      </w:r>
      <w:r>
        <w:tab/>
      </w:r>
      <w:r>
        <w:fldChar w:fldCharType="begin"/>
      </w:r>
      <w:r>
        <w:instrText xml:space="preserve"> PAGEREF _Toc26755 \h </w:instrText>
      </w:r>
      <w:r>
        <w:fldChar w:fldCharType="separate"/>
      </w:r>
      <w:r>
        <w:t>1</w:t>
      </w:r>
      <w:r>
        <w:rPr>
          <w:rFonts w:hint="eastAsia"/>
          <w:lang w:val="en-US" w:eastAsia="zh-CN"/>
        </w:rPr>
        <w:t>6</w:t>
      </w:r>
      <w:r>
        <w:fldChar w:fldCharType="end"/>
      </w: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p w14:paraId="12F12995">
      <w:pPr>
        <w:rPr>
          <w:rFonts w:hint="default" w:ascii="Times New Roman" w:hAnsi="Times New Roman" w:eastAsia="宋体" w:cs="Times New Roman"/>
          <w:color w:val="000000" w:themeColor="text1"/>
          <w:kern w:val="2"/>
          <w:sz w:val="21"/>
          <w:szCs w:val="21"/>
          <w:highlight w:val="none"/>
          <w:lang w:val="en-US" w:eastAsia="zh-CN" w:bidi="ar-SA"/>
          <w14:textFill>
            <w14:solidFill>
              <w14:schemeClr w14:val="tx1"/>
            </w14:solidFill>
          </w14:textFill>
        </w:rPr>
        <w:sectPr>
          <w:footerReference r:id="rId5" w:type="default"/>
          <w:pgSz w:w="11906" w:h="16838"/>
          <w:pgMar w:top="567" w:right="1134" w:bottom="1134" w:left="1418" w:header="1418" w:footer="1134" w:gutter="0"/>
          <w:pgNumType w:fmt="upperRoman" w:start="1"/>
          <w:cols w:space="720" w:num="1"/>
          <w:formProt w:val="0"/>
          <w:docGrid w:type="lines" w:linePitch="312" w:charSpace="0"/>
        </w:sectPr>
      </w:pPr>
      <w:r>
        <w:rPr>
          <w:rFonts w:hint="default" w:ascii="Times New Roman" w:hAnsi="Times New Roman" w:eastAsia="宋体" w:cs="Times New Roman"/>
          <w:color w:val="000000" w:themeColor="text1"/>
          <w:highlight w:val="none"/>
          <w:lang w:val="en-US" w:eastAsia="zh-CN"/>
          <w14:textFill>
            <w14:solidFill>
              <w14:schemeClr w14:val="tx1"/>
            </w14:solidFill>
          </w14:textFill>
        </w:rPr>
        <w:fldChar w:fldCharType="end"/>
      </w:r>
    </w:p>
    <w:bookmarkEnd w:id="26"/>
    <w:p w14:paraId="4C3DD8AE">
      <w:pPr>
        <w:pStyle w:val="113"/>
        <w:jc w:val="center"/>
        <w:rPr>
          <w:rFonts w:hint="default" w:ascii="Times New Roman" w:hAnsi="Times New Roman" w:cs="Times New Roman" w:eastAsiaTheme="minorEastAsia"/>
          <w:b/>
          <w:bCs w:val="0"/>
          <w:color w:val="000000" w:themeColor="text1"/>
          <w:kern w:val="44"/>
          <w:sz w:val="32"/>
          <w:szCs w:val="18"/>
          <w:highlight w:val="none"/>
          <w:lang w:val="en-US" w:eastAsia="zh-CN" w:bidi="ar-SA"/>
          <w14:textFill>
            <w14:solidFill>
              <w14:schemeClr w14:val="tx1"/>
            </w14:solidFill>
          </w14:textFill>
        </w:rPr>
      </w:pPr>
      <w:bookmarkStart w:id="31" w:name="_Toc8181"/>
      <w:bookmarkStart w:id="32" w:name="_Toc91600285"/>
      <w:bookmarkStart w:id="33" w:name="_Toc1655"/>
      <w:r>
        <w:rPr>
          <w:rFonts w:hint="default" w:ascii="Times New Roman" w:hAnsi="Times New Roman" w:cs="Times New Roman" w:eastAsiaTheme="minorEastAsia"/>
          <w:b/>
          <w:bCs w:val="0"/>
          <w:color w:val="000000" w:themeColor="text1"/>
          <w:kern w:val="44"/>
          <w:sz w:val="32"/>
          <w:szCs w:val="18"/>
          <w:highlight w:val="none"/>
          <w:lang w:val="en-US" w:eastAsia="zh-CN" w:bidi="ar-SA"/>
          <w14:textFill>
            <w14:solidFill>
              <w14:schemeClr w14:val="tx1"/>
            </w14:solidFill>
          </w14:textFill>
        </w:rPr>
        <w:t>前</w:t>
      </w:r>
      <w:bookmarkStart w:id="34" w:name="BKQY"/>
      <w:r>
        <w:rPr>
          <w:rFonts w:hint="default" w:ascii="Times New Roman" w:hAnsi="Times New Roman" w:cs="Times New Roman" w:eastAsiaTheme="minorEastAsia"/>
          <w:b/>
          <w:bCs w:val="0"/>
          <w:color w:val="000000" w:themeColor="text1"/>
          <w:kern w:val="44"/>
          <w:sz w:val="32"/>
          <w:szCs w:val="18"/>
          <w:highlight w:val="none"/>
          <w:lang w:val="en-US" w:eastAsia="zh-CN" w:bidi="ar-SA"/>
          <w14:textFill>
            <w14:solidFill>
              <w14:schemeClr w14:val="tx1"/>
            </w14:solidFill>
          </w14:textFill>
        </w:rPr>
        <w:t>  言</w:t>
      </w:r>
      <w:bookmarkEnd w:id="31"/>
      <w:bookmarkEnd w:id="32"/>
      <w:bookmarkEnd w:id="33"/>
      <w:bookmarkEnd w:id="34"/>
    </w:p>
    <w:p w14:paraId="7950C091">
      <w:pPr>
        <w:pStyle w:val="138"/>
        <w:ind w:firstLine="42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本文件按照GB/T 1.1—2020《标准化工作导则  第1部分：标准化文件的结构和起草规则》的规定起草。</w:t>
      </w:r>
    </w:p>
    <w:p w14:paraId="1FF9D2F2">
      <w:pPr>
        <w:pStyle w:val="138"/>
        <w:ind w:firstLine="42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请注意本文件中的某些内容可能涉及专利。本文件的发布机构不承担识别专利的责任。</w:t>
      </w:r>
    </w:p>
    <w:p w14:paraId="62B41D25">
      <w:pPr>
        <w:pStyle w:val="138"/>
        <w:ind w:firstLine="42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本文件由安徽省国土空间规划研究院提出。</w:t>
      </w:r>
    </w:p>
    <w:p w14:paraId="2CBC1D26">
      <w:pPr>
        <w:pStyle w:val="138"/>
        <w:ind w:firstLine="42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本文件由安徽省自然资源厅归口。</w:t>
      </w:r>
    </w:p>
    <w:p w14:paraId="7C76C3AB">
      <w:pPr>
        <w:bidi w:val="0"/>
        <w:ind w:firstLine="420" w:firstLineChars="20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本文件起草单位：</w:t>
      </w:r>
      <w:r>
        <w:rPr>
          <w:rFonts w:hint="eastAsia"/>
          <w:highlight w:val="none"/>
        </w:rPr>
        <w:t>安徽省国土空间规划研究院</w:t>
      </w:r>
      <w:r>
        <w:rPr>
          <w:rFonts w:hint="eastAsia"/>
          <w:highlight w:val="none"/>
          <w:lang w:eastAsia="zh-CN"/>
        </w:rPr>
        <w:t>、安徽省自然资源厅自然资源开发利用处、芜湖市自然资源和规划局、</w:t>
      </w:r>
      <w:r>
        <w:rPr>
          <w:rFonts w:hint="eastAsia"/>
          <w:highlight w:val="none"/>
          <w:lang w:val="en-US" w:eastAsia="zh-CN"/>
        </w:rPr>
        <w:t>合肥经济技术开发区管委会、南京国图信息产业有限公司合肥分公司。</w:t>
      </w:r>
    </w:p>
    <w:p w14:paraId="04A505E7">
      <w:pPr>
        <w:pStyle w:val="25"/>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本文件主要起草人： </w:t>
      </w:r>
    </w:p>
    <w:p w14:paraId="53B9D070">
      <w:pPr>
        <w:pStyle w:val="25"/>
        <w:rPr>
          <w:rFonts w:hint="default" w:ascii="Times New Roman" w:hAnsi="Times New Roman" w:cs="Times New Roman"/>
          <w:color w:val="000000" w:themeColor="text1"/>
          <w:highlight w:val="none"/>
          <w14:textFill>
            <w14:solidFill>
              <w14:schemeClr w14:val="tx1"/>
            </w14:solidFill>
          </w14:textFill>
        </w:rPr>
        <w:sectPr>
          <w:pgSz w:w="11906" w:h="16838"/>
          <w:pgMar w:top="567" w:right="1134" w:bottom="1134" w:left="1418" w:header="1418" w:footer="1134" w:gutter="0"/>
          <w:pgNumType w:fmt="upperRoman"/>
          <w:cols w:space="720" w:num="1"/>
          <w:formProt w:val="0"/>
          <w:docGrid w:type="lines" w:linePitch="312" w:charSpace="0"/>
        </w:sectPr>
      </w:pPr>
    </w:p>
    <w:p w14:paraId="40034022">
      <w:pPr>
        <w:bidi w:val="0"/>
        <w:spacing w:before="4" w:beforeLines="1" w:after="680"/>
        <w:jc w:val="center"/>
        <w:rPr>
          <w:rFonts w:hint="eastAsia" w:ascii="黑体" w:hAnsi="黑体" w:eastAsia="黑体" w:cs="黑体"/>
          <w:sz w:val="32"/>
          <w:szCs w:val="32"/>
          <w:highlight w:val="none"/>
        </w:rPr>
      </w:pPr>
      <w:r>
        <w:rPr>
          <w:rFonts w:hint="eastAsia" w:ascii="黑体" w:hAnsi="黑体" w:eastAsia="黑体" w:cs="黑体"/>
          <w:sz w:val="32"/>
          <w:szCs w:val="32"/>
          <w:highlight w:val="none"/>
        </w:rPr>
        <w:t>产业园区土地集约利用评价</w:t>
      </w:r>
    </w:p>
    <w:p w14:paraId="4840DBA1">
      <w:pPr>
        <w:pStyle w:val="141"/>
        <w:spacing w:before="312" w:after="312"/>
        <w:rPr>
          <w:highlight w:val="none"/>
        </w:rPr>
      </w:pPr>
      <w:bookmarkStart w:id="35" w:name="_Toc21042"/>
      <w:bookmarkStart w:id="36" w:name="_Toc26986530"/>
      <w:bookmarkStart w:id="37" w:name="_Toc26648465"/>
      <w:bookmarkStart w:id="38" w:name="_Toc26986771"/>
      <w:bookmarkStart w:id="39" w:name="_Toc32729"/>
      <w:bookmarkStart w:id="40" w:name="_Toc97191423"/>
      <w:bookmarkStart w:id="41" w:name="_Toc24884211"/>
      <w:bookmarkStart w:id="42" w:name="_Toc22981"/>
      <w:bookmarkStart w:id="43" w:name="_Toc26718930"/>
      <w:bookmarkStart w:id="44" w:name="_Toc24884218"/>
      <w:bookmarkStart w:id="45" w:name="_Toc17233333"/>
      <w:bookmarkStart w:id="46" w:name="_Toc17233325"/>
      <w:r>
        <w:rPr>
          <w:rFonts w:hint="eastAsia"/>
          <w:highlight w:val="none"/>
        </w:rPr>
        <w:t>范围</w:t>
      </w:r>
      <w:bookmarkEnd w:id="35"/>
      <w:bookmarkEnd w:id="36"/>
      <w:bookmarkEnd w:id="37"/>
      <w:bookmarkEnd w:id="38"/>
      <w:bookmarkEnd w:id="39"/>
      <w:bookmarkEnd w:id="40"/>
      <w:bookmarkEnd w:id="41"/>
      <w:bookmarkEnd w:id="42"/>
      <w:bookmarkEnd w:id="43"/>
      <w:bookmarkEnd w:id="44"/>
      <w:bookmarkEnd w:id="45"/>
      <w:bookmarkEnd w:id="46"/>
    </w:p>
    <w:p w14:paraId="715B4A08">
      <w:pPr>
        <w:pStyle w:val="138"/>
        <w:ind w:firstLine="420"/>
        <w:rPr>
          <w:color w:val="auto"/>
          <w:highlight w:val="none"/>
        </w:rPr>
      </w:pPr>
      <w:bookmarkStart w:id="47" w:name="_Toc24884219"/>
      <w:bookmarkStart w:id="48" w:name="_Toc24884212"/>
      <w:bookmarkStart w:id="49" w:name="_Toc17233334"/>
      <w:bookmarkStart w:id="50" w:name="_Toc17233326"/>
      <w:bookmarkStart w:id="51" w:name="_Toc26648466"/>
      <w:r>
        <w:rPr>
          <w:rFonts w:hint="eastAsia"/>
          <w:highlight w:val="none"/>
        </w:rPr>
        <w:t>本文件规定了产业园区土地集约利用评价的</w:t>
      </w:r>
      <w:r>
        <w:rPr>
          <w:rFonts w:ascii="Times New Roman"/>
          <w:szCs w:val="21"/>
          <w:highlight w:val="none"/>
        </w:rPr>
        <w:t>评价</w:t>
      </w:r>
      <w:r>
        <w:rPr>
          <w:rFonts w:hint="eastAsia" w:ascii="Times New Roman"/>
          <w:szCs w:val="21"/>
          <w:highlight w:val="none"/>
          <w:lang w:val="en-US" w:eastAsia="zh-CN"/>
        </w:rPr>
        <w:t>对象</w:t>
      </w:r>
      <w:r>
        <w:rPr>
          <w:rFonts w:ascii="Times New Roman"/>
          <w:szCs w:val="21"/>
          <w:highlight w:val="none"/>
        </w:rPr>
        <w:t>、</w:t>
      </w:r>
      <w:r>
        <w:rPr>
          <w:rFonts w:hint="eastAsia" w:ascii="Times New Roman"/>
          <w:szCs w:val="21"/>
          <w:highlight w:val="none"/>
          <w:lang w:val="en-US" w:eastAsia="zh-CN"/>
        </w:rPr>
        <w:t>工作准备</w:t>
      </w:r>
      <w:r>
        <w:rPr>
          <w:rFonts w:hint="eastAsia" w:ascii="Times New Roman"/>
          <w:szCs w:val="21"/>
          <w:highlight w:val="none"/>
          <w:lang w:eastAsia="zh-CN"/>
        </w:rPr>
        <w:t>、</w:t>
      </w:r>
      <w:r>
        <w:rPr>
          <w:rFonts w:hint="eastAsia" w:ascii="Times New Roman"/>
          <w:color w:val="auto"/>
          <w:szCs w:val="21"/>
          <w:highlight w:val="none"/>
          <w:lang w:val="en-US" w:eastAsia="zh-CN"/>
        </w:rPr>
        <w:t>用地情况调查、</w:t>
      </w:r>
      <w:r>
        <w:rPr>
          <w:rFonts w:hint="eastAsia"/>
          <w:b w:val="0"/>
          <w:bCs w:val="0"/>
          <w:highlight w:val="none"/>
          <w:lang w:val="en-US" w:eastAsia="zh-CN"/>
        </w:rPr>
        <w:t>土地集约利用程度评价</w:t>
      </w:r>
      <w:r>
        <w:rPr>
          <w:rFonts w:ascii="Times New Roman"/>
          <w:color w:val="auto"/>
          <w:szCs w:val="21"/>
          <w:highlight w:val="none"/>
        </w:rPr>
        <w:t>、</w:t>
      </w:r>
      <w:r>
        <w:rPr>
          <w:rFonts w:hint="eastAsia" w:ascii="Times New Roman"/>
          <w:color w:val="auto"/>
          <w:szCs w:val="21"/>
          <w:highlight w:val="none"/>
          <w:lang w:val="en-US" w:eastAsia="zh-CN"/>
        </w:rPr>
        <w:t>成果编制等</w:t>
      </w:r>
      <w:r>
        <w:rPr>
          <w:rFonts w:hint="eastAsia"/>
          <w:color w:val="auto"/>
          <w:highlight w:val="none"/>
        </w:rPr>
        <w:t>。</w:t>
      </w:r>
    </w:p>
    <w:p w14:paraId="06E12099">
      <w:pPr>
        <w:pStyle w:val="138"/>
        <w:ind w:firstLine="420"/>
        <w:rPr>
          <w:highlight w:val="none"/>
        </w:rPr>
      </w:pPr>
      <w:r>
        <w:rPr>
          <w:rFonts w:hint="eastAsia"/>
          <w:highlight w:val="none"/>
        </w:rPr>
        <w:t>本文件适用于</w:t>
      </w:r>
      <w:r>
        <w:rPr>
          <w:rFonts w:hint="eastAsia"/>
          <w:highlight w:val="none"/>
          <w:lang w:val="en-US" w:eastAsia="zh-CN"/>
        </w:rPr>
        <w:t>各类产业园区开展</w:t>
      </w:r>
      <w:r>
        <w:rPr>
          <w:rFonts w:hint="eastAsia"/>
          <w:highlight w:val="none"/>
        </w:rPr>
        <w:t>土地集约利用评价工作。</w:t>
      </w:r>
    </w:p>
    <w:p w14:paraId="3642E145">
      <w:pPr>
        <w:pStyle w:val="141"/>
        <w:spacing w:before="312" w:after="312"/>
        <w:rPr>
          <w:highlight w:val="none"/>
        </w:rPr>
      </w:pPr>
      <w:bookmarkStart w:id="52" w:name="_Toc15145"/>
      <w:bookmarkStart w:id="53" w:name="_Toc21219"/>
      <w:bookmarkStart w:id="54" w:name="_Toc26986531"/>
      <w:bookmarkStart w:id="55" w:name="_Toc26718931"/>
      <w:bookmarkStart w:id="56" w:name="_Toc3258"/>
      <w:bookmarkStart w:id="57" w:name="_Toc26986772"/>
      <w:bookmarkStart w:id="58" w:name="_Toc97191424"/>
      <w:r>
        <w:rPr>
          <w:rFonts w:hint="eastAsia"/>
          <w:highlight w:val="none"/>
        </w:rPr>
        <w:t>规范性引用文件</w:t>
      </w:r>
      <w:bookmarkEnd w:id="47"/>
      <w:bookmarkEnd w:id="48"/>
      <w:bookmarkEnd w:id="49"/>
      <w:bookmarkEnd w:id="50"/>
      <w:bookmarkEnd w:id="51"/>
      <w:bookmarkEnd w:id="52"/>
      <w:bookmarkEnd w:id="53"/>
      <w:bookmarkEnd w:id="54"/>
      <w:bookmarkEnd w:id="55"/>
      <w:bookmarkEnd w:id="56"/>
      <w:bookmarkEnd w:id="57"/>
      <w:bookmarkEnd w:id="58"/>
    </w:p>
    <w:sdt>
      <w:sdtPr>
        <w:rPr>
          <w:rFonts w:hint="eastAsia"/>
          <w:highlight w:val="none"/>
        </w:rPr>
        <w:id w:val="715848253"/>
        <w:placeholder>
          <w:docPart w:val="{2bbf8eee-58b5-42ff-bf1d-4417fc90e4c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highlight w:val="none"/>
        </w:rPr>
      </w:sdtEndPr>
      <w:sdtContent>
        <w:p w14:paraId="4B441D50">
          <w:pPr>
            <w:pStyle w:val="138"/>
            <w:ind w:firstLine="420"/>
            <w:rPr>
              <w:highlight w:val="none"/>
            </w:rPr>
          </w:pPr>
          <w:r>
            <w:rPr>
              <w:rFonts w:hint="eastAsia"/>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3E3E483">
      <w:pPr>
        <w:pStyle w:val="138"/>
        <w:ind w:firstLine="420"/>
        <w:rPr>
          <w:highlight w:val="none"/>
        </w:rPr>
      </w:pPr>
      <w:bookmarkStart w:id="59" w:name="_Toc97191425"/>
      <w:r>
        <w:rPr>
          <w:rFonts w:hint="eastAsia"/>
          <w:highlight w:val="none"/>
        </w:rPr>
        <w:t>GB/T 19231   土地基本术语</w:t>
      </w:r>
    </w:p>
    <w:p w14:paraId="31F69D74">
      <w:pPr>
        <w:pStyle w:val="138"/>
        <w:ind w:firstLine="420"/>
        <w:rPr>
          <w:rFonts w:hint="eastAsia"/>
          <w:highlight w:val="none"/>
        </w:rPr>
      </w:pPr>
      <w:r>
        <w:rPr>
          <w:rFonts w:hint="eastAsia"/>
          <w:highlight w:val="none"/>
        </w:rPr>
        <w:t xml:space="preserve">GB/T 50280  </w:t>
      </w:r>
      <w:r>
        <w:rPr>
          <w:rFonts w:hint="eastAsia"/>
          <w:highlight w:val="none"/>
          <w:lang w:val="en-US" w:eastAsia="zh-CN"/>
        </w:rPr>
        <w:t xml:space="preserve"> </w:t>
      </w:r>
      <w:r>
        <w:rPr>
          <w:rFonts w:hint="eastAsia"/>
          <w:highlight w:val="none"/>
        </w:rPr>
        <w:t xml:space="preserve">城市规划基本术语标准   </w:t>
      </w:r>
    </w:p>
    <w:p w14:paraId="2A4657CB">
      <w:pPr>
        <w:pStyle w:val="138"/>
        <w:ind w:firstLine="420"/>
        <w:rPr>
          <w:rFonts w:hint="eastAsia"/>
          <w:highlight w:val="none"/>
        </w:rPr>
      </w:pPr>
      <w:r>
        <w:rPr>
          <w:rFonts w:hint="eastAsia"/>
          <w:highlight w:val="none"/>
        </w:rPr>
        <w:t>TD/T 1029</w:t>
      </w:r>
      <w:r>
        <w:rPr>
          <w:rFonts w:hint="eastAsia"/>
          <w:highlight w:val="none"/>
          <w:lang w:val="en-US" w:eastAsia="zh-CN"/>
        </w:rPr>
        <w:t xml:space="preserve">    开发区土地集约利用评价规程</w:t>
      </w:r>
    </w:p>
    <w:p w14:paraId="35463AE9">
      <w:pPr>
        <w:pStyle w:val="141"/>
        <w:spacing w:before="312" w:after="312"/>
        <w:rPr>
          <w:highlight w:val="none"/>
        </w:rPr>
      </w:pPr>
      <w:bookmarkStart w:id="60" w:name="_Toc11710"/>
      <w:bookmarkStart w:id="61" w:name="_Toc31157"/>
      <w:bookmarkStart w:id="62" w:name="_Toc15964"/>
      <w:r>
        <w:rPr>
          <w:rFonts w:hint="eastAsia"/>
          <w:szCs w:val="21"/>
          <w:highlight w:val="none"/>
        </w:rPr>
        <w:t>术语和定义</w:t>
      </w:r>
      <w:bookmarkEnd w:id="59"/>
      <w:bookmarkEnd w:id="60"/>
      <w:bookmarkEnd w:id="61"/>
      <w:bookmarkEnd w:id="62"/>
    </w:p>
    <w:p w14:paraId="34F1C572">
      <w:pPr>
        <w:pStyle w:val="138"/>
        <w:ind w:firstLine="420"/>
        <w:rPr>
          <w:highlight w:val="none"/>
        </w:rPr>
      </w:pPr>
      <w:r>
        <w:rPr>
          <w:rFonts w:hint="eastAsia"/>
          <w:highlight w:val="none"/>
        </w:rPr>
        <w:t>GB/T 19231</w:t>
      </w:r>
      <w:r>
        <w:rPr>
          <w:rFonts w:hint="eastAsia"/>
          <w:highlight w:val="none"/>
          <w:lang w:val="en-US" w:eastAsia="zh-CN"/>
        </w:rPr>
        <w:t>和</w:t>
      </w:r>
      <w:r>
        <w:rPr>
          <w:rFonts w:hint="eastAsia"/>
          <w:highlight w:val="none"/>
        </w:rPr>
        <w:t>TD/T 1029</w:t>
      </w:r>
      <w:r>
        <w:rPr>
          <w:rFonts w:hint="eastAsia"/>
          <w:highlight w:val="none"/>
          <w:lang w:val="en-US" w:eastAsia="zh-CN"/>
        </w:rPr>
        <w:t xml:space="preserve"> </w:t>
      </w:r>
      <w:sdt>
        <w:sdtPr>
          <w:rPr>
            <w:highlight w:val="none"/>
          </w:rPr>
          <w:id w:val="-1909835108"/>
          <w:placeholder>
            <w:docPart w:val="{26289ece-a49d-4587-89b5-90e2dc3439d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none"/>
          </w:rPr>
        </w:sdtEndPr>
        <w:sdtContent>
          <w:r>
            <w:rPr>
              <w:highlight w:val="none"/>
            </w:rPr>
            <w:t>界定的以及下列术语和定义适用于本文件。</w:t>
          </w:r>
        </w:sdtContent>
      </w:sdt>
    </w:p>
    <w:p w14:paraId="20D82DE3">
      <w:pPr>
        <w:pStyle w:val="138"/>
        <w:ind w:firstLine="420"/>
        <w:rPr>
          <w:rFonts w:hint="eastAsia"/>
          <w:highlight w:val="none"/>
          <w:lang w:val="en-US" w:eastAsia="zh-CN"/>
        </w:rPr>
      </w:pPr>
    </w:p>
    <w:p w14:paraId="6033570D">
      <w:pPr>
        <w:pStyle w:val="146"/>
        <w:bidi w:val="0"/>
        <w:rPr>
          <w:rFonts w:hint="eastAsia" w:eastAsia="黑体"/>
          <w:b/>
          <w:highlight w:val="none"/>
          <w:lang w:val="en-US" w:eastAsia="zh-CN"/>
        </w:rPr>
      </w:pPr>
    </w:p>
    <w:p w14:paraId="36F01490">
      <w:pPr>
        <w:pStyle w:val="146"/>
        <w:numPr>
          <w:ilvl w:val="2"/>
          <w:numId w:val="0"/>
        </w:numPr>
        <w:bidi w:val="0"/>
        <w:ind w:leftChars="0" w:firstLine="422" w:firstLineChars="200"/>
        <w:rPr>
          <w:rFonts w:hint="eastAsia" w:eastAsia="黑体"/>
          <w:b/>
          <w:highlight w:val="none"/>
          <w:lang w:val="en-US" w:eastAsia="zh-CN"/>
        </w:rPr>
      </w:pPr>
      <w:r>
        <w:rPr>
          <w:rFonts w:hint="eastAsia"/>
          <w:b/>
          <w:highlight w:val="none"/>
          <w:lang w:val="en-US" w:eastAsia="zh-CN"/>
        </w:rPr>
        <w:t xml:space="preserve">产业园区 </w:t>
      </w:r>
      <w:r>
        <w:rPr>
          <w:rFonts w:hint="eastAsia" w:eastAsia="黑体"/>
          <w:szCs w:val="28"/>
          <w:highlight w:val="none"/>
          <w:lang w:val="en-US" w:eastAsia="zh-CN"/>
        </w:rPr>
        <w:t>i</w:t>
      </w:r>
      <w:r>
        <w:rPr>
          <w:rFonts w:hint="eastAsia" w:eastAsia="黑体"/>
          <w:szCs w:val="28"/>
          <w:highlight w:val="none"/>
        </w:rPr>
        <w:t>ndustrial</w:t>
      </w:r>
      <w:r>
        <w:rPr>
          <w:rFonts w:hint="eastAsia" w:eastAsia="黑体"/>
          <w:szCs w:val="28"/>
          <w:highlight w:val="none"/>
          <w:lang w:val="en-US" w:eastAsia="zh-CN"/>
        </w:rPr>
        <w:t xml:space="preserve"> p</w:t>
      </w:r>
      <w:r>
        <w:rPr>
          <w:rFonts w:hint="eastAsia" w:eastAsia="黑体"/>
          <w:szCs w:val="28"/>
          <w:highlight w:val="none"/>
        </w:rPr>
        <w:t>arks</w:t>
      </w:r>
    </w:p>
    <w:p w14:paraId="33141076">
      <w:pPr>
        <w:pStyle w:val="138"/>
        <w:ind w:firstLine="422"/>
        <w:rPr>
          <w:rFonts w:hint="eastAsia"/>
          <w:b/>
          <w:highlight w:val="none"/>
          <w:lang w:val="en-US" w:eastAsia="zh-CN"/>
        </w:rPr>
      </w:pPr>
      <w:r>
        <w:rPr>
          <w:rFonts w:hint="eastAsia"/>
          <w:b w:val="0"/>
          <w:bCs/>
          <w:highlight w:val="none"/>
          <w:lang w:eastAsia="zh-CN"/>
        </w:rPr>
        <w:t>经国务院或者省人民政府批准设立，有明确地域界限，以产业发展为导向的特定经济功能区。</w:t>
      </w:r>
    </w:p>
    <w:p w14:paraId="7C4279F3">
      <w:pPr>
        <w:pStyle w:val="141"/>
        <w:spacing w:before="312" w:after="312"/>
        <w:rPr>
          <w:highlight w:val="none"/>
        </w:rPr>
      </w:pPr>
      <w:bookmarkStart w:id="63" w:name="_Toc27893"/>
      <w:r>
        <w:rPr>
          <w:rFonts w:hint="eastAsia"/>
          <w:highlight w:val="none"/>
          <w:lang w:val="en-US" w:eastAsia="zh-CN"/>
        </w:rPr>
        <w:t>评价对象</w:t>
      </w:r>
      <w:bookmarkEnd w:id="63"/>
    </w:p>
    <w:p w14:paraId="14962D91">
      <w:pPr>
        <w:pStyle w:val="138"/>
        <w:rPr>
          <w:rFonts w:hint="eastAsia"/>
          <w:highlight w:val="none"/>
          <w:lang w:val="en-US" w:eastAsia="zh-CN"/>
        </w:rPr>
      </w:pPr>
      <w:r>
        <w:rPr>
          <w:rFonts w:hint="eastAsia"/>
          <w:highlight w:val="none"/>
        </w:rPr>
        <w:t>产业园区土地集约利用评价对象为</w:t>
      </w:r>
      <w:r>
        <w:rPr>
          <w:rFonts w:hint="eastAsia"/>
          <w:highlight w:val="none"/>
          <w:lang w:val="en-US" w:eastAsia="zh-CN"/>
        </w:rPr>
        <w:t>全省各类产业园区，包括：</w:t>
      </w:r>
    </w:p>
    <w:p w14:paraId="186F3C14">
      <w:pPr>
        <w:pStyle w:val="138"/>
        <w:rPr>
          <w:rFonts w:hint="default" w:hAnsi="宋体" w:cs="宋体"/>
          <w:sz w:val="21"/>
          <w:highlight w:val="none"/>
          <w:lang w:val="en-US" w:eastAsia="zh-CN" w:bidi="ar-SA"/>
        </w:rPr>
      </w:pPr>
      <w:r>
        <w:rPr>
          <w:rFonts w:hint="default" w:ascii="Times New Roman" w:hAnsi="Times New Roman" w:cs="Times New Roman"/>
          <w:sz w:val="21"/>
          <w:highlight w:val="none"/>
          <w:lang w:val="en-US" w:eastAsia="zh-CN" w:bidi="ar-SA"/>
        </w:rPr>
        <w:t>——</w:t>
      </w:r>
      <w:r>
        <w:rPr>
          <w:rFonts w:hint="eastAsia" w:ascii="宋体" w:hAnsi="宋体" w:eastAsia="宋体" w:cs="宋体"/>
          <w:sz w:val="21"/>
          <w:highlight w:val="none"/>
          <w:lang w:val="en-US" w:eastAsia="zh-CN" w:bidi="ar-SA"/>
        </w:rPr>
        <w:t>经济类</w:t>
      </w:r>
      <w:r>
        <w:rPr>
          <w:rFonts w:hint="eastAsia" w:hAnsi="宋体" w:cs="宋体"/>
          <w:sz w:val="21"/>
          <w:highlight w:val="none"/>
          <w:lang w:val="en-US" w:eastAsia="zh-CN" w:bidi="ar-SA"/>
        </w:rPr>
        <w:t>产业园</w:t>
      </w:r>
      <w:r>
        <w:rPr>
          <w:rFonts w:hint="eastAsia" w:ascii="宋体" w:hAnsi="宋体" w:eastAsia="宋体" w:cs="宋体"/>
          <w:sz w:val="21"/>
          <w:highlight w:val="none"/>
          <w:lang w:val="en-US" w:eastAsia="zh-CN" w:bidi="ar-SA"/>
        </w:rPr>
        <w:t>区</w:t>
      </w:r>
      <w:r>
        <w:rPr>
          <w:rFonts w:hint="eastAsia" w:hAnsi="宋体" w:cs="宋体"/>
          <w:sz w:val="21"/>
          <w:highlight w:val="none"/>
          <w:lang w:val="en-US" w:eastAsia="zh-CN" w:bidi="ar-SA"/>
        </w:rPr>
        <w:t>。以发展工业为主，具有较强的制造能力和规模经济效应的产业园区。包括</w:t>
      </w:r>
      <w:r>
        <w:rPr>
          <w:rFonts w:hint="eastAsia" w:ascii="宋体" w:hAnsi="宋体" w:eastAsia="宋体" w:cs="宋体"/>
          <w:sz w:val="21"/>
          <w:highlight w:val="none"/>
          <w:lang w:val="en-US" w:eastAsia="zh-CN" w:bidi="ar-SA"/>
        </w:rPr>
        <w:t>经国务院批准设立的国家级经济技术开发区、省人民政府批准设立的省级经济开发区</w:t>
      </w:r>
      <w:r>
        <w:rPr>
          <w:rFonts w:hint="eastAsia" w:hAnsi="宋体" w:cs="宋体"/>
          <w:sz w:val="21"/>
          <w:highlight w:val="none"/>
          <w:lang w:val="en-US" w:eastAsia="zh-CN" w:bidi="ar-SA"/>
        </w:rPr>
        <w:t>。</w:t>
      </w:r>
    </w:p>
    <w:p w14:paraId="6967176F">
      <w:pPr>
        <w:pStyle w:val="138"/>
        <w:rPr>
          <w:rFonts w:hint="default" w:hAnsi="宋体" w:cs="宋体"/>
          <w:sz w:val="21"/>
          <w:highlight w:val="none"/>
          <w:lang w:val="en-US" w:eastAsia="zh-CN" w:bidi="ar-SA"/>
        </w:rPr>
      </w:pPr>
      <w:r>
        <w:rPr>
          <w:rFonts w:hint="default" w:ascii="Times New Roman" w:hAnsi="Times New Roman" w:cs="Times New Roman"/>
          <w:sz w:val="21"/>
          <w:highlight w:val="none"/>
          <w:lang w:val="en-US" w:eastAsia="zh-CN" w:bidi="ar-SA"/>
        </w:rPr>
        <w:t>——</w:t>
      </w:r>
      <w:r>
        <w:rPr>
          <w:rFonts w:hint="eastAsia" w:ascii="宋体" w:hAnsi="宋体" w:eastAsia="宋体" w:cs="宋体"/>
          <w:sz w:val="21"/>
          <w:highlight w:val="none"/>
          <w:lang w:val="en-US" w:eastAsia="zh-CN" w:bidi="ar-SA"/>
        </w:rPr>
        <w:t>高新类</w:t>
      </w:r>
      <w:r>
        <w:rPr>
          <w:rFonts w:hint="eastAsia" w:hAnsi="宋体" w:cs="宋体"/>
          <w:sz w:val="21"/>
          <w:highlight w:val="none"/>
          <w:lang w:val="en-US" w:eastAsia="zh-CN" w:bidi="ar-SA"/>
        </w:rPr>
        <w:t>产业园</w:t>
      </w:r>
      <w:r>
        <w:rPr>
          <w:rFonts w:hint="eastAsia" w:ascii="宋体" w:hAnsi="宋体" w:eastAsia="宋体" w:cs="宋体"/>
          <w:sz w:val="21"/>
          <w:highlight w:val="none"/>
          <w:lang w:val="en-US" w:eastAsia="zh-CN" w:bidi="ar-SA"/>
        </w:rPr>
        <w:t>区</w:t>
      </w:r>
      <w:r>
        <w:rPr>
          <w:rFonts w:hint="eastAsia" w:hAnsi="宋体" w:cs="宋体"/>
          <w:sz w:val="21"/>
          <w:highlight w:val="none"/>
          <w:lang w:val="en-US" w:eastAsia="zh-CN" w:bidi="ar-SA"/>
        </w:rPr>
        <w:t>。以发展高新技术产业为主，具有较强的创新能力和技术研发能力的产业园区。包括</w:t>
      </w:r>
      <w:r>
        <w:rPr>
          <w:rFonts w:hint="eastAsia" w:ascii="宋体" w:hAnsi="宋体" w:eastAsia="宋体" w:cs="宋体"/>
          <w:sz w:val="21"/>
          <w:highlight w:val="none"/>
          <w:lang w:val="en-US" w:eastAsia="zh-CN" w:bidi="ar-SA"/>
        </w:rPr>
        <w:t>经国务院</w:t>
      </w:r>
      <w:r>
        <w:rPr>
          <w:rFonts w:hint="eastAsia" w:hAnsi="宋体" w:cs="宋体"/>
          <w:sz w:val="21"/>
          <w:highlight w:val="none"/>
          <w:lang w:val="en-US" w:eastAsia="zh-CN" w:bidi="ar-SA"/>
        </w:rPr>
        <w:t>、省人民政府</w:t>
      </w:r>
      <w:r>
        <w:rPr>
          <w:rFonts w:hint="eastAsia" w:ascii="宋体" w:hAnsi="宋体" w:eastAsia="宋体" w:cs="宋体"/>
          <w:sz w:val="21"/>
          <w:highlight w:val="none"/>
          <w:lang w:val="en-US" w:eastAsia="zh-CN" w:bidi="ar-SA"/>
        </w:rPr>
        <w:t>批准设立的</w:t>
      </w:r>
      <w:r>
        <w:rPr>
          <w:rFonts w:hint="eastAsia" w:hAnsi="宋体" w:cs="宋体"/>
          <w:sz w:val="21"/>
          <w:highlight w:val="none"/>
          <w:lang w:val="en-US" w:eastAsia="zh-CN" w:bidi="ar-SA"/>
        </w:rPr>
        <w:t>国家级、省级</w:t>
      </w:r>
      <w:r>
        <w:rPr>
          <w:rFonts w:hint="eastAsia" w:ascii="宋体" w:hAnsi="宋体" w:eastAsia="宋体" w:cs="宋体"/>
          <w:sz w:val="21"/>
          <w:highlight w:val="none"/>
          <w:lang w:val="en-US" w:eastAsia="zh-CN" w:bidi="ar-SA"/>
        </w:rPr>
        <w:t>高新技术产业开发区</w:t>
      </w:r>
      <w:r>
        <w:rPr>
          <w:rFonts w:hint="eastAsia" w:hAnsi="宋体" w:cs="宋体"/>
          <w:sz w:val="21"/>
          <w:highlight w:val="none"/>
          <w:lang w:val="en-US" w:eastAsia="zh-CN" w:bidi="ar-SA"/>
        </w:rPr>
        <w:t>。</w:t>
      </w:r>
    </w:p>
    <w:p w14:paraId="1A1ABA0A">
      <w:pPr>
        <w:pStyle w:val="138"/>
        <w:rPr>
          <w:rFonts w:hint="default" w:hAnsi="宋体" w:cs="宋体"/>
          <w:sz w:val="21"/>
          <w:highlight w:val="none"/>
          <w:lang w:val="en-US" w:eastAsia="zh-CN" w:bidi="ar-SA"/>
        </w:rPr>
      </w:pPr>
      <w:r>
        <w:rPr>
          <w:rFonts w:hint="default" w:ascii="Times New Roman" w:hAnsi="Times New Roman" w:cs="Times New Roman"/>
          <w:sz w:val="21"/>
          <w:highlight w:val="none"/>
          <w:lang w:val="en-US" w:eastAsia="zh-CN" w:bidi="ar-SA"/>
        </w:rPr>
        <w:t>——</w:t>
      </w:r>
      <w:r>
        <w:rPr>
          <w:rFonts w:hint="eastAsia" w:ascii="宋体" w:hAnsi="宋体" w:eastAsia="宋体" w:cs="宋体"/>
          <w:sz w:val="21"/>
          <w:highlight w:val="none"/>
          <w:lang w:val="en-US" w:eastAsia="zh-CN" w:bidi="ar-SA"/>
        </w:rPr>
        <w:t>海关</w:t>
      </w:r>
      <w:r>
        <w:rPr>
          <w:rFonts w:hint="eastAsia" w:hAnsi="宋体" w:cs="宋体"/>
          <w:sz w:val="21"/>
          <w:highlight w:val="none"/>
          <w:lang w:val="en-US" w:eastAsia="zh-CN" w:bidi="ar-SA"/>
        </w:rPr>
        <w:t>类产业园</w:t>
      </w:r>
      <w:r>
        <w:rPr>
          <w:rFonts w:hint="eastAsia" w:ascii="宋体" w:hAnsi="宋体" w:eastAsia="宋体" w:cs="宋体"/>
          <w:sz w:val="21"/>
          <w:highlight w:val="none"/>
          <w:lang w:val="en-US" w:eastAsia="zh-CN" w:bidi="ar-SA"/>
        </w:rPr>
        <w:t>区</w:t>
      </w:r>
      <w:r>
        <w:rPr>
          <w:rFonts w:hint="eastAsia" w:hAnsi="宋体" w:cs="宋体"/>
          <w:sz w:val="21"/>
          <w:highlight w:val="none"/>
          <w:lang w:val="en-US" w:eastAsia="zh-CN" w:bidi="ar-SA"/>
        </w:rPr>
        <w:t>。兼有出口加工和对外贸易功能，实行特殊关税政策和特殊管理手段的海关监管区域。包括经国务院批准设立的综合保税区。</w:t>
      </w:r>
    </w:p>
    <w:p w14:paraId="407065E0">
      <w:pPr>
        <w:pStyle w:val="138"/>
        <w:rPr>
          <w:rFonts w:hint="eastAsia" w:hAnsi="宋体" w:cs="宋体"/>
          <w:sz w:val="21"/>
          <w:highlight w:val="none"/>
          <w:lang w:val="en-US" w:eastAsia="zh-CN" w:bidi="ar-SA"/>
        </w:rPr>
      </w:pPr>
      <w:r>
        <w:rPr>
          <w:rFonts w:hint="default" w:ascii="Times New Roman" w:hAnsi="Times New Roman" w:cs="Times New Roman"/>
          <w:sz w:val="21"/>
          <w:highlight w:val="none"/>
          <w:lang w:val="en-US" w:eastAsia="zh-CN" w:bidi="ar-SA"/>
        </w:rPr>
        <w:t>——</w:t>
      </w:r>
      <w:r>
        <w:rPr>
          <w:rFonts w:hint="eastAsia" w:ascii="宋体" w:hAnsi="宋体" w:eastAsia="宋体" w:cs="宋体"/>
          <w:sz w:val="21"/>
          <w:highlight w:val="none"/>
          <w:lang w:val="en-US" w:eastAsia="zh-CN" w:bidi="ar-SA"/>
        </w:rPr>
        <w:t>其他类</w:t>
      </w:r>
      <w:r>
        <w:rPr>
          <w:rFonts w:hint="eastAsia" w:ascii="宋体" w:hAnsi="宋体" w:eastAsia="宋体" w:cs="宋体"/>
          <w:highlight w:val="none"/>
          <w:lang w:val="en-US" w:eastAsia="zh-CN"/>
        </w:rPr>
        <w:t>产业园区</w:t>
      </w:r>
      <w:r>
        <w:rPr>
          <w:rFonts w:hint="eastAsia" w:hAnsi="宋体" w:cs="宋体"/>
          <w:highlight w:val="none"/>
          <w:lang w:val="en-US" w:eastAsia="zh-CN"/>
        </w:rPr>
        <w:t>。以上三类园区以外的产业园区</w:t>
      </w:r>
      <w:r>
        <w:rPr>
          <w:rFonts w:hint="eastAsia" w:hAnsi="宋体" w:cs="宋体"/>
          <w:sz w:val="21"/>
          <w:highlight w:val="none"/>
          <w:lang w:val="en-US" w:eastAsia="zh-CN" w:bidi="ar-SA"/>
        </w:rPr>
        <w:t>。</w:t>
      </w:r>
    </w:p>
    <w:p w14:paraId="7AFE583D">
      <w:pPr>
        <w:pStyle w:val="141"/>
        <w:spacing w:before="312" w:after="312"/>
        <w:rPr>
          <w:highlight w:val="none"/>
        </w:rPr>
      </w:pPr>
      <w:bookmarkStart w:id="64" w:name="_Toc13283"/>
      <w:r>
        <w:rPr>
          <w:rFonts w:hint="eastAsia"/>
          <w:highlight w:val="none"/>
          <w:lang w:val="en-US" w:eastAsia="zh-CN"/>
        </w:rPr>
        <w:t>工作程序</w:t>
      </w:r>
      <w:bookmarkEnd w:id="64"/>
    </w:p>
    <w:p w14:paraId="3A4FED0C">
      <w:pPr>
        <w:pStyle w:val="25"/>
        <w:ind w:firstLine="420"/>
        <w:rPr>
          <w:rFonts w:hint="eastAsia" w:ascii="Times New Roman"/>
          <w:color w:val="000000"/>
        </w:rPr>
      </w:pPr>
      <w:bookmarkStart w:id="65" w:name="_Toc208368777"/>
      <w:r>
        <w:rPr>
          <w:rFonts w:hint="eastAsia" w:ascii="Times New Roman"/>
          <w:color w:val="000000"/>
          <w:lang w:val="en-US" w:eastAsia="zh-CN"/>
        </w:rPr>
        <w:t>产业园区土地</w:t>
      </w:r>
      <w:r>
        <w:rPr>
          <w:rFonts w:hint="eastAsia" w:ascii="Times New Roman"/>
          <w:color w:val="000000"/>
        </w:rPr>
        <w:t>集约利用评价的工作程序一般包括：</w:t>
      </w:r>
      <w:bookmarkEnd w:id="65"/>
    </w:p>
    <w:p w14:paraId="6F5303A7">
      <w:pPr>
        <w:pStyle w:val="149"/>
        <w:rPr>
          <w:rFonts w:hint="eastAsia" w:ascii="Times New Roman" w:hAnsi="Times New Roman" w:eastAsia="宋体" w:cs="Times New Roman"/>
          <w:shd w:val="clear" w:color="auto" w:fill="FFFFFF"/>
        </w:rPr>
      </w:pPr>
      <w:r>
        <w:rPr>
          <w:rFonts w:hint="eastAsia" w:ascii="Times New Roman" w:cs="Times New Roman"/>
          <w:shd w:val="clear" w:color="auto" w:fill="FFFFFF"/>
          <w:lang w:val="en-US" w:eastAsia="zh-CN"/>
        </w:rPr>
        <w:t>工作准备；</w:t>
      </w:r>
    </w:p>
    <w:p w14:paraId="159228C0">
      <w:pPr>
        <w:pStyle w:val="149"/>
        <w:rPr>
          <w:rFonts w:hAnsi="宋体"/>
          <w:color w:val="000000"/>
        </w:rPr>
      </w:pPr>
      <w:r>
        <w:rPr>
          <w:rFonts w:hint="eastAsia" w:ascii="Times New Roman" w:cs="Times New Roman"/>
          <w:shd w:val="clear" w:color="auto" w:fill="FFFFFF"/>
          <w:lang w:val="en-US" w:eastAsia="zh-CN"/>
        </w:rPr>
        <w:t>用地情况调查；</w:t>
      </w:r>
    </w:p>
    <w:p w14:paraId="31221D8F">
      <w:pPr>
        <w:pStyle w:val="149"/>
        <w:rPr>
          <w:rFonts w:hAnsi="宋体"/>
          <w:color w:val="000000"/>
        </w:rPr>
      </w:pPr>
      <w:r>
        <w:rPr>
          <w:rFonts w:hint="eastAsia" w:hAnsi="宋体"/>
          <w:color w:val="000000"/>
          <w:lang w:val="en-US" w:eastAsia="zh-CN"/>
        </w:rPr>
        <w:t>土地集约利用程度评价</w:t>
      </w:r>
      <w:r>
        <w:rPr>
          <w:rFonts w:hint="eastAsia" w:hAnsi="宋体"/>
          <w:color w:val="000000"/>
        </w:rPr>
        <w:t>；</w:t>
      </w:r>
    </w:p>
    <w:p w14:paraId="0761FA9D">
      <w:pPr>
        <w:pStyle w:val="149"/>
        <w:rPr>
          <w:rFonts w:hint="eastAsia" w:ascii="Times New Roman" w:hAnsi="Times New Roman" w:eastAsia="宋体" w:cs="Times New Roman"/>
          <w:shd w:val="clear" w:color="auto" w:fill="FFFFFF"/>
        </w:rPr>
      </w:pPr>
      <w:r>
        <w:rPr>
          <w:rFonts w:hint="eastAsia" w:ascii="Times New Roman" w:cs="Times New Roman"/>
          <w:shd w:val="clear" w:color="auto" w:fill="FFFFFF"/>
          <w:lang w:val="en-US" w:eastAsia="zh-CN"/>
        </w:rPr>
        <w:t>成果编制。</w:t>
      </w:r>
    </w:p>
    <w:p w14:paraId="7DED261C">
      <w:pPr>
        <w:pStyle w:val="141"/>
        <w:spacing w:before="312" w:after="312"/>
        <w:rPr>
          <w:rFonts w:hint="eastAsia"/>
          <w:highlight w:val="none"/>
          <w:lang w:val="en-US" w:eastAsia="zh-CN"/>
        </w:rPr>
      </w:pPr>
      <w:bookmarkStart w:id="66" w:name="_Toc16857"/>
      <w:r>
        <w:rPr>
          <w:rFonts w:hint="eastAsia"/>
          <w:highlight w:val="none"/>
          <w:lang w:val="en-US" w:eastAsia="zh-CN"/>
        </w:rPr>
        <w:t>技术步骤</w:t>
      </w:r>
      <w:bookmarkEnd w:id="66"/>
    </w:p>
    <w:p w14:paraId="0999530B">
      <w:pPr>
        <w:pStyle w:val="138"/>
        <w:rPr>
          <w:rFonts w:hint="eastAsia"/>
          <w:lang w:val="en-US" w:eastAsia="zh-CN"/>
        </w:rPr>
      </w:pPr>
      <w:r>
        <w:rPr>
          <w:rFonts w:hint="eastAsia" w:ascii="Times New Roman"/>
          <w:color w:val="000000"/>
          <w:lang w:val="en-US" w:eastAsia="zh-CN"/>
        </w:rPr>
        <w:t>产业园区土地</w:t>
      </w:r>
      <w:r>
        <w:rPr>
          <w:rFonts w:hint="eastAsia" w:ascii="Times New Roman"/>
          <w:color w:val="000000"/>
        </w:rPr>
        <w:t>集约利用评价的</w:t>
      </w:r>
      <w:r>
        <w:rPr>
          <w:rFonts w:hint="eastAsia" w:ascii="Times New Roman"/>
          <w:color w:val="000000"/>
          <w:lang w:val="en-US" w:eastAsia="zh-CN"/>
        </w:rPr>
        <w:t>技术步骤</w:t>
      </w:r>
      <w:r>
        <w:rPr>
          <w:rFonts w:hint="eastAsia" w:ascii="Times New Roman"/>
          <w:color w:val="000000"/>
        </w:rPr>
        <w:t>一般包括：</w:t>
      </w:r>
    </w:p>
    <w:p w14:paraId="040118DF">
      <w:pPr>
        <w:pStyle w:val="149"/>
        <w:numPr>
          <w:ilvl w:val="0"/>
          <w:numId w:val="22"/>
        </w:numPr>
        <w:rPr>
          <w:rFonts w:hint="eastAsia" w:ascii="Times New Roman" w:cs="Times New Roman"/>
          <w:shd w:val="clear" w:color="auto" w:fill="FFFFFF"/>
          <w:lang w:val="en-US" w:eastAsia="zh-CN"/>
        </w:rPr>
      </w:pPr>
      <w:r>
        <w:rPr>
          <w:rFonts w:hint="eastAsia" w:ascii="Times New Roman" w:cs="Times New Roman"/>
          <w:shd w:val="clear" w:color="auto" w:fill="FFFFFF"/>
          <w:lang w:val="en-US" w:eastAsia="zh-CN"/>
        </w:rPr>
        <w:t>开展用地情况调查；</w:t>
      </w:r>
    </w:p>
    <w:p w14:paraId="55B70430">
      <w:pPr>
        <w:pStyle w:val="149"/>
        <w:numPr>
          <w:ilvl w:val="0"/>
          <w:numId w:val="22"/>
        </w:numPr>
        <w:rPr>
          <w:rFonts w:hint="eastAsia" w:ascii="Times New Roman" w:cs="Times New Roman"/>
          <w:shd w:val="clear" w:color="auto" w:fill="FFFFFF"/>
          <w:lang w:val="en-US" w:eastAsia="zh-CN"/>
        </w:rPr>
      </w:pPr>
      <w:r>
        <w:rPr>
          <w:rFonts w:hint="eastAsia" w:ascii="Times New Roman" w:cs="Times New Roman"/>
          <w:shd w:val="clear" w:color="auto" w:fill="FFFFFF"/>
          <w:lang w:val="en-US" w:eastAsia="zh-CN"/>
        </w:rPr>
        <w:t>根据产业园区类型确定评价指标体系；</w:t>
      </w:r>
    </w:p>
    <w:p w14:paraId="6B6610B4">
      <w:pPr>
        <w:pStyle w:val="149"/>
        <w:numPr>
          <w:ilvl w:val="0"/>
          <w:numId w:val="22"/>
        </w:numPr>
        <w:rPr>
          <w:rFonts w:hint="eastAsia" w:ascii="Times New Roman" w:cs="Times New Roman"/>
          <w:shd w:val="clear" w:color="auto" w:fill="FFFFFF"/>
          <w:lang w:val="en-US" w:eastAsia="zh-CN"/>
        </w:rPr>
      </w:pPr>
      <w:r>
        <w:rPr>
          <w:rFonts w:hint="eastAsia" w:ascii="Times New Roman" w:cs="Times New Roman"/>
          <w:shd w:val="clear" w:color="auto" w:fill="FFFFFF"/>
          <w:lang w:val="en-US" w:eastAsia="zh-CN"/>
        </w:rPr>
        <w:t>计算评价指标现状值；</w:t>
      </w:r>
    </w:p>
    <w:p w14:paraId="2202C0B4">
      <w:pPr>
        <w:pStyle w:val="149"/>
        <w:numPr>
          <w:ilvl w:val="0"/>
          <w:numId w:val="22"/>
        </w:numPr>
        <w:rPr>
          <w:rFonts w:hint="eastAsia" w:ascii="Times New Roman" w:cs="Times New Roman"/>
          <w:shd w:val="clear" w:color="auto" w:fill="FFFFFF"/>
          <w:lang w:val="en-US" w:eastAsia="zh-CN"/>
        </w:rPr>
      </w:pPr>
      <w:r>
        <w:rPr>
          <w:rFonts w:hint="eastAsia" w:ascii="Times New Roman" w:cs="Times New Roman"/>
          <w:shd w:val="clear" w:color="auto" w:fill="FFFFFF"/>
          <w:lang w:val="en-US" w:eastAsia="zh-CN"/>
        </w:rPr>
        <w:t>确定评价权重；</w:t>
      </w:r>
    </w:p>
    <w:p w14:paraId="00E3DB11">
      <w:pPr>
        <w:pStyle w:val="149"/>
        <w:numPr>
          <w:ilvl w:val="0"/>
          <w:numId w:val="22"/>
        </w:numPr>
        <w:rPr>
          <w:rFonts w:hint="eastAsia" w:ascii="Times New Roman" w:cs="Times New Roman"/>
          <w:shd w:val="clear" w:color="auto" w:fill="FFFFFF"/>
          <w:lang w:val="en-US" w:eastAsia="zh-CN"/>
        </w:rPr>
      </w:pPr>
      <w:r>
        <w:rPr>
          <w:rFonts w:hint="eastAsia" w:ascii="Times New Roman" w:cs="Times New Roman"/>
          <w:shd w:val="clear" w:color="auto" w:fill="FFFFFF"/>
          <w:lang w:val="en-US" w:eastAsia="zh-CN"/>
        </w:rPr>
        <w:t>确定评价指标理想值；</w:t>
      </w:r>
      <w:bookmarkStart w:id="156" w:name="_GoBack"/>
      <w:bookmarkEnd w:id="156"/>
    </w:p>
    <w:p w14:paraId="03405B7B">
      <w:pPr>
        <w:pStyle w:val="149"/>
        <w:numPr>
          <w:ilvl w:val="0"/>
          <w:numId w:val="22"/>
        </w:numPr>
        <w:rPr>
          <w:rFonts w:hint="eastAsia" w:ascii="Times New Roman" w:cs="Times New Roman"/>
          <w:shd w:val="clear" w:color="auto" w:fill="FFFFFF"/>
          <w:lang w:val="en-US" w:eastAsia="zh-CN"/>
        </w:rPr>
      </w:pPr>
      <w:r>
        <w:rPr>
          <w:rFonts w:hint="eastAsia" w:ascii="Times New Roman" w:cs="Times New Roman"/>
          <w:shd w:val="clear" w:color="auto" w:fill="FFFFFF"/>
          <w:lang w:val="en-US" w:eastAsia="zh-CN"/>
        </w:rPr>
        <w:t>进行评价指标标准化；</w:t>
      </w:r>
    </w:p>
    <w:p w14:paraId="417ABA06">
      <w:pPr>
        <w:pStyle w:val="149"/>
        <w:numPr>
          <w:ilvl w:val="0"/>
          <w:numId w:val="22"/>
        </w:numPr>
        <w:rPr>
          <w:rFonts w:hint="eastAsia" w:ascii="Times New Roman" w:cs="Times New Roman"/>
          <w:shd w:val="clear" w:color="auto" w:fill="FFFFFF"/>
          <w:lang w:val="en-US" w:eastAsia="zh-CN"/>
        </w:rPr>
      </w:pPr>
      <w:r>
        <w:rPr>
          <w:rFonts w:hint="eastAsia" w:ascii="Times New Roman" w:cs="Times New Roman"/>
          <w:shd w:val="clear" w:color="auto" w:fill="FFFFFF"/>
          <w:lang w:val="en-US" w:eastAsia="zh-CN"/>
        </w:rPr>
        <w:t>计算土地利用集约度分值；</w:t>
      </w:r>
    </w:p>
    <w:p w14:paraId="2CCF2B3A">
      <w:pPr>
        <w:pStyle w:val="149"/>
        <w:numPr>
          <w:ilvl w:val="0"/>
          <w:numId w:val="22"/>
        </w:numPr>
        <w:rPr>
          <w:rFonts w:hint="eastAsia" w:ascii="Times New Roman" w:cs="Times New Roman"/>
          <w:shd w:val="clear" w:color="auto" w:fill="FFFFFF"/>
          <w:lang w:val="en-US" w:eastAsia="zh-CN"/>
        </w:rPr>
      </w:pPr>
      <w:r>
        <w:rPr>
          <w:rFonts w:hint="eastAsia" w:ascii="Times New Roman" w:cs="Times New Roman"/>
          <w:shd w:val="clear" w:color="auto" w:fill="FFFFFF"/>
          <w:lang w:val="en-US" w:eastAsia="zh-CN"/>
        </w:rPr>
        <w:t>编制评价成果。</w:t>
      </w:r>
    </w:p>
    <w:p w14:paraId="320EDC7D">
      <w:pPr>
        <w:pStyle w:val="141"/>
        <w:spacing w:before="240" w:after="240"/>
        <w:rPr>
          <w:rFonts w:ascii="Times New Roman"/>
          <w:highlight w:val="none"/>
        </w:rPr>
      </w:pPr>
      <w:bookmarkStart w:id="67" w:name="_Toc26986532"/>
      <w:bookmarkEnd w:id="67"/>
      <w:bookmarkStart w:id="68" w:name="_Toc153459845"/>
      <w:bookmarkStart w:id="69" w:name="_Toc7906"/>
      <w:bookmarkStart w:id="70" w:name="_Toc1012"/>
      <w:bookmarkStart w:id="71" w:name="_Toc153459908"/>
      <w:bookmarkStart w:id="72" w:name="_Toc10534"/>
      <w:r>
        <w:rPr>
          <w:rFonts w:ascii="Times New Roman"/>
          <w:highlight w:val="none"/>
        </w:rPr>
        <w:t>工作准备</w:t>
      </w:r>
      <w:bookmarkEnd w:id="68"/>
      <w:bookmarkEnd w:id="69"/>
      <w:bookmarkEnd w:id="70"/>
      <w:bookmarkEnd w:id="71"/>
      <w:bookmarkEnd w:id="72"/>
    </w:p>
    <w:p w14:paraId="03EFED8E">
      <w:pPr>
        <w:pStyle w:val="142"/>
        <w:spacing w:before="120" w:after="120"/>
        <w:rPr>
          <w:rFonts w:ascii="Times New Roman"/>
          <w:highlight w:val="none"/>
        </w:rPr>
      </w:pPr>
      <w:bookmarkStart w:id="73" w:name="_Toc153459909"/>
      <w:bookmarkStart w:id="74" w:name="_Toc153459846"/>
      <w:bookmarkStart w:id="75" w:name="_Toc7834"/>
      <w:r>
        <w:rPr>
          <w:rFonts w:ascii="Times New Roman"/>
          <w:highlight w:val="none"/>
        </w:rPr>
        <w:t>制定工作</w:t>
      </w:r>
      <w:bookmarkEnd w:id="73"/>
      <w:bookmarkEnd w:id="74"/>
      <w:bookmarkEnd w:id="75"/>
      <w:r>
        <w:rPr>
          <w:rFonts w:hint="eastAsia" w:ascii="Times New Roman"/>
          <w:highlight w:val="none"/>
          <w:lang w:val="en-US" w:eastAsia="zh-CN"/>
        </w:rPr>
        <w:t>方案</w:t>
      </w:r>
    </w:p>
    <w:p w14:paraId="436BAA99">
      <w:pPr>
        <w:pStyle w:val="138"/>
        <w:ind w:firstLine="420"/>
        <w:rPr>
          <w:rFonts w:ascii="Times New Roman"/>
          <w:highlight w:val="none"/>
        </w:rPr>
      </w:pPr>
      <w:r>
        <w:rPr>
          <w:rFonts w:ascii="Times New Roman"/>
          <w:highlight w:val="none"/>
        </w:rPr>
        <w:t>包括</w:t>
      </w:r>
      <w:r>
        <w:rPr>
          <w:rFonts w:hint="eastAsia" w:ascii="Times New Roman"/>
          <w:highlight w:val="none"/>
          <w:lang w:val="en-US" w:eastAsia="zh-CN"/>
        </w:rPr>
        <w:t>产业园区土地集约利用</w:t>
      </w:r>
      <w:r>
        <w:rPr>
          <w:rFonts w:ascii="Times New Roman"/>
          <w:highlight w:val="none"/>
        </w:rPr>
        <w:t>评价调查内容、工作组织、进度安排、预期成果等。</w:t>
      </w:r>
    </w:p>
    <w:p w14:paraId="742305A7">
      <w:pPr>
        <w:pStyle w:val="142"/>
        <w:spacing w:before="120" w:after="120"/>
        <w:rPr>
          <w:rFonts w:ascii="Times New Roman"/>
          <w:highlight w:val="none"/>
        </w:rPr>
      </w:pPr>
      <w:bookmarkStart w:id="76" w:name="_Toc11718"/>
      <w:r>
        <w:rPr>
          <w:rFonts w:ascii="Times New Roman"/>
          <w:highlight w:val="none"/>
        </w:rPr>
        <w:t>制定工作</w:t>
      </w:r>
      <w:r>
        <w:rPr>
          <w:rFonts w:hint="eastAsia" w:ascii="Times New Roman"/>
          <w:highlight w:val="none"/>
        </w:rPr>
        <w:t>表格</w:t>
      </w:r>
      <w:bookmarkEnd w:id="76"/>
    </w:p>
    <w:p w14:paraId="115C36B0">
      <w:pPr>
        <w:pStyle w:val="138"/>
        <w:ind w:firstLine="420"/>
        <w:rPr>
          <w:rFonts w:ascii="Times New Roman"/>
          <w:highlight w:val="none"/>
        </w:rPr>
      </w:pPr>
      <w:r>
        <w:rPr>
          <w:rFonts w:hint="eastAsia"/>
          <w:highlight w:val="none"/>
          <w:lang w:val="en-US" w:eastAsia="zh-CN"/>
        </w:rPr>
        <w:t>制定产业园区土地集约利用评价工作所需要的相关表格</w:t>
      </w:r>
      <w:r>
        <w:rPr>
          <w:highlight w:val="none"/>
        </w:rPr>
        <w:t>。</w:t>
      </w:r>
    </w:p>
    <w:p w14:paraId="7E2C152A">
      <w:pPr>
        <w:pStyle w:val="142"/>
        <w:spacing w:before="120" w:after="120"/>
        <w:rPr>
          <w:rFonts w:ascii="Times New Roman"/>
          <w:highlight w:val="none"/>
        </w:rPr>
      </w:pPr>
      <w:bookmarkStart w:id="77" w:name="_Toc25945"/>
      <w:r>
        <w:rPr>
          <w:rFonts w:hint="eastAsia" w:ascii="Times New Roman"/>
          <w:highlight w:val="none"/>
        </w:rPr>
        <w:t>制作工作底图</w:t>
      </w:r>
      <w:bookmarkEnd w:id="77"/>
    </w:p>
    <w:p w14:paraId="14C0ACAA">
      <w:pPr>
        <w:pStyle w:val="148"/>
        <w:bidi w:val="0"/>
        <w:rPr>
          <w:highlight w:val="none"/>
        </w:rPr>
      </w:pPr>
      <w:r>
        <w:rPr>
          <w:rFonts w:hint="eastAsia"/>
          <w:highlight w:val="none"/>
        </w:rPr>
        <w:t>根据工作需要，结合国土变更调查数据、</w:t>
      </w:r>
      <w:r>
        <w:rPr>
          <w:highlight w:val="none"/>
        </w:rPr>
        <w:t>地籍图、影像图、</w:t>
      </w:r>
      <w:r>
        <w:rPr>
          <w:rFonts w:hint="eastAsia"/>
          <w:highlight w:val="none"/>
        </w:rPr>
        <w:t>国土</w:t>
      </w:r>
      <w:r>
        <w:rPr>
          <w:highlight w:val="none"/>
        </w:rPr>
        <w:t>利用现状图、</w:t>
      </w:r>
      <w:r>
        <w:rPr>
          <w:rFonts w:hint="eastAsia"/>
          <w:highlight w:val="none"/>
        </w:rPr>
        <w:t>国土空间</w:t>
      </w:r>
      <w:r>
        <w:rPr>
          <w:highlight w:val="none"/>
        </w:rPr>
        <w:t>规划图等</w:t>
      </w:r>
      <w:r>
        <w:rPr>
          <w:rFonts w:hint="eastAsia"/>
          <w:highlight w:val="none"/>
        </w:rPr>
        <w:t>，叠加评价对象</w:t>
      </w:r>
      <w:r>
        <w:rPr>
          <w:rFonts w:hint="eastAsia"/>
          <w:highlight w:val="none"/>
          <w:lang w:val="en-US" w:eastAsia="zh-CN"/>
        </w:rPr>
        <w:t>范围</w:t>
      </w:r>
      <w:r>
        <w:rPr>
          <w:rFonts w:hint="eastAsia"/>
          <w:highlight w:val="none"/>
        </w:rPr>
        <w:t>，形成工作底图。</w:t>
      </w:r>
    </w:p>
    <w:p w14:paraId="2A73779C">
      <w:pPr>
        <w:pStyle w:val="148"/>
        <w:rPr>
          <w:rFonts w:hint="eastAsia"/>
          <w:b w:val="0"/>
          <w:bCs w:val="0"/>
          <w:highlight w:val="none"/>
          <w:lang w:val="en-US" w:eastAsia="zh-CN"/>
        </w:rPr>
      </w:pPr>
      <w:r>
        <w:rPr>
          <w:rFonts w:hint="eastAsia"/>
          <w:color w:val="000000"/>
          <w:highlight w:val="none"/>
        </w:rPr>
        <w:t>图件资料的比例尺应满足评价工作需要</w:t>
      </w:r>
      <w:r>
        <w:rPr>
          <w:color w:val="000000"/>
          <w:highlight w:val="none"/>
        </w:rPr>
        <w:t>。</w:t>
      </w:r>
    </w:p>
    <w:p w14:paraId="276AB955">
      <w:pPr>
        <w:pStyle w:val="141"/>
        <w:spacing w:before="312" w:after="312"/>
        <w:rPr>
          <w:rFonts w:hint="eastAsia"/>
          <w:b w:val="0"/>
          <w:bCs w:val="0"/>
          <w:highlight w:val="none"/>
          <w:lang w:val="en-US" w:eastAsia="zh-CN"/>
        </w:rPr>
      </w:pPr>
      <w:bookmarkStart w:id="78" w:name="_Toc11509"/>
      <w:bookmarkStart w:id="79" w:name="_Toc9593"/>
      <w:r>
        <w:rPr>
          <w:rFonts w:hint="eastAsia"/>
          <w:b w:val="0"/>
          <w:bCs w:val="0"/>
          <w:highlight w:val="none"/>
          <w:lang w:val="en-US" w:eastAsia="zh-CN"/>
        </w:rPr>
        <w:t>用地情况调查</w:t>
      </w:r>
      <w:bookmarkEnd w:id="78"/>
      <w:bookmarkEnd w:id="79"/>
    </w:p>
    <w:p w14:paraId="405DF2D4">
      <w:pPr>
        <w:pStyle w:val="142"/>
        <w:bidi w:val="0"/>
        <w:rPr>
          <w:rFonts w:hint="default"/>
          <w:highlight w:val="none"/>
          <w:lang w:val="en-US"/>
        </w:rPr>
      </w:pPr>
      <w:bookmarkStart w:id="80" w:name="_Toc19340"/>
      <w:r>
        <w:rPr>
          <w:rFonts w:hint="eastAsia"/>
          <w:highlight w:val="none"/>
          <w:lang w:val="en-US" w:eastAsia="zh-CN"/>
        </w:rPr>
        <w:t>调查准备</w:t>
      </w:r>
    </w:p>
    <w:p w14:paraId="38681804">
      <w:pPr>
        <w:pStyle w:val="138"/>
        <w:rPr>
          <w:rFonts w:hint="default"/>
          <w:b w:val="0"/>
          <w:bCs w:val="0"/>
          <w:highlight w:val="none"/>
          <w:lang w:val="en-US" w:eastAsia="zh-CN"/>
        </w:rPr>
      </w:pPr>
      <w:r>
        <w:rPr>
          <w:rFonts w:hint="eastAsia"/>
          <w:b w:val="0"/>
          <w:bCs w:val="0"/>
          <w:highlight w:val="none"/>
          <w:lang w:val="en-US" w:eastAsia="zh-CN"/>
        </w:rPr>
        <w:t>产业园区土地集约利用评价应按照TD/T 1029等相关标准开展用地情况调查，同时根据</w:t>
      </w:r>
      <w:r>
        <w:rPr>
          <w:rFonts w:hint="eastAsia"/>
          <w:highlight w:val="none"/>
          <w:lang w:val="en-US" w:eastAsia="zh-CN"/>
        </w:rPr>
        <w:t>遥感影像、土地市场动态监测与监管系统数据、不动产确权登记数据、低效用地认定成果等成果资料进行补充调查，并填报相关表格。</w:t>
      </w:r>
    </w:p>
    <w:p w14:paraId="03179FCA">
      <w:pPr>
        <w:pStyle w:val="142"/>
        <w:bidi w:val="0"/>
        <w:rPr>
          <w:rFonts w:hint="default"/>
          <w:highlight w:val="none"/>
          <w:lang w:val="en-US"/>
        </w:rPr>
      </w:pPr>
      <w:r>
        <w:rPr>
          <w:rFonts w:hint="eastAsia"/>
          <w:highlight w:val="none"/>
          <w:lang w:val="en-US" w:eastAsia="zh-CN"/>
        </w:rPr>
        <w:t>调查内容</w:t>
      </w:r>
    </w:p>
    <w:p w14:paraId="2BDDAEC3">
      <w:pPr>
        <w:pStyle w:val="143"/>
        <w:bidi w:val="0"/>
        <w:rPr>
          <w:rFonts w:hint="default"/>
          <w:highlight w:val="none"/>
          <w:lang w:val="en-US"/>
        </w:rPr>
      </w:pPr>
      <w:r>
        <w:rPr>
          <w:rFonts w:hint="eastAsia"/>
          <w:highlight w:val="none"/>
          <w:lang w:val="en-US" w:eastAsia="zh-CN"/>
        </w:rPr>
        <w:t>基本信息调查</w:t>
      </w:r>
    </w:p>
    <w:p w14:paraId="1FAF237A">
      <w:pPr>
        <w:pStyle w:val="138"/>
        <w:rPr>
          <w:rFonts w:hint="default"/>
          <w:b w:val="0"/>
          <w:bCs w:val="0"/>
          <w:highlight w:val="none"/>
          <w:lang w:val="en-US" w:eastAsia="zh-CN"/>
        </w:rPr>
      </w:pPr>
      <w:r>
        <w:rPr>
          <w:rFonts w:hint="eastAsia"/>
          <w:b w:val="0"/>
          <w:bCs w:val="0"/>
          <w:highlight w:val="none"/>
          <w:lang w:val="en-US" w:eastAsia="zh-CN"/>
        </w:rPr>
        <w:t>按照TD/T 1029标准的要求执行。</w:t>
      </w:r>
    </w:p>
    <w:p w14:paraId="2BE720DD">
      <w:pPr>
        <w:pStyle w:val="143"/>
        <w:bidi w:val="0"/>
        <w:rPr>
          <w:rFonts w:hint="default"/>
          <w:highlight w:val="none"/>
          <w:lang w:val="en-US"/>
        </w:rPr>
      </w:pPr>
      <w:r>
        <w:rPr>
          <w:rFonts w:hint="eastAsia"/>
          <w:highlight w:val="none"/>
          <w:lang w:val="en-US" w:eastAsia="zh-CN"/>
        </w:rPr>
        <w:t>土地利用状况调查</w:t>
      </w:r>
    </w:p>
    <w:p w14:paraId="3E05E7E9">
      <w:pPr>
        <w:pStyle w:val="138"/>
        <w:rPr>
          <w:rFonts w:hint="eastAsia"/>
          <w:b w:val="0"/>
          <w:bCs w:val="0"/>
          <w:highlight w:val="none"/>
          <w:lang w:val="en-US" w:eastAsia="zh-CN"/>
        </w:rPr>
      </w:pPr>
      <w:r>
        <w:rPr>
          <w:rFonts w:hint="eastAsia"/>
          <w:b w:val="0"/>
          <w:bCs w:val="0"/>
          <w:highlight w:val="none"/>
          <w:lang w:val="en-US" w:eastAsia="zh-CN"/>
        </w:rPr>
        <w:t>按照TD/T 1029标准的要求执行。</w:t>
      </w:r>
    </w:p>
    <w:p w14:paraId="0F9FD90E">
      <w:pPr>
        <w:pStyle w:val="143"/>
        <w:bidi w:val="0"/>
        <w:rPr>
          <w:rFonts w:hint="default"/>
          <w:highlight w:val="none"/>
          <w:lang w:val="en-US"/>
        </w:rPr>
      </w:pPr>
      <w:r>
        <w:rPr>
          <w:rFonts w:hint="eastAsia"/>
          <w:highlight w:val="none"/>
          <w:lang w:val="en-US" w:eastAsia="zh-CN"/>
        </w:rPr>
        <w:t>建筑工程状况调查</w:t>
      </w:r>
    </w:p>
    <w:p w14:paraId="3EAF2665">
      <w:pPr>
        <w:pStyle w:val="138"/>
        <w:rPr>
          <w:rFonts w:hint="eastAsia"/>
          <w:b w:val="0"/>
          <w:bCs w:val="0"/>
          <w:highlight w:val="none"/>
          <w:lang w:val="en-US" w:eastAsia="zh-CN"/>
        </w:rPr>
      </w:pPr>
      <w:r>
        <w:rPr>
          <w:rFonts w:hint="eastAsia"/>
          <w:b w:val="0"/>
          <w:bCs w:val="0"/>
          <w:highlight w:val="none"/>
          <w:lang w:val="en-US" w:eastAsia="zh-CN"/>
        </w:rPr>
        <w:t>按照TD/T 1029标准的要求执行，同时应按附录A表A.1进行补充调查。</w:t>
      </w:r>
    </w:p>
    <w:p w14:paraId="2E486792">
      <w:pPr>
        <w:pStyle w:val="143"/>
        <w:bidi w:val="0"/>
        <w:rPr>
          <w:rFonts w:hint="default"/>
          <w:highlight w:val="none"/>
          <w:lang w:val="en-US"/>
        </w:rPr>
      </w:pPr>
      <w:r>
        <w:rPr>
          <w:rFonts w:hint="eastAsia"/>
          <w:highlight w:val="none"/>
          <w:lang w:val="en-US" w:eastAsia="zh-CN"/>
        </w:rPr>
        <w:t>用地结构状况调查</w:t>
      </w:r>
    </w:p>
    <w:p w14:paraId="130F34B7">
      <w:pPr>
        <w:pStyle w:val="138"/>
        <w:rPr>
          <w:rFonts w:hint="eastAsia"/>
          <w:b w:val="0"/>
          <w:bCs w:val="0"/>
          <w:highlight w:val="none"/>
          <w:lang w:val="en-US" w:eastAsia="zh-CN"/>
        </w:rPr>
      </w:pPr>
      <w:r>
        <w:rPr>
          <w:rFonts w:hint="eastAsia"/>
          <w:b w:val="0"/>
          <w:bCs w:val="0"/>
          <w:highlight w:val="none"/>
          <w:lang w:val="en-US" w:eastAsia="zh-CN"/>
        </w:rPr>
        <w:t>按照附录A表A.2进行调查。</w:t>
      </w:r>
    </w:p>
    <w:p w14:paraId="32FFB294">
      <w:pPr>
        <w:pStyle w:val="143"/>
        <w:bidi w:val="0"/>
        <w:rPr>
          <w:rFonts w:hint="default"/>
          <w:highlight w:val="none"/>
          <w:lang w:val="en-US"/>
        </w:rPr>
      </w:pPr>
      <w:r>
        <w:rPr>
          <w:rFonts w:hint="eastAsia"/>
          <w:highlight w:val="none"/>
          <w:lang w:val="en-US" w:eastAsia="zh-CN"/>
        </w:rPr>
        <w:t>用地效益调查</w:t>
      </w:r>
    </w:p>
    <w:p w14:paraId="1247ACE0">
      <w:pPr>
        <w:pStyle w:val="138"/>
        <w:rPr>
          <w:rFonts w:hint="default"/>
          <w:b w:val="0"/>
          <w:bCs w:val="0"/>
          <w:highlight w:val="none"/>
          <w:lang w:val="en-US" w:eastAsia="zh-CN"/>
        </w:rPr>
      </w:pPr>
      <w:r>
        <w:rPr>
          <w:rFonts w:hint="eastAsia"/>
          <w:b w:val="0"/>
          <w:bCs w:val="0"/>
          <w:highlight w:val="none"/>
          <w:lang w:val="en-US" w:eastAsia="zh-CN"/>
        </w:rPr>
        <w:t>按照附录A表A.3进行调查。</w:t>
      </w:r>
    </w:p>
    <w:p w14:paraId="5323A6AE">
      <w:pPr>
        <w:pStyle w:val="143"/>
        <w:bidi w:val="0"/>
        <w:rPr>
          <w:rFonts w:hint="default"/>
          <w:highlight w:val="none"/>
          <w:lang w:val="en-US"/>
        </w:rPr>
      </w:pPr>
      <w:r>
        <w:rPr>
          <w:rFonts w:hint="eastAsia"/>
          <w:highlight w:val="none"/>
          <w:lang w:val="en-US" w:eastAsia="zh-CN"/>
        </w:rPr>
        <w:t>管理绩效调查</w:t>
      </w:r>
    </w:p>
    <w:p w14:paraId="4C6C61B2">
      <w:pPr>
        <w:pStyle w:val="138"/>
        <w:rPr>
          <w:rFonts w:hint="default"/>
          <w:b w:val="0"/>
          <w:bCs w:val="0"/>
          <w:highlight w:val="none"/>
          <w:lang w:val="en-US" w:eastAsia="zh-CN"/>
        </w:rPr>
      </w:pPr>
      <w:r>
        <w:rPr>
          <w:rFonts w:hint="eastAsia"/>
          <w:b w:val="0"/>
          <w:bCs w:val="0"/>
          <w:highlight w:val="none"/>
          <w:lang w:val="en-US" w:eastAsia="zh-CN"/>
        </w:rPr>
        <w:t>按照附录A表A.4进行调查。</w:t>
      </w:r>
    </w:p>
    <w:p w14:paraId="01142CAB">
      <w:pPr>
        <w:pStyle w:val="143"/>
        <w:bidi w:val="0"/>
        <w:rPr>
          <w:rFonts w:hint="default"/>
          <w:highlight w:val="none"/>
          <w:lang w:val="en-US"/>
        </w:rPr>
      </w:pPr>
      <w:r>
        <w:rPr>
          <w:rFonts w:hint="eastAsia"/>
          <w:highlight w:val="none"/>
          <w:lang w:val="en-US" w:eastAsia="zh-CN"/>
        </w:rPr>
        <w:t>具体企业调查</w:t>
      </w:r>
    </w:p>
    <w:p w14:paraId="3331D685">
      <w:pPr>
        <w:pStyle w:val="138"/>
        <w:rPr>
          <w:rFonts w:hint="eastAsia" w:hAnsi="宋体" w:cs="宋体"/>
          <w:highlight w:val="none"/>
          <w:lang w:val="en-US" w:eastAsia="zh-CN"/>
        </w:rPr>
      </w:pPr>
      <w:r>
        <w:rPr>
          <w:rFonts w:hint="eastAsia"/>
          <w:highlight w:val="none"/>
          <w:lang w:val="en-US" w:eastAsia="zh-CN"/>
        </w:rPr>
        <w:t>产业园区土地集约利用评价应对园区内企业开展调查，并填写企业调查统计表。</w:t>
      </w:r>
      <w:r>
        <w:rPr>
          <w:rFonts w:hint="eastAsia" w:hAnsi="宋体" w:cs="宋体"/>
          <w:highlight w:val="none"/>
          <w:lang w:val="en-US" w:eastAsia="zh-CN"/>
        </w:rPr>
        <w:t>见</w:t>
      </w:r>
      <w:r>
        <w:rPr>
          <w:rFonts w:hint="eastAsia"/>
          <w:b w:val="0"/>
          <w:bCs w:val="0"/>
          <w:highlight w:val="none"/>
          <w:lang w:val="en-US" w:eastAsia="zh-CN"/>
        </w:rPr>
        <w:t>附录A</w:t>
      </w:r>
      <w:r>
        <w:rPr>
          <w:rFonts w:hint="eastAsia" w:hAnsi="宋体" w:cs="宋体"/>
          <w:highlight w:val="none"/>
          <w:lang w:val="en-US" w:eastAsia="zh-CN"/>
        </w:rPr>
        <w:t>表A.5。</w:t>
      </w:r>
    </w:p>
    <w:p w14:paraId="6EC8A86F">
      <w:pPr>
        <w:pStyle w:val="143"/>
        <w:bidi w:val="0"/>
        <w:rPr>
          <w:rFonts w:hint="default"/>
          <w:highlight w:val="none"/>
          <w:lang w:val="en-US"/>
        </w:rPr>
      </w:pPr>
      <w:r>
        <w:rPr>
          <w:rFonts w:hint="eastAsia"/>
          <w:highlight w:val="none"/>
          <w:lang w:val="en-US" w:eastAsia="zh-CN"/>
        </w:rPr>
        <w:t>其他调查</w:t>
      </w:r>
    </w:p>
    <w:p w14:paraId="1BA5F855">
      <w:pPr>
        <w:pStyle w:val="138"/>
        <w:rPr>
          <w:rFonts w:hint="eastAsia" w:ascii="宋体" w:hAnsi="Times New Roman" w:eastAsia="宋体" w:cs="Times New Roman"/>
          <w:sz w:val="21"/>
          <w:highlight w:val="none"/>
          <w:lang w:val="en-US" w:eastAsia="zh-CN" w:bidi="ar-SA"/>
        </w:rPr>
      </w:pPr>
      <w:r>
        <w:rPr>
          <w:rFonts w:hint="eastAsia" w:hAnsi="宋体" w:cs="宋体"/>
          <w:highlight w:val="none"/>
          <w:lang w:val="en-US" w:eastAsia="zh-CN"/>
        </w:rPr>
        <w:t>评价工作中，可根据实际需要开展其他相关调查。</w:t>
      </w:r>
    </w:p>
    <w:p w14:paraId="19EA6E3E">
      <w:pPr>
        <w:pStyle w:val="141"/>
        <w:spacing w:before="312" w:after="312"/>
        <w:rPr>
          <w:rFonts w:hint="eastAsia"/>
          <w:b w:val="0"/>
          <w:bCs w:val="0"/>
          <w:highlight w:val="none"/>
          <w:lang w:val="en-US" w:eastAsia="zh-CN"/>
        </w:rPr>
      </w:pPr>
      <w:bookmarkStart w:id="81" w:name="_Toc24908"/>
      <w:r>
        <w:rPr>
          <w:rFonts w:hint="eastAsia"/>
          <w:b w:val="0"/>
          <w:bCs w:val="0"/>
          <w:highlight w:val="none"/>
          <w:lang w:val="en-US" w:eastAsia="zh-CN"/>
        </w:rPr>
        <w:t>土地集约利用程度</w:t>
      </w:r>
      <w:bookmarkEnd w:id="80"/>
      <w:r>
        <w:rPr>
          <w:rFonts w:hint="eastAsia"/>
          <w:b w:val="0"/>
          <w:bCs w:val="0"/>
          <w:highlight w:val="none"/>
          <w:lang w:val="en-US" w:eastAsia="zh-CN"/>
        </w:rPr>
        <w:t>评价</w:t>
      </w:r>
      <w:bookmarkEnd w:id="81"/>
    </w:p>
    <w:p w14:paraId="13CC094B">
      <w:pPr>
        <w:pStyle w:val="142"/>
        <w:bidi w:val="0"/>
        <w:rPr>
          <w:rFonts w:hint="eastAsia"/>
          <w:highlight w:val="none"/>
          <w:lang w:val="en-US" w:eastAsia="zh-CN"/>
        </w:rPr>
      </w:pPr>
      <w:r>
        <w:rPr>
          <w:rFonts w:hint="eastAsia"/>
          <w:highlight w:val="none"/>
          <w:lang w:val="en-US" w:eastAsia="zh-CN"/>
        </w:rPr>
        <w:t>确定评价指标</w:t>
      </w:r>
    </w:p>
    <w:p w14:paraId="1821AA0A">
      <w:pPr>
        <w:pStyle w:val="148"/>
        <w:bidi w:val="0"/>
        <w:rPr>
          <w:rFonts w:hint="eastAsia"/>
          <w:highlight w:val="none"/>
          <w:lang w:val="en-US" w:eastAsia="zh-CN"/>
        </w:rPr>
      </w:pPr>
      <w:r>
        <w:rPr>
          <w:rFonts w:hint="eastAsia"/>
          <w:highlight w:val="none"/>
          <w:lang w:val="en-US" w:eastAsia="zh-CN"/>
        </w:rPr>
        <w:t>根据评价对象，确定评价指标体系。</w:t>
      </w:r>
      <w:r>
        <w:rPr>
          <w:rFonts w:hint="eastAsia" w:ascii="宋体" w:hAnsi="宋体" w:eastAsia="宋体" w:cs="宋体"/>
          <w:sz w:val="21"/>
          <w:highlight w:val="none"/>
          <w:lang w:val="en-US" w:eastAsia="zh-CN" w:bidi="ar-SA"/>
        </w:rPr>
        <w:t>经济类</w:t>
      </w:r>
      <w:r>
        <w:rPr>
          <w:rFonts w:hint="eastAsia" w:hAnsi="宋体" w:cs="宋体"/>
          <w:sz w:val="21"/>
          <w:highlight w:val="none"/>
          <w:lang w:val="en-US" w:eastAsia="zh-CN" w:bidi="ar-SA"/>
        </w:rPr>
        <w:t>产业园</w:t>
      </w:r>
      <w:r>
        <w:rPr>
          <w:rFonts w:hint="eastAsia" w:ascii="宋体" w:hAnsi="宋体" w:eastAsia="宋体" w:cs="宋体"/>
          <w:sz w:val="21"/>
          <w:highlight w:val="none"/>
          <w:lang w:val="en-US" w:eastAsia="zh-CN" w:bidi="ar-SA"/>
        </w:rPr>
        <w:t>区</w:t>
      </w:r>
      <w:r>
        <w:rPr>
          <w:rFonts w:hint="eastAsia"/>
          <w:highlight w:val="none"/>
          <w:lang w:val="en-US" w:eastAsia="zh-CN"/>
        </w:rPr>
        <w:t>见表1，</w:t>
      </w:r>
      <w:r>
        <w:rPr>
          <w:rFonts w:hint="eastAsia" w:ascii="宋体" w:hAnsi="宋体" w:eastAsia="宋体" w:cs="宋体"/>
          <w:sz w:val="21"/>
          <w:highlight w:val="none"/>
          <w:lang w:val="en-US" w:eastAsia="zh-CN" w:bidi="ar-SA"/>
        </w:rPr>
        <w:t>高新类</w:t>
      </w:r>
      <w:r>
        <w:rPr>
          <w:rFonts w:hint="eastAsia" w:hAnsi="宋体" w:cs="宋体"/>
          <w:sz w:val="21"/>
          <w:highlight w:val="none"/>
          <w:lang w:val="en-US" w:eastAsia="zh-CN" w:bidi="ar-SA"/>
        </w:rPr>
        <w:t>产业园</w:t>
      </w:r>
      <w:r>
        <w:rPr>
          <w:rFonts w:hint="eastAsia" w:ascii="宋体" w:hAnsi="宋体" w:eastAsia="宋体" w:cs="宋体"/>
          <w:sz w:val="21"/>
          <w:highlight w:val="none"/>
          <w:lang w:val="en-US" w:eastAsia="zh-CN" w:bidi="ar-SA"/>
        </w:rPr>
        <w:t>区</w:t>
      </w:r>
      <w:r>
        <w:rPr>
          <w:rFonts w:hint="eastAsia" w:hAnsi="宋体" w:cs="宋体"/>
          <w:sz w:val="21"/>
          <w:highlight w:val="none"/>
          <w:lang w:val="en-US" w:eastAsia="zh-CN" w:bidi="ar-SA"/>
        </w:rPr>
        <w:t>见</w:t>
      </w:r>
      <w:r>
        <w:rPr>
          <w:rFonts w:hint="eastAsia"/>
          <w:highlight w:val="none"/>
          <w:lang w:val="en-US" w:eastAsia="zh-CN"/>
        </w:rPr>
        <w:t>表2，海关类产业园区见表3，其他类产业园区参照经济类产业园区确定。</w:t>
      </w:r>
    </w:p>
    <w:p w14:paraId="51C318AE">
      <w:pPr>
        <w:pStyle w:val="148"/>
        <w:bidi w:val="0"/>
        <w:rPr>
          <w:rFonts w:hint="eastAsia"/>
          <w:highlight w:val="none"/>
          <w:lang w:val="en-US" w:eastAsia="zh-CN"/>
        </w:rPr>
      </w:pPr>
      <w:r>
        <w:rPr>
          <w:rFonts w:hint="eastAsia"/>
          <w:highlight w:val="none"/>
          <w:lang w:val="en-US" w:eastAsia="zh-CN"/>
        </w:rPr>
        <w:t>对于包含化工园区的产业园区，化工园区部分单独确定评价指标体系，见表4，并根据面积占比赋权综合评价。</w:t>
      </w:r>
    </w:p>
    <w:p w14:paraId="31093486">
      <w:pPr>
        <w:pStyle w:val="148"/>
        <w:keepNext w:val="0"/>
        <w:keepLines w:val="0"/>
        <w:pageBreakBefore w:val="0"/>
        <w:widowControl w:val="0"/>
        <w:kinsoku/>
        <w:wordWrap/>
        <w:overflowPunct/>
        <w:topLinePunct w:val="0"/>
        <w:autoSpaceDE/>
        <w:autoSpaceDN/>
        <w:bidi w:val="0"/>
        <w:adjustRightInd/>
        <w:snapToGrid/>
        <w:spacing w:after="157" w:afterLines="50"/>
        <w:textAlignment w:val="auto"/>
        <w:rPr>
          <w:rFonts w:hint="eastAsia"/>
          <w:highlight w:val="none"/>
        </w:rPr>
      </w:pPr>
      <w:r>
        <w:rPr>
          <w:rFonts w:hint="eastAsia"/>
          <w:highlight w:val="none"/>
          <w:lang w:val="en-US" w:eastAsia="zh-CN"/>
        </w:rPr>
        <w:t>评价指标分为正向指标和负向指标，有关指标的定义见附录B。</w:t>
      </w:r>
    </w:p>
    <w:p w14:paraId="0EDE03F9">
      <w:pPr>
        <w:pStyle w:val="142"/>
        <w:numPr>
          <w:ilvl w:val="2"/>
          <w:numId w:val="0"/>
        </w:numPr>
        <w:bidi w:val="0"/>
        <w:ind w:left="-420" w:leftChars="0"/>
        <w:rPr>
          <w:rFonts w:hint="eastAsia"/>
        </w:rPr>
      </w:pPr>
    </w:p>
    <w:p w14:paraId="440B3CB3">
      <w:pPr>
        <w:pStyle w:val="138"/>
        <w:rPr>
          <w:rFonts w:hint="eastAsia"/>
        </w:rPr>
      </w:pPr>
    </w:p>
    <w:p w14:paraId="67F5D0D5">
      <w:pPr>
        <w:pStyle w:val="138"/>
        <w:rPr>
          <w:rFonts w:hint="eastAsia"/>
        </w:rPr>
      </w:pPr>
    </w:p>
    <w:p w14:paraId="24B59F31">
      <w:pPr>
        <w:pStyle w:val="138"/>
        <w:rPr>
          <w:rFonts w:hint="eastAsia"/>
        </w:rPr>
      </w:pPr>
    </w:p>
    <w:p w14:paraId="33B39FEC">
      <w:pPr>
        <w:pStyle w:val="138"/>
        <w:rPr>
          <w:rFonts w:hint="eastAsia"/>
        </w:rPr>
      </w:pPr>
    </w:p>
    <w:p w14:paraId="5F1E958C">
      <w:pPr>
        <w:pStyle w:val="138"/>
        <w:rPr>
          <w:rFonts w:hint="eastAsia"/>
        </w:rPr>
      </w:pPr>
    </w:p>
    <w:p w14:paraId="525F1884">
      <w:pPr>
        <w:pStyle w:val="138"/>
        <w:rPr>
          <w:rFonts w:hint="eastAsia"/>
        </w:rPr>
      </w:pPr>
    </w:p>
    <w:p w14:paraId="5D68E822">
      <w:pPr>
        <w:pStyle w:val="138"/>
        <w:rPr>
          <w:rFonts w:hint="eastAsia"/>
        </w:rPr>
      </w:pPr>
    </w:p>
    <w:p w14:paraId="6528A0E9">
      <w:pPr>
        <w:pStyle w:val="138"/>
        <w:rPr>
          <w:rFonts w:hint="eastAsia"/>
        </w:rPr>
      </w:pPr>
    </w:p>
    <w:p w14:paraId="4001DBE6">
      <w:pPr>
        <w:pStyle w:val="138"/>
        <w:rPr>
          <w:rFonts w:hint="eastAsia"/>
        </w:rPr>
      </w:pPr>
    </w:p>
    <w:p w14:paraId="17E0F9CC">
      <w:pPr>
        <w:pStyle w:val="138"/>
        <w:rPr>
          <w:rFonts w:hint="eastAsia"/>
        </w:rPr>
      </w:pPr>
    </w:p>
    <w:p w14:paraId="09A0A73A">
      <w:pPr>
        <w:pStyle w:val="138"/>
        <w:rPr>
          <w:rFonts w:hint="eastAsia"/>
        </w:rPr>
      </w:pPr>
    </w:p>
    <w:p w14:paraId="7B0F770C">
      <w:pPr>
        <w:pStyle w:val="138"/>
        <w:rPr>
          <w:rFonts w:hint="eastAsia"/>
        </w:rPr>
      </w:pPr>
    </w:p>
    <w:p w14:paraId="77404ADD">
      <w:pPr>
        <w:pStyle w:val="138"/>
        <w:rPr>
          <w:rFonts w:hint="eastAsia"/>
        </w:rPr>
      </w:pPr>
    </w:p>
    <w:p w14:paraId="65DAD12D">
      <w:pPr>
        <w:pStyle w:val="138"/>
        <w:rPr>
          <w:rFonts w:hint="eastAsia"/>
        </w:rPr>
      </w:pPr>
    </w:p>
    <w:p w14:paraId="77154EA8">
      <w:pPr>
        <w:pStyle w:val="138"/>
        <w:rPr>
          <w:rFonts w:hint="eastAsia"/>
          <w:highlight w:val="none"/>
          <w:lang w:val="en-US" w:eastAsia="zh-CN"/>
        </w:rPr>
      </w:pPr>
    </w:p>
    <w:p w14:paraId="1AF98783">
      <w:pPr>
        <w:pStyle w:val="138"/>
        <w:rPr>
          <w:rFonts w:hint="eastAsia"/>
          <w:highlight w:val="none"/>
          <w:lang w:val="en-US" w:eastAsia="zh-CN"/>
        </w:rPr>
      </w:pPr>
    </w:p>
    <w:p w14:paraId="340CB86F">
      <w:pPr>
        <w:pStyle w:val="127"/>
        <w:widowControl w:val="0"/>
        <w:numPr>
          <w:ilvl w:val="0"/>
          <w:numId w:val="23"/>
        </w:numPr>
        <w:autoSpaceDE w:val="0"/>
        <w:autoSpaceDN w:val="0"/>
        <w:spacing w:before="0" w:beforeLines="-2147483648" w:after="0" w:afterLines="-2147483648"/>
        <w:ind w:firstLine="42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经济类产业园区土地集约利用评价指标表</w:t>
      </w:r>
    </w:p>
    <w:tbl>
      <w:tblPr>
        <w:tblStyle w:val="33"/>
        <w:tblW w:w="4178" w:type="pct"/>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1280"/>
        <w:gridCol w:w="1490"/>
        <w:gridCol w:w="3438"/>
        <w:gridCol w:w="1790"/>
      </w:tblGrid>
      <w:tr w14:paraId="00FB85B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72" w:hRule="atLeast"/>
          <w:jc w:val="center"/>
        </w:trPr>
        <w:tc>
          <w:tcPr>
            <w:tcW w:w="800" w:type="pct"/>
            <w:tcBorders>
              <w:bottom w:val="single" w:color="auto" w:sz="4" w:space="0"/>
              <w:right w:val="single" w:color="auto" w:sz="4" w:space="0"/>
            </w:tcBorders>
            <w:shd w:val="clear" w:color="auto" w:fill="auto"/>
            <w:vAlign w:val="center"/>
          </w:tcPr>
          <w:p w14:paraId="49DA2309">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目标</w:t>
            </w:r>
          </w:p>
        </w:tc>
        <w:tc>
          <w:tcPr>
            <w:tcW w:w="931" w:type="pct"/>
            <w:tcBorders>
              <w:left w:val="nil"/>
              <w:bottom w:val="single" w:color="auto" w:sz="4" w:space="0"/>
              <w:right w:val="single" w:color="auto" w:sz="4" w:space="0"/>
            </w:tcBorders>
            <w:shd w:val="clear" w:color="auto" w:fill="auto"/>
            <w:vAlign w:val="center"/>
          </w:tcPr>
          <w:p w14:paraId="2DDBBC71">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子目标</w:t>
            </w:r>
          </w:p>
        </w:tc>
        <w:tc>
          <w:tcPr>
            <w:tcW w:w="2149" w:type="pct"/>
            <w:tcBorders>
              <w:left w:val="nil"/>
              <w:bottom w:val="single" w:color="auto" w:sz="4" w:space="0"/>
              <w:right w:val="single" w:color="auto" w:sz="4" w:space="0"/>
            </w:tcBorders>
            <w:shd w:val="clear" w:color="auto" w:fill="auto"/>
            <w:vAlign w:val="center"/>
          </w:tcPr>
          <w:p w14:paraId="17EA04DA">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  标</w:t>
            </w:r>
          </w:p>
        </w:tc>
        <w:tc>
          <w:tcPr>
            <w:tcW w:w="1119" w:type="pct"/>
            <w:tcBorders>
              <w:left w:val="nil"/>
              <w:bottom w:val="single" w:color="auto" w:sz="4" w:space="0"/>
              <w:right w:val="single" w:color="auto" w:sz="4" w:space="0"/>
            </w:tcBorders>
            <w:shd w:val="clear" w:color="auto" w:fill="auto"/>
            <w:vAlign w:val="center"/>
          </w:tcPr>
          <w:p w14:paraId="2C3BE3BF">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指标属性</w:t>
            </w:r>
          </w:p>
        </w:tc>
      </w:tr>
      <w:tr w14:paraId="68BA152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restart"/>
            <w:tcBorders>
              <w:top w:val="single" w:color="auto" w:sz="4" w:space="0"/>
              <w:right w:val="single" w:color="auto" w:sz="4" w:space="0"/>
            </w:tcBorders>
            <w:shd w:val="clear" w:color="auto" w:fill="auto"/>
            <w:vAlign w:val="center"/>
          </w:tcPr>
          <w:p w14:paraId="39630152">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w:t>
            </w:r>
          </w:p>
          <w:p w14:paraId="1528BBF8">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状况</w:t>
            </w:r>
          </w:p>
        </w:tc>
        <w:tc>
          <w:tcPr>
            <w:tcW w:w="931" w:type="pct"/>
            <w:vMerge w:val="restart"/>
            <w:tcBorders>
              <w:top w:val="nil"/>
              <w:left w:val="single" w:color="auto" w:sz="4" w:space="0"/>
              <w:right w:val="single" w:color="auto" w:sz="4" w:space="0"/>
            </w:tcBorders>
            <w:shd w:val="clear" w:color="auto" w:fill="auto"/>
            <w:vAlign w:val="center"/>
          </w:tcPr>
          <w:p w14:paraId="63C748D4">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土地利用程度</w:t>
            </w:r>
          </w:p>
        </w:tc>
        <w:tc>
          <w:tcPr>
            <w:tcW w:w="2149" w:type="pct"/>
            <w:tcBorders>
              <w:top w:val="nil"/>
              <w:left w:val="nil"/>
              <w:bottom w:val="single" w:color="auto" w:sz="4" w:space="0"/>
              <w:right w:val="single" w:color="auto" w:sz="4" w:space="0"/>
            </w:tcBorders>
            <w:shd w:val="clear" w:color="auto" w:fill="auto"/>
            <w:vAlign w:val="center"/>
          </w:tcPr>
          <w:p w14:paraId="010FD9CF">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土地供应率</w:t>
            </w:r>
          </w:p>
        </w:tc>
        <w:tc>
          <w:tcPr>
            <w:tcW w:w="1119" w:type="pct"/>
            <w:tcBorders>
              <w:top w:val="nil"/>
              <w:left w:val="nil"/>
              <w:bottom w:val="single" w:color="auto" w:sz="4" w:space="0"/>
              <w:right w:val="single" w:color="auto" w:sz="4" w:space="0"/>
            </w:tcBorders>
            <w:shd w:val="clear" w:color="auto" w:fill="auto"/>
            <w:noWrap/>
            <w:vAlign w:val="center"/>
          </w:tcPr>
          <w:p w14:paraId="6B38BEA6">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C0E441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shd w:val="clear" w:color="auto" w:fill="auto"/>
            <w:vAlign w:val="center"/>
          </w:tcPr>
          <w:p w14:paraId="5E4891F5">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right w:val="single" w:color="auto" w:sz="4" w:space="0"/>
            </w:tcBorders>
            <w:shd w:val="clear" w:color="auto" w:fill="auto"/>
            <w:vAlign w:val="center"/>
          </w:tcPr>
          <w:p w14:paraId="3A5F7DAD">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7D00920D">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土地建成率</w:t>
            </w:r>
          </w:p>
        </w:tc>
        <w:tc>
          <w:tcPr>
            <w:tcW w:w="1119" w:type="pct"/>
            <w:tcBorders>
              <w:top w:val="nil"/>
              <w:left w:val="nil"/>
              <w:bottom w:val="single" w:color="auto" w:sz="4" w:space="0"/>
              <w:right w:val="single" w:color="auto" w:sz="4" w:space="0"/>
            </w:tcBorders>
            <w:shd w:val="clear" w:color="auto" w:fill="auto"/>
            <w:noWrap/>
            <w:vAlign w:val="center"/>
          </w:tcPr>
          <w:p w14:paraId="0A5D1287">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6C9BE03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shd w:val="clear" w:color="auto" w:fill="auto"/>
            <w:vAlign w:val="center"/>
          </w:tcPr>
          <w:p w14:paraId="07919014">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bottom w:val="single" w:color="auto" w:sz="4" w:space="0"/>
              <w:right w:val="single" w:color="auto" w:sz="4" w:space="0"/>
            </w:tcBorders>
            <w:shd w:val="clear" w:color="auto" w:fill="auto"/>
            <w:vAlign w:val="center"/>
          </w:tcPr>
          <w:p w14:paraId="2CED8379">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4BABEABC">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土地开发率</w:t>
            </w:r>
          </w:p>
        </w:tc>
        <w:tc>
          <w:tcPr>
            <w:tcW w:w="1119" w:type="pct"/>
            <w:tcBorders>
              <w:top w:val="nil"/>
              <w:left w:val="nil"/>
              <w:bottom w:val="single" w:color="auto" w:sz="4" w:space="0"/>
              <w:right w:val="single" w:color="auto" w:sz="4" w:space="0"/>
            </w:tcBorders>
            <w:shd w:val="clear" w:color="auto" w:fill="auto"/>
            <w:noWrap/>
            <w:vAlign w:val="center"/>
          </w:tcPr>
          <w:p w14:paraId="4400CF23">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750E26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shd w:val="clear" w:color="auto" w:fill="auto"/>
            <w:vAlign w:val="center"/>
          </w:tcPr>
          <w:p w14:paraId="24390C1D">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restart"/>
            <w:tcBorders>
              <w:top w:val="single" w:color="auto" w:sz="4" w:space="0"/>
              <w:left w:val="single" w:color="auto" w:sz="4" w:space="0"/>
              <w:right w:val="single" w:color="auto" w:sz="4" w:space="0"/>
            </w:tcBorders>
            <w:shd w:val="clear" w:color="auto" w:fill="auto"/>
            <w:vAlign w:val="center"/>
          </w:tcPr>
          <w:p w14:paraId="5EF33A2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用地结构状况</w:t>
            </w:r>
          </w:p>
        </w:tc>
        <w:tc>
          <w:tcPr>
            <w:tcW w:w="2149" w:type="pct"/>
            <w:tcBorders>
              <w:top w:val="nil"/>
              <w:left w:val="nil"/>
              <w:bottom w:val="single" w:color="auto" w:sz="4" w:space="0"/>
              <w:right w:val="single" w:color="auto" w:sz="4" w:space="0"/>
            </w:tcBorders>
            <w:shd w:val="clear" w:color="auto" w:fill="auto"/>
            <w:vAlign w:val="center"/>
          </w:tcPr>
          <w:p w14:paraId="52BE96D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工业用地率</w:t>
            </w:r>
          </w:p>
        </w:tc>
        <w:tc>
          <w:tcPr>
            <w:tcW w:w="1119" w:type="pct"/>
            <w:tcBorders>
              <w:top w:val="nil"/>
              <w:left w:val="nil"/>
              <w:bottom w:val="single" w:color="auto" w:sz="4" w:space="0"/>
              <w:right w:val="single" w:color="auto" w:sz="4" w:space="0"/>
            </w:tcBorders>
            <w:shd w:val="clear" w:color="auto" w:fill="auto"/>
            <w:noWrap/>
            <w:vAlign w:val="center"/>
          </w:tcPr>
          <w:p w14:paraId="56FFACB7">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52ABDDD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342EA62F">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right w:val="single" w:color="auto" w:sz="4" w:space="0"/>
            </w:tcBorders>
            <w:vAlign w:val="center"/>
          </w:tcPr>
          <w:p w14:paraId="75A539BE">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567DB871">
            <w:pPr>
              <w:adjustRightInd w:val="0"/>
              <w:spacing w:line="400" w:lineRule="exact"/>
              <w:jc w:val="center"/>
              <w:rPr>
                <w:rFonts w:hint="eastAsia" w:ascii="宋体" w:hAnsi="宋体" w:eastAsia="宋体" w:cs="宋体"/>
                <w:color w:val="000000"/>
                <w:kern w:val="0"/>
                <w:sz w:val="18"/>
                <w:szCs w:val="18"/>
                <w:highlight w:val="none"/>
                <w:lang w:val="en-US"/>
              </w:rPr>
            </w:pPr>
            <w:r>
              <w:rPr>
                <w:rFonts w:hint="eastAsia" w:ascii="宋体" w:hAnsi="宋体" w:eastAsia="宋体" w:cs="宋体"/>
                <w:color w:val="000000"/>
                <w:kern w:val="0"/>
                <w:sz w:val="18"/>
                <w:szCs w:val="18"/>
                <w:highlight w:val="none"/>
                <w:lang w:val="en-US" w:eastAsia="zh-CN"/>
              </w:rPr>
              <w:t>主导产业用地占比</w:t>
            </w:r>
          </w:p>
        </w:tc>
        <w:tc>
          <w:tcPr>
            <w:tcW w:w="1119" w:type="pct"/>
            <w:tcBorders>
              <w:top w:val="nil"/>
              <w:left w:val="nil"/>
              <w:bottom w:val="single" w:color="auto" w:sz="4" w:space="0"/>
              <w:right w:val="single" w:color="auto" w:sz="4" w:space="0"/>
            </w:tcBorders>
            <w:shd w:val="clear" w:color="auto" w:fill="auto"/>
            <w:noWrap/>
            <w:vAlign w:val="center"/>
          </w:tcPr>
          <w:p w14:paraId="3300358C">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285ACE2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55CB17EB">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right w:val="single" w:color="auto" w:sz="4" w:space="0"/>
            </w:tcBorders>
            <w:vAlign w:val="center"/>
          </w:tcPr>
          <w:p w14:paraId="66AC7CF2">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1A50CA53">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规上企业用地占比</w:t>
            </w:r>
          </w:p>
        </w:tc>
        <w:tc>
          <w:tcPr>
            <w:tcW w:w="1119" w:type="pct"/>
            <w:tcBorders>
              <w:top w:val="nil"/>
              <w:left w:val="nil"/>
              <w:bottom w:val="single" w:color="auto" w:sz="4" w:space="0"/>
              <w:right w:val="single" w:color="auto" w:sz="4" w:space="0"/>
            </w:tcBorders>
            <w:shd w:val="clear" w:color="auto" w:fill="auto"/>
            <w:noWrap/>
            <w:vAlign w:val="center"/>
          </w:tcPr>
          <w:p w14:paraId="44E0D156">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39BD854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661C3923">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bottom w:val="single" w:color="auto" w:sz="4" w:space="0"/>
              <w:right w:val="single" w:color="auto" w:sz="4" w:space="0"/>
            </w:tcBorders>
            <w:vAlign w:val="center"/>
          </w:tcPr>
          <w:p w14:paraId="0C971986">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312C25C8">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工业用地多元化供应率</w:t>
            </w:r>
          </w:p>
        </w:tc>
        <w:tc>
          <w:tcPr>
            <w:tcW w:w="1119" w:type="pct"/>
            <w:tcBorders>
              <w:top w:val="nil"/>
              <w:left w:val="nil"/>
              <w:bottom w:val="single" w:color="auto" w:sz="4" w:space="0"/>
              <w:right w:val="single" w:color="auto" w:sz="4" w:space="0"/>
            </w:tcBorders>
            <w:shd w:val="clear" w:color="auto" w:fill="auto"/>
            <w:noWrap/>
            <w:vAlign w:val="center"/>
          </w:tcPr>
          <w:p w14:paraId="6D0908F9">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D0DE33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4003ECFD">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B923F4">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土地利用强度</w:t>
            </w:r>
          </w:p>
        </w:tc>
        <w:tc>
          <w:tcPr>
            <w:tcW w:w="2149" w:type="pct"/>
            <w:tcBorders>
              <w:top w:val="nil"/>
              <w:left w:val="nil"/>
              <w:bottom w:val="single" w:color="auto" w:sz="4" w:space="0"/>
              <w:right w:val="single" w:color="auto" w:sz="4" w:space="0"/>
            </w:tcBorders>
            <w:shd w:val="clear" w:color="auto" w:fill="auto"/>
            <w:vAlign w:val="center"/>
          </w:tcPr>
          <w:p w14:paraId="6F016777">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综合容积率</w:t>
            </w:r>
          </w:p>
        </w:tc>
        <w:tc>
          <w:tcPr>
            <w:tcW w:w="1119" w:type="pct"/>
            <w:tcBorders>
              <w:top w:val="nil"/>
              <w:left w:val="nil"/>
              <w:bottom w:val="single" w:color="auto" w:sz="4" w:space="0"/>
              <w:right w:val="single" w:color="auto" w:sz="4" w:space="0"/>
            </w:tcBorders>
            <w:shd w:val="clear" w:color="auto" w:fill="auto"/>
            <w:noWrap/>
            <w:vAlign w:val="center"/>
          </w:tcPr>
          <w:p w14:paraId="2D46FD58">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3AFFD8E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778A5949">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top w:val="single" w:color="auto" w:sz="4" w:space="0"/>
              <w:left w:val="single" w:color="auto" w:sz="4" w:space="0"/>
              <w:bottom w:val="single" w:color="auto" w:sz="4" w:space="0"/>
              <w:right w:val="single" w:color="auto" w:sz="4" w:space="0"/>
            </w:tcBorders>
            <w:vAlign w:val="center"/>
          </w:tcPr>
          <w:p w14:paraId="75AF8FAE">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25E165E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建筑密度</w:t>
            </w:r>
          </w:p>
        </w:tc>
        <w:tc>
          <w:tcPr>
            <w:tcW w:w="1119" w:type="pct"/>
            <w:tcBorders>
              <w:top w:val="nil"/>
              <w:left w:val="nil"/>
              <w:bottom w:val="single" w:color="auto" w:sz="4" w:space="0"/>
              <w:right w:val="single" w:color="auto" w:sz="4" w:space="0"/>
            </w:tcBorders>
            <w:shd w:val="clear" w:color="auto" w:fill="auto"/>
            <w:noWrap/>
            <w:vAlign w:val="center"/>
          </w:tcPr>
          <w:p w14:paraId="585817C2">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2BBDB70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6293F2BF">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top w:val="single" w:color="auto" w:sz="4" w:space="0"/>
              <w:left w:val="single" w:color="auto" w:sz="4" w:space="0"/>
              <w:bottom w:val="single" w:color="auto" w:sz="4" w:space="0"/>
              <w:right w:val="single" w:color="auto" w:sz="4" w:space="0"/>
            </w:tcBorders>
            <w:vAlign w:val="center"/>
          </w:tcPr>
          <w:p w14:paraId="5A949AB6">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7A67C19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工业用地综合容积率</w:t>
            </w:r>
          </w:p>
        </w:tc>
        <w:tc>
          <w:tcPr>
            <w:tcW w:w="1119" w:type="pct"/>
            <w:tcBorders>
              <w:top w:val="nil"/>
              <w:left w:val="nil"/>
              <w:bottom w:val="single" w:color="auto" w:sz="4" w:space="0"/>
              <w:right w:val="single" w:color="auto" w:sz="4" w:space="0"/>
            </w:tcBorders>
            <w:shd w:val="clear" w:color="auto" w:fill="auto"/>
            <w:noWrap/>
            <w:vAlign w:val="center"/>
          </w:tcPr>
          <w:p w14:paraId="77F87C12">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27FCBA7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75470070">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top w:val="single" w:color="auto" w:sz="4" w:space="0"/>
              <w:left w:val="single" w:color="auto" w:sz="4" w:space="0"/>
              <w:bottom w:val="single" w:color="auto" w:sz="4" w:space="0"/>
              <w:right w:val="single" w:color="auto" w:sz="4" w:space="0"/>
            </w:tcBorders>
            <w:vAlign w:val="center"/>
          </w:tcPr>
          <w:p w14:paraId="1275B3A0">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05C3D248">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工业用地建筑系数</w:t>
            </w:r>
          </w:p>
        </w:tc>
        <w:tc>
          <w:tcPr>
            <w:tcW w:w="1119" w:type="pct"/>
            <w:tcBorders>
              <w:top w:val="nil"/>
              <w:left w:val="nil"/>
              <w:bottom w:val="single" w:color="auto" w:sz="4" w:space="0"/>
              <w:right w:val="single" w:color="auto" w:sz="4" w:space="0"/>
            </w:tcBorders>
            <w:shd w:val="clear" w:color="auto" w:fill="auto"/>
            <w:noWrap/>
            <w:vAlign w:val="center"/>
          </w:tcPr>
          <w:p w14:paraId="644A511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02AA3D7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7628807B">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top w:val="single" w:color="auto" w:sz="4" w:space="0"/>
              <w:left w:val="single" w:color="auto" w:sz="4" w:space="0"/>
              <w:bottom w:val="single" w:color="auto" w:sz="4" w:space="0"/>
              <w:right w:val="single" w:color="auto" w:sz="4" w:space="0"/>
            </w:tcBorders>
            <w:vAlign w:val="center"/>
          </w:tcPr>
          <w:p w14:paraId="68EF3A8E">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50AF249C">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工业用地综合容积率</w:t>
            </w:r>
          </w:p>
        </w:tc>
        <w:tc>
          <w:tcPr>
            <w:tcW w:w="1119" w:type="pct"/>
            <w:tcBorders>
              <w:top w:val="nil"/>
              <w:left w:val="nil"/>
              <w:bottom w:val="single" w:color="auto" w:sz="4" w:space="0"/>
              <w:right w:val="single" w:color="auto" w:sz="4" w:space="0"/>
            </w:tcBorders>
            <w:shd w:val="clear" w:color="auto" w:fill="auto"/>
            <w:noWrap/>
            <w:vAlign w:val="center"/>
          </w:tcPr>
          <w:p w14:paraId="240ADDD5">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3BC8AEC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bottom w:val="single" w:color="auto" w:sz="4" w:space="0"/>
              <w:right w:val="single" w:color="auto" w:sz="4" w:space="0"/>
            </w:tcBorders>
            <w:vAlign w:val="center"/>
          </w:tcPr>
          <w:p w14:paraId="3D165731">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top w:val="single" w:color="auto" w:sz="4" w:space="0"/>
              <w:left w:val="single" w:color="auto" w:sz="4" w:space="0"/>
              <w:bottom w:val="single" w:color="auto" w:sz="4" w:space="0"/>
              <w:right w:val="single" w:color="auto" w:sz="4" w:space="0"/>
            </w:tcBorders>
            <w:vAlign w:val="center"/>
          </w:tcPr>
          <w:p w14:paraId="4FD5D85B">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6F8FAE3D">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工业用地建筑系数</w:t>
            </w:r>
          </w:p>
        </w:tc>
        <w:tc>
          <w:tcPr>
            <w:tcW w:w="1119" w:type="pct"/>
            <w:tcBorders>
              <w:top w:val="nil"/>
              <w:left w:val="nil"/>
              <w:bottom w:val="single" w:color="auto" w:sz="4" w:space="0"/>
              <w:right w:val="single" w:color="auto" w:sz="4" w:space="0"/>
            </w:tcBorders>
            <w:shd w:val="clear" w:color="auto" w:fill="auto"/>
            <w:noWrap/>
            <w:vAlign w:val="center"/>
          </w:tcPr>
          <w:p w14:paraId="73C1277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58AFCC8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restart"/>
            <w:tcBorders>
              <w:top w:val="single" w:color="auto" w:sz="4" w:space="0"/>
              <w:right w:val="single" w:color="auto" w:sz="4" w:space="0"/>
            </w:tcBorders>
            <w:shd w:val="clear" w:color="auto" w:fill="auto"/>
            <w:vAlign w:val="center"/>
          </w:tcPr>
          <w:p w14:paraId="21CD5399">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用地效益</w:t>
            </w:r>
          </w:p>
        </w:tc>
        <w:tc>
          <w:tcPr>
            <w:tcW w:w="931" w:type="pct"/>
            <w:vMerge w:val="restart"/>
            <w:tcBorders>
              <w:top w:val="single" w:color="auto" w:sz="4" w:space="0"/>
              <w:left w:val="single" w:color="auto" w:sz="4" w:space="0"/>
              <w:right w:val="single" w:color="auto" w:sz="4" w:space="0"/>
            </w:tcBorders>
            <w:shd w:val="clear" w:color="auto" w:fill="auto"/>
            <w:vAlign w:val="center"/>
          </w:tcPr>
          <w:p w14:paraId="2CF5079A">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产业用地投入</w:t>
            </w:r>
          </w:p>
          <w:p w14:paraId="34F6DE6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产出效益</w:t>
            </w:r>
          </w:p>
          <w:p w14:paraId="1E0B0F0B">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3713BCB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工业用地固定资产投入强度</w:t>
            </w:r>
          </w:p>
        </w:tc>
        <w:tc>
          <w:tcPr>
            <w:tcW w:w="1119" w:type="pct"/>
            <w:tcBorders>
              <w:top w:val="nil"/>
              <w:left w:val="nil"/>
              <w:bottom w:val="single" w:color="auto" w:sz="4" w:space="0"/>
              <w:right w:val="single" w:color="auto" w:sz="4" w:space="0"/>
            </w:tcBorders>
            <w:shd w:val="clear" w:color="auto" w:fill="auto"/>
            <w:noWrap/>
            <w:vAlign w:val="center"/>
          </w:tcPr>
          <w:p w14:paraId="5CBEE0F1">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52B634B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shd w:val="clear" w:color="auto" w:fill="auto"/>
            <w:vAlign w:val="center"/>
          </w:tcPr>
          <w:p w14:paraId="1AEBFB7D">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right w:val="single" w:color="auto" w:sz="4" w:space="0"/>
            </w:tcBorders>
            <w:shd w:val="clear" w:color="auto" w:fill="auto"/>
            <w:vAlign w:val="center"/>
          </w:tcPr>
          <w:p w14:paraId="37A35153">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1C36812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工业用地固定资产投入强度</w:t>
            </w:r>
          </w:p>
        </w:tc>
        <w:tc>
          <w:tcPr>
            <w:tcW w:w="1119" w:type="pct"/>
            <w:tcBorders>
              <w:top w:val="nil"/>
              <w:left w:val="nil"/>
              <w:bottom w:val="single" w:color="auto" w:sz="4" w:space="0"/>
              <w:right w:val="single" w:color="auto" w:sz="4" w:space="0"/>
            </w:tcBorders>
            <w:shd w:val="clear" w:color="auto" w:fill="auto"/>
            <w:noWrap/>
            <w:vAlign w:val="center"/>
          </w:tcPr>
          <w:p w14:paraId="0B520A9F">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408CBAF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vAlign w:val="center"/>
          </w:tcPr>
          <w:p w14:paraId="6C18CAB3">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right w:val="single" w:color="auto" w:sz="4" w:space="0"/>
            </w:tcBorders>
            <w:vAlign w:val="center"/>
          </w:tcPr>
          <w:p w14:paraId="7E150842">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4FE54E59">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工业用地地均税收</w:t>
            </w:r>
          </w:p>
        </w:tc>
        <w:tc>
          <w:tcPr>
            <w:tcW w:w="1119" w:type="pct"/>
            <w:tcBorders>
              <w:top w:val="nil"/>
              <w:left w:val="nil"/>
              <w:bottom w:val="single" w:color="auto" w:sz="4" w:space="0"/>
              <w:right w:val="single" w:color="auto" w:sz="4" w:space="0"/>
            </w:tcBorders>
            <w:shd w:val="clear" w:color="auto" w:fill="auto"/>
            <w:noWrap/>
            <w:vAlign w:val="center"/>
          </w:tcPr>
          <w:p w14:paraId="5F1951F7">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6BF0D46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bottom w:val="single" w:color="auto" w:sz="4" w:space="0"/>
              <w:right w:val="single" w:color="auto" w:sz="4" w:space="0"/>
            </w:tcBorders>
            <w:vAlign w:val="center"/>
          </w:tcPr>
          <w:p w14:paraId="0C427EEA">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bottom w:val="single" w:color="auto" w:sz="4" w:space="0"/>
              <w:right w:val="single" w:color="auto" w:sz="4" w:space="0"/>
            </w:tcBorders>
            <w:vAlign w:val="center"/>
          </w:tcPr>
          <w:p w14:paraId="63746BE6">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24CEA8B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cs="宋体"/>
                <w:color w:val="auto"/>
                <w:sz w:val="18"/>
                <w:szCs w:val="18"/>
                <w:highlight w:val="none"/>
                <w:lang w:val="en-US" w:eastAsia="zh-CN"/>
              </w:rPr>
              <w:t>单位面积地区</w:t>
            </w:r>
            <w:r>
              <w:rPr>
                <w:rFonts w:hint="eastAsia" w:ascii="宋体" w:hAnsi="宋体" w:eastAsia="宋体" w:cs="宋体"/>
                <w:color w:val="auto"/>
                <w:sz w:val="18"/>
                <w:szCs w:val="18"/>
                <w:highlight w:val="none"/>
                <w:lang w:val="en-US" w:eastAsia="zh-CN"/>
              </w:rPr>
              <w:t>生产总值产出强度</w:t>
            </w:r>
          </w:p>
        </w:tc>
        <w:tc>
          <w:tcPr>
            <w:tcW w:w="1119" w:type="pct"/>
            <w:tcBorders>
              <w:top w:val="nil"/>
              <w:left w:val="nil"/>
              <w:bottom w:val="single" w:color="auto" w:sz="4" w:space="0"/>
              <w:right w:val="single" w:color="auto" w:sz="4" w:space="0"/>
            </w:tcBorders>
            <w:shd w:val="clear" w:color="auto" w:fill="auto"/>
            <w:noWrap/>
            <w:vAlign w:val="center"/>
          </w:tcPr>
          <w:p w14:paraId="7FC7B0BA">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755DC5D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restart"/>
            <w:tcBorders>
              <w:top w:val="single" w:color="auto" w:sz="4" w:space="0"/>
              <w:right w:val="single" w:color="auto" w:sz="4" w:space="0"/>
            </w:tcBorders>
            <w:vAlign w:val="center"/>
          </w:tcPr>
          <w:p w14:paraId="56EC1B2C">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管理绩效</w:t>
            </w:r>
          </w:p>
        </w:tc>
        <w:tc>
          <w:tcPr>
            <w:tcW w:w="931" w:type="pct"/>
            <w:vMerge w:val="restart"/>
            <w:tcBorders>
              <w:top w:val="single" w:color="auto" w:sz="4" w:space="0"/>
              <w:left w:val="single" w:color="auto" w:sz="4" w:space="0"/>
              <w:right w:val="single" w:color="auto" w:sz="4" w:space="0"/>
            </w:tcBorders>
            <w:vAlign w:val="center"/>
          </w:tcPr>
          <w:p w14:paraId="28CA5829">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土地利用监管</w:t>
            </w:r>
          </w:p>
          <w:p w14:paraId="45B1F0D0">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绩效</w:t>
            </w:r>
          </w:p>
        </w:tc>
        <w:tc>
          <w:tcPr>
            <w:tcW w:w="2149" w:type="pct"/>
            <w:tcBorders>
              <w:top w:val="nil"/>
              <w:left w:val="nil"/>
              <w:bottom w:val="single" w:color="auto" w:sz="4" w:space="0"/>
              <w:right w:val="single" w:color="auto" w:sz="4" w:space="0"/>
            </w:tcBorders>
            <w:shd w:val="clear" w:color="auto" w:fill="auto"/>
            <w:vAlign w:val="center"/>
          </w:tcPr>
          <w:p w14:paraId="78A54AE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工业</w:t>
            </w:r>
            <w:r>
              <w:rPr>
                <w:rFonts w:hint="eastAsia" w:ascii="宋体" w:hAnsi="宋体" w:eastAsia="宋体" w:cs="宋体"/>
                <w:color w:val="000000"/>
                <w:kern w:val="0"/>
                <w:sz w:val="18"/>
                <w:szCs w:val="18"/>
                <w:highlight w:val="none"/>
              </w:rPr>
              <w:t>低效用地处置</w:t>
            </w:r>
            <w:r>
              <w:rPr>
                <w:rFonts w:hint="eastAsia" w:ascii="宋体" w:hAnsi="宋体" w:eastAsia="宋体" w:cs="宋体"/>
                <w:color w:val="000000"/>
                <w:kern w:val="0"/>
                <w:sz w:val="18"/>
                <w:szCs w:val="18"/>
                <w:highlight w:val="none"/>
                <w:lang w:val="en-US" w:eastAsia="zh-CN"/>
              </w:rPr>
              <w:t>计划完成</w:t>
            </w:r>
            <w:r>
              <w:rPr>
                <w:rFonts w:hint="eastAsia" w:ascii="宋体" w:hAnsi="宋体" w:eastAsia="宋体" w:cs="宋体"/>
                <w:color w:val="000000"/>
                <w:kern w:val="0"/>
                <w:sz w:val="18"/>
                <w:szCs w:val="18"/>
                <w:highlight w:val="none"/>
              </w:rPr>
              <w:t>率</w:t>
            </w:r>
          </w:p>
        </w:tc>
        <w:tc>
          <w:tcPr>
            <w:tcW w:w="1119" w:type="pct"/>
            <w:tcBorders>
              <w:top w:val="nil"/>
              <w:left w:val="nil"/>
              <w:bottom w:val="single" w:color="auto" w:sz="4" w:space="0"/>
              <w:right w:val="single" w:color="auto" w:sz="4" w:space="0"/>
            </w:tcBorders>
            <w:shd w:val="clear" w:color="auto" w:fill="auto"/>
            <w:noWrap/>
            <w:vAlign w:val="center"/>
          </w:tcPr>
          <w:p w14:paraId="2828966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0F317F0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shd w:val="clear" w:color="auto" w:fill="auto"/>
            <w:vAlign w:val="center"/>
          </w:tcPr>
          <w:p w14:paraId="7F49254D">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right w:val="single" w:color="auto" w:sz="4" w:space="0"/>
            </w:tcBorders>
            <w:shd w:val="clear" w:color="auto" w:fill="auto"/>
            <w:vAlign w:val="center"/>
          </w:tcPr>
          <w:p w14:paraId="0A21B347">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1C0900DC">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土地闲置率</w:t>
            </w:r>
          </w:p>
        </w:tc>
        <w:tc>
          <w:tcPr>
            <w:tcW w:w="1119" w:type="pct"/>
            <w:tcBorders>
              <w:top w:val="nil"/>
              <w:left w:val="nil"/>
              <w:bottom w:val="single" w:color="auto" w:sz="4" w:space="0"/>
              <w:right w:val="single" w:color="auto" w:sz="4" w:space="0"/>
            </w:tcBorders>
            <w:shd w:val="clear" w:color="auto" w:fill="auto"/>
            <w:noWrap/>
            <w:vAlign w:val="center"/>
          </w:tcPr>
          <w:p w14:paraId="01366189">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负向</w:t>
            </w:r>
          </w:p>
        </w:tc>
      </w:tr>
      <w:tr w14:paraId="2CBD216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shd w:val="clear" w:color="auto" w:fill="auto"/>
            <w:vAlign w:val="center"/>
          </w:tcPr>
          <w:p w14:paraId="05F22406">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right w:val="single" w:color="auto" w:sz="4" w:space="0"/>
            </w:tcBorders>
            <w:shd w:val="clear" w:color="auto" w:fill="auto"/>
            <w:vAlign w:val="center"/>
          </w:tcPr>
          <w:p w14:paraId="2AF7F93A">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nil"/>
              <w:left w:val="nil"/>
              <w:bottom w:val="single" w:color="auto" w:sz="4" w:space="0"/>
              <w:right w:val="single" w:color="auto" w:sz="4" w:space="0"/>
            </w:tcBorders>
            <w:shd w:val="clear" w:color="auto" w:fill="auto"/>
            <w:vAlign w:val="center"/>
          </w:tcPr>
          <w:p w14:paraId="127FBEA3">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闲置土地净减少率</w:t>
            </w:r>
          </w:p>
        </w:tc>
        <w:tc>
          <w:tcPr>
            <w:tcW w:w="1119" w:type="pct"/>
            <w:tcBorders>
              <w:top w:val="nil"/>
              <w:left w:val="nil"/>
              <w:bottom w:val="single" w:color="auto" w:sz="4" w:space="0"/>
              <w:right w:val="single" w:color="auto" w:sz="4" w:space="0"/>
            </w:tcBorders>
            <w:shd w:val="clear" w:color="auto" w:fill="auto"/>
            <w:noWrap/>
            <w:vAlign w:val="center"/>
          </w:tcPr>
          <w:p w14:paraId="05F1F464">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4D772D1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4" w:hRule="exact"/>
          <w:jc w:val="center"/>
        </w:trPr>
        <w:tc>
          <w:tcPr>
            <w:tcW w:w="800" w:type="pct"/>
            <w:vMerge w:val="continue"/>
            <w:tcBorders>
              <w:right w:val="single" w:color="auto" w:sz="4" w:space="0"/>
            </w:tcBorders>
            <w:shd w:val="clear" w:color="auto" w:fill="auto"/>
            <w:vAlign w:val="center"/>
          </w:tcPr>
          <w:p w14:paraId="053C5AD2">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right w:val="single" w:color="auto" w:sz="4" w:space="0"/>
            </w:tcBorders>
            <w:shd w:val="clear" w:color="auto" w:fill="auto"/>
            <w:vAlign w:val="center"/>
          </w:tcPr>
          <w:p w14:paraId="12D25E30">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single" w:color="auto" w:sz="4" w:space="0"/>
              <w:left w:val="single" w:color="auto" w:sz="4" w:space="0"/>
              <w:bottom w:val="single" w:color="auto" w:sz="4" w:space="0"/>
              <w:right w:val="single" w:color="auto" w:sz="4" w:space="0"/>
            </w:tcBorders>
            <w:shd w:val="clear" w:color="auto" w:fill="auto"/>
            <w:vAlign w:val="center"/>
          </w:tcPr>
          <w:p w14:paraId="452CF868">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节地示范</w:t>
            </w:r>
            <w:r>
              <w:rPr>
                <w:rFonts w:hint="eastAsia" w:ascii="宋体" w:hAnsi="宋体" w:cs="宋体"/>
                <w:color w:val="000000"/>
                <w:kern w:val="0"/>
                <w:sz w:val="18"/>
                <w:szCs w:val="18"/>
                <w:highlight w:val="none"/>
                <w:lang w:val="en-US" w:eastAsia="zh-CN"/>
              </w:rPr>
              <w:t>情况</w:t>
            </w:r>
          </w:p>
        </w:tc>
        <w:tc>
          <w:tcPr>
            <w:tcW w:w="11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7B3594">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正向</w:t>
            </w:r>
          </w:p>
        </w:tc>
      </w:tr>
      <w:tr w14:paraId="6B3E717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14" w:hRule="exact"/>
          <w:jc w:val="center"/>
        </w:trPr>
        <w:tc>
          <w:tcPr>
            <w:tcW w:w="800" w:type="pct"/>
            <w:vMerge w:val="continue"/>
            <w:tcBorders>
              <w:bottom w:val="single" w:color="auto" w:sz="4" w:space="0"/>
              <w:right w:val="single" w:color="auto" w:sz="4" w:space="0"/>
            </w:tcBorders>
            <w:shd w:val="clear" w:color="auto" w:fill="auto"/>
            <w:vAlign w:val="center"/>
          </w:tcPr>
          <w:p w14:paraId="0BB7CA3C">
            <w:pPr>
              <w:adjustRightInd w:val="0"/>
              <w:spacing w:line="400" w:lineRule="exact"/>
              <w:jc w:val="center"/>
              <w:rPr>
                <w:rFonts w:hint="eastAsia" w:ascii="宋体" w:hAnsi="宋体" w:eastAsia="宋体" w:cs="宋体"/>
                <w:color w:val="000000"/>
                <w:kern w:val="0"/>
                <w:sz w:val="18"/>
                <w:szCs w:val="18"/>
                <w:highlight w:val="none"/>
              </w:rPr>
            </w:pPr>
          </w:p>
        </w:tc>
        <w:tc>
          <w:tcPr>
            <w:tcW w:w="931" w:type="pct"/>
            <w:vMerge w:val="continue"/>
            <w:tcBorders>
              <w:left w:val="single" w:color="auto" w:sz="4" w:space="0"/>
              <w:bottom w:val="single" w:color="auto" w:sz="4" w:space="0"/>
              <w:right w:val="single" w:color="auto" w:sz="4" w:space="0"/>
            </w:tcBorders>
            <w:shd w:val="clear" w:color="auto" w:fill="auto"/>
            <w:vAlign w:val="center"/>
          </w:tcPr>
          <w:p w14:paraId="190CAC69">
            <w:pPr>
              <w:adjustRightInd w:val="0"/>
              <w:spacing w:line="400" w:lineRule="exact"/>
              <w:jc w:val="center"/>
              <w:rPr>
                <w:rFonts w:hint="eastAsia" w:ascii="宋体" w:hAnsi="宋体" w:eastAsia="宋体" w:cs="宋体"/>
                <w:color w:val="000000"/>
                <w:kern w:val="0"/>
                <w:sz w:val="18"/>
                <w:szCs w:val="18"/>
                <w:highlight w:val="none"/>
              </w:rPr>
            </w:pPr>
          </w:p>
        </w:tc>
        <w:tc>
          <w:tcPr>
            <w:tcW w:w="2149" w:type="pct"/>
            <w:tcBorders>
              <w:top w:val="single" w:color="auto" w:sz="4" w:space="0"/>
              <w:left w:val="single" w:color="auto" w:sz="4" w:space="0"/>
              <w:bottom w:val="single" w:color="auto" w:sz="4" w:space="0"/>
              <w:right w:val="single" w:color="auto" w:sz="4" w:space="0"/>
            </w:tcBorders>
            <w:shd w:val="clear" w:color="auto" w:fill="auto"/>
            <w:vAlign w:val="center"/>
          </w:tcPr>
          <w:p w14:paraId="68962682">
            <w:pPr>
              <w:adjustRightInd w:val="0"/>
              <w:spacing w:line="400" w:lineRule="exact"/>
              <w:jc w:val="center"/>
              <w:rPr>
                <w:rFonts w:hint="default"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新增违法</w:t>
            </w:r>
            <w:r>
              <w:rPr>
                <w:rFonts w:hint="eastAsia" w:ascii="宋体" w:hAnsi="宋体" w:cs="宋体"/>
                <w:color w:val="000000"/>
                <w:kern w:val="0"/>
                <w:sz w:val="18"/>
                <w:szCs w:val="18"/>
                <w:highlight w:val="none"/>
                <w:lang w:val="en-US" w:eastAsia="zh-CN"/>
              </w:rPr>
              <w:t>用地情况</w:t>
            </w:r>
          </w:p>
        </w:tc>
        <w:tc>
          <w:tcPr>
            <w:tcW w:w="111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9375042">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负向</w:t>
            </w:r>
          </w:p>
        </w:tc>
      </w:tr>
    </w:tbl>
    <w:p w14:paraId="03AF4F42">
      <w:pPr>
        <w:pStyle w:val="156"/>
        <w:numPr>
          <w:ilvl w:val="1"/>
          <w:numId w:val="0"/>
        </w:numPr>
        <w:bidi w:val="0"/>
        <w:ind w:leftChars="0"/>
        <w:jc w:val="both"/>
        <w:rPr>
          <w:rFonts w:hint="eastAsia" w:hAnsi="Times New Roman" w:cs="Times New Roman"/>
          <w:highlight w:val="none"/>
          <w:lang w:val="en-US" w:eastAsia="zh-CN"/>
        </w:rPr>
      </w:pPr>
    </w:p>
    <w:p w14:paraId="35D46239">
      <w:pPr>
        <w:pStyle w:val="138"/>
        <w:rPr>
          <w:rFonts w:hint="eastAsia"/>
          <w:lang w:val="en-US" w:eastAsia="zh-CN"/>
        </w:rPr>
      </w:pPr>
    </w:p>
    <w:p w14:paraId="57477F95">
      <w:pPr>
        <w:pStyle w:val="138"/>
        <w:rPr>
          <w:rFonts w:hint="eastAsia"/>
          <w:lang w:val="en-US" w:eastAsia="zh-CN"/>
        </w:rPr>
      </w:pPr>
    </w:p>
    <w:p w14:paraId="74188489">
      <w:pPr>
        <w:pStyle w:val="138"/>
        <w:rPr>
          <w:rFonts w:hint="eastAsia"/>
          <w:lang w:val="en-US" w:eastAsia="zh-CN"/>
        </w:rPr>
      </w:pPr>
    </w:p>
    <w:p w14:paraId="320F995B">
      <w:pPr>
        <w:pStyle w:val="138"/>
        <w:rPr>
          <w:rFonts w:hint="eastAsia"/>
          <w:lang w:val="en-US" w:eastAsia="zh-CN"/>
        </w:rPr>
      </w:pPr>
    </w:p>
    <w:p w14:paraId="347B8F62">
      <w:pPr>
        <w:pStyle w:val="138"/>
        <w:rPr>
          <w:rFonts w:hint="eastAsia"/>
          <w:lang w:val="en-US" w:eastAsia="zh-CN"/>
        </w:rPr>
      </w:pPr>
    </w:p>
    <w:p w14:paraId="7FC957E9">
      <w:pPr>
        <w:pStyle w:val="138"/>
        <w:rPr>
          <w:rFonts w:hint="eastAsia"/>
          <w:lang w:val="en-US" w:eastAsia="zh-CN"/>
        </w:rPr>
      </w:pPr>
    </w:p>
    <w:p w14:paraId="1D67524C">
      <w:pPr>
        <w:pStyle w:val="138"/>
        <w:rPr>
          <w:rFonts w:hint="eastAsia"/>
          <w:lang w:val="en-US" w:eastAsia="zh-CN"/>
        </w:rPr>
      </w:pPr>
    </w:p>
    <w:p w14:paraId="088A3DB8">
      <w:pPr>
        <w:pStyle w:val="138"/>
        <w:rPr>
          <w:rFonts w:hint="eastAsia"/>
          <w:lang w:val="en-US" w:eastAsia="zh-CN"/>
        </w:rPr>
      </w:pPr>
    </w:p>
    <w:p w14:paraId="57A4A1D0">
      <w:pPr>
        <w:pStyle w:val="138"/>
        <w:rPr>
          <w:rFonts w:hint="eastAsia"/>
          <w:lang w:val="en-US" w:eastAsia="zh-CN"/>
        </w:rPr>
      </w:pPr>
    </w:p>
    <w:p w14:paraId="26644DA2">
      <w:pPr>
        <w:pStyle w:val="138"/>
        <w:ind w:left="0" w:leftChars="0" w:firstLine="0" w:firstLineChars="0"/>
        <w:rPr>
          <w:rFonts w:hint="eastAsia"/>
          <w:lang w:val="en-US" w:eastAsia="zh-CN"/>
        </w:rPr>
      </w:pPr>
    </w:p>
    <w:p w14:paraId="4F18DB89">
      <w:pPr>
        <w:pStyle w:val="127"/>
        <w:widowControl w:val="0"/>
        <w:numPr>
          <w:ilvl w:val="0"/>
          <w:numId w:val="23"/>
        </w:numPr>
        <w:autoSpaceDE w:val="0"/>
        <w:autoSpaceDN w:val="0"/>
        <w:spacing w:before="0" w:beforeLines="-2147483648" w:after="0" w:afterLines="-2147483648"/>
        <w:ind w:firstLine="42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高新类</w:t>
      </w:r>
      <w:r>
        <w:rPr>
          <w:rFonts w:hint="eastAsia" w:ascii="Times New Roman" w:cs="Times New Roman"/>
          <w:highlight w:val="none"/>
          <w:lang w:val="en-US" w:eastAsia="zh-CN"/>
        </w:rPr>
        <w:t>产业园区</w:t>
      </w:r>
      <w:r>
        <w:rPr>
          <w:rFonts w:hint="eastAsia" w:ascii="Times New Roman" w:hAnsi="Times New Roman" w:cs="Times New Roman"/>
          <w:highlight w:val="none"/>
          <w:lang w:val="en-US" w:eastAsia="zh-CN"/>
        </w:rPr>
        <w:t>土地集约利用评价指标表</w:t>
      </w:r>
    </w:p>
    <w:tbl>
      <w:tblPr>
        <w:tblStyle w:val="33"/>
        <w:tblW w:w="4053" w:type="pct"/>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089"/>
        <w:gridCol w:w="1535"/>
        <w:gridCol w:w="3390"/>
        <w:gridCol w:w="1743"/>
      </w:tblGrid>
      <w:tr w14:paraId="28064C0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08" w:hRule="atLeast"/>
          <w:jc w:val="center"/>
        </w:trPr>
        <w:tc>
          <w:tcPr>
            <w:tcW w:w="702" w:type="pct"/>
            <w:tcBorders>
              <w:bottom w:val="single" w:color="auto" w:sz="4" w:space="0"/>
              <w:right w:val="single" w:color="auto" w:sz="4" w:space="0"/>
            </w:tcBorders>
            <w:shd w:val="clear" w:color="auto" w:fill="auto"/>
            <w:vAlign w:val="center"/>
          </w:tcPr>
          <w:p w14:paraId="507494EE">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目标</w:t>
            </w:r>
          </w:p>
        </w:tc>
        <w:tc>
          <w:tcPr>
            <w:tcW w:w="989" w:type="pct"/>
            <w:tcBorders>
              <w:left w:val="nil"/>
              <w:bottom w:val="single" w:color="auto" w:sz="4" w:space="0"/>
              <w:right w:val="single" w:color="auto" w:sz="4" w:space="0"/>
            </w:tcBorders>
            <w:shd w:val="clear" w:color="auto" w:fill="auto"/>
            <w:vAlign w:val="center"/>
          </w:tcPr>
          <w:p w14:paraId="411D6C03">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子目标</w:t>
            </w:r>
          </w:p>
        </w:tc>
        <w:tc>
          <w:tcPr>
            <w:tcW w:w="2184" w:type="pct"/>
            <w:tcBorders>
              <w:left w:val="nil"/>
              <w:bottom w:val="single" w:color="auto" w:sz="4" w:space="0"/>
              <w:right w:val="single" w:color="auto" w:sz="4" w:space="0"/>
            </w:tcBorders>
            <w:shd w:val="clear" w:color="auto" w:fill="auto"/>
            <w:vAlign w:val="center"/>
          </w:tcPr>
          <w:p w14:paraId="527F2BAB">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  标</w:t>
            </w:r>
          </w:p>
        </w:tc>
        <w:tc>
          <w:tcPr>
            <w:tcW w:w="1123" w:type="pct"/>
            <w:tcBorders>
              <w:left w:val="nil"/>
              <w:bottom w:val="single" w:color="auto" w:sz="4" w:space="0"/>
              <w:right w:val="single" w:color="auto" w:sz="4" w:space="0"/>
            </w:tcBorders>
            <w:shd w:val="clear" w:color="auto" w:fill="auto"/>
            <w:vAlign w:val="center"/>
          </w:tcPr>
          <w:p w14:paraId="37892061">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指标属性</w:t>
            </w:r>
          </w:p>
        </w:tc>
      </w:tr>
      <w:tr w14:paraId="40062FE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restart"/>
            <w:tcBorders>
              <w:top w:val="single" w:color="auto" w:sz="4" w:space="0"/>
              <w:right w:val="single" w:color="auto" w:sz="4" w:space="0"/>
            </w:tcBorders>
            <w:shd w:val="clear" w:color="auto" w:fill="auto"/>
            <w:vAlign w:val="center"/>
          </w:tcPr>
          <w:p w14:paraId="0F64D0EC">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土地利用状况</w:t>
            </w:r>
          </w:p>
        </w:tc>
        <w:tc>
          <w:tcPr>
            <w:tcW w:w="989" w:type="pct"/>
            <w:vMerge w:val="restart"/>
            <w:tcBorders>
              <w:top w:val="nil"/>
              <w:left w:val="single" w:color="auto" w:sz="4" w:space="0"/>
              <w:right w:val="single" w:color="auto" w:sz="4" w:space="0"/>
            </w:tcBorders>
            <w:shd w:val="clear" w:color="auto" w:fill="auto"/>
            <w:vAlign w:val="center"/>
          </w:tcPr>
          <w:p w14:paraId="2D8E5C4F">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土地利用程度</w:t>
            </w:r>
          </w:p>
        </w:tc>
        <w:tc>
          <w:tcPr>
            <w:tcW w:w="2184" w:type="pct"/>
            <w:tcBorders>
              <w:top w:val="nil"/>
              <w:left w:val="nil"/>
              <w:bottom w:val="single" w:color="auto" w:sz="4" w:space="0"/>
              <w:right w:val="single" w:color="auto" w:sz="4" w:space="0"/>
            </w:tcBorders>
            <w:shd w:val="clear" w:color="auto" w:fill="auto"/>
            <w:vAlign w:val="center"/>
          </w:tcPr>
          <w:p w14:paraId="0035145E">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土地供应率</w:t>
            </w:r>
          </w:p>
        </w:tc>
        <w:tc>
          <w:tcPr>
            <w:tcW w:w="1123" w:type="pct"/>
            <w:tcBorders>
              <w:top w:val="nil"/>
              <w:left w:val="nil"/>
              <w:bottom w:val="single" w:color="auto" w:sz="4" w:space="0"/>
              <w:right w:val="single" w:color="auto" w:sz="4" w:space="0"/>
            </w:tcBorders>
            <w:shd w:val="clear" w:color="auto" w:fill="auto"/>
            <w:noWrap/>
            <w:vAlign w:val="center"/>
          </w:tcPr>
          <w:p w14:paraId="1D9F136C">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79EF3AC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shd w:val="clear" w:color="auto" w:fill="auto"/>
            <w:vAlign w:val="center"/>
          </w:tcPr>
          <w:p w14:paraId="1D183083">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shd w:val="clear" w:color="auto" w:fill="auto"/>
            <w:vAlign w:val="center"/>
          </w:tcPr>
          <w:p w14:paraId="756CB3C6">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3F517E87">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土地建成率</w:t>
            </w:r>
          </w:p>
        </w:tc>
        <w:tc>
          <w:tcPr>
            <w:tcW w:w="1123" w:type="pct"/>
            <w:tcBorders>
              <w:top w:val="nil"/>
              <w:left w:val="nil"/>
              <w:bottom w:val="single" w:color="auto" w:sz="4" w:space="0"/>
              <w:right w:val="single" w:color="auto" w:sz="4" w:space="0"/>
            </w:tcBorders>
            <w:shd w:val="clear" w:color="auto" w:fill="auto"/>
            <w:noWrap/>
            <w:vAlign w:val="center"/>
          </w:tcPr>
          <w:p w14:paraId="7092A0F1">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0A4559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shd w:val="clear" w:color="auto" w:fill="auto"/>
            <w:vAlign w:val="center"/>
          </w:tcPr>
          <w:p w14:paraId="500AA8C2">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bottom w:val="single" w:color="auto" w:sz="4" w:space="0"/>
              <w:right w:val="single" w:color="auto" w:sz="4" w:space="0"/>
            </w:tcBorders>
            <w:shd w:val="clear" w:color="auto" w:fill="auto"/>
            <w:vAlign w:val="center"/>
          </w:tcPr>
          <w:p w14:paraId="1BA87399">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33DC3DC4">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土地开发率</w:t>
            </w:r>
          </w:p>
        </w:tc>
        <w:tc>
          <w:tcPr>
            <w:tcW w:w="1123" w:type="pct"/>
            <w:tcBorders>
              <w:top w:val="nil"/>
              <w:left w:val="nil"/>
              <w:bottom w:val="single" w:color="auto" w:sz="4" w:space="0"/>
              <w:right w:val="single" w:color="auto" w:sz="4" w:space="0"/>
            </w:tcBorders>
            <w:shd w:val="clear" w:color="auto" w:fill="auto"/>
            <w:noWrap/>
            <w:vAlign w:val="center"/>
          </w:tcPr>
          <w:p w14:paraId="7336F442">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44CFB8C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shd w:val="clear" w:color="auto" w:fill="auto"/>
            <w:vAlign w:val="center"/>
          </w:tcPr>
          <w:p w14:paraId="4C735BA4">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restart"/>
            <w:tcBorders>
              <w:top w:val="nil"/>
              <w:left w:val="single" w:color="auto" w:sz="4" w:space="0"/>
              <w:right w:val="single" w:color="auto" w:sz="4" w:space="0"/>
            </w:tcBorders>
            <w:shd w:val="clear" w:color="auto" w:fill="auto"/>
            <w:vAlign w:val="center"/>
          </w:tcPr>
          <w:p w14:paraId="5BEC8577">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用地结构状况</w:t>
            </w:r>
          </w:p>
        </w:tc>
        <w:tc>
          <w:tcPr>
            <w:tcW w:w="2184" w:type="pct"/>
            <w:tcBorders>
              <w:top w:val="nil"/>
              <w:left w:val="nil"/>
              <w:bottom w:val="single" w:color="auto" w:sz="4" w:space="0"/>
              <w:right w:val="single" w:color="auto" w:sz="4" w:space="0"/>
            </w:tcBorders>
            <w:shd w:val="clear" w:color="auto" w:fill="auto"/>
            <w:vAlign w:val="center"/>
          </w:tcPr>
          <w:p w14:paraId="710B4726">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工业用地率</w:t>
            </w:r>
          </w:p>
        </w:tc>
        <w:tc>
          <w:tcPr>
            <w:tcW w:w="1123" w:type="pct"/>
            <w:tcBorders>
              <w:top w:val="nil"/>
              <w:left w:val="nil"/>
              <w:bottom w:val="single" w:color="auto" w:sz="4" w:space="0"/>
              <w:right w:val="single" w:color="auto" w:sz="4" w:space="0"/>
            </w:tcBorders>
            <w:shd w:val="clear" w:color="auto" w:fill="auto"/>
            <w:noWrap/>
            <w:vAlign w:val="center"/>
          </w:tcPr>
          <w:p w14:paraId="331BC5C2">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4B7F19D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6296EA32">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vAlign w:val="center"/>
          </w:tcPr>
          <w:p w14:paraId="63F4A019">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3A4907D7">
            <w:pPr>
              <w:adjustRightInd w:val="0"/>
              <w:spacing w:line="400" w:lineRule="exact"/>
              <w:jc w:val="center"/>
              <w:rPr>
                <w:rFonts w:hint="eastAsia" w:ascii="宋体" w:hAnsi="宋体" w:eastAsia="宋体" w:cs="宋体"/>
                <w:color w:val="000000"/>
                <w:kern w:val="0"/>
                <w:sz w:val="18"/>
                <w:szCs w:val="18"/>
                <w:highlight w:val="none"/>
                <w:lang w:val="en-US"/>
              </w:rPr>
            </w:pPr>
            <w:r>
              <w:rPr>
                <w:rFonts w:hint="eastAsia" w:ascii="宋体" w:hAnsi="宋体" w:eastAsia="宋体" w:cs="宋体"/>
                <w:color w:val="000000"/>
                <w:kern w:val="0"/>
                <w:sz w:val="18"/>
                <w:szCs w:val="18"/>
                <w:highlight w:val="none"/>
                <w:lang w:val="en-US" w:eastAsia="zh-CN"/>
              </w:rPr>
              <w:t>主导产业用地占比</w:t>
            </w:r>
          </w:p>
        </w:tc>
        <w:tc>
          <w:tcPr>
            <w:tcW w:w="1123" w:type="pct"/>
            <w:tcBorders>
              <w:top w:val="nil"/>
              <w:left w:val="nil"/>
              <w:bottom w:val="single" w:color="auto" w:sz="4" w:space="0"/>
              <w:right w:val="single" w:color="auto" w:sz="4" w:space="0"/>
            </w:tcBorders>
            <w:shd w:val="clear" w:color="auto" w:fill="auto"/>
            <w:noWrap/>
            <w:vAlign w:val="center"/>
          </w:tcPr>
          <w:p w14:paraId="3156FBC2">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6D56E07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5AFA6A03">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vAlign w:val="center"/>
          </w:tcPr>
          <w:p w14:paraId="43344CAB">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0434EF50">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规上企业用地占比</w:t>
            </w:r>
          </w:p>
        </w:tc>
        <w:tc>
          <w:tcPr>
            <w:tcW w:w="1123" w:type="pct"/>
            <w:tcBorders>
              <w:top w:val="nil"/>
              <w:left w:val="nil"/>
              <w:bottom w:val="single" w:color="auto" w:sz="4" w:space="0"/>
              <w:right w:val="single" w:color="auto" w:sz="4" w:space="0"/>
            </w:tcBorders>
            <w:shd w:val="clear" w:color="auto" w:fill="auto"/>
            <w:noWrap/>
            <w:vAlign w:val="center"/>
          </w:tcPr>
          <w:p w14:paraId="42BED3DD">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7DCC8FA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3E26B8F7">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vAlign w:val="center"/>
          </w:tcPr>
          <w:p w14:paraId="356B9F56">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2EF083A2">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工业用地多元化供应率</w:t>
            </w:r>
          </w:p>
        </w:tc>
        <w:tc>
          <w:tcPr>
            <w:tcW w:w="1123" w:type="pct"/>
            <w:tcBorders>
              <w:top w:val="nil"/>
              <w:left w:val="nil"/>
              <w:bottom w:val="single" w:color="auto" w:sz="4" w:space="0"/>
              <w:right w:val="single" w:color="auto" w:sz="4" w:space="0"/>
            </w:tcBorders>
            <w:shd w:val="clear" w:color="auto" w:fill="auto"/>
            <w:noWrap/>
            <w:vAlign w:val="center"/>
          </w:tcPr>
          <w:p w14:paraId="300743BB">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30EBD67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07677359">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vAlign w:val="center"/>
          </w:tcPr>
          <w:p w14:paraId="4956EF65">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382487D2">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高新技术企业用地占比</w:t>
            </w:r>
          </w:p>
        </w:tc>
        <w:tc>
          <w:tcPr>
            <w:tcW w:w="1123" w:type="pct"/>
            <w:tcBorders>
              <w:top w:val="nil"/>
              <w:left w:val="nil"/>
              <w:bottom w:val="single" w:color="auto" w:sz="4" w:space="0"/>
              <w:right w:val="single" w:color="auto" w:sz="4" w:space="0"/>
            </w:tcBorders>
            <w:shd w:val="clear" w:color="auto" w:fill="auto"/>
            <w:noWrap/>
            <w:vAlign w:val="center"/>
          </w:tcPr>
          <w:p w14:paraId="1D483627">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EC966F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713E3F8D">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bottom w:val="single" w:color="auto" w:sz="4" w:space="0"/>
              <w:right w:val="single" w:color="auto" w:sz="4" w:space="0"/>
            </w:tcBorders>
            <w:vAlign w:val="center"/>
          </w:tcPr>
          <w:p w14:paraId="4A31BD0B">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0460B5F5">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新兴产业用地占比</w:t>
            </w:r>
          </w:p>
        </w:tc>
        <w:tc>
          <w:tcPr>
            <w:tcW w:w="1123" w:type="pct"/>
            <w:tcBorders>
              <w:top w:val="nil"/>
              <w:left w:val="nil"/>
              <w:bottom w:val="single" w:color="auto" w:sz="4" w:space="0"/>
              <w:right w:val="single" w:color="auto" w:sz="4" w:space="0"/>
            </w:tcBorders>
            <w:shd w:val="clear" w:color="auto" w:fill="auto"/>
            <w:noWrap/>
            <w:vAlign w:val="center"/>
          </w:tcPr>
          <w:p w14:paraId="4352A9C3">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F0578E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688211BE">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restart"/>
            <w:tcBorders>
              <w:top w:val="nil"/>
              <w:left w:val="single" w:color="auto" w:sz="4" w:space="0"/>
              <w:bottom w:val="single" w:color="auto" w:sz="4" w:space="0"/>
              <w:right w:val="single" w:color="auto" w:sz="4" w:space="0"/>
            </w:tcBorders>
            <w:shd w:val="clear" w:color="auto" w:fill="auto"/>
            <w:vAlign w:val="center"/>
          </w:tcPr>
          <w:p w14:paraId="0EE7BFD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土地利用强度</w:t>
            </w:r>
          </w:p>
        </w:tc>
        <w:tc>
          <w:tcPr>
            <w:tcW w:w="2184" w:type="pct"/>
            <w:tcBorders>
              <w:top w:val="nil"/>
              <w:left w:val="nil"/>
              <w:bottom w:val="single" w:color="auto" w:sz="4" w:space="0"/>
              <w:right w:val="single" w:color="auto" w:sz="4" w:space="0"/>
            </w:tcBorders>
            <w:shd w:val="clear" w:color="auto" w:fill="auto"/>
            <w:vAlign w:val="center"/>
          </w:tcPr>
          <w:p w14:paraId="512C779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综合容积率</w:t>
            </w:r>
          </w:p>
        </w:tc>
        <w:tc>
          <w:tcPr>
            <w:tcW w:w="1123" w:type="pct"/>
            <w:tcBorders>
              <w:top w:val="nil"/>
              <w:left w:val="nil"/>
              <w:bottom w:val="single" w:color="auto" w:sz="4" w:space="0"/>
              <w:right w:val="single" w:color="auto" w:sz="4" w:space="0"/>
            </w:tcBorders>
            <w:shd w:val="clear" w:color="auto" w:fill="auto"/>
            <w:noWrap/>
            <w:vAlign w:val="center"/>
          </w:tcPr>
          <w:p w14:paraId="243DFC34">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3A04866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7FBBFB5A">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top w:val="nil"/>
              <w:left w:val="single" w:color="auto" w:sz="4" w:space="0"/>
              <w:bottom w:val="single" w:color="auto" w:sz="4" w:space="0"/>
              <w:right w:val="single" w:color="auto" w:sz="4" w:space="0"/>
            </w:tcBorders>
            <w:vAlign w:val="center"/>
          </w:tcPr>
          <w:p w14:paraId="213F30E0">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6BA349DF">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建筑密度</w:t>
            </w:r>
          </w:p>
        </w:tc>
        <w:tc>
          <w:tcPr>
            <w:tcW w:w="1123" w:type="pct"/>
            <w:tcBorders>
              <w:top w:val="nil"/>
              <w:left w:val="nil"/>
              <w:bottom w:val="single" w:color="auto" w:sz="4" w:space="0"/>
              <w:right w:val="single" w:color="auto" w:sz="4" w:space="0"/>
            </w:tcBorders>
            <w:shd w:val="clear" w:color="auto" w:fill="auto"/>
            <w:noWrap/>
            <w:vAlign w:val="center"/>
          </w:tcPr>
          <w:p w14:paraId="7861126A">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7199215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09DC3C86">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top w:val="nil"/>
              <w:left w:val="single" w:color="auto" w:sz="4" w:space="0"/>
              <w:bottom w:val="single" w:color="auto" w:sz="4" w:space="0"/>
              <w:right w:val="single" w:color="auto" w:sz="4" w:space="0"/>
            </w:tcBorders>
            <w:vAlign w:val="center"/>
          </w:tcPr>
          <w:p w14:paraId="367A2A8F">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7480515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工业用地综合容积率</w:t>
            </w:r>
          </w:p>
        </w:tc>
        <w:tc>
          <w:tcPr>
            <w:tcW w:w="1123" w:type="pct"/>
            <w:tcBorders>
              <w:top w:val="nil"/>
              <w:left w:val="nil"/>
              <w:bottom w:val="single" w:color="auto" w:sz="4" w:space="0"/>
              <w:right w:val="single" w:color="auto" w:sz="4" w:space="0"/>
            </w:tcBorders>
            <w:shd w:val="clear" w:color="auto" w:fill="auto"/>
            <w:noWrap/>
            <w:vAlign w:val="center"/>
          </w:tcPr>
          <w:p w14:paraId="0D133817">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163C8F3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5DBD7999">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top w:val="nil"/>
              <w:left w:val="single" w:color="auto" w:sz="4" w:space="0"/>
              <w:bottom w:val="single" w:color="auto" w:sz="4" w:space="0"/>
              <w:right w:val="single" w:color="auto" w:sz="4" w:space="0"/>
            </w:tcBorders>
            <w:vAlign w:val="center"/>
          </w:tcPr>
          <w:p w14:paraId="65341CD4">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21751CD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工业用地建筑系数</w:t>
            </w:r>
          </w:p>
        </w:tc>
        <w:tc>
          <w:tcPr>
            <w:tcW w:w="1123" w:type="pct"/>
            <w:tcBorders>
              <w:top w:val="nil"/>
              <w:left w:val="nil"/>
              <w:bottom w:val="single" w:color="auto" w:sz="4" w:space="0"/>
              <w:right w:val="single" w:color="auto" w:sz="4" w:space="0"/>
            </w:tcBorders>
            <w:shd w:val="clear" w:color="auto" w:fill="auto"/>
            <w:noWrap/>
            <w:vAlign w:val="center"/>
          </w:tcPr>
          <w:p w14:paraId="1FBEE198">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13B3DAF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1BC30E9B">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top w:val="nil"/>
              <w:left w:val="single" w:color="auto" w:sz="4" w:space="0"/>
              <w:bottom w:val="single" w:color="auto" w:sz="4" w:space="0"/>
              <w:right w:val="single" w:color="auto" w:sz="4" w:space="0"/>
            </w:tcBorders>
            <w:vAlign w:val="center"/>
          </w:tcPr>
          <w:p w14:paraId="577D9C5C">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613713AC">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工业用地综合容积率</w:t>
            </w:r>
          </w:p>
        </w:tc>
        <w:tc>
          <w:tcPr>
            <w:tcW w:w="1123" w:type="pct"/>
            <w:tcBorders>
              <w:top w:val="nil"/>
              <w:left w:val="nil"/>
              <w:bottom w:val="single" w:color="auto" w:sz="4" w:space="0"/>
              <w:right w:val="single" w:color="auto" w:sz="4" w:space="0"/>
            </w:tcBorders>
            <w:shd w:val="clear" w:color="auto" w:fill="auto"/>
            <w:noWrap/>
            <w:vAlign w:val="center"/>
          </w:tcPr>
          <w:p w14:paraId="6B5D4EE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1DD7D49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bottom w:val="single" w:color="auto" w:sz="4" w:space="0"/>
              <w:right w:val="single" w:color="auto" w:sz="4" w:space="0"/>
            </w:tcBorders>
            <w:vAlign w:val="center"/>
          </w:tcPr>
          <w:p w14:paraId="72C34E5C">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top w:val="nil"/>
              <w:left w:val="single" w:color="auto" w:sz="4" w:space="0"/>
              <w:bottom w:val="single" w:color="auto" w:sz="4" w:space="0"/>
              <w:right w:val="single" w:color="auto" w:sz="4" w:space="0"/>
            </w:tcBorders>
            <w:vAlign w:val="center"/>
          </w:tcPr>
          <w:p w14:paraId="0CF6E7D7">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0CCE2D2F">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工业用地建筑系数</w:t>
            </w:r>
          </w:p>
        </w:tc>
        <w:tc>
          <w:tcPr>
            <w:tcW w:w="1123" w:type="pct"/>
            <w:tcBorders>
              <w:top w:val="nil"/>
              <w:left w:val="nil"/>
              <w:bottom w:val="single" w:color="auto" w:sz="4" w:space="0"/>
              <w:right w:val="single" w:color="auto" w:sz="4" w:space="0"/>
            </w:tcBorders>
            <w:shd w:val="clear" w:color="auto" w:fill="auto"/>
            <w:noWrap/>
            <w:vAlign w:val="center"/>
          </w:tcPr>
          <w:p w14:paraId="6A227966">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5E87DF3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restart"/>
            <w:tcBorders>
              <w:top w:val="single" w:color="auto" w:sz="4" w:space="0"/>
              <w:right w:val="single" w:color="auto" w:sz="4" w:space="0"/>
            </w:tcBorders>
            <w:shd w:val="clear" w:color="auto" w:fill="auto"/>
            <w:vAlign w:val="center"/>
          </w:tcPr>
          <w:p w14:paraId="23E7A70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用地效益</w:t>
            </w:r>
          </w:p>
        </w:tc>
        <w:tc>
          <w:tcPr>
            <w:tcW w:w="989" w:type="pct"/>
            <w:vMerge w:val="restart"/>
            <w:tcBorders>
              <w:top w:val="nil"/>
              <w:left w:val="single" w:color="auto" w:sz="4" w:space="0"/>
              <w:right w:val="single" w:color="auto" w:sz="4" w:space="0"/>
            </w:tcBorders>
            <w:shd w:val="clear" w:color="auto" w:fill="auto"/>
            <w:vAlign w:val="center"/>
          </w:tcPr>
          <w:p w14:paraId="0C63E205">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产业用地投入</w:t>
            </w:r>
          </w:p>
          <w:p w14:paraId="210733C5">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产出效益</w:t>
            </w:r>
          </w:p>
        </w:tc>
        <w:tc>
          <w:tcPr>
            <w:tcW w:w="2184" w:type="pct"/>
            <w:tcBorders>
              <w:top w:val="nil"/>
              <w:left w:val="nil"/>
              <w:bottom w:val="single" w:color="auto" w:sz="4" w:space="0"/>
              <w:right w:val="single" w:color="auto" w:sz="4" w:space="0"/>
            </w:tcBorders>
            <w:shd w:val="clear" w:color="auto" w:fill="auto"/>
            <w:vAlign w:val="center"/>
          </w:tcPr>
          <w:p w14:paraId="681FD754">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工业用地固定资产投入强度</w:t>
            </w:r>
          </w:p>
        </w:tc>
        <w:tc>
          <w:tcPr>
            <w:tcW w:w="1123" w:type="pct"/>
            <w:tcBorders>
              <w:top w:val="nil"/>
              <w:left w:val="nil"/>
              <w:bottom w:val="single" w:color="auto" w:sz="4" w:space="0"/>
              <w:right w:val="single" w:color="auto" w:sz="4" w:space="0"/>
            </w:tcBorders>
            <w:shd w:val="clear" w:color="auto" w:fill="auto"/>
            <w:noWrap/>
            <w:vAlign w:val="center"/>
          </w:tcPr>
          <w:p w14:paraId="2CBA6E11">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3CB9B1A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7880CD1E">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vAlign w:val="center"/>
          </w:tcPr>
          <w:p w14:paraId="147D72AC">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1CE0F066">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工业用地固定资产投入强度</w:t>
            </w:r>
          </w:p>
        </w:tc>
        <w:tc>
          <w:tcPr>
            <w:tcW w:w="1123" w:type="pct"/>
            <w:tcBorders>
              <w:top w:val="nil"/>
              <w:left w:val="nil"/>
              <w:bottom w:val="single" w:color="auto" w:sz="4" w:space="0"/>
              <w:right w:val="single" w:color="auto" w:sz="4" w:space="0"/>
            </w:tcBorders>
            <w:shd w:val="clear" w:color="auto" w:fill="auto"/>
            <w:noWrap/>
            <w:vAlign w:val="center"/>
          </w:tcPr>
          <w:p w14:paraId="7F9E616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03ACD48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06EABF49">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vAlign w:val="center"/>
          </w:tcPr>
          <w:p w14:paraId="3A95535B">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1F4683F5">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工业用地地均税收</w:t>
            </w:r>
          </w:p>
        </w:tc>
        <w:tc>
          <w:tcPr>
            <w:tcW w:w="1123" w:type="pct"/>
            <w:tcBorders>
              <w:top w:val="nil"/>
              <w:left w:val="nil"/>
              <w:bottom w:val="single" w:color="auto" w:sz="4" w:space="0"/>
              <w:right w:val="single" w:color="auto" w:sz="4" w:space="0"/>
            </w:tcBorders>
            <w:shd w:val="clear" w:color="auto" w:fill="auto"/>
            <w:noWrap/>
            <w:vAlign w:val="center"/>
          </w:tcPr>
          <w:p w14:paraId="4701808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7D95ED4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3F6F27FE">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vAlign w:val="center"/>
          </w:tcPr>
          <w:p w14:paraId="5E805954">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7015ADA9">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高新技术企业地均税收</w:t>
            </w:r>
          </w:p>
        </w:tc>
        <w:tc>
          <w:tcPr>
            <w:tcW w:w="1123" w:type="pct"/>
            <w:tcBorders>
              <w:top w:val="nil"/>
              <w:left w:val="nil"/>
              <w:bottom w:val="single" w:color="auto" w:sz="4" w:space="0"/>
              <w:right w:val="single" w:color="auto" w:sz="4" w:space="0"/>
            </w:tcBorders>
            <w:shd w:val="clear" w:color="auto" w:fill="auto"/>
            <w:noWrap/>
            <w:vAlign w:val="center"/>
          </w:tcPr>
          <w:p w14:paraId="42767455">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1B9E7CB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bottom w:val="single" w:color="auto" w:sz="4" w:space="0"/>
              <w:right w:val="single" w:color="auto" w:sz="4" w:space="0"/>
            </w:tcBorders>
            <w:vAlign w:val="center"/>
          </w:tcPr>
          <w:p w14:paraId="4770211C">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bottom w:val="single" w:color="auto" w:sz="4" w:space="0"/>
              <w:right w:val="single" w:color="auto" w:sz="4" w:space="0"/>
            </w:tcBorders>
            <w:vAlign w:val="center"/>
          </w:tcPr>
          <w:p w14:paraId="35F5667D">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1A9ABA81">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单位面积</w:t>
            </w:r>
            <w:r>
              <w:rPr>
                <w:rFonts w:hint="eastAsia" w:ascii="宋体" w:hAnsi="宋体" w:eastAsia="宋体" w:cs="宋体"/>
                <w:color w:val="000000"/>
                <w:kern w:val="0"/>
                <w:sz w:val="18"/>
                <w:szCs w:val="18"/>
                <w:highlight w:val="none"/>
                <w:lang w:val="en-US" w:eastAsia="zh-CN"/>
              </w:rPr>
              <w:t>有效发明专利数</w:t>
            </w:r>
          </w:p>
        </w:tc>
        <w:tc>
          <w:tcPr>
            <w:tcW w:w="1123" w:type="pct"/>
            <w:tcBorders>
              <w:top w:val="nil"/>
              <w:left w:val="nil"/>
              <w:bottom w:val="single" w:color="auto" w:sz="4" w:space="0"/>
              <w:right w:val="single" w:color="auto" w:sz="4" w:space="0"/>
            </w:tcBorders>
            <w:shd w:val="clear" w:color="auto" w:fill="auto"/>
            <w:noWrap/>
            <w:vAlign w:val="center"/>
          </w:tcPr>
          <w:p w14:paraId="14858D64">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32368C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bottom w:val="single" w:color="auto" w:sz="4" w:space="0"/>
              <w:right w:val="single" w:color="auto" w:sz="4" w:space="0"/>
            </w:tcBorders>
            <w:vAlign w:val="center"/>
          </w:tcPr>
          <w:p w14:paraId="27ABB74F">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bottom w:val="single" w:color="auto" w:sz="4" w:space="0"/>
              <w:right w:val="single" w:color="auto" w:sz="4" w:space="0"/>
            </w:tcBorders>
            <w:vAlign w:val="center"/>
          </w:tcPr>
          <w:p w14:paraId="3BCDE764">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5582B9C8">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cs="宋体"/>
                <w:color w:val="000000"/>
                <w:kern w:val="0"/>
                <w:sz w:val="18"/>
                <w:szCs w:val="18"/>
                <w:highlight w:val="none"/>
                <w:lang w:val="en-US" w:eastAsia="zh-CN"/>
              </w:rPr>
              <w:t>单位面积</w:t>
            </w:r>
            <w:r>
              <w:rPr>
                <w:rFonts w:hint="eastAsia" w:ascii="宋体" w:hAnsi="宋体" w:eastAsia="宋体" w:cs="宋体"/>
                <w:color w:val="000000"/>
                <w:kern w:val="0"/>
                <w:sz w:val="18"/>
                <w:szCs w:val="18"/>
                <w:highlight w:val="none"/>
                <w:lang w:val="en-US" w:eastAsia="zh-CN"/>
              </w:rPr>
              <w:t>当年发明专利授权数</w:t>
            </w:r>
          </w:p>
        </w:tc>
        <w:tc>
          <w:tcPr>
            <w:tcW w:w="1123" w:type="pct"/>
            <w:tcBorders>
              <w:top w:val="nil"/>
              <w:left w:val="nil"/>
              <w:bottom w:val="single" w:color="auto" w:sz="4" w:space="0"/>
              <w:right w:val="single" w:color="auto" w:sz="4" w:space="0"/>
            </w:tcBorders>
            <w:shd w:val="clear" w:color="auto" w:fill="auto"/>
            <w:noWrap/>
            <w:vAlign w:val="center"/>
          </w:tcPr>
          <w:p w14:paraId="3133FF03">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2BCCC0E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restart"/>
            <w:tcBorders>
              <w:top w:val="single" w:color="auto" w:sz="4" w:space="0"/>
              <w:right w:val="single" w:color="auto" w:sz="4" w:space="0"/>
            </w:tcBorders>
            <w:shd w:val="clear" w:color="auto" w:fill="auto"/>
            <w:vAlign w:val="center"/>
          </w:tcPr>
          <w:p w14:paraId="7F56FF18">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管理绩效</w:t>
            </w:r>
          </w:p>
        </w:tc>
        <w:tc>
          <w:tcPr>
            <w:tcW w:w="989" w:type="pct"/>
            <w:vMerge w:val="restart"/>
            <w:tcBorders>
              <w:top w:val="nil"/>
              <w:left w:val="single" w:color="auto" w:sz="4" w:space="0"/>
              <w:right w:val="single" w:color="auto" w:sz="4" w:space="0"/>
            </w:tcBorders>
            <w:shd w:val="clear" w:color="auto" w:fill="auto"/>
            <w:vAlign w:val="center"/>
          </w:tcPr>
          <w:p w14:paraId="2B1354BA">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土地利用监管</w:t>
            </w:r>
          </w:p>
          <w:p w14:paraId="42BD1FA9">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绩效</w:t>
            </w:r>
          </w:p>
        </w:tc>
        <w:tc>
          <w:tcPr>
            <w:tcW w:w="2184" w:type="pct"/>
            <w:tcBorders>
              <w:top w:val="nil"/>
              <w:left w:val="nil"/>
              <w:bottom w:val="single" w:color="auto" w:sz="4" w:space="0"/>
              <w:right w:val="single" w:color="auto" w:sz="4" w:space="0"/>
            </w:tcBorders>
            <w:shd w:val="clear" w:color="auto" w:fill="auto"/>
            <w:vAlign w:val="center"/>
          </w:tcPr>
          <w:p w14:paraId="61BADE48">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工业低效用地处置计划完成率</w:t>
            </w:r>
          </w:p>
        </w:tc>
        <w:tc>
          <w:tcPr>
            <w:tcW w:w="1123" w:type="pct"/>
            <w:tcBorders>
              <w:top w:val="nil"/>
              <w:left w:val="nil"/>
              <w:bottom w:val="single" w:color="auto" w:sz="4" w:space="0"/>
              <w:right w:val="single" w:color="auto" w:sz="4" w:space="0"/>
            </w:tcBorders>
            <w:shd w:val="clear" w:color="auto" w:fill="auto"/>
            <w:noWrap/>
            <w:vAlign w:val="center"/>
          </w:tcPr>
          <w:p w14:paraId="36E4AA0F">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5F500FE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vAlign w:val="center"/>
          </w:tcPr>
          <w:p w14:paraId="5E2DD25B">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vAlign w:val="center"/>
          </w:tcPr>
          <w:p w14:paraId="07238EFE">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251EAC07">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土地闲置率</w:t>
            </w:r>
          </w:p>
        </w:tc>
        <w:tc>
          <w:tcPr>
            <w:tcW w:w="1123" w:type="pct"/>
            <w:tcBorders>
              <w:top w:val="nil"/>
              <w:left w:val="nil"/>
              <w:bottom w:val="single" w:color="auto" w:sz="4" w:space="0"/>
              <w:right w:val="single" w:color="auto" w:sz="4" w:space="0"/>
            </w:tcBorders>
            <w:shd w:val="clear" w:color="auto" w:fill="auto"/>
            <w:noWrap/>
            <w:vAlign w:val="center"/>
          </w:tcPr>
          <w:p w14:paraId="109EEC3A">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负向</w:t>
            </w:r>
          </w:p>
        </w:tc>
      </w:tr>
      <w:tr w14:paraId="4F6A009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shd w:val="clear" w:color="auto" w:fill="auto"/>
            <w:vAlign w:val="center"/>
          </w:tcPr>
          <w:p w14:paraId="3D817940">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shd w:val="clear" w:color="auto" w:fill="auto"/>
            <w:vAlign w:val="center"/>
          </w:tcPr>
          <w:p w14:paraId="0169FBE2">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nil"/>
              <w:left w:val="nil"/>
              <w:bottom w:val="single" w:color="auto" w:sz="4" w:space="0"/>
              <w:right w:val="single" w:color="auto" w:sz="4" w:space="0"/>
            </w:tcBorders>
            <w:shd w:val="clear" w:color="auto" w:fill="auto"/>
            <w:vAlign w:val="center"/>
          </w:tcPr>
          <w:p w14:paraId="30B28BB4">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闲置土地净减少率</w:t>
            </w:r>
          </w:p>
        </w:tc>
        <w:tc>
          <w:tcPr>
            <w:tcW w:w="1123" w:type="pct"/>
            <w:tcBorders>
              <w:top w:val="nil"/>
              <w:left w:val="nil"/>
              <w:bottom w:val="single" w:color="auto" w:sz="4" w:space="0"/>
              <w:right w:val="single" w:color="auto" w:sz="4" w:space="0"/>
            </w:tcBorders>
            <w:shd w:val="clear" w:color="auto" w:fill="auto"/>
            <w:noWrap/>
            <w:vAlign w:val="center"/>
          </w:tcPr>
          <w:p w14:paraId="10E11BC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276ADFF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21" w:hRule="atLeast"/>
          <w:jc w:val="center"/>
        </w:trPr>
        <w:tc>
          <w:tcPr>
            <w:tcW w:w="702" w:type="pct"/>
            <w:vMerge w:val="continue"/>
            <w:tcBorders>
              <w:right w:val="single" w:color="auto" w:sz="4" w:space="0"/>
            </w:tcBorders>
            <w:shd w:val="clear" w:color="auto" w:fill="auto"/>
            <w:vAlign w:val="center"/>
          </w:tcPr>
          <w:p w14:paraId="3AFA0DCA">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right w:val="single" w:color="auto" w:sz="4" w:space="0"/>
            </w:tcBorders>
            <w:shd w:val="clear" w:color="auto" w:fill="auto"/>
            <w:vAlign w:val="center"/>
          </w:tcPr>
          <w:p w14:paraId="183B8893">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single" w:color="auto" w:sz="4" w:space="0"/>
              <w:left w:val="single" w:color="auto" w:sz="4" w:space="0"/>
              <w:bottom w:val="single" w:color="auto" w:sz="4" w:space="0"/>
              <w:right w:val="single" w:color="auto" w:sz="4" w:space="0"/>
            </w:tcBorders>
            <w:shd w:val="clear" w:color="auto" w:fill="auto"/>
            <w:vAlign w:val="center"/>
          </w:tcPr>
          <w:p w14:paraId="28DC73B9">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节地示范</w:t>
            </w:r>
            <w:r>
              <w:rPr>
                <w:rFonts w:hint="eastAsia" w:ascii="宋体" w:hAnsi="宋体" w:cs="宋体"/>
                <w:color w:val="000000"/>
                <w:kern w:val="0"/>
                <w:sz w:val="18"/>
                <w:szCs w:val="18"/>
                <w:highlight w:val="none"/>
                <w:lang w:val="en-US" w:eastAsia="zh-CN"/>
              </w:rPr>
              <w:t>情况</w:t>
            </w:r>
          </w:p>
        </w:tc>
        <w:tc>
          <w:tcPr>
            <w:tcW w:w="112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AC8714B">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正向</w:t>
            </w:r>
          </w:p>
        </w:tc>
      </w:tr>
      <w:tr w14:paraId="0FD27F5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1" w:hRule="atLeast"/>
          <w:jc w:val="center"/>
        </w:trPr>
        <w:tc>
          <w:tcPr>
            <w:tcW w:w="702" w:type="pct"/>
            <w:vMerge w:val="continue"/>
            <w:tcBorders>
              <w:bottom w:val="single" w:color="auto" w:sz="4" w:space="0"/>
              <w:right w:val="single" w:color="auto" w:sz="4" w:space="0"/>
            </w:tcBorders>
            <w:shd w:val="clear" w:color="auto" w:fill="auto"/>
            <w:vAlign w:val="center"/>
          </w:tcPr>
          <w:p w14:paraId="160AD2F6">
            <w:pPr>
              <w:adjustRightInd w:val="0"/>
              <w:spacing w:line="400" w:lineRule="exact"/>
              <w:jc w:val="center"/>
              <w:rPr>
                <w:rFonts w:hint="eastAsia" w:ascii="宋体" w:hAnsi="宋体" w:eastAsia="宋体" w:cs="宋体"/>
                <w:color w:val="000000"/>
                <w:kern w:val="0"/>
                <w:sz w:val="18"/>
                <w:szCs w:val="18"/>
                <w:highlight w:val="none"/>
              </w:rPr>
            </w:pPr>
          </w:p>
        </w:tc>
        <w:tc>
          <w:tcPr>
            <w:tcW w:w="989" w:type="pct"/>
            <w:vMerge w:val="continue"/>
            <w:tcBorders>
              <w:left w:val="single" w:color="auto" w:sz="4" w:space="0"/>
              <w:bottom w:val="single" w:color="auto" w:sz="4" w:space="0"/>
              <w:right w:val="single" w:color="auto" w:sz="4" w:space="0"/>
            </w:tcBorders>
            <w:shd w:val="clear" w:color="auto" w:fill="auto"/>
            <w:vAlign w:val="center"/>
          </w:tcPr>
          <w:p w14:paraId="6CE966D6">
            <w:pPr>
              <w:adjustRightInd w:val="0"/>
              <w:spacing w:line="400" w:lineRule="exact"/>
              <w:jc w:val="center"/>
              <w:rPr>
                <w:rFonts w:hint="eastAsia" w:ascii="宋体" w:hAnsi="宋体" w:eastAsia="宋体" w:cs="宋体"/>
                <w:color w:val="000000"/>
                <w:kern w:val="0"/>
                <w:sz w:val="18"/>
                <w:szCs w:val="18"/>
                <w:highlight w:val="none"/>
              </w:rPr>
            </w:pPr>
          </w:p>
        </w:tc>
        <w:tc>
          <w:tcPr>
            <w:tcW w:w="2184" w:type="pct"/>
            <w:tcBorders>
              <w:top w:val="single" w:color="auto" w:sz="4" w:space="0"/>
              <w:left w:val="single" w:color="auto" w:sz="4" w:space="0"/>
              <w:bottom w:val="single" w:color="auto" w:sz="4" w:space="0"/>
              <w:right w:val="single" w:color="auto" w:sz="4" w:space="0"/>
            </w:tcBorders>
            <w:shd w:val="clear" w:color="auto" w:fill="auto"/>
            <w:vAlign w:val="center"/>
          </w:tcPr>
          <w:p w14:paraId="784F55C5">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新增违法</w:t>
            </w:r>
            <w:r>
              <w:rPr>
                <w:rFonts w:hint="eastAsia" w:ascii="宋体" w:hAnsi="宋体" w:cs="宋体"/>
                <w:color w:val="000000"/>
                <w:kern w:val="0"/>
                <w:sz w:val="18"/>
                <w:szCs w:val="18"/>
                <w:highlight w:val="none"/>
                <w:lang w:val="en-US" w:eastAsia="zh-CN"/>
              </w:rPr>
              <w:t>用地情况</w:t>
            </w:r>
          </w:p>
        </w:tc>
        <w:tc>
          <w:tcPr>
            <w:tcW w:w="112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B51643">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负向</w:t>
            </w:r>
          </w:p>
        </w:tc>
      </w:tr>
    </w:tbl>
    <w:p w14:paraId="21F7F1CC">
      <w:pPr>
        <w:pStyle w:val="141"/>
        <w:numPr>
          <w:ilvl w:val="0"/>
          <w:numId w:val="0"/>
        </w:numPr>
        <w:spacing w:before="0" w:beforeLines="0" w:after="0" w:afterLines="0"/>
        <w:rPr>
          <w:rFonts w:ascii="宋体" w:hAnsi="宋体"/>
          <w:highlight w:val="none"/>
        </w:rPr>
      </w:pPr>
    </w:p>
    <w:p w14:paraId="795C0392">
      <w:pPr>
        <w:pStyle w:val="141"/>
        <w:numPr>
          <w:ilvl w:val="0"/>
          <w:numId w:val="0"/>
        </w:numPr>
        <w:spacing w:before="0" w:beforeLines="0" w:after="0" w:afterLines="0"/>
        <w:jc w:val="center"/>
        <w:rPr>
          <w:highlight w:val="none"/>
        </w:rPr>
      </w:pPr>
      <w:r>
        <w:rPr>
          <w:highlight w:val="none"/>
        </w:rPr>
        <w:t xml:space="preserve">  </w:t>
      </w:r>
    </w:p>
    <w:p w14:paraId="7CB5623A">
      <w:pPr>
        <w:pStyle w:val="138"/>
        <w:rPr>
          <w:highlight w:val="none"/>
        </w:rPr>
      </w:pPr>
    </w:p>
    <w:p w14:paraId="31FD9AEE">
      <w:pPr>
        <w:pStyle w:val="138"/>
        <w:rPr>
          <w:highlight w:val="none"/>
        </w:rPr>
      </w:pPr>
    </w:p>
    <w:p w14:paraId="6D2C716C">
      <w:pPr>
        <w:pStyle w:val="138"/>
        <w:rPr>
          <w:highlight w:val="none"/>
        </w:rPr>
      </w:pPr>
    </w:p>
    <w:p w14:paraId="404BF8B7">
      <w:pPr>
        <w:pStyle w:val="127"/>
        <w:widowControl w:val="0"/>
        <w:numPr>
          <w:ilvl w:val="0"/>
          <w:numId w:val="23"/>
        </w:numPr>
        <w:autoSpaceDE w:val="0"/>
        <w:autoSpaceDN w:val="0"/>
        <w:spacing w:before="0" w:beforeLines="-2147483648" w:after="0" w:afterLines="-2147483648"/>
        <w:ind w:firstLine="42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海关</w:t>
      </w:r>
      <w:r>
        <w:rPr>
          <w:rFonts w:hint="eastAsia" w:ascii="Times New Roman" w:cs="Times New Roman"/>
          <w:highlight w:val="none"/>
          <w:lang w:val="en-US" w:eastAsia="zh-CN"/>
        </w:rPr>
        <w:t>类产业园</w:t>
      </w:r>
      <w:r>
        <w:rPr>
          <w:rFonts w:hint="eastAsia" w:ascii="Times New Roman" w:hAnsi="Times New Roman" w:cs="Times New Roman"/>
          <w:highlight w:val="none"/>
          <w:lang w:val="en-US" w:eastAsia="zh-CN"/>
        </w:rPr>
        <w:t>区土地集约利用评价指标表</w:t>
      </w:r>
    </w:p>
    <w:tbl>
      <w:tblPr>
        <w:tblStyle w:val="33"/>
        <w:tblW w:w="4293" w:type="pct"/>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236"/>
        <w:gridCol w:w="1685"/>
        <w:gridCol w:w="3421"/>
        <w:gridCol w:w="1875"/>
      </w:tblGrid>
      <w:tr w14:paraId="4D8EECC7">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641" w:hRule="atLeast"/>
          <w:jc w:val="center"/>
        </w:trPr>
        <w:tc>
          <w:tcPr>
            <w:tcW w:w="752" w:type="pct"/>
            <w:tcBorders>
              <w:bottom w:val="single" w:color="auto" w:sz="4" w:space="0"/>
              <w:right w:val="single" w:color="auto" w:sz="4" w:space="0"/>
            </w:tcBorders>
            <w:shd w:val="clear" w:color="auto" w:fill="auto"/>
            <w:vAlign w:val="center"/>
          </w:tcPr>
          <w:p w14:paraId="14D5F737">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目标</w:t>
            </w:r>
          </w:p>
        </w:tc>
        <w:tc>
          <w:tcPr>
            <w:tcW w:w="1025" w:type="pct"/>
            <w:tcBorders>
              <w:left w:val="nil"/>
              <w:bottom w:val="single" w:color="auto" w:sz="4" w:space="0"/>
              <w:right w:val="single" w:color="auto" w:sz="4" w:space="0"/>
            </w:tcBorders>
            <w:shd w:val="clear" w:color="auto" w:fill="auto"/>
            <w:vAlign w:val="center"/>
          </w:tcPr>
          <w:p w14:paraId="4F82933E">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子目标</w:t>
            </w:r>
          </w:p>
        </w:tc>
        <w:tc>
          <w:tcPr>
            <w:tcW w:w="2081" w:type="pct"/>
            <w:tcBorders>
              <w:left w:val="nil"/>
              <w:bottom w:val="single" w:color="auto" w:sz="4" w:space="0"/>
              <w:right w:val="single" w:color="auto" w:sz="4" w:space="0"/>
            </w:tcBorders>
            <w:shd w:val="clear" w:color="auto" w:fill="auto"/>
            <w:vAlign w:val="center"/>
          </w:tcPr>
          <w:p w14:paraId="38FF0CEA">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  标</w:t>
            </w:r>
          </w:p>
        </w:tc>
        <w:tc>
          <w:tcPr>
            <w:tcW w:w="1140" w:type="pct"/>
            <w:tcBorders>
              <w:left w:val="nil"/>
              <w:bottom w:val="single" w:color="auto" w:sz="4" w:space="0"/>
              <w:right w:val="single" w:color="auto" w:sz="4" w:space="0"/>
            </w:tcBorders>
            <w:shd w:val="clear" w:color="auto" w:fill="auto"/>
            <w:vAlign w:val="center"/>
          </w:tcPr>
          <w:p w14:paraId="0BB0E3D0">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指标属性</w:t>
            </w:r>
          </w:p>
        </w:tc>
      </w:tr>
      <w:tr w14:paraId="481B95E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restart"/>
            <w:tcBorders>
              <w:top w:val="single" w:color="auto" w:sz="4" w:space="0"/>
              <w:right w:val="single" w:color="auto" w:sz="4" w:space="0"/>
            </w:tcBorders>
            <w:shd w:val="clear" w:color="auto" w:fill="auto"/>
            <w:vAlign w:val="center"/>
          </w:tcPr>
          <w:p w14:paraId="352A69FF">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土地利用状况</w:t>
            </w:r>
          </w:p>
        </w:tc>
        <w:tc>
          <w:tcPr>
            <w:tcW w:w="1025" w:type="pct"/>
            <w:vMerge w:val="restart"/>
            <w:tcBorders>
              <w:top w:val="single" w:color="auto" w:sz="4" w:space="0"/>
              <w:left w:val="single" w:color="auto" w:sz="4" w:space="0"/>
              <w:right w:val="single" w:color="auto" w:sz="4" w:space="0"/>
            </w:tcBorders>
            <w:shd w:val="clear" w:color="auto" w:fill="auto"/>
            <w:vAlign w:val="center"/>
          </w:tcPr>
          <w:p w14:paraId="271F4428">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土地利用程度</w:t>
            </w:r>
          </w:p>
        </w:tc>
        <w:tc>
          <w:tcPr>
            <w:tcW w:w="2081" w:type="pct"/>
            <w:tcBorders>
              <w:top w:val="nil"/>
              <w:left w:val="nil"/>
              <w:bottom w:val="single" w:color="auto" w:sz="4" w:space="0"/>
              <w:right w:val="single" w:color="auto" w:sz="4" w:space="0"/>
            </w:tcBorders>
            <w:shd w:val="clear" w:color="auto" w:fill="auto"/>
            <w:vAlign w:val="center"/>
          </w:tcPr>
          <w:p w14:paraId="06CE3DBC">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土地供应率</w:t>
            </w:r>
          </w:p>
        </w:tc>
        <w:tc>
          <w:tcPr>
            <w:tcW w:w="1140" w:type="pct"/>
            <w:tcBorders>
              <w:top w:val="nil"/>
              <w:left w:val="nil"/>
              <w:bottom w:val="single" w:color="auto" w:sz="4" w:space="0"/>
              <w:right w:val="single" w:color="auto" w:sz="4" w:space="0"/>
            </w:tcBorders>
            <w:shd w:val="clear" w:color="auto" w:fill="auto"/>
            <w:noWrap/>
            <w:vAlign w:val="center"/>
          </w:tcPr>
          <w:p w14:paraId="0E586E89">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61D0120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shd w:val="clear" w:color="auto" w:fill="auto"/>
            <w:vAlign w:val="center"/>
          </w:tcPr>
          <w:p w14:paraId="422ABE2A">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right w:val="single" w:color="auto" w:sz="4" w:space="0"/>
            </w:tcBorders>
            <w:shd w:val="clear" w:color="auto" w:fill="auto"/>
            <w:vAlign w:val="center"/>
          </w:tcPr>
          <w:p w14:paraId="112201A8">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73BDDCFE">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土地建成率</w:t>
            </w:r>
          </w:p>
        </w:tc>
        <w:tc>
          <w:tcPr>
            <w:tcW w:w="1140" w:type="pct"/>
            <w:tcBorders>
              <w:top w:val="nil"/>
              <w:left w:val="nil"/>
              <w:bottom w:val="single" w:color="auto" w:sz="4" w:space="0"/>
              <w:right w:val="single" w:color="auto" w:sz="4" w:space="0"/>
            </w:tcBorders>
            <w:shd w:val="clear" w:color="auto" w:fill="auto"/>
            <w:noWrap/>
            <w:vAlign w:val="center"/>
          </w:tcPr>
          <w:p w14:paraId="37E5EB43">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29BB810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shd w:val="clear" w:color="auto" w:fill="auto"/>
            <w:vAlign w:val="center"/>
          </w:tcPr>
          <w:p w14:paraId="64CB7B75">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bottom w:val="single" w:color="auto" w:sz="4" w:space="0"/>
              <w:right w:val="single" w:color="auto" w:sz="4" w:space="0"/>
            </w:tcBorders>
            <w:shd w:val="clear" w:color="auto" w:fill="auto"/>
            <w:vAlign w:val="center"/>
          </w:tcPr>
          <w:p w14:paraId="0D6F3562">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5B6B82C1">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期末封闭围网面积开发率</w:t>
            </w:r>
          </w:p>
        </w:tc>
        <w:tc>
          <w:tcPr>
            <w:tcW w:w="1140" w:type="pct"/>
            <w:tcBorders>
              <w:top w:val="nil"/>
              <w:left w:val="nil"/>
              <w:bottom w:val="single" w:color="auto" w:sz="4" w:space="0"/>
              <w:right w:val="single" w:color="auto" w:sz="4" w:space="0"/>
            </w:tcBorders>
            <w:shd w:val="clear" w:color="auto" w:fill="auto"/>
            <w:noWrap/>
            <w:vAlign w:val="center"/>
          </w:tcPr>
          <w:p w14:paraId="5CFB351F">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2F75FA5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1" w:hRule="atLeast"/>
          <w:jc w:val="center"/>
        </w:trPr>
        <w:tc>
          <w:tcPr>
            <w:tcW w:w="752" w:type="pct"/>
            <w:vMerge w:val="continue"/>
            <w:tcBorders>
              <w:right w:val="single" w:color="auto" w:sz="4" w:space="0"/>
            </w:tcBorders>
            <w:vAlign w:val="center"/>
          </w:tcPr>
          <w:p w14:paraId="74361CCC">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restart"/>
            <w:tcBorders>
              <w:top w:val="single" w:color="auto" w:sz="4" w:space="0"/>
              <w:left w:val="single" w:color="auto" w:sz="4" w:space="0"/>
              <w:right w:val="single" w:color="auto" w:sz="4" w:space="0"/>
            </w:tcBorders>
            <w:vAlign w:val="center"/>
          </w:tcPr>
          <w:p w14:paraId="73ABEF2C">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用地结构状况</w:t>
            </w:r>
          </w:p>
        </w:tc>
        <w:tc>
          <w:tcPr>
            <w:tcW w:w="2081" w:type="pct"/>
            <w:tcBorders>
              <w:top w:val="nil"/>
              <w:left w:val="nil"/>
              <w:bottom w:val="single" w:color="auto" w:sz="4" w:space="0"/>
              <w:right w:val="single" w:color="auto" w:sz="4" w:space="0"/>
            </w:tcBorders>
            <w:shd w:val="clear" w:color="auto" w:fill="auto"/>
            <w:vAlign w:val="center"/>
          </w:tcPr>
          <w:p w14:paraId="5414252C">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工业用地率</w:t>
            </w:r>
          </w:p>
        </w:tc>
        <w:tc>
          <w:tcPr>
            <w:tcW w:w="1140" w:type="pct"/>
            <w:tcBorders>
              <w:top w:val="nil"/>
              <w:left w:val="nil"/>
              <w:bottom w:val="single" w:color="auto" w:sz="4" w:space="0"/>
              <w:right w:val="single" w:color="auto" w:sz="4" w:space="0"/>
            </w:tcBorders>
            <w:shd w:val="clear" w:color="auto" w:fill="auto"/>
            <w:noWrap/>
            <w:vAlign w:val="center"/>
          </w:tcPr>
          <w:p w14:paraId="3730A7FA">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01247DC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61" w:hRule="atLeast"/>
          <w:jc w:val="center"/>
        </w:trPr>
        <w:tc>
          <w:tcPr>
            <w:tcW w:w="752" w:type="pct"/>
            <w:vMerge w:val="continue"/>
            <w:tcBorders>
              <w:right w:val="single" w:color="auto" w:sz="4" w:space="0"/>
            </w:tcBorders>
            <w:vAlign w:val="center"/>
          </w:tcPr>
          <w:p w14:paraId="0C9975A5">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bottom w:val="single" w:color="auto" w:sz="4" w:space="0"/>
              <w:right w:val="single" w:color="auto" w:sz="4" w:space="0"/>
            </w:tcBorders>
            <w:vAlign w:val="center"/>
          </w:tcPr>
          <w:p w14:paraId="05D350C1">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021FAD66">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规上企业用地占比</w:t>
            </w:r>
          </w:p>
        </w:tc>
        <w:tc>
          <w:tcPr>
            <w:tcW w:w="1140" w:type="pct"/>
            <w:tcBorders>
              <w:top w:val="nil"/>
              <w:left w:val="nil"/>
              <w:bottom w:val="single" w:color="auto" w:sz="4" w:space="0"/>
              <w:right w:val="single" w:color="auto" w:sz="4" w:space="0"/>
            </w:tcBorders>
            <w:shd w:val="clear" w:color="auto" w:fill="auto"/>
            <w:noWrap/>
            <w:vAlign w:val="center"/>
          </w:tcPr>
          <w:p w14:paraId="7B77FB19">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7F81EF3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vAlign w:val="center"/>
          </w:tcPr>
          <w:p w14:paraId="62D371FD">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50A2A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土地利用强度</w:t>
            </w:r>
          </w:p>
        </w:tc>
        <w:tc>
          <w:tcPr>
            <w:tcW w:w="2081" w:type="pct"/>
            <w:tcBorders>
              <w:top w:val="nil"/>
              <w:left w:val="nil"/>
              <w:bottom w:val="single" w:color="auto" w:sz="4" w:space="0"/>
              <w:right w:val="single" w:color="auto" w:sz="4" w:space="0"/>
            </w:tcBorders>
            <w:shd w:val="clear" w:color="auto" w:fill="auto"/>
            <w:vAlign w:val="center"/>
          </w:tcPr>
          <w:p w14:paraId="043F7F8F">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综合容积率</w:t>
            </w:r>
          </w:p>
        </w:tc>
        <w:tc>
          <w:tcPr>
            <w:tcW w:w="1140" w:type="pct"/>
            <w:tcBorders>
              <w:top w:val="nil"/>
              <w:left w:val="nil"/>
              <w:bottom w:val="single" w:color="auto" w:sz="4" w:space="0"/>
              <w:right w:val="single" w:color="auto" w:sz="4" w:space="0"/>
            </w:tcBorders>
            <w:shd w:val="clear" w:color="auto" w:fill="auto"/>
            <w:noWrap/>
            <w:vAlign w:val="center"/>
          </w:tcPr>
          <w:p w14:paraId="06F93E1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2C9CC06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vAlign w:val="center"/>
          </w:tcPr>
          <w:p w14:paraId="40ADB668">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top w:val="single" w:color="auto" w:sz="4" w:space="0"/>
              <w:left w:val="single" w:color="auto" w:sz="4" w:space="0"/>
              <w:bottom w:val="single" w:color="auto" w:sz="4" w:space="0"/>
              <w:right w:val="single" w:color="auto" w:sz="4" w:space="0"/>
            </w:tcBorders>
            <w:vAlign w:val="center"/>
          </w:tcPr>
          <w:p w14:paraId="50E7BC17">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77476D86">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建筑密度</w:t>
            </w:r>
          </w:p>
        </w:tc>
        <w:tc>
          <w:tcPr>
            <w:tcW w:w="1140" w:type="pct"/>
            <w:tcBorders>
              <w:top w:val="nil"/>
              <w:left w:val="nil"/>
              <w:bottom w:val="single" w:color="auto" w:sz="4" w:space="0"/>
              <w:right w:val="single" w:color="auto" w:sz="4" w:space="0"/>
            </w:tcBorders>
            <w:shd w:val="clear" w:color="auto" w:fill="auto"/>
            <w:noWrap/>
            <w:vAlign w:val="center"/>
          </w:tcPr>
          <w:p w14:paraId="6220A80F">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4B0DE2F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vAlign w:val="center"/>
          </w:tcPr>
          <w:p w14:paraId="01907FAD">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top w:val="single" w:color="auto" w:sz="4" w:space="0"/>
              <w:left w:val="single" w:color="auto" w:sz="4" w:space="0"/>
              <w:bottom w:val="single" w:color="auto" w:sz="4" w:space="0"/>
              <w:right w:val="single" w:color="auto" w:sz="4" w:space="0"/>
            </w:tcBorders>
            <w:vAlign w:val="center"/>
          </w:tcPr>
          <w:p w14:paraId="1AB66B2D">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77041018">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工业用地综合容积率</w:t>
            </w:r>
          </w:p>
        </w:tc>
        <w:tc>
          <w:tcPr>
            <w:tcW w:w="1140" w:type="pct"/>
            <w:tcBorders>
              <w:top w:val="nil"/>
              <w:left w:val="nil"/>
              <w:bottom w:val="single" w:color="auto" w:sz="4" w:space="0"/>
              <w:right w:val="single" w:color="auto" w:sz="4" w:space="0"/>
            </w:tcBorders>
            <w:shd w:val="clear" w:color="auto" w:fill="auto"/>
            <w:noWrap/>
            <w:vAlign w:val="center"/>
          </w:tcPr>
          <w:p w14:paraId="5800A49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335A3EF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vAlign w:val="center"/>
          </w:tcPr>
          <w:p w14:paraId="55508AD5">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top w:val="single" w:color="auto" w:sz="4" w:space="0"/>
              <w:left w:val="single" w:color="auto" w:sz="4" w:space="0"/>
              <w:bottom w:val="single" w:color="auto" w:sz="4" w:space="0"/>
              <w:right w:val="single" w:color="auto" w:sz="4" w:space="0"/>
            </w:tcBorders>
            <w:vAlign w:val="center"/>
          </w:tcPr>
          <w:p w14:paraId="39C1FADD">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4D36C39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工业用地建筑系数</w:t>
            </w:r>
          </w:p>
        </w:tc>
        <w:tc>
          <w:tcPr>
            <w:tcW w:w="1140" w:type="pct"/>
            <w:tcBorders>
              <w:top w:val="nil"/>
              <w:left w:val="nil"/>
              <w:bottom w:val="single" w:color="auto" w:sz="4" w:space="0"/>
              <w:right w:val="single" w:color="auto" w:sz="4" w:space="0"/>
            </w:tcBorders>
            <w:shd w:val="clear" w:color="auto" w:fill="auto"/>
            <w:noWrap/>
            <w:vAlign w:val="center"/>
          </w:tcPr>
          <w:p w14:paraId="2CA6BED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5BFAA85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vAlign w:val="center"/>
          </w:tcPr>
          <w:p w14:paraId="7ED6F395">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top w:val="single" w:color="auto" w:sz="4" w:space="0"/>
              <w:left w:val="single" w:color="auto" w:sz="4" w:space="0"/>
              <w:bottom w:val="single" w:color="auto" w:sz="4" w:space="0"/>
              <w:right w:val="single" w:color="auto" w:sz="4" w:space="0"/>
            </w:tcBorders>
            <w:vAlign w:val="center"/>
          </w:tcPr>
          <w:p w14:paraId="6C6C2C50">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4019A52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工业用地综合容积率</w:t>
            </w:r>
          </w:p>
        </w:tc>
        <w:tc>
          <w:tcPr>
            <w:tcW w:w="1140" w:type="pct"/>
            <w:tcBorders>
              <w:top w:val="nil"/>
              <w:left w:val="nil"/>
              <w:bottom w:val="single" w:color="auto" w:sz="4" w:space="0"/>
              <w:right w:val="single" w:color="auto" w:sz="4" w:space="0"/>
            </w:tcBorders>
            <w:shd w:val="clear" w:color="auto" w:fill="auto"/>
            <w:noWrap/>
            <w:vAlign w:val="center"/>
          </w:tcPr>
          <w:p w14:paraId="1CBFA49D">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2B18066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bottom w:val="single" w:color="auto" w:sz="4" w:space="0"/>
              <w:right w:val="single" w:color="auto" w:sz="4" w:space="0"/>
            </w:tcBorders>
            <w:vAlign w:val="center"/>
          </w:tcPr>
          <w:p w14:paraId="551B9F59">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top w:val="single" w:color="auto" w:sz="4" w:space="0"/>
              <w:left w:val="single" w:color="auto" w:sz="4" w:space="0"/>
              <w:bottom w:val="single" w:color="auto" w:sz="4" w:space="0"/>
              <w:right w:val="single" w:color="auto" w:sz="4" w:space="0"/>
            </w:tcBorders>
            <w:vAlign w:val="center"/>
          </w:tcPr>
          <w:p w14:paraId="4784B96F">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4BDC028A">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工业用地建筑系数</w:t>
            </w:r>
          </w:p>
        </w:tc>
        <w:tc>
          <w:tcPr>
            <w:tcW w:w="1140" w:type="pct"/>
            <w:tcBorders>
              <w:top w:val="nil"/>
              <w:left w:val="nil"/>
              <w:bottom w:val="single" w:color="auto" w:sz="4" w:space="0"/>
              <w:right w:val="single" w:color="auto" w:sz="4" w:space="0"/>
            </w:tcBorders>
            <w:shd w:val="clear" w:color="auto" w:fill="auto"/>
            <w:noWrap/>
            <w:vAlign w:val="center"/>
          </w:tcPr>
          <w:p w14:paraId="3AC9D01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687961C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restart"/>
            <w:tcBorders>
              <w:top w:val="single" w:color="auto" w:sz="4" w:space="0"/>
              <w:right w:val="single" w:color="auto" w:sz="4" w:space="0"/>
            </w:tcBorders>
            <w:shd w:val="clear" w:color="auto" w:fill="auto"/>
            <w:vAlign w:val="center"/>
          </w:tcPr>
          <w:p w14:paraId="2C5D3CC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用地效益</w:t>
            </w:r>
          </w:p>
        </w:tc>
        <w:tc>
          <w:tcPr>
            <w:tcW w:w="1025" w:type="pct"/>
            <w:vMerge w:val="restart"/>
            <w:tcBorders>
              <w:top w:val="single" w:color="auto" w:sz="4" w:space="0"/>
              <w:left w:val="single" w:color="auto" w:sz="4" w:space="0"/>
              <w:right w:val="single" w:color="auto" w:sz="4" w:space="0"/>
            </w:tcBorders>
            <w:shd w:val="clear" w:color="auto" w:fill="auto"/>
            <w:vAlign w:val="center"/>
          </w:tcPr>
          <w:p w14:paraId="20922BFD">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产业用地投入产出效益</w:t>
            </w:r>
          </w:p>
        </w:tc>
        <w:tc>
          <w:tcPr>
            <w:tcW w:w="2081" w:type="pct"/>
            <w:tcBorders>
              <w:top w:val="single" w:color="auto" w:sz="4" w:space="0"/>
              <w:left w:val="single" w:color="auto" w:sz="4" w:space="0"/>
              <w:bottom w:val="single" w:color="auto" w:sz="4" w:space="0"/>
              <w:right w:val="single" w:color="auto" w:sz="4" w:space="0"/>
            </w:tcBorders>
            <w:shd w:val="clear" w:color="auto" w:fill="auto"/>
            <w:vAlign w:val="center"/>
          </w:tcPr>
          <w:p w14:paraId="187E6B11">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工业用地固定资产投入强度</w:t>
            </w:r>
          </w:p>
        </w:tc>
        <w:tc>
          <w:tcPr>
            <w:tcW w:w="11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BFC6C0">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3BEBBCE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vAlign w:val="center"/>
          </w:tcPr>
          <w:p w14:paraId="6A721348">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right w:val="single" w:color="auto" w:sz="4" w:space="0"/>
            </w:tcBorders>
            <w:vAlign w:val="center"/>
          </w:tcPr>
          <w:p w14:paraId="1C62533E">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50E31F8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w:t>
            </w:r>
            <w:r>
              <w:rPr>
                <w:rFonts w:hint="eastAsia" w:ascii="宋体" w:hAnsi="宋体" w:eastAsia="宋体" w:cs="宋体"/>
                <w:color w:val="000000"/>
                <w:kern w:val="0"/>
                <w:sz w:val="18"/>
                <w:szCs w:val="18"/>
                <w:highlight w:val="none"/>
              </w:rPr>
              <w:t>工业用地固定资产投入强度</w:t>
            </w:r>
          </w:p>
        </w:tc>
        <w:tc>
          <w:tcPr>
            <w:tcW w:w="1140" w:type="pct"/>
            <w:tcBorders>
              <w:top w:val="nil"/>
              <w:left w:val="nil"/>
              <w:bottom w:val="single" w:color="auto" w:sz="4" w:space="0"/>
              <w:right w:val="single" w:color="auto" w:sz="4" w:space="0"/>
            </w:tcBorders>
            <w:shd w:val="clear" w:color="auto" w:fill="auto"/>
            <w:noWrap/>
            <w:vAlign w:val="center"/>
          </w:tcPr>
          <w:p w14:paraId="31391AB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588842AE">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vAlign w:val="center"/>
          </w:tcPr>
          <w:p w14:paraId="6E6BA41E">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right w:val="single" w:color="auto" w:sz="4" w:space="0"/>
            </w:tcBorders>
            <w:vAlign w:val="center"/>
          </w:tcPr>
          <w:p w14:paraId="0FBD0EF9">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0E7543A5">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单位面积保税业务进出口值</w:t>
            </w:r>
          </w:p>
        </w:tc>
        <w:tc>
          <w:tcPr>
            <w:tcW w:w="1140" w:type="pct"/>
            <w:tcBorders>
              <w:top w:val="nil"/>
              <w:left w:val="nil"/>
              <w:bottom w:val="single" w:color="auto" w:sz="4" w:space="0"/>
              <w:right w:val="single" w:color="auto" w:sz="4" w:space="0"/>
            </w:tcBorders>
            <w:shd w:val="clear" w:color="auto" w:fill="auto"/>
            <w:noWrap/>
            <w:vAlign w:val="center"/>
          </w:tcPr>
          <w:p w14:paraId="1F88BC1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4574C3FC">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bottom w:val="single" w:color="auto" w:sz="4" w:space="0"/>
              <w:right w:val="single" w:color="auto" w:sz="4" w:space="0"/>
            </w:tcBorders>
            <w:vAlign w:val="center"/>
          </w:tcPr>
          <w:p w14:paraId="7BD8B04B">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bottom w:val="single" w:color="auto" w:sz="4" w:space="0"/>
              <w:right w:val="single" w:color="auto" w:sz="4" w:space="0"/>
            </w:tcBorders>
            <w:vAlign w:val="center"/>
          </w:tcPr>
          <w:p w14:paraId="7BE56521">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5AC06753">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单位面积货物贸易涉外收支额</w:t>
            </w:r>
          </w:p>
        </w:tc>
        <w:tc>
          <w:tcPr>
            <w:tcW w:w="1140" w:type="pct"/>
            <w:tcBorders>
              <w:top w:val="nil"/>
              <w:left w:val="nil"/>
              <w:bottom w:val="single" w:color="auto" w:sz="4" w:space="0"/>
              <w:right w:val="single" w:color="auto" w:sz="4" w:space="0"/>
            </w:tcBorders>
            <w:shd w:val="clear" w:color="auto" w:fill="auto"/>
            <w:noWrap/>
            <w:vAlign w:val="center"/>
          </w:tcPr>
          <w:p w14:paraId="2C107FC1">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115B558">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bottom w:val="single" w:color="auto" w:sz="4" w:space="0"/>
              <w:right w:val="single" w:color="auto" w:sz="4" w:space="0"/>
            </w:tcBorders>
            <w:vAlign w:val="center"/>
          </w:tcPr>
          <w:p w14:paraId="2D8BA5AF">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bottom w:val="single" w:color="auto" w:sz="4" w:space="0"/>
              <w:right w:val="single" w:color="auto" w:sz="4" w:space="0"/>
            </w:tcBorders>
            <w:vAlign w:val="center"/>
          </w:tcPr>
          <w:p w14:paraId="62AB625A">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08C9C857">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单位面积海关税收</w:t>
            </w:r>
          </w:p>
        </w:tc>
        <w:tc>
          <w:tcPr>
            <w:tcW w:w="1140" w:type="pct"/>
            <w:tcBorders>
              <w:top w:val="nil"/>
              <w:left w:val="nil"/>
              <w:bottom w:val="single" w:color="auto" w:sz="4" w:space="0"/>
              <w:right w:val="single" w:color="auto" w:sz="4" w:space="0"/>
            </w:tcBorders>
            <w:shd w:val="clear" w:color="auto" w:fill="auto"/>
            <w:noWrap/>
            <w:vAlign w:val="center"/>
          </w:tcPr>
          <w:p w14:paraId="417FF676">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437A85B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restart"/>
            <w:tcBorders>
              <w:top w:val="single" w:color="auto" w:sz="4" w:space="0"/>
              <w:right w:val="single" w:color="auto" w:sz="4" w:space="0"/>
            </w:tcBorders>
            <w:shd w:val="clear" w:color="auto" w:fill="auto"/>
            <w:vAlign w:val="center"/>
          </w:tcPr>
          <w:p w14:paraId="00B5D426">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管理绩效</w:t>
            </w:r>
          </w:p>
        </w:tc>
        <w:tc>
          <w:tcPr>
            <w:tcW w:w="1025" w:type="pct"/>
            <w:vMerge w:val="restart"/>
            <w:tcBorders>
              <w:top w:val="single" w:color="auto" w:sz="4" w:space="0"/>
              <w:left w:val="single" w:color="auto" w:sz="4" w:space="0"/>
              <w:right w:val="single" w:color="auto" w:sz="4" w:space="0"/>
            </w:tcBorders>
            <w:shd w:val="clear" w:color="auto" w:fill="auto"/>
            <w:vAlign w:val="center"/>
          </w:tcPr>
          <w:p w14:paraId="6736CF6B">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土地利用监管绩效</w:t>
            </w:r>
          </w:p>
        </w:tc>
        <w:tc>
          <w:tcPr>
            <w:tcW w:w="2081" w:type="pct"/>
            <w:tcBorders>
              <w:top w:val="nil"/>
              <w:left w:val="nil"/>
              <w:bottom w:val="single" w:color="auto" w:sz="4" w:space="0"/>
              <w:right w:val="single" w:color="auto" w:sz="4" w:space="0"/>
            </w:tcBorders>
            <w:shd w:val="clear" w:color="auto" w:fill="auto"/>
            <w:vAlign w:val="center"/>
          </w:tcPr>
          <w:p w14:paraId="214F126E">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工业低效用地处置计划完成率</w:t>
            </w:r>
          </w:p>
        </w:tc>
        <w:tc>
          <w:tcPr>
            <w:tcW w:w="1140" w:type="pct"/>
            <w:tcBorders>
              <w:top w:val="nil"/>
              <w:left w:val="nil"/>
              <w:bottom w:val="single" w:color="auto" w:sz="4" w:space="0"/>
              <w:right w:val="single" w:color="auto" w:sz="4" w:space="0"/>
            </w:tcBorders>
            <w:shd w:val="clear" w:color="auto" w:fill="auto"/>
            <w:noWrap/>
            <w:vAlign w:val="center"/>
          </w:tcPr>
          <w:p w14:paraId="0540317B">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7FF43BE1">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05" w:hRule="atLeast"/>
          <w:jc w:val="center"/>
        </w:trPr>
        <w:tc>
          <w:tcPr>
            <w:tcW w:w="752" w:type="pct"/>
            <w:vMerge w:val="continue"/>
            <w:tcBorders>
              <w:right w:val="single" w:color="auto" w:sz="4" w:space="0"/>
            </w:tcBorders>
            <w:shd w:val="clear" w:color="auto" w:fill="auto"/>
            <w:vAlign w:val="center"/>
          </w:tcPr>
          <w:p w14:paraId="14D00E14">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right w:val="single" w:color="auto" w:sz="4" w:space="0"/>
            </w:tcBorders>
            <w:shd w:val="clear" w:color="auto" w:fill="auto"/>
            <w:vAlign w:val="center"/>
          </w:tcPr>
          <w:p w14:paraId="21ADA089">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nil"/>
              <w:left w:val="nil"/>
              <w:bottom w:val="single" w:color="auto" w:sz="4" w:space="0"/>
              <w:right w:val="single" w:color="auto" w:sz="4" w:space="0"/>
            </w:tcBorders>
            <w:shd w:val="clear" w:color="auto" w:fill="auto"/>
            <w:vAlign w:val="center"/>
          </w:tcPr>
          <w:p w14:paraId="69C73565">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土地闲置率</w:t>
            </w:r>
          </w:p>
        </w:tc>
        <w:tc>
          <w:tcPr>
            <w:tcW w:w="1140" w:type="pct"/>
            <w:tcBorders>
              <w:top w:val="nil"/>
              <w:left w:val="nil"/>
              <w:bottom w:val="single" w:color="auto" w:sz="4" w:space="0"/>
              <w:right w:val="single" w:color="auto" w:sz="4" w:space="0"/>
            </w:tcBorders>
            <w:shd w:val="clear" w:color="auto" w:fill="auto"/>
            <w:noWrap/>
            <w:vAlign w:val="center"/>
          </w:tcPr>
          <w:p w14:paraId="3A09FF45">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负向</w:t>
            </w:r>
          </w:p>
        </w:tc>
      </w:tr>
      <w:tr w14:paraId="23AA22B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37" w:hRule="atLeast"/>
          <w:jc w:val="center"/>
        </w:trPr>
        <w:tc>
          <w:tcPr>
            <w:tcW w:w="752" w:type="pct"/>
            <w:vMerge w:val="continue"/>
            <w:tcBorders>
              <w:bottom w:val="single" w:color="auto" w:sz="4" w:space="0"/>
              <w:right w:val="single" w:color="auto" w:sz="4" w:space="0"/>
            </w:tcBorders>
            <w:shd w:val="clear" w:color="auto" w:fill="auto"/>
            <w:vAlign w:val="center"/>
          </w:tcPr>
          <w:p w14:paraId="46C9B4D3">
            <w:pPr>
              <w:adjustRightInd w:val="0"/>
              <w:spacing w:line="400" w:lineRule="exact"/>
              <w:jc w:val="center"/>
              <w:rPr>
                <w:rFonts w:hint="eastAsia" w:ascii="宋体" w:hAnsi="宋体" w:eastAsia="宋体" w:cs="宋体"/>
                <w:color w:val="000000"/>
                <w:kern w:val="0"/>
                <w:sz w:val="18"/>
                <w:szCs w:val="18"/>
                <w:highlight w:val="none"/>
              </w:rPr>
            </w:pPr>
          </w:p>
        </w:tc>
        <w:tc>
          <w:tcPr>
            <w:tcW w:w="1025" w:type="pct"/>
            <w:vMerge w:val="continue"/>
            <w:tcBorders>
              <w:left w:val="single" w:color="auto" w:sz="4" w:space="0"/>
              <w:bottom w:val="single" w:color="auto" w:sz="4" w:space="0"/>
              <w:right w:val="single" w:color="auto" w:sz="4" w:space="0"/>
            </w:tcBorders>
            <w:shd w:val="clear" w:color="auto" w:fill="auto"/>
            <w:vAlign w:val="center"/>
          </w:tcPr>
          <w:p w14:paraId="43D4CB6D">
            <w:pPr>
              <w:adjustRightInd w:val="0"/>
              <w:spacing w:line="400" w:lineRule="exact"/>
              <w:jc w:val="center"/>
              <w:rPr>
                <w:rFonts w:hint="eastAsia" w:ascii="宋体" w:hAnsi="宋体" w:eastAsia="宋体" w:cs="宋体"/>
                <w:color w:val="000000"/>
                <w:kern w:val="0"/>
                <w:sz w:val="18"/>
                <w:szCs w:val="18"/>
                <w:highlight w:val="none"/>
              </w:rPr>
            </w:pPr>
          </w:p>
        </w:tc>
        <w:tc>
          <w:tcPr>
            <w:tcW w:w="2081" w:type="pct"/>
            <w:tcBorders>
              <w:top w:val="single" w:color="auto" w:sz="4" w:space="0"/>
              <w:left w:val="single" w:color="auto" w:sz="4" w:space="0"/>
              <w:bottom w:val="single" w:color="auto" w:sz="4" w:space="0"/>
              <w:right w:val="single" w:color="auto" w:sz="4" w:space="0"/>
            </w:tcBorders>
            <w:shd w:val="clear" w:color="auto" w:fill="auto"/>
            <w:vAlign w:val="center"/>
          </w:tcPr>
          <w:p w14:paraId="1B9B773F">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闲置土地净减少率</w:t>
            </w:r>
          </w:p>
        </w:tc>
        <w:tc>
          <w:tcPr>
            <w:tcW w:w="11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3F448BB">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正向</w:t>
            </w:r>
          </w:p>
        </w:tc>
      </w:tr>
    </w:tbl>
    <w:p w14:paraId="1562BF17">
      <w:pPr>
        <w:pStyle w:val="141"/>
        <w:numPr>
          <w:ilvl w:val="0"/>
          <w:numId w:val="0"/>
        </w:numPr>
        <w:spacing w:before="0" w:beforeLines="0" w:after="0" w:afterLines="0"/>
        <w:jc w:val="center"/>
        <w:rPr>
          <w:rFonts w:ascii="宋体" w:hAnsi="宋体" w:eastAsia="宋体"/>
          <w:highlight w:val="none"/>
        </w:rPr>
      </w:pPr>
      <w:r>
        <w:rPr>
          <w:rFonts w:ascii="宋体" w:hAnsi="宋体" w:eastAsia="宋体"/>
          <w:highlight w:val="none"/>
        </w:rPr>
        <w:br w:type="page"/>
      </w:r>
    </w:p>
    <w:p w14:paraId="2807FE59">
      <w:pPr>
        <w:pStyle w:val="156"/>
        <w:numPr>
          <w:ilvl w:val="1"/>
          <w:numId w:val="0"/>
        </w:numPr>
        <w:bidi w:val="0"/>
        <w:ind w:leftChars="0"/>
        <w:jc w:val="center"/>
        <w:rPr>
          <w:rFonts w:hint="eastAsia" w:hAnsi="Times New Roman" w:cs="Times New Roman"/>
          <w:highlight w:val="none"/>
          <w:lang w:val="en-US" w:eastAsia="zh-CN"/>
        </w:rPr>
      </w:pPr>
    </w:p>
    <w:p w14:paraId="644B9C35">
      <w:pPr>
        <w:pStyle w:val="127"/>
        <w:widowControl w:val="0"/>
        <w:numPr>
          <w:ilvl w:val="0"/>
          <w:numId w:val="23"/>
        </w:numPr>
        <w:autoSpaceDE w:val="0"/>
        <w:autoSpaceDN w:val="0"/>
        <w:spacing w:before="0" w:beforeLines="-2147483648" w:after="0" w:afterLines="-2147483648"/>
        <w:ind w:firstLine="42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化工园区土地集约利用评价指标表</w:t>
      </w:r>
    </w:p>
    <w:tbl>
      <w:tblPr>
        <w:tblStyle w:val="33"/>
        <w:tblW w:w="4040" w:type="pct"/>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autofit"/>
        <w:tblCellMar>
          <w:top w:w="0" w:type="dxa"/>
          <w:left w:w="108" w:type="dxa"/>
          <w:bottom w:w="0" w:type="dxa"/>
          <w:right w:w="108" w:type="dxa"/>
        </w:tblCellMar>
      </w:tblPr>
      <w:tblGrid>
        <w:gridCol w:w="1063"/>
        <w:gridCol w:w="1985"/>
        <w:gridCol w:w="3427"/>
        <w:gridCol w:w="1258"/>
      </w:tblGrid>
      <w:tr w14:paraId="7D94350B">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52" w:hRule="atLeast"/>
          <w:jc w:val="center"/>
        </w:trPr>
        <w:tc>
          <w:tcPr>
            <w:tcW w:w="687" w:type="pct"/>
            <w:tcBorders>
              <w:bottom w:val="single" w:color="auto" w:sz="4" w:space="0"/>
              <w:right w:val="single" w:color="auto" w:sz="4" w:space="0"/>
            </w:tcBorders>
            <w:shd w:val="clear" w:color="auto" w:fill="auto"/>
            <w:vAlign w:val="center"/>
          </w:tcPr>
          <w:p w14:paraId="7269EDF0">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目标</w:t>
            </w:r>
          </w:p>
        </w:tc>
        <w:tc>
          <w:tcPr>
            <w:tcW w:w="1283" w:type="pct"/>
            <w:tcBorders>
              <w:left w:val="nil"/>
              <w:bottom w:val="single" w:color="auto" w:sz="4" w:space="0"/>
              <w:right w:val="single" w:color="auto" w:sz="4" w:space="0"/>
            </w:tcBorders>
            <w:shd w:val="clear" w:color="auto" w:fill="auto"/>
            <w:vAlign w:val="center"/>
          </w:tcPr>
          <w:p w14:paraId="6CB42671">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子目标</w:t>
            </w:r>
          </w:p>
        </w:tc>
        <w:tc>
          <w:tcPr>
            <w:tcW w:w="2215" w:type="pct"/>
            <w:tcBorders>
              <w:left w:val="nil"/>
              <w:bottom w:val="single" w:color="auto" w:sz="4" w:space="0"/>
              <w:right w:val="single" w:color="auto" w:sz="4" w:space="0"/>
            </w:tcBorders>
            <w:shd w:val="clear" w:color="auto" w:fill="auto"/>
            <w:vAlign w:val="center"/>
          </w:tcPr>
          <w:p w14:paraId="376E4909">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  标</w:t>
            </w:r>
          </w:p>
        </w:tc>
        <w:tc>
          <w:tcPr>
            <w:tcW w:w="813" w:type="pct"/>
            <w:tcBorders>
              <w:left w:val="nil"/>
              <w:bottom w:val="single" w:color="auto" w:sz="4" w:space="0"/>
              <w:right w:val="single" w:color="auto" w:sz="4" w:space="0"/>
            </w:tcBorders>
            <w:shd w:val="clear" w:color="auto" w:fill="auto"/>
            <w:vAlign w:val="center"/>
          </w:tcPr>
          <w:p w14:paraId="29525FF7">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指标属性</w:t>
            </w:r>
          </w:p>
        </w:tc>
      </w:tr>
      <w:tr w14:paraId="331E0C4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52" w:hRule="atLeast"/>
          <w:jc w:val="center"/>
        </w:trPr>
        <w:tc>
          <w:tcPr>
            <w:tcW w:w="687" w:type="pct"/>
            <w:vMerge w:val="restart"/>
            <w:tcBorders>
              <w:right w:val="single" w:color="auto" w:sz="4" w:space="0"/>
            </w:tcBorders>
            <w:shd w:val="clear" w:color="auto" w:fill="auto"/>
            <w:vAlign w:val="center"/>
          </w:tcPr>
          <w:p w14:paraId="435AA53E">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土地利用状况</w:t>
            </w:r>
          </w:p>
        </w:tc>
        <w:tc>
          <w:tcPr>
            <w:tcW w:w="1283" w:type="pct"/>
            <w:vMerge w:val="restart"/>
            <w:tcBorders>
              <w:left w:val="nil"/>
              <w:right w:val="single" w:color="auto" w:sz="4" w:space="0"/>
            </w:tcBorders>
            <w:shd w:val="clear" w:color="auto" w:fill="auto"/>
            <w:vAlign w:val="center"/>
          </w:tcPr>
          <w:p w14:paraId="161EC0D9">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土地利用程度</w:t>
            </w:r>
          </w:p>
        </w:tc>
        <w:tc>
          <w:tcPr>
            <w:tcW w:w="2215" w:type="pct"/>
            <w:tcBorders>
              <w:left w:val="nil"/>
              <w:bottom w:val="single" w:color="auto" w:sz="4" w:space="0"/>
              <w:right w:val="single" w:color="auto" w:sz="4" w:space="0"/>
            </w:tcBorders>
            <w:shd w:val="clear" w:color="auto" w:fill="auto"/>
            <w:vAlign w:val="center"/>
          </w:tcPr>
          <w:p w14:paraId="7F5E9AAC">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土地供应率</w:t>
            </w:r>
          </w:p>
        </w:tc>
        <w:tc>
          <w:tcPr>
            <w:tcW w:w="813" w:type="pct"/>
            <w:tcBorders>
              <w:left w:val="nil"/>
              <w:bottom w:val="single" w:color="auto" w:sz="4" w:space="0"/>
              <w:right w:val="single" w:color="auto" w:sz="4" w:space="0"/>
            </w:tcBorders>
            <w:shd w:val="clear" w:color="auto" w:fill="auto"/>
            <w:vAlign w:val="center"/>
          </w:tcPr>
          <w:p w14:paraId="353F6DD7">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正向</w:t>
            </w:r>
          </w:p>
        </w:tc>
      </w:tr>
      <w:tr w14:paraId="0CC3DB63">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52" w:hRule="atLeast"/>
          <w:jc w:val="center"/>
        </w:trPr>
        <w:tc>
          <w:tcPr>
            <w:tcW w:w="687" w:type="pct"/>
            <w:vMerge w:val="continue"/>
            <w:tcBorders>
              <w:right w:val="single" w:color="auto" w:sz="4" w:space="0"/>
            </w:tcBorders>
            <w:shd w:val="clear" w:color="auto" w:fill="auto"/>
            <w:vAlign w:val="center"/>
          </w:tcPr>
          <w:p w14:paraId="5210D472">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p>
        </w:tc>
        <w:tc>
          <w:tcPr>
            <w:tcW w:w="1283" w:type="pct"/>
            <w:vMerge w:val="continue"/>
            <w:tcBorders>
              <w:left w:val="nil"/>
              <w:right w:val="single" w:color="auto" w:sz="4" w:space="0"/>
            </w:tcBorders>
            <w:shd w:val="clear" w:color="auto" w:fill="auto"/>
            <w:vAlign w:val="center"/>
          </w:tcPr>
          <w:p w14:paraId="311D10B6">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p>
        </w:tc>
        <w:tc>
          <w:tcPr>
            <w:tcW w:w="2215" w:type="pct"/>
            <w:tcBorders>
              <w:left w:val="nil"/>
              <w:bottom w:val="single" w:color="auto" w:sz="4" w:space="0"/>
              <w:right w:val="single" w:color="auto" w:sz="4" w:space="0"/>
            </w:tcBorders>
            <w:shd w:val="clear" w:color="auto" w:fill="auto"/>
            <w:vAlign w:val="center"/>
          </w:tcPr>
          <w:p w14:paraId="193633F3">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土地建成率</w:t>
            </w:r>
          </w:p>
        </w:tc>
        <w:tc>
          <w:tcPr>
            <w:tcW w:w="813" w:type="pct"/>
            <w:tcBorders>
              <w:left w:val="nil"/>
              <w:bottom w:val="single" w:color="auto" w:sz="4" w:space="0"/>
              <w:right w:val="single" w:color="auto" w:sz="4" w:space="0"/>
            </w:tcBorders>
            <w:shd w:val="clear" w:color="auto" w:fill="auto"/>
            <w:vAlign w:val="center"/>
          </w:tcPr>
          <w:p w14:paraId="19D6D9B7">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正向</w:t>
            </w:r>
          </w:p>
        </w:tc>
      </w:tr>
      <w:tr w14:paraId="1E65638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552" w:hRule="atLeast"/>
          <w:jc w:val="center"/>
        </w:trPr>
        <w:tc>
          <w:tcPr>
            <w:tcW w:w="687" w:type="pct"/>
            <w:vMerge w:val="continue"/>
            <w:tcBorders>
              <w:right w:val="single" w:color="auto" w:sz="4" w:space="0"/>
            </w:tcBorders>
            <w:shd w:val="clear" w:color="auto" w:fill="auto"/>
            <w:vAlign w:val="center"/>
          </w:tcPr>
          <w:p w14:paraId="1EE80F6D">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p>
        </w:tc>
        <w:tc>
          <w:tcPr>
            <w:tcW w:w="1283" w:type="pct"/>
            <w:vMerge w:val="continue"/>
            <w:tcBorders>
              <w:left w:val="nil"/>
              <w:right w:val="single" w:color="auto" w:sz="4" w:space="0"/>
            </w:tcBorders>
            <w:shd w:val="clear" w:color="auto" w:fill="auto"/>
            <w:vAlign w:val="center"/>
          </w:tcPr>
          <w:p w14:paraId="34EDAAC5">
            <w:pPr>
              <w:keepNext w:val="0"/>
              <w:keepLines w:val="0"/>
              <w:pageBreakBefore w:val="0"/>
              <w:widowControl w:val="0"/>
              <w:kinsoku/>
              <w:wordWrap/>
              <w:overflowPunct/>
              <w:topLinePunct w:val="0"/>
              <w:autoSpaceDE/>
              <w:autoSpaceDN/>
              <w:bidi w:val="0"/>
              <w:adjustRightInd w:val="0"/>
              <w:snapToGrid/>
              <w:spacing w:line="320" w:lineRule="exact"/>
              <w:jc w:val="center"/>
              <w:textAlignment w:val="auto"/>
              <w:rPr>
                <w:rFonts w:hint="eastAsia" w:ascii="宋体" w:hAnsi="宋体" w:eastAsia="宋体" w:cs="宋体"/>
                <w:color w:val="000000"/>
                <w:kern w:val="0"/>
                <w:sz w:val="18"/>
                <w:szCs w:val="18"/>
                <w:highlight w:val="none"/>
              </w:rPr>
            </w:pPr>
          </w:p>
        </w:tc>
        <w:tc>
          <w:tcPr>
            <w:tcW w:w="2215" w:type="pct"/>
            <w:tcBorders>
              <w:left w:val="nil"/>
              <w:bottom w:val="single" w:color="auto" w:sz="4" w:space="0"/>
              <w:right w:val="single" w:color="auto" w:sz="4" w:space="0"/>
            </w:tcBorders>
            <w:shd w:val="clear" w:color="auto" w:fill="auto"/>
            <w:vAlign w:val="center"/>
          </w:tcPr>
          <w:p w14:paraId="493EF011">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土地开发率</w:t>
            </w:r>
          </w:p>
        </w:tc>
        <w:tc>
          <w:tcPr>
            <w:tcW w:w="813" w:type="pct"/>
            <w:tcBorders>
              <w:left w:val="nil"/>
              <w:bottom w:val="single" w:color="auto" w:sz="4" w:space="0"/>
              <w:right w:val="single" w:color="auto" w:sz="4" w:space="0"/>
            </w:tcBorders>
            <w:shd w:val="clear" w:color="auto" w:fill="auto"/>
            <w:vAlign w:val="center"/>
          </w:tcPr>
          <w:p w14:paraId="6AB87F7D">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正向</w:t>
            </w:r>
          </w:p>
        </w:tc>
      </w:tr>
      <w:tr w14:paraId="715D0A0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80" w:hRule="atLeast"/>
          <w:jc w:val="center"/>
        </w:trPr>
        <w:tc>
          <w:tcPr>
            <w:tcW w:w="687" w:type="pct"/>
            <w:vMerge w:val="continue"/>
            <w:tcBorders>
              <w:right w:val="single" w:color="auto" w:sz="4" w:space="0"/>
            </w:tcBorders>
            <w:vAlign w:val="center"/>
          </w:tcPr>
          <w:p w14:paraId="4682E8D6">
            <w:pPr>
              <w:adjustRightInd w:val="0"/>
              <w:spacing w:line="400" w:lineRule="exact"/>
              <w:jc w:val="center"/>
              <w:rPr>
                <w:rFonts w:hint="eastAsia" w:ascii="宋体" w:hAnsi="宋体" w:eastAsia="宋体" w:cs="宋体"/>
                <w:color w:val="000000"/>
                <w:kern w:val="0"/>
                <w:sz w:val="18"/>
                <w:szCs w:val="18"/>
                <w:highlight w:val="none"/>
                <w:lang w:val="en-US" w:eastAsia="zh-CN"/>
              </w:rPr>
            </w:pPr>
          </w:p>
        </w:tc>
        <w:tc>
          <w:tcPr>
            <w:tcW w:w="1283" w:type="pct"/>
            <w:vMerge w:val="restart"/>
            <w:tcBorders>
              <w:top w:val="single" w:color="auto" w:sz="4" w:space="0"/>
              <w:left w:val="single" w:color="auto" w:sz="4" w:space="0"/>
              <w:right w:val="single" w:color="auto" w:sz="4" w:space="0"/>
            </w:tcBorders>
            <w:vAlign w:val="center"/>
          </w:tcPr>
          <w:p w14:paraId="5288001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用地结构状况</w:t>
            </w:r>
          </w:p>
        </w:tc>
        <w:tc>
          <w:tcPr>
            <w:tcW w:w="2215" w:type="pct"/>
            <w:tcBorders>
              <w:top w:val="nil"/>
              <w:left w:val="nil"/>
              <w:bottom w:val="single" w:color="auto" w:sz="4" w:space="0"/>
              <w:right w:val="single" w:color="auto" w:sz="4" w:space="0"/>
            </w:tcBorders>
            <w:shd w:val="clear" w:color="auto" w:fill="auto"/>
            <w:vAlign w:val="center"/>
          </w:tcPr>
          <w:p w14:paraId="29172511">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化工产业</w:t>
            </w:r>
            <w:r>
              <w:rPr>
                <w:rFonts w:hint="eastAsia" w:ascii="宋体" w:hAnsi="宋体" w:eastAsia="宋体" w:cs="宋体"/>
                <w:color w:val="000000"/>
                <w:kern w:val="0"/>
                <w:sz w:val="18"/>
                <w:szCs w:val="18"/>
                <w:highlight w:val="none"/>
              </w:rPr>
              <w:t>用地率</w:t>
            </w:r>
          </w:p>
        </w:tc>
        <w:tc>
          <w:tcPr>
            <w:tcW w:w="813" w:type="pct"/>
            <w:tcBorders>
              <w:top w:val="nil"/>
              <w:left w:val="nil"/>
              <w:bottom w:val="single" w:color="auto" w:sz="4" w:space="0"/>
              <w:right w:val="single" w:color="auto" w:sz="4" w:space="0"/>
            </w:tcBorders>
            <w:shd w:val="clear" w:color="auto" w:fill="auto"/>
            <w:noWrap/>
            <w:vAlign w:val="center"/>
          </w:tcPr>
          <w:p w14:paraId="55AD6DF2">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250E931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80" w:hRule="atLeast"/>
          <w:jc w:val="center"/>
        </w:trPr>
        <w:tc>
          <w:tcPr>
            <w:tcW w:w="687" w:type="pct"/>
            <w:vMerge w:val="continue"/>
            <w:tcBorders>
              <w:right w:val="single" w:color="auto" w:sz="4" w:space="0"/>
            </w:tcBorders>
            <w:vAlign w:val="center"/>
          </w:tcPr>
          <w:p w14:paraId="14BE8084">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left w:val="single" w:color="auto" w:sz="4" w:space="0"/>
              <w:right w:val="single" w:color="auto" w:sz="4" w:space="0"/>
            </w:tcBorders>
            <w:vAlign w:val="center"/>
          </w:tcPr>
          <w:p w14:paraId="5B3C0DBA">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120CDA3F">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公用工程用地率</w:t>
            </w:r>
          </w:p>
        </w:tc>
        <w:tc>
          <w:tcPr>
            <w:tcW w:w="813" w:type="pct"/>
            <w:tcBorders>
              <w:top w:val="nil"/>
              <w:left w:val="nil"/>
              <w:bottom w:val="single" w:color="auto" w:sz="4" w:space="0"/>
              <w:right w:val="single" w:color="auto" w:sz="4" w:space="0"/>
            </w:tcBorders>
            <w:shd w:val="clear" w:color="auto" w:fill="auto"/>
            <w:noWrap/>
            <w:vAlign w:val="center"/>
          </w:tcPr>
          <w:p w14:paraId="1B30DCE6">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负向</w:t>
            </w:r>
          </w:p>
        </w:tc>
      </w:tr>
      <w:tr w14:paraId="4674343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80" w:hRule="atLeast"/>
          <w:jc w:val="center"/>
        </w:trPr>
        <w:tc>
          <w:tcPr>
            <w:tcW w:w="687" w:type="pct"/>
            <w:vMerge w:val="continue"/>
            <w:tcBorders>
              <w:right w:val="single" w:color="auto" w:sz="4" w:space="0"/>
            </w:tcBorders>
            <w:vAlign w:val="center"/>
          </w:tcPr>
          <w:p w14:paraId="655B7DB4">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left w:val="single" w:color="auto" w:sz="4" w:space="0"/>
              <w:right w:val="single" w:color="auto" w:sz="4" w:space="0"/>
            </w:tcBorders>
            <w:vAlign w:val="center"/>
          </w:tcPr>
          <w:p w14:paraId="70413F80">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746DD807">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规上企业用地占比</w:t>
            </w:r>
          </w:p>
        </w:tc>
        <w:tc>
          <w:tcPr>
            <w:tcW w:w="813" w:type="pct"/>
            <w:tcBorders>
              <w:top w:val="nil"/>
              <w:left w:val="nil"/>
              <w:bottom w:val="single" w:color="auto" w:sz="4" w:space="0"/>
              <w:right w:val="single" w:color="auto" w:sz="4" w:space="0"/>
            </w:tcBorders>
            <w:shd w:val="clear" w:color="auto" w:fill="auto"/>
            <w:noWrap/>
            <w:vAlign w:val="center"/>
          </w:tcPr>
          <w:p w14:paraId="56CBEDB8">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14AB653D">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right w:val="single" w:color="auto" w:sz="4" w:space="0"/>
            </w:tcBorders>
            <w:vAlign w:val="center"/>
          </w:tcPr>
          <w:p w14:paraId="00569C70">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A08010">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土地利用强度</w:t>
            </w:r>
          </w:p>
        </w:tc>
        <w:tc>
          <w:tcPr>
            <w:tcW w:w="2215" w:type="pct"/>
            <w:tcBorders>
              <w:top w:val="nil"/>
              <w:left w:val="nil"/>
              <w:bottom w:val="single" w:color="auto" w:sz="4" w:space="0"/>
              <w:right w:val="single" w:color="auto" w:sz="4" w:space="0"/>
            </w:tcBorders>
            <w:shd w:val="clear" w:color="auto" w:fill="auto"/>
            <w:vAlign w:val="center"/>
          </w:tcPr>
          <w:p w14:paraId="4BC1BA74">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化工产业用地综合容积率</w:t>
            </w:r>
          </w:p>
        </w:tc>
        <w:tc>
          <w:tcPr>
            <w:tcW w:w="813" w:type="pct"/>
            <w:tcBorders>
              <w:top w:val="nil"/>
              <w:left w:val="nil"/>
              <w:bottom w:val="single" w:color="auto" w:sz="4" w:space="0"/>
              <w:right w:val="single" w:color="auto" w:sz="4" w:space="0"/>
            </w:tcBorders>
            <w:shd w:val="clear" w:color="auto" w:fill="auto"/>
            <w:noWrap/>
            <w:vAlign w:val="center"/>
          </w:tcPr>
          <w:p w14:paraId="1FEF7C57">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59964C8A">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0" w:hRule="atLeast"/>
          <w:jc w:val="center"/>
        </w:trPr>
        <w:tc>
          <w:tcPr>
            <w:tcW w:w="687" w:type="pct"/>
            <w:vMerge w:val="continue"/>
            <w:tcBorders>
              <w:right w:val="single" w:color="auto" w:sz="4" w:space="0"/>
            </w:tcBorders>
            <w:vAlign w:val="center"/>
          </w:tcPr>
          <w:p w14:paraId="2063B85D">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top w:val="single" w:color="auto" w:sz="4" w:space="0"/>
              <w:left w:val="single" w:color="auto" w:sz="4" w:space="0"/>
              <w:bottom w:val="single" w:color="auto" w:sz="4" w:space="0"/>
              <w:right w:val="single" w:color="auto" w:sz="4" w:space="0"/>
            </w:tcBorders>
            <w:vAlign w:val="center"/>
          </w:tcPr>
          <w:p w14:paraId="13C401C7">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0326012E">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化工产业用地建筑系数</w:t>
            </w:r>
          </w:p>
        </w:tc>
        <w:tc>
          <w:tcPr>
            <w:tcW w:w="813" w:type="pct"/>
            <w:tcBorders>
              <w:top w:val="nil"/>
              <w:left w:val="nil"/>
              <w:bottom w:val="single" w:color="auto" w:sz="4" w:space="0"/>
              <w:right w:val="single" w:color="auto" w:sz="4" w:space="0"/>
            </w:tcBorders>
            <w:shd w:val="clear" w:color="auto" w:fill="auto"/>
            <w:noWrap/>
            <w:vAlign w:val="center"/>
          </w:tcPr>
          <w:p w14:paraId="7970BB58">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47A85D30">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right w:val="single" w:color="auto" w:sz="4" w:space="0"/>
            </w:tcBorders>
            <w:vAlign w:val="center"/>
          </w:tcPr>
          <w:p w14:paraId="52F42B2E">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top w:val="single" w:color="auto" w:sz="4" w:space="0"/>
              <w:left w:val="single" w:color="auto" w:sz="4" w:space="0"/>
              <w:bottom w:val="single" w:color="auto" w:sz="4" w:space="0"/>
              <w:right w:val="single" w:color="auto" w:sz="4" w:space="0"/>
            </w:tcBorders>
            <w:vAlign w:val="center"/>
          </w:tcPr>
          <w:p w14:paraId="3249EC8C">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40CD7EC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新建化工产业</w:t>
            </w:r>
            <w:r>
              <w:rPr>
                <w:rFonts w:hint="eastAsia" w:ascii="宋体" w:hAnsi="宋体" w:eastAsia="宋体" w:cs="宋体"/>
                <w:color w:val="000000"/>
                <w:kern w:val="0"/>
                <w:sz w:val="18"/>
                <w:szCs w:val="18"/>
                <w:highlight w:val="none"/>
              </w:rPr>
              <w:t>用地综合容积率</w:t>
            </w:r>
          </w:p>
        </w:tc>
        <w:tc>
          <w:tcPr>
            <w:tcW w:w="813" w:type="pct"/>
            <w:tcBorders>
              <w:top w:val="nil"/>
              <w:left w:val="nil"/>
              <w:bottom w:val="single" w:color="auto" w:sz="4" w:space="0"/>
              <w:right w:val="single" w:color="auto" w:sz="4" w:space="0"/>
            </w:tcBorders>
            <w:shd w:val="clear" w:color="auto" w:fill="auto"/>
            <w:noWrap/>
            <w:vAlign w:val="center"/>
          </w:tcPr>
          <w:p w14:paraId="20F88235">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076DC22F">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bottom w:val="single" w:color="auto" w:sz="4" w:space="0"/>
              <w:right w:val="single" w:color="auto" w:sz="4" w:space="0"/>
            </w:tcBorders>
            <w:vAlign w:val="center"/>
          </w:tcPr>
          <w:p w14:paraId="5E21A377">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top w:val="single" w:color="auto" w:sz="4" w:space="0"/>
              <w:left w:val="single" w:color="auto" w:sz="4" w:space="0"/>
              <w:bottom w:val="single" w:color="auto" w:sz="4" w:space="0"/>
              <w:right w:val="single" w:color="auto" w:sz="4" w:space="0"/>
            </w:tcBorders>
            <w:vAlign w:val="center"/>
          </w:tcPr>
          <w:p w14:paraId="6FF67C24">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61177627">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lang w:val="en-US" w:eastAsia="zh-CN"/>
              </w:rPr>
              <w:t>新建化工产业</w:t>
            </w:r>
            <w:r>
              <w:rPr>
                <w:rFonts w:hint="eastAsia" w:ascii="宋体" w:hAnsi="宋体" w:eastAsia="宋体" w:cs="宋体"/>
                <w:color w:val="000000"/>
                <w:kern w:val="0"/>
                <w:sz w:val="18"/>
                <w:szCs w:val="18"/>
                <w:highlight w:val="none"/>
              </w:rPr>
              <w:t>用地建筑系数</w:t>
            </w:r>
          </w:p>
        </w:tc>
        <w:tc>
          <w:tcPr>
            <w:tcW w:w="813" w:type="pct"/>
            <w:tcBorders>
              <w:top w:val="nil"/>
              <w:left w:val="nil"/>
              <w:bottom w:val="single" w:color="auto" w:sz="4" w:space="0"/>
              <w:right w:val="single" w:color="auto" w:sz="4" w:space="0"/>
            </w:tcBorders>
            <w:shd w:val="clear" w:color="auto" w:fill="auto"/>
            <w:noWrap/>
            <w:vAlign w:val="center"/>
          </w:tcPr>
          <w:p w14:paraId="64EF8AC5">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636B1FA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45" w:hRule="atLeast"/>
          <w:jc w:val="center"/>
        </w:trPr>
        <w:tc>
          <w:tcPr>
            <w:tcW w:w="687" w:type="pct"/>
            <w:vMerge w:val="restart"/>
            <w:tcBorders>
              <w:top w:val="single" w:color="auto" w:sz="4" w:space="0"/>
              <w:right w:val="single" w:color="auto" w:sz="4" w:space="0"/>
            </w:tcBorders>
            <w:shd w:val="clear" w:color="auto" w:fill="auto"/>
            <w:vAlign w:val="center"/>
          </w:tcPr>
          <w:p w14:paraId="62AD27A9">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用地效益</w:t>
            </w:r>
          </w:p>
        </w:tc>
        <w:tc>
          <w:tcPr>
            <w:tcW w:w="1283" w:type="pct"/>
            <w:vMerge w:val="restart"/>
            <w:tcBorders>
              <w:top w:val="single" w:color="auto" w:sz="4" w:space="0"/>
              <w:left w:val="single" w:color="auto" w:sz="4" w:space="0"/>
              <w:right w:val="single" w:color="auto" w:sz="4" w:space="0"/>
            </w:tcBorders>
            <w:shd w:val="clear" w:color="auto" w:fill="auto"/>
            <w:vAlign w:val="center"/>
          </w:tcPr>
          <w:p w14:paraId="36649BB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产业用地投入产出</w:t>
            </w:r>
          </w:p>
          <w:p w14:paraId="3645C67E">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效益</w:t>
            </w:r>
          </w:p>
        </w:tc>
        <w:tc>
          <w:tcPr>
            <w:tcW w:w="2215" w:type="pct"/>
            <w:tcBorders>
              <w:top w:val="single" w:color="auto" w:sz="4" w:space="0"/>
              <w:left w:val="single" w:color="auto" w:sz="4" w:space="0"/>
              <w:bottom w:val="single" w:color="auto" w:sz="4" w:space="0"/>
              <w:right w:val="single" w:color="auto" w:sz="4" w:space="0"/>
            </w:tcBorders>
            <w:shd w:val="clear" w:color="auto" w:fill="auto"/>
            <w:vAlign w:val="center"/>
          </w:tcPr>
          <w:p w14:paraId="015282CD">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化工产业</w:t>
            </w:r>
            <w:r>
              <w:rPr>
                <w:rFonts w:hint="eastAsia" w:ascii="宋体" w:hAnsi="宋体" w:eastAsia="宋体" w:cs="宋体"/>
                <w:color w:val="000000"/>
                <w:kern w:val="0"/>
                <w:sz w:val="18"/>
                <w:szCs w:val="18"/>
                <w:highlight w:val="none"/>
              </w:rPr>
              <w:t>用地固定资产投入强度</w:t>
            </w:r>
          </w:p>
        </w:tc>
        <w:tc>
          <w:tcPr>
            <w:tcW w:w="81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49EDBC">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正向</w:t>
            </w:r>
          </w:p>
        </w:tc>
      </w:tr>
      <w:tr w14:paraId="05FBB8F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right w:val="single" w:color="auto" w:sz="4" w:space="0"/>
            </w:tcBorders>
            <w:vAlign w:val="center"/>
          </w:tcPr>
          <w:p w14:paraId="1D648A93">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left w:val="single" w:color="auto" w:sz="4" w:space="0"/>
              <w:right w:val="single" w:color="auto" w:sz="4" w:space="0"/>
            </w:tcBorders>
            <w:vAlign w:val="center"/>
          </w:tcPr>
          <w:p w14:paraId="0D901934">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57922AB2">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新建化工产业用地固定资产投入强度</w:t>
            </w:r>
          </w:p>
        </w:tc>
        <w:tc>
          <w:tcPr>
            <w:tcW w:w="813" w:type="pct"/>
            <w:tcBorders>
              <w:top w:val="nil"/>
              <w:left w:val="nil"/>
              <w:bottom w:val="single" w:color="auto" w:sz="4" w:space="0"/>
              <w:right w:val="single" w:color="auto" w:sz="4" w:space="0"/>
            </w:tcBorders>
            <w:shd w:val="clear" w:color="auto" w:fill="auto"/>
            <w:noWrap/>
            <w:vAlign w:val="center"/>
          </w:tcPr>
          <w:p w14:paraId="18016FF2">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正向</w:t>
            </w:r>
          </w:p>
        </w:tc>
      </w:tr>
      <w:tr w14:paraId="165A0C05">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bottom w:val="single" w:color="auto" w:sz="4" w:space="0"/>
              <w:right w:val="single" w:color="auto" w:sz="4" w:space="0"/>
            </w:tcBorders>
            <w:vAlign w:val="center"/>
          </w:tcPr>
          <w:p w14:paraId="510E5456">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left w:val="single" w:color="auto" w:sz="4" w:space="0"/>
              <w:bottom w:val="single" w:color="auto" w:sz="4" w:space="0"/>
              <w:right w:val="single" w:color="auto" w:sz="4" w:space="0"/>
            </w:tcBorders>
            <w:vAlign w:val="center"/>
          </w:tcPr>
          <w:p w14:paraId="0158DC1F">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2C08175C">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化工产业</w:t>
            </w:r>
            <w:r>
              <w:rPr>
                <w:rFonts w:hint="eastAsia" w:ascii="宋体" w:hAnsi="宋体" w:eastAsia="宋体" w:cs="宋体"/>
                <w:color w:val="000000"/>
                <w:kern w:val="0"/>
                <w:sz w:val="18"/>
                <w:szCs w:val="18"/>
                <w:highlight w:val="none"/>
              </w:rPr>
              <w:t>用地</w:t>
            </w:r>
            <w:r>
              <w:rPr>
                <w:rFonts w:hint="eastAsia" w:ascii="宋体" w:hAnsi="宋体" w:eastAsia="宋体" w:cs="宋体"/>
                <w:color w:val="000000"/>
                <w:kern w:val="0"/>
                <w:sz w:val="18"/>
                <w:szCs w:val="18"/>
                <w:highlight w:val="none"/>
                <w:lang w:val="en-US" w:eastAsia="zh-CN"/>
              </w:rPr>
              <w:t>地均税收</w:t>
            </w:r>
          </w:p>
        </w:tc>
        <w:tc>
          <w:tcPr>
            <w:tcW w:w="813" w:type="pct"/>
            <w:tcBorders>
              <w:top w:val="nil"/>
              <w:left w:val="nil"/>
              <w:bottom w:val="single" w:color="auto" w:sz="4" w:space="0"/>
              <w:right w:val="single" w:color="auto" w:sz="4" w:space="0"/>
            </w:tcBorders>
            <w:shd w:val="clear" w:color="auto" w:fill="auto"/>
            <w:noWrap/>
            <w:vAlign w:val="center"/>
          </w:tcPr>
          <w:p w14:paraId="294DFFBF">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rPr>
              <w:t>正向</w:t>
            </w:r>
          </w:p>
        </w:tc>
      </w:tr>
      <w:tr w14:paraId="469CD312">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restart"/>
            <w:tcBorders>
              <w:top w:val="single" w:color="auto" w:sz="4" w:space="0"/>
              <w:right w:val="single" w:color="auto" w:sz="4" w:space="0"/>
            </w:tcBorders>
            <w:shd w:val="clear" w:color="auto" w:fill="auto"/>
            <w:vAlign w:val="center"/>
          </w:tcPr>
          <w:p w14:paraId="76534AE3">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管理绩效</w:t>
            </w:r>
          </w:p>
        </w:tc>
        <w:tc>
          <w:tcPr>
            <w:tcW w:w="128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CA1306">
            <w:pPr>
              <w:adjustRightInd w:val="0"/>
              <w:spacing w:line="400" w:lineRule="exact"/>
              <w:jc w:val="center"/>
              <w:rPr>
                <w:rFonts w:hint="eastAsia" w:ascii="宋体" w:hAnsi="宋体" w:eastAsia="宋体" w:cs="宋体"/>
                <w:color w:val="000000"/>
                <w:kern w:val="0"/>
                <w:sz w:val="18"/>
                <w:szCs w:val="18"/>
                <w:highlight w:val="none"/>
              </w:rPr>
            </w:pPr>
            <w:r>
              <w:rPr>
                <w:rFonts w:hint="eastAsia" w:ascii="宋体" w:hAnsi="宋体" w:eastAsia="宋体" w:cs="宋体"/>
                <w:color w:val="000000"/>
                <w:kern w:val="0"/>
                <w:sz w:val="18"/>
                <w:szCs w:val="18"/>
                <w:highlight w:val="none"/>
              </w:rPr>
              <w:t>土地利用监管绩效</w:t>
            </w:r>
          </w:p>
        </w:tc>
        <w:tc>
          <w:tcPr>
            <w:tcW w:w="2215" w:type="pct"/>
            <w:tcBorders>
              <w:top w:val="nil"/>
              <w:left w:val="nil"/>
              <w:bottom w:val="single" w:color="auto" w:sz="4" w:space="0"/>
              <w:right w:val="single" w:color="auto" w:sz="4" w:space="0"/>
            </w:tcBorders>
            <w:shd w:val="clear" w:color="auto" w:fill="auto"/>
            <w:vAlign w:val="center"/>
          </w:tcPr>
          <w:p w14:paraId="649B75AA">
            <w:pPr>
              <w:adjustRightInd w:val="0"/>
              <w:spacing w:line="400" w:lineRule="exact"/>
              <w:jc w:val="center"/>
              <w:rPr>
                <w:rFonts w:hint="eastAsia" w:ascii="宋体" w:hAnsi="宋体" w:eastAsia="宋体" w:cs="宋体"/>
                <w:color w:val="FF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工业低效用地处置计划完成率</w:t>
            </w:r>
          </w:p>
        </w:tc>
        <w:tc>
          <w:tcPr>
            <w:tcW w:w="813" w:type="pct"/>
            <w:tcBorders>
              <w:top w:val="nil"/>
              <w:left w:val="nil"/>
              <w:bottom w:val="single" w:color="auto" w:sz="4" w:space="0"/>
              <w:right w:val="single" w:color="auto" w:sz="4" w:space="0"/>
            </w:tcBorders>
            <w:shd w:val="clear" w:color="auto" w:fill="auto"/>
            <w:noWrap/>
            <w:vAlign w:val="center"/>
          </w:tcPr>
          <w:p w14:paraId="22D79D6E">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正向</w:t>
            </w:r>
          </w:p>
        </w:tc>
      </w:tr>
      <w:tr w14:paraId="5B0BEE94">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right w:val="single" w:color="auto" w:sz="4" w:space="0"/>
            </w:tcBorders>
            <w:shd w:val="clear" w:color="auto" w:fill="auto"/>
            <w:vAlign w:val="center"/>
          </w:tcPr>
          <w:p w14:paraId="5D778266">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left w:val="single" w:color="auto" w:sz="4" w:space="0"/>
              <w:right w:val="single" w:color="auto" w:sz="4" w:space="0"/>
            </w:tcBorders>
            <w:shd w:val="clear" w:color="auto" w:fill="auto"/>
            <w:vAlign w:val="center"/>
          </w:tcPr>
          <w:p w14:paraId="06A2D295">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45C2D7EF">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土地闲置率</w:t>
            </w:r>
          </w:p>
        </w:tc>
        <w:tc>
          <w:tcPr>
            <w:tcW w:w="813" w:type="pct"/>
            <w:tcBorders>
              <w:top w:val="nil"/>
              <w:left w:val="nil"/>
              <w:bottom w:val="single" w:color="auto" w:sz="4" w:space="0"/>
              <w:right w:val="single" w:color="auto" w:sz="4" w:space="0"/>
            </w:tcBorders>
            <w:shd w:val="clear" w:color="auto" w:fill="auto"/>
            <w:noWrap/>
            <w:vAlign w:val="center"/>
          </w:tcPr>
          <w:p w14:paraId="6AF1E91F">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负向</w:t>
            </w:r>
          </w:p>
        </w:tc>
      </w:tr>
      <w:tr w14:paraId="68B38DE6">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right w:val="single" w:color="auto" w:sz="4" w:space="0"/>
            </w:tcBorders>
            <w:shd w:val="clear" w:color="auto" w:fill="auto"/>
            <w:vAlign w:val="center"/>
          </w:tcPr>
          <w:p w14:paraId="60082809">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left w:val="single" w:color="auto" w:sz="4" w:space="0"/>
              <w:right w:val="single" w:color="auto" w:sz="4" w:space="0"/>
            </w:tcBorders>
            <w:shd w:val="clear" w:color="auto" w:fill="auto"/>
            <w:vAlign w:val="center"/>
          </w:tcPr>
          <w:p w14:paraId="5AD39DE6">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24D4575D">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闲置土地净减少率</w:t>
            </w:r>
          </w:p>
        </w:tc>
        <w:tc>
          <w:tcPr>
            <w:tcW w:w="813" w:type="pct"/>
            <w:tcBorders>
              <w:top w:val="nil"/>
              <w:left w:val="nil"/>
              <w:bottom w:val="single" w:color="auto" w:sz="4" w:space="0"/>
              <w:right w:val="single" w:color="auto" w:sz="4" w:space="0"/>
            </w:tcBorders>
            <w:shd w:val="clear" w:color="auto" w:fill="auto"/>
            <w:noWrap/>
            <w:vAlign w:val="center"/>
          </w:tcPr>
          <w:p w14:paraId="29E798B8">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rPr>
              <w:t>正向</w:t>
            </w:r>
          </w:p>
        </w:tc>
      </w:tr>
      <w:tr w14:paraId="5F1A07E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right w:val="single" w:color="auto" w:sz="4" w:space="0"/>
            </w:tcBorders>
            <w:shd w:val="clear" w:color="auto" w:fill="auto"/>
            <w:vAlign w:val="center"/>
          </w:tcPr>
          <w:p w14:paraId="0D2D06E3">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left w:val="single" w:color="auto" w:sz="4" w:space="0"/>
              <w:right w:val="single" w:color="auto" w:sz="4" w:space="0"/>
            </w:tcBorders>
            <w:shd w:val="clear" w:color="auto" w:fill="auto"/>
            <w:vAlign w:val="center"/>
          </w:tcPr>
          <w:p w14:paraId="7B93F6F1">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0942E79D">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化工产业用地单位</w:t>
            </w:r>
            <w:r>
              <w:rPr>
                <w:rFonts w:hint="eastAsia" w:ascii="宋体" w:hAnsi="宋体" w:cs="宋体"/>
                <w:color w:val="000000"/>
                <w:kern w:val="0"/>
                <w:sz w:val="18"/>
                <w:szCs w:val="18"/>
                <w:highlight w:val="none"/>
                <w:lang w:val="en-US" w:eastAsia="zh-CN"/>
              </w:rPr>
              <w:t>面积</w:t>
            </w:r>
            <w:r>
              <w:rPr>
                <w:rFonts w:hint="eastAsia" w:ascii="宋体" w:hAnsi="宋体" w:eastAsia="宋体" w:cs="宋体"/>
                <w:color w:val="000000"/>
                <w:kern w:val="0"/>
                <w:sz w:val="18"/>
                <w:szCs w:val="18"/>
                <w:highlight w:val="none"/>
                <w:lang w:val="en-US" w:eastAsia="zh-CN"/>
              </w:rPr>
              <w:t>碳排放量</w:t>
            </w:r>
          </w:p>
        </w:tc>
        <w:tc>
          <w:tcPr>
            <w:tcW w:w="813" w:type="pct"/>
            <w:tcBorders>
              <w:top w:val="nil"/>
              <w:left w:val="nil"/>
              <w:bottom w:val="single" w:color="auto" w:sz="4" w:space="0"/>
              <w:right w:val="single" w:color="auto" w:sz="4" w:space="0"/>
            </w:tcBorders>
            <w:shd w:val="clear" w:color="auto" w:fill="auto"/>
            <w:noWrap/>
            <w:vAlign w:val="center"/>
          </w:tcPr>
          <w:p w14:paraId="6FC41114">
            <w:pPr>
              <w:adjustRightInd w:val="0"/>
              <w:spacing w:line="400" w:lineRule="exact"/>
              <w:jc w:val="center"/>
              <w:rPr>
                <w:rFonts w:hint="eastAsia" w:ascii="宋体" w:hAnsi="宋体" w:eastAsia="宋体" w:cs="宋体"/>
                <w:color w:val="000000"/>
                <w:kern w:val="0"/>
                <w:sz w:val="18"/>
                <w:szCs w:val="18"/>
                <w:highlight w:val="none"/>
                <w:lang w:val="en-US" w:eastAsia="zh-CN" w:bidi="ar-SA"/>
              </w:rPr>
            </w:pPr>
            <w:r>
              <w:rPr>
                <w:rFonts w:hint="eastAsia" w:ascii="宋体" w:hAnsi="宋体" w:eastAsia="宋体" w:cs="宋体"/>
                <w:color w:val="000000"/>
                <w:kern w:val="0"/>
                <w:sz w:val="18"/>
                <w:szCs w:val="18"/>
                <w:highlight w:val="none"/>
                <w:lang w:val="en-US" w:eastAsia="zh-CN"/>
              </w:rPr>
              <w:t>负向</w:t>
            </w:r>
          </w:p>
        </w:tc>
      </w:tr>
      <w:tr w14:paraId="7C9ACDC9">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430" w:hRule="atLeast"/>
          <w:jc w:val="center"/>
        </w:trPr>
        <w:tc>
          <w:tcPr>
            <w:tcW w:w="687" w:type="pct"/>
            <w:vMerge w:val="continue"/>
            <w:tcBorders>
              <w:right w:val="single" w:color="auto" w:sz="4" w:space="0"/>
            </w:tcBorders>
            <w:vAlign w:val="center"/>
          </w:tcPr>
          <w:p w14:paraId="38312481">
            <w:pPr>
              <w:adjustRightInd w:val="0"/>
              <w:spacing w:line="400" w:lineRule="exact"/>
              <w:jc w:val="center"/>
              <w:rPr>
                <w:rFonts w:hint="eastAsia" w:ascii="宋体" w:hAnsi="宋体" w:eastAsia="宋体" w:cs="宋体"/>
                <w:color w:val="000000"/>
                <w:kern w:val="0"/>
                <w:sz w:val="18"/>
                <w:szCs w:val="18"/>
                <w:highlight w:val="none"/>
              </w:rPr>
            </w:pPr>
          </w:p>
        </w:tc>
        <w:tc>
          <w:tcPr>
            <w:tcW w:w="1283" w:type="pct"/>
            <w:vMerge w:val="continue"/>
            <w:tcBorders>
              <w:top w:val="single" w:color="auto" w:sz="4" w:space="0"/>
              <w:left w:val="single" w:color="auto" w:sz="4" w:space="0"/>
              <w:bottom w:val="single" w:color="auto" w:sz="4" w:space="0"/>
              <w:right w:val="single" w:color="auto" w:sz="4" w:space="0"/>
            </w:tcBorders>
            <w:vAlign w:val="center"/>
          </w:tcPr>
          <w:p w14:paraId="71EFA797">
            <w:pPr>
              <w:adjustRightInd w:val="0"/>
              <w:spacing w:line="400" w:lineRule="exact"/>
              <w:jc w:val="center"/>
              <w:rPr>
                <w:rFonts w:hint="eastAsia" w:ascii="宋体" w:hAnsi="宋体" w:eastAsia="宋体" w:cs="宋体"/>
                <w:color w:val="000000"/>
                <w:kern w:val="0"/>
                <w:sz w:val="18"/>
                <w:szCs w:val="18"/>
                <w:highlight w:val="none"/>
              </w:rPr>
            </w:pPr>
          </w:p>
        </w:tc>
        <w:tc>
          <w:tcPr>
            <w:tcW w:w="2215" w:type="pct"/>
            <w:tcBorders>
              <w:top w:val="nil"/>
              <w:left w:val="nil"/>
              <w:bottom w:val="single" w:color="auto" w:sz="4" w:space="0"/>
              <w:right w:val="single" w:color="auto" w:sz="4" w:space="0"/>
            </w:tcBorders>
            <w:shd w:val="clear" w:color="auto" w:fill="auto"/>
            <w:vAlign w:val="center"/>
          </w:tcPr>
          <w:p w14:paraId="5EC8C6EF">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化工产业用地</w:t>
            </w:r>
            <w:r>
              <w:rPr>
                <w:rFonts w:hint="eastAsia" w:ascii="宋体" w:hAnsi="宋体" w:cs="宋体"/>
                <w:color w:val="000000"/>
                <w:kern w:val="0"/>
                <w:sz w:val="18"/>
                <w:szCs w:val="18"/>
                <w:highlight w:val="none"/>
                <w:lang w:val="en-US" w:eastAsia="zh-CN"/>
              </w:rPr>
              <w:t>单位面积</w:t>
            </w:r>
            <w:r>
              <w:rPr>
                <w:rFonts w:hint="eastAsia" w:ascii="宋体" w:hAnsi="宋体" w:eastAsia="宋体" w:cs="宋体"/>
                <w:color w:val="000000"/>
                <w:kern w:val="0"/>
                <w:sz w:val="18"/>
                <w:szCs w:val="18"/>
                <w:highlight w:val="none"/>
                <w:lang w:val="en-US" w:eastAsia="zh-CN"/>
              </w:rPr>
              <w:t>综合能耗</w:t>
            </w:r>
          </w:p>
        </w:tc>
        <w:tc>
          <w:tcPr>
            <w:tcW w:w="813" w:type="pct"/>
            <w:tcBorders>
              <w:top w:val="nil"/>
              <w:left w:val="nil"/>
              <w:bottom w:val="single" w:color="auto" w:sz="4" w:space="0"/>
              <w:right w:val="single" w:color="auto" w:sz="4" w:space="0"/>
            </w:tcBorders>
            <w:shd w:val="clear" w:color="auto" w:fill="auto"/>
            <w:noWrap/>
            <w:vAlign w:val="center"/>
          </w:tcPr>
          <w:p w14:paraId="33610080">
            <w:pPr>
              <w:adjustRightInd w:val="0"/>
              <w:spacing w:line="400" w:lineRule="exact"/>
              <w:jc w:val="center"/>
              <w:rPr>
                <w:rFonts w:hint="eastAsia" w:ascii="宋体" w:hAnsi="宋体" w:eastAsia="宋体" w:cs="宋体"/>
                <w:color w:val="000000"/>
                <w:kern w:val="0"/>
                <w:sz w:val="18"/>
                <w:szCs w:val="18"/>
                <w:highlight w:val="none"/>
                <w:lang w:val="en-US" w:eastAsia="zh-CN"/>
              </w:rPr>
            </w:pPr>
            <w:r>
              <w:rPr>
                <w:rFonts w:hint="eastAsia" w:ascii="宋体" w:hAnsi="宋体" w:eastAsia="宋体" w:cs="宋体"/>
                <w:color w:val="000000"/>
                <w:kern w:val="0"/>
                <w:sz w:val="18"/>
                <w:szCs w:val="18"/>
                <w:highlight w:val="none"/>
                <w:lang w:val="en-US" w:eastAsia="zh-CN"/>
              </w:rPr>
              <w:t>负向</w:t>
            </w:r>
          </w:p>
        </w:tc>
      </w:tr>
    </w:tbl>
    <w:p w14:paraId="34F77952">
      <w:pPr>
        <w:pStyle w:val="138"/>
        <w:bidi w:val="0"/>
        <w:ind w:left="0" w:leftChars="0" w:firstLine="0" w:firstLineChars="0"/>
        <w:rPr>
          <w:rFonts w:hint="eastAsia"/>
          <w:highlight w:val="none"/>
        </w:rPr>
      </w:pPr>
    </w:p>
    <w:p w14:paraId="5BC36A2E">
      <w:pPr>
        <w:pStyle w:val="142"/>
        <w:bidi w:val="0"/>
        <w:rPr>
          <w:rFonts w:hint="eastAsia" w:hAnsi="Times New Roman" w:cs="Times New Roman"/>
          <w:highlight w:val="none"/>
          <w:lang w:val="en-US" w:eastAsia="zh-CN"/>
        </w:rPr>
      </w:pPr>
      <w:bookmarkStart w:id="82" w:name="_Toc22050"/>
      <w:r>
        <w:rPr>
          <w:rFonts w:hint="eastAsia" w:hAnsi="Times New Roman" w:cs="Times New Roman"/>
          <w:highlight w:val="none"/>
          <w:lang w:val="en-US" w:eastAsia="zh-CN"/>
        </w:rPr>
        <w:t>确定评价权重</w:t>
      </w:r>
      <w:bookmarkEnd w:id="82"/>
    </w:p>
    <w:p w14:paraId="61B12689">
      <w:pPr>
        <w:ind w:firstLine="420" w:firstLineChars="200"/>
        <w:jc w:val="left"/>
        <w:rPr>
          <w:rFonts w:hint="eastAsia"/>
          <w:highlight w:val="none"/>
          <w:lang w:val="en-US" w:eastAsia="zh-CN"/>
        </w:rPr>
      </w:pPr>
      <w:r>
        <w:rPr>
          <w:rFonts w:hint="eastAsia"/>
          <w:highlight w:val="none"/>
          <w:lang w:val="en-US" w:eastAsia="zh-CN"/>
        </w:rPr>
        <w:t>按照TD/T 1029 描述的方法确定各指标的权重。</w:t>
      </w:r>
    </w:p>
    <w:p w14:paraId="7FC48C7F">
      <w:pPr>
        <w:pStyle w:val="142"/>
        <w:bidi w:val="0"/>
        <w:rPr>
          <w:rFonts w:hint="eastAsia" w:hAnsi="Times New Roman" w:cs="Times New Roman"/>
          <w:highlight w:val="none"/>
          <w:lang w:val="en-US" w:eastAsia="zh-CN"/>
        </w:rPr>
      </w:pPr>
      <w:r>
        <w:rPr>
          <w:rFonts w:hint="eastAsia" w:hAnsi="Times New Roman" w:cs="Times New Roman"/>
          <w:highlight w:val="none"/>
          <w:lang w:val="en-US" w:eastAsia="zh-CN"/>
        </w:rPr>
        <w:t>计算土地利用集约度分值</w:t>
      </w:r>
    </w:p>
    <w:p w14:paraId="5C14A34C">
      <w:pPr>
        <w:ind w:firstLine="420" w:firstLineChars="200"/>
        <w:jc w:val="left"/>
        <w:rPr>
          <w:rFonts w:hint="eastAsia" w:ascii="宋体" w:hAnsi="Times New Roman" w:eastAsia="宋体"/>
          <w:b w:val="0"/>
          <w:bCs w:val="0"/>
          <w:kern w:val="0"/>
          <w:szCs w:val="20"/>
          <w:highlight w:val="none"/>
          <w:lang w:val="en-US" w:eastAsia="zh-CN"/>
        </w:rPr>
      </w:pPr>
      <w:r>
        <w:rPr>
          <w:rFonts w:hint="eastAsia"/>
          <w:highlight w:val="none"/>
          <w:lang w:val="en-US" w:eastAsia="zh-CN"/>
        </w:rPr>
        <w:t>按照TD/T 1029 描述的方法计算集约度分值。</w:t>
      </w:r>
    </w:p>
    <w:p w14:paraId="0C7A9C4A">
      <w:pPr>
        <w:pStyle w:val="141"/>
        <w:spacing w:before="240" w:after="240"/>
        <w:rPr>
          <w:rFonts w:ascii="Times New Roman"/>
          <w:highlight w:val="none"/>
        </w:rPr>
      </w:pPr>
      <w:bookmarkStart w:id="83" w:name="_Toc153459924"/>
      <w:bookmarkStart w:id="84" w:name="_Toc11981"/>
      <w:bookmarkStart w:id="85" w:name="_Toc153459861"/>
      <w:bookmarkStart w:id="86" w:name="_Toc1273"/>
      <w:bookmarkStart w:id="87" w:name="_Toc4450"/>
      <w:bookmarkStart w:id="88" w:name="_Toc23726"/>
      <w:r>
        <w:rPr>
          <w:rFonts w:ascii="Times New Roman"/>
          <w:highlight w:val="none"/>
        </w:rPr>
        <w:t>成果编制</w:t>
      </w:r>
      <w:bookmarkEnd w:id="83"/>
      <w:bookmarkEnd w:id="84"/>
      <w:bookmarkEnd w:id="85"/>
      <w:bookmarkEnd w:id="86"/>
      <w:bookmarkEnd w:id="87"/>
    </w:p>
    <w:p w14:paraId="5FE470E7">
      <w:pPr>
        <w:pStyle w:val="142"/>
        <w:spacing w:before="120" w:after="120"/>
        <w:rPr>
          <w:rFonts w:ascii="Times New Roman"/>
          <w:highlight w:val="none"/>
        </w:rPr>
      </w:pPr>
      <w:bookmarkStart w:id="89" w:name="_Toc153459862"/>
      <w:bookmarkStart w:id="90" w:name="_Toc153459925"/>
      <w:bookmarkStart w:id="91" w:name="_Toc5375"/>
      <w:r>
        <w:rPr>
          <w:rFonts w:ascii="Times New Roman"/>
          <w:highlight w:val="none"/>
        </w:rPr>
        <w:t>成果内容</w:t>
      </w:r>
      <w:bookmarkEnd w:id="89"/>
      <w:bookmarkEnd w:id="90"/>
      <w:bookmarkEnd w:id="91"/>
    </w:p>
    <w:p w14:paraId="709705AC">
      <w:pPr>
        <w:pStyle w:val="138"/>
        <w:ind w:firstLine="420"/>
        <w:rPr>
          <w:rFonts w:ascii="Times New Roman"/>
          <w:highlight w:val="none"/>
        </w:rPr>
      </w:pPr>
      <w:r>
        <w:rPr>
          <w:rFonts w:ascii="Times New Roman"/>
          <w:highlight w:val="none"/>
        </w:rPr>
        <w:t>评价成果包括评价报告、成果图件、成果表格和基础资料汇编等。</w:t>
      </w:r>
    </w:p>
    <w:p w14:paraId="24D494EF">
      <w:pPr>
        <w:pStyle w:val="142"/>
        <w:spacing w:before="120" w:after="120"/>
        <w:rPr>
          <w:rFonts w:ascii="Times New Roman"/>
          <w:highlight w:val="none"/>
        </w:rPr>
      </w:pPr>
      <w:bookmarkStart w:id="92" w:name="_Toc420071490"/>
      <w:bookmarkStart w:id="93" w:name="_Toc153459863"/>
      <w:bookmarkStart w:id="94" w:name="_Toc153459926"/>
      <w:bookmarkStart w:id="95" w:name="_Toc16345"/>
      <w:bookmarkStart w:id="96" w:name="_Toc421693009"/>
      <w:bookmarkStart w:id="97" w:name="_Toc421692770"/>
      <w:bookmarkStart w:id="98" w:name="_Toc421016955"/>
      <w:bookmarkStart w:id="99" w:name="_Toc422131057"/>
      <w:bookmarkStart w:id="100" w:name="_Toc420682635"/>
      <w:bookmarkStart w:id="101" w:name="_Toc420070869"/>
      <w:bookmarkStart w:id="102" w:name="_Toc429991924"/>
      <w:r>
        <w:rPr>
          <w:rFonts w:ascii="Times New Roman"/>
          <w:highlight w:val="none"/>
        </w:rPr>
        <w:t>评价报告</w:t>
      </w:r>
      <w:bookmarkEnd w:id="92"/>
      <w:bookmarkEnd w:id="93"/>
      <w:bookmarkEnd w:id="94"/>
      <w:bookmarkEnd w:id="95"/>
      <w:bookmarkEnd w:id="96"/>
      <w:bookmarkEnd w:id="97"/>
      <w:bookmarkEnd w:id="98"/>
      <w:bookmarkEnd w:id="99"/>
      <w:bookmarkEnd w:id="100"/>
      <w:bookmarkEnd w:id="101"/>
      <w:bookmarkEnd w:id="102"/>
    </w:p>
    <w:p w14:paraId="0E38D3AE">
      <w:pPr>
        <w:spacing w:before="260" w:line="219" w:lineRule="auto"/>
        <w:ind w:left="441"/>
        <w:rPr>
          <w:rFonts w:ascii="宋体" w:hAnsi="宋体" w:eastAsia="宋体" w:cs="宋体"/>
          <w:spacing w:val="-2"/>
          <w:sz w:val="21"/>
          <w:szCs w:val="21"/>
          <w:highlight w:val="none"/>
        </w:rPr>
      </w:pPr>
      <w:r>
        <w:rPr>
          <w:rFonts w:ascii="宋体" w:hAnsi="宋体" w:eastAsia="宋体" w:cs="宋体"/>
          <w:spacing w:val="-2"/>
          <w:sz w:val="21"/>
          <w:szCs w:val="21"/>
          <w:highlight w:val="none"/>
        </w:rPr>
        <w:t>成果报告主要包括工作报告、技术报告。</w:t>
      </w:r>
    </w:p>
    <w:p w14:paraId="312B9468">
      <w:pPr>
        <w:pStyle w:val="143"/>
        <w:bidi w:val="0"/>
        <w:rPr>
          <w:highlight w:val="none"/>
        </w:rPr>
      </w:pPr>
      <w:r>
        <w:rPr>
          <w:highlight w:val="none"/>
        </w:rPr>
        <w:t>工作报告</w:t>
      </w:r>
    </w:p>
    <w:p w14:paraId="6D7975A4">
      <w:pPr>
        <w:spacing w:before="260" w:line="233" w:lineRule="auto"/>
        <w:ind w:left="20" w:right="2" w:firstLine="422"/>
        <w:jc w:val="both"/>
        <w:rPr>
          <w:rFonts w:ascii="宋体" w:hAnsi="宋体" w:eastAsia="宋体" w:cs="宋体"/>
          <w:sz w:val="21"/>
          <w:szCs w:val="21"/>
          <w:highlight w:val="none"/>
        </w:rPr>
      </w:pPr>
      <w:r>
        <w:rPr>
          <w:rFonts w:ascii="宋体" w:hAnsi="宋体" w:eastAsia="宋体" w:cs="宋体"/>
          <w:spacing w:val="-1"/>
          <w:sz w:val="21"/>
          <w:szCs w:val="21"/>
          <w:highlight w:val="none"/>
        </w:rPr>
        <w:t>工作报告编写内容主要包括评价工作目的和意义、工作依据、任务与内容、</w:t>
      </w:r>
      <w:r>
        <w:rPr>
          <w:rFonts w:ascii="宋体" w:hAnsi="宋体" w:eastAsia="宋体" w:cs="宋体"/>
          <w:spacing w:val="-2"/>
          <w:sz w:val="21"/>
          <w:szCs w:val="21"/>
          <w:highlight w:val="none"/>
        </w:rPr>
        <w:t>技术思路、组织领导与人员构成、工作进展与经费使用情况、工作</w:t>
      </w:r>
      <w:r>
        <w:rPr>
          <w:rFonts w:ascii="宋体" w:hAnsi="宋体" w:eastAsia="宋体" w:cs="宋体"/>
          <w:spacing w:val="-3"/>
          <w:sz w:val="21"/>
          <w:szCs w:val="21"/>
          <w:highlight w:val="none"/>
        </w:rPr>
        <w:t>成果、成果检查情况、工作经验以及</w:t>
      </w:r>
      <w:r>
        <w:rPr>
          <w:rFonts w:ascii="宋体" w:hAnsi="宋体" w:eastAsia="宋体" w:cs="宋体"/>
          <w:spacing w:val="-6"/>
          <w:sz w:val="21"/>
          <w:szCs w:val="21"/>
          <w:highlight w:val="none"/>
        </w:rPr>
        <w:t>相关建议等。</w:t>
      </w:r>
    </w:p>
    <w:p w14:paraId="2D070A2E">
      <w:pPr>
        <w:pStyle w:val="143"/>
        <w:bidi w:val="0"/>
        <w:rPr>
          <w:highlight w:val="none"/>
        </w:rPr>
      </w:pPr>
      <w:r>
        <w:rPr>
          <w:highlight w:val="none"/>
        </w:rPr>
        <w:t>技术报告</w:t>
      </w:r>
    </w:p>
    <w:p w14:paraId="20A40663">
      <w:pPr>
        <w:spacing w:before="258" w:line="233" w:lineRule="auto"/>
        <w:ind w:left="19" w:right="2" w:firstLine="421"/>
        <w:jc w:val="both"/>
        <w:rPr>
          <w:rFonts w:ascii="宋体" w:hAnsi="宋体" w:eastAsia="宋体" w:cs="宋体"/>
          <w:spacing w:val="-2"/>
          <w:sz w:val="21"/>
          <w:szCs w:val="21"/>
          <w:highlight w:val="none"/>
        </w:rPr>
      </w:pPr>
      <w:r>
        <w:rPr>
          <w:rFonts w:ascii="宋体" w:hAnsi="宋体" w:eastAsia="宋体" w:cs="宋体"/>
          <w:spacing w:val="-1"/>
          <w:sz w:val="21"/>
          <w:szCs w:val="21"/>
          <w:highlight w:val="none"/>
        </w:rPr>
        <w:t>技术报告编写内容主要包括开发区概况、评价范围、基础资料的有关说明、评价</w:t>
      </w:r>
      <w:r>
        <w:rPr>
          <w:rFonts w:ascii="宋体" w:hAnsi="宋体" w:eastAsia="宋体" w:cs="宋体"/>
          <w:spacing w:val="-2"/>
          <w:sz w:val="21"/>
          <w:szCs w:val="21"/>
          <w:highlight w:val="none"/>
        </w:rPr>
        <w:t>原则、技术路线与方法、用地调查分析、程度评价分析、</w:t>
      </w:r>
      <w:r>
        <w:rPr>
          <w:rFonts w:ascii="宋体" w:hAnsi="宋体" w:eastAsia="宋体" w:cs="宋体"/>
          <w:spacing w:val="-3"/>
          <w:sz w:val="21"/>
          <w:szCs w:val="21"/>
          <w:highlight w:val="none"/>
        </w:rPr>
        <w:t>综合结论分析、成果应用</w:t>
      </w:r>
      <w:r>
        <w:rPr>
          <w:rFonts w:ascii="宋体" w:hAnsi="宋体" w:eastAsia="宋体" w:cs="宋体"/>
          <w:spacing w:val="-2"/>
          <w:sz w:val="21"/>
          <w:szCs w:val="21"/>
          <w:highlight w:val="none"/>
        </w:rPr>
        <w:t>及政策建议、评价工作中有关特殊情况的说明等。</w:t>
      </w:r>
    </w:p>
    <w:p w14:paraId="72D700DD">
      <w:pPr>
        <w:pStyle w:val="142"/>
        <w:spacing w:before="120" w:after="120"/>
        <w:rPr>
          <w:rFonts w:ascii="Times New Roman"/>
          <w:highlight w:val="none"/>
        </w:rPr>
      </w:pPr>
      <w:bookmarkStart w:id="103" w:name="_Toc421016957"/>
      <w:bookmarkStart w:id="104" w:name="_Toc420070871"/>
      <w:bookmarkStart w:id="105" w:name="_Toc421692772"/>
      <w:bookmarkStart w:id="106" w:name="_Toc153459864"/>
      <w:bookmarkStart w:id="107" w:name="_Toc421693011"/>
      <w:bookmarkStart w:id="108" w:name="_Toc429991926"/>
      <w:bookmarkStart w:id="109" w:name="_Toc422131059"/>
      <w:bookmarkStart w:id="110" w:name="_Toc296"/>
      <w:bookmarkStart w:id="111" w:name="_Toc153459927"/>
      <w:bookmarkStart w:id="112" w:name="_Toc420071492"/>
      <w:bookmarkStart w:id="113" w:name="_Toc420682637"/>
      <w:r>
        <w:rPr>
          <w:rFonts w:ascii="Times New Roman"/>
          <w:highlight w:val="none"/>
        </w:rPr>
        <w:t>成果图件</w:t>
      </w:r>
      <w:bookmarkEnd w:id="103"/>
      <w:bookmarkEnd w:id="104"/>
      <w:bookmarkEnd w:id="105"/>
      <w:bookmarkEnd w:id="106"/>
      <w:bookmarkEnd w:id="107"/>
      <w:bookmarkEnd w:id="108"/>
      <w:bookmarkEnd w:id="109"/>
      <w:bookmarkEnd w:id="110"/>
      <w:bookmarkEnd w:id="111"/>
      <w:bookmarkEnd w:id="112"/>
      <w:bookmarkEnd w:id="113"/>
    </w:p>
    <w:p w14:paraId="58E5A118">
      <w:pPr>
        <w:pStyle w:val="138"/>
        <w:ind w:firstLine="420"/>
        <w:rPr>
          <w:rFonts w:ascii="Times New Roman"/>
          <w:highlight w:val="none"/>
        </w:rPr>
      </w:pPr>
      <w:r>
        <w:rPr>
          <w:rFonts w:ascii="宋体" w:hAnsi="宋体" w:eastAsia="宋体" w:cs="宋体"/>
          <w:spacing w:val="-5"/>
          <w:sz w:val="21"/>
          <w:szCs w:val="21"/>
          <w:highlight w:val="none"/>
        </w:rPr>
        <w:t>成果图件应包括纸</w:t>
      </w:r>
      <w:r>
        <w:rPr>
          <w:rFonts w:ascii="宋体" w:hAnsi="宋体" w:eastAsia="宋体" w:cs="宋体"/>
          <w:spacing w:val="-6"/>
          <w:sz w:val="21"/>
          <w:szCs w:val="21"/>
          <w:highlight w:val="none"/>
        </w:rPr>
        <w:t>质图件以及通用数据格式的矢量电子图件、</w:t>
      </w:r>
      <w:r>
        <w:rPr>
          <w:rFonts w:ascii="Times New Roman" w:hAnsi="Times New Roman" w:eastAsia="Times New Roman" w:cs="Times New Roman"/>
          <w:spacing w:val="-6"/>
          <w:sz w:val="21"/>
          <w:szCs w:val="21"/>
          <w:highlight w:val="none"/>
        </w:rPr>
        <w:t>JPG</w:t>
      </w:r>
      <w:r>
        <w:rPr>
          <w:rFonts w:ascii="宋体" w:hAnsi="宋体" w:eastAsia="宋体" w:cs="宋体"/>
          <w:spacing w:val="-6"/>
          <w:sz w:val="21"/>
          <w:szCs w:val="21"/>
          <w:highlight w:val="none"/>
        </w:rPr>
        <w:t>格式的电子图件。</w:t>
      </w:r>
      <w:r>
        <w:rPr>
          <w:rFonts w:hint="eastAsia" w:ascii="Times New Roman"/>
          <w:highlight w:val="none"/>
        </w:rPr>
        <w:t>主要包括评价范围示意图、土地利用状况图、</w:t>
      </w:r>
      <w:r>
        <w:rPr>
          <w:rFonts w:hint="eastAsia" w:ascii="Times New Roman"/>
          <w:highlight w:val="none"/>
          <w:lang w:val="en-US" w:eastAsia="zh-CN"/>
        </w:rPr>
        <w:t>土地供应状况图、</w:t>
      </w:r>
      <w:r>
        <w:rPr>
          <w:rFonts w:hint="eastAsia" w:ascii="Times New Roman"/>
          <w:highlight w:val="none"/>
        </w:rPr>
        <w:t>闲置土地分布图、</w:t>
      </w:r>
      <w:r>
        <w:rPr>
          <w:rFonts w:hint="eastAsia" w:ascii="Times New Roman"/>
          <w:highlight w:val="none"/>
          <w:lang w:val="en-US" w:eastAsia="zh-CN"/>
        </w:rPr>
        <w:t>低效用地分布图、</w:t>
      </w:r>
      <w:r>
        <w:rPr>
          <w:rFonts w:hint="eastAsia" w:ascii="Times New Roman"/>
          <w:highlight w:val="none"/>
        </w:rPr>
        <w:t>高新技术产业用地分布图</w:t>
      </w:r>
      <w:r>
        <w:rPr>
          <w:rFonts w:hint="eastAsia" w:ascii="Times New Roman"/>
          <w:highlight w:val="none"/>
          <w:lang w:eastAsia="zh-CN"/>
        </w:rPr>
        <w:t>。</w:t>
      </w:r>
      <w:r>
        <w:rPr>
          <w:rFonts w:hint="eastAsia" w:ascii="Times New Roman"/>
          <w:highlight w:val="none"/>
        </w:rPr>
        <w:t>评价工作中，可根据需要编制其他成果图件。</w:t>
      </w:r>
    </w:p>
    <w:p w14:paraId="1ECD4BA4">
      <w:pPr>
        <w:pStyle w:val="142"/>
        <w:spacing w:before="120" w:after="120"/>
        <w:rPr>
          <w:rFonts w:ascii="Times New Roman"/>
          <w:highlight w:val="none"/>
        </w:rPr>
      </w:pPr>
      <w:bookmarkStart w:id="114" w:name="_Toc153459865"/>
      <w:bookmarkStart w:id="115" w:name="_Toc10515"/>
      <w:bookmarkStart w:id="116" w:name="_Toc153459928"/>
      <w:bookmarkStart w:id="117" w:name="_Toc421016956"/>
      <w:bookmarkStart w:id="118" w:name="_Toc421693010"/>
      <w:bookmarkStart w:id="119" w:name="_Toc429991925"/>
      <w:bookmarkStart w:id="120" w:name="_Toc422131058"/>
      <w:bookmarkStart w:id="121" w:name="_Toc420070870"/>
      <w:bookmarkStart w:id="122" w:name="_Toc420682636"/>
      <w:bookmarkStart w:id="123" w:name="_Toc420071491"/>
      <w:bookmarkStart w:id="124" w:name="_Toc421692771"/>
      <w:r>
        <w:rPr>
          <w:rFonts w:ascii="Times New Roman"/>
          <w:highlight w:val="none"/>
        </w:rPr>
        <w:t>成果表格</w:t>
      </w:r>
      <w:bookmarkEnd w:id="114"/>
      <w:bookmarkEnd w:id="115"/>
      <w:bookmarkEnd w:id="116"/>
    </w:p>
    <w:p w14:paraId="5171D498">
      <w:pPr>
        <w:pStyle w:val="138"/>
        <w:ind w:firstLine="420"/>
        <w:rPr>
          <w:rFonts w:ascii="Times New Roman" w:eastAsia="黑体"/>
          <w:highlight w:val="none"/>
        </w:rPr>
      </w:pPr>
      <w:r>
        <w:rPr>
          <w:rFonts w:ascii="Times New Roman"/>
          <w:highlight w:val="none"/>
        </w:rPr>
        <w:t>成果表格包括</w:t>
      </w:r>
      <w:r>
        <w:rPr>
          <w:rFonts w:hint="eastAsia" w:ascii="Times New Roman"/>
          <w:highlight w:val="none"/>
          <w:lang w:val="en-US" w:eastAsia="zh-CN"/>
        </w:rPr>
        <w:t>各类</w:t>
      </w:r>
      <w:r>
        <w:rPr>
          <w:rFonts w:ascii="Times New Roman"/>
          <w:highlight w:val="none"/>
        </w:rPr>
        <w:t>调查表以及其他评价过程中制作的相关</w:t>
      </w:r>
      <w:r>
        <w:rPr>
          <w:rFonts w:hint="eastAsia" w:ascii="Times New Roman"/>
          <w:highlight w:val="none"/>
        </w:rPr>
        <w:t>数据</w:t>
      </w:r>
      <w:r>
        <w:rPr>
          <w:rFonts w:ascii="Times New Roman"/>
          <w:highlight w:val="none"/>
        </w:rPr>
        <w:t>表格。</w:t>
      </w:r>
    </w:p>
    <w:p w14:paraId="61EAD8F7">
      <w:pPr>
        <w:pStyle w:val="142"/>
        <w:spacing w:before="120" w:after="120"/>
        <w:rPr>
          <w:rFonts w:ascii="Times New Roman"/>
          <w:highlight w:val="none"/>
        </w:rPr>
      </w:pPr>
      <w:bookmarkStart w:id="125" w:name="_Toc153459929"/>
      <w:bookmarkStart w:id="126" w:name="_Toc153459866"/>
      <w:bookmarkStart w:id="127" w:name="_Toc6525"/>
      <w:r>
        <w:rPr>
          <w:rFonts w:ascii="Times New Roman"/>
          <w:highlight w:val="none"/>
        </w:rPr>
        <w:t>基础资料汇编</w:t>
      </w:r>
      <w:bookmarkEnd w:id="117"/>
      <w:bookmarkEnd w:id="118"/>
      <w:bookmarkEnd w:id="119"/>
      <w:bookmarkEnd w:id="120"/>
      <w:bookmarkEnd w:id="121"/>
      <w:bookmarkEnd w:id="122"/>
      <w:bookmarkEnd w:id="123"/>
      <w:bookmarkEnd w:id="124"/>
      <w:bookmarkEnd w:id="125"/>
      <w:bookmarkEnd w:id="126"/>
      <w:bookmarkEnd w:id="127"/>
    </w:p>
    <w:p w14:paraId="0213D67C">
      <w:pPr>
        <w:pStyle w:val="138"/>
        <w:ind w:firstLine="420"/>
        <w:rPr>
          <w:rFonts w:ascii="Times New Roman"/>
          <w:highlight w:val="none"/>
        </w:rPr>
      </w:pPr>
      <w:r>
        <w:rPr>
          <w:rFonts w:hint="eastAsia" w:ascii="Times New Roman"/>
          <w:highlight w:val="none"/>
          <w:lang w:val="en-US" w:eastAsia="zh-CN"/>
        </w:rPr>
        <w:t>基础资料汇编包括</w:t>
      </w:r>
      <w:r>
        <w:rPr>
          <w:rFonts w:hint="eastAsia" w:ascii="Times New Roman"/>
          <w:highlight w:val="none"/>
        </w:rPr>
        <w:t>工作中涉及的各类数据、影像图和相关文件等</w:t>
      </w:r>
      <w:r>
        <w:rPr>
          <w:rFonts w:ascii="Times New Roman"/>
          <w:highlight w:val="none"/>
        </w:rPr>
        <w:t>。</w:t>
      </w:r>
    </w:p>
    <w:bookmarkEnd w:id="88"/>
    <w:p w14:paraId="32159691">
      <w:pPr>
        <w:pStyle w:val="141"/>
        <w:numPr>
          <w:ilvl w:val="0"/>
          <w:numId w:val="0"/>
        </w:numPr>
        <w:spacing w:before="0" w:beforeLines="0" w:after="0" w:afterLines="0"/>
        <w:jc w:val="both"/>
        <w:rPr>
          <w:rFonts w:ascii="宋体" w:hAnsi="宋体" w:eastAsia="宋体"/>
          <w:highlight w:val="none"/>
        </w:rPr>
      </w:pPr>
      <w:bookmarkStart w:id="128" w:name="_Toc4041"/>
      <w:bookmarkStart w:id="129" w:name="_Toc160440208"/>
    </w:p>
    <w:p w14:paraId="5F50E702">
      <w:pPr>
        <w:pStyle w:val="138"/>
        <w:ind w:left="0" w:leftChars="0" w:firstLine="0" w:firstLineChars="0"/>
        <w:jc w:val="center"/>
        <w:rPr>
          <w:highlight w:val="none"/>
        </w:rPr>
      </w:pPr>
      <w:r>
        <w:rPr>
          <w:highlight w:val="none"/>
        </w:rPr>
        <w:br w:type="page"/>
      </w:r>
    </w:p>
    <w:bookmarkEnd w:id="128"/>
    <w:p w14:paraId="0BB25750">
      <w:pPr>
        <w:pStyle w:val="154"/>
        <w:keepNext w:val="0"/>
        <w:keepLines w:val="0"/>
        <w:pageBreakBefore w:val="0"/>
        <w:widowControl/>
        <w:shd w:val="clear" w:color="FFFFFF" w:fill="FFFFFF"/>
        <w:kinsoku/>
        <w:wordWrap/>
        <w:overflowPunct/>
        <w:topLinePunct w:val="0"/>
        <w:autoSpaceDE/>
        <w:autoSpaceDN/>
        <w:bidi w:val="0"/>
        <w:adjustRightInd/>
        <w:snapToGrid/>
        <w:spacing w:after="0" w:afterLines="0"/>
        <w:jc w:val="center"/>
        <w:textAlignment w:val="auto"/>
        <w:rPr>
          <w:highlight w:val="none"/>
        </w:rPr>
      </w:pPr>
      <w:bookmarkStart w:id="130" w:name="_Toc690"/>
      <w:bookmarkEnd w:id="130"/>
      <w:bookmarkStart w:id="131" w:name="_Toc13096"/>
      <w:bookmarkEnd w:id="131"/>
    </w:p>
    <w:p w14:paraId="3957C10A">
      <w:pPr>
        <w:pStyle w:val="154"/>
        <w:keepNext w:val="0"/>
        <w:keepLines w:val="0"/>
        <w:pageBreakBefore w:val="0"/>
        <w:widowControl/>
        <w:numPr>
          <w:ilvl w:val="0"/>
          <w:numId w:val="0"/>
        </w:numPr>
        <w:kinsoku/>
        <w:wordWrap/>
        <w:overflowPunct/>
        <w:topLinePunct w:val="0"/>
        <w:autoSpaceDE/>
        <w:autoSpaceDN/>
        <w:bidi w:val="0"/>
        <w:adjustRightInd/>
        <w:snapToGrid/>
        <w:spacing w:before="0" w:after="0" w:afterLines="0"/>
        <w:ind w:leftChars="0"/>
        <w:jc w:val="center"/>
        <w:textAlignment w:val="auto"/>
        <w:rPr>
          <w:rFonts w:hint="eastAsia"/>
          <w:highlight w:val="none"/>
        </w:rPr>
      </w:pPr>
      <w:bookmarkStart w:id="132" w:name="_Toc12298"/>
      <w:bookmarkStart w:id="133" w:name="_Toc14047"/>
      <w:bookmarkStart w:id="134" w:name="_Toc26583"/>
      <w:bookmarkStart w:id="135" w:name="_Toc1313"/>
      <w:bookmarkStart w:id="136" w:name="_Toc17595"/>
      <w:bookmarkStart w:id="137" w:name="_Toc21249"/>
      <w:r>
        <w:rPr>
          <w:rFonts w:hint="eastAsia"/>
          <w:highlight w:val="none"/>
        </w:rPr>
        <w:t>（规范性）</w:t>
      </w:r>
      <w:bookmarkEnd w:id="132"/>
      <w:bookmarkEnd w:id="133"/>
      <w:bookmarkEnd w:id="134"/>
      <w:bookmarkEnd w:id="135"/>
      <w:bookmarkEnd w:id="136"/>
      <w:bookmarkEnd w:id="137"/>
    </w:p>
    <w:p w14:paraId="4A3BD7C6">
      <w:pPr>
        <w:pStyle w:val="154"/>
        <w:keepNext w:val="0"/>
        <w:keepLines w:val="0"/>
        <w:pageBreakBefore w:val="0"/>
        <w:widowControl/>
        <w:numPr>
          <w:ilvl w:val="0"/>
          <w:numId w:val="0"/>
        </w:numPr>
        <w:kinsoku/>
        <w:wordWrap/>
        <w:overflowPunct/>
        <w:topLinePunct w:val="0"/>
        <w:autoSpaceDE/>
        <w:autoSpaceDN/>
        <w:bidi w:val="0"/>
        <w:adjustRightInd/>
        <w:snapToGrid/>
        <w:spacing w:before="0" w:after="0" w:afterLines="0"/>
        <w:ind w:leftChars="0"/>
        <w:jc w:val="center"/>
        <w:textAlignment w:val="auto"/>
        <w:rPr>
          <w:rFonts w:hint="default"/>
          <w:highlight w:val="none"/>
          <w:lang w:val="en-US" w:eastAsia="zh-CN"/>
        </w:rPr>
      </w:pPr>
      <w:bookmarkStart w:id="138" w:name="_Toc8333"/>
      <w:bookmarkStart w:id="139" w:name="_Toc11443"/>
      <w:bookmarkStart w:id="140" w:name="_Toc3700"/>
      <w:bookmarkStart w:id="141" w:name="_Toc4573"/>
      <w:bookmarkStart w:id="142" w:name="_Toc8141"/>
      <w:bookmarkStart w:id="143" w:name="_Toc8164"/>
      <w:r>
        <w:rPr>
          <w:rFonts w:hint="eastAsia"/>
          <w:highlight w:val="none"/>
          <w:lang w:val="en-US" w:eastAsia="zh-CN"/>
        </w:rPr>
        <w:t>产业园</w:t>
      </w:r>
      <w:r>
        <w:rPr>
          <w:rFonts w:hint="eastAsia"/>
          <w:highlight w:val="none"/>
        </w:rPr>
        <w:t>区土地</w:t>
      </w:r>
      <w:r>
        <w:rPr>
          <w:rFonts w:hint="eastAsia"/>
          <w:highlight w:val="none"/>
          <w:lang w:val="en-US" w:eastAsia="zh-CN"/>
        </w:rPr>
        <w:t>节约集约利用状况调查表</w:t>
      </w:r>
      <w:bookmarkEnd w:id="138"/>
      <w:bookmarkEnd w:id="139"/>
      <w:bookmarkEnd w:id="140"/>
      <w:bookmarkEnd w:id="141"/>
      <w:bookmarkEnd w:id="142"/>
      <w:bookmarkEnd w:id="143"/>
    </w:p>
    <w:p w14:paraId="2919B9B0">
      <w:pPr>
        <w:pStyle w:val="138"/>
        <w:bidi w:val="0"/>
        <w:rPr>
          <w:rFonts w:hint="eastAsia"/>
          <w:highlight w:val="none"/>
          <w:lang w:val="en-US" w:eastAsia="zh-CN"/>
        </w:rPr>
      </w:pPr>
      <w:r>
        <w:rPr>
          <w:rFonts w:hint="eastAsia"/>
          <w:highlight w:val="none"/>
          <w:lang w:val="en-US" w:eastAsia="zh-CN"/>
        </w:rPr>
        <w:t>产业园</w:t>
      </w:r>
      <w:r>
        <w:rPr>
          <w:rFonts w:hint="eastAsia"/>
          <w:highlight w:val="none"/>
        </w:rPr>
        <w:t>区土地</w:t>
      </w:r>
      <w:bookmarkEnd w:id="129"/>
      <w:r>
        <w:rPr>
          <w:rFonts w:hint="eastAsia"/>
          <w:highlight w:val="none"/>
          <w:lang w:val="en-US" w:eastAsia="zh-CN"/>
        </w:rPr>
        <w:t>节约集约利用状况调查内容见表A.1、A.2、A.3、A.4、A.5。</w:t>
      </w:r>
    </w:p>
    <w:p w14:paraId="518774E5">
      <w:pPr>
        <w:pStyle w:val="138"/>
        <w:bidi w:val="0"/>
        <w:rPr>
          <w:rFonts w:hint="eastAsia"/>
          <w:highlight w:val="none"/>
          <w:lang w:val="en-US" w:eastAsia="zh-CN"/>
        </w:rPr>
      </w:pPr>
    </w:p>
    <w:p w14:paraId="116199F4">
      <w:pPr>
        <w:pStyle w:val="138"/>
        <w:bidi w:val="0"/>
        <w:rPr>
          <w:rFonts w:hint="eastAsia"/>
          <w:highlight w:val="none"/>
          <w:lang w:val="en-US" w:eastAsia="zh-CN"/>
        </w:rPr>
      </w:pPr>
    </w:p>
    <w:p w14:paraId="663C2EC1">
      <w:pPr>
        <w:pStyle w:val="156"/>
        <w:numPr>
          <w:ilvl w:val="1"/>
          <w:numId w:val="0"/>
        </w:numPr>
        <w:bidi w:val="0"/>
        <w:ind w:left="0" w:leftChars="0" w:firstLine="0" w:firstLineChars="0"/>
        <w:rPr>
          <w:rFonts w:hint="eastAsia"/>
          <w:highlight w:val="none"/>
        </w:rPr>
      </w:pPr>
      <w:r>
        <w:rPr>
          <w:rStyle w:val="157"/>
          <w:rFonts w:hint="eastAsia"/>
          <w:highlight w:val="none"/>
          <w:lang w:val="en-US" w:eastAsia="zh-CN"/>
        </w:rPr>
        <w:t>表A.1</w:t>
      </w:r>
      <w:r>
        <w:rPr>
          <w:rFonts w:hint="eastAsia"/>
          <w:highlight w:val="none"/>
        </w:rPr>
        <w:t>产业园区</w:t>
      </w:r>
      <w:r>
        <w:rPr>
          <w:rFonts w:hint="eastAsia"/>
          <w:highlight w:val="none"/>
          <w:lang w:val="en-US" w:eastAsia="zh-CN"/>
        </w:rPr>
        <w:t>建筑工程状况调</w:t>
      </w:r>
      <w:r>
        <w:rPr>
          <w:rFonts w:hint="eastAsia"/>
          <w:highlight w:val="none"/>
        </w:rPr>
        <w:t>查表</w:t>
      </w:r>
    </w:p>
    <w:tbl>
      <w:tblPr>
        <w:tblStyle w:val="33"/>
        <w:tblW w:w="959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701"/>
        <w:gridCol w:w="4206"/>
        <w:gridCol w:w="1918"/>
        <w:gridCol w:w="1765"/>
      </w:tblGrid>
      <w:tr w14:paraId="7287E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shd w:val="clear" w:color="auto" w:fill="auto"/>
            <w:noWrap/>
            <w:vAlign w:val="center"/>
          </w:tcPr>
          <w:p w14:paraId="6E22E0D8">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类型</w:t>
            </w:r>
          </w:p>
        </w:tc>
        <w:tc>
          <w:tcPr>
            <w:tcW w:w="4206" w:type="dxa"/>
            <w:shd w:val="clear" w:color="auto" w:fill="auto"/>
            <w:noWrap/>
            <w:vAlign w:val="center"/>
          </w:tcPr>
          <w:p w14:paraId="03D119A4">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w:t>
            </w:r>
          </w:p>
        </w:tc>
        <w:tc>
          <w:tcPr>
            <w:tcW w:w="1918" w:type="dxa"/>
            <w:shd w:val="clear" w:color="auto" w:fill="auto"/>
            <w:noWrap/>
            <w:vAlign w:val="center"/>
          </w:tcPr>
          <w:p w14:paraId="4B3521E3">
            <w:pPr>
              <w:keepNext w:val="0"/>
              <w:keepLines w:val="0"/>
              <w:widowControl/>
              <w:suppressLineNumbers w:val="0"/>
              <w:jc w:val="center"/>
              <w:textAlignment w:val="bottom"/>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数量</w:t>
            </w:r>
            <w:r>
              <w:rPr>
                <w:rFonts w:hint="eastAsia" w:ascii="宋体" w:hAnsi="宋体" w:eastAsia="宋体" w:cs="宋体"/>
                <w:i w:val="0"/>
                <w:iCs w:val="0"/>
                <w:color w:val="000000"/>
                <w:kern w:val="0"/>
                <w:sz w:val="18"/>
                <w:szCs w:val="18"/>
                <w:highlight w:val="none"/>
                <w:u w:val="none"/>
                <w:lang w:val="en-US" w:eastAsia="zh-CN" w:bidi="ar"/>
              </w:rPr>
              <w:t>（万m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765" w:type="dxa"/>
            <w:shd w:val="clear" w:color="auto" w:fill="auto"/>
            <w:noWrap/>
            <w:vAlign w:val="center"/>
          </w:tcPr>
          <w:p w14:paraId="6F62AFD6">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备注</w:t>
            </w:r>
          </w:p>
        </w:tc>
      </w:tr>
      <w:tr w14:paraId="0BEA2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4BE0B18E">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经济类产业园区</w:t>
            </w:r>
          </w:p>
        </w:tc>
        <w:tc>
          <w:tcPr>
            <w:tcW w:w="4206" w:type="dxa"/>
            <w:shd w:val="clear" w:color="auto" w:fill="auto"/>
            <w:noWrap/>
            <w:vAlign w:val="center"/>
          </w:tcPr>
          <w:p w14:paraId="611881D5">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新增工矿仓储用地上的总建筑面积</w:t>
            </w:r>
          </w:p>
        </w:tc>
        <w:tc>
          <w:tcPr>
            <w:tcW w:w="1918" w:type="dxa"/>
            <w:shd w:val="clear" w:color="auto" w:fill="auto"/>
            <w:noWrap/>
            <w:vAlign w:val="center"/>
          </w:tcPr>
          <w:p w14:paraId="40957AF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49D514DF">
            <w:pPr>
              <w:jc w:val="center"/>
              <w:rPr>
                <w:rFonts w:hint="eastAsia" w:ascii="宋体" w:hAnsi="宋体" w:eastAsia="宋体" w:cs="宋体"/>
                <w:i w:val="0"/>
                <w:iCs w:val="0"/>
                <w:color w:val="000000"/>
                <w:sz w:val="18"/>
                <w:szCs w:val="18"/>
                <w:highlight w:val="none"/>
                <w:u w:val="none"/>
                <w:lang w:val="en-US" w:eastAsia="zh-CN"/>
              </w:rPr>
            </w:pPr>
          </w:p>
        </w:tc>
      </w:tr>
      <w:tr w14:paraId="55C3A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89E0681">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10467525">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新增工矿仓储用地上的建筑物构筑物基底面积、露天堆场和露天操作场地的总面积</w:t>
            </w:r>
          </w:p>
        </w:tc>
        <w:tc>
          <w:tcPr>
            <w:tcW w:w="1918" w:type="dxa"/>
            <w:shd w:val="clear" w:color="auto" w:fill="auto"/>
            <w:noWrap/>
            <w:vAlign w:val="center"/>
          </w:tcPr>
          <w:p w14:paraId="33C63F83">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44EC791">
            <w:pPr>
              <w:jc w:val="center"/>
              <w:rPr>
                <w:rFonts w:hint="eastAsia" w:ascii="宋体" w:hAnsi="宋体" w:eastAsia="宋体" w:cs="宋体"/>
                <w:i w:val="0"/>
                <w:iCs w:val="0"/>
                <w:color w:val="000000"/>
                <w:sz w:val="18"/>
                <w:szCs w:val="18"/>
                <w:highlight w:val="none"/>
                <w:u w:val="none"/>
                <w:lang w:val="en-US" w:eastAsia="zh-CN"/>
              </w:rPr>
            </w:pPr>
          </w:p>
        </w:tc>
      </w:tr>
      <w:tr w14:paraId="372EF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773F5F94">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高新类产业园区</w:t>
            </w:r>
          </w:p>
        </w:tc>
        <w:tc>
          <w:tcPr>
            <w:tcW w:w="4206" w:type="dxa"/>
            <w:shd w:val="clear" w:color="auto" w:fill="auto"/>
            <w:noWrap/>
            <w:vAlign w:val="center"/>
          </w:tcPr>
          <w:p w14:paraId="16F428DA">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新增工矿仓储用地上的总建筑面积</w:t>
            </w:r>
          </w:p>
        </w:tc>
        <w:tc>
          <w:tcPr>
            <w:tcW w:w="1918" w:type="dxa"/>
            <w:shd w:val="clear" w:color="auto" w:fill="auto"/>
            <w:noWrap/>
            <w:vAlign w:val="center"/>
          </w:tcPr>
          <w:p w14:paraId="241AAB2C">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52770F3F">
            <w:pPr>
              <w:jc w:val="center"/>
              <w:rPr>
                <w:rFonts w:hint="eastAsia" w:ascii="宋体" w:hAnsi="宋体" w:eastAsia="宋体" w:cs="宋体"/>
                <w:i w:val="0"/>
                <w:iCs w:val="0"/>
                <w:color w:val="000000"/>
                <w:sz w:val="18"/>
                <w:szCs w:val="18"/>
                <w:highlight w:val="none"/>
                <w:u w:val="none"/>
                <w:lang w:val="en-US" w:eastAsia="zh-CN"/>
              </w:rPr>
            </w:pPr>
          </w:p>
        </w:tc>
      </w:tr>
      <w:tr w14:paraId="4725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481807AC">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78907107">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新增工矿仓储用地上的建筑物构筑物基底面积、露天堆场和露天操作场地的总面积</w:t>
            </w:r>
          </w:p>
        </w:tc>
        <w:tc>
          <w:tcPr>
            <w:tcW w:w="1918" w:type="dxa"/>
            <w:shd w:val="clear" w:color="auto" w:fill="auto"/>
            <w:noWrap/>
            <w:vAlign w:val="center"/>
          </w:tcPr>
          <w:p w14:paraId="6CA1859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59093FEA">
            <w:pPr>
              <w:jc w:val="center"/>
              <w:rPr>
                <w:rFonts w:hint="eastAsia" w:ascii="宋体" w:hAnsi="宋体" w:eastAsia="宋体" w:cs="宋体"/>
                <w:i w:val="0"/>
                <w:iCs w:val="0"/>
                <w:color w:val="000000"/>
                <w:sz w:val="18"/>
                <w:szCs w:val="18"/>
                <w:highlight w:val="none"/>
                <w:u w:val="none"/>
                <w:lang w:val="en-US" w:eastAsia="zh-CN"/>
              </w:rPr>
            </w:pPr>
          </w:p>
        </w:tc>
      </w:tr>
      <w:tr w14:paraId="66E7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4032591B">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海关类产业园区</w:t>
            </w:r>
          </w:p>
        </w:tc>
        <w:tc>
          <w:tcPr>
            <w:tcW w:w="4206" w:type="dxa"/>
            <w:shd w:val="clear" w:color="auto" w:fill="auto"/>
            <w:noWrap/>
            <w:vAlign w:val="center"/>
          </w:tcPr>
          <w:p w14:paraId="240FC680">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新增工矿仓储用地上的总建筑面积</w:t>
            </w:r>
          </w:p>
        </w:tc>
        <w:tc>
          <w:tcPr>
            <w:tcW w:w="1918" w:type="dxa"/>
            <w:shd w:val="clear" w:color="auto" w:fill="auto"/>
            <w:noWrap/>
            <w:vAlign w:val="center"/>
          </w:tcPr>
          <w:p w14:paraId="6F1752D5">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C822AA4">
            <w:pPr>
              <w:jc w:val="center"/>
              <w:rPr>
                <w:rFonts w:hint="eastAsia" w:ascii="宋体" w:hAnsi="宋体" w:eastAsia="宋体" w:cs="宋体"/>
                <w:i w:val="0"/>
                <w:iCs w:val="0"/>
                <w:color w:val="000000"/>
                <w:sz w:val="18"/>
                <w:szCs w:val="18"/>
                <w:highlight w:val="none"/>
                <w:u w:val="none"/>
                <w:lang w:val="en-US" w:eastAsia="zh-CN"/>
              </w:rPr>
            </w:pPr>
          </w:p>
        </w:tc>
      </w:tr>
      <w:tr w14:paraId="0DAE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4D470CA">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34DB24D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新增工矿仓储用地上的建筑物构筑物基底面积、露天堆场和露天操作场地的总面积</w:t>
            </w:r>
          </w:p>
        </w:tc>
        <w:tc>
          <w:tcPr>
            <w:tcW w:w="1918" w:type="dxa"/>
            <w:shd w:val="clear" w:color="auto" w:fill="auto"/>
            <w:noWrap/>
            <w:vAlign w:val="center"/>
          </w:tcPr>
          <w:p w14:paraId="032A58CE">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A907077">
            <w:pPr>
              <w:jc w:val="center"/>
              <w:rPr>
                <w:rFonts w:hint="eastAsia" w:ascii="宋体" w:hAnsi="宋体" w:eastAsia="宋体" w:cs="宋体"/>
                <w:i w:val="0"/>
                <w:iCs w:val="0"/>
                <w:color w:val="000000"/>
                <w:sz w:val="18"/>
                <w:szCs w:val="18"/>
                <w:highlight w:val="none"/>
                <w:u w:val="none"/>
                <w:lang w:val="en-US" w:eastAsia="zh-CN"/>
              </w:rPr>
            </w:pPr>
          </w:p>
        </w:tc>
      </w:tr>
      <w:tr w14:paraId="7772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22D6F549">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化工类产业园区</w:t>
            </w:r>
          </w:p>
        </w:tc>
        <w:tc>
          <w:tcPr>
            <w:tcW w:w="4206" w:type="dxa"/>
            <w:shd w:val="clear" w:color="auto" w:fill="auto"/>
            <w:noWrap/>
            <w:vAlign w:val="center"/>
          </w:tcPr>
          <w:p w14:paraId="43E5B257">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化工产业用地上的总建筑面积</w:t>
            </w:r>
          </w:p>
        </w:tc>
        <w:tc>
          <w:tcPr>
            <w:tcW w:w="1918" w:type="dxa"/>
            <w:shd w:val="clear" w:color="auto" w:fill="auto"/>
            <w:noWrap/>
            <w:vAlign w:val="center"/>
          </w:tcPr>
          <w:p w14:paraId="7BC86DAE">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DECFF95">
            <w:pPr>
              <w:jc w:val="center"/>
              <w:rPr>
                <w:rFonts w:hint="eastAsia" w:ascii="宋体" w:hAnsi="宋体" w:eastAsia="宋体" w:cs="宋体"/>
                <w:i w:val="0"/>
                <w:iCs w:val="0"/>
                <w:color w:val="000000"/>
                <w:sz w:val="18"/>
                <w:szCs w:val="18"/>
                <w:highlight w:val="none"/>
                <w:u w:val="none"/>
                <w:lang w:val="en-US" w:eastAsia="zh-CN"/>
              </w:rPr>
            </w:pPr>
          </w:p>
        </w:tc>
      </w:tr>
      <w:tr w14:paraId="745B5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F4FA632">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080FD7B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化工产业用地上的建筑物构筑物基底总面积</w:t>
            </w:r>
          </w:p>
        </w:tc>
        <w:tc>
          <w:tcPr>
            <w:tcW w:w="1918" w:type="dxa"/>
            <w:shd w:val="clear" w:color="auto" w:fill="auto"/>
            <w:noWrap/>
            <w:vAlign w:val="center"/>
          </w:tcPr>
          <w:p w14:paraId="0ACCBD97">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5332BEC0">
            <w:pPr>
              <w:jc w:val="center"/>
              <w:rPr>
                <w:rFonts w:hint="eastAsia" w:ascii="宋体" w:hAnsi="宋体" w:eastAsia="宋体" w:cs="宋体"/>
                <w:i w:val="0"/>
                <w:iCs w:val="0"/>
                <w:color w:val="000000"/>
                <w:sz w:val="18"/>
                <w:szCs w:val="18"/>
                <w:highlight w:val="none"/>
                <w:u w:val="none"/>
                <w:lang w:val="en-US" w:eastAsia="zh-CN"/>
              </w:rPr>
            </w:pPr>
          </w:p>
        </w:tc>
      </w:tr>
      <w:tr w14:paraId="617EA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43DD68B4">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10A02AC4">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新增</w:t>
            </w:r>
            <w:r>
              <w:rPr>
                <w:rFonts w:hint="eastAsia" w:ascii="宋体" w:hAnsi="宋体" w:eastAsia="宋体" w:cs="宋体"/>
                <w:i w:val="0"/>
                <w:iCs w:val="0"/>
                <w:color w:val="000000"/>
                <w:kern w:val="0"/>
                <w:sz w:val="18"/>
                <w:szCs w:val="18"/>
                <w:highlight w:val="none"/>
                <w:u w:val="none"/>
                <w:lang w:val="en-US" w:eastAsia="zh-CN" w:bidi="ar"/>
              </w:rPr>
              <w:t>化工产业用地上的总建筑面积</w:t>
            </w:r>
          </w:p>
        </w:tc>
        <w:tc>
          <w:tcPr>
            <w:tcW w:w="1918" w:type="dxa"/>
            <w:shd w:val="clear" w:color="auto" w:fill="auto"/>
            <w:noWrap/>
            <w:vAlign w:val="center"/>
          </w:tcPr>
          <w:p w14:paraId="6947781D">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9A610E9">
            <w:pPr>
              <w:jc w:val="center"/>
              <w:rPr>
                <w:rFonts w:hint="eastAsia" w:ascii="宋体" w:hAnsi="宋体" w:eastAsia="宋体" w:cs="宋体"/>
                <w:i w:val="0"/>
                <w:iCs w:val="0"/>
                <w:color w:val="000000"/>
                <w:sz w:val="18"/>
                <w:szCs w:val="18"/>
                <w:highlight w:val="none"/>
                <w:u w:val="none"/>
                <w:lang w:val="en-US" w:eastAsia="zh-CN"/>
              </w:rPr>
            </w:pPr>
          </w:p>
        </w:tc>
      </w:tr>
      <w:tr w14:paraId="3AEA4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A328272">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3E55F4F7">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新增化工产业用地上的建筑物构筑物基底面积、露天堆场和露天操作场地的总面积</w:t>
            </w:r>
          </w:p>
        </w:tc>
        <w:tc>
          <w:tcPr>
            <w:tcW w:w="1918" w:type="dxa"/>
            <w:shd w:val="clear" w:color="auto" w:fill="auto"/>
            <w:noWrap/>
            <w:vAlign w:val="center"/>
          </w:tcPr>
          <w:p w14:paraId="2106E222">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9D69990">
            <w:pPr>
              <w:jc w:val="center"/>
              <w:rPr>
                <w:rFonts w:hint="eastAsia" w:ascii="宋体" w:hAnsi="宋体" w:eastAsia="宋体" w:cs="宋体"/>
                <w:i w:val="0"/>
                <w:iCs w:val="0"/>
                <w:color w:val="000000"/>
                <w:sz w:val="18"/>
                <w:szCs w:val="18"/>
                <w:highlight w:val="none"/>
                <w:u w:val="none"/>
                <w:lang w:val="en-US" w:eastAsia="zh-CN"/>
              </w:rPr>
            </w:pPr>
          </w:p>
        </w:tc>
      </w:tr>
    </w:tbl>
    <w:p w14:paraId="4A2E62FE">
      <w:pPr>
        <w:pStyle w:val="138"/>
        <w:ind w:left="0" w:leftChars="0" w:firstLine="0" w:firstLineChars="0"/>
        <w:rPr>
          <w:rFonts w:hint="eastAsia"/>
          <w:highlight w:val="none"/>
        </w:rPr>
      </w:pPr>
    </w:p>
    <w:p w14:paraId="243696E8">
      <w:pPr>
        <w:pStyle w:val="156"/>
        <w:numPr>
          <w:ilvl w:val="1"/>
          <w:numId w:val="0"/>
        </w:numPr>
        <w:bidi w:val="0"/>
        <w:ind w:left="0" w:leftChars="0" w:firstLine="0" w:firstLineChars="0"/>
        <w:rPr>
          <w:rStyle w:val="157"/>
          <w:rFonts w:hint="eastAsia"/>
          <w:highlight w:val="none"/>
          <w:lang w:val="en-US" w:eastAsia="zh-CN"/>
        </w:rPr>
      </w:pPr>
    </w:p>
    <w:p w14:paraId="242A51CC">
      <w:pPr>
        <w:pStyle w:val="156"/>
        <w:numPr>
          <w:ilvl w:val="1"/>
          <w:numId w:val="0"/>
        </w:numPr>
        <w:bidi w:val="0"/>
        <w:ind w:left="0" w:leftChars="0" w:firstLine="0" w:firstLineChars="0"/>
        <w:rPr>
          <w:rStyle w:val="157"/>
          <w:rFonts w:hint="eastAsia"/>
          <w:highlight w:val="none"/>
          <w:lang w:val="en-US" w:eastAsia="zh-CN"/>
        </w:rPr>
      </w:pPr>
    </w:p>
    <w:p w14:paraId="38A59582">
      <w:pPr>
        <w:pStyle w:val="156"/>
        <w:numPr>
          <w:ilvl w:val="1"/>
          <w:numId w:val="0"/>
        </w:numPr>
        <w:bidi w:val="0"/>
        <w:ind w:left="0" w:leftChars="0" w:firstLine="0" w:firstLineChars="0"/>
        <w:rPr>
          <w:rStyle w:val="157"/>
          <w:rFonts w:hint="eastAsia"/>
          <w:highlight w:val="none"/>
          <w:lang w:val="en-US" w:eastAsia="zh-CN"/>
        </w:rPr>
      </w:pPr>
    </w:p>
    <w:p w14:paraId="6FE43046">
      <w:pPr>
        <w:pStyle w:val="156"/>
        <w:numPr>
          <w:ilvl w:val="1"/>
          <w:numId w:val="0"/>
        </w:numPr>
        <w:bidi w:val="0"/>
        <w:ind w:left="0" w:leftChars="0" w:firstLine="0" w:firstLineChars="0"/>
        <w:rPr>
          <w:rStyle w:val="157"/>
          <w:rFonts w:hint="eastAsia"/>
          <w:highlight w:val="none"/>
          <w:lang w:val="en-US" w:eastAsia="zh-CN"/>
        </w:rPr>
      </w:pPr>
    </w:p>
    <w:p w14:paraId="4304B938">
      <w:pPr>
        <w:pStyle w:val="156"/>
        <w:numPr>
          <w:ilvl w:val="1"/>
          <w:numId w:val="0"/>
        </w:numPr>
        <w:bidi w:val="0"/>
        <w:ind w:left="0" w:leftChars="0" w:firstLine="0" w:firstLineChars="0"/>
        <w:rPr>
          <w:rStyle w:val="157"/>
          <w:rFonts w:hint="eastAsia"/>
          <w:highlight w:val="none"/>
          <w:lang w:val="en-US" w:eastAsia="zh-CN"/>
        </w:rPr>
      </w:pPr>
    </w:p>
    <w:p w14:paraId="6F011B36">
      <w:pPr>
        <w:pStyle w:val="156"/>
        <w:numPr>
          <w:ilvl w:val="1"/>
          <w:numId w:val="0"/>
        </w:numPr>
        <w:bidi w:val="0"/>
        <w:ind w:left="0" w:leftChars="0" w:firstLine="0" w:firstLineChars="0"/>
        <w:rPr>
          <w:rStyle w:val="157"/>
          <w:rFonts w:hint="eastAsia"/>
          <w:highlight w:val="none"/>
          <w:lang w:val="en-US" w:eastAsia="zh-CN"/>
        </w:rPr>
      </w:pPr>
    </w:p>
    <w:p w14:paraId="44E49407">
      <w:pPr>
        <w:pStyle w:val="156"/>
        <w:numPr>
          <w:ilvl w:val="1"/>
          <w:numId w:val="0"/>
        </w:numPr>
        <w:bidi w:val="0"/>
        <w:ind w:left="0" w:leftChars="0" w:firstLine="0" w:firstLineChars="0"/>
        <w:rPr>
          <w:rStyle w:val="157"/>
          <w:rFonts w:hint="eastAsia"/>
          <w:highlight w:val="none"/>
          <w:lang w:val="en-US" w:eastAsia="zh-CN"/>
        </w:rPr>
      </w:pPr>
    </w:p>
    <w:p w14:paraId="1D705CC0">
      <w:pPr>
        <w:pStyle w:val="156"/>
        <w:numPr>
          <w:ilvl w:val="1"/>
          <w:numId w:val="0"/>
        </w:numPr>
        <w:bidi w:val="0"/>
        <w:ind w:left="0" w:leftChars="0" w:firstLine="0" w:firstLineChars="0"/>
        <w:rPr>
          <w:rStyle w:val="157"/>
          <w:rFonts w:hint="eastAsia"/>
          <w:highlight w:val="none"/>
          <w:lang w:val="en-US" w:eastAsia="zh-CN"/>
        </w:rPr>
      </w:pPr>
    </w:p>
    <w:p w14:paraId="236F8012">
      <w:pPr>
        <w:pStyle w:val="156"/>
        <w:numPr>
          <w:ilvl w:val="1"/>
          <w:numId w:val="0"/>
        </w:numPr>
        <w:bidi w:val="0"/>
        <w:ind w:left="0" w:leftChars="0" w:firstLine="0" w:firstLineChars="0"/>
        <w:rPr>
          <w:rStyle w:val="157"/>
          <w:rFonts w:hint="eastAsia"/>
          <w:highlight w:val="none"/>
          <w:lang w:val="en-US" w:eastAsia="zh-CN"/>
        </w:rPr>
      </w:pPr>
    </w:p>
    <w:p w14:paraId="7C89D777">
      <w:pPr>
        <w:pStyle w:val="156"/>
        <w:numPr>
          <w:ilvl w:val="1"/>
          <w:numId w:val="0"/>
        </w:numPr>
        <w:bidi w:val="0"/>
        <w:ind w:left="0" w:leftChars="0" w:firstLine="0" w:firstLineChars="0"/>
        <w:rPr>
          <w:rStyle w:val="157"/>
          <w:rFonts w:hint="eastAsia"/>
          <w:highlight w:val="none"/>
          <w:lang w:val="en-US" w:eastAsia="zh-CN"/>
        </w:rPr>
      </w:pPr>
    </w:p>
    <w:p w14:paraId="2C1D79D5">
      <w:pPr>
        <w:pStyle w:val="156"/>
        <w:numPr>
          <w:ilvl w:val="1"/>
          <w:numId w:val="0"/>
        </w:numPr>
        <w:bidi w:val="0"/>
        <w:ind w:left="0" w:leftChars="0" w:firstLine="0" w:firstLineChars="0"/>
        <w:rPr>
          <w:rStyle w:val="157"/>
          <w:rFonts w:hint="eastAsia"/>
          <w:highlight w:val="none"/>
          <w:lang w:val="en-US" w:eastAsia="zh-CN"/>
        </w:rPr>
      </w:pPr>
    </w:p>
    <w:p w14:paraId="67C5F47A">
      <w:pPr>
        <w:pStyle w:val="156"/>
        <w:numPr>
          <w:ilvl w:val="1"/>
          <w:numId w:val="0"/>
        </w:numPr>
        <w:bidi w:val="0"/>
        <w:ind w:left="0" w:leftChars="0" w:firstLine="0" w:firstLineChars="0"/>
        <w:rPr>
          <w:rStyle w:val="157"/>
          <w:rFonts w:hint="eastAsia"/>
          <w:highlight w:val="none"/>
          <w:lang w:val="en-US" w:eastAsia="zh-CN"/>
        </w:rPr>
      </w:pPr>
    </w:p>
    <w:p w14:paraId="6657720B">
      <w:pPr>
        <w:pStyle w:val="156"/>
        <w:numPr>
          <w:ilvl w:val="1"/>
          <w:numId w:val="0"/>
        </w:numPr>
        <w:bidi w:val="0"/>
        <w:ind w:left="0" w:leftChars="0" w:firstLine="0" w:firstLineChars="0"/>
        <w:rPr>
          <w:rStyle w:val="157"/>
          <w:rFonts w:hint="eastAsia"/>
          <w:highlight w:val="none"/>
          <w:lang w:val="en-US" w:eastAsia="zh-CN"/>
        </w:rPr>
      </w:pPr>
    </w:p>
    <w:p w14:paraId="05E18E85">
      <w:pPr>
        <w:pStyle w:val="156"/>
        <w:numPr>
          <w:ilvl w:val="1"/>
          <w:numId w:val="0"/>
        </w:numPr>
        <w:bidi w:val="0"/>
        <w:ind w:left="0" w:leftChars="0" w:firstLine="0" w:firstLineChars="0"/>
        <w:rPr>
          <w:rStyle w:val="157"/>
          <w:rFonts w:hint="eastAsia"/>
          <w:highlight w:val="none"/>
          <w:lang w:val="en-US" w:eastAsia="zh-CN"/>
        </w:rPr>
      </w:pPr>
    </w:p>
    <w:p w14:paraId="5D070C85">
      <w:pPr>
        <w:pStyle w:val="156"/>
        <w:numPr>
          <w:ilvl w:val="1"/>
          <w:numId w:val="0"/>
        </w:numPr>
        <w:bidi w:val="0"/>
        <w:ind w:left="0" w:leftChars="0" w:firstLine="0" w:firstLineChars="0"/>
        <w:rPr>
          <w:rFonts w:hint="eastAsia"/>
          <w:highlight w:val="none"/>
        </w:rPr>
      </w:pPr>
      <w:r>
        <w:rPr>
          <w:rStyle w:val="157"/>
          <w:rFonts w:hint="eastAsia"/>
          <w:highlight w:val="none"/>
          <w:lang w:val="en-US" w:eastAsia="zh-CN"/>
        </w:rPr>
        <w:t>表A.2</w:t>
      </w:r>
      <w:r>
        <w:rPr>
          <w:rFonts w:hint="eastAsia"/>
          <w:highlight w:val="none"/>
        </w:rPr>
        <w:t>产业园区</w:t>
      </w:r>
      <w:r>
        <w:rPr>
          <w:rFonts w:hint="eastAsia"/>
          <w:highlight w:val="none"/>
          <w:lang w:val="en-US" w:eastAsia="zh-CN"/>
        </w:rPr>
        <w:t>用地结构状况调</w:t>
      </w:r>
      <w:r>
        <w:rPr>
          <w:rFonts w:hint="eastAsia"/>
          <w:highlight w:val="none"/>
        </w:rPr>
        <w:t>查表</w:t>
      </w:r>
    </w:p>
    <w:tbl>
      <w:tblPr>
        <w:tblStyle w:val="33"/>
        <w:tblW w:w="959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701"/>
        <w:gridCol w:w="3475"/>
        <w:gridCol w:w="2649"/>
        <w:gridCol w:w="1765"/>
      </w:tblGrid>
      <w:tr w14:paraId="7E46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shd w:val="clear" w:color="auto" w:fill="auto"/>
            <w:noWrap/>
            <w:vAlign w:val="center"/>
          </w:tcPr>
          <w:p w14:paraId="660FDD4B">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类型</w:t>
            </w:r>
          </w:p>
        </w:tc>
        <w:tc>
          <w:tcPr>
            <w:tcW w:w="3475" w:type="dxa"/>
            <w:shd w:val="clear" w:color="auto" w:fill="auto"/>
            <w:noWrap/>
            <w:vAlign w:val="center"/>
          </w:tcPr>
          <w:p w14:paraId="313A1AF2">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w:t>
            </w:r>
          </w:p>
        </w:tc>
        <w:tc>
          <w:tcPr>
            <w:tcW w:w="2649" w:type="dxa"/>
            <w:shd w:val="clear" w:color="auto" w:fill="auto"/>
            <w:noWrap/>
            <w:vAlign w:val="center"/>
          </w:tcPr>
          <w:p w14:paraId="31EE1569">
            <w:pPr>
              <w:keepNext w:val="0"/>
              <w:keepLines w:val="0"/>
              <w:widowControl/>
              <w:suppressLineNumbers w:val="0"/>
              <w:jc w:val="center"/>
              <w:textAlignment w:val="bottom"/>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数量</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765" w:type="dxa"/>
            <w:shd w:val="clear" w:color="auto" w:fill="auto"/>
            <w:noWrap/>
            <w:vAlign w:val="center"/>
          </w:tcPr>
          <w:p w14:paraId="62510B4C">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备注</w:t>
            </w:r>
          </w:p>
        </w:tc>
      </w:tr>
      <w:tr w14:paraId="74BE7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4862B96F">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经济类产业园区</w:t>
            </w:r>
          </w:p>
        </w:tc>
        <w:tc>
          <w:tcPr>
            <w:tcW w:w="3475" w:type="dxa"/>
            <w:shd w:val="clear" w:color="auto" w:fill="auto"/>
            <w:noWrap/>
            <w:vAlign w:val="center"/>
          </w:tcPr>
          <w:p w14:paraId="0777A75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规上企业</w:t>
            </w:r>
            <w:r>
              <w:rPr>
                <w:rFonts w:hint="eastAsia" w:ascii="宋体" w:hAnsi="宋体" w:eastAsia="宋体" w:cs="宋体"/>
                <w:i w:val="0"/>
                <w:iCs w:val="0"/>
                <w:color w:val="000000"/>
                <w:kern w:val="0"/>
                <w:sz w:val="18"/>
                <w:szCs w:val="18"/>
                <w:highlight w:val="none"/>
                <w:u w:val="none"/>
                <w:lang w:val="en-US" w:eastAsia="zh-CN" w:bidi="ar"/>
              </w:rPr>
              <w:t>用地面积</w:t>
            </w:r>
          </w:p>
        </w:tc>
        <w:tc>
          <w:tcPr>
            <w:tcW w:w="2649" w:type="dxa"/>
            <w:shd w:val="clear" w:color="auto" w:fill="auto"/>
            <w:noWrap/>
            <w:vAlign w:val="center"/>
          </w:tcPr>
          <w:p w14:paraId="1AE4E2CC">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6BA1409">
            <w:pPr>
              <w:jc w:val="center"/>
              <w:rPr>
                <w:rFonts w:hint="eastAsia" w:ascii="宋体" w:hAnsi="宋体" w:eastAsia="宋体" w:cs="宋体"/>
                <w:i w:val="0"/>
                <w:iCs w:val="0"/>
                <w:color w:val="000000"/>
                <w:sz w:val="18"/>
                <w:szCs w:val="18"/>
                <w:highlight w:val="none"/>
                <w:u w:val="none"/>
                <w:lang w:val="en-US" w:eastAsia="zh-CN"/>
              </w:rPr>
            </w:pPr>
          </w:p>
        </w:tc>
      </w:tr>
      <w:tr w14:paraId="33F7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7CA1ECE3">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64AB72F3">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主导产业用地面积</w:t>
            </w:r>
          </w:p>
        </w:tc>
        <w:tc>
          <w:tcPr>
            <w:tcW w:w="2649" w:type="dxa"/>
            <w:shd w:val="clear" w:color="auto" w:fill="auto"/>
            <w:noWrap/>
            <w:vAlign w:val="center"/>
          </w:tcPr>
          <w:p w14:paraId="34FACBC4">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70997EB">
            <w:pPr>
              <w:jc w:val="center"/>
              <w:rPr>
                <w:rFonts w:hint="eastAsia" w:ascii="宋体" w:hAnsi="宋体" w:eastAsia="宋体" w:cs="宋体"/>
                <w:i w:val="0"/>
                <w:iCs w:val="0"/>
                <w:color w:val="000000"/>
                <w:sz w:val="18"/>
                <w:szCs w:val="18"/>
                <w:highlight w:val="none"/>
                <w:u w:val="none"/>
                <w:lang w:val="en-US" w:eastAsia="zh-CN"/>
              </w:rPr>
            </w:pPr>
          </w:p>
        </w:tc>
      </w:tr>
      <w:tr w14:paraId="3067D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6C57BCA">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567530E0">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工业用地多元化供应面积</w:t>
            </w:r>
          </w:p>
        </w:tc>
        <w:tc>
          <w:tcPr>
            <w:tcW w:w="2649" w:type="dxa"/>
            <w:shd w:val="clear" w:color="auto" w:fill="auto"/>
            <w:noWrap/>
            <w:vAlign w:val="center"/>
          </w:tcPr>
          <w:p w14:paraId="50B29774">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B69499D">
            <w:pPr>
              <w:jc w:val="center"/>
              <w:rPr>
                <w:rFonts w:hint="eastAsia" w:ascii="宋体" w:hAnsi="宋体" w:eastAsia="宋体" w:cs="宋体"/>
                <w:i w:val="0"/>
                <w:iCs w:val="0"/>
                <w:color w:val="000000"/>
                <w:sz w:val="18"/>
                <w:szCs w:val="18"/>
                <w:highlight w:val="none"/>
                <w:u w:val="none"/>
                <w:lang w:val="en-US" w:eastAsia="zh-CN"/>
              </w:rPr>
            </w:pPr>
          </w:p>
        </w:tc>
      </w:tr>
      <w:tr w14:paraId="0EBA1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15C08B6">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0CA9A25D">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新增工矿仓储用地面积</w:t>
            </w:r>
          </w:p>
        </w:tc>
        <w:tc>
          <w:tcPr>
            <w:tcW w:w="2649" w:type="dxa"/>
            <w:shd w:val="clear" w:color="auto" w:fill="auto"/>
            <w:noWrap/>
            <w:vAlign w:val="center"/>
          </w:tcPr>
          <w:p w14:paraId="0C40941A">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49EE22EA">
            <w:pPr>
              <w:jc w:val="center"/>
              <w:rPr>
                <w:rFonts w:hint="eastAsia" w:ascii="宋体" w:hAnsi="宋体" w:eastAsia="宋体" w:cs="宋体"/>
                <w:i w:val="0"/>
                <w:iCs w:val="0"/>
                <w:color w:val="000000"/>
                <w:sz w:val="18"/>
                <w:szCs w:val="18"/>
                <w:highlight w:val="none"/>
                <w:u w:val="none"/>
                <w:lang w:val="en-US" w:eastAsia="zh-CN"/>
              </w:rPr>
            </w:pPr>
          </w:p>
        </w:tc>
      </w:tr>
      <w:tr w14:paraId="22BA4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7533F6D0">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高新类产业园区</w:t>
            </w:r>
          </w:p>
        </w:tc>
        <w:tc>
          <w:tcPr>
            <w:tcW w:w="3475" w:type="dxa"/>
            <w:shd w:val="clear" w:color="auto" w:fill="auto"/>
            <w:noWrap/>
            <w:vAlign w:val="center"/>
          </w:tcPr>
          <w:p w14:paraId="471E4635">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规上企业</w:t>
            </w:r>
            <w:r>
              <w:rPr>
                <w:rFonts w:hint="eastAsia" w:ascii="宋体" w:hAnsi="宋体" w:eastAsia="宋体" w:cs="宋体"/>
                <w:i w:val="0"/>
                <w:iCs w:val="0"/>
                <w:color w:val="000000"/>
                <w:kern w:val="0"/>
                <w:sz w:val="18"/>
                <w:szCs w:val="18"/>
                <w:highlight w:val="none"/>
                <w:u w:val="none"/>
                <w:lang w:val="en-US" w:eastAsia="zh-CN" w:bidi="ar"/>
              </w:rPr>
              <w:t>用地面积</w:t>
            </w:r>
          </w:p>
        </w:tc>
        <w:tc>
          <w:tcPr>
            <w:tcW w:w="2649" w:type="dxa"/>
            <w:shd w:val="clear" w:color="auto" w:fill="auto"/>
            <w:noWrap/>
            <w:vAlign w:val="center"/>
          </w:tcPr>
          <w:p w14:paraId="3E1E38F2">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5AEF71E">
            <w:pPr>
              <w:jc w:val="center"/>
              <w:rPr>
                <w:rFonts w:hint="eastAsia" w:ascii="宋体" w:hAnsi="宋体" w:eastAsia="宋体" w:cs="宋体"/>
                <w:i w:val="0"/>
                <w:iCs w:val="0"/>
                <w:color w:val="000000"/>
                <w:sz w:val="18"/>
                <w:szCs w:val="18"/>
                <w:highlight w:val="none"/>
                <w:u w:val="none"/>
                <w:lang w:val="en-US" w:eastAsia="zh-CN"/>
              </w:rPr>
            </w:pPr>
          </w:p>
        </w:tc>
      </w:tr>
      <w:tr w14:paraId="3048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5E98AB6">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5DB6CC04">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主导产业用地面积</w:t>
            </w:r>
          </w:p>
        </w:tc>
        <w:tc>
          <w:tcPr>
            <w:tcW w:w="2649" w:type="dxa"/>
            <w:shd w:val="clear" w:color="auto" w:fill="auto"/>
            <w:noWrap/>
            <w:vAlign w:val="center"/>
          </w:tcPr>
          <w:p w14:paraId="041C0BFA">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254EF191">
            <w:pPr>
              <w:jc w:val="center"/>
              <w:rPr>
                <w:rFonts w:hint="eastAsia" w:ascii="宋体" w:hAnsi="宋体" w:eastAsia="宋体" w:cs="宋体"/>
                <w:i w:val="0"/>
                <w:iCs w:val="0"/>
                <w:color w:val="000000"/>
                <w:sz w:val="18"/>
                <w:szCs w:val="18"/>
                <w:highlight w:val="none"/>
                <w:u w:val="none"/>
                <w:lang w:val="en-US" w:eastAsia="zh-CN"/>
              </w:rPr>
            </w:pPr>
          </w:p>
        </w:tc>
      </w:tr>
      <w:tr w14:paraId="13E3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372B729">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0DEE52A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工业用地多元化供应面积</w:t>
            </w:r>
          </w:p>
        </w:tc>
        <w:tc>
          <w:tcPr>
            <w:tcW w:w="2649" w:type="dxa"/>
            <w:shd w:val="clear" w:color="auto" w:fill="auto"/>
            <w:noWrap/>
            <w:vAlign w:val="center"/>
          </w:tcPr>
          <w:p w14:paraId="3B3396D8">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5A1929F">
            <w:pPr>
              <w:jc w:val="center"/>
              <w:rPr>
                <w:rFonts w:hint="eastAsia" w:ascii="宋体" w:hAnsi="宋体" w:eastAsia="宋体" w:cs="宋体"/>
                <w:i w:val="0"/>
                <w:iCs w:val="0"/>
                <w:color w:val="000000"/>
                <w:sz w:val="18"/>
                <w:szCs w:val="18"/>
                <w:highlight w:val="none"/>
                <w:u w:val="none"/>
                <w:lang w:val="en-US" w:eastAsia="zh-CN"/>
              </w:rPr>
            </w:pPr>
          </w:p>
        </w:tc>
      </w:tr>
      <w:tr w14:paraId="1405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1536AF08">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7FCB22F1">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新增工矿仓储用地面积</w:t>
            </w:r>
          </w:p>
        </w:tc>
        <w:tc>
          <w:tcPr>
            <w:tcW w:w="2649" w:type="dxa"/>
            <w:shd w:val="clear" w:color="auto" w:fill="auto"/>
            <w:noWrap/>
            <w:vAlign w:val="center"/>
          </w:tcPr>
          <w:p w14:paraId="330E5170">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823783B">
            <w:pPr>
              <w:jc w:val="center"/>
              <w:rPr>
                <w:rFonts w:hint="eastAsia" w:ascii="宋体" w:hAnsi="宋体" w:eastAsia="宋体" w:cs="宋体"/>
                <w:i w:val="0"/>
                <w:iCs w:val="0"/>
                <w:color w:val="000000"/>
                <w:sz w:val="18"/>
                <w:szCs w:val="18"/>
                <w:highlight w:val="none"/>
                <w:u w:val="none"/>
                <w:lang w:val="en-US" w:eastAsia="zh-CN"/>
              </w:rPr>
            </w:pPr>
          </w:p>
        </w:tc>
      </w:tr>
      <w:tr w14:paraId="731C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4047F95">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705733D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高新企业用地面积</w:t>
            </w:r>
          </w:p>
        </w:tc>
        <w:tc>
          <w:tcPr>
            <w:tcW w:w="2649" w:type="dxa"/>
            <w:shd w:val="clear" w:color="auto" w:fill="auto"/>
            <w:noWrap/>
            <w:vAlign w:val="center"/>
          </w:tcPr>
          <w:p w14:paraId="48F17282">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416F2AA">
            <w:pPr>
              <w:jc w:val="center"/>
              <w:rPr>
                <w:rFonts w:hint="eastAsia" w:ascii="宋体" w:hAnsi="宋体" w:eastAsia="宋体" w:cs="宋体"/>
                <w:i w:val="0"/>
                <w:iCs w:val="0"/>
                <w:color w:val="000000"/>
                <w:sz w:val="18"/>
                <w:szCs w:val="18"/>
                <w:highlight w:val="none"/>
                <w:u w:val="none"/>
                <w:lang w:val="en-US" w:eastAsia="zh-CN"/>
              </w:rPr>
            </w:pPr>
          </w:p>
        </w:tc>
      </w:tr>
      <w:tr w14:paraId="0F1E9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1DEFEE99">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70F535D8">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新兴产业用地面积</w:t>
            </w:r>
          </w:p>
        </w:tc>
        <w:tc>
          <w:tcPr>
            <w:tcW w:w="2649" w:type="dxa"/>
            <w:shd w:val="clear" w:color="auto" w:fill="auto"/>
            <w:noWrap/>
            <w:vAlign w:val="center"/>
          </w:tcPr>
          <w:p w14:paraId="299FBF3A">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EDE8212">
            <w:pPr>
              <w:jc w:val="center"/>
              <w:rPr>
                <w:rFonts w:hint="eastAsia" w:ascii="宋体" w:hAnsi="宋体" w:eastAsia="宋体" w:cs="宋体"/>
                <w:i w:val="0"/>
                <w:iCs w:val="0"/>
                <w:color w:val="000000"/>
                <w:sz w:val="18"/>
                <w:szCs w:val="18"/>
                <w:highlight w:val="none"/>
                <w:u w:val="none"/>
                <w:lang w:val="en-US" w:eastAsia="zh-CN"/>
              </w:rPr>
            </w:pPr>
          </w:p>
        </w:tc>
      </w:tr>
      <w:tr w14:paraId="1AF4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03DBD53A">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海关类产业园区</w:t>
            </w:r>
          </w:p>
        </w:tc>
        <w:tc>
          <w:tcPr>
            <w:tcW w:w="3475" w:type="dxa"/>
            <w:shd w:val="clear" w:color="auto" w:fill="auto"/>
            <w:noWrap/>
            <w:vAlign w:val="center"/>
          </w:tcPr>
          <w:p w14:paraId="7E588188">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规上企业</w:t>
            </w:r>
            <w:r>
              <w:rPr>
                <w:rFonts w:hint="eastAsia" w:ascii="宋体" w:hAnsi="宋体" w:eastAsia="宋体" w:cs="宋体"/>
                <w:i w:val="0"/>
                <w:iCs w:val="0"/>
                <w:color w:val="000000"/>
                <w:kern w:val="0"/>
                <w:sz w:val="18"/>
                <w:szCs w:val="18"/>
                <w:highlight w:val="none"/>
                <w:u w:val="none"/>
                <w:lang w:val="en-US" w:eastAsia="zh-CN" w:bidi="ar"/>
              </w:rPr>
              <w:t>用地面积</w:t>
            </w:r>
          </w:p>
        </w:tc>
        <w:tc>
          <w:tcPr>
            <w:tcW w:w="2649" w:type="dxa"/>
            <w:shd w:val="clear" w:color="auto" w:fill="auto"/>
            <w:noWrap/>
            <w:vAlign w:val="center"/>
          </w:tcPr>
          <w:p w14:paraId="275F340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BAFCA1A">
            <w:pPr>
              <w:jc w:val="center"/>
              <w:rPr>
                <w:rFonts w:hint="eastAsia" w:ascii="宋体" w:hAnsi="宋体" w:eastAsia="宋体" w:cs="宋体"/>
                <w:i w:val="0"/>
                <w:iCs w:val="0"/>
                <w:color w:val="000000"/>
                <w:sz w:val="18"/>
                <w:szCs w:val="18"/>
                <w:highlight w:val="none"/>
                <w:u w:val="none"/>
                <w:lang w:val="en-US" w:eastAsia="zh-CN"/>
              </w:rPr>
            </w:pPr>
          </w:p>
        </w:tc>
      </w:tr>
      <w:tr w14:paraId="53AAB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20D2678">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726BE35B">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新增工矿仓储用地面积</w:t>
            </w:r>
          </w:p>
        </w:tc>
        <w:tc>
          <w:tcPr>
            <w:tcW w:w="2649" w:type="dxa"/>
            <w:shd w:val="clear" w:color="auto" w:fill="auto"/>
            <w:noWrap/>
            <w:vAlign w:val="center"/>
          </w:tcPr>
          <w:p w14:paraId="31A5E0C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57148E1">
            <w:pPr>
              <w:jc w:val="center"/>
              <w:rPr>
                <w:rFonts w:hint="eastAsia" w:ascii="宋体" w:hAnsi="宋体" w:eastAsia="宋体" w:cs="宋体"/>
                <w:i w:val="0"/>
                <w:iCs w:val="0"/>
                <w:color w:val="000000"/>
                <w:sz w:val="18"/>
                <w:szCs w:val="18"/>
                <w:highlight w:val="none"/>
                <w:u w:val="none"/>
                <w:lang w:val="en-US" w:eastAsia="zh-CN"/>
              </w:rPr>
            </w:pPr>
          </w:p>
        </w:tc>
      </w:tr>
      <w:tr w14:paraId="3DD9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21CF1CB9">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76FEF2A5">
            <w:pPr>
              <w:keepNext w:val="0"/>
              <w:keepLines w:val="0"/>
              <w:widowControl/>
              <w:suppressLineNumbers w:val="0"/>
              <w:jc w:val="center"/>
              <w:textAlignment w:val="bottom"/>
              <w:rPr>
                <w:rFonts w:hint="eastAsia" w:ascii="宋体" w:hAnsi="宋体" w:cs="宋体"/>
                <w:i w:val="0"/>
                <w:iCs w:val="0"/>
                <w:color w:val="000000"/>
                <w:kern w:val="0"/>
                <w:sz w:val="18"/>
                <w:szCs w:val="18"/>
                <w:highlight w:val="none"/>
                <w:u w:val="none"/>
                <w:lang w:val="en-US" w:eastAsia="zh-CN" w:bidi="ar"/>
              </w:rPr>
            </w:pPr>
            <w:r>
              <w:rPr>
                <w:rFonts w:hint="eastAsia" w:ascii="宋体" w:hAnsi="宋体" w:cs="宋体"/>
                <w:i w:val="0"/>
                <w:iCs w:val="0"/>
                <w:color w:val="000000"/>
                <w:sz w:val="18"/>
                <w:szCs w:val="18"/>
                <w:highlight w:val="none"/>
                <w:u w:val="none"/>
                <w:lang w:val="en-US" w:eastAsia="zh-CN"/>
              </w:rPr>
              <w:t>围网内实际开发面积</w:t>
            </w:r>
          </w:p>
        </w:tc>
        <w:tc>
          <w:tcPr>
            <w:tcW w:w="2649" w:type="dxa"/>
            <w:shd w:val="clear" w:color="auto" w:fill="auto"/>
            <w:noWrap/>
            <w:vAlign w:val="center"/>
          </w:tcPr>
          <w:p w14:paraId="6C63A51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CEE79AB">
            <w:pPr>
              <w:jc w:val="center"/>
              <w:rPr>
                <w:rFonts w:hint="eastAsia" w:ascii="宋体" w:hAnsi="宋体" w:eastAsia="宋体" w:cs="宋体"/>
                <w:i w:val="0"/>
                <w:iCs w:val="0"/>
                <w:color w:val="000000"/>
                <w:sz w:val="18"/>
                <w:szCs w:val="18"/>
                <w:highlight w:val="none"/>
                <w:u w:val="none"/>
                <w:lang w:val="en-US" w:eastAsia="zh-CN"/>
              </w:rPr>
            </w:pPr>
          </w:p>
        </w:tc>
      </w:tr>
      <w:tr w14:paraId="61C5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29439C24">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6027FBCD">
            <w:pPr>
              <w:keepNext w:val="0"/>
              <w:keepLines w:val="0"/>
              <w:widowControl/>
              <w:suppressLineNumbers w:val="0"/>
              <w:jc w:val="center"/>
              <w:textAlignment w:val="bottom"/>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验收土地面积</w:t>
            </w:r>
          </w:p>
        </w:tc>
        <w:tc>
          <w:tcPr>
            <w:tcW w:w="2649" w:type="dxa"/>
            <w:shd w:val="clear" w:color="auto" w:fill="auto"/>
            <w:noWrap/>
            <w:vAlign w:val="center"/>
          </w:tcPr>
          <w:p w14:paraId="1E417FF1">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45B5ABC9">
            <w:pPr>
              <w:jc w:val="center"/>
              <w:rPr>
                <w:rFonts w:hint="eastAsia" w:ascii="宋体" w:hAnsi="宋体" w:eastAsia="宋体" w:cs="宋体"/>
                <w:i w:val="0"/>
                <w:iCs w:val="0"/>
                <w:color w:val="000000"/>
                <w:sz w:val="18"/>
                <w:szCs w:val="18"/>
                <w:highlight w:val="none"/>
                <w:u w:val="none"/>
                <w:lang w:val="en-US" w:eastAsia="zh-CN"/>
              </w:rPr>
            </w:pPr>
          </w:p>
        </w:tc>
      </w:tr>
      <w:tr w14:paraId="54EDE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44337FF">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2EC74680">
            <w:pPr>
              <w:keepNext w:val="0"/>
              <w:keepLines w:val="0"/>
              <w:widowControl/>
              <w:suppressLineNumbers w:val="0"/>
              <w:jc w:val="center"/>
              <w:textAlignment w:val="bottom"/>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国务院批准的规划面积</w:t>
            </w:r>
          </w:p>
        </w:tc>
        <w:tc>
          <w:tcPr>
            <w:tcW w:w="2649" w:type="dxa"/>
            <w:shd w:val="clear" w:color="auto" w:fill="auto"/>
            <w:noWrap/>
            <w:vAlign w:val="center"/>
          </w:tcPr>
          <w:p w14:paraId="37C4B9D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67DC513">
            <w:pPr>
              <w:jc w:val="center"/>
              <w:rPr>
                <w:rFonts w:hint="eastAsia" w:ascii="宋体" w:hAnsi="宋体" w:eastAsia="宋体" w:cs="宋体"/>
                <w:i w:val="0"/>
                <w:iCs w:val="0"/>
                <w:color w:val="000000"/>
                <w:sz w:val="18"/>
                <w:szCs w:val="18"/>
                <w:highlight w:val="none"/>
                <w:u w:val="none"/>
                <w:lang w:val="en-US" w:eastAsia="zh-CN"/>
              </w:rPr>
            </w:pPr>
          </w:p>
        </w:tc>
      </w:tr>
      <w:tr w14:paraId="15839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2745DBC8">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化工类产业园区</w:t>
            </w:r>
          </w:p>
        </w:tc>
        <w:tc>
          <w:tcPr>
            <w:tcW w:w="3475" w:type="dxa"/>
            <w:shd w:val="clear" w:color="auto" w:fill="auto"/>
            <w:noWrap/>
            <w:vAlign w:val="center"/>
          </w:tcPr>
          <w:p w14:paraId="418A6960">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规上企业</w:t>
            </w:r>
            <w:r>
              <w:rPr>
                <w:rFonts w:hint="eastAsia" w:ascii="宋体" w:hAnsi="宋体" w:eastAsia="宋体" w:cs="宋体"/>
                <w:i w:val="0"/>
                <w:iCs w:val="0"/>
                <w:color w:val="000000"/>
                <w:kern w:val="0"/>
                <w:sz w:val="18"/>
                <w:szCs w:val="18"/>
                <w:highlight w:val="none"/>
                <w:u w:val="none"/>
                <w:lang w:val="en-US" w:eastAsia="zh-CN" w:bidi="ar"/>
              </w:rPr>
              <w:t>用地面积</w:t>
            </w:r>
          </w:p>
        </w:tc>
        <w:tc>
          <w:tcPr>
            <w:tcW w:w="2649" w:type="dxa"/>
            <w:shd w:val="clear" w:color="auto" w:fill="auto"/>
            <w:noWrap/>
            <w:vAlign w:val="center"/>
          </w:tcPr>
          <w:p w14:paraId="7FE6342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11E5F50">
            <w:pPr>
              <w:jc w:val="center"/>
              <w:rPr>
                <w:rFonts w:hint="eastAsia" w:ascii="宋体" w:hAnsi="宋体" w:eastAsia="宋体" w:cs="宋体"/>
                <w:i w:val="0"/>
                <w:iCs w:val="0"/>
                <w:color w:val="000000"/>
                <w:sz w:val="18"/>
                <w:szCs w:val="18"/>
                <w:highlight w:val="none"/>
                <w:u w:val="none"/>
                <w:lang w:val="en-US" w:eastAsia="zh-CN"/>
              </w:rPr>
            </w:pPr>
          </w:p>
        </w:tc>
      </w:tr>
      <w:tr w14:paraId="73DB4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F6AD6B6">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74CB8DE7">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化工产业用地面积</w:t>
            </w:r>
          </w:p>
        </w:tc>
        <w:tc>
          <w:tcPr>
            <w:tcW w:w="2649" w:type="dxa"/>
            <w:shd w:val="clear" w:color="auto" w:fill="auto"/>
            <w:noWrap/>
            <w:vAlign w:val="center"/>
          </w:tcPr>
          <w:p w14:paraId="50D7EB1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7287373">
            <w:pPr>
              <w:jc w:val="center"/>
              <w:rPr>
                <w:rFonts w:hint="eastAsia" w:ascii="宋体" w:hAnsi="宋体" w:eastAsia="宋体" w:cs="宋体"/>
                <w:i w:val="0"/>
                <w:iCs w:val="0"/>
                <w:color w:val="000000"/>
                <w:sz w:val="18"/>
                <w:szCs w:val="18"/>
                <w:highlight w:val="none"/>
                <w:u w:val="none"/>
                <w:lang w:val="en-US" w:eastAsia="zh-CN"/>
              </w:rPr>
            </w:pPr>
          </w:p>
        </w:tc>
      </w:tr>
      <w:tr w14:paraId="3AA27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FB57556">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4E382414">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新增</w:t>
            </w:r>
            <w:r>
              <w:rPr>
                <w:rFonts w:hint="eastAsia" w:ascii="宋体" w:hAnsi="宋体" w:eastAsia="宋体" w:cs="宋体"/>
                <w:i w:val="0"/>
                <w:iCs w:val="0"/>
                <w:color w:val="000000"/>
                <w:kern w:val="0"/>
                <w:sz w:val="18"/>
                <w:szCs w:val="18"/>
                <w:highlight w:val="none"/>
                <w:u w:val="none"/>
                <w:lang w:val="en-US" w:eastAsia="zh-CN" w:bidi="ar"/>
              </w:rPr>
              <w:t>化工产业用地面积</w:t>
            </w:r>
          </w:p>
        </w:tc>
        <w:tc>
          <w:tcPr>
            <w:tcW w:w="2649" w:type="dxa"/>
            <w:shd w:val="clear" w:color="auto" w:fill="auto"/>
            <w:noWrap/>
            <w:vAlign w:val="center"/>
          </w:tcPr>
          <w:p w14:paraId="7574D598">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1FFE365">
            <w:pPr>
              <w:jc w:val="center"/>
              <w:rPr>
                <w:rFonts w:hint="eastAsia" w:ascii="宋体" w:hAnsi="宋体" w:eastAsia="宋体" w:cs="宋体"/>
                <w:i w:val="0"/>
                <w:iCs w:val="0"/>
                <w:color w:val="000000"/>
                <w:sz w:val="18"/>
                <w:szCs w:val="18"/>
                <w:highlight w:val="none"/>
                <w:u w:val="none"/>
                <w:lang w:val="en-US" w:eastAsia="zh-CN"/>
              </w:rPr>
            </w:pPr>
          </w:p>
        </w:tc>
      </w:tr>
      <w:tr w14:paraId="527F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1068A5EE">
            <w:pPr>
              <w:jc w:val="center"/>
              <w:rPr>
                <w:rFonts w:hint="eastAsia" w:ascii="宋体" w:hAnsi="宋体" w:cs="宋体"/>
                <w:i w:val="0"/>
                <w:iCs w:val="0"/>
                <w:color w:val="000000"/>
                <w:sz w:val="18"/>
                <w:szCs w:val="18"/>
                <w:highlight w:val="none"/>
                <w:u w:val="none"/>
                <w:lang w:val="en-US" w:eastAsia="zh-CN"/>
              </w:rPr>
            </w:pPr>
          </w:p>
        </w:tc>
        <w:tc>
          <w:tcPr>
            <w:tcW w:w="3475" w:type="dxa"/>
            <w:shd w:val="clear" w:color="auto" w:fill="auto"/>
            <w:noWrap/>
            <w:vAlign w:val="center"/>
          </w:tcPr>
          <w:p w14:paraId="2E791348">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其他公共管理与公共服务用地面积</w:t>
            </w:r>
          </w:p>
        </w:tc>
        <w:tc>
          <w:tcPr>
            <w:tcW w:w="2649" w:type="dxa"/>
            <w:shd w:val="clear" w:color="auto" w:fill="auto"/>
            <w:noWrap/>
            <w:vAlign w:val="center"/>
          </w:tcPr>
          <w:p w14:paraId="0F0CBE4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E414C97">
            <w:pPr>
              <w:jc w:val="center"/>
              <w:rPr>
                <w:rFonts w:hint="eastAsia" w:ascii="宋体" w:hAnsi="宋体" w:eastAsia="宋体" w:cs="宋体"/>
                <w:i w:val="0"/>
                <w:iCs w:val="0"/>
                <w:color w:val="000000"/>
                <w:sz w:val="18"/>
                <w:szCs w:val="18"/>
                <w:highlight w:val="none"/>
                <w:u w:val="none"/>
                <w:lang w:val="en-US" w:eastAsia="zh-CN"/>
              </w:rPr>
            </w:pPr>
          </w:p>
        </w:tc>
      </w:tr>
    </w:tbl>
    <w:p w14:paraId="08F73EDE">
      <w:pPr>
        <w:pStyle w:val="138"/>
        <w:rPr>
          <w:rFonts w:hint="eastAsia"/>
          <w:highlight w:val="none"/>
        </w:rPr>
      </w:pPr>
    </w:p>
    <w:p w14:paraId="63E6C480">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4FAC2492">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2B4A60D0">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4C8C41F2">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214AE9F7">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03A5DE94">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012B284B">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745BE065">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41FC2FDE">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6AAD66D9">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39996B26">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6EEB8603">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7C7CAD15">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7C122698">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1614CBAD">
      <w:pPr>
        <w:pStyle w:val="156"/>
        <w:numPr>
          <w:ilvl w:val="1"/>
          <w:numId w:val="0"/>
        </w:numPr>
        <w:bidi w:val="0"/>
        <w:ind w:left="0" w:leftChars="0" w:firstLine="0" w:firstLineChars="0"/>
        <w:rPr>
          <w:rFonts w:hint="eastAsia"/>
          <w:highlight w:val="none"/>
        </w:rPr>
      </w:pPr>
      <w:r>
        <w:rPr>
          <w:rFonts w:hint="eastAsia" w:ascii="黑体" w:hAnsi="Times New Roman" w:eastAsia="黑体" w:cs="Times New Roman"/>
          <w:kern w:val="21"/>
          <w:sz w:val="21"/>
          <w:highlight w:val="none"/>
          <w:lang w:val="en-US" w:eastAsia="zh-CN" w:bidi="ar-SA"/>
        </w:rPr>
        <w:t>表</w:t>
      </w:r>
      <w:r>
        <w:rPr>
          <w:rFonts w:hint="eastAsia" w:cs="Times New Roman"/>
          <w:kern w:val="21"/>
          <w:sz w:val="21"/>
          <w:highlight w:val="none"/>
          <w:lang w:val="en-US" w:eastAsia="zh-CN" w:bidi="ar-SA"/>
        </w:rPr>
        <w:t>A</w:t>
      </w:r>
      <w:r>
        <w:rPr>
          <w:rFonts w:hint="eastAsia" w:ascii="黑体" w:hAnsi="Times New Roman" w:eastAsia="黑体" w:cs="Times New Roman"/>
          <w:kern w:val="21"/>
          <w:sz w:val="21"/>
          <w:highlight w:val="none"/>
          <w:lang w:val="en-US" w:eastAsia="zh-CN" w:bidi="ar-SA"/>
        </w:rPr>
        <w:t>.</w:t>
      </w:r>
      <w:r>
        <w:rPr>
          <w:rFonts w:hint="eastAsia" w:cs="Times New Roman"/>
          <w:kern w:val="21"/>
          <w:sz w:val="21"/>
          <w:highlight w:val="none"/>
          <w:lang w:val="en-US" w:eastAsia="zh-CN" w:bidi="ar-SA"/>
        </w:rPr>
        <w:t>3</w:t>
      </w:r>
      <w:r>
        <w:rPr>
          <w:rFonts w:hint="eastAsia"/>
          <w:highlight w:val="none"/>
        </w:rPr>
        <w:t>产业园区</w:t>
      </w:r>
      <w:r>
        <w:rPr>
          <w:rFonts w:hint="eastAsia"/>
          <w:highlight w:val="none"/>
          <w:lang w:val="en-US" w:eastAsia="zh-CN"/>
        </w:rPr>
        <w:t>用地效益</w:t>
      </w:r>
      <w:r>
        <w:rPr>
          <w:rFonts w:hint="eastAsia"/>
          <w:highlight w:val="none"/>
        </w:rPr>
        <w:t>调查表</w:t>
      </w:r>
    </w:p>
    <w:tbl>
      <w:tblPr>
        <w:tblStyle w:val="33"/>
        <w:tblW w:w="959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701"/>
        <w:gridCol w:w="4206"/>
        <w:gridCol w:w="1918"/>
        <w:gridCol w:w="1765"/>
      </w:tblGrid>
      <w:tr w14:paraId="72D15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shd w:val="clear" w:color="auto" w:fill="auto"/>
            <w:noWrap/>
            <w:vAlign w:val="center"/>
          </w:tcPr>
          <w:p w14:paraId="53F50960">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类型</w:t>
            </w:r>
          </w:p>
        </w:tc>
        <w:tc>
          <w:tcPr>
            <w:tcW w:w="4206" w:type="dxa"/>
            <w:shd w:val="clear" w:color="auto" w:fill="auto"/>
            <w:noWrap/>
            <w:vAlign w:val="center"/>
          </w:tcPr>
          <w:p w14:paraId="1E680881">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w:t>
            </w:r>
          </w:p>
        </w:tc>
        <w:tc>
          <w:tcPr>
            <w:tcW w:w="1918" w:type="dxa"/>
            <w:shd w:val="clear" w:color="auto" w:fill="auto"/>
            <w:noWrap/>
            <w:vAlign w:val="center"/>
          </w:tcPr>
          <w:p w14:paraId="1D97DAAA">
            <w:pPr>
              <w:keepNext w:val="0"/>
              <w:keepLines w:val="0"/>
              <w:widowControl/>
              <w:suppressLineNumbers w:val="0"/>
              <w:jc w:val="center"/>
              <w:textAlignment w:val="bottom"/>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数量</w:t>
            </w:r>
          </w:p>
        </w:tc>
        <w:tc>
          <w:tcPr>
            <w:tcW w:w="1765" w:type="dxa"/>
            <w:shd w:val="clear" w:color="auto" w:fill="auto"/>
            <w:noWrap/>
            <w:vAlign w:val="center"/>
          </w:tcPr>
          <w:p w14:paraId="22601F21">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备注</w:t>
            </w:r>
          </w:p>
        </w:tc>
      </w:tr>
      <w:tr w14:paraId="45DA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6264FF58">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经济类产业园区</w:t>
            </w:r>
          </w:p>
        </w:tc>
        <w:tc>
          <w:tcPr>
            <w:tcW w:w="4206" w:type="dxa"/>
            <w:shd w:val="clear" w:color="auto" w:fill="auto"/>
            <w:noWrap/>
            <w:vAlign w:val="center"/>
          </w:tcPr>
          <w:p w14:paraId="5115CBBB">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产业园区常住人口（人）</w:t>
            </w:r>
          </w:p>
        </w:tc>
        <w:tc>
          <w:tcPr>
            <w:tcW w:w="1918" w:type="dxa"/>
            <w:shd w:val="clear" w:color="auto" w:fill="auto"/>
            <w:noWrap/>
            <w:vAlign w:val="center"/>
          </w:tcPr>
          <w:p w14:paraId="49B65F1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F978356">
            <w:pPr>
              <w:jc w:val="center"/>
              <w:rPr>
                <w:rFonts w:hint="eastAsia" w:ascii="宋体" w:hAnsi="宋体" w:eastAsia="宋体" w:cs="宋体"/>
                <w:i w:val="0"/>
                <w:iCs w:val="0"/>
                <w:color w:val="000000"/>
                <w:sz w:val="18"/>
                <w:szCs w:val="18"/>
                <w:highlight w:val="none"/>
                <w:u w:val="none"/>
                <w:lang w:val="en-US" w:eastAsia="zh-CN"/>
              </w:rPr>
            </w:pPr>
          </w:p>
        </w:tc>
      </w:tr>
      <w:tr w14:paraId="728E9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95E9711">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2720F2A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产业园区二、三产业税收总额（万元）</w:t>
            </w:r>
          </w:p>
        </w:tc>
        <w:tc>
          <w:tcPr>
            <w:tcW w:w="1918" w:type="dxa"/>
            <w:shd w:val="clear" w:color="auto" w:fill="auto"/>
            <w:noWrap/>
            <w:vAlign w:val="center"/>
          </w:tcPr>
          <w:p w14:paraId="4237E8B0">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C8F732B">
            <w:pPr>
              <w:jc w:val="center"/>
              <w:rPr>
                <w:rFonts w:hint="eastAsia" w:ascii="宋体" w:hAnsi="宋体" w:eastAsia="宋体" w:cs="宋体"/>
                <w:i w:val="0"/>
                <w:iCs w:val="0"/>
                <w:color w:val="000000"/>
                <w:sz w:val="18"/>
                <w:szCs w:val="18"/>
                <w:highlight w:val="none"/>
                <w:u w:val="none"/>
                <w:lang w:val="en-US" w:eastAsia="zh-CN"/>
              </w:rPr>
            </w:pPr>
          </w:p>
        </w:tc>
      </w:tr>
      <w:tr w14:paraId="5B1F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C23B6B7">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4FFE2622">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产业园区工业（物流）企业税收总额（万元）</w:t>
            </w:r>
          </w:p>
        </w:tc>
        <w:tc>
          <w:tcPr>
            <w:tcW w:w="1918" w:type="dxa"/>
            <w:shd w:val="clear" w:color="auto" w:fill="auto"/>
            <w:noWrap/>
            <w:vAlign w:val="center"/>
          </w:tcPr>
          <w:p w14:paraId="7088B2E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9EAC567">
            <w:pPr>
              <w:jc w:val="center"/>
              <w:rPr>
                <w:rFonts w:hint="eastAsia" w:ascii="宋体" w:hAnsi="宋体" w:eastAsia="宋体" w:cs="宋体"/>
                <w:i w:val="0"/>
                <w:iCs w:val="0"/>
                <w:color w:val="000000"/>
                <w:sz w:val="18"/>
                <w:szCs w:val="18"/>
                <w:highlight w:val="none"/>
                <w:u w:val="none"/>
                <w:lang w:val="en-US" w:eastAsia="zh-CN"/>
              </w:rPr>
            </w:pPr>
          </w:p>
        </w:tc>
      </w:tr>
      <w:tr w14:paraId="1727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C2C420E">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53C2F415">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产业园区新建工业（物流）企业固定资产投资总额（万元）</w:t>
            </w:r>
          </w:p>
        </w:tc>
        <w:tc>
          <w:tcPr>
            <w:tcW w:w="1918" w:type="dxa"/>
            <w:shd w:val="clear" w:color="auto" w:fill="auto"/>
            <w:noWrap/>
            <w:vAlign w:val="center"/>
          </w:tcPr>
          <w:p w14:paraId="00D4C302">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284E4A3C">
            <w:pPr>
              <w:jc w:val="center"/>
              <w:rPr>
                <w:rFonts w:hint="eastAsia" w:ascii="宋体" w:hAnsi="宋体" w:eastAsia="宋体" w:cs="宋体"/>
                <w:i w:val="0"/>
                <w:iCs w:val="0"/>
                <w:color w:val="000000"/>
                <w:sz w:val="18"/>
                <w:szCs w:val="18"/>
                <w:highlight w:val="none"/>
                <w:u w:val="none"/>
                <w:lang w:val="en-US" w:eastAsia="zh-CN"/>
              </w:rPr>
            </w:pPr>
          </w:p>
        </w:tc>
      </w:tr>
      <w:tr w14:paraId="6EA0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1DA1C80F">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7E666BEF">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产业园区地区生产总值（亿元）</w:t>
            </w:r>
          </w:p>
        </w:tc>
        <w:tc>
          <w:tcPr>
            <w:tcW w:w="1918" w:type="dxa"/>
            <w:shd w:val="clear" w:color="auto" w:fill="auto"/>
            <w:noWrap/>
            <w:vAlign w:val="center"/>
          </w:tcPr>
          <w:p w14:paraId="03AC4C2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59A08A44">
            <w:pPr>
              <w:jc w:val="center"/>
              <w:rPr>
                <w:rFonts w:hint="eastAsia" w:ascii="宋体" w:hAnsi="宋体" w:eastAsia="宋体" w:cs="宋体"/>
                <w:i w:val="0"/>
                <w:iCs w:val="0"/>
                <w:color w:val="000000"/>
                <w:sz w:val="18"/>
                <w:szCs w:val="18"/>
                <w:highlight w:val="none"/>
                <w:u w:val="none"/>
                <w:lang w:val="en-US" w:eastAsia="zh-CN"/>
              </w:rPr>
            </w:pPr>
          </w:p>
        </w:tc>
      </w:tr>
      <w:tr w14:paraId="74F3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6F5B9883">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高新类产业园区</w:t>
            </w:r>
          </w:p>
        </w:tc>
        <w:tc>
          <w:tcPr>
            <w:tcW w:w="4206" w:type="dxa"/>
            <w:shd w:val="clear" w:color="auto" w:fill="auto"/>
            <w:noWrap/>
            <w:vAlign w:val="center"/>
          </w:tcPr>
          <w:p w14:paraId="64D155C6">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产业园区常住人口（人）</w:t>
            </w:r>
          </w:p>
        </w:tc>
        <w:tc>
          <w:tcPr>
            <w:tcW w:w="1918" w:type="dxa"/>
            <w:shd w:val="clear" w:color="auto" w:fill="auto"/>
            <w:noWrap/>
            <w:vAlign w:val="center"/>
          </w:tcPr>
          <w:p w14:paraId="0FD3F95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3582611C">
            <w:pPr>
              <w:jc w:val="center"/>
              <w:rPr>
                <w:rFonts w:hint="eastAsia" w:ascii="宋体" w:hAnsi="宋体" w:eastAsia="宋体" w:cs="宋体"/>
                <w:i w:val="0"/>
                <w:iCs w:val="0"/>
                <w:color w:val="000000"/>
                <w:sz w:val="18"/>
                <w:szCs w:val="18"/>
                <w:highlight w:val="none"/>
                <w:u w:val="none"/>
                <w:lang w:val="en-US" w:eastAsia="zh-CN"/>
              </w:rPr>
            </w:pPr>
          </w:p>
        </w:tc>
      </w:tr>
      <w:tr w14:paraId="20F92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2CEF7E32">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6561BF2D">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产业园区二、三产业税收总额（万元）</w:t>
            </w:r>
          </w:p>
        </w:tc>
        <w:tc>
          <w:tcPr>
            <w:tcW w:w="1918" w:type="dxa"/>
            <w:shd w:val="clear" w:color="auto" w:fill="auto"/>
            <w:noWrap/>
            <w:vAlign w:val="center"/>
          </w:tcPr>
          <w:p w14:paraId="5210589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DA36697">
            <w:pPr>
              <w:jc w:val="center"/>
              <w:rPr>
                <w:rFonts w:hint="eastAsia" w:ascii="宋体" w:hAnsi="宋体" w:eastAsia="宋体" w:cs="宋体"/>
                <w:i w:val="0"/>
                <w:iCs w:val="0"/>
                <w:color w:val="000000"/>
                <w:sz w:val="18"/>
                <w:szCs w:val="18"/>
                <w:highlight w:val="none"/>
                <w:u w:val="none"/>
                <w:lang w:val="en-US" w:eastAsia="zh-CN"/>
              </w:rPr>
            </w:pPr>
          </w:p>
        </w:tc>
      </w:tr>
      <w:tr w14:paraId="1F7DF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DEE8FA1">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066A749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产业园区工业（物流）企业税收总额（万元）</w:t>
            </w:r>
          </w:p>
        </w:tc>
        <w:tc>
          <w:tcPr>
            <w:tcW w:w="1918" w:type="dxa"/>
            <w:shd w:val="clear" w:color="auto" w:fill="auto"/>
            <w:noWrap/>
            <w:vAlign w:val="center"/>
          </w:tcPr>
          <w:p w14:paraId="19592C6D">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05A60BF">
            <w:pPr>
              <w:jc w:val="center"/>
              <w:rPr>
                <w:rFonts w:hint="eastAsia" w:ascii="宋体" w:hAnsi="宋体" w:eastAsia="宋体" w:cs="宋体"/>
                <w:i w:val="0"/>
                <w:iCs w:val="0"/>
                <w:color w:val="000000"/>
                <w:sz w:val="18"/>
                <w:szCs w:val="18"/>
                <w:highlight w:val="none"/>
                <w:u w:val="none"/>
                <w:lang w:val="en-US" w:eastAsia="zh-CN"/>
              </w:rPr>
            </w:pPr>
          </w:p>
        </w:tc>
      </w:tr>
      <w:tr w14:paraId="22E5C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C4BD627">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2A9227A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产业园区新建工业（物流）企业固定资产投资总额（万元）</w:t>
            </w:r>
          </w:p>
        </w:tc>
        <w:tc>
          <w:tcPr>
            <w:tcW w:w="1918" w:type="dxa"/>
            <w:shd w:val="clear" w:color="auto" w:fill="auto"/>
            <w:noWrap/>
            <w:vAlign w:val="center"/>
          </w:tcPr>
          <w:p w14:paraId="573512E8">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B7C4E99">
            <w:pPr>
              <w:jc w:val="center"/>
              <w:rPr>
                <w:rFonts w:hint="eastAsia" w:ascii="宋体" w:hAnsi="宋体" w:eastAsia="宋体" w:cs="宋体"/>
                <w:i w:val="0"/>
                <w:iCs w:val="0"/>
                <w:color w:val="000000"/>
                <w:sz w:val="18"/>
                <w:szCs w:val="18"/>
                <w:highlight w:val="none"/>
                <w:u w:val="none"/>
                <w:lang w:val="en-US" w:eastAsia="zh-CN"/>
              </w:rPr>
            </w:pPr>
          </w:p>
        </w:tc>
      </w:tr>
      <w:tr w14:paraId="7941D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70C546A">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4F78EF14">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产业园区高新技术产业税收总额（万元）</w:t>
            </w:r>
          </w:p>
        </w:tc>
        <w:tc>
          <w:tcPr>
            <w:tcW w:w="1918" w:type="dxa"/>
            <w:shd w:val="clear" w:color="auto" w:fill="auto"/>
            <w:noWrap/>
            <w:vAlign w:val="center"/>
          </w:tcPr>
          <w:p w14:paraId="254D3C05">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B6E951C">
            <w:pPr>
              <w:jc w:val="center"/>
              <w:rPr>
                <w:rFonts w:hint="eastAsia" w:ascii="宋体" w:hAnsi="宋体" w:eastAsia="宋体" w:cs="宋体"/>
                <w:i w:val="0"/>
                <w:iCs w:val="0"/>
                <w:color w:val="000000"/>
                <w:sz w:val="18"/>
                <w:szCs w:val="18"/>
                <w:highlight w:val="none"/>
                <w:u w:val="none"/>
                <w:lang w:val="en-US" w:eastAsia="zh-CN"/>
              </w:rPr>
            </w:pPr>
          </w:p>
        </w:tc>
      </w:tr>
      <w:tr w14:paraId="3592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ABBC7FB">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5EC0F49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产业园区专利数量（个）</w:t>
            </w:r>
          </w:p>
        </w:tc>
        <w:tc>
          <w:tcPr>
            <w:tcW w:w="1918" w:type="dxa"/>
            <w:shd w:val="clear" w:color="auto" w:fill="auto"/>
            <w:noWrap/>
            <w:vAlign w:val="center"/>
          </w:tcPr>
          <w:p w14:paraId="58BD2734">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85006FC">
            <w:pPr>
              <w:jc w:val="center"/>
              <w:rPr>
                <w:rFonts w:hint="eastAsia" w:ascii="宋体" w:hAnsi="宋体" w:eastAsia="宋体" w:cs="宋体"/>
                <w:i w:val="0"/>
                <w:iCs w:val="0"/>
                <w:color w:val="000000"/>
                <w:sz w:val="18"/>
                <w:szCs w:val="18"/>
                <w:highlight w:val="none"/>
                <w:u w:val="none"/>
                <w:lang w:val="en-US" w:eastAsia="zh-CN"/>
              </w:rPr>
            </w:pPr>
          </w:p>
        </w:tc>
      </w:tr>
      <w:tr w14:paraId="36E9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C6D21AF">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720A7695">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产业园区专利授权数（个）</w:t>
            </w:r>
          </w:p>
        </w:tc>
        <w:tc>
          <w:tcPr>
            <w:tcW w:w="1918" w:type="dxa"/>
            <w:shd w:val="clear" w:color="auto" w:fill="auto"/>
            <w:noWrap/>
            <w:vAlign w:val="center"/>
          </w:tcPr>
          <w:p w14:paraId="1D8CF751">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245AD895">
            <w:pPr>
              <w:jc w:val="center"/>
              <w:rPr>
                <w:rFonts w:hint="eastAsia" w:ascii="宋体" w:hAnsi="宋体" w:eastAsia="宋体" w:cs="宋体"/>
                <w:i w:val="0"/>
                <w:iCs w:val="0"/>
                <w:color w:val="000000"/>
                <w:sz w:val="18"/>
                <w:szCs w:val="18"/>
                <w:highlight w:val="none"/>
                <w:u w:val="none"/>
                <w:lang w:val="en-US" w:eastAsia="zh-CN"/>
              </w:rPr>
            </w:pPr>
          </w:p>
        </w:tc>
      </w:tr>
      <w:tr w14:paraId="1BC2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EA27AEF">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0C5D161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产业园区知识产权数量（项）</w:t>
            </w:r>
          </w:p>
        </w:tc>
        <w:tc>
          <w:tcPr>
            <w:tcW w:w="1918" w:type="dxa"/>
            <w:shd w:val="clear" w:color="auto" w:fill="auto"/>
            <w:noWrap/>
            <w:vAlign w:val="center"/>
          </w:tcPr>
          <w:p w14:paraId="4E6446C2">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5DF5ED44">
            <w:pPr>
              <w:jc w:val="center"/>
              <w:rPr>
                <w:rFonts w:hint="eastAsia" w:ascii="宋体" w:hAnsi="宋体" w:eastAsia="宋体" w:cs="宋体"/>
                <w:i w:val="0"/>
                <w:iCs w:val="0"/>
                <w:color w:val="000000"/>
                <w:sz w:val="18"/>
                <w:szCs w:val="18"/>
                <w:highlight w:val="none"/>
                <w:u w:val="none"/>
                <w:lang w:val="en-US" w:eastAsia="zh-CN"/>
              </w:rPr>
            </w:pPr>
          </w:p>
        </w:tc>
      </w:tr>
      <w:tr w14:paraId="2840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25E914C">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6A6AE673">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产业园区研发经费投入（万元）</w:t>
            </w:r>
          </w:p>
        </w:tc>
        <w:tc>
          <w:tcPr>
            <w:tcW w:w="1918" w:type="dxa"/>
            <w:shd w:val="clear" w:color="auto" w:fill="auto"/>
            <w:noWrap/>
            <w:vAlign w:val="center"/>
          </w:tcPr>
          <w:p w14:paraId="4CD0497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3F85CE99">
            <w:pPr>
              <w:jc w:val="center"/>
              <w:rPr>
                <w:rFonts w:hint="eastAsia" w:ascii="宋体" w:hAnsi="宋体" w:eastAsia="宋体" w:cs="宋体"/>
                <w:i w:val="0"/>
                <w:iCs w:val="0"/>
                <w:color w:val="000000"/>
                <w:sz w:val="18"/>
                <w:szCs w:val="18"/>
                <w:highlight w:val="none"/>
                <w:u w:val="none"/>
                <w:lang w:val="en-US" w:eastAsia="zh-CN"/>
              </w:rPr>
            </w:pPr>
          </w:p>
        </w:tc>
      </w:tr>
      <w:tr w14:paraId="3E9CB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3DB1DDA0">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海关类产业园区</w:t>
            </w:r>
          </w:p>
        </w:tc>
        <w:tc>
          <w:tcPr>
            <w:tcW w:w="4206" w:type="dxa"/>
            <w:shd w:val="clear" w:color="auto" w:fill="auto"/>
            <w:noWrap/>
            <w:vAlign w:val="center"/>
          </w:tcPr>
          <w:p w14:paraId="69CED619">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产业园区常住人口（人）</w:t>
            </w:r>
          </w:p>
        </w:tc>
        <w:tc>
          <w:tcPr>
            <w:tcW w:w="1918" w:type="dxa"/>
            <w:shd w:val="clear" w:color="auto" w:fill="auto"/>
            <w:noWrap/>
            <w:vAlign w:val="center"/>
          </w:tcPr>
          <w:p w14:paraId="63619B9D">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BA30509">
            <w:pPr>
              <w:jc w:val="center"/>
              <w:rPr>
                <w:rFonts w:hint="eastAsia" w:ascii="宋体" w:hAnsi="宋体" w:eastAsia="宋体" w:cs="宋体"/>
                <w:i w:val="0"/>
                <w:iCs w:val="0"/>
                <w:color w:val="000000"/>
                <w:sz w:val="18"/>
                <w:szCs w:val="18"/>
                <w:highlight w:val="none"/>
                <w:u w:val="none"/>
                <w:lang w:val="en-US" w:eastAsia="zh-CN"/>
              </w:rPr>
            </w:pPr>
          </w:p>
        </w:tc>
      </w:tr>
      <w:tr w14:paraId="434C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7FB436ED">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719D16C8">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产业园区二、三产业税收总额（万元）</w:t>
            </w:r>
          </w:p>
        </w:tc>
        <w:tc>
          <w:tcPr>
            <w:tcW w:w="1918" w:type="dxa"/>
            <w:shd w:val="clear" w:color="auto" w:fill="auto"/>
            <w:noWrap/>
            <w:vAlign w:val="center"/>
          </w:tcPr>
          <w:p w14:paraId="4FFC50C4">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3EFCAD3E">
            <w:pPr>
              <w:jc w:val="center"/>
              <w:rPr>
                <w:rFonts w:hint="eastAsia" w:ascii="宋体" w:hAnsi="宋体" w:eastAsia="宋体" w:cs="宋体"/>
                <w:i w:val="0"/>
                <w:iCs w:val="0"/>
                <w:color w:val="000000"/>
                <w:sz w:val="18"/>
                <w:szCs w:val="18"/>
                <w:highlight w:val="none"/>
                <w:u w:val="none"/>
                <w:lang w:val="en-US" w:eastAsia="zh-CN"/>
              </w:rPr>
            </w:pPr>
          </w:p>
        </w:tc>
      </w:tr>
      <w:tr w14:paraId="39369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6DF4343">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00E89B2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产业园区工业（物流）企业税收总额（万元）</w:t>
            </w:r>
          </w:p>
        </w:tc>
        <w:tc>
          <w:tcPr>
            <w:tcW w:w="1918" w:type="dxa"/>
            <w:shd w:val="clear" w:color="auto" w:fill="auto"/>
            <w:noWrap/>
            <w:vAlign w:val="center"/>
          </w:tcPr>
          <w:p w14:paraId="1B1435FE">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26BD8D27">
            <w:pPr>
              <w:jc w:val="center"/>
              <w:rPr>
                <w:rFonts w:hint="eastAsia" w:ascii="宋体" w:hAnsi="宋体" w:eastAsia="宋体" w:cs="宋体"/>
                <w:i w:val="0"/>
                <w:iCs w:val="0"/>
                <w:color w:val="000000"/>
                <w:sz w:val="18"/>
                <w:szCs w:val="18"/>
                <w:highlight w:val="none"/>
                <w:u w:val="none"/>
                <w:lang w:val="en-US" w:eastAsia="zh-CN"/>
              </w:rPr>
            </w:pPr>
          </w:p>
        </w:tc>
      </w:tr>
      <w:tr w14:paraId="19055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14167A0">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1BE4A1E8">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产业园区新建工业（物流）企业固定资产投资总额（万元）</w:t>
            </w:r>
          </w:p>
        </w:tc>
        <w:tc>
          <w:tcPr>
            <w:tcW w:w="1918" w:type="dxa"/>
            <w:shd w:val="clear" w:color="auto" w:fill="auto"/>
            <w:noWrap/>
            <w:vAlign w:val="center"/>
          </w:tcPr>
          <w:p w14:paraId="7064583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FADF508">
            <w:pPr>
              <w:jc w:val="center"/>
              <w:rPr>
                <w:rFonts w:hint="eastAsia" w:ascii="宋体" w:hAnsi="宋体" w:eastAsia="宋体" w:cs="宋体"/>
                <w:i w:val="0"/>
                <w:iCs w:val="0"/>
                <w:color w:val="000000"/>
                <w:sz w:val="18"/>
                <w:szCs w:val="18"/>
                <w:highlight w:val="none"/>
                <w:u w:val="none"/>
                <w:lang w:val="en-US" w:eastAsia="zh-CN"/>
              </w:rPr>
            </w:pPr>
          </w:p>
        </w:tc>
      </w:tr>
      <w:tr w14:paraId="639CC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8B86AF7">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04B36180">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当期保税业务进出口总值（亿元）</w:t>
            </w:r>
          </w:p>
        </w:tc>
        <w:tc>
          <w:tcPr>
            <w:tcW w:w="1918" w:type="dxa"/>
            <w:shd w:val="clear" w:color="auto" w:fill="auto"/>
            <w:noWrap/>
            <w:vAlign w:val="center"/>
          </w:tcPr>
          <w:p w14:paraId="64F40B0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A78F0E1">
            <w:pPr>
              <w:jc w:val="center"/>
              <w:rPr>
                <w:rFonts w:hint="eastAsia" w:ascii="宋体" w:hAnsi="宋体" w:eastAsia="宋体" w:cs="宋体"/>
                <w:i w:val="0"/>
                <w:iCs w:val="0"/>
                <w:color w:val="000000"/>
                <w:sz w:val="18"/>
                <w:szCs w:val="18"/>
                <w:highlight w:val="none"/>
                <w:u w:val="none"/>
                <w:lang w:val="en-US" w:eastAsia="zh-CN"/>
              </w:rPr>
            </w:pPr>
          </w:p>
        </w:tc>
      </w:tr>
      <w:tr w14:paraId="0B40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DA41A4A">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5D4F9B2D">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货物贸易涉外收支额（亿美元）</w:t>
            </w:r>
          </w:p>
        </w:tc>
        <w:tc>
          <w:tcPr>
            <w:tcW w:w="1918" w:type="dxa"/>
            <w:shd w:val="clear" w:color="auto" w:fill="auto"/>
            <w:noWrap/>
            <w:vAlign w:val="center"/>
          </w:tcPr>
          <w:p w14:paraId="34A1BE7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721EF90">
            <w:pPr>
              <w:jc w:val="center"/>
              <w:rPr>
                <w:rFonts w:hint="eastAsia" w:ascii="宋体" w:hAnsi="宋体" w:eastAsia="宋体" w:cs="宋体"/>
                <w:i w:val="0"/>
                <w:iCs w:val="0"/>
                <w:color w:val="000000"/>
                <w:sz w:val="18"/>
                <w:szCs w:val="18"/>
                <w:highlight w:val="none"/>
                <w:u w:val="none"/>
                <w:lang w:val="en-US" w:eastAsia="zh-CN"/>
              </w:rPr>
            </w:pPr>
          </w:p>
        </w:tc>
      </w:tr>
      <w:tr w14:paraId="6AF2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7573388F">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1D31CB7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海关税收（万元）</w:t>
            </w:r>
          </w:p>
        </w:tc>
        <w:tc>
          <w:tcPr>
            <w:tcW w:w="1918" w:type="dxa"/>
            <w:shd w:val="clear" w:color="auto" w:fill="auto"/>
            <w:noWrap/>
            <w:vAlign w:val="center"/>
          </w:tcPr>
          <w:p w14:paraId="3F985E6E">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45504E15">
            <w:pPr>
              <w:jc w:val="center"/>
              <w:rPr>
                <w:rFonts w:hint="eastAsia" w:ascii="宋体" w:hAnsi="宋体" w:eastAsia="宋体" w:cs="宋体"/>
                <w:i w:val="0"/>
                <w:iCs w:val="0"/>
                <w:color w:val="000000"/>
                <w:sz w:val="18"/>
                <w:szCs w:val="18"/>
                <w:highlight w:val="none"/>
                <w:u w:val="none"/>
                <w:lang w:val="en-US" w:eastAsia="zh-CN"/>
              </w:rPr>
            </w:pPr>
          </w:p>
        </w:tc>
      </w:tr>
      <w:tr w14:paraId="59B3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224CBC0B">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化工类产业园区</w:t>
            </w:r>
          </w:p>
        </w:tc>
        <w:tc>
          <w:tcPr>
            <w:tcW w:w="4206" w:type="dxa"/>
            <w:shd w:val="clear" w:color="auto" w:fill="auto"/>
            <w:noWrap/>
            <w:vAlign w:val="center"/>
          </w:tcPr>
          <w:p w14:paraId="56F97E2A">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产业园区常住人口（人）</w:t>
            </w:r>
          </w:p>
        </w:tc>
        <w:tc>
          <w:tcPr>
            <w:tcW w:w="1918" w:type="dxa"/>
            <w:shd w:val="clear" w:color="auto" w:fill="auto"/>
            <w:noWrap/>
            <w:vAlign w:val="center"/>
          </w:tcPr>
          <w:p w14:paraId="32C12E6C">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892269C">
            <w:pPr>
              <w:jc w:val="center"/>
              <w:rPr>
                <w:rFonts w:hint="eastAsia" w:ascii="宋体" w:hAnsi="宋体" w:eastAsia="宋体" w:cs="宋体"/>
                <w:i w:val="0"/>
                <w:iCs w:val="0"/>
                <w:color w:val="000000"/>
                <w:sz w:val="18"/>
                <w:szCs w:val="18"/>
                <w:highlight w:val="none"/>
                <w:u w:val="none"/>
                <w:lang w:val="en-US" w:eastAsia="zh-CN"/>
              </w:rPr>
            </w:pPr>
          </w:p>
        </w:tc>
      </w:tr>
      <w:tr w14:paraId="1C2C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16CE6168">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117E6998">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产业园区二、三产业税收总额（万元）</w:t>
            </w:r>
          </w:p>
        </w:tc>
        <w:tc>
          <w:tcPr>
            <w:tcW w:w="1918" w:type="dxa"/>
            <w:shd w:val="clear" w:color="auto" w:fill="auto"/>
            <w:noWrap/>
            <w:vAlign w:val="center"/>
          </w:tcPr>
          <w:p w14:paraId="0A9B5684">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5435E2CC">
            <w:pPr>
              <w:jc w:val="center"/>
              <w:rPr>
                <w:rFonts w:hint="eastAsia" w:ascii="宋体" w:hAnsi="宋体" w:eastAsia="宋体" w:cs="宋体"/>
                <w:i w:val="0"/>
                <w:iCs w:val="0"/>
                <w:color w:val="000000"/>
                <w:sz w:val="18"/>
                <w:szCs w:val="18"/>
                <w:highlight w:val="none"/>
                <w:u w:val="none"/>
                <w:lang w:val="en-US" w:eastAsia="zh-CN"/>
              </w:rPr>
            </w:pPr>
          </w:p>
        </w:tc>
      </w:tr>
      <w:tr w14:paraId="5A8C0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ED6E53F">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497F7331">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产业园区化工产业固定资产投资总额（万元）</w:t>
            </w:r>
          </w:p>
        </w:tc>
        <w:tc>
          <w:tcPr>
            <w:tcW w:w="1918" w:type="dxa"/>
            <w:shd w:val="clear" w:color="auto" w:fill="auto"/>
            <w:noWrap/>
            <w:vAlign w:val="center"/>
          </w:tcPr>
          <w:p w14:paraId="20177BD2">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5F4CDA6">
            <w:pPr>
              <w:jc w:val="center"/>
              <w:rPr>
                <w:rFonts w:hint="eastAsia" w:ascii="宋体" w:hAnsi="宋体" w:eastAsia="宋体" w:cs="宋体"/>
                <w:i w:val="0"/>
                <w:iCs w:val="0"/>
                <w:color w:val="000000"/>
                <w:sz w:val="18"/>
                <w:szCs w:val="18"/>
                <w:highlight w:val="none"/>
                <w:u w:val="none"/>
                <w:lang w:val="en-US" w:eastAsia="zh-CN"/>
              </w:rPr>
            </w:pPr>
          </w:p>
        </w:tc>
      </w:tr>
      <w:tr w14:paraId="4824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DE2BDE8">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32756C52">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产业园区化工企业税收总额（万元）</w:t>
            </w:r>
          </w:p>
        </w:tc>
        <w:tc>
          <w:tcPr>
            <w:tcW w:w="1918" w:type="dxa"/>
            <w:shd w:val="clear" w:color="auto" w:fill="auto"/>
            <w:noWrap/>
            <w:vAlign w:val="center"/>
          </w:tcPr>
          <w:p w14:paraId="1464FBAB">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45EC260">
            <w:pPr>
              <w:jc w:val="center"/>
              <w:rPr>
                <w:rFonts w:hint="eastAsia" w:ascii="宋体" w:hAnsi="宋体" w:eastAsia="宋体" w:cs="宋体"/>
                <w:i w:val="0"/>
                <w:iCs w:val="0"/>
                <w:color w:val="000000"/>
                <w:sz w:val="18"/>
                <w:szCs w:val="18"/>
                <w:highlight w:val="none"/>
                <w:u w:val="none"/>
                <w:lang w:val="en-US" w:eastAsia="zh-CN"/>
              </w:rPr>
            </w:pPr>
          </w:p>
        </w:tc>
      </w:tr>
      <w:tr w14:paraId="47921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70688503">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4303CF5F">
            <w:pPr>
              <w:keepNext w:val="0"/>
              <w:keepLines w:val="0"/>
              <w:widowControl/>
              <w:suppressLineNumbers w:val="0"/>
              <w:jc w:val="center"/>
              <w:textAlignment w:val="bottom"/>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新增化工产业用地上的固定资产投资总额（万元）</w:t>
            </w:r>
          </w:p>
        </w:tc>
        <w:tc>
          <w:tcPr>
            <w:tcW w:w="1918" w:type="dxa"/>
            <w:shd w:val="clear" w:color="auto" w:fill="auto"/>
            <w:noWrap/>
            <w:vAlign w:val="center"/>
          </w:tcPr>
          <w:p w14:paraId="24585F6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A7F7A55">
            <w:pPr>
              <w:jc w:val="center"/>
              <w:rPr>
                <w:rFonts w:hint="eastAsia" w:ascii="宋体" w:hAnsi="宋体" w:eastAsia="宋体" w:cs="宋体"/>
                <w:i w:val="0"/>
                <w:iCs w:val="0"/>
                <w:color w:val="000000"/>
                <w:sz w:val="18"/>
                <w:szCs w:val="18"/>
                <w:highlight w:val="none"/>
                <w:u w:val="none"/>
                <w:lang w:val="en-US" w:eastAsia="zh-CN"/>
              </w:rPr>
            </w:pPr>
          </w:p>
        </w:tc>
      </w:tr>
    </w:tbl>
    <w:p w14:paraId="04E801C6">
      <w:pPr>
        <w:pStyle w:val="138"/>
        <w:rPr>
          <w:rFonts w:hint="eastAsia"/>
          <w:highlight w:val="none"/>
        </w:rPr>
      </w:pPr>
    </w:p>
    <w:p w14:paraId="113922CE">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6FE41757">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06244BBE">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4C0A21F4">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54E9FA38">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60A18731">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1F41AB3C">
      <w:pPr>
        <w:pStyle w:val="156"/>
        <w:numPr>
          <w:ilvl w:val="1"/>
          <w:numId w:val="0"/>
        </w:numPr>
        <w:bidi w:val="0"/>
        <w:ind w:left="0" w:leftChars="0" w:firstLine="0" w:firstLineChars="0"/>
        <w:rPr>
          <w:rFonts w:hint="eastAsia" w:ascii="黑体" w:hAnsi="Times New Roman" w:eastAsia="黑体" w:cs="Times New Roman"/>
          <w:kern w:val="21"/>
          <w:sz w:val="21"/>
          <w:highlight w:val="none"/>
          <w:lang w:val="en-US" w:eastAsia="zh-CN" w:bidi="ar-SA"/>
        </w:rPr>
      </w:pPr>
    </w:p>
    <w:p w14:paraId="32BFAB70">
      <w:pPr>
        <w:pStyle w:val="156"/>
        <w:numPr>
          <w:ilvl w:val="1"/>
          <w:numId w:val="0"/>
        </w:numPr>
        <w:bidi w:val="0"/>
        <w:ind w:left="0" w:leftChars="0" w:firstLine="0" w:firstLineChars="0"/>
        <w:rPr>
          <w:rFonts w:hint="eastAsia"/>
          <w:highlight w:val="none"/>
        </w:rPr>
      </w:pPr>
      <w:r>
        <w:rPr>
          <w:rFonts w:hint="eastAsia" w:ascii="黑体" w:hAnsi="Times New Roman" w:eastAsia="黑体" w:cs="Times New Roman"/>
          <w:kern w:val="21"/>
          <w:sz w:val="21"/>
          <w:highlight w:val="none"/>
          <w:lang w:val="en-US" w:eastAsia="zh-CN" w:bidi="ar-SA"/>
        </w:rPr>
        <w:t>表</w:t>
      </w:r>
      <w:r>
        <w:rPr>
          <w:rFonts w:hint="eastAsia" w:cs="Times New Roman"/>
          <w:kern w:val="21"/>
          <w:sz w:val="21"/>
          <w:highlight w:val="none"/>
          <w:lang w:val="en-US" w:eastAsia="zh-CN" w:bidi="ar-SA"/>
        </w:rPr>
        <w:t>A</w:t>
      </w:r>
      <w:r>
        <w:rPr>
          <w:rFonts w:hint="eastAsia" w:ascii="黑体" w:hAnsi="Times New Roman" w:eastAsia="黑体" w:cs="Times New Roman"/>
          <w:kern w:val="21"/>
          <w:sz w:val="21"/>
          <w:highlight w:val="none"/>
          <w:lang w:val="en-US" w:eastAsia="zh-CN" w:bidi="ar-SA"/>
        </w:rPr>
        <w:t>.</w:t>
      </w:r>
      <w:r>
        <w:rPr>
          <w:rFonts w:hint="eastAsia" w:cs="Times New Roman"/>
          <w:kern w:val="21"/>
          <w:sz w:val="21"/>
          <w:highlight w:val="none"/>
          <w:lang w:val="en-US" w:eastAsia="zh-CN" w:bidi="ar-SA"/>
        </w:rPr>
        <w:t>4</w:t>
      </w:r>
      <w:r>
        <w:rPr>
          <w:rFonts w:hint="eastAsia"/>
          <w:highlight w:val="none"/>
        </w:rPr>
        <w:t>产业园区</w:t>
      </w:r>
      <w:r>
        <w:rPr>
          <w:rFonts w:hint="eastAsia"/>
          <w:highlight w:val="none"/>
          <w:lang w:val="en-US" w:eastAsia="zh-CN"/>
        </w:rPr>
        <w:t>管理绩效</w:t>
      </w:r>
      <w:r>
        <w:rPr>
          <w:rFonts w:hint="eastAsia"/>
          <w:highlight w:val="none"/>
        </w:rPr>
        <w:t>调查表</w:t>
      </w:r>
    </w:p>
    <w:tbl>
      <w:tblPr>
        <w:tblStyle w:val="33"/>
        <w:tblW w:w="9590"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701"/>
        <w:gridCol w:w="4206"/>
        <w:gridCol w:w="1918"/>
        <w:gridCol w:w="1765"/>
      </w:tblGrid>
      <w:tr w14:paraId="4AD9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shd w:val="clear" w:color="auto" w:fill="auto"/>
            <w:noWrap/>
            <w:vAlign w:val="center"/>
          </w:tcPr>
          <w:p w14:paraId="6B6525EC">
            <w:pPr>
              <w:jc w:val="center"/>
              <w:rPr>
                <w:rFonts w:hint="default"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类型</w:t>
            </w:r>
          </w:p>
        </w:tc>
        <w:tc>
          <w:tcPr>
            <w:tcW w:w="4206" w:type="dxa"/>
            <w:shd w:val="clear" w:color="auto" w:fill="auto"/>
            <w:noWrap/>
            <w:vAlign w:val="center"/>
          </w:tcPr>
          <w:p w14:paraId="7A526814">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项目</w:t>
            </w:r>
          </w:p>
        </w:tc>
        <w:tc>
          <w:tcPr>
            <w:tcW w:w="1918" w:type="dxa"/>
            <w:shd w:val="clear" w:color="auto" w:fill="auto"/>
            <w:noWrap/>
            <w:vAlign w:val="center"/>
          </w:tcPr>
          <w:p w14:paraId="2ED95AC2">
            <w:pPr>
              <w:keepNext w:val="0"/>
              <w:keepLines w:val="0"/>
              <w:widowControl/>
              <w:suppressLineNumbers w:val="0"/>
              <w:jc w:val="center"/>
              <w:textAlignment w:val="bottom"/>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数量</w:t>
            </w:r>
          </w:p>
        </w:tc>
        <w:tc>
          <w:tcPr>
            <w:tcW w:w="1765" w:type="dxa"/>
            <w:shd w:val="clear" w:color="auto" w:fill="auto"/>
            <w:noWrap/>
            <w:vAlign w:val="center"/>
          </w:tcPr>
          <w:p w14:paraId="0EC25AE3">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备注</w:t>
            </w:r>
          </w:p>
        </w:tc>
      </w:tr>
      <w:tr w14:paraId="27BF1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3038F390">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经济类产业园区</w:t>
            </w:r>
          </w:p>
        </w:tc>
        <w:tc>
          <w:tcPr>
            <w:tcW w:w="4206" w:type="dxa"/>
            <w:shd w:val="clear" w:color="auto" w:fill="auto"/>
            <w:noWrap/>
            <w:vAlign w:val="center"/>
          </w:tcPr>
          <w:p w14:paraId="31BD132F">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6AD0A9E0">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5EC62C0">
            <w:pPr>
              <w:jc w:val="center"/>
              <w:rPr>
                <w:rFonts w:hint="eastAsia" w:ascii="宋体" w:hAnsi="宋体" w:eastAsia="宋体" w:cs="宋体"/>
                <w:i w:val="0"/>
                <w:iCs w:val="0"/>
                <w:color w:val="000000"/>
                <w:sz w:val="18"/>
                <w:szCs w:val="18"/>
                <w:highlight w:val="none"/>
                <w:u w:val="none"/>
                <w:lang w:val="en-US" w:eastAsia="zh-CN"/>
              </w:rPr>
            </w:pPr>
          </w:p>
        </w:tc>
      </w:tr>
      <w:tr w14:paraId="4823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F8038D2">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3B32C404">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已处置闲置土地面积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0DC6C3A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46F3FBFA">
            <w:pPr>
              <w:jc w:val="center"/>
              <w:rPr>
                <w:rFonts w:hint="eastAsia" w:ascii="宋体" w:hAnsi="宋体" w:eastAsia="宋体" w:cs="宋体"/>
                <w:i w:val="0"/>
                <w:iCs w:val="0"/>
                <w:color w:val="000000"/>
                <w:sz w:val="18"/>
                <w:szCs w:val="18"/>
                <w:highlight w:val="none"/>
                <w:u w:val="none"/>
                <w:lang w:val="en-US" w:eastAsia="zh-CN"/>
              </w:rPr>
            </w:pPr>
          </w:p>
        </w:tc>
      </w:tr>
      <w:tr w14:paraId="4360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3C08846">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424A9665">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新增闲置土地面积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7A06F9D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3F387CCD">
            <w:pPr>
              <w:jc w:val="center"/>
              <w:rPr>
                <w:rFonts w:hint="eastAsia" w:ascii="宋体" w:hAnsi="宋体" w:eastAsia="宋体" w:cs="宋体"/>
                <w:i w:val="0"/>
                <w:iCs w:val="0"/>
                <w:color w:val="000000"/>
                <w:sz w:val="18"/>
                <w:szCs w:val="18"/>
                <w:highlight w:val="none"/>
                <w:u w:val="none"/>
                <w:lang w:val="en-US" w:eastAsia="zh-CN"/>
              </w:rPr>
            </w:pPr>
          </w:p>
        </w:tc>
      </w:tr>
      <w:tr w14:paraId="507E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ECC1882">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56E26B94">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已处置的低效工矿仓储用地面积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34DE83B2">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D7D9235">
            <w:pPr>
              <w:jc w:val="center"/>
              <w:rPr>
                <w:rFonts w:hint="eastAsia" w:ascii="宋体" w:hAnsi="宋体" w:eastAsia="宋体" w:cs="宋体"/>
                <w:i w:val="0"/>
                <w:iCs w:val="0"/>
                <w:color w:val="000000"/>
                <w:sz w:val="18"/>
                <w:szCs w:val="18"/>
                <w:highlight w:val="none"/>
                <w:u w:val="none"/>
                <w:lang w:val="en-US" w:eastAsia="zh-CN"/>
              </w:rPr>
            </w:pPr>
          </w:p>
        </w:tc>
      </w:tr>
      <w:tr w14:paraId="4A5F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3DD5C73">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5A9FE8F1">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计划拟处置的低效工矿仓储用地面积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4F0F1051">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8BE5AD4">
            <w:pPr>
              <w:jc w:val="center"/>
              <w:rPr>
                <w:rFonts w:hint="eastAsia" w:ascii="宋体" w:hAnsi="宋体" w:eastAsia="宋体" w:cs="宋体"/>
                <w:i w:val="0"/>
                <w:iCs w:val="0"/>
                <w:color w:val="000000"/>
                <w:sz w:val="18"/>
                <w:szCs w:val="18"/>
                <w:highlight w:val="none"/>
                <w:u w:val="none"/>
                <w:lang w:val="en-US" w:eastAsia="zh-CN"/>
              </w:rPr>
            </w:pPr>
          </w:p>
        </w:tc>
      </w:tr>
      <w:tr w14:paraId="4918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8A6CE70">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7A3E7092">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新增违法用地面积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7D8D2C95">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41E0D26">
            <w:pPr>
              <w:jc w:val="center"/>
              <w:rPr>
                <w:rFonts w:hint="eastAsia" w:ascii="宋体" w:hAnsi="宋体" w:eastAsia="宋体" w:cs="宋体"/>
                <w:i w:val="0"/>
                <w:iCs w:val="0"/>
                <w:color w:val="000000"/>
                <w:sz w:val="18"/>
                <w:szCs w:val="18"/>
                <w:highlight w:val="none"/>
                <w:u w:val="none"/>
                <w:lang w:val="en-US" w:eastAsia="zh-CN"/>
              </w:rPr>
            </w:pPr>
          </w:p>
        </w:tc>
      </w:tr>
      <w:tr w14:paraId="1095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379FBFD">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5EA9EF64">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节地示范情况（项）</w:t>
            </w:r>
          </w:p>
        </w:tc>
        <w:tc>
          <w:tcPr>
            <w:tcW w:w="1918" w:type="dxa"/>
            <w:shd w:val="clear" w:color="auto" w:fill="auto"/>
            <w:noWrap/>
            <w:vAlign w:val="center"/>
          </w:tcPr>
          <w:p w14:paraId="434BC50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AFB12E9">
            <w:pPr>
              <w:jc w:val="center"/>
              <w:rPr>
                <w:rFonts w:hint="eastAsia" w:ascii="宋体" w:hAnsi="宋体" w:eastAsia="宋体" w:cs="宋体"/>
                <w:i w:val="0"/>
                <w:iCs w:val="0"/>
                <w:color w:val="000000"/>
                <w:sz w:val="18"/>
                <w:szCs w:val="18"/>
                <w:highlight w:val="none"/>
                <w:u w:val="none"/>
                <w:lang w:val="en-US" w:eastAsia="zh-CN"/>
              </w:rPr>
            </w:pPr>
          </w:p>
        </w:tc>
      </w:tr>
      <w:tr w14:paraId="461D7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0CA2AAC5">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高新类产业园区</w:t>
            </w:r>
          </w:p>
        </w:tc>
        <w:tc>
          <w:tcPr>
            <w:tcW w:w="4206" w:type="dxa"/>
            <w:shd w:val="clear" w:color="auto" w:fill="auto"/>
            <w:noWrap/>
            <w:vAlign w:val="center"/>
          </w:tcPr>
          <w:p w14:paraId="2EBB0605">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492F3491">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5E0FD863">
            <w:pPr>
              <w:jc w:val="center"/>
              <w:rPr>
                <w:rFonts w:hint="eastAsia" w:ascii="宋体" w:hAnsi="宋体" w:eastAsia="宋体" w:cs="宋体"/>
                <w:i w:val="0"/>
                <w:iCs w:val="0"/>
                <w:color w:val="000000"/>
                <w:sz w:val="18"/>
                <w:szCs w:val="18"/>
                <w:highlight w:val="none"/>
                <w:u w:val="none"/>
                <w:lang w:val="en-US" w:eastAsia="zh-CN"/>
              </w:rPr>
            </w:pPr>
          </w:p>
        </w:tc>
      </w:tr>
      <w:tr w14:paraId="18A7B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23608C32">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3878CC0F">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已处置闲置土地面积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3CF2C263">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6C1E59B">
            <w:pPr>
              <w:jc w:val="center"/>
              <w:rPr>
                <w:rFonts w:hint="eastAsia" w:ascii="宋体" w:hAnsi="宋体" w:eastAsia="宋体" w:cs="宋体"/>
                <w:i w:val="0"/>
                <w:iCs w:val="0"/>
                <w:color w:val="000000"/>
                <w:sz w:val="18"/>
                <w:szCs w:val="18"/>
                <w:highlight w:val="none"/>
                <w:u w:val="none"/>
                <w:lang w:val="en-US" w:eastAsia="zh-CN"/>
              </w:rPr>
            </w:pPr>
          </w:p>
        </w:tc>
      </w:tr>
      <w:tr w14:paraId="45CDC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236976E4">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4DCACB7F">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新增闲置土地面积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60FB52D1">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2048046">
            <w:pPr>
              <w:jc w:val="center"/>
              <w:rPr>
                <w:rFonts w:hint="eastAsia" w:ascii="宋体" w:hAnsi="宋体" w:eastAsia="宋体" w:cs="宋体"/>
                <w:i w:val="0"/>
                <w:iCs w:val="0"/>
                <w:color w:val="000000"/>
                <w:sz w:val="18"/>
                <w:szCs w:val="18"/>
                <w:highlight w:val="none"/>
                <w:u w:val="none"/>
                <w:lang w:val="en-US" w:eastAsia="zh-CN"/>
              </w:rPr>
            </w:pPr>
          </w:p>
        </w:tc>
      </w:tr>
      <w:tr w14:paraId="37D0E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4E27C0C4">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2886C136">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已处置的低效工矿仓储用地面积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430DF82D">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78867EF">
            <w:pPr>
              <w:jc w:val="center"/>
              <w:rPr>
                <w:rFonts w:hint="eastAsia" w:ascii="宋体" w:hAnsi="宋体" w:eastAsia="宋体" w:cs="宋体"/>
                <w:i w:val="0"/>
                <w:iCs w:val="0"/>
                <w:color w:val="000000"/>
                <w:sz w:val="18"/>
                <w:szCs w:val="18"/>
                <w:highlight w:val="none"/>
                <w:u w:val="none"/>
                <w:lang w:val="en-US" w:eastAsia="zh-CN"/>
              </w:rPr>
            </w:pPr>
          </w:p>
        </w:tc>
      </w:tr>
      <w:tr w14:paraId="38E5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13269169">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0B415088">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计划拟处置的低效工矿仓储用地面积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49B748D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4254EBD8">
            <w:pPr>
              <w:jc w:val="center"/>
              <w:rPr>
                <w:rFonts w:hint="eastAsia" w:ascii="宋体" w:hAnsi="宋体" w:eastAsia="宋体" w:cs="宋体"/>
                <w:i w:val="0"/>
                <w:iCs w:val="0"/>
                <w:color w:val="000000"/>
                <w:sz w:val="18"/>
                <w:szCs w:val="18"/>
                <w:highlight w:val="none"/>
                <w:u w:val="none"/>
                <w:lang w:val="en-US" w:eastAsia="zh-CN"/>
              </w:rPr>
            </w:pPr>
          </w:p>
        </w:tc>
      </w:tr>
      <w:tr w14:paraId="77583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18CC41AA">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2B7ADCE4">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新增违法用地面积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620B4107">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5A5742D6">
            <w:pPr>
              <w:jc w:val="center"/>
              <w:rPr>
                <w:rFonts w:hint="eastAsia" w:ascii="宋体" w:hAnsi="宋体" w:eastAsia="宋体" w:cs="宋体"/>
                <w:i w:val="0"/>
                <w:iCs w:val="0"/>
                <w:color w:val="000000"/>
                <w:sz w:val="18"/>
                <w:szCs w:val="18"/>
                <w:highlight w:val="none"/>
                <w:u w:val="none"/>
                <w:lang w:val="en-US" w:eastAsia="zh-CN"/>
              </w:rPr>
            </w:pPr>
          </w:p>
        </w:tc>
      </w:tr>
      <w:tr w14:paraId="0996C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1701" w:type="dxa"/>
            <w:vMerge w:val="continue"/>
            <w:shd w:val="clear" w:color="auto" w:fill="auto"/>
            <w:noWrap/>
            <w:vAlign w:val="center"/>
          </w:tcPr>
          <w:p w14:paraId="610EC56A">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1B740092">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节地示范情况（项）</w:t>
            </w:r>
          </w:p>
        </w:tc>
        <w:tc>
          <w:tcPr>
            <w:tcW w:w="1918" w:type="dxa"/>
            <w:shd w:val="clear" w:color="auto" w:fill="auto"/>
            <w:noWrap/>
            <w:vAlign w:val="center"/>
          </w:tcPr>
          <w:p w14:paraId="5DB58283">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B4AAADB">
            <w:pPr>
              <w:jc w:val="center"/>
              <w:rPr>
                <w:rFonts w:hint="eastAsia" w:ascii="宋体" w:hAnsi="宋体" w:eastAsia="宋体" w:cs="宋体"/>
                <w:i w:val="0"/>
                <w:iCs w:val="0"/>
                <w:color w:val="000000"/>
                <w:sz w:val="18"/>
                <w:szCs w:val="18"/>
                <w:highlight w:val="none"/>
                <w:u w:val="none"/>
                <w:lang w:val="en-US" w:eastAsia="zh-CN"/>
              </w:rPr>
            </w:pPr>
          </w:p>
        </w:tc>
      </w:tr>
      <w:tr w14:paraId="7567E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515269B6">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海关类产业园区</w:t>
            </w:r>
          </w:p>
        </w:tc>
        <w:tc>
          <w:tcPr>
            <w:tcW w:w="4206" w:type="dxa"/>
            <w:shd w:val="clear" w:color="auto" w:fill="auto"/>
            <w:noWrap/>
            <w:vAlign w:val="center"/>
          </w:tcPr>
          <w:p w14:paraId="6D0A5EE9">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2D22D45D">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2F27E0D6">
            <w:pPr>
              <w:jc w:val="center"/>
              <w:rPr>
                <w:rFonts w:hint="eastAsia" w:ascii="宋体" w:hAnsi="宋体" w:eastAsia="宋体" w:cs="宋体"/>
                <w:i w:val="0"/>
                <w:iCs w:val="0"/>
                <w:color w:val="000000"/>
                <w:sz w:val="18"/>
                <w:szCs w:val="18"/>
                <w:highlight w:val="none"/>
                <w:u w:val="none"/>
                <w:lang w:val="en-US" w:eastAsia="zh-CN"/>
              </w:rPr>
            </w:pPr>
          </w:p>
        </w:tc>
      </w:tr>
      <w:tr w14:paraId="6DD3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0B1B3D5">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35F57AEB">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已处置闲置土地面积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4F923E1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C827282">
            <w:pPr>
              <w:jc w:val="center"/>
              <w:rPr>
                <w:rFonts w:hint="eastAsia" w:ascii="宋体" w:hAnsi="宋体" w:eastAsia="宋体" w:cs="宋体"/>
                <w:i w:val="0"/>
                <w:iCs w:val="0"/>
                <w:color w:val="000000"/>
                <w:sz w:val="18"/>
                <w:szCs w:val="18"/>
                <w:highlight w:val="none"/>
                <w:u w:val="none"/>
                <w:lang w:val="en-US" w:eastAsia="zh-CN"/>
              </w:rPr>
            </w:pPr>
          </w:p>
        </w:tc>
      </w:tr>
      <w:tr w14:paraId="17C2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A642BDF">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4669E140">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新增闲置土地面积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2C9A5F7B">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309A289F">
            <w:pPr>
              <w:jc w:val="center"/>
              <w:rPr>
                <w:rFonts w:hint="eastAsia" w:ascii="宋体" w:hAnsi="宋体" w:eastAsia="宋体" w:cs="宋体"/>
                <w:i w:val="0"/>
                <w:iCs w:val="0"/>
                <w:color w:val="000000"/>
                <w:sz w:val="18"/>
                <w:szCs w:val="18"/>
                <w:highlight w:val="none"/>
                <w:u w:val="none"/>
                <w:lang w:val="en-US" w:eastAsia="zh-CN"/>
              </w:rPr>
            </w:pPr>
          </w:p>
        </w:tc>
      </w:tr>
      <w:tr w14:paraId="25917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F8BD741">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10CF586B">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已处置的低效工矿仓储用地面积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1294F089">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6681188D">
            <w:pPr>
              <w:jc w:val="center"/>
              <w:rPr>
                <w:rFonts w:hint="eastAsia" w:ascii="宋体" w:hAnsi="宋体" w:eastAsia="宋体" w:cs="宋体"/>
                <w:i w:val="0"/>
                <w:iCs w:val="0"/>
                <w:color w:val="000000"/>
                <w:sz w:val="18"/>
                <w:szCs w:val="18"/>
                <w:highlight w:val="none"/>
                <w:u w:val="none"/>
                <w:lang w:val="en-US" w:eastAsia="zh-CN"/>
              </w:rPr>
            </w:pPr>
          </w:p>
        </w:tc>
      </w:tr>
      <w:tr w14:paraId="0EE9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2527494E">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3DD61A79">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计划拟处置的低效工矿仓储用地面积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3B154352">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369CABED">
            <w:pPr>
              <w:jc w:val="center"/>
              <w:rPr>
                <w:rFonts w:hint="eastAsia" w:ascii="宋体" w:hAnsi="宋体" w:eastAsia="宋体" w:cs="宋体"/>
                <w:i w:val="0"/>
                <w:iCs w:val="0"/>
                <w:color w:val="000000"/>
                <w:sz w:val="18"/>
                <w:szCs w:val="18"/>
                <w:highlight w:val="none"/>
                <w:u w:val="none"/>
                <w:lang w:val="en-US" w:eastAsia="zh-CN"/>
              </w:rPr>
            </w:pPr>
          </w:p>
        </w:tc>
      </w:tr>
      <w:tr w14:paraId="6F77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restart"/>
            <w:shd w:val="clear" w:color="auto" w:fill="auto"/>
            <w:noWrap/>
            <w:vAlign w:val="center"/>
          </w:tcPr>
          <w:p w14:paraId="1FFB0735">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化工类产业园区</w:t>
            </w:r>
          </w:p>
        </w:tc>
        <w:tc>
          <w:tcPr>
            <w:tcW w:w="4206" w:type="dxa"/>
            <w:shd w:val="clear" w:color="auto" w:fill="auto"/>
            <w:noWrap/>
            <w:vAlign w:val="center"/>
          </w:tcPr>
          <w:p w14:paraId="453D2EF6">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5B153BB3">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328AB8B">
            <w:pPr>
              <w:jc w:val="center"/>
              <w:rPr>
                <w:rFonts w:hint="eastAsia" w:ascii="宋体" w:hAnsi="宋体" w:eastAsia="宋体" w:cs="宋体"/>
                <w:i w:val="0"/>
                <w:iCs w:val="0"/>
                <w:color w:val="000000"/>
                <w:sz w:val="18"/>
                <w:szCs w:val="18"/>
                <w:highlight w:val="none"/>
                <w:u w:val="none"/>
                <w:lang w:val="en-US" w:eastAsia="zh-CN"/>
              </w:rPr>
            </w:pPr>
          </w:p>
        </w:tc>
      </w:tr>
      <w:tr w14:paraId="7A6B5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53285CAD">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3F7B5DFB">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已处置闲置土地面积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724242D6">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036CD49">
            <w:pPr>
              <w:jc w:val="center"/>
              <w:rPr>
                <w:rFonts w:hint="eastAsia" w:ascii="宋体" w:hAnsi="宋体" w:eastAsia="宋体" w:cs="宋体"/>
                <w:i w:val="0"/>
                <w:iCs w:val="0"/>
                <w:color w:val="000000"/>
                <w:sz w:val="18"/>
                <w:szCs w:val="18"/>
                <w:highlight w:val="none"/>
                <w:u w:val="none"/>
                <w:lang w:val="en-US" w:eastAsia="zh-CN"/>
              </w:rPr>
            </w:pPr>
          </w:p>
        </w:tc>
      </w:tr>
      <w:tr w14:paraId="478EF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655617E8">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519C0334">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新增闲置土地面积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353A02AF">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19B07C15">
            <w:pPr>
              <w:jc w:val="center"/>
              <w:rPr>
                <w:rFonts w:hint="eastAsia" w:ascii="宋体" w:hAnsi="宋体" w:eastAsia="宋体" w:cs="宋体"/>
                <w:i w:val="0"/>
                <w:iCs w:val="0"/>
                <w:color w:val="000000"/>
                <w:sz w:val="18"/>
                <w:szCs w:val="18"/>
                <w:highlight w:val="none"/>
                <w:u w:val="none"/>
                <w:lang w:val="en-US" w:eastAsia="zh-CN"/>
              </w:rPr>
            </w:pPr>
          </w:p>
        </w:tc>
      </w:tr>
      <w:tr w14:paraId="4ACD8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2C19EAA0">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4B81043A">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已处置的低效工矿仓储用地面积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540D0BFC">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DD31AAA">
            <w:pPr>
              <w:jc w:val="center"/>
              <w:rPr>
                <w:rFonts w:hint="eastAsia" w:ascii="宋体" w:hAnsi="宋体" w:eastAsia="宋体" w:cs="宋体"/>
                <w:i w:val="0"/>
                <w:iCs w:val="0"/>
                <w:color w:val="000000"/>
                <w:sz w:val="18"/>
                <w:szCs w:val="18"/>
                <w:highlight w:val="none"/>
                <w:u w:val="none"/>
                <w:lang w:val="en-US" w:eastAsia="zh-CN"/>
              </w:rPr>
            </w:pPr>
          </w:p>
        </w:tc>
      </w:tr>
      <w:tr w14:paraId="59882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3497A18B">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1134C80D">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sz w:val="18"/>
                <w:szCs w:val="18"/>
                <w:highlight w:val="none"/>
                <w:u w:val="none"/>
                <w:lang w:val="en-US" w:eastAsia="zh-CN"/>
              </w:rPr>
              <w:t>计划拟处置的低效工矿仓储用地面积</w:t>
            </w:r>
            <w:r>
              <w:rPr>
                <w:rFonts w:hint="eastAsia" w:ascii="宋体" w:hAnsi="宋体" w:eastAsia="宋体" w:cs="宋体"/>
                <w:i w:val="0"/>
                <w:iCs w:val="0"/>
                <w:color w:val="000000"/>
                <w:kern w:val="0"/>
                <w:sz w:val="18"/>
                <w:szCs w:val="18"/>
                <w:highlight w:val="none"/>
                <w:u w:val="none"/>
                <w:lang w:val="en-US" w:eastAsia="zh-CN" w:bidi="ar"/>
              </w:rPr>
              <w:t>（hm</w:t>
            </w:r>
            <w:r>
              <w:rPr>
                <w:rFonts w:hint="eastAsia" w:ascii="宋体" w:hAnsi="宋体" w:eastAsia="宋体" w:cs="宋体"/>
                <w:i w:val="0"/>
                <w:iCs w:val="0"/>
                <w:color w:val="000000"/>
                <w:kern w:val="0"/>
                <w:sz w:val="18"/>
                <w:szCs w:val="18"/>
                <w:highlight w:val="none"/>
                <w:u w:val="none"/>
                <w:vertAlign w:val="superscript"/>
                <w:lang w:val="en-US" w:eastAsia="zh-CN" w:bidi="ar"/>
              </w:rPr>
              <w:t>2</w:t>
            </w:r>
            <w:r>
              <w:rPr>
                <w:rFonts w:hint="eastAsia" w:ascii="宋体" w:hAnsi="宋体" w:eastAsia="宋体" w:cs="宋体"/>
                <w:i w:val="0"/>
                <w:iCs w:val="0"/>
                <w:color w:val="000000"/>
                <w:kern w:val="0"/>
                <w:sz w:val="18"/>
                <w:szCs w:val="18"/>
                <w:highlight w:val="none"/>
                <w:u w:val="none"/>
                <w:lang w:val="en-US" w:eastAsia="zh-CN" w:bidi="ar"/>
              </w:rPr>
              <w:t>)</w:t>
            </w:r>
          </w:p>
        </w:tc>
        <w:tc>
          <w:tcPr>
            <w:tcW w:w="1918" w:type="dxa"/>
            <w:shd w:val="clear" w:color="auto" w:fill="auto"/>
            <w:noWrap/>
            <w:vAlign w:val="center"/>
          </w:tcPr>
          <w:p w14:paraId="7AE05EEC">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7214AE70">
            <w:pPr>
              <w:jc w:val="center"/>
              <w:rPr>
                <w:rFonts w:hint="eastAsia" w:ascii="宋体" w:hAnsi="宋体" w:eastAsia="宋体" w:cs="宋体"/>
                <w:i w:val="0"/>
                <w:iCs w:val="0"/>
                <w:color w:val="000000"/>
                <w:sz w:val="18"/>
                <w:szCs w:val="18"/>
                <w:highlight w:val="none"/>
                <w:u w:val="none"/>
                <w:lang w:val="en-US" w:eastAsia="zh-CN"/>
              </w:rPr>
            </w:pPr>
          </w:p>
        </w:tc>
      </w:tr>
      <w:tr w14:paraId="7FB0B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439D107">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71BD5535">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b w:val="0"/>
                <w:bCs w:val="0"/>
                <w:i w:val="0"/>
                <w:iCs w:val="0"/>
                <w:color w:val="000000"/>
                <w:kern w:val="0"/>
                <w:sz w:val="18"/>
                <w:szCs w:val="18"/>
                <w:highlight w:val="none"/>
                <w:u w:val="none"/>
                <w:lang w:val="en-US" w:eastAsia="zh-CN" w:bidi="ar"/>
              </w:rPr>
              <w:t>化工产业</w:t>
            </w:r>
            <w:r>
              <w:rPr>
                <w:rFonts w:hint="eastAsia" w:ascii="宋体" w:hAnsi="宋体" w:cs="宋体"/>
                <w:b w:val="0"/>
                <w:bCs w:val="0"/>
                <w:i w:val="0"/>
                <w:iCs w:val="0"/>
                <w:color w:val="000000"/>
                <w:kern w:val="0"/>
                <w:sz w:val="18"/>
                <w:szCs w:val="18"/>
                <w:highlight w:val="none"/>
                <w:u w:val="none"/>
                <w:lang w:val="en-US" w:eastAsia="zh-CN" w:bidi="ar"/>
              </w:rPr>
              <w:t>用地</w:t>
            </w:r>
            <w:r>
              <w:rPr>
                <w:rFonts w:hint="eastAsia" w:ascii="宋体" w:hAnsi="宋体" w:eastAsia="宋体" w:cs="宋体"/>
                <w:b w:val="0"/>
                <w:bCs w:val="0"/>
                <w:i w:val="0"/>
                <w:iCs w:val="0"/>
                <w:color w:val="000000"/>
                <w:kern w:val="0"/>
                <w:sz w:val="18"/>
                <w:szCs w:val="18"/>
                <w:highlight w:val="none"/>
                <w:u w:val="none"/>
                <w:lang w:val="en-US" w:eastAsia="zh-CN" w:bidi="ar"/>
              </w:rPr>
              <w:t>碳排放</w:t>
            </w:r>
            <w:r>
              <w:rPr>
                <w:rFonts w:hint="eastAsia" w:ascii="宋体" w:hAnsi="宋体" w:cs="宋体"/>
                <w:b w:val="0"/>
                <w:bCs w:val="0"/>
                <w:i w:val="0"/>
                <w:iCs w:val="0"/>
                <w:color w:val="000000"/>
                <w:kern w:val="0"/>
                <w:sz w:val="18"/>
                <w:szCs w:val="18"/>
                <w:highlight w:val="none"/>
                <w:u w:val="none"/>
                <w:lang w:val="en-US" w:eastAsia="zh-CN" w:bidi="ar"/>
              </w:rPr>
              <w:t>总</w:t>
            </w:r>
            <w:r>
              <w:rPr>
                <w:rFonts w:hint="eastAsia" w:ascii="宋体" w:hAnsi="宋体" w:eastAsia="宋体" w:cs="宋体"/>
                <w:b w:val="0"/>
                <w:bCs w:val="0"/>
                <w:i w:val="0"/>
                <w:iCs w:val="0"/>
                <w:color w:val="000000"/>
                <w:kern w:val="0"/>
                <w:sz w:val="18"/>
                <w:szCs w:val="18"/>
                <w:highlight w:val="none"/>
                <w:u w:val="none"/>
                <w:lang w:val="en-US" w:eastAsia="zh-CN" w:bidi="ar"/>
              </w:rPr>
              <w:t>量（tCO2e）</w:t>
            </w:r>
          </w:p>
        </w:tc>
        <w:tc>
          <w:tcPr>
            <w:tcW w:w="1918" w:type="dxa"/>
            <w:shd w:val="clear" w:color="auto" w:fill="auto"/>
            <w:noWrap/>
            <w:vAlign w:val="center"/>
          </w:tcPr>
          <w:p w14:paraId="2D41FD4B">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3C57EF4F">
            <w:pPr>
              <w:jc w:val="center"/>
              <w:rPr>
                <w:rFonts w:hint="eastAsia" w:ascii="宋体" w:hAnsi="宋体" w:eastAsia="宋体" w:cs="宋体"/>
                <w:i w:val="0"/>
                <w:iCs w:val="0"/>
                <w:color w:val="000000"/>
                <w:sz w:val="18"/>
                <w:szCs w:val="18"/>
                <w:highlight w:val="none"/>
                <w:u w:val="none"/>
                <w:lang w:val="en-US" w:eastAsia="zh-CN"/>
              </w:rPr>
            </w:pPr>
          </w:p>
        </w:tc>
      </w:tr>
      <w:tr w14:paraId="570F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701" w:type="dxa"/>
            <w:vMerge w:val="continue"/>
            <w:shd w:val="clear" w:color="auto" w:fill="auto"/>
            <w:noWrap/>
            <w:vAlign w:val="center"/>
          </w:tcPr>
          <w:p w14:paraId="02E098D6">
            <w:pPr>
              <w:jc w:val="center"/>
              <w:rPr>
                <w:rFonts w:hint="eastAsia" w:ascii="宋体" w:hAnsi="宋体" w:cs="宋体"/>
                <w:i w:val="0"/>
                <w:iCs w:val="0"/>
                <w:color w:val="000000"/>
                <w:sz w:val="18"/>
                <w:szCs w:val="18"/>
                <w:highlight w:val="none"/>
                <w:u w:val="none"/>
                <w:lang w:val="en-US" w:eastAsia="zh-CN"/>
              </w:rPr>
            </w:pPr>
          </w:p>
        </w:tc>
        <w:tc>
          <w:tcPr>
            <w:tcW w:w="4206" w:type="dxa"/>
            <w:shd w:val="clear" w:color="auto" w:fill="auto"/>
            <w:noWrap/>
            <w:vAlign w:val="center"/>
          </w:tcPr>
          <w:p w14:paraId="6BD3F4D7">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b w:val="0"/>
                <w:bCs w:val="0"/>
                <w:i w:val="0"/>
                <w:iCs w:val="0"/>
                <w:color w:val="000000"/>
                <w:kern w:val="0"/>
                <w:sz w:val="18"/>
                <w:szCs w:val="18"/>
                <w:highlight w:val="none"/>
                <w:u w:val="none"/>
                <w:lang w:val="en-US" w:eastAsia="zh-CN" w:bidi="ar"/>
              </w:rPr>
              <w:t>化工产业</w:t>
            </w:r>
            <w:r>
              <w:rPr>
                <w:rFonts w:hint="eastAsia" w:ascii="宋体" w:hAnsi="宋体" w:cs="宋体"/>
                <w:b w:val="0"/>
                <w:bCs w:val="0"/>
                <w:i w:val="0"/>
                <w:iCs w:val="0"/>
                <w:color w:val="000000"/>
                <w:kern w:val="0"/>
                <w:sz w:val="18"/>
                <w:szCs w:val="18"/>
                <w:highlight w:val="none"/>
                <w:u w:val="none"/>
                <w:lang w:val="en-US" w:eastAsia="zh-CN" w:bidi="ar"/>
              </w:rPr>
              <w:t>用地能源消耗量</w:t>
            </w:r>
            <w:r>
              <w:rPr>
                <w:rFonts w:hint="eastAsia" w:ascii="宋体" w:hAnsi="宋体" w:eastAsia="宋体" w:cs="宋体"/>
                <w:b w:val="0"/>
                <w:bCs w:val="0"/>
                <w:i w:val="0"/>
                <w:iCs w:val="0"/>
                <w:color w:val="000000"/>
                <w:kern w:val="0"/>
                <w:sz w:val="18"/>
                <w:szCs w:val="18"/>
                <w:highlight w:val="none"/>
                <w:u w:val="none"/>
                <w:lang w:val="en-US" w:eastAsia="zh-CN" w:bidi="ar"/>
              </w:rPr>
              <w:t>（吨标准煤）</w:t>
            </w:r>
          </w:p>
        </w:tc>
        <w:tc>
          <w:tcPr>
            <w:tcW w:w="1918" w:type="dxa"/>
            <w:shd w:val="clear" w:color="auto" w:fill="auto"/>
            <w:noWrap/>
            <w:vAlign w:val="center"/>
          </w:tcPr>
          <w:p w14:paraId="1793392D">
            <w:pPr>
              <w:keepNext w:val="0"/>
              <w:keepLines w:val="0"/>
              <w:widowControl/>
              <w:suppressLineNumbers w:val="0"/>
              <w:jc w:val="center"/>
              <w:textAlignment w:val="bottom"/>
              <w:rPr>
                <w:rFonts w:hint="eastAsia" w:ascii="宋体" w:hAnsi="宋体" w:eastAsia="宋体" w:cs="宋体"/>
                <w:i w:val="0"/>
                <w:iCs w:val="0"/>
                <w:color w:val="000000"/>
                <w:kern w:val="0"/>
                <w:sz w:val="18"/>
                <w:szCs w:val="18"/>
                <w:highlight w:val="none"/>
                <w:u w:val="none"/>
                <w:lang w:val="en-US" w:eastAsia="zh-CN" w:bidi="ar"/>
              </w:rPr>
            </w:pPr>
          </w:p>
        </w:tc>
        <w:tc>
          <w:tcPr>
            <w:tcW w:w="1765" w:type="dxa"/>
            <w:shd w:val="clear" w:color="auto" w:fill="auto"/>
            <w:noWrap/>
            <w:vAlign w:val="center"/>
          </w:tcPr>
          <w:p w14:paraId="06CC42D6">
            <w:pPr>
              <w:jc w:val="center"/>
              <w:rPr>
                <w:rFonts w:hint="eastAsia" w:ascii="宋体" w:hAnsi="宋体" w:eastAsia="宋体" w:cs="宋体"/>
                <w:i w:val="0"/>
                <w:iCs w:val="0"/>
                <w:color w:val="000000"/>
                <w:sz w:val="18"/>
                <w:szCs w:val="18"/>
                <w:highlight w:val="none"/>
                <w:u w:val="none"/>
                <w:lang w:val="en-US" w:eastAsia="zh-CN"/>
              </w:rPr>
            </w:pPr>
          </w:p>
        </w:tc>
      </w:tr>
    </w:tbl>
    <w:p w14:paraId="7BD2C504">
      <w:pPr>
        <w:pStyle w:val="138"/>
        <w:rPr>
          <w:rFonts w:hint="eastAsia"/>
          <w:highlight w:val="none"/>
        </w:rPr>
      </w:pPr>
    </w:p>
    <w:p w14:paraId="0BAA4BD3">
      <w:pPr>
        <w:pStyle w:val="138"/>
        <w:rPr>
          <w:rFonts w:hint="eastAsia"/>
          <w:highlight w:val="none"/>
        </w:rPr>
      </w:pPr>
    </w:p>
    <w:p w14:paraId="1CCB1511">
      <w:pPr>
        <w:pStyle w:val="138"/>
        <w:rPr>
          <w:rFonts w:hint="eastAsia"/>
          <w:highlight w:val="none"/>
        </w:rPr>
      </w:pPr>
    </w:p>
    <w:p w14:paraId="625BD202">
      <w:pPr>
        <w:pStyle w:val="138"/>
        <w:rPr>
          <w:rFonts w:hint="eastAsia"/>
          <w:highlight w:val="none"/>
        </w:rPr>
        <w:sectPr>
          <w:headerReference r:id="rId6" w:type="default"/>
          <w:footerReference r:id="rId7" w:type="default"/>
          <w:pgSz w:w="11906" w:h="16838"/>
          <w:pgMar w:top="1928" w:right="1134" w:bottom="1134" w:left="1134" w:header="1418" w:footer="1134" w:gutter="284"/>
          <w:pgNumType w:fmt="decimal" w:start="1"/>
          <w:cols w:space="425" w:num="1"/>
          <w:formProt w:val="0"/>
          <w:docGrid w:type="lines" w:linePitch="312" w:charSpace="0"/>
        </w:sectPr>
      </w:pPr>
    </w:p>
    <w:p w14:paraId="4BD8E390">
      <w:pPr>
        <w:pStyle w:val="156"/>
        <w:numPr>
          <w:ilvl w:val="1"/>
          <w:numId w:val="0"/>
        </w:numPr>
        <w:bidi w:val="0"/>
        <w:ind w:left="0" w:leftChars="0" w:firstLine="0" w:firstLineChars="0"/>
        <w:rPr>
          <w:rFonts w:hint="eastAsia"/>
          <w:highlight w:val="none"/>
        </w:rPr>
      </w:pPr>
      <w:r>
        <w:rPr>
          <w:rFonts w:hint="eastAsia" w:ascii="黑体" w:hAnsi="Times New Roman" w:eastAsia="黑体" w:cs="Times New Roman"/>
          <w:kern w:val="21"/>
          <w:sz w:val="21"/>
          <w:highlight w:val="none"/>
          <w:lang w:val="en-US" w:eastAsia="zh-CN" w:bidi="ar-SA"/>
        </w:rPr>
        <w:t>表A.</w:t>
      </w:r>
      <w:r>
        <w:rPr>
          <w:rFonts w:hint="eastAsia" w:cs="Times New Roman"/>
          <w:kern w:val="21"/>
          <w:sz w:val="21"/>
          <w:highlight w:val="none"/>
          <w:lang w:val="en-US" w:eastAsia="zh-CN" w:bidi="ar-SA"/>
        </w:rPr>
        <w:t>5</w:t>
      </w:r>
      <w:r>
        <w:rPr>
          <w:rFonts w:hint="eastAsia" w:ascii="黑体" w:hAnsi="Times New Roman" w:eastAsia="黑体" w:cs="Times New Roman"/>
          <w:kern w:val="21"/>
          <w:sz w:val="21"/>
          <w:highlight w:val="none"/>
          <w:lang w:val="en-US" w:eastAsia="zh-CN" w:bidi="ar-SA"/>
        </w:rPr>
        <w:t>产业园区企业调查统计表</w:t>
      </w:r>
    </w:p>
    <w:tbl>
      <w:tblPr>
        <w:tblStyle w:val="33"/>
        <w:tblW w:w="1348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7"/>
        <w:gridCol w:w="284"/>
        <w:gridCol w:w="284"/>
        <w:gridCol w:w="284"/>
        <w:gridCol w:w="284"/>
        <w:gridCol w:w="286"/>
        <w:gridCol w:w="353"/>
        <w:gridCol w:w="353"/>
        <w:gridCol w:w="353"/>
        <w:gridCol w:w="354"/>
        <w:gridCol w:w="284"/>
        <w:gridCol w:w="284"/>
        <w:gridCol w:w="284"/>
        <w:gridCol w:w="284"/>
        <w:gridCol w:w="284"/>
        <w:gridCol w:w="284"/>
        <w:gridCol w:w="470"/>
        <w:gridCol w:w="393"/>
        <w:gridCol w:w="353"/>
        <w:gridCol w:w="353"/>
        <w:gridCol w:w="353"/>
        <w:gridCol w:w="353"/>
        <w:gridCol w:w="353"/>
        <w:gridCol w:w="353"/>
        <w:gridCol w:w="353"/>
        <w:gridCol w:w="353"/>
        <w:gridCol w:w="353"/>
        <w:gridCol w:w="353"/>
        <w:gridCol w:w="353"/>
        <w:gridCol w:w="353"/>
        <w:gridCol w:w="353"/>
        <w:gridCol w:w="353"/>
        <w:gridCol w:w="412"/>
        <w:gridCol w:w="420"/>
        <w:gridCol w:w="471"/>
        <w:gridCol w:w="459"/>
        <w:gridCol w:w="630"/>
        <w:gridCol w:w="438"/>
      </w:tblGrid>
      <w:tr w14:paraId="5F4AB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729"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0BB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土地利用状况</w:t>
            </w:r>
          </w:p>
        </w:tc>
        <w:tc>
          <w:tcPr>
            <w:tcW w:w="1413"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D62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建筑工程状况</w:t>
            </w:r>
          </w:p>
        </w:tc>
        <w:tc>
          <w:tcPr>
            <w:tcW w:w="2174"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FBD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用地结构状况</w:t>
            </w:r>
          </w:p>
        </w:tc>
        <w:tc>
          <w:tcPr>
            <w:tcW w:w="6167" w:type="dxa"/>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9E0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用地效益</w:t>
            </w:r>
          </w:p>
        </w:tc>
        <w:tc>
          <w:tcPr>
            <w:tcW w:w="199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C41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管理绩效</w:t>
            </w:r>
          </w:p>
        </w:tc>
      </w:tr>
      <w:tr w14:paraId="2D83A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10" w:hRule="atLeast"/>
          <w:jc w:val="center"/>
        </w:trPr>
        <w:tc>
          <w:tcPr>
            <w:tcW w:w="30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3C08C">
            <w:pPr>
              <w:keepNext w:val="0"/>
              <w:keepLines w:val="0"/>
              <w:widowControl/>
              <w:suppressLineNumbers w:val="0"/>
              <w:jc w:val="both"/>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图斑编号</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1A8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土地使用者</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A0C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坐落</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1FB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图斑面积</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18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供应时间</w:t>
            </w:r>
          </w:p>
        </w:tc>
        <w:tc>
          <w:tcPr>
            <w:tcW w:w="2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8C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使用年限</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55D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62"/>
                <w:lang w:val="en-US" w:eastAsia="zh-CN" w:bidi="ar"/>
              </w:rPr>
              <w:t>总建筑面积︵万m</w:t>
            </w:r>
            <w:r>
              <w:rPr>
                <w:rStyle w:val="163"/>
                <w:lang w:val="en-US" w:eastAsia="zh-CN" w:bidi="ar"/>
              </w:rPr>
              <w:t>2</w:t>
            </w:r>
            <w:r>
              <w:rPr>
                <w:rStyle w:val="162"/>
                <w:lang w:val="en-US" w:eastAsia="zh-CN" w:bidi="ar"/>
              </w:rPr>
              <w:t>︶</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64D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62"/>
                <w:lang w:val="en-US" w:eastAsia="zh-CN" w:bidi="ar"/>
              </w:rPr>
              <w:t>建筑基底总面积︵万m</w:t>
            </w:r>
            <w:r>
              <w:rPr>
                <w:rStyle w:val="163"/>
                <w:lang w:val="en-US" w:eastAsia="zh-CN" w:bidi="ar"/>
              </w:rPr>
              <w:t>2</w:t>
            </w:r>
            <w:r>
              <w:rPr>
                <w:rStyle w:val="162"/>
                <w:lang w:val="en-US" w:eastAsia="zh-CN" w:bidi="ar"/>
              </w:rPr>
              <w:t>︶</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BD2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62"/>
                <w:lang w:val="en-US" w:eastAsia="zh-CN" w:bidi="ar"/>
              </w:rPr>
              <w:t>工矿仓储总建筑面积︵万m</w:t>
            </w:r>
            <w:r>
              <w:rPr>
                <w:rStyle w:val="163"/>
                <w:lang w:val="en-US" w:eastAsia="zh-CN" w:bidi="ar"/>
              </w:rPr>
              <w:t>2</w:t>
            </w:r>
            <w:r>
              <w:rPr>
                <w:rStyle w:val="162"/>
                <w:lang w:val="en-US" w:eastAsia="zh-CN" w:bidi="ar"/>
              </w:rPr>
              <w:t>︶</w:t>
            </w:r>
          </w:p>
        </w:tc>
        <w:tc>
          <w:tcPr>
            <w:tcW w:w="3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BBC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62"/>
                <w:lang w:val="en-US" w:eastAsia="zh-CN" w:bidi="ar"/>
              </w:rPr>
              <w:t>工矿仓储基底总面积︵万m</w:t>
            </w:r>
            <w:r>
              <w:rPr>
                <w:rStyle w:val="163"/>
                <w:lang w:val="en-US" w:eastAsia="zh-CN" w:bidi="ar"/>
              </w:rPr>
              <w:t>2</w:t>
            </w:r>
            <w:r>
              <w:rPr>
                <w:rStyle w:val="162"/>
                <w:lang w:val="en-US" w:eastAsia="zh-CN" w:bidi="ar"/>
              </w:rPr>
              <w:t>︶</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D3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是否规上企业</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58F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是否为新建企业</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AA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是否为高新企业</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B6D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是否为化工企业</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0F9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是否为新兴产业</w:t>
            </w:r>
          </w:p>
        </w:tc>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546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是否为多元化供应</w:t>
            </w:r>
          </w:p>
        </w:tc>
        <w:tc>
          <w:tcPr>
            <w:tcW w:w="4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CF4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62"/>
                <w:lang w:val="en-US" w:eastAsia="zh-CN" w:bidi="ar"/>
              </w:rPr>
              <w:t>围网内实际开发面积︵hm</w:t>
            </w:r>
            <w:r>
              <w:rPr>
                <w:rStyle w:val="163"/>
                <w:lang w:val="en-US" w:eastAsia="zh-CN" w:bidi="ar"/>
              </w:rPr>
              <w:t>2</w:t>
            </w:r>
            <w:r>
              <w:rPr>
                <w:rStyle w:val="162"/>
                <w:lang w:val="en-US" w:eastAsia="zh-CN" w:bidi="ar"/>
              </w:rPr>
              <w:t>︶</w:t>
            </w:r>
          </w:p>
        </w:tc>
        <w:tc>
          <w:tcPr>
            <w:tcW w:w="3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D30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工业︵物流︶企业固定资产投资总额︵万元︶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15E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二、三产业税收总额︵万元︶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C5E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工业︵物流︶企业总收入︵万元︶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895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工业︵物流︶企业税收总额︵万元︶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AB3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地区生产总值︵亿元︶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813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高新技术产业总收入︵万元︶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41E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高新技术产业税收总额︵万元︶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F8A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高新技术产业上一年度税收总额︵万元︶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4B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专利数量︵个︶</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C40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专利授权数︵个︶</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487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知识产权数量︵项︶</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A2B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研发经费投入︵万元︶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E98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保税业务进出口总值︵亿元︶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E8F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货物贸易涉外收支额︵亿美元︶</w:t>
            </w:r>
          </w:p>
        </w:tc>
        <w:tc>
          <w:tcPr>
            <w:tcW w:w="3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DCD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海关税收︵万元︶</w:t>
            </w:r>
          </w:p>
        </w:tc>
        <w:tc>
          <w:tcPr>
            <w:tcW w:w="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73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化工产业固定资产投资总额︵万元︶</w:t>
            </w:r>
          </w:p>
        </w:tc>
        <w:tc>
          <w:tcPr>
            <w:tcW w:w="4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60E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化工产业税收总额︵万元︶</w:t>
            </w:r>
          </w:p>
        </w:tc>
        <w:tc>
          <w:tcPr>
            <w:tcW w:w="4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C46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62"/>
                <w:lang w:val="en-US" w:eastAsia="zh-CN" w:bidi="ar"/>
              </w:rPr>
              <w:t>闲置土地面积︵hm</w:t>
            </w:r>
            <w:r>
              <w:rPr>
                <w:rStyle w:val="163"/>
                <w:lang w:val="en-US" w:eastAsia="zh-CN" w:bidi="ar"/>
              </w:rPr>
              <w:t>2</w:t>
            </w:r>
            <w:r>
              <w:rPr>
                <w:rStyle w:val="162"/>
                <w:lang w:val="en-US" w:eastAsia="zh-CN" w:bidi="ar"/>
              </w:rPr>
              <w:t>︶</w:t>
            </w:r>
          </w:p>
        </w:tc>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5D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62"/>
                <w:lang w:val="en-US" w:eastAsia="zh-CN" w:bidi="ar"/>
              </w:rPr>
              <w:t>新增闲置土地面积︵hm</w:t>
            </w:r>
            <w:r>
              <w:rPr>
                <w:rStyle w:val="163"/>
                <w:lang w:val="en-US" w:eastAsia="zh-CN" w:bidi="ar"/>
              </w:rPr>
              <w:t>2</w:t>
            </w:r>
            <w:r>
              <w:rPr>
                <w:rStyle w:val="162"/>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FAA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Style w:val="162"/>
                <w:lang w:val="en-US" w:eastAsia="zh-CN" w:bidi="ar"/>
              </w:rPr>
              <w:t>化工产业用地碳排放总量</w:t>
            </w:r>
            <w:r>
              <w:rPr>
                <w:rStyle w:val="162"/>
                <w:lang w:val="en-US" w:eastAsia="zh-CN" w:bidi="ar"/>
              </w:rPr>
              <w:br w:type="textWrapping"/>
            </w:r>
            <w:r>
              <w:rPr>
                <w:rStyle w:val="162"/>
                <w:lang w:val="en-US" w:eastAsia="zh-CN" w:bidi="ar"/>
              </w:rPr>
              <w:t>︵</w:t>
            </w:r>
            <w:r>
              <w:rPr>
                <w:rStyle w:val="164"/>
                <w:lang w:val="en-US" w:eastAsia="zh-CN" w:bidi="ar"/>
              </w:rPr>
              <w:t>tCO</w:t>
            </w:r>
            <w:r>
              <w:rPr>
                <w:rStyle w:val="165"/>
                <w:lang w:val="en-US" w:eastAsia="zh-CN" w:bidi="ar"/>
              </w:rPr>
              <w:t>2</w:t>
            </w:r>
            <w:r>
              <w:rPr>
                <w:rStyle w:val="164"/>
                <w:lang w:val="en-US" w:eastAsia="zh-CN" w:bidi="ar"/>
              </w:rPr>
              <w:t>e</w:t>
            </w:r>
            <w:r>
              <w:rPr>
                <w:rStyle w:val="162"/>
                <w:lang w:val="en-US" w:eastAsia="zh-CN" w:bidi="ar"/>
              </w:rPr>
              <w:t>︶</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92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化工产业用地能源消耗量︵吨标准煤︶</w:t>
            </w:r>
          </w:p>
        </w:tc>
      </w:tr>
      <w:tr w14:paraId="3E7ED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 w:hRule="atLeast"/>
          <w:jc w:val="center"/>
        </w:trPr>
        <w:tc>
          <w:tcPr>
            <w:tcW w:w="3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303D61">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F65FDE">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45B252">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4A7FBF4">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923E3C">
            <w:pPr>
              <w:jc w:val="center"/>
              <w:rPr>
                <w:rFonts w:hint="eastAsia" w:ascii="宋体" w:hAnsi="宋体" w:eastAsia="宋体" w:cs="宋体"/>
                <w:i w:val="0"/>
                <w:iCs w:val="0"/>
                <w:color w:val="000000"/>
                <w:sz w:val="18"/>
                <w:szCs w:val="18"/>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FE5A68">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BB6C23">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69D4E2F">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87EFAE3">
            <w:pPr>
              <w:jc w:val="center"/>
              <w:rPr>
                <w:rFonts w:hint="eastAsia" w:ascii="宋体" w:hAnsi="宋体" w:eastAsia="宋体" w:cs="宋体"/>
                <w:i w:val="0"/>
                <w:iCs w:val="0"/>
                <w:color w:val="000000"/>
                <w:sz w:val="18"/>
                <w:szCs w:val="18"/>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462DAB">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DD317A">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9E9DEC">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D8DAE0">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63FF295">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06230F">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23499F">
            <w:pPr>
              <w:jc w:val="center"/>
              <w:rPr>
                <w:rFonts w:hint="eastAsia" w:ascii="宋体" w:hAnsi="宋体" w:eastAsia="宋体" w:cs="宋体"/>
                <w:i w:val="0"/>
                <w:iCs w:val="0"/>
                <w:color w:val="000000"/>
                <w:sz w:val="18"/>
                <w:szCs w:val="18"/>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BD0BF4">
            <w:pPr>
              <w:jc w:val="center"/>
              <w:rPr>
                <w:rFonts w:hint="eastAsia" w:ascii="宋体" w:hAnsi="宋体" w:eastAsia="宋体" w:cs="宋体"/>
                <w:i w:val="0"/>
                <w:iCs w:val="0"/>
                <w:color w:val="000000"/>
                <w:sz w:val="18"/>
                <w:szCs w:val="18"/>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FF2B9F">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5C6E9F">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1A9AE31">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B6D23D">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82395F">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5B7E47">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3E2E79">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4819AE">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CDC9DFB">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3F6768">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6CF91D">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E10A3E3">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867C80">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80E982">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D53B038">
            <w:pPr>
              <w:jc w:val="center"/>
              <w:rPr>
                <w:rFonts w:hint="eastAsia" w:ascii="宋体" w:hAnsi="宋体" w:eastAsia="宋体" w:cs="宋体"/>
                <w:i w:val="0"/>
                <w:iCs w:val="0"/>
                <w:color w:val="FF0000"/>
                <w:sz w:val="18"/>
                <w:szCs w:val="18"/>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53BBE8">
            <w:pPr>
              <w:jc w:val="center"/>
              <w:rPr>
                <w:rFonts w:hint="eastAsia" w:ascii="宋体" w:hAnsi="宋体" w:eastAsia="宋体" w:cs="宋体"/>
                <w:i w:val="0"/>
                <w:iCs w:val="0"/>
                <w:color w:val="FF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B0E2F1">
            <w:pPr>
              <w:jc w:val="center"/>
              <w:rPr>
                <w:rFonts w:hint="eastAsia" w:ascii="宋体" w:hAnsi="宋体" w:eastAsia="宋体" w:cs="宋体"/>
                <w:i w:val="0"/>
                <w:iCs w:val="0"/>
                <w:color w:val="FF0000"/>
                <w:sz w:val="18"/>
                <w:szCs w:val="18"/>
                <w:u w:val="none"/>
              </w:rPr>
            </w:pP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B1AB16">
            <w:pPr>
              <w:jc w:val="center"/>
              <w:rPr>
                <w:rFonts w:hint="eastAsia" w:ascii="宋体" w:hAnsi="宋体" w:eastAsia="宋体" w:cs="宋体"/>
                <w:i w:val="0"/>
                <w:iCs w:val="0"/>
                <w:color w:val="FF0000"/>
                <w:sz w:val="18"/>
                <w:szCs w:val="18"/>
                <w:u w:val="none"/>
              </w:rPr>
            </w:pPr>
          </w:p>
        </w:tc>
        <w:tc>
          <w:tcPr>
            <w:tcW w:w="4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B3177EC">
            <w:pPr>
              <w:jc w:val="center"/>
              <w:rPr>
                <w:rFonts w:hint="eastAsia" w:ascii="宋体" w:hAnsi="宋体" w:eastAsia="宋体" w:cs="宋体"/>
                <w:i w:val="0"/>
                <w:iCs w:val="0"/>
                <w:color w:val="FF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37D328">
            <w:pPr>
              <w:jc w:val="center"/>
              <w:rPr>
                <w:rFonts w:hint="eastAsia" w:ascii="宋体" w:hAnsi="宋体" w:eastAsia="宋体" w:cs="宋体"/>
                <w:i w:val="0"/>
                <w:iCs w:val="0"/>
                <w:color w:val="FF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93055F">
            <w:pPr>
              <w:jc w:val="center"/>
              <w:rPr>
                <w:rFonts w:hint="eastAsia" w:ascii="宋体" w:hAnsi="宋体" w:eastAsia="宋体" w:cs="宋体"/>
                <w:i w:val="0"/>
                <w:iCs w:val="0"/>
                <w:color w:val="FF0000"/>
                <w:sz w:val="18"/>
                <w:szCs w:val="18"/>
                <w:u w:val="none"/>
              </w:rPr>
            </w:pPr>
          </w:p>
        </w:tc>
      </w:tr>
      <w:tr w14:paraId="459F0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5" w:hRule="atLeast"/>
          <w:jc w:val="center"/>
        </w:trPr>
        <w:tc>
          <w:tcPr>
            <w:tcW w:w="30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7E16A5">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AB5E5AA">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34A70A">
            <w:pPr>
              <w:jc w:val="center"/>
              <w:rPr>
                <w:rFonts w:hint="eastAsia" w:ascii="宋体" w:hAnsi="宋体" w:eastAsia="宋体" w:cs="宋体"/>
                <w:i w:val="0"/>
                <w:iCs w:val="0"/>
                <w:color w:val="FF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78042C5">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9923DF">
            <w:pPr>
              <w:jc w:val="center"/>
              <w:rPr>
                <w:rFonts w:hint="eastAsia" w:ascii="宋体" w:hAnsi="宋体" w:eastAsia="宋体" w:cs="宋体"/>
                <w:i w:val="0"/>
                <w:iCs w:val="0"/>
                <w:color w:val="000000"/>
                <w:sz w:val="18"/>
                <w:szCs w:val="18"/>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55F772">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F5E9B7">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2CC22C">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F2A3B8">
            <w:pPr>
              <w:jc w:val="center"/>
              <w:rPr>
                <w:rFonts w:hint="eastAsia" w:ascii="宋体" w:hAnsi="宋体" w:eastAsia="宋体" w:cs="宋体"/>
                <w:i w:val="0"/>
                <w:iCs w:val="0"/>
                <w:color w:val="000000"/>
                <w:sz w:val="18"/>
                <w:szCs w:val="18"/>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8C749B">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94EA20">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2C3DCF">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8E923A4">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F7406F">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A377BB">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751D47">
            <w:pPr>
              <w:jc w:val="center"/>
              <w:rPr>
                <w:rFonts w:hint="eastAsia" w:ascii="宋体" w:hAnsi="宋体" w:eastAsia="宋体" w:cs="宋体"/>
                <w:i w:val="0"/>
                <w:iCs w:val="0"/>
                <w:color w:val="000000"/>
                <w:sz w:val="18"/>
                <w:szCs w:val="18"/>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B38064">
            <w:pPr>
              <w:jc w:val="center"/>
              <w:rPr>
                <w:rFonts w:hint="eastAsia" w:ascii="宋体" w:hAnsi="宋体" w:eastAsia="宋体" w:cs="宋体"/>
                <w:i w:val="0"/>
                <w:iCs w:val="0"/>
                <w:color w:val="FF0000"/>
                <w:sz w:val="18"/>
                <w:szCs w:val="18"/>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61015D">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58D322">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CBBE9D">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2C6B1A">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5DD5A9">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037C66C">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829093">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8F79630">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8DBA294">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C12E4F">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C0DCAE">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430B5A">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3DD0AE">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FA138D">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B173E1D">
            <w:pPr>
              <w:jc w:val="center"/>
              <w:rPr>
                <w:rFonts w:hint="eastAsia" w:ascii="宋体" w:hAnsi="宋体" w:eastAsia="宋体" w:cs="宋体"/>
                <w:i w:val="0"/>
                <w:iCs w:val="0"/>
                <w:color w:val="FF0000"/>
                <w:sz w:val="18"/>
                <w:szCs w:val="18"/>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9FBC8F">
            <w:pPr>
              <w:jc w:val="center"/>
              <w:rPr>
                <w:rFonts w:hint="eastAsia" w:ascii="宋体" w:hAnsi="宋体" w:eastAsia="宋体" w:cs="宋体"/>
                <w:i w:val="0"/>
                <w:iCs w:val="0"/>
                <w:color w:val="FF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B533442">
            <w:pPr>
              <w:jc w:val="center"/>
              <w:rPr>
                <w:rFonts w:hint="eastAsia" w:ascii="宋体" w:hAnsi="宋体" w:eastAsia="宋体" w:cs="宋体"/>
                <w:i w:val="0"/>
                <w:iCs w:val="0"/>
                <w:color w:val="FF0000"/>
                <w:sz w:val="18"/>
                <w:szCs w:val="18"/>
                <w:u w:val="none"/>
              </w:rPr>
            </w:pP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8B4DD9D">
            <w:pPr>
              <w:jc w:val="center"/>
              <w:rPr>
                <w:rFonts w:hint="eastAsia" w:ascii="宋体" w:hAnsi="宋体" w:eastAsia="宋体" w:cs="宋体"/>
                <w:i w:val="0"/>
                <w:iCs w:val="0"/>
                <w:color w:val="FF0000"/>
                <w:sz w:val="18"/>
                <w:szCs w:val="18"/>
                <w:u w:val="none"/>
              </w:rPr>
            </w:pPr>
          </w:p>
        </w:tc>
        <w:tc>
          <w:tcPr>
            <w:tcW w:w="4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A42D235">
            <w:pPr>
              <w:jc w:val="center"/>
              <w:rPr>
                <w:rFonts w:hint="eastAsia" w:ascii="宋体" w:hAnsi="宋体" w:eastAsia="宋体" w:cs="宋体"/>
                <w:i w:val="0"/>
                <w:iCs w:val="0"/>
                <w:color w:val="FF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1ED3153">
            <w:pPr>
              <w:jc w:val="center"/>
              <w:rPr>
                <w:rFonts w:hint="eastAsia" w:ascii="宋体" w:hAnsi="宋体" w:eastAsia="宋体" w:cs="宋体"/>
                <w:i w:val="0"/>
                <w:iCs w:val="0"/>
                <w:color w:val="FF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F666B0">
            <w:pPr>
              <w:jc w:val="center"/>
              <w:rPr>
                <w:rFonts w:hint="eastAsia" w:ascii="宋体" w:hAnsi="宋体" w:eastAsia="宋体" w:cs="宋体"/>
                <w:i w:val="0"/>
                <w:iCs w:val="0"/>
                <w:color w:val="FF0000"/>
                <w:sz w:val="18"/>
                <w:szCs w:val="18"/>
                <w:u w:val="none"/>
              </w:rPr>
            </w:pPr>
          </w:p>
        </w:tc>
      </w:tr>
      <w:tr w14:paraId="453D6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2" w:hRule="atLeast"/>
          <w:jc w:val="center"/>
        </w:trPr>
        <w:tc>
          <w:tcPr>
            <w:tcW w:w="3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047FD">
            <w:pPr>
              <w:keepNext w:val="0"/>
              <w:keepLines w:val="0"/>
              <w:widowControl/>
              <w:suppressLineNumbers w:val="0"/>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合计</w:t>
            </w: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CE70AA">
            <w:pPr>
              <w:jc w:val="center"/>
              <w:rPr>
                <w:rFonts w:hint="eastAsia" w:ascii="宋体" w:hAnsi="宋体" w:eastAsia="宋体" w:cs="宋体"/>
                <w:i w:val="0"/>
                <w:iCs w:val="0"/>
                <w:color w:val="FF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8CAD13">
            <w:pPr>
              <w:jc w:val="center"/>
              <w:rPr>
                <w:rFonts w:hint="eastAsia" w:ascii="宋体" w:hAnsi="宋体" w:eastAsia="宋体" w:cs="宋体"/>
                <w:i w:val="0"/>
                <w:iCs w:val="0"/>
                <w:color w:val="FF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1EF35C">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8FF43B3">
            <w:pPr>
              <w:jc w:val="center"/>
              <w:rPr>
                <w:rFonts w:hint="eastAsia" w:ascii="宋体" w:hAnsi="宋体" w:eastAsia="宋体" w:cs="宋体"/>
                <w:i w:val="0"/>
                <w:iCs w:val="0"/>
                <w:color w:val="FF0000"/>
                <w:sz w:val="18"/>
                <w:szCs w:val="18"/>
                <w:u w:val="none"/>
              </w:rPr>
            </w:pPr>
          </w:p>
        </w:tc>
        <w:tc>
          <w:tcPr>
            <w:tcW w:w="28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BB9596D">
            <w:pPr>
              <w:jc w:val="center"/>
              <w:rPr>
                <w:rFonts w:hint="eastAsia" w:ascii="宋体" w:hAnsi="宋体" w:eastAsia="宋体" w:cs="宋体"/>
                <w:i w:val="0"/>
                <w:iCs w:val="0"/>
                <w:color w:val="FF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A0222AD">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9B9011">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5592596">
            <w:pPr>
              <w:jc w:val="center"/>
              <w:rPr>
                <w:rFonts w:hint="eastAsia" w:ascii="宋体" w:hAnsi="宋体" w:eastAsia="宋体" w:cs="宋体"/>
                <w:i w:val="0"/>
                <w:iCs w:val="0"/>
                <w:color w:val="000000"/>
                <w:sz w:val="18"/>
                <w:szCs w:val="18"/>
                <w:u w:val="none"/>
              </w:rPr>
            </w:pPr>
          </w:p>
        </w:tc>
        <w:tc>
          <w:tcPr>
            <w:tcW w:w="3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F11A8C9">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7639FC">
            <w:pPr>
              <w:jc w:val="center"/>
              <w:rPr>
                <w:rFonts w:hint="eastAsia" w:ascii="宋体" w:hAnsi="宋体" w:eastAsia="宋体" w:cs="宋体"/>
                <w:i w:val="0"/>
                <w:iCs w:val="0"/>
                <w:color w:val="FF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0F0429">
            <w:pPr>
              <w:jc w:val="center"/>
              <w:rPr>
                <w:rFonts w:hint="eastAsia" w:ascii="宋体" w:hAnsi="宋体" w:eastAsia="宋体" w:cs="宋体"/>
                <w:i w:val="0"/>
                <w:iCs w:val="0"/>
                <w:color w:val="FF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96247CF">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7B89F2">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AD580B9">
            <w:pPr>
              <w:jc w:val="center"/>
              <w:rPr>
                <w:rFonts w:hint="eastAsia" w:ascii="宋体" w:hAnsi="宋体" w:eastAsia="宋体" w:cs="宋体"/>
                <w:i w:val="0"/>
                <w:iCs w:val="0"/>
                <w:color w:val="000000"/>
                <w:sz w:val="18"/>
                <w:szCs w:val="18"/>
                <w:u w:val="none"/>
              </w:rPr>
            </w:pPr>
          </w:p>
        </w:tc>
        <w:tc>
          <w:tcPr>
            <w:tcW w:w="2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075070">
            <w:pPr>
              <w:jc w:val="center"/>
              <w:rPr>
                <w:rFonts w:hint="eastAsia" w:ascii="宋体" w:hAnsi="宋体" w:eastAsia="宋体" w:cs="宋体"/>
                <w:i w:val="0"/>
                <w:iCs w:val="0"/>
                <w:color w:val="000000"/>
                <w:sz w:val="18"/>
                <w:szCs w:val="18"/>
                <w:u w:val="none"/>
              </w:rPr>
            </w:pPr>
          </w:p>
        </w:tc>
        <w:tc>
          <w:tcPr>
            <w:tcW w:w="4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1A22559">
            <w:pPr>
              <w:jc w:val="center"/>
              <w:rPr>
                <w:rFonts w:hint="eastAsia" w:ascii="宋体" w:hAnsi="宋体" w:eastAsia="宋体" w:cs="宋体"/>
                <w:i w:val="0"/>
                <w:iCs w:val="0"/>
                <w:color w:val="000000"/>
                <w:sz w:val="18"/>
                <w:szCs w:val="18"/>
                <w:u w:val="none"/>
              </w:rPr>
            </w:pP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D956459">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6F1C7A">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16861A2">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4016CBAF">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67D51E">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ACCD3C7">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03A5B6">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33470223">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750FCE7">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1A46A3">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20D4105">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82A6A4">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635102">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2FB3FC">
            <w:pPr>
              <w:jc w:val="center"/>
              <w:rPr>
                <w:rFonts w:hint="eastAsia" w:ascii="宋体" w:hAnsi="宋体" w:eastAsia="宋体" w:cs="宋体"/>
                <w:i w:val="0"/>
                <w:iCs w:val="0"/>
                <w:color w:val="000000"/>
                <w:sz w:val="18"/>
                <w:szCs w:val="18"/>
                <w:u w:val="none"/>
              </w:rPr>
            </w:pPr>
          </w:p>
        </w:tc>
        <w:tc>
          <w:tcPr>
            <w:tcW w:w="353"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BD3320">
            <w:pPr>
              <w:jc w:val="center"/>
              <w:rPr>
                <w:rFonts w:hint="eastAsia" w:ascii="宋体" w:hAnsi="宋体" w:eastAsia="宋体" w:cs="宋体"/>
                <w:i w:val="0"/>
                <w:iCs w:val="0"/>
                <w:color w:val="000000"/>
                <w:sz w:val="18"/>
                <w:szCs w:val="18"/>
                <w:u w:val="none"/>
              </w:rPr>
            </w:pPr>
          </w:p>
        </w:tc>
        <w:tc>
          <w:tcPr>
            <w:tcW w:w="4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86E26B">
            <w:pPr>
              <w:jc w:val="center"/>
              <w:rPr>
                <w:rFonts w:hint="eastAsia" w:ascii="宋体" w:hAnsi="宋体" w:eastAsia="宋体" w:cs="宋体"/>
                <w:i w:val="0"/>
                <w:iCs w:val="0"/>
                <w:color w:val="000000"/>
                <w:sz w:val="18"/>
                <w:szCs w:val="18"/>
                <w:u w:val="none"/>
              </w:rPr>
            </w:pP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F8B5A7">
            <w:pPr>
              <w:jc w:val="center"/>
              <w:rPr>
                <w:rFonts w:hint="eastAsia" w:ascii="宋体" w:hAnsi="宋体" w:eastAsia="宋体" w:cs="宋体"/>
                <w:i w:val="0"/>
                <w:iCs w:val="0"/>
                <w:color w:val="000000"/>
                <w:sz w:val="18"/>
                <w:szCs w:val="18"/>
                <w:u w:val="none"/>
              </w:rPr>
            </w:pPr>
          </w:p>
        </w:tc>
        <w:tc>
          <w:tcPr>
            <w:tcW w:w="471"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87DA64">
            <w:pPr>
              <w:jc w:val="center"/>
              <w:rPr>
                <w:rFonts w:hint="eastAsia" w:ascii="宋体" w:hAnsi="宋体" w:eastAsia="宋体" w:cs="宋体"/>
                <w:i w:val="0"/>
                <w:iCs w:val="0"/>
                <w:color w:val="000000"/>
                <w:sz w:val="18"/>
                <w:szCs w:val="18"/>
                <w:u w:val="none"/>
              </w:rPr>
            </w:pPr>
          </w:p>
        </w:tc>
        <w:tc>
          <w:tcPr>
            <w:tcW w:w="45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4D92C0">
            <w:pPr>
              <w:jc w:val="center"/>
              <w:rPr>
                <w:rFonts w:hint="eastAsia" w:ascii="宋体" w:hAnsi="宋体" w:eastAsia="宋体" w:cs="宋体"/>
                <w:i w:val="0"/>
                <w:iCs w:val="0"/>
                <w:color w:val="000000"/>
                <w:sz w:val="18"/>
                <w:szCs w:val="18"/>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0E0BB63">
            <w:pPr>
              <w:jc w:val="center"/>
              <w:rPr>
                <w:rFonts w:hint="eastAsia" w:ascii="宋体" w:hAnsi="宋体" w:eastAsia="宋体" w:cs="宋体"/>
                <w:i w:val="0"/>
                <w:iCs w:val="0"/>
                <w:color w:val="000000"/>
                <w:sz w:val="18"/>
                <w:szCs w:val="18"/>
                <w:u w:val="none"/>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3B8743">
            <w:pPr>
              <w:jc w:val="center"/>
              <w:rPr>
                <w:rFonts w:hint="eastAsia" w:ascii="宋体" w:hAnsi="宋体" w:eastAsia="宋体" w:cs="宋体"/>
                <w:i w:val="0"/>
                <w:iCs w:val="0"/>
                <w:color w:val="000000"/>
                <w:sz w:val="18"/>
                <w:szCs w:val="18"/>
                <w:u w:val="none"/>
              </w:rPr>
            </w:pPr>
          </w:p>
        </w:tc>
      </w:tr>
    </w:tbl>
    <w:p w14:paraId="2F0AB8E4">
      <w:pPr>
        <w:pStyle w:val="138"/>
        <w:rPr>
          <w:rFonts w:hint="eastAsia"/>
          <w:highlight w:val="none"/>
        </w:rPr>
        <w:sectPr>
          <w:pgSz w:w="16838" w:h="11906" w:orient="landscape"/>
          <w:pgMar w:top="1134" w:right="1928" w:bottom="1134" w:left="1134" w:header="1418" w:footer="1134" w:gutter="284"/>
          <w:pgNumType w:fmt="decimal"/>
          <w:cols w:space="425" w:num="1"/>
          <w:formProt w:val="0"/>
          <w:docGrid w:type="lines" w:linePitch="312" w:charSpace="0"/>
        </w:sectPr>
      </w:pPr>
    </w:p>
    <w:p w14:paraId="5BDA4E5A">
      <w:pPr>
        <w:pStyle w:val="154"/>
        <w:keepNext w:val="0"/>
        <w:keepLines w:val="0"/>
        <w:pageBreakBefore w:val="0"/>
        <w:widowControl/>
        <w:kinsoku/>
        <w:wordWrap/>
        <w:overflowPunct/>
        <w:topLinePunct w:val="0"/>
        <w:autoSpaceDE/>
        <w:autoSpaceDN/>
        <w:bidi w:val="0"/>
        <w:adjustRightInd/>
        <w:snapToGrid/>
        <w:spacing w:before="0" w:after="0" w:afterLines="0"/>
        <w:jc w:val="center"/>
        <w:textAlignment w:val="auto"/>
        <w:rPr>
          <w:rFonts w:hint="eastAsia"/>
          <w:highlight w:val="none"/>
          <w:lang w:val="en-US" w:eastAsia="zh-CN"/>
        </w:rPr>
      </w:pPr>
      <w:bookmarkStart w:id="144" w:name="_Toc4530"/>
      <w:bookmarkEnd w:id="144"/>
      <w:bookmarkStart w:id="145" w:name="_Toc2944"/>
      <w:bookmarkEnd w:id="145"/>
    </w:p>
    <w:p w14:paraId="6478320A">
      <w:pPr>
        <w:pStyle w:val="154"/>
        <w:keepNext w:val="0"/>
        <w:keepLines w:val="0"/>
        <w:pageBreakBefore w:val="0"/>
        <w:widowControl/>
        <w:numPr>
          <w:ilvl w:val="0"/>
          <w:numId w:val="0"/>
        </w:numPr>
        <w:shd w:val="clear" w:color="FFFFFF" w:fill="FFFFFF"/>
        <w:kinsoku/>
        <w:wordWrap/>
        <w:overflowPunct/>
        <w:topLinePunct w:val="0"/>
        <w:autoSpaceDE/>
        <w:autoSpaceDN/>
        <w:bidi w:val="0"/>
        <w:adjustRightInd/>
        <w:snapToGrid/>
        <w:spacing w:before="0" w:after="0" w:afterLines="0"/>
        <w:ind w:leftChars="0"/>
        <w:jc w:val="center"/>
        <w:textAlignment w:val="auto"/>
        <w:rPr>
          <w:rFonts w:hint="eastAsia"/>
          <w:highlight w:val="none"/>
          <w:lang w:val="en-US" w:eastAsia="zh-CN"/>
        </w:rPr>
      </w:pPr>
      <w:bookmarkStart w:id="146" w:name="_Toc2089"/>
      <w:bookmarkStart w:id="147" w:name="_Toc4153"/>
      <w:bookmarkStart w:id="148" w:name="_Toc31512"/>
      <w:r>
        <w:rPr>
          <w:rFonts w:hint="eastAsia"/>
          <w:highlight w:val="none"/>
          <w:lang w:val="en-US" w:eastAsia="zh-CN"/>
        </w:rPr>
        <w:t>（资料性）</w:t>
      </w:r>
      <w:bookmarkEnd w:id="146"/>
      <w:bookmarkEnd w:id="147"/>
      <w:bookmarkEnd w:id="148"/>
    </w:p>
    <w:p w14:paraId="0685CA99">
      <w:pPr>
        <w:pStyle w:val="154"/>
        <w:keepNext w:val="0"/>
        <w:keepLines w:val="0"/>
        <w:pageBreakBefore w:val="0"/>
        <w:widowControl/>
        <w:numPr>
          <w:ilvl w:val="0"/>
          <w:numId w:val="0"/>
        </w:numPr>
        <w:shd w:val="clear" w:color="FFFFFF" w:fill="FFFFFF"/>
        <w:kinsoku/>
        <w:wordWrap/>
        <w:overflowPunct/>
        <w:topLinePunct w:val="0"/>
        <w:autoSpaceDE/>
        <w:autoSpaceDN/>
        <w:bidi w:val="0"/>
        <w:adjustRightInd/>
        <w:snapToGrid/>
        <w:spacing w:before="0" w:after="0" w:afterLines="0"/>
        <w:ind w:leftChars="0"/>
        <w:jc w:val="center"/>
        <w:textAlignment w:val="auto"/>
        <w:rPr>
          <w:rFonts w:hint="eastAsia"/>
          <w:highlight w:val="none"/>
          <w:lang w:val="en-US" w:eastAsia="zh-CN"/>
        </w:rPr>
      </w:pPr>
      <w:bookmarkStart w:id="149" w:name="_Toc28529"/>
      <w:bookmarkStart w:id="150" w:name="_Toc30989"/>
      <w:bookmarkStart w:id="151" w:name="_Toc15328"/>
      <w:r>
        <w:rPr>
          <w:rFonts w:hint="eastAsia"/>
          <w:highlight w:val="none"/>
          <w:lang w:val="en-US" w:eastAsia="zh-CN"/>
        </w:rPr>
        <w:t>指标定义</w:t>
      </w:r>
      <w:bookmarkEnd w:id="149"/>
      <w:bookmarkEnd w:id="150"/>
      <w:bookmarkEnd w:id="151"/>
    </w:p>
    <w:p w14:paraId="70658779">
      <w:pPr>
        <w:pStyle w:val="103"/>
        <w:bidi w:val="0"/>
        <w:rPr>
          <w:rFonts w:hint="default"/>
          <w:highlight w:val="none"/>
          <w:lang w:val="en-US" w:eastAsia="zh-CN"/>
        </w:rPr>
      </w:pPr>
      <w:r>
        <w:rPr>
          <w:rFonts w:hint="eastAsia"/>
          <w:highlight w:val="none"/>
          <w:lang w:val="en-US" w:eastAsia="zh-CN"/>
        </w:rPr>
        <w:t>产业园区土地集约利用评价指标定义</w:t>
      </w:r>
    </w:p>
    <w:p w14:paraId="557ACF59">
      <w:pPr>
        <w:pStyle w:val="105"/>
        <w:bidi w:val="0"/>
        <w:rPr>
          <w:rFonts w:hint="default"/>
          <w:highlight w:val="none"/>
          <w:lang w:val="en-US" w:eastAsia="zh-CN"/>
        </w:rPr>
      </w:pPr>
      <w:r>
        <w:rPr>
          <w:rFonts w:hint="default"/>
          <w:highlight w:val="none"/>
          <w:lang w:val="en-US" w:eastAsia="zh-CN"/>
        </w:rPr>
        <w:t>主导产业用地占比</w:t>
      </w:r>
      <w:r>
        <w:rPr>
          <w:rFonts w:hint="eastAsia"/>
          <w:highlight w:val="none"/>
          <w:lang w:val="en-US" w:eastAsia="zh-CN"/>
        </w:rPr>
        <w:t>是指</w:t>
      </w:r>
      <w:r>
        <w:rPr>
          <w:rFonts w:hint="default"/>
          <w:highlight w:val="none"/>
          <w:lang w:val="en-US" w:eastAsia="zh-CN"/>
        </w:rPr>
        <w:t>已建成工矿仓储用地中符合主导产业定位的企业用地面积与已建成工矿仓储用地面积之比，无量纲，数值以%表示。反映产业园区产业集中度，属正向相关指标。</w:t>
      </w:r>
    </w:p>
    <w:p w14:paraId="1F277C77">
      <w:pPr>
        <w:pStyle w:val="105"/>
        <w:tabs>
          <w:tab w:val="left" w:pos="360"/>
        </w:tabs>
        <w:bidi w:val="0"/>
        <w:rPr>
          <w:rFonts w:hint="default"/>
          <w:highlight w:val="none"/>
          <w:lang w:val="en-US" w:eastAsia="zh-CN"/>
        </w:rPr>
      </w:pPr>
      <w:r>
        <w:rPr>
          <w:rFonts w:hint="default"/>
          <w:highlight w:val="none"/>
          <w:lang w:val="en-US" w:eastAsia="zh-CN"/>
        </w:rPr>
        <w:t>规上企业用地占比</w:t>
      </w:r>
      <w:r>
        <w:rPr>
          <w:rFonts w:hint="eastAsia"/>
          <w:highlight w:val="none"/>
          <w:lang w:val="en-US" w:eastAsia="zh-CN"/>
        </w:rPr>
        <w:t>是指</w:t>
      </w:r>
      <w:r>
        <w:rPr>
          <w:rFonts w:hint="default"/>
          <w:highlight w:val="none"/>
          <w:lang w:val="en-US" w:eastAsia="zh-CN"/>
        </w:rPr>
        <w:t>已建成工矿仓储用地中规模以上工业企业用地面积与已建成工矿仓储用地面积之比，无量纲，数值以%表示。反映产业园区规上企业用地规模，属正向相关指标。</w:t>
      </w:r>
    </w:p>
    <w:p w14:paraId="777C2E83">
      <w:pPr>
        <w:pStyle w:val="105"/>
        <w:tabs>
          <w:tab w:val="left" w:pos="360"/>
        </w:tabs>
        <w:bidi w:val="0"/>
        <w:rPr>
          <w:rFonts w:hint="default"/>
          <w:highlight w:val="none"/>
          <w:lang w:val="en-US" w:eastAsia="zh-CN"/>
        </w:rPr>
      </w:pPr>
      <w:r>
        <w:rPr>
          <w:rFonts w:hint="default"/>
          <w:highlight w:val="none"/>
          <w:lang w:val="en-US" w:eastAsia="zh-CN"/>
        </w:rPr>
        <w:t>工业用地多元化供应率</w:t>
      </w:r>
      <w:r>
        <w:rPr>
          <w:rFonts w:hint="eastAsia"/>
          <w:highlight w:val="none"/>
          <w:lang w:val="en-US" w:eastAsia="zh-CN"/>
        </w:rPr>
        <w:t>是指</w:t>
      </w:r>
      <w:r>
        <w:rPr>
          <w:rFonts w:hint="default"/>
          <w:highlight w:val="none"/>
          <w:lang w:val="en-US" w:eastAsia="zh-CN"/>
        </w:rPr>
        <w:t>已建成城镇建设用地范围内采取多元化方式供应的工矿仓储用地总面积与已供应的工矿仓储用地总面积之比，无量纲，数值以%表示。反映产业园区多元化供地降低企业成本、节约土地资源情况，属正向相关指标。</w:t>
      </w:r>
    </w:p>
    <w:p w14:paraId="1A544049">
      <w:pPr>
        <w:pStyle w:val="105"/>
        <w:tabs>
          <w:tab w:val="left" w:pos="360"/>
        </w:tabs>
        <w:bidi w:val="0"/>
        <w:rPr>
          <w:rFonts w:hint="default"/>
          <w:highlight w:val="none"/>
          <w:lang w:val="en-US" w:eastAsia="zh-CN"/>
        </w:rPr>
      </w:pPr>
      <w:r>
        <w:rPr>
          <w:rFonts w:hint="default"/>
          <w:highlight w:val="none"/>
          <w:lang w:val="en-US" w:eastAsia="zh-CN"/>
        </w:rPr>
        <w:t>新建工业用地综合容积率</w:t>
      </w:r>
      <w:r>
        <w:rPr>
          <w:rFonts w:hint="eastAsia"/>
          <w:highlight w:val="none"/>
          <w:lang w:val="en-US" w:eastAsia="zh-CN"/>
        </w:rPr>
        <w:t>是指</w:t>
      </w:r>
      <w:r>
        <w:rPr>
          <w:rFonts w:hint="default"/>
          <w:highlight w:val="none"/>
          <w:lang w:val="en-US" w:eastAsia="zh-CN"/>
        </w:rPr>
        <w:t>已建成城镇建设用地范围内评价时点年度新增工矿仓储用地上的总建筑面积与新增工矿仓储用地面积之比，无量纲。反映产业园区新建成工矿仓储用地的综合利用强度，属正向相关指标。</w:t>
      </w:r>
    </w:p>
    <w:p w14:paraId="366DFDDE">
      <w:pPr>
        <w:pStyle w:val="105"/>
        <w:tabs>
          <w:tab w:val="left" w:pos="360"/>
        </w:tabs>
        <w:bidi w:val="0"/>
        <w:rPr>
          <w:rFonts w:hint="default"/>
          <w:highlight w:val="none"/>
          <w:lang w:val="en-US" w:eastAsia="zh-CN"/>
        </w:rPr>
      </w:pPr>
      <w:r>
        <w:rPr>
          <w:rFonts w:hint="default"/>
          <w:highlight w:val="none"/>
          <w:lang w:val="en-US" w:eastAsia="zh-CN"/>
        </w:rPr>
        <w:t>新建工业用地建筑系数</w:t>
      </w:r>
      <w:r>
        <w:rPr>
          <w:rFonts w:hint="eastAsia"/>
          <w:highlight w:val="none"/>
          <w:lang w:val="en-US" w:eastAsia="zh-CN"/>
        </w:rPr>
        <w:t>是指</w:t>
      </w:r>
      <w:r>
        <w:rPr>
          <w:rFonts w:hint="default"/>
          <w:highlight w:val="none"/>
          <w:lang w:val="en-US" w:eastAsia="zh-CN"/>
        </w:rPr>
        <w:t>已建成城镇建设用地范围内评价时点年度新增工矿仓储用地上的建筑物构筑物基底面积、露天堆场和露天操作场地的总面积与新增工矿仓储用地面积之比，无量纲，数值以%表示。反映产业园区新建成工矿仓储用地的平面利用状况，属正向相关指标。</w:t>
      </w:r>
    </w:p>
    <w:p w14:paraId="777F141D">
      <w:pPr>
        <w:pStyle w:val="105"/>
        <w:tabs>
          <w:tab w:val="left" w:pos="360"/>
        </w:tabs>
        <w:bidi w:val="0"/>
        <w:rPr>
          <w:rFonts w:hint="default"/>
          <w:highlight w:val="none"/>
          <w:lang w:val="en-US" w:eastAsia="zh-CN"/>
        </w:rPr>
      </w:pPr>
      <w:r>
        <w:rPr>
          <w:rFonts w:hint="default"/>
          <w:highlight w:val="none"/>
          <w:lang w:val="en-US" w:eastAsia="zh-CN"/>
        </w:rPr>
        <w:t>新建工业用地固定资产投入强度</w:t>
      </w:r>
      <w:r>
        <w:rPr>
          <w:rFonts w:hint="eastAsia"/>
          <w:highlight w:val="none"/>
          <w:lang w:val="en-US" w:eastAsia="zh-CN"/>
        </w:rPr>
        <w:t>是指</w:t>
      </w:r>
      <w:r>
        <w:rPr>
          <w:rFonts w:hint="default"/>
          <w:highlight w:val="none"/>
          <w:lang w:val="en-US" w:eastAsia="zh-CN"/>
        </w:rPr>
        <w:t>已建成城镇建设用地范围内评价时点年度新增工矿仓储用地上的固定资产投资总额与新增工矿仓储用地面积之比，单位为万元/</w:t>
      </w:r>
      <w:r>
        <w:rPr>
          <w:rFonts w:hint="eastAsia"/>
          <w:highlight w:val="none"/>
          <w:lang w:val="en-US" w:eastAsia="zh-CN"/>
        </w:rPr>
        <w:t>公顷</w:t>
      </w:r>
      <w:r>
        <w:rPr>
          <w:rFonts w:hint="default"/>
          <w:highlight w:val="none"/>
          <w:lang w:val="en-US" w:eastAsia="zh-CN"/>
        </w:rPr>
        <w:t>。反映产业园区新建成工矿仓储用地的投入强度，属正向相关指标。</w:t>
      </w:r>
    </w:p>
    <w:p w14:paraId="2BAAE92E">
      <w:pPr>
        <w:pStyle w:val="105"/>
        <w:tabs>
          <w:tab w:val="left" w:pos="360"/>
        </w:tabs>
        <w:bidi w:val="0"/>
        <w:rPr>
          <w:rFonts w:hint="default"/>
          <w:highlight w:val="none"/>
          <w:lang w:val="en-US" w:eastAsia="zh-CN"/>
        </w:rPr>
      </w:pPr>
      <w:r>
        <w:rPr>
          <w:rFonts w:hint="default"/>
          <w:highlight w:val="none"/>
          <w:lang w:val="en-US" w:eastAsia="zh-CN"/>
        </w:rPr>
        <w:t>单位</w:t>
      </w:r>
      <w:r>
        <w:rPr>
          <w:rFonts w:hint="eastAsia"/>
          <w:highlight w:val="none"/>
          <w:lang w:val="en-US" w:eastAsia="zh-CN"/>
        </w:rPr>
        <w:t>面积</w:t>
      </w:r>
      <w:r>
        <w:rPr>
          <w:rFonts w:hint="default"/>
          <w:highlight w:val="none"/>
          <w:lang w:val="en-US" w:eastAsia="zh-CN"/>
        </w:rPr>
        <w:t>地区生产总值产出强度</w:t>
      </w:r>
      <w:r>
        <w:rPr>
          <w:rFonts w:hint="eastAsia"/>
          <w:highlight w:val="none"/>
          <w:lang w:val="en-US" w:eastAsia="zh-CN"/>
        </w:rPr>
        <w:t>是指</w:t>
      </w:r>
      <w:r>
        <w:rPr>
          <w:rFonts w:hint="default"/>
          <w:highlight w:val="none"/>
          <w:lang w:val="en-US" w:eastAsia="zh-CN"/>
        </w:rPr>
        <w:t>评价时点年度的地区生产总值与管辖面积之比，单位为</w:t>
      </w:r>
      <w:r>
        <w:rPr>
          <w:rFonts w:hint="eastAsia"/>
          <w:highlight w:val="none"/>
          <w:lang w:val="en-US" w:eastAsia="zh-CN"/>
        </w:rPr>
        <w:t>万</w:t>
      </w:r>
      <w:r>
        <w:rPr>
          <w:rFonts w:hint="default"/>
          <w:highlight w:val="none"/>
          <w:lang w:val="en-US" w:eastAsia="zh-CN"/>
        </w:rPr>
        <w:t>元/</w:t>
      </w:r>
      <w:r>
        <w:rPr>
          <w:rFonts w:hint="eastAsia"/>
          <w:highlight w:val="none"/>
          <w:lang w:val="en-US" w:eastAsia="zh-CN"/>
        </w:rPr>
        <w:t>公顷</w:t>
      </w:r>
      <w:r>
        <w:rPr>
          <w:rFonts w:hint="default"/>
          <w:highlight w:val="none"/>
          <w:lang w:val="en-US" w:eastAsia="zh-CN"/>
        </w:rPr>
        <w:t>，反映土地产出效益状况，属正向相关指标。</w:t>
      </w:r>
    </w:p>
    <w:p w14:paraId="07D13640">
      <w:pPr>
        <w:pStyle w:val="105"/>
        <w:tabs>
          <w:tab w:val="left" w:pos="360"/>
        </w:tabs>
        <w:bidi w:val="0"/>
        <w:rPr>
          <w:rFonts w:hint="default"/>
          <w:highlight w:val="none"/>
          <w:lang w:val="en-US" w:eastAsia="zh-CN"/>
        </w:rPr>
      </w:pPr>
      <w:r>
        <w:rPr>
          <w:rFonts w:hint="default"/>
          <w:highlight w:val="none"/>
          <w:lang w:val="en-US" w:eastAsia="zh-CN"/>
        </w:rPr>
        <w:t>工业低效用地处置计划完成率</w:t>
      </w:r>
      <w:r>
        <w:rPr>
          <w:rFonts w:hint="eastAsia"/>
          <w:highlight w:val="none"/>
          <w:lang w:val="en-US" w:eastAsia="zh-CN"/>
        </w:rPr>
        <w:t>是指</w:t>
      </w:r>
      <w:r>
        <w:rPr>
          <w:rFonts w:hint="default"/>
          <w:highlight w:val="none"/>
          <w:lang w:val="en-US" w:eastAsia="zh-CN"/>
        </w:rPr>
        <w:t>评价时点年度实际已处置的低效工矿仓储用地面积与该年度实施计划拟</w:t>
      </w:r>
      <w:r>
        <w:rPr>
          <w:rFonts w:hint="eastAsia"/>
          <w:highlight w:val="none"/>
          <w:lang w:val="en-US" w:eastAsia="zh-CN"/>
        </w:rPr>
        <w:t>处置</w:t>
      </w:r>
      <w:r>
        <w:rPr>
          <w:rFonts w:hint="default"/>
          <w:highlight w:val="none"/>
          <w:lang w:val="en-US" w:eastAsia="zh-CN"/>
        </w:rPr>
        <w:t>的低效工矿仓储用地面积之比，无量纲，数值以%表示。反映产业园区低效用地处置情况，属正向相关指标。</w:t>
      </w:r>
    </w:p>
    <w:p w14:paraId="024906B7">
      <w:pPr>
        <w:pStyle w:val="105"/>
        <w:tabs>
          <w:tab w:val="left" w:pos="360"/>
        </w:tabs>
        <w:bidi w:val="0"/>
        <w:rPr>
          <w:rFonts w:hint="default"/>
          <w:highlight w:val="none"/>
          <w:lang w:val="en-US" w:eastAsia="zh-CN"/>
        </w:rPr>
      </w:pPr>
      <w:r>
        <w:rPr>
          <w:rFonts w:hint="default"/>
          <w:highlight w:val="none"/>
          <w:lang w:val="en-US" w:eastAsia="zh-CN"/>
        </w:rPr>
        <w:t>闲置土地净减少率</w:t>
      </w:r>
      <w:r>
        <w:rPr>
          <w:rFonts w:hint="eastAsia"/>
          <w:highlight w:val="none"/>
          <w:lang w:val="en-US" w:eastAsia="zh-CN"/>
        </w:rPr>
        <w:t>是指</w:t>
      </w:r>
      <w:r>
        <w:rPr>
          <w:rFonts w:hint="default"/>
          <w:highlight w:val="none"/>
          <w:lang w:val="en-US" w:eastAsia="zh-CN"/>
        </w:rPr>
        <w:t>评价时点年度实际已处置闲置土地面积减去新增闲置土地面积之后的面积与该年度闲置土地处置任务基数之比，无量纲，数值以%表示。反映产业园区闲置土地处置情况，属正向相关指标。</w:t>
      </w:r>
    </w:p>
    <w:p w14:paraId="19993D5E">
      <w:pPr>
        <w:pStyle w:val="105"/>
        <w:tabs>
          <w:tab w:val="left" w:pos="360"/>
        </w:tabs>
        <w:bidi w:val="0"/>
        <w:rPr>
          <w:rFonts w:hint="default"/>
          <w:highlight w:val="none"/>
          <w:lang w:val="en-US" w:eastAsia="zh-CN"/>
        </w:rPr>
      </w:pPr>
      <w:r>
        <w:rPr>
          <w:rFonts w:hint="default"/>
          <w:highlight w:val="none"/>
          <w:lang w:val="en-US" w:eastAsia="zh-CN"/>
        </w:rPr>
        <w:t>高新技术企业用地占比</w:t>
      </w:r>
      <w:r>
        <w:rPr>
          <w:rFonts w:hint="eastAsia"/>
          <w:highlight w:val="none"/>
          <w:lang w:val="en-US" w:eastAsia="zh-CN"/>
        </w:rPr>
        <w:t>是指</w:t>
      </w:r>
      <w:r>
        <w:rPr>
          <w:rFonts w:hint="default"/>
          <w:highlight w:val="none"/>
          <w:lang w:val="en-US" w:eastAsia="zh-CN"/>
        </w:rPr>
        <w:t>已建成工矿仓储用地中高新技术企业用地面积与已建成工矿仓储用地面积之比，无量纲，数值以%表示。反映产业园区高新技术企业集聚度，属正向相关指标。</w:t>
      </w:r>
    </w:p>
    <w:p w14:paraId="3627F87F">
      <w:pPr>
        <w:pStyle w:val="105"/>
        <w:tabs>
          <w:tab w:val="left" w:pos="360"/>
        </w:tabs>
        <w:bidi w:val="0"/>
        <w:rPr>
          <w:rFonts w:hint="default"/>
          <w:highlight w:val="none"/>
          <w:lang w:val="en-US" w:eastAsia="zh-CN"/>
        </w:rPr>
      </w:pPr>
      <w:r>
        <w:rPr>
          <w:rFonts w:hint="default"/>
          <w:highlight w:val="none"/>
          <w:lang w:val="en-US" w:eastAsia="zh-CN"/>
        </w:rPr>
        <w:t>新兴产业用地占比</w:t>
      </w:r>
      <w:r>
        <w:rPr>
          <w:rFonts w:hint="eastAsia"/>
          <w:highlight w:val="none"/>
          <w:lang w:val="en-US" w:eastAsia="zh-CN"/>
        </w:rPr>
        <w:t>是指</w:t>
      </w:r>
      <w:r>
        <w:rPr>
          <w:rFonts w:hint="default"/>
          <w:highlight w:val="none"/>
          <w:lang w:val="en-US" w:eastAsia="zh-CN"/>
        </w:rPr>
        <w:t>已建成工矿仓储用地中属战略性新兴产业的企业用地面积与已建成工矿仓储用地面积之比，无量纲，数值以%表示。反映产业园区新兴产业集聚度，属正向相关指标。</w:t>
      </w:r>
    </w:p>
    <w:p w14:paraId="5D6CB76A">
      <w:pPr>
        <w:pStyle w:val="105"/>
        <w:tabs>
          <w:tab w:val="left" w:pos="360"/>
        </w:tabs>
        <w:bidi w:val="0"/>
        <w:rPr>
          <w:rFonts w:hint="default"/>
          <w:highlight w:val="none"/>
          <w:lang w:val="en-US" w:eastAsia="zh-CN"/>
        </w:rPr>
      </w:pPr>
      <w:r>
        <w:rPr>
          <w:rFonts w:hint="default"/>
          <w:highlight w:val="none"/>
          <w:lang w:val="en-US" w:eastAsia="zh-CN"/>
        </w:rPr>
        <w:t>高新技术企业地均税收</w:t>
      </w:r>
      <w:r>
        <w:rPr>
          <w:rFonts w:hint="eastAsia"/>
          <w:highlight w:val="none"/>
          <w:lang w:val="en-US" w:eastAsia="zh-CN"/>
        </w:rPr>
        <w:t>是指</w:t>
      </w:r>
      <w:r>
        <w:rPr>
          <w:rFonts w:hint="default"/>
          <w:highlight w:val="none"/>
          <w:lang w:val="en-US" w:eastAsia="zh-CN"/>
        </w:rPr>
        <w:t>已建成工矿仓储用地上高新技术企业的税收总额与已建成工矿仓储用地面积之比，单位为万元/</w:t>
      </w:r>
      <w:r>
        <w:rPr>
          <w:rFonts w:hint="eastAsia"/>
          <w:highlight w:val="none"/>
          <w:lang w:val="en-US" w:eastAsia="zh-CN"/>
        </w:rPr>
        <w:t>公顷</w:t>
      </w:r>
      <w:r>
        <w:rPr>
          <w:rFonts w:hint="default"/>
          <w:highlight w:val="none"/>
          <w:lang w:val="en-US" w:eastAsia="zh-CN"/>
        </w:rPr>
        <w:t>。反映产业园区高新技术企业的地均产出效益，属正向相关指标。</w:t>
      </w:r>
    </w:p>
    <w:p w14:paraId="18C1310F">
      <w:pPr>
        <w:pStyle w:val="105"/>
        <w:tabs>
          <w:tab w:val="left" w:pos="360"/>
        </w:tabs>
        <w:bidi w:val="0"/>
        <w:rPr>
          <w:rFonts w:hint="default"/>
          <w:highlight w:val="none"/>
          <w:lang w:val="en-US" w:eastAsia="zh-CN"/>
        </w:rPr>
      </w:pPr>
      <w:r>
        <w:rPr>
          <w:rFonts w:hint="eastAsia"/>
          <w:highlight w:val="none"/>
          <w:lang w:val="en-US" w:eastAsia="zh-CN"/>
        </w:rPr>
        <w:t>单位面积</w:t>
      </w:r>
      <w:r>
        <w:rPr>
          <w:rFonts w:hint="default"/>
          <w:highlight w:val="none"/>
          <w:lang w:val="en-US" w:eastAsia="zh-CN"/>
        </w:rPr>
        <w:t>有效发明专利数</w:t>
      </w:r>
      <w:r>
        <w:rPr>
          <w:rFonts w:hint="eastAsia"/>
          <w:highlight w:val="none"/>
          <w:lang w:val="en-US" w:eastAsia="zh-CN"/>
        </w:rPr>
        <w:t>是指</w:t>
      </w:r>
      <w:r>
        <w:rPr>
          <w:rFonts w:hint="default"/>
          <w:highlight w:val="none"/>
          <w:lang w:val="en-US" w:eastAsia="zh-CN"/>
        </w:rPr>
        <w:t>截至评价时点年度期末，累计有效发明专利总数与已建成城镇建设用地面积之比，单位为个/</w:t>
      </w:r>
      <w:r>
        <w:rPr>
          <w:rFonts w:hint="eastAsia"/>
          <w:highlight w:val="none"/>
          <w:lang w:val="en-US" w:eastAsia="zh-CN"/>
        </w:rPr>
        <w:t>公顷</w:t>
      </w:r>
      <w:r>
        <w:rPr>
          <w:rFonts w:hint="default"/>
          <w:highlight w:val="none"/>
          <w:lang w:val="en-US" w:eastAsia="zh-CN"/>
        </w:rPr>
        <w:t>。反映产业园区高质量创新成果情况。</w:t>
      </w:r>
    </w:p>
    <w:p w14:paraId="50411DC3">
      <w:pPr>
        <w:pStyle w:val="105"/>
        <w:tabs>
          <w:tab w:val="left" w:pos="360"/>
        </w:tabs>
        <w:bidi w:val="0"/>
        <w:rPr>
          <w:rFonts w:hint="default"/>
          <w:highlight w:val="none"/>
          <w:lang w:val="en-US" w:eastAsia="zh-CN"/>
        </w:rPr>
      </w:pPr>
      <w:r>
        <w:rPr>
          <w:rFonts w:hint="eastAsia"/>
          <w:highlight w:val="none"/>
          <w:lang w:val="en-US" w:eastAsia="zh-CN"/>
        </w:rPr>
        <w:t>单位面积</w:t>
      </w:r>
      <w:r>
        <w:rPr>
          <w:rFonts w:hint="default"/>
          <w:highlight w:val="none"/>
          <w:lang w:val="en-US" w:eastAsia="zh-CN"/>
        </w:rPr>
        <w:t>当年发明专利授权数</w:t>
      </w:r>
      <w:r>
        <w:rPr>
          <w:rFonts w:hint="eastAsia"/>
          <w:highlight w:val="none"/>
          <w:lang w:val="en-US" w:eastAsia="zh-CN"/>
        </w:rPr>
        <w:t>是指</w:t>
      </w:r>
      <w:r>
        <w:rPr>
          <w:rFonts w:hint="default"/>
          <w:highlight w:val="none"/>
          <w:lang w:val="en-US" w:eastAsia="zh-CN"/>
        </w:rPr>
        <w:t>评价时点年度发明专利授权数与已建成城镇建设用地面积之比，单位为个/</w:t>
      </w:r>
      <w:r>
        <w:rPr>
          <w:rFonts w:hint="eastAsia"/>
          <w:highlight w:val="none"/>
          <w:lang w:val="en-US" w:eastAsia="zh-CN"/>
        </w:rPr>
        <w:t>公顷</w:t>
      </w:r>
      <w:r>
        <w:rPr>
          <w:rFonts w:hint="default"/>
          <w:highlight w:val="none"/>
          <w:lang w:val="en-US" w:eastAsia="zh-CN"/>
        </w:rPr>
        <w:t>。反映产业园区高质量创新成果的地均产出效率。</w:t>
      </w:r>
    </w:p>
    <w:p w14:paraId="3A83C306">
      <w:pPr>
        <w:pStyle w:val="105"/>
        <w:tabs>
          <w:tab w:val="left" w:pos="360"/>
        </w:tabs>
        <w:bidi w:val="0"/>
        <w:rPr>
          <w:rFonts w:hint="default"/>
          <w:highlight w:val="none"/>
          <w:lang w:val="en-US" w:eastAsia="zh-CN"/>
        </w:rPr>
      </w:pPr>
      <w:r>
        <w:rPr>
          <w:rFonts w:hint="default"/>
          <w:highlight w:val="none"/>
          <w:lang w:val="en-US" w:eastAsia="zh-CN"/>
        </w:rPr>
        <w:t>期末封闭围网面积开发率</w:t>
      </w:r>
      <w:r>
        <w:rPr>
          <w:rFonts w:hint="eastAsia"/>
          <w:highlight w:val="none"/>
          <w:lang w:val="en-US" w:eastAsia="zh-CN"/>
        </w:rPr>
        <w:t>是指</w:t>
      </w:r>
      <w:r>
        <w:rPr>
          <w:rFonts w:hint="default"/>
          <w:highlight w:val="none"/>
          <w:lang w:val="en-US" w:eastAsia="zh-CN"/>
        </w:rPr>
        <w:t>评价时点年度期末，已建成城镇建设用地面积占验收土地面积的比例，无量纲，数值以%表示。反映产业园区土地开发利用情况，属正向相关指标。</w:t>
      </w:r>
    </w:p>
    <w:p w14:paraId="09A9737B">
      <w:pPr>
        <w:pStyle w:val="105"/>
        <w:tabs>
          <w:tab w:val="left" w:pos="360"/>
        </w:tabs>
        <w:bidi w:val="0"/>
        <w:rPr>
          <w:rFonts w:hint="default"/>
          <w:highlight w:val="none"/>
          <w:lang w:val="en-US" w:eastAsia="zh-CN"/>
        </w:rPr>
      </w:pPr>
      <w:r>
        <w:rPr>
          <w:rFonts w:hint="default"/>
          <w:highlight w:val="none"/>
          <w:lang w:val="en-US" w:eastAsia="zh-CN"/>
        </w:rPr>
        <w:t>单位面积保税业务进出口值</w:t>
      </w:r>
      <w:r>
        <w:rPr>
          <w:rFonts w:hint="eastAsia"/>
          <w:highlight w:val="none"/>
          <w:lang w:val="en-US" w:eastAsia="zh-CN"/>
        </w:rPr>
        <w:t>是指</w:t>
      </w:r>
      <w:r>
        <w:rPr>
          <w:rFonts w:hint="default"/>
          <w:highlight w:val="none"/>
          <w:lang w:val="en-US" w:eastAsia="zh-CN"/>
        </w:rPr>
        <w:t>评价时点年度，保税业务进出口总值（当期）与国务院批准的规划面积之比，单位为</w:t>
      </w:r>
      <w:r>
        <w:rPr>
          <w:rFonts w:hint="eastAsia"/>
          <w:highlight w:val="none"/>
          <w:lang w:val="en-US" w:eastAsia="zh-CN"/>
        </w:rPr>
        <w:t>万元</w:t>
      </w:r>
      <w:r>
        <w:rPr>
          <w:rFonts w:hint="default"/>
          <w:highlight w:val="none"/>
          <w:lang w:val="en-US" w:eastAsia="zh-CN"/>
        </w:rPr>
        <w:t>/</w:t>
      </w:r>
      <w:r>
        <w:rPr>
          <w:rFonts w:hint="eastAsia"/>
          <w:highlight w:val="none"/>
          <w:lang w:val="en-US" w:eastAsia="zh-CN"/>
        </w:rPr>
        <w:t>公顷</w:t>
      </w:r>
      <w:r>
        <w:rPr>
          <w:rFonts w:hint="default"/>
          <w:highlight w:val="none"/>
          <w:lang w:val="en-US" w:eastAsia="zh-CN"/>
        </w:rPr>
        <w:t>。反映产业园区进出口效益，属正向相关指标。</w:t>
      </w:r>
    </w:p>
    <w:p w14:paraId="1DDFC078">
      <w:pPr>
        <w:pStyle w:val="105"/>
        <w:tabs>
          <w:tab w:val="left" w:pos="360"/>
        </w:tabs>
        <w:bidi w:val="0"/>
        <w:rPr>
          <w:rFonts w:hint="default"/>
          <w:highlight w:val="none"/>
          <w:lang w:val="en-US" w:eastAsia="zh-CN"/>
        </w:rPr>
      </w:pPr>
      <w:r>
        <w:rPr>
          <w:rFonts w:hint="default"/>
          <w:highlight w:val="none"/>
          <w:lang w:val="en-US" w:eastAsia="zh-CN"/>
        </w:rPr>
        <w:t>单位面积货物贸易涉外收支额</w:t>
      </w:r>
      <w:r>
        <w:rPr>
          <w:rFonts w:hint="eastAsia"/>
          <w:highlight w:val="none"/>
          <w:lang w:val="en-US" w:eastAsia="zh-CN"/>
        </w:rPr>
        <w:t>是指</w:t>
      </w:r>
      <w:r>
        <w:rPr>
          <w:rFonts w:hint="default"/>
          <w:highlight w:val="none"/>
          <w:lang w:val="en-US" w:eastAsia="zh-CN"/>
        </w:rPr>
        <w:t>评价时点年度，货物贸易涉外收支额与国务院批准的规划面积之比，单位为亿美元/</w:t>
      </w:r>
      <w:r>
        <w:rPr>
          <w:rFonts w:hint="eastAsia"/>
          <w:highlight w:val="none"/>
          <w:lang w:val="en-US" w:eastAsia="zh-CN"/>
        </w:rPr>
        <w:t>公顷</w:t>
      </w:r>
      <w:r>
        <w:rPr>
          <w:rFonts w:hint="default"/>
          <w:highlight w:val="none"/>
          <w:lang w:val="en-US" w:eastAsia="zh-CN"/>
        </w:rPr>
        <w:t>。反映产业园区涉外收支效益，属正向相关指标。</w:t>
      </w:r>
    </w:p>
    <w:p w14:paraId="2D0E621D">
      <w:pPr>
        <w:pStyle w:val="105"/>
        <w:tabs>
          <w:tab w:val="left" w:pos="360"/>
        </w:tabs>
        <w:bidi w:val="0"/>
        <w:rPr>
          <w:rFonts w:hint="default"/>
          <w:highlight w:val="none"/>
          <w:lang w:val="en-US" w:eastAsia="zh-CN"/>
        </w:rPr>
      </w:pPr>
      <w:r>
        <w:rPr>
          <w:rFonts w:hint="default"/>
          <w:highlight w:val="none"/>
          <w:lang w:val="en-US" w:eastAsia="zh-CN"/>
        </w:rPr>
        <w:t>单位面积海关税收</w:t>
      </w:r>
      <w:r>
        <w:rPr>
          <w:rFonts w:hint="eastAsia"/>
          <w:highlight w:val="none"/>
          <w:lang w:val="en-US" w:eastAsia="zh-CN"/>
        </w:rPr>
        <w:t>是指</w:t>
      </w:r>
      <w:r>
        <w:rPr>
          <w:rFonts w:hint="default"/>
          <w:highlight w:val="none"/>
          <w:lang w:val="en-US" w:eastAsia="zh-CN"/>
        </w:rPr>
        <w:t>评价时点年度，海关税收与国务院批准的规划面积之比，单位为万元/</w:t>
      </w:r>
      <w:r>
        <w:rPr>
          <w:rFonts w:hint="eastAsia"/>
          <w:highlight w:val="none"/>
          <w:lang w:val="en-US" w:eastAsia="zh-CN"/>
        </w:rPr>
        <w:t>公顷</w:t>
      </w:r>
      <w:r>
        <w:rPr>
          <w:rFonts w:hint="default"/>
          <w:highlight w:val="none"/>
          <w:lang w:val="en-US" w:eastAsia="zh-CN"/>
        </w:rPr>
        <w:t>。反映产业园区海关税收产出效益，属正向相关指标。</w:t>
      </w:r>
    </w:p>
    <w:p w14:paraId="0208C18C">
      <w:pPr>
        <w:pStyle w:val="105"/>
        <w:tabs>
          <w:tab w:val="left" w:pos="360"/>
        </w:tabs>
        <w:bidi w:val="0"/>
        <w:rPr>
          <w:rFonts w:hint="default"/>
          <w:highlight w:val="none"/>
          <w:lang w:val="en-US" w:eastAsia="zh-CN"/>
        </w:rPr>
      </w:pPr>
      <w:r>
        <w:rPr>
          <w:rFonts w:hint="default"/>
          <w:highlight w:val="none"/>
          <w:lang w:val="en-US" w:eastAsia="zh-CN"/>
        </w:rPr>
        <w:t>化工产业用地率</w:t>
      </w:r>
      <w:r>
        <w:rPr>
          <w:rFonts w:hint="eastAsia"/>
          <w:highlight w:val="none"/>
          <w:lang w:val="en-US" w:eastAsia="zh-CN"/>
        </w:rPr>
        <w:t>是指</w:t>
      </w:r>
      <w:r>
        <w:rPr>
          <w:rFonts w:hint="default"/>
          <w:highlight w:val="none"/>
          <w:lang w:val="en-US" w:eastAsia="zh-CN"/>
        </w:rPr>
        <w:t>已建成城镇建设用地范围内化工产业用地面积与已建成城镇建设用地面积之比，无量纲，数值以%表示。反映化工产业用地比重，属正向相关指标。</w:t>
      </w:r>
    </w:p>
    <w:p w14:paraId="0632FD76">
      <w:pPr>
        <w:pStyle w:val="105"/>
        <w:tabs>
          <w:tab w:val="left" w:pos="360"/>
        </w:tabs>
        <w:bidi w:val="0"/>
        <w:rPr>
          <w:rFonts w:hint="default"/>
          <w:highlight w:val="none"/>
          <w:lang w:val="en-US" w:eastAsia="zh-CN"/>
        </w:rPr>
      </w:pPr>
      <w:r>
        <w:rPr>
          <w:rFonts w:hint="default"/>
          <w:highlight w:val="none"/>
          <w:lang w:val="en-US" w:eastAsia="zh-CN"/>
        </w:rPr>
        <w:t>公用工程用地率</w:t>
      </w:r>
      <w:r>
        <w:rPr>
          <w:rFonts w:hint="eastAsia"/>
          <w:highlight w:val="none"/>
          <w:lang w:val="en-US" w:eastAsia="zh-CN"/>
        </w:rPr>
        <w:t>是指</w:t>
      </w:r>
      <w:r>
        <w:rPr>
          <w:rFonts w:hint="default"/>
          <w:highlight w:val="none"/>
          <w:lang w:val="en-US" w:eastAsia="zh-CN"/>
        </w:rPr>
        <w:t>其他公共管理与公共服务用地面积与</w:t>
      </w:r>
      <w:r>
        <w:rPr>
          <w:rFonts w:hint="eastAsia"/>
          <w:highlight w:val="none"/>
          <w:lang w:val="en-US" w:eastAsia="zh-CN"/>
        </w:rPr>
        <w:t>化工园区</w:t>
      </w:r>
      <w:r>
        <w:rPr>
          <w:rFonts w:hint="default"/>
          <w:highlight w:val="none"/>
          <w:lang w:val="en-US" w:eastAsia="zh-CN"/>
        </w:rPr>
        <w:t>已建成城镇建设用地面积之比，无量纲，数值以%表示。属负向相关指标。</w:t>
      </w:r>
    </w:p>
    <w:p w14:paraId="3285A52A">
      <w:pPr>
        <w:pStyle w:val="105"/>
        <w:tabs>
          <w:tab w:val="left" w:pos="360"/>
        </w:tabs>
        <w:bidi w:val="0"/>
        <w:rPr>
          <w:rFonts w:hint="default"/>
          <w:highlight w:val="none"/>
          <w:lang w:val="en-US" w:eastAsia="zh-CN"/>
        </w:rPr>
      </w:pPr>
      <w:r>
        <w:rPr>
          <w:rFonts w:hint="default"/>
          <w:highlight w:val="none"/>
          <w:lang w:val="en-US" w:eastAsia="zh-CN"/>
        </w:rPr>
        <w:t>化工产业用地综合容积率</w:t>
      </w:r>
      <w:r>
        <w:rPr>
          <w:rFonts w:hint="eastAsia"/>
          <w:highlight w:val="none"/>
          <w:lang w:val="en-US" w:eastAsia="zh-CN"/>
        </w:rPr>
        <w:t>是指</w:t>
      </w:r>
      <w:r>
        <w:rPr>
          <w:rFonts w:hint="default"/>
          <w:highlight w:val="none"/>
          <w:lang w:val="en-US" w:eastAsia="zh-CN"/>
        </w:rPr>
        <w:t>已建成化工产业用地的总建筑面积与已建成化工产业用地面积的之比，无量纲。反映已建成化工产业用地的综合利用强度，属正向相关指标。</w:t>
      </w:r>
    </w:p>
    <w:p w14:paraId="5A275C83">
      <w:pPr>
        <w:pStyle w:val="105"/>
        <w:tabs>
          <w:tab w:val="left" w:pos="360"/>
        </w:tabs>
        <w:bidi w:val="0"/>
        <w:rPr>
          <w:rFonts w:hint="default"/>
          <w:highlight w:val="none"/>
          <w:lang w:val="en-US" w:eastAsia="zh-CN"/>
        </w:rPr>
      </w:pPr>
      <w:r>
        <w:rPr>
          <w:rFonts w:hint="default"/>
          <w:highlight w:val="none"/>
          <w:lang w:val="en-US" w:eastAsia="zh-CN"/>
        </w:rPr>
        <w:t>化工产业用地建筑系数</w:t>
      </w:r>
      <w:r>
        <w:rPr>
          <w:rFonts w:hint="eastAsia"/>
          <w:highlight w:val="none"/>
          <w:lang w:val="en-US" w:eastAsia="zh-CN"/>
        </w:rPr>
        <w:t>是指</w:t>
      </w:r>
      <w:r>
        <w:rPr>
          <w:rFonts w:hint="default"/>
          <w:highlight w:val="none"/>
          <w:lang w:val="en-US" w:eastAsia="zh-CN"/>
        </w:rPr>
        <w:t>已建成化工产业用地内的建筑基底总面积与已建成化工产业用地面积之比，无量纲，数值以%表示。反映已建成化工产业用地的平面利用状况，属正向相关指标。</w:t>
      </w:r>
    </w:p>
    <w:p w14:paraId="433DC89C">
      <w:pPr>
        <w:pStyle w:val="105"/>
        <w:tabs>
          <w:tab w:val="left" w:pos="360"/>
        </w:tabs>
        <w:bidi w:val="0"/>
        <w:rPr>
          <w:rFonts w:hint="default"/>
          <w:highlight w:val="none"/>
          <w:lang w:val="en-US" w:eastAsia="zh-CN"/>
        </w:rPr>
      </w:pPr>
      <w:r>
        <w:rPr>
          <w:rFonts w:hint="default"/>
          <w:highlight w:val="none"/>
          <w:lang w:val="en-US" w:eastAsia="zh-CN"/>
        </w:rPr>
        <w:t>新建化工产业用地综合容积率</w:t>
      </w:r>
      <w:r>
        <w:rPr>
          <w:rFonts w:hint="eastAsia"/>
          <w:highlight w:val="none"/>
          <w:lang w:val="en-US" w:eastAsia="zh-CN"/>
        </w:rPr>
        <w:t>是指</w:t>
      </w:r>
      <w:r>
        <w:rPr>
          <w:rFonts w:hint="default"/>
          <w:highlight w:val="none"/>
          <w:lang w:val="en-US" w:eastAsia="zh-CN"/>
        </w:rPr>
        <w:t>已建成城镇建设用地范围内</w:t>
      </w:r>
      <w:r>
        <w:rPr>
          <w:rFonts w:hint="eastAsia"/>
          <w:highlight w:val="none"/>
          <w:lang w:val="en-US" w:eastAsia="zh-CN"/>
        </w:rPr>
        <w:t>评价时点</w:t>
      </w:r>
      <w:r>
        <w:rPr>
          <w:rFonts w:hint="default"/>
          <w:highlight w:val="none"/>
          <w:lang w:val="en-US" w:eastAsia="zh-CN"/>
        </w:rPr>
        <w:t>年度新增化工产业用地上的总建筑面积与新增化工产业用地面积之比，无量纲。反映新建成化工产业用地的综合利用强度，属正向相关指标。</w:t>
      </w:r>
    </w:p>
    <w:p w14:paraId="19A20B26">
      <w:pPr>
        <w:pStyle w:val="105"/>
        <w:tabs>
          <w:tab w:val="left" w:pos="360"/>
        </w:tabs>
        <w:bidi w:val="0"/>
        <w:rPr>
          <w:rFonts w:hint="default"/>
          <w:highlight w:val="none"/>
          <w:lang w:val="en-US" w:eastAsia="zh-CN"/>
        </w:rPr>
      </w:pPr>
      <w:r>
        <w:rPr>
          <w:rFonts w:hint="default"/>
          <w:highlight w:val="none"/>
          <w:lang w:val="en-US" w:eastAsia="zh-CN"/>
        </w:rPr>
        <w:t>新建化工产业用地建筑系数</w:t>
      </w:r>
      <w:r>
        <w:rPr>
          <w:rFonts w:hint="eastAsia"/>
          <w:highlight w:val="none"/>
          <w:lang w:val="en-US" w:eastAsia="zh-CN"/>
        </w:rPr>
        <w:t>是指</w:t>
      </w:r>
      <w:r>
        <w:rPr>
          <w:rFonts w:hint="default"/>
          <w:highlight w:val="none"/>
          <w:lang w:val="en-US" w:eastAsia="zh-CN"/>
        </w:rPr>
        <w:t>已建成城镇建设用地范围内</w:t>
      </w:r>
      <w:r>
        <w:rPr>
          <w:rFonts w:hint="eastAsia"/>
          <w:highlight w:val="none"/>
          <w:lang w:val="en-US" w:eastAsia="zh-CN"/>
        </w:rPr>
        <w:t>评价时点</w:t>
      </w:r>
      <w:r>
        <w:rPr>
          <w:rFonts w:hint="default"/>
          <w:highlight w:val="none"/>
          <w:lang w:val="en-US" w:eastAsia="zh-CN"/>
        </w:rPr>
        <w:t>年度新增化工产业用地上的建筑物构筑物基底面积、露天堆场和露天操作场地的总面积与新增化工产业用地面积之比，无量纲，数值以%表示。反映新建成化工产业用地的平面利用状况，属正向相关指标。</w:t>
      </w:r>
    </w:p>
    <w:p w14:paraId="79D1DC88">
      <w:pPr>
        <w:pStyle w:val="105"/>
        <w:tabs>
          <w:tab w:val="left" w:pos="360"/>
        </w:tabs>
        <w:bidi w:val="0"/>
        <w:rPr>
          <w:rFonts w:hint="default"/>
          <w:highlight w:val="none"/>
          <w:lang w:val="en-US" w:eastAsia="zh-CN"/>
        </w:rPr>
      </w:pPr>
      <w:r>
        <w:rPr>
          <w:rFonts w:hint="default"/>
          <w:highlight w:val="none"/>
          <w:lang w:val="en-US" w:eastAsia="zh-CN"/>
        </w:rPr>
        <w:t>化工产业用地固定资产投入强度</w:t>
      </w:r>
      <w:r>
        <w:rPr>
          <w:rFonts w:hint="eastAsia"/>
          <w:highlight w:val="none"/>
          <w:lang w:val="en-US" w:eastAsia="zh-CN"/>
        </w:rPr>
        <w:t>是指</w:t>
      </w:r>
      <w:r>
        <w:rPr>
          <w:rFonts w:hint="default"/>
          <w:highlight w:val="none"/>
          <w:lang w:val="en-US" w:eastAsia="zh-CN"/>
        </w:rPr>
        <w:t>已建成城镇建设用地范围内的化工企业累计固定资产投资总额与化工产业用地面积之比，单位为万元/</w:t>
      </w:r>
      <w:r>
        <w:rPr>
          <w:rFonts w:hint="eastAsia"/>
          <w:highlight w:val="none"/>
          <w:lang w:val="en-US" w:eastAsia="zh-CN"/>
        </w:rPr>
        <w:t>公顷</w:t>
      </w:r>
      <w:r>
        <w:rPr>
          <w:rFonts w:hint="default"/>
          <w:highlight w:val="none"/>
          <w:lang w:val="en-US" w:eastAsia="zh-CN"/>
        </w:rPr>
        <w:t>。反映化工产业用地的投入强度，属正向相关指标。</w:t>
      </w:r>
    </w:p>
    <w:p w14:paraId="28B82745">
      <w:pPr>
        <w:pStyle w:val="105"/>
        <w:tabs>
          <w:tab w:val="left" w:pos="360"/>
        </w:tabs>
        <w:bidi w:val="0"/>
        <w:rPr>
          <w:rFonts w:hint="default"/>
          <w:highlight w:val="none"/>
          <w:lang w:val="en-US" w:eastAsia="zh-CN"/>
        </w:rPr>
      </w:pPr>
      <w:r>
        <w:rPr>
          <w:rFonts w:hint="default"/>
          <w:highlight w:val="none"/>
          <w:lang w:val="en-US" w:eastAsia="zh-CN"/>
        </w:rPr>
        <w:t>新建化工产业用地固定资产投入强度</w:t>
      </w:r>
      <w:r>
        <w:rPr>
          <w:rFonts w:hint="eastAsia"/>
          <w:highlight w:val="none"/>
          <w:lang w:val="en-US" w:eastAsia="zh-CN"/>
        </w:rPr>
        <w:t>是指</w:t>
      </w:r>
      <w:r>
        <w:rPr>
          <w:rFonts w:hint="default"/>
          <w:highlight w:val="none"/>
          <w:lang w:val="en-US" w:eastAsia="zh-CN"/>
        </w:rPr>
        <w:t>已建成城镇建设用地范围内</w:t>
      </w:r>
      <w:r>
        <w:rPr>
          <w:rFonts w:hint="eastAsia"/>
          <w:highlight w:val="none"/>
          <w:lang w:val="en-US" w:eastAsia="zh-CN"/>
        </w:rPr>
        <w:t>评价时点</w:t>
      </w:r>
      <w:r>
        <w:rPr>
          <w:rFonts w:hint="default"/>
          <w:highlight w:val="none"/>
          <w:lang w:val="en-US" w:eastAsia="zh-CN"/>
        </w:rPr>
        <w:t>年度新增化工产业用地上的固定资产投资总额与新增化工产业用地面积之比，单位为万元/</w:t>
      </w:r>
      <w:r>
        <w:rPr>
          <w:rFonts w:hint="eastAsia"/>
          <w:highlight w:val="none"/>
          <w:lang w:val="en-US" w:eastAsia="zh-CN"/>
        </w:rPr>
        <w:t>公顷</w:t>
      </w:r>
      <w:r>
        <w:rPr>
          <w:rFonts w:hint="default"/>
          <w:highlight w:val="none"/>
          <w:lang w:val="en-US" w:eastAsia="zh-CN"/>
        </w:rPr>
        <w:t>。反映新建成化工产业用地的投入强度，属正向相关指标。</w:t>
      </w:r>
    </w:p>
    <w:p w14:paraId="1E7089D0">
      <w:pPr>
        <w:pStyle w:val="105"/>
        <w:tabs>
          <w:tab w:val="left" w:pos="360"/>
        </w:tabs>
        <w:bidi w:val="0"/>
        <w:rPr>
          <w:rFonts w:hint="default"/>
          <w:highlight w:val="none"/>
          <w:lang w:val="en-US" w:eastAsia="zh-CN"/>
        </w:rPr>
      </w:pPr>
      <w:r>
        <w:rPr>
          <w:rFonts w:hint="default"/>
          <w:highlight w:val="none"/>
          <w:lang w:val="en-US" w:eastAsia="zh-CN"/>
        </w:rPr>
        <w:t>化工产业用地地均税收</w:t>
      </w:r>
      <w:r>
        <w:rPr>
          <w:rFonts w:hint="eastAsia"/>
          <w:highlight w:val="none"/>
          <w:lang w:val="en-US" w:eastAsia="zh-CN"/>
        </w:rPr>
        <w:t>是指</w:t>
      </w:r>
      <w:r>
        <w:rPr>
          <w:rFonts w:hint="default"/>
          <w:highlight w:val="none"/>
          <w:lang w:val="en-US" w:eastAsia="zh-CN"/>
        </w:rPr>
        <w:t>已建成城镇建设用地范围内的化工企业税收总额与化工产业用地面积之比，单位为万元/</w:t>
      </w:r>
      <w:r>
        <w:rPr>
          <w:rFonts w:hint="eastAsia"/>
          <w:highlight w:val="none"/>
          <w:lang w:val="en-US" w:eastAsia="zh-CN"/>
        </w:rPr>
        <w:t>公顷</w:t>
      </w:r>
      <w:r>
        <w:rPr>
          <w:rFonts w:hint="default"/>
          <w:highlight w:val="none"/>
          <w:lang w:val="en-US" w:eastAsia="zh-CN"/>
        </w:rPr>
        <w:t>。反映化工产业用地的产出效益，属正向相关指标。</w:t>
      </w:r>
    </w:p>
    <w:p w14:paraId="568E37D0">
      <w:pPr>
        <w:pStyle w:val="105"/>
        <w:tabs>
          <w:tab w:val="left" w:pos="360"/>
        </w:tabs>
        <w:bidi w:val="0"/>
        <w:rPr>
          <w:rFonts w:hint="default"/>
          <w:highlight w:val="none"/>
          <w:lang w:val="en-US" w:eastAsia="zh-CN"/>
        </w:rPr>
      </w:pPr>
      <w:r>
        <w:rPr>
          <w:rFonts w:hint="default"/>
          <w:highlight w:val="none"/>
          <w:lang w:val="en-US" w:eastAsia="zh-CN"/>
        </w:rPr>
        <w:t>化工产业用地单位</w:t>
      </w:r>
      <w:r>
        <w:rPr>
          <w:rFonts w:hint="eastAsia"/>
          <w:highlight w:val="none"/>
          <w:lang w:val="en-US" w:eastAsia="zh-CN"/>
        </w:rPr>
        <w:t>面积</w:t>
      </w:r>
      <w:r>
        <w:rPr>
          <w:rFonts w:hint="default"/>
          <w:highlight w:val="none"/>
          <w:lang w:val="en-US" w:eastAsia="zh-CN"/>
        </w:rPr>
        <w:t>碳排放量:已建成化工产业用地碳排放总量与化工产业用地面积之比，</w:t>
      </w:r>
      <w:r>
        <w:rPr>
          <w:rFonts w:hint="eastAsia"/>
          <w:highlight w:val="none"/>
          <w:lang w:val="en-US" w:eastAsia="zh-CN"/>
        </w:rPr>
        <w:t>单位为</w:t>
      </w:r>
      <w:r>
        <w:rPr>
          <w:rFonts w:hint="default"/>
          <w:highlight w:val="none"/>
          <w:lang w:val="en-US" w:eastAsia="zh-CN"/>
        </w:rPr>
        <w:t>tCO₂e（吨二氧化碳当量）/</w:t>
      </w:r>
      <w:r>
        <w:rPr>
          <w:rFonts w:hint="eastAsia"/>
          <w:highlight w:val="none"/>
          <w:lang w:val="en-US" w:eastAsia="zh-CN"/>
        </w:rPr>
        <w:t>公顷</w:t>
      </w:r>
      <w:r>
        <w:rPr>
          <w:rFonts w:hint="default"/>
          <w:highlight w:val="none"/>
          <w:lang w:val="en-US" w:eastAsia="zh-CN"/>
        </w:rPr>
        <w:t>。反映化工产业地均碳排放情况，属化工产业用地单位</w:t>
      </w:r>
      <w:r>
        <w:rPr>
          <w:rFonts w:hint="eastAsia"/>
          <w:highlight w:val="none"/>
          <w:lang w:val="en-US" w:eastAsia="zh-CN"/>
        </w:rPr>
        <w:t>面积</w:t>
      </w:r>
      <w:r>
        <w:rPr>
          <w:rFonts w:hint="default"/>
          <w:highlight w:val="none"/>
          <w:lang w:val="en-US" w:eastAsia="zh-CN"/>
        </w:rPr>
        <w:t>综合能耗:已建成化工产业用地能源消耗量（当量值）与化工产业用地面积之比。反映化工产业地均能耗情况，属负向相关指标。</w:t>
      </w:r>
    </w:p>
    <w:p w14:paraId="76862EC6">
      <w:pPr>
        <w:pStyle w:val="105"/>
        <w:tabs>
          <w:tab w:val="left" w:pos="360"/>
        </w:tabs>
        <w:bidi w:val="0"/>
        <w:rPr>
          <w:rFonts w:hint="default"/>
          <w:highlight w:val="none"/>
          <w:lang w:val="en-US" w:eastAsia="zh-CN"/>
        </w:rPr>
      </w:pPr>
      <w:r>
        <w:rPr>
          <w:rFonts w:hint="default"/>
          <w:highlight w:val="none"/>
          <w:lang w:val="en-US" w:eastAsia="zh-CN"/>
        </w:rPr>
        <w:t>节地示范</w:t>
      </w:r>
      <w:r>
        <w:rPr>
          <w:rFonts w:hint="eastAsia"/>
          <w:highlight w:val="none"/>
          <w:lang w:val="en-US" w:eastAsia="zh-CN"/>
        </w:rPr>
        <w:t>情况是指园区内评价年度</w:t>
      </w:r>
      <w:r>
        <w:rPr>
          <w:rFonts w:hint="default"/>
          <w:highlight w:val="none"/>
          <w:lang w:val="en-US" w:eastAsia="zh-CN"/>
        </w:rPr>
        <w:t>创新节地模式、技术、制度和管理等推广应用情况</w:t>
      </w:r>
      <w:r>
        <w:rPr>
          <w:rFonts w:hint="eastAsia"/>
          <w:highlight w:val="none"/>
          <w:lang w:val="en-US" w:eastAsia="zh-CN"/>
        </w:rPr>
        <w:t>。</w:t>
      </w:r>
      <w:r>
        <w:rPr>
          <w:rFonts w:hint="default"/>
          <w:highlight w:val="none"/>
          <w:lang w:val="en-US" w:eastAsia="zh-CN"/>
        </w:rPr>
        <w:t>有项目入选自然资源部节地模式和节地技术推荐目录、获得自然资源节约集约利用领域省部级以上奖项、节约集约用地有关典型案例获省部级以上通报表扬或文件肯定的，每项</w:t>
      </w:r>
      <w:r>
        <w:rPr>
          <w:rFonts w:hint="eastAsia"/>
          <w:highlight w:val="none"/>
          <w:lang w:val="en-US" w:eastAsia="zh-CN"/>
        </w:rPr>
        <w:t>获得</w:t>
      </w:r>
      <w:r>
        <w:rPr>
          <w:rFonts w:hint="default"/>
          <w:highlight w:val="none"/>
          <w:lang w:val="en-US" w:eastAsia="zh-CN"/>
        </w:rPr>
        <w:t>该项分值的25%。反映产业园区</w:t>
      </w:r>
      <w:r>
        <w:rPr>
          <w:rFonts w:hint="eastAsia"/>
          <w:highlight w:val="none"/>
          <w:lang w:val="en-US" w:eastAsia="zh-CN"/>
        </w:rPr>
        <w:t>节地示范活力</w:t>
      </w:r>
      <w:r>
        <w:rPr>
          <w:rFonts w:hint="default"/>
          <w:highlight w:val="none"/>
          <w:lang w:val="en-US" w:eastAsia="zh-CN"/>
        </w:rPr>
        <w:t>，属正向相关指标。</w:t>
      </w:r>
    </w:p>
    <w:p w14:paraId="1F960EC1">
      <w:pPr>
        <w:pStyle w:val="105"/>
        <w:tabs>
          <w:tab w:val="left" w:pos="360"/>
        </w:tabs>
        <w:bidi w:val="0"/>
        <w:rPr>
          <w:rFonts w:hint="default"/>
          <w:highlight w:val="none"/>
          <w:lang w:val="en-US" w:eastAsia="zh-CN"/>
        </w:rPr>
      </w:pPr>
      <w:r>
        <w:rPr>
          <w:rFonts w:hint="eastAsia"/>
          <w:highlight w:val="none"/>
          <w:lang w:val="en-US" w:eastAsia="zh-CN"/>
        </w:rPr>
        <w:t>新增违法用地情况是指园区内评价年度新增的违法建设用地情况。</w:t>
      </w:r>
      <w:r>
        <w:rPr>
          <w:rFonts w:hint="default"/>
          <w:highlight w:val="none"/>
          <w:lang w:val="en-US" w:eastAsia="zh-CN"/>
        </w:rPr>
        <w:t>年度新增违法建设用地面积每增加10亩扣该项分值的20%。反映</w:t>
      </w:r>
      <w:r>
        <w:rPr>
          <w:rFonts w:hint="eastAsia"/>
          <w:highlight w:val="none"/>
          <w:lang w:val="en-US" w:eastAsia="zh-CN"/>
        </w:rPr>
        <w:t>园区土地</w:t>
      </w:r>
      <w:r>
        <w:rPr>
          <w:rFonts w:hint="default"/>
          <w:highlight w:val="none"/>
          <w:lang w:val="en-US" w:eastAsia="zh-CN"/>
        </w:rPr>
        <w:t>开发秩序</w:t>
      </w:r>
      <w:r>
        <w:rPr>
          <w:rFonts w:hint="eastAsia"/>
          <w:highlight w:val="none"/>
          <w:lang w:val="en-US" w:eastAsia="zh-CN"/>
        </w:rPr>
        <w:t>情况，</w:t>
      </w:r>
      <w:r>
        <w:rPr>
          <w:rFonts w:hint="default"/>
          <w:highlight w:val="none"/>
          <w:lang w:val="en-US" w:eastAsia="zh-CN"/>
        </w:rPr>
        <w:t>属负向相关指标。</w:t>
      </w:r>
    </w:p>
    <w:p w14:paraId="06B8E304">
      <w:pPr>
        <w:pStyle w:val="103"/>
        <w:bidi w:val="0"/>
        <w:rPr>
          <w:rFonts w:hint="default"/>
          <w:highlight w:val="none"/>
          <w:lang w:val="en-US" w:eastAsia="zh-CN"/>
        </w:rPr>
      </w:pPr>
      <w:r>
        <w:rPr>
          <w:rFonts w:hint="default"/>
          <w:highlight w:val="none"/>
          <w:lang w:val="en-US" w:eastAsia="zh-CN"/>
        </w:rPr>
        <w:t>其他指标定义</w:t>
      </w:r>
    </w:p>
    <w:p w14:paraId="1E22F8B9">
      <w:pPr>
        <w:pStyle w:val="105"/>
        <w:bidi w:val="0"/>
        <w:rPr>
          <w:rFonts w:hint="default"/>
          <w:highlight w:val="none"/>
          <w:lang w:val="en-US" w:eastAsia="zh-CN"/>
        </w:rPr>
      </w:pPr>
      <w:r>
        <w:rPr>
          <w:rFonts w:hint="eastAsia"/>
          <w:highlight w:val="none"/>
          <w:lang w:val="en-US" w:eastAsia="zh-CN"/>
        </w:rPr>
        <w:t>其他指标定义参见</w:t>
      </w:r>
      <w:r>
        <w:rPr>
          <w:rFonts w:hint="eastAsia"/>
          <w:highlight w:val="none"/>
        </w:rPr>
        <w:t>TD/T 1029</w:t>
      </w:r>
      <w:r>
        <w:rPr>
          <w:rFonts w:hint="eastAsia"/>
          <w:highlight w:val="none"/>
          <w:lang w:val="en-US" w:eastAsia="zh-CN"/>
        </w:rPr>
        <w:t xml:space="preserve"> 中附录D的内容</w:t>
      </w:r>
      <w:r>
        <w:rPr>
          <w:rFonts w:hint="default"/>
          <w:highlight w:val="none"/>
          <w:lang w:val="en-US" w:eastAsia="zh-CN"/>
        </w:rPr>
        <w:t>。</w:t>
      </w:r>
    </w:p>
    <w:p w14:paraId="17927C52">
      <w:pPr>
        <w:pStyle w:val="138"/>
        <w:rPr>
          <w:highlight w:val="none"/>
        </w:rPr>
      </w:pPr>
    </w:p>
    <w:p w14:paraId="1AECCDC2">
      <w:pPr>
        <w:rPr>
          <w:highlight w:val="none"/>
        </w:rPr>
      </w:pPr>
      <w:r>
        <w:rPr>
          <w:highlight w:val="none"/>
        </w:rPr>
        <w:br w:type="page"/>
      </w:r>
    </w:p>
    <w:p w14:paraId="636AD5E6">
      <w:pPr>
        <w:pStyle w:val="140"/>
        <w:spacing w:after="120"/>
        <w:rPr>
          <w:highlight w:val="none"/>
        </w:rPr>
      </w:pPr>
      <w:bookmarkStart w:id="152" w:name="_Toc17870"/>
      <w:bookmarkStart w:id="153" w:name="_Toc26755"/>
      <w:bookmarkStart w:id="154" w:name="_Toc23620"/>
      <w:r>
        <w:rPr>
          <w:rFonts w:hint="eastAsia"/>
          <w:spacing w:val="105"/>
          <w:highlight w:val="none"/>
        </w:rPr>
        <w:t>参考文</w:t>
      </w:r>
      <w:r>
        <w:rPr>
          <w:rFonts w:hint="eastAsia"/>
          <w:highlight w:val="none"/>
        </w:rPr>
        <w:t>献</w:t>
      </w:r>
      <w:bookmarkEnd w:id="152"/>
      <w:bookmarkEnd w:id="153"/>
      <w:bookmarkEnd w:id="154"/>
    </w:p>
    <w:p w14:paraId="6607D00C">
      <w:pPr>
        <w:pStyle w:val="138"/>
        <w:numPr>
          <w:ilvl w:val="0"/>
          <w:numId w:val="24"/>
        </w:numPr>
        <w:ind w:firstLine="420"/>
        <w:rPr>
          <w:rFonts w:ascii="Times New Roman"/>
          <w:highlight w:val="none"/>
        </w:rPr>
      </w:pPr>
      <w:r>
        <w:rPr>
          <w:rFonts w:ascii="Times New Roman"/>
          <w:highlight w:val="none"/>
        </w:rPr>
        <w:t>TD/T 1018-20</w:t>
      </w:r>
      <w:r>
        <w:rPr>
          <w:rFonts w:hint="eastAsia" w:ascii="Times New Roman"/>
          <w:highlight w:val="none"/>
        </w:rPr>
        <w:t>24</w:t>
      </w:r>
      <w:r>
        <w:rPr>
          <w:rFonts w:ascii="Times New Roman"/>
          <w:highlight w:val="none"/>
        </w:rPr>
        <w:t xml:space="preserve">  建设用地节约集约利用评价规程</w:t>
      </w:r>
    </w:p>
    <w:p w14:paraId="1C4FE0A1">
      <w:pPr>
        <w:pStyle w:val="138"/>
        <w:numPr>
          <w:ilvl w:val="0"/>
          <w:numId w:val="24"/>
        </w:numPr>
        <w:ind w:left="0" w:leftChars="0" w:firstLine="420" w:firstLineChars="200"/>
        <w:rPr>
          <w:rFonts w:hint="eastAsia" w:ascii="Times New Roman"/>
          <w:highlight w:val="none"/>
        </w:rPr>
      </w:pPr>
      <w:r>
        <w:rPr>
          <w:rFonts w:hint="eastAsia" w:ascii="Times New Roman"/>
          <w:highlight w:val="none"/>
        </w:rPr>
        <w:t>自然资源部.</w:t>
      </w:r>
      <w:r>
        <w:rPr>
          <w:rFonts w:ascii="Times New Roman"/>
          <w:highlight w:val="none"/>
        </w:rPr>
        <w:t>自然资源部办公厅</w:t>
      </w:r>
      <w:r>
        <w:rPr>
          <w:rFonts w:hint="eastAsia" w:ascii="宋体" w:hAnsi="宋体" w:eastAsia="宋体" w:cs="Times New Roman"/>
          <w:color w:val="000000"/>
          <w:szCs w:val="21"/>
          <w:highlight w:val="none"/>
          <w:lang w:val="en-US" w:eastAsia="zh-CN"/>
        </w:rPr>
        <w:t>关于开展产业园用地情况总调查暨2021年度开发区土地集约利用全面评价有关工作的通知（</w:t>
      </w:r>
      <w:r>
        <w:rPr>
          <w:rFonts w:hint="eastAsia" w:ascii="Times New Roman" w:hAnsi="宋体" w:eastAsia="宋体" w:cs="Times New Roman"/>
          <w:b w:val="0"/>
          <w:bCs/>
          <w:color w:val="000000"/>
          <w:szCs w:val="21"/>
          <w:highlight w:val="none"/>
          <w:lang w:eastAsia="zh-CN"/>
        </w:rPr>
        <w:t>自然资办函〔202</w:t>
      </w:r>
      <w:r>
        <w:rPr>
          <w:rFonts w:hint="eastAsia" w:ascii="Times New Roman" w:hAnsi="宋体" w:eastAsia="宋体" w:cs="Times New Roman"/>
          <w:b w:val="0"/>
          <w:bCs/>
          <w:color w:val="000000"/>
          <w:szCs w:val="21"/>
          <w:highlight w:val="none"/>
          <w:lang w:val="en-US" w:eastAsia="zh-CN"/>
        </w:rPr>
        <w:t>1</w:t>
      </w:r>
      <w:r>
        <w:rPr>
          <w:rFonts w:hint="eastAsia" w:ascii="Times New Roman" w:hAnsi="宋体" w:eastAsia="宋体" w:cs="Times New Roman"/>
          <w:b w:val="0"/>
          <w:bCs/>
          <w:color w:val="000000"/>
          <w:szCs w:val="21"/>
          <w:highlight w:val="none"/>
          <w:lang w:eastAsia="zh-CN"/>
        </w:rPr>
        <w:t>〕</w:t>
      </w:r>
      <w:r>
        <w:rPr>
          <w:rFonts w:hint="eastAsia" w:ascii="Times New Roman" w:hAnsi="宋体" w:eastAsia="宋体" w:cs="Times New Roman"/>
          <w:b w:val="0"/>
          <w:bCs/>
          <w:color w:val="000000"/>
          <w:szCs w:val="21"/>
          <w:highlight w:val="none"/>
          <w:lang w:val="en-US" w:eastAsia="zh-CN"/>
        </w:rPr>
        <w:t>152</w:t>
      </w:r>
      <w:r>
        <w:rPr>
          <w:rFonts w:hint="eastAsia" w:ascii="Times New Roman" w:hAnsi="宋体" w:eastAsia="宋体" w:cs="Times New Roman"/>
          <w:b w:val="0"/>
          <w:bCs/>
          <w:color w:val="000000"/>
          <w:szCs w:val="21"/>
          <w:highlight w:val="none"/>
          <w:lang w:eastAsia="zh-CN"/>
        </w:rPr>
        <w:t>号</w:t>
      </w:r>
      <w:r>
        <w:rPr>
          <w:rFonts w:hint="eastAsia" w:ascii="宋体" w:hAnsi="宋体" w:eastAsia="宋体" w:cs="Times New Roman"/>
          <w:color w:val="000000"/>
          <w:szCs w:val="21"/>
          <w:highlight w:val="none"/>
          <w:lang w:val="en-US" w:eastAsia="zh-CN"/>
        </w:rPr>
        <w:t>）</w:t>
      </w:r>
      <w:r>
        <w:rPr>
          <w:rFonts w:hint="eastAsia" w:ascii="Times New Roman"/>
          <w:highlight w:val="none"/>
        </w:rPr>
        <w:t>，2021年0</w:t>
      </w:r>
      <w:r>
        <w:rPr>
          <w:rFonts w:hint="eastAsia" w:ascii="Times New Roman"/>
          <w:highlight w:val="none"/>
          <w:lang w:val="en-US" w:eastAsia="zh-CN"/>
        </w:rPr>
        <w:t>4</w:t>
      </w:r>
      <w:r>
        <w:rPr>
          <w:rFonts w:hint="eastAsia" w:ascii="Times New Roman"/>
          <w:highlight w:val="none"/>
        </w:rPr>
        <w:t>月</w:t>
      </w:r>
    </w:p>
    <w:p w14:paraId="5C34CBCF">
      <w:pPr>
        <w:pStyle w:val="138"/>
        <w:numPr>
          <w:ilvl w:val="0"/>
          <w:numId w:val="24"/>
        </w:numPr>
        <w:ind w:left="0" w:leftChars="0" w:firstLine="420" w:firstLineChars="200"/>
        <w:rPr>
          <w:rFonts w:hint="eastAsia" w:ascii="Times New Roman"/>
          <w:highlight w:val="none"/>
        </w:rPr>
      </w:pPr>
      <w:r>
        <w:rPr>
          <w:rFonts w:hint="eastAsia" w:ascii="Times New Roman"/>
          <w:highlight w:val="none"/>
        </w:rPr>
        <w:t>自然资源部.自然资源部关于印发《国土空间调查、规划、用途管制用地用海分类指南》的通知（自然资发〔2023〕234号），2023年11月</w:t>
      </w:r>
    </w:p>
    <w:p w14:paraId="5CD31C33">
      <w:pPr>
        <w:pStyle w:val="138"/>
        <w:numPr>
          <w:ilvl w:val="0"/>
          <w:numId w:val="0"/>
        </w:numPr>
        <w:ind w:leftChars="200"/>
        <w:rPr>
          <w:rFonts w:hint="eastAsia" w:ascii="Times New Roman"/>
          <w:highlight w:val="none"/>
        </w:rPr>
      </w:pPr>
    </w:p>
    <w:p w14:paraId="7B7E4BFB">
      <w:pPr>
        <w:pStyle w:val="138"/>
        <w:ind w:firstLine="420"/>
        <w:rPr>
          <w:highlight w:val="none"/>
        </w:rPr>
      </w:pPr>
    </w:p>
    <w:p w14:paraId="354A27AD">
      <w:pPr>
        <w:pStyle w:val="25"/>
        <w:jc w:val="center"/>
        <w:rPr>
          <w:rFonts w:hint="default" w:ascii="Times New Roman" w:hAnsi="Times New Roman" w:cs="Times New Roman"/>
          <w:color w:val="000000" w:themeColor="text1"/>
          <w:highlight w:val="none"/>
          <w:lang w:val="en-US" w:eastAsia="zh-CN"/>
          <w14:textFill>
            <w14:solidFill>
              <w14:schemeClr w14:val="tx1"/>
            </w14:solidFill>
          </w14:textFill>
        </w:rPr>
      </w:pPr>
      <w:bookmarkStart w:id="155" w:name="BookMark8"/>
      <w:r>
        <w:drawing>
          <wp:inline distT="0" distB="0" distL="114300" distR="114300">
            <wp:extent cx="1485900" cy="3143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1485900" cy="314325"/>
                    </a:xfrm>
                    <a:prstGeom prst="rect">
                      <a:avLst/>
                    </a:prstGeom>
                    <a:noFill/>
                    <a:ln>
                      <a:noFill/>
                    </a:ln>
                  </pic:spPr>
                </pic:pic>
              </a:graphicData>
            </a:graphic>
          </wp:inline>
        </w:drawing>
      </w:r>
      <w:bookmarkEnd w:id="155"/>
    </w:p>
    <w:sectPr>
      <w:pgSz w:w="11906" w:h="16838"/>
      <w:pgMar w:top="1928" w:right="1134" w:bottom="1134" w:left="1134" w:header="1418" w:footer="1134" w:gutter="284"/>
      <w:pgNumType w:fmt="decimal"/>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D39B6">
    <w:pPr>
      <w:pStyle w:val="4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A5E65">
    <w:pPr>
      <w:pStyle w:val="44"/>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41C88A">
                          <w:pPr>
                            <w:pStyle w:val="4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F41C88A">
                    <w:pPr>
                      <w:pStyle w:val="4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F5338">
    <w:pPr>
      <w:pStyle w:val="161"/>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D9E2D9">
                          <w:pPr>
                            <w:pStyle w:val="161"/>
                          </w:pPr>
                          <w:r>
                            <w:fldChar w:fldCharType="begin"/>
                          </w:r>
                          <w:r>
                            <w:instrText xml:space="preserve">PAGE   \* MERGEFORMAT</w:instrText>
                          </w:r>
                          <w:r>
                            <w:fldChar w:fldCharType="separate"/>
                          </w:r>
                          <w:r>
                            <w:rPr>
                              <w:lang w:val="zh-CN"/>
                            </w:rP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BD9E2D9">
                    <w:pPr>
                      <w:pStyle w:val="161"/>
                    </w:pPr>
                    <w:r>
                      <w:fldChar w:fldCharType="begin"/>
                    </w:r>
                    <w:r>
                      <w:instrText xml:space="preserve">PAGE   \* MERGEFORMAT</w:instrText>
                    </w:r>
                    <w:r>
                      <w:fldChar w:fldCharType="separate"/>
                    </w:r>
                    <w:r>
                      <w:rPr>
                        <w:lang w:val="zh-CN"/>
                      </w:rPr>
                      <w:t>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04B37">
    <w:pPr>
      <w:pStyle w:val="4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993C8">
    <w:pPr>
      <w:pStyle w:val="45"/>
    </w:pPr>
    <w:r>
      <w:t>DBXX/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895B70"/>
    <w:multiLevelType w:val="singleLevel"/>
    <w:tmpl w:val="B7895B70"/>
    <w:lvl w:ilvl="0" w:tentative="0">
      <w:start w:val="1"/>
      <w:numFmt w:val="decimal"/>
      <w:suff w:val="space"/>
      <w:lvlText w:val="[%1]"/>
      <w:lvlJc w:val="left"/>
    </w:lvl>
  </w:abstractNum>
  <w:abstractNum w:abstractNumId="1">
    <w:nsid w:val="079102AD"/>
    <w:multiLevelType w:val="multilevel"/>
    <w:tmpl w:val="079102AD"/>
    <w:lvl w:ilvl="0" w:tentative="0">
      <w:start w:val="1"/>
      <w:numFmt w:val="decimal"/>
      <w:pStyle w:val="5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93C6778"/>
    <w:multiLevelType w:val="multilevel"/>
    <w:tmpl w:val="093C6778"/>
    <w:lvl w:ilvl="0" w:tentative="0">
      <w:start w:val="1"/>
      <w:numFmt w:val="decimal"/>
      <w:pStyle w:val="117"/>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4">
    <w:nsid w:val="0D983844"/>
    <w:multiLevelType w:val="multilevel"/>
    <w:tmpl w:val="0D983844"/>
    <w:lvl w:ilvl="0" w:tentative="0">
      <w:start w:val="1"/>
      <w:numFmt w:val="decimal"/>
      <w:pStyle w:val="12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DDE2B46"/>
    <w:multiLevelType w:val="multilevel"/>
    <w:tmpl w:val="0DDE2B46"/>
    <w:lvl w:ilvl="0" w:tentative="0">
      <w:start w:val="1"/>
      <w:numFmt w:val="lowerLetter"/>
      <w:pStyle w:val="122"/>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66"/>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4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3"/>
      <w:suff w:val="nothing"/>
      <w:lvlText w:val="%1.%2　"/>
      <w:lvlJc w:val="left"/>
      <w:pPr>
        <w:ind w:left="189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7"/>
      <w:suff w:val="nothing"/>
      <w:lvlText w:val="%1.%2.%3　"/>
      <w:lvlJc w:val="left"/>
      <w:pPr>
        <w:ind w:left="71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6"/>
      <w:suff w:val="nothing"/>
      <w:lvlText w:val="%1.%2.%3.%4.%5　"/>
      <w:lvlJc w:val="left"/>
      <w:pPr>
        <w:ind w:left="0" w:firstLine="0"/>
      </w:pPr>
      <w:rPr>
        <w:rFonts w:hint="eastAsia" w:ascii="黑体" w:hAnsi="Times New Roman" w:eastAsia="黑体"/>
        <w:b w:val="0"/>
        <w:i w:val="0"/>
        <w:sz w:val="21"/>
      </w:rPr>
    </w:lvl>
    <w:lvl w:ilvl="5" w:tentative="0">
      <w:start w:val="1"/>
      <w:numFmt w:val="decimal"/>
      <w:pStyle w:val="5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22827D5B"/>
    <w:multiLevelType w:val="multilevel"/>
    <w:tmpl w:val="22827D5B"/>
    <w:lvl w:ilvl="0" w:tentative="0">
      <w:start w:val="1"/>
      <w:numFmt w:val="none"/>
      <w:pStyle w:val="6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9">
    <w:nsid w:val="2A8F7113"/>
    <w:multiLevelType w:val="multilevel"/>
    <w:tmpl w:val="2A8F7113"/>
    <w:lvl w:ilvl="0" w:tentative="0">
      <w:start w:val="1"/>
      <w:numFmt w:val="upperLetter"/>
      <w:pStyle w:val="99"/>
      <w:suff w:val="space"/>
      <w:lvlText w:val="%1"/>
      <w:lvlJc w:val="left"/>
      <w:pPr>
        <w:ind w:left="623" w:hanging="425"/>
      </w:pPr>
      <w:rPr>
        <w:rFonts w:hint="eastAsia"/>
      </w:rPr>
    </w:lvl>
    <w:lvl w:ilvl="1" w:tentative="0">
      <w:start w:val="1"/>
      <w:numFmt w:val="decimal"/>
      <w:pStyle w:val="100"/>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2C5917C3"/>
    <w:multiLevelType w:val="multilevel"/>
    <w:tmpl w:val="2C5917C3"/>
    <w:lvl w:ilvl="0" w:tentative="0">
      <w:start w:val="1"/>
      <w:numFmt w:val="none"/>
      <w:pStyle w:val="49"/>
      <w:suff w:val="nothing"/>
      <w:lvlText w:val="%1——"/>
      <w:lvlJc w:val="left"/>
      <w:pPr>
        <w:ind w:left="833" w:hanging="408"/>
      </w:pPr>
      <w:rPr>
        <w:rFonts w:hint="eastAsia"/>
      </w:rPr>
    </w:lvl>
    <w:lvl w:ilvl="1" w:tentative="0">
      <w:start w:val="1"/>
      <w:numFmt w:val="bullet"/>
      <w:pStyle w:val="50"/>
      <w:lvlText w:val=""/>
      <w:lvlJc w:val="left"/>
      <w:pPr>
        <w:tabs>
          <w:tab w:val="left" w:pos="760"/>
        </w:tabs>
        <w:ind w:left="1264" w:hanging="413"/>
      </w:pPr>
      <w:rPr>
        <w:rFonts w:hint="default" w:ascii="Symbol" w:hAnsi="Symbol"/>
        <w:color w:val="auto"/>
      </w:rPr>
    </w:lvl>
    <w:lvl w:ilvl="2" w:tentative="0">
      <w:start w:val="1"/>
      <w:numFmt w:val="bullet"/>
      <w:pStyle w:val="61"/>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8781D2F"/>
    <w:multiLevelType w:val="multilevel"/>
    <w:tmpl w:val="38781D2F"/>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3">
    <w:nsid w:val="44C50F90"/>
    <w:multiLevelType w:val="multilevel"/>
    <w:tmpl w:val="44C50F90"/>
    <w:lvl w:ilvl="0" w:tentative="0">
      <w:start w:val="1"/>
      <w:numFmt w:val="lowerLetter"/>
      <w:pStyle w:val="6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5"/>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pStyle w:val="15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6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6">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156"/>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7">
    <w:nsid w:val="60B55DC2"/>
    <w:multiLevelType w:val="multilevel"/>
    <w:tmpl w:val="60B55DC2"/>
    <w:lvl w:ilvl="0" w:tentative="0">
      <w:start w:val="1"/>
      <w:numFmt w:val="upperLetter"/>
      <w:pStyle w:val="87"/>
      <w:lvlText w:val="%1"/>
      <w:lvlJc w:val="left"/>
      <w:pPr>
        <w:tabs>
          <w:tab w:val="left" w:pos="0"/>
        </w:tabs>
        <w:ind w:left="0" w:hanging="425"/>
      </w:pPr>
      <w:rPr>
        <w:rFonts w:hint="eastAsia"/>
      </w:rPr>
    </w:lvl>
    <w:lvl w:ilvl="1" w:tentative="0">
      <w:start w:val="1"/>
      <w:numFmt w:val="decimal"/>
      <w:pStyle w:val="88"/>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8">
    <w:nsid w:val="646260FA"/>
    <w:multiLevelType w:val="multilevel"/>
    <w:tmpl w:val="646260FA"/>
    <w:lvl w:ilvl="0" w:tentative="0">
      <w:start w:val="1"/>
      <w:numFmt w:val="decimal"/>
      <w:pStyle w:val="127"/>
      <w:suff w:val="nothing"/>
      <w:lvlText w:val="表%1　"/>
      <w:lvlJc w:val="left"/>
      <w:pPr>
        <w:ind w:left="5775"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9">
    <w:nsid w:val="657D3FBC"/>
    <w:multiLevelType w:val="multilevel"/>
    <w:tmpl w:val="657D3FBC"/>
    <w:lvl w:ilvl="0" w:tentative="0">
      <w:start w:val="1"/>
      <w:numFmt w:val="upperLetter"/>
      <w:pStyle w:val="85"/>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4"/>
      <w:suff w:val="nothing"/>
      <w:lvlText w:val="%1.%2.%3　"/>
      <w:lvlJc w:val="left"/>
      <w:pPr>
        <w:ind w:left="0" w:firstLine="0"/>
      </w:pPr>
      <w:rPr>
        <w:rFonts w:hint="eastAsia" w:ascii="黑体" w:hAnsi="Times New Roman" w:eastAsia="黑体"/>
        <w:b w:val="0"/>
        <w:i w:val="0"/>
        <w:sz w:val="21"/>
      </w:rPr>
    </w:lvl>
    <w:lvl w:ilvl="3" w:tentative="0">
      <w:start w:val="1"/>
      <w:numFmt w:val="decimal"/>
      <w:pStyle w:val="89"/>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7"/>
      <w:suff w:val="nothing"/>
      <w:lvlText w:val="%1.%2.%3.%4.%5.%6　"/>
      <w:lvlJc w:val="left"/>
      <w:pPr>
        <w:ind w:left="0" w:firstLine="0"/>
      </w:pPr>
      <w:rPr>
        <w:rFonts w:hint="eastAsia" w:ascii="黑体" w:hAnsi="Times New Roman" w:eastAsia="黑体"/>
        <w:b w:val="0"/>
        <w:i w:val="0"/>
        <w:sz w:val="21"/>
      </w:rPr>
    </w:lvl>
    <w:lvl w:ilvl="6" w:tentative="0">
      <w:start w:val="1"/>
      <w:numFmt w:val="decimal"/>
      <w:pStyle w:val="10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41"/>
      <w:suff w:val="nothing"/>
      <w:lvlText w:val="%1%2　"/>
      <w:lvlJc w:val="left"/>
      <w:pPr>
        <w:ind w:left="0" w:firstLine="0"/>
      </w:pPr>
      <w:rPr>
        <w:rFonts w:hint="default" w:ascii="Times New Roman" w:hAnsi="Times New Roman" w:eastAsia="黑体" w:cs="Times New Roman"/>
        <w:b w:val="0"/>
        <w:i w:val="0"/>
        <w:sz w:val="21"/>
        <w:szCs w:val="21"/>
      </w:rPr>
    </w:lvl>
    <w:lvl w:ilvl="2" w:tentative="0">
      <w:start w:val="1"/>
      <w:numFmt w:val="decimal"/>
      <w:pStyle w:val="142"/>
      <w:suff w:val="nothing"/>
      <w:lvlText w:val="%1%2.%3　"/>
      <w:lvlJc w:val="left"/>
      <w:pPr>
        <w:ind w:left="2126"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szCs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43"/>
      <w:suff w:val="nothing"/>
      <w:lvlText w:val="%1%2.%3.%4　"/>
      <w:lvlJc w:val="left"/>
      <w:pPr>
        <w:ind w:left="1412" w:firstLine="0"/>
      </w:pPr>
      <w:rPr>
        <w:rFonts w:hint="default" w:ascii="Times New Roman" w:hAnsi="Times New Roman" w:eastAsia="黑体" w:cs="Times New Roman"/>
        <w:b w:val="0"/>
        <w:i w:val="0"/>
        <w:sz w:val="21"/>
        <w:szCs w:val="21"/>
      </w:rPr>
    </w:lvl>
    <w:lvl w:ilvl="4" w:tentative="0">
      <w:start w:val="1"/>
      <w:numFmt w:val="decimal"/>
      <w:pStyle w:val="151"/>
      <w:suff w:val="nothing"/>
      <w:lvlText w:val="%1%2.%3.%4.%5　"/>
      <w:lvlJc w:val="left"/>
      <w:pPr>
        <w:ind w:left="1559" w:firstLine="0"/>
      </w:pPr>
      <w:rPr>
        <w:rFonts w:hint="default" w:ascii="Times New Roman" w:hAnsi="Times New Roman" w:eastAsia="黑体" w:cs="Times New Roman"/>
        <w:b w:val="0"/>
        <w:i w:val="0"/>
        <w:sz w:val="21"/>
        <w:szCs w:val="21"/>
      </w:rPr>
    </w:lvl>
    <w:lvl w:ilvl="5" w:tentative="0">
      <w:start w:val="1"/>
      <w:numFmt w:val="decimal"/>
      <w:pStyle w:val="153"/>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1">
    <w:nsid w:val="6D6C07CD"/>
    <w:multiLevelType w:val="multilevel"/>
    <w:tmpl w:val="6D6C07CD"/>
    <w:lvl w:ilvl="0" w:tentative="0">
      <w:start w:val="1"/>
      <w:numFmt w:val="lowerLetter"/>
      <w:pStyle w:val="106"/>
      <w:lvlText w:val="%1)"/>
      <w:lvlJc w:val="left"/>
      <w:pPr>
        <w:tabs>
          <w:tab w:val="left" w:pos="839"/>
        </w:tabs>
        <w:ind w:left="839" w:hanging="419"/>
      </w:pPr>
      <w:rPr>
        <w:rFonts w:hint="eastAsia" w:ascii="宋体" w:eastAsia="宋体"/>
        <w:b w:val="0"/>
        <w:i w:val="0"/>
        <w:sz w:val="21"/>
      </w:rPr>
    </w:lvl>
    <w:lvl w:ilvl="1" w:tentative="0">
      <w:start w:val="1"/>
      <w:numFmt w:val="decimal"/>
      <w:pStyle w:val="96"/>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2">
    <w:nsid w:val="6DBF04F4"/>
    <w:multiLevelType w:val="multilevel"/>
    <w:tmpl w:val="6DBF04F4"/>
    <w:lvl w:ilvl="0" w:tentative="0">
      <w:start w:val="1"/>
      <w:numFmt w:val="none"/>
      <w:pStyle w:val="58"/>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2"/>
  </w:num>
  <w:num w:numId="2">
    <w:abstractNumId w:val="7"/>
  </w:num>
  <w:num w:numId="3">
    <w:abstractNumId w:val="10"/>
  </w:num>
  <w:num w:numId="4">
    <w:abstractNumId w:val="3"/>
  </w:num>
  <w:num w:numId="5">
    <w:abstractNumId w:val="13"/>
  </w:num>
  <w:num w:numId="6">
    <w:abstractNumId w:val="22"/>
  </w:num>
  <w:num w:numId="7">
    <w:abstractNumId w:val="1"/>
  </w:num>
  <w:num w:numId="8">
    <w:abstractNumId w:val="15"/>
  </w:num>
  <w:num w:numId="9">
    <w:abstractNumId w:val="8"/>
  </w:num>
  <w:num w:numId="10">
    <w:abstractNumId w:val="6"/>
  </w:num>
  <w:num w:numId="11">
    <w:abstractNumId w:val="19"/>
  </w:num>
  <w:num w:numId="12">
    <w:abstractNumId w:val="17"/>
  </w:num>
  <w:num w:numId="13">
    <w:abstractNumId w:val="21"/>
  </w:num>
  <w:num w:numId="14">
    <w:abstractNumId w:val="9"/>
  </w:num>
  <w:num w:numId="15">
    <w:abstractNumId w:val="2"/>
  </w:num>
  <w:num w:numId="16">
    <w:abstractNumId w:val="5"/>
  </w:num>
  <w:num w:numId="17">
    <w:abstractNumId w:val="18"/>
  </w:num>
  <w:num w:numId="18">
    <w:abstractNumId w:val="4"/>
  </w:num>
  <w:num w:numId="19">
    <w:abstractNumId w:val="20"/>
  </w:num>
  <w:num w:numId="20">
    <w:abstractNumId w:val="14"/>
  </w:num>
  <w:num w:numId="21">
    <w:abstractNumId w:val="16"/>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2YTdkNzExNTNlNjI5ZDAzNjY3ZjFkMDk3N2Q5MDYifQ=="/>
    <w:docVar w:name="KSO_WPS_MARK_KEY" w:val="d79f5755-94bd-4cfb-b347-3081df05eb36"/>
  </w:docVars>
  <w:rsids>
    <w:rsidRoot w:val="00035925"/>
    <w:rsid w:val="00000244"/>
    <w:rsid w:val="0000185F"/>
    <w:rsid w:val="000057FA"/>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2CF3"/>
    <w:rsid w:val="000D3D4C"/>
    <w:rsid w:val="000D4F51"/>
    <w:rsid w:val="000D718B"/>
    <w:rsid w:val="000E0C46"/>
    <w:rsid w:val="000E5742"/>
    <w:rsid w:val="000F030C"/>
    <w:rsid w:val="000F129C"/>
    <w:rsid w:val="001056DE"/>
    <w:rsid w:val="001124C0"/>
    <w:rsid w:val="001167DB"/>
    <w:rsid w:val="0011789D"/>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A53D9"/>
    <w:rsid w:val="001B6DC2"/>
    <w:rsid w:val="001C149C"/>
    <w:rsid w:val="001C21AC"/>
    <w:rsid w:val="001C47BA"/>
    <w:rsid w:val="001C59EA"/>
    <w:rsid w:val="001D406C"/>
    <w:rsid w:val="001D41EE"/>
    <w:rsid w:val="001E0380"/>
    <w:rsid w:val="001E13B1"/>
    <w:rsid w:val="001F3A19"/>
    <w:rsid w:val="001F3D16"/>
    <w:rsid w:val="00225D5E"/>
    <w:rsid w:val="00234467"/>
    <w:rsid w:val="00237D8D"/>
    <w:rsid w:val="00241DA2"/>
    <w:rsid w:val="00247FEE"/>
    <w:rsid w:val="00250E7D"/>
    <w:rsid w:val="002527EC"/>
    <w:rsid w:val="002565D5"/>
    <w:rsid w:val="002622C0"/>
    <w:rsid w:val="00265B15"/>
    <w:rsid w:val="002778AE"/>
    <w:rsid w:val="0028269A"/>
    <w:rsid w:val="00283590"/>
    <w:rsid w:val="00286973"/>
    <w:rsid w:val="00294E70"/>
    <w:rsid w:val="002A1924"/>
    <w:rsid w:val="002A7420"/>
    <w:rsid w:val="002B0F12"/>
    <w:rsid w:val="002B1308"/>
    <w:rsid w:val="002B4554"/>
    <w:rsid w:val="002B64E4"/>
    <w:rsid w:val="002C72D8"/>
    <w:rsid w:val="002D11FA"/>
    <w:rsid w:val="002E0DDF"/>
    <w:rsid w:val="002E2906"/>
    <w:rsid w:val="002E363B"/>
    <w:rsid w:val="002E5635"/>
    <w:rsid w:val="002E64C3"/>
    <w:rsid w:val="002E6A2C"/>
    <w:rsid w:val="002F1D8C"/>
    <w:rsid w:val="002F21DA"/>
    <w:rsid w:val="00301F39"/>
    <w:rsid w:val="00303A05"/>
    <w:rsid w:val="00325926"/>
    <w:rsid w:val="00327A8A"/>
    <w:rsid w:val="00336610"/>
    <w:rsid w:val="00342C71"/>
    <w:rsid w:val="00343F73"/>
    <w:rsid w:val="00345060"/>
    <w:rsid w:val="0035323B"/>
    <w:rsid w:val="003609D2"/>
    <w:rsid w:val="00363F22"/>
    <w:rsid w:val="00375564"/>
    <w:rsid w:val="00383191"/>
    <w:rsid w:val="00386DED"/>
    <w:rsid w:val="003912E7"/>
    <w:rsid w:val="003937FF"/>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262B1"/>
    <w:rsid w:val="00431DEB"/>
    <w:rsid w:val="00446B29"/>
    <w:rsid w:val="00451FFE"/>
    <w:rsid w:val="00453F9A"/>
    <w:rsid w:val="00457088"/>
    <w:rsid w:val="00471E91"/>
    <w:rsid w:val="00474675"/>
    <w:rsid w:val="0047470C"/>
    <w:rsid w:val="004A35F9"/>
    <w:rsid w:val="004B24C1"/>
    <w:rsid w:val="004C06BB"/>
    <w:rsid w:val="004C292F"/>
    <w:rsid w:val="004C40B0"/>
    <w:rsid w:val="00510280"/>
    <w:rsid w:val="0051353E"/>
    <w:rsid w:val="00513D73"/>
    <w:rsid w:val="00514A43"/>
    <w:rsid w:val="005174E5"/>
    <w:rsid w:val="00522393"/>
    <w:rsid w:val="00522620"/>
    <w:rsid w:val="00525656"/>
    <w:rsid w:val="0053294B"/>
    <w:rsid w:val="00534C02"/>
    <w:rsid w:val="0054264B"/>
    <w:rsid w:val="00543786"/>
    <w:rsid w:val="005533D7"/>
    <w:rsid w:val="005703DE"/>
    <w:rsid w:val="00575526"/>
    <w:rsid w:val="0058464E"/>
    <w:rsid w:val="00593B48"/>
    <w:rsid w:val="005A01CB"/>
    <w:rsid w:val="005A58FF"/>
    <w:rsid w:val="005A5EAF"/>
    <w:rsid w:val="005A64C0"/>
    <w:rsid w:val="005A6F61"/>
    <w:rsid w:val="005B0026"/>
    <w:rsid w:val="005B3C11"/>
    <w:rsid w:val="005B5871"/>
    <w:rsid w:val="005C1C28"/>
    <w:rsid w:val="005C6DB5"/>
    <w:rsid w:val="005D675C"/>
    <w:rsid w:val="005E0865"/>
    <w:rsid w:val="005E19E7"/>
    <w:rsid w:val="005F0D35"/>
    <w:rsid w:val="005F716D"/>
    <w:rsid w:val="00604AF6"/>
    <w:rsid w:val="006071D8"/>
    <w:rsid w:val="0061716C"/>
    <w:rsid w:val="006243A1"/>
    <w:rsid w:val="00626B00"/>
    <w:rsid w:val="00632E56"/>
    <w:rsid w:val="00635CBA"/>
    <w:rsid w:val="0064338B"/>
    <w:rsid w:val="00646542"/>
    <w:rsid w:val="006504F4"/>
    <w:rsid w:val="006518E1"/>
    <w:rsid w:val="00654BC9"/>
    <w:rsid w:val="006552FD"/>
    <w:rsid w:val="00663AF3"/>
    <w:rsid w:val="00666B6C"/>
    <w:rsid w:val="00682682"/>
    <w:rsid w:val="00682702"/>
    <w:rsid w:val="00682CAE"/>
    <w:rsid w:val="00692368"/>
    <w:rsid w:val="006931BA"/>
    <w:rsid w:val="006A2EBC"/>
    <w:rsid w:val="006A5EA0"/>
    <w:rsid w:val="006A783B"/>
    <w:rsid w:val="006A7B33"/>
    <w:rsid w:val="006B4E13"/>
    <w:rsid w:val="006B75DD"/>
    <w:rsid w:val="006C67E0"/>
    <w:rsid w:val="006C7ABA"/>
    <w:rsid w:val="006D0A94"/>
    <w:rsid w:val="006D0D60"/>
    <w:rsid w:val="006D1122"/>
    <w:rsid w:val="006D3C00"/>
    <w:rsid w:val="006D6CF4"/>
    <w:rsid w:val="006E3675"/>
    <w:rsid w:val="006E4A7F"/>
    <w:rsid w:val="00704DF6"/>
    <w:rsid w:val="0070651C"/>
    <w:rsid w:val="007132A3"/>
    <w:rsid w:val="007140B0"/>
    <w:rsid w:val="00716421"/>
    <w:rsid w:val="00720725"/>
    <w:rsid w:val="00724EFB"/>
    <w:rsid w:val="007419C3"/>
    <w:rsid w:val="00744F22"/>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1CB"/>
    <w:rsid w:val="007C728E"/>
    <w:rsid w:val="007D2C53"/>
    <w:rsid w:val="007D3D60"/>
    <w:rsid w:val="007E1980"/>
    <w:rsid w:val="007E4B76"/>
    <w:rsid w:val="007E5EA8"/>
    <w:rsid w:val="007F0CF1"/>
    <w:rsid w:val="007F12A5"/>
    <w:rsid w:val="007F4CF1"/>
    <w:rsid w:val="007F6CAB"/>
    <w:rsid w:val="007F758D"/>
    <w:rsid w:val="007F7D52"/>
    <w:rsid w:val="0080654C"/>
    <w:rsid w:val="008071C6"/>
    <w:rsid w:val="00817A00"/>
    <w:rsid w:val="00835DB3"/>
    <w:rsid w:val="0083617B"/>
    <w:rsid w:val="008371BD"/>
    <w:rsid w:val="008504A8"/>
    <w:rsid w:val="0085282E"/>
    <w:rsid w:val="00853397"/>
    <w:rsid w:val="0087198C"/>
    <w:rsid w:val="00872C1F"/>
    <w:rsid w:val="00873B42"/>
    <w:rsid w:val="0087569A"/>
    <w:rsid w:val="00875D0E"/>
    <w:rsid w:val="008856D8"/>
    <w:rsid w:val="00892E82"/>
    <w:rsid w:val="008B319F"/>
    <w:rsid w:val="008C1B58"/>
    <w:rsid w:val="008C39AE"/>
    <w:rsid w:val="008C590D"/>
    <w:rsid w:val="008D389A"/>
    <w:rsid w:val="008E031B"/>
    <w:rsid w:val="008E7029"/>
    <w:rsid w:val="008E7EF6"/>
    <w:rsid w:val="008F0AB1"/>
    <w:rsid w:val="008F1F98"/>
    <w:rsid w:val="008F6758"/>
    <w:rsid w:val="008F6F8E"/>
    <w:rsid w:val="00902BB4"/>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87C99"/>
    <w:rsid w:val="00994E8F"/>
    <w:rsid w:val="009951DC"/>
    <w:rsid w:val="009959BB"/>
    <w:rsid w:val="00997158"/>
    <w:rsid w:val="009A1FB6"/>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B04182"/>
    <w:rsid w:val="00B07495"/>
    <w:rsid w:val="00B07AE3"/>
    <w:rsid w:val="00B11430"/>
    <w:rsid w:val="00B23424"/>
    <w:rsid w:val="00B3006D"/>
    <w:rsid w:val="00B32ED6"/>
    <w:rsid w:val="00B353EB"/>
    <w:rsid w:val="00B439C4"/>
    <w:rsid w:val="00B4535E"/>
    <w:rsid w:val="00B52A8C"/>
    <w:rsid w:val="00B57A87"/>
    <w:rsid w:val="00B62CFB"/>
    <w:rsid w:val="00B636A8"/>
    <w:rsid w:val="00B665C6"/>
    <w:rsid w:val="00B805AF"/>
    <w:rsid w:val="00B869EC"/>
    <w:rsid w:val="00B9397A"/>
    <w:rsid w:val="00B9633D"/>
    <w:rsid w:val="00BA0B75"/>
    <w:rsid w:val="00BA2EBE"/>
    <w:rsid w:val="00BB0F28"/>
    <w:rsid w:val="00BB458A"/>
    <w:rsid w:val="00BB4723"/>
    <w:rsid w:val="00BB54A7"/>
    <w:rsid w:val="00BD00D3"/>
    <w:rsid w:val="00BD1659"/>
    <w:rsid w:val="00BD3AA9"/>
    <w:rsid w:val="00BD4A18"/>
    <w:rsid w:val="00BD6DB2"/>
    <w:rsid w:val="00BE11CF"/>
    <w:rsid w:val="00BE21AB"/>
    <w:rsid w:val="00BE55CB"/>
    <w:rsid w:val="00BF617A"/>
    <w:rsid w:val="00BF6FCE"/>
    <w:rsid w:val="00C0379D"/>
    <w:rsid w:val="00C03931"/>
    <w:rsid w:val="00C03DD5"/>
    <w:rsid w:val="00C0519C"/>
    <w:rsid w:val="00C05FE3"/>
    <w:rsid w:val="00C1162E"/>
    <w:rsid w:val="00C1614B"/>
    <w:rsid w:val="00C2136D"/>
    <w:rsid w:val="00C214EE"/>
    <w:rsid w:val="00C2314B"/>
    <w:rsid w:val="00C24971"/>
    <w:rsid w:val="00C26BE5"/>
    <w:rsid w:val="00C26E4D"/>
    <w:rsid w:val="00C27909"/>
    <w:rsid w:val="00C27B03"/>
    <w:rsid w:val="00C314E1"/>
    <w:rsid w:val="00C34397"/>
    <w:rsid w:val="00C3788B"/>
    <w:rsid w:val="00C404C7"/>
    <w:rsid w:val="00C4095D"/>
    <w:rsid w:val="00C601D2"/>
    <w:rsid w:val="00C65BCC"/>
    <w:rsid w:val="00C66970"/>
    <w:rsid w:val="00C8691C"/>
    <w:rsid w:val="00CA0595"/>
    <w:rsid w:val="00CA168A"/>
    <w:rsid w:val="00CA357E"/>
    <w:rsid w:val="00CA44F9"/>
    <w:rsid w:val="00CA4A69"/>
    <w:rsid w:val="00CA57F6"/>
    <w:rsid w:val="00CC3E0C"/>
    <w:rsid w:val="00CC58D3"/>
    <w:rsid w:val="00CC784D"/>
    <w:rsid w:val="00CD1BA7"/>
    <w:rsid w:val="00D0337B"/>
    <w:rsid w:val="00D079B2"/>
    <w:rsid w:val="00D114E9"/>
    <w:rsid w:val="00D30340"/>
    <w:rsid w:val="00D429C6"/>
    <w:rsid w:val="00D47748"/>
    <w:rsid w:val="00D54CC3"/>
    <w:rsid w:val="00D6041A"/>
    <w:rsid w:val="00D633EB"/>
    <w:rsid w:val="00D80EC8"/>
    <w:rsid w:val="00D82FF7"/>
    <w:rsid w:val="00D847FE"/>
    <w:rsid w:val="00D964EA"/>
    <w:rsid w:val="00D966D0"/>
    <w:rsid w:val="00DA0C59"/>
    <w:rsid w:val="00DA1B56"/>
    <w:rsid w:val="00DA3991"/>
    <w:rsid w:val="00DB0990"/>
    <w:rsid w:val="00DB7E6C"/>
    <w:rsid w:val="00DD2F74"/>
    <w:rsid w:val="00DD5A29"/>
    <w:rsid w:val="00DD5D9D"/>
    <w:rsid w:val="00DE1D90"/>
    <w:rsid w:val="00DE35CB"/>
    <w:rsid w:val="00DE42E6"/>
    <w:rsid w:val="00DE7C48"/>
    <w:rsid w:val="00DF21E9"/>
    <w:rsid w:val="00DF45F4"/>
    <w:rsid w:val="00E00F14"/>
    <w:rsid w:val="00E06386"/>
    <w:rsid w:val="00E24EB4"/>
    <w:rsid w:val="00E320ED"/>
    <w:rsid w:val="00E33AFB"/>
    <w:rsid w:val="00E34218"/>
    <w:rsid w:val="00E46282"/>
    <w:rsid w:val="00E5216E"/>
    <w:rsid w:val="00E63C47"/>
    <w:rsid w:val="00E82344"/>
    <w:rsid w:val="00E84C82"/>
    <w:rsid w:val="00E84D64"/>
    <w:rsid w:val="00E87408"/>
    <w:rsid w:val="00E914C4"/>
    <w:rsid w:val="00E934F5"/>
    <w:rsid w:val="00E96961"/>
    <w:rsid w:val="00EA72EC"/>
    <w:rsid w:val="00EB11CB"/>
    <w:rsid w:val="00EB275A"/>
    <w:rsid w:val="00EB72CB"/>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5DE0"/>
    <w:rsid w:val="00FA6684"/>
    <w:rsid w:val="00FA731E"/>
    <w:rsid w:val="00FB2B38"/>
    <w:rsid w:val="00FB742E"/>
    <w:rsid w:val="00FC43C9"/>
    <w:rsid w:val="00FC6358"/>
    <w:rsid w:val="00FD01CF"/>
    <w:rsid w:val="00FD320D"/>
    <w:rsid w:val="00FE23DE"/>
    <w:rsid w:val="01877BD3"/>
    <w:rsid w:val="02373A39"/>
    <w:rsid w:val="028B47C0"/>
    <w:rsid w:val="02C736DC"/>
    <w:rsid w:val="02E03B0B"/>
    <w:rsid w:val="0361681B"/>
    <w:rsid w:val="03844F06"/>
    <w:rsid w:val="03F71F4B"/>
    <w:rsid w:val="04186825"/>
    <w:rsid w:val="05722C60"/>
    <w:rsid w:val="0615421B"/>
    <w:rsid w:val="065D710A"/>
    <w:rsid w:val="07F10452"/>
    <w:rsid w:val="0802440D"/>
    <w:rsid w:val="08932D0B"/>
    <w:rsid w:val="08962C9D"/>
    <w:rsid w:val="08A7247E"/>
    <w:rsid w:val="093D5E89"/>
    <w:rsid w:val="097C3D4B"/>
    <w:rsid w:val="098D77F0"/>
    <w:rsid w:val="0A837C8B"/>
    <w:rsid w:val="0CAC2B9A"/>
    <w:rsid w:val="0D0135C9"/>
    <w:rsid w:val="0DCD1019"/>
    <w:rsid w:val="0DD472C1"/>
    <w:rsid w:val="0DF41BB9"/>
    <w:rsid w:val="0E197090"/>
    <w:rsid w:val="0EE03254"/>
    <w:rsid w:val="0F323677"/>
    <w:rsid w:val="10AC3B21"/>
    <w:rsid w:val="10F12E4C"/>
    <w:rsid w:val="11587408"/>
    <w:rsid w:val="116E4786"/>
    <w:rsid w:val="12E25F05"/>
    <w:rsid w:val="131B7848"/>
    <w:rsid w:val="13B0545B"/>
    <w:rsid w:val="13DD528A"/>
    <w:rsid w:val="14B4083D"/>
    <w:rsid w:val="14BB13AA"/>
    <w:rsid w:val="14FC60B6"/>
    <w:rsid w:val="16243949"/>
    <w:rsid w:val="16370DF4"/>
    <w:rsid w:val="1659344F"/>
    <w:rsid w:val="169F1079"/>
    <w:rsid w:val="16D20F0D"/>
    <w:rsid w:val="178766DD"/>
    <w:rsid w:val="17C07A71"/>
    <w:rsid w:val="18137F71"/>
    <w:rsid w:val="18FC2A9E"/>
    <w:rsid w:val="19D4533A"/>
    <w:rsid w:val="1ACF3335"/>
    <w:rsid w:val="1B097409"/>
    <w:rsid w:val="1BBA5F97"/>
    <w:rsid w:val="1C0A27FE"/>
    <w:rsid w:val="1CDD6D9F"/>
    <w:rsid w:val="1E72416F"/>
    <w:rsid w:val="220E052A"/>
    <w:rsid w:val="2294667F"/>
    <w:rsid w:val="22A04AF7"/>
    <w:rsid w:val="22F83FEB"/>
    <w:rsid w:val="232941D2"/>
    <w:rsid w:val="251A6B46"/>
    <w:rsid w:val="2551495F"/>
    <w:rsid w:val="25687E48"/>
    <w:rsid w:val="263A491A"/>
    <w:rsid w:val="26462E73"/>
    <w:rsid w:val="26EE7BC3"/>
    <w:rsid w:val="28D92B11"/>
    <w:rsid w:val="2A1F52A2"/>
    <w:rsid w:val="2B473FAA"/>
    <w:rsid w:val="2B540226"/>
    <w:rsid w:val="2C770676"/>
    <w:rsid w:val="2CAE26BD"/>
    <w:rsid w:val="2CB371D5"/>
    <w:rsid w:val="2CE675AA"/>
    <w:rsid w:val="2D4F15F3"/>
    <w:rsid w:val="2D5D6AE7"/>
    <w:rsid w:val="2D6706EB"/>
    <w:rsid w:val="2DB71530"/>
    <w:rsid w:val="2E652751"/>
    <w:rsid w:val="300F48F1"/>
    <w:rsid w:val="302D0237"/>
    <w:rsid w:val="3069477A"/>
    <w:rsid w:val="30E975BE"/>
    <w:rsid w:val="310C0066"/>
    <w:rsid w:val="31175F84"/>
    <w:rsid w:val="311E37B6"/>
    <w:rsid w:val="31AB2B70"/>
    <w:rsid w:val="332632A4"/>
    <w:rsid w:val="33D93B0A"/>
    <w:rsid w:val="35406C78"/>
    <w:rsid w:val="35780008"/>
    <w:rsid w:val="359E3FEE"/>
    <w:rsid w:val="35BB54FB"/>
    <w:rsid w:val="36DB2974"/>
    <w:rsid w:val="36EC252C"/>
    <w:rsid w:val="36F942BF"/>
    <w:rsid w:val="37450ADB"/>
    <w:rsid w:val="381A61E6"/>
    <w:rsid w:val="38714F0C"/>
    <w:rsid w:val="3A0601C2"/>
    <w:rsid w:val="3B046D71"/>
    <w:rsid w:val="3B2813CD"/>
    <w:rsid w:val="3B9303C7"/>
    <w:rsid w:val="3C756255"/>
    <w:rsid w:val="3CED2681"/>
    <w:rsid w:val="3D325373"/>
    <w:rsid w:val="3D78598F"/>
    <w:rsid w:val="3D8E3B41"/>
    <w:rsid w:val="3D9C6C77"/>
    <w:rsid w:val="3E1128E6"/>
    <w:rsid w:val="3E3942CD"/>
    <w:rsid w:val="400819D1"/>
    <w:rsid w:val="402F053B"/>
    <w:rsid w:val="40907B01"/>
    <w:rsid w:val="4101455B"/>
    <w:rsid w:val="41046224"/>
    <w:rsid w:val="423F296A"/>
    <w:rsid w:val="434A043B"/>
    <w:rsid w:val="43B92ECB"/>
    <w:rsid w:val="4413082D"/>
    <w:rsid w:val="461311A7"/>
    <w:rsid w:val="475B787A"/>
    <w:rsid w:val="47607747"/>
    <w:rsid w:val="48577D5B"/>
    <w:rsid w:val="494774EF"/>
    <w:rsid w:val="49784602"/>
    <w:rsid w:val="498872D5"/>
    <w:rsid w:val="4A195B39"/>
    <w:rsid w:val="4AA93C99"/>
    <w:rsid w:val="4AC46D25"/>
    <w:rsid w:val="4AEC627C"/>
    <w:rsid w:val="4BD96800"/>
    <w:rsid w:val="4C3103EA"/>
    <w:rsid w:val="4C491037"/>
    <w:rsid w:val="4CC44379"/>
    <w:rsid w:val="4CF66F3E"/>
    <w:rsid w:val="4DA056C3"/>
    <w:rsid w:val="4E24470E"/>
    <w:rsid w:val="4E37780E"/>
    <w:rsid w:val="4E5C7274"/>
    <w:rsid w:val="4F0C7551"/>
    <w:rsid w:val="4F147EC6"/>
    <w:rsid w:val="4F1D5FDA"/>
    <w:rsid w:val="4F7A3CCF"/>
    <w:rsid w:val="50D6330E"/>
    <w:rsid w:val="51145BE4"/>
    <w:rsid w:val="51423BD9"/>
    <w:rsid w:val="518965D2"/>
    <w:rsid w:val="53227B62"/>
    <w:rsid w:val="536037D6"/>
    <w:rsid w:val="53D55AFF"/>
    <w:rsid w:val="54332F77"/>
    <w:rsid w:val="54F11FC4"/>
    <w:rsid w:val="55A52421"/>
    <w:rsid w:val="569E17C6"/>
    <w:rsid w:val="57373CFB"/>
    <w:rsid w:val="579D7A86"/>
    <w:rsid w:val="586C40C7"/>
    <w:rsid w:val="588C69A8"/>
    <w:rsid w:val="58C15EA3"/>
    <w:rsid w:val="5AD3266C"/>
    <w:rsid w:val="5BF25C4B"/>
    <w:rsid w:val="5D015BB7"/>
    <w:rsid w:val="5D546677"/>
    <w:rsid w:val="5D6F2B20"/>
    <w:rsid w:val="5EBC45B7"/>
    <w:rsid w:val="5ED160A5"/>
    <w:rsid w:val="5F6366B5"/>
    <w:rsid w:val="5F6B5569"/>
    <w:rsid w:val="5FE1471A"/>
    <w:rsid w:val="602441E8"/>
    <w:rsid w:val="60507AC5"/>
    <w:rsid w:val="609805E0"/>
    <w:rsid w:val="610D74CC"/>
    <w:rsid w:val="627110E9"/>
    <w:rsid w:val="629848C7"/>
    <w:rsid w:val="634C3904"/>
    <w:rsid w:val="646B7360"/>
    <w:rsid w:val="64794284"/>
    <w:rsid w:val="64D15F80"/>
    <w:rsid w:val="64E509C1"/>
    <w:rsid w:val="65AB66C0"/>
    <w:rsid w:val="65B37C6A"/>
    <w:rsid w:val="65F362B8"/>
    <w:rsid w:val="669939F0"/>
    <w:rsid w:val="67BF129E"/>
    <w:rsid w:val="67C3426E"/>
    <w:rsid w:val="67E70CB8"/>
    <w:rsid w:val="68802085"/>
    <w:rsid w:val="689217A7"/>
    <w:rsid w:val="689F76CE"/>
    <w:rsid w:val="693F2A57"/>
    <w:rsid w:val="694A37F8"/>
    <w:rsid w:val="697D1A21"/>
    <w:rsid w:val="69F745C9"/>
    <w:rsid w:val="6A3D3FA6"/>
    <w:rsid w:val="6A995680"/>
    <w:rsid w:val="6B451364"/>
    <w:rsid w:val="6B463390"/>
    <w:rsid w:val="6B6E08BB"/>
    <w:rsid w:val="6B8F25DF"/>
    <w:rsid w:val="6BD12BF8"/>
    <w:rsid w:val="6BDA26F9"/>
    <w:rsid w:val="6BDB75D3"/>
    <w:rsid w:val="6C1F0271"/>
    <w:rsid w:val="6C4C227F"/>
    <w:rsid w:val="6C601510"/>
    <w:rsid w:val="6D4A4A10"/>
    <w:rsid w:val="6E0C43BB"/>
    <w:rsid w:val="6E126A90"/>
    <w:rsid w:val="6E777A87"/>
    <w:rsid w:val="6F511115"/>
    <w:rsid w:val="6FA63FD2"/>
    <w:rsid w:val="6FAC5D4C"/>
    <w:rsid w:val="6FFC58A5"/>
    <w:rsid w:val="709A4DEA"/>
    <w:rsid w:val="70F80C27"/>
    <w:rsid w:val="71F378A4"/>
    <w:rsid w:val="72564634"/>
    <w:rsid w:val="72813302"/>
    <w:rsid w:val="73EF5392"/>
    <w:rsid w:val="7535244A"/>
    <w:rsid w:val="75EB0D5A"/>
    <w:rsid w:val="76D939F8"/>
    <w:rsid w:val="773825EE"/>
    <w:rsid w:val="77824D6A"/>
    <w:rsid w:val="781F3285"/>
    <w:rsid w:val="78872FBC"/>
    <w:rsid w:val="7A161A0D"/>
    <w:rsid w:val="7A540C7C"/>
    <w:rsid w:val="7B0B1C88"/>
    <w:rsid w:val="7B605063"/>
    <w:rsid w:val="7C461570"/>
    <w:rsid w:val="7CB35D3D"/>
    <w:rsid w:val="7D0B2DE5"/>
    <w:rsid w:val="7D1D50FB"/>
    <w:rsid w:val="7D32101D"/>
    <w:rsid w:val="7EDC652F"/>
    <w:rsid w:val="7EF40A3A"/>
    <w:rsid w:val="7F0A2251"/>
    <w:rsid w:val="7F3E639F"/>
    <w:rsid w:val="7FA27C7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4"/>
    <w:qFormat/>
    <w:uiPriority w:val="9"/>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35">
    <w:name w:val="Default Paragraph Font"/>
    <w:semiHidden/>
    <w:qFormat/>
    <w:uiPriority w:val="0"/>
  </w:style>
  <w:style w:type="table" w:default="1" w:styleId="33">
    <w:name w:val="Normal Table"/>
    <w:semiHidden/>
    <w:qFormat/>
    <w:uiPriority w:val="0"/>
    <w:tblPr>
      <w:tblCellMar>
        <w:top w:w="0" w:type="dxa"/>
        <w:left w:w="108" w:type="dxa"/>
        <w:bottom w:w="0" w:type="dxa"/>
        <w:right w:w="108" w:type="dxa"/>
      </w:tblCellMar>
    </w:tblPr>
  </w:style>
  <w:style w:type="paragraph" w:styleId="5">
    <w:name w:val="toc 7"/>
    <w:basedOn w:val="1"/>
    <w:next w:val="1"/>
    <w:semiHidden/>
    <w:qFormat/>
    <w:uiPriority w:val="0"/>
    <w:pPr>
      <w:tabs>
        <w:tab w:val="right" w:leader="dot" w:pos="9241"/>
      </w:tabs>
      <w:ind w:firstLine="505" w:firstLineChars="500"/>
      <w:jc w:val="left"/>
    </w:pPr>
    <w:rPr>
      <w:rFonts w:ascii="宋体"/>
      <w:szCs w:val="21"/>
    </w:rPr>
  </w:style>
  <w:style w:type="paragraph" w:styleId="6">
    <w:name w:val="index 8"/>
    <w:basedOn w:val="1"/>
    <w:next w:val="1"/>
    <w:qFormat/>
    <w:uiPriority w:val="0"/>
    <w:pPr>
      <w:ind w:left="1680" w:hanging="210"/>
      <w:jc w:val="left"/>
    </w:pPr>
    <w:rPr>
      <w:rFonts w:ascii="Calibri" w:hAnsi="Calibri"/>
      <w:sz w:val="20"/>
      <w:szCs w:val="20"/>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qFormat/>
    <w:uiPriority w:val="0"/>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semiHidden/>
    <w:qFormat/>
    <w:uiPriority w:val="0"/>
    <w:pPr>
      <w:tabs>
        <w:tab w:val="right" w:leader="dot" w:pos="9241"/>
      </w:tabs>
      <w:ind w:firstLine="102"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Body Text Indent 2"/>
    <w:basedOn w:val="1"/>
    <w:next w:val="1"/>
    <w:qFormat/>
    <w:uiPriority w:val="0"/>
    <w:pPr>
      <w:ind w:firstLine="640" w:firstLineChars="200"/>
    </w:pPr>
    <w:rPr>
      <w:rFonts w:ascii="仿宋_GB2312" w:hAnsi="华文中宋" w:eastAsia="仿宋_GB2312" w:cs="Times New Roman"/>
      <w:sz w:val="32"/>
      <w:szCs w:val="32"/>
    </w:rPr>
  </w:style>
  <w:style w:type="paragraph" w:styleId="18">
    <w:name w:val="endnote text"/>
    <w:basedOn w:val="1"/>
    <w:semiHidden/>
    <w:qFormat/>
    <w:uiPriority w:val="0"/>
    <w:pPr>
      <w:snapToGrid w:val="0"/>
      <w:jc w:val="left"/>
    </w:pPr>
  </w:style>
  <w:style w:type="paragraph" w:styleId="19">
    <w:name w:val="footer"/>
    <w:basedOn w:val="1"/>
    <w:qFormat/>
    <w:uiPriority w:val="0"/>
    <w:pPr>
      <w:snapToGrid w:val="0"/>
      <w:ind w:right="210" w:rightChars="100"/>
      <w:jc w:val="right"/>
    </w:pPr>
    <w:rPr>
      <w:sz w:val="18"/>
      <w:szCs w:val="18"/>
    </w:rPr>
  </w:style>
  <w:style w:type="paragraph" w:styleId="20">
    <w:name w:val="header"/>
    <w:basedOn w:val="1"/>
    <w:qFormat/>
    <w:uiPriority w:val="0"/>
    <w:pPr>
      <w:snapToGrid w:val="0"/>
      <w:jc w:val="left"/>
    </w:pPr>
    <w:rPr>
      <w:sz w:val="18"/>
      <w:szCs w:val="18"/>
    </w:rPr>
  </w:style>
  <w:style w:type="paragraph" w:styleId="21">
    <w:name w:val="toc 1"/>
    <w:basedOn w:val="1"/>
    <w:next w:val="1"/>
    <w:semiHidden/>
    <w:qFormat/>
    <w:uiPriority w:val="0"/>
    <w:pPr>
      <w:tabs>
        <w:tab w:val="right" w:leader="dot" w:pos="9241"/>
      </w:tabs>
      <w:spacing w:before="25" w:beforeLines="25" w:after="25" w:afterLines="25"/>
      <w:jc w:val="left"/>
    </w:pPr>
    <w:rPr>
      <w:rFonts w:ascii="宋体"/>
      <w:szCs w:val="21"/>
    </w:rPr>
  </w:style>
  <w:style w:type="paragraph" w:styleId="22">
    <w:name w:val="toc 4"/>
    <w:basedOn w:val="1"/>
    <w:next w:val="1"/>
    <w:semiHidden/>
    <w:qFormat/>
    <w:uiPriority w:val="0"/>
    <w:pPr>
      <w:tabs>
        <w:tab w:val="right" w:leader="dot" w:pos="9241"/>
      </w:tabs>
      <w:ind w:firstLine="198"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3"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semiHidden/>
    <w:qFormat/>
    <w:uiPriority w:val="0"/>
    <w:pPr>
      <w:tabs>
        <w:tab w:val="right" w:leader="dot" w:pos="9241"/>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6">
    <w:name w:val="endnote reference"/>
    <w:semiHidden/>
    <w:qFormat/>
    <w:uiPriority w:val="0"/>
    <w:rPr>
      <w:vertAlign w:val="superscript"/>
    </w:rPr>
  </w:style>
  <w:style w:type="character" w:styleId="37">
    <w:name w:val="page number"/>
    <w:qFormat/>
    <w:uiPriority w:val="0"/>
    <w:rPr>
      <w:rFonts w:ascii="Times New Roman" w:hAnsi="Times New Roman" w:eastAsia="宋体"/>
      <w:sz w:val="18"/>
    </w:rPr>
  </w:style>
  <w:style w:type="character" w:styleId="38">
    <w:name w:val="FollowedHyperlink"/>
    <w:qFormat/>
    <w:uiPriority w:val="0"/>
    <w:rPr>
      <w:color w:val="800080"/>
      <w:u w:val="single"/>
    </w:rPr>
  </w:style>
  <w:style w:type="character" w:styleId="39">
    <w:name w:val="Emphasis"/>
    <w:basedOn w:val="35"/>
    <w:qFormat/>
    <w:uiPriority w:val="0"/>
    <w:rPr>
      <w:i/>
    </w:rPr>
  </w:style>
  <w:style w:type="character" w:styleId="40">
    <w:name w:val="Hyperlink"/>
    <w:qFormat/>
    <w:uiPriority w:val="0"/>
    <w:rPr>
      <w:color w:val="0000FF"/>
      <w:spacing w:val="0"/>
      <w:w w:val="100"/>
      <w:szCs w:val="21"/>
      <w:u w:val="single"/>
    </w:rPr>
  </w:style>
  <w:style w:type="character" w:styleId="41">
    <w:name w:val="footnote reference"/>
    <w:semiHidden/>
    <w:qFormat/>
    <w:uiPriority w:val="0"/>
    <w:rPr>
      <w:vertAlign w:val="superscript"/>
    </w:rPr>
  </w:style>
  <w:style w:type="character" w:customStyle="1" w:styleId="42">
    <w:name w:val="段 Char"/>
    <w:link w:val="25"/>
    <w:qFormat/>
    <w:uiPriority w:val="0"/>
    <w:rPr>
      <w:rFonts w:ascii="宋体"/>
      <w:sz w:val="21"/>
      <w:lang w:val="en-US" w:eastAsia="zh-CN" w:bidi="ar-SA"/>
    </w:rPr>
  </w:style>
  <w:style w:type="paragraph" w:customStyle="1" w:styleId="43">
    <w:name w:val="一级条标题"/>
    <w:next w:val="25"/>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章标题"/>
    <w:next w:val="25"/>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7">
    <w:name w:val="二级条标题"/>
    <w:basedOn w:val="43"/>
    <w:next w:val="25"/>
    <w:qFormat/>
    <w:uiPriority w:val="0"/>
    <w:pPr>
      <w:numPr>
        <w:ilvl w:val="2"/>
        <w:numId w:val="2"/>
      </w:numPr>
      <w:spacing w:before="50" w:after="50"/>
      <w:outlineLvl w:val="3"/>
    </w:pPr>
  </w:style>
  <w:style w:type="paragraph" w:customStyle="1" w:styleId="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9">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0">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1">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47"/>
    <w:next w:val="25"/>
    <w:qFormat/>
    <w:uiPriority w:val="0"/>
    <w:pPr>
      <w:numPr>
        <w:ilvl w:val="0"/>
        <w:numId w:val="0"/>
      </w:numPr>
      <w:outlineLvl w:val="4"/>
    </w:p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6">
    <w:name w:val="四级条标题"/>
    <w:basedOn w:val="52"/>
    <w:next w:val="25"/>
    <w:qFormat/>
    <w:uiPriority w:val="0"/>
    <w:pPr>
      <w:numPr>
        <w:ilvl w:val="4"/>
        <w:numId w:val="2"/>
      </w:numPr>
      <w:outlineLvl w:val="5"/>
    </w:pPr>
  </w:style>
  <w:style w:type="paragraph" w:customStyle="1" w:styleId="57">
    <w:name w:val="五级条标题"/>
    <w:basedOn w:val="56"/>
    <w:next w:val="25"/>
    <w:qFormat/>
    <w:uiPriority w:val="0"/>
    <w:pPr>
      <w:numPr>
        <w:ilvl w:val="5"/>
        <w:numId w:val="2"/>
      </w:numPr>
      <w:outlineLvl w:val="6"/>
    </w:pPr>
  </w:style>
  <w:style w:type="paragraph" w:customStyle="1" w:styleId="58">
    <w:name w:val="注："/>
    <w:next w:val="25"/>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9">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0">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1">
    <w:name w:val="列项◆（三级）"/>
    <w:basedOn w:val="1"/>
    <w:qFormat/>
    <w:uiPriority w:val="0"/>
    <w:pPr>
      <w:numPr>
        <w:ilvl w:val="2"/>
        <w:numId w:val="3"/>
      </w:numPr>
    </w:pPr>
    <w:rPr>
      <w:rFonts w:ascii="宋体"/>
      <w:szCs w:val="21"/>
    </w:rPr>
  </w:style>
  <w:style w:type="paragraph" w:customStyle="1" w:styleId="62">
    <w:name w:val="编号列项（三级）"/>
    <w:qFormat/>
    <w:uiPriority w:val="0"/>
    <w:rPr>
      <w:rFonts w:ascii="宋体" w:hAnsi="Times New Roman" w:eastAsia="宋体" w:cs="Times New Roman"/>
      <w:sz w:val="21"/>
      <w:lang w:val="en-US" w:eastAsia="zh-CN" w:bidi="ar-SA"/>
    </w:rPr>
  </w:style>
  <w:style w:type="paragraph" w:customStyle="1" w:styleId="63">
    <w:name w:val="示例×："/>
    <w:basedOn w:val="46"/>
    <w:qFormat/>
    <w:uiPriority w:val="0"/>
    <w:pPr>
      <w:numPr>
        <w:ilvl w:val="0"/>
        <w:numId w:val="8"/>
      </w:numPr>
      <w:spacing w:before="0" w:beforeLines="0" w:after="0" w:afterLines="0"/>
      <w:outlineLvl w:val="9"/>
    </w:pPr>
    <w:rPr>
      <w:rFonts w:ascii="宋体" w:eastAsia="宋体"/>
      <w:sz w:val="18"/>
      <w:szCs w:val="18"/>
    </w:rPr>
  </w:style>
  <w:style w:type="paragraph" w:customStyle="1" w:styleId="64">
    <w:name w:val="二级无"/>
    <w:basedOn w:val="47"/>
    <w:qFormat/>
    <w:uiPriority w:val="0"/>
    <w:pPr>
      <w:spacing w:before="0" w:beforeLines="0" w:after="0" w:afterLines="0"/>
    </w:pPr>
    <w:rPr>
      <w:rFonts w:ascii="宋体" w:eastAsia="宋体"/>
    </w:rPr>
  </w:style>
  <w:style w:type="paragraph" w:customStyle="1" w:styleId="65">
    <w:name w:val="注：（正文）"/>
    <w:basedOn w:val="58"/>
    <w:next w:val="25"/>
    <w:qFormat/>
    <w:uiPriority w:val="0"/>
    <w:pPr>
      <w:numPr>
        <w:ilvl w:val="0"/>
        <w:numId w:val="9"/>
      </w:numPr>
    </w:pPr>
  </w:style>
  <w:style w:type="paragraph" w:customStyle="1" w:styleId="66">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0">
    <w:name w:val="标准书眉_偶数页"/>
    <w:basedOn w:val="45"/>
    <w:next w:val="1"/>
    <w:qFormat/>
    <w:uiPriority w:val="0"/>
    <w:pPr>
      <w:jc w:val="left"/>
    </w:pPr>
    <w:rPr>
      <w:rFonts w:ascii="黑体" w:eastAsia="黑体"/>
    </w:rPr>
  </w:style>
  <w:style w:type="paragraph" w:customStyle="1" w:styleId="71">
    <w:name w:val="标准书眉一"/>
    <w:qFormat/>
    <w:uiPriority w:val="0"/>
    <w:pPr>
      <w:jc w:val="both"/>
    </w:pPr>
    <w:rPr>
      <w:rFonts w:ascii="Times New Roman" w:hAnsi="Times New Roman" w:eastAsia="宋体" w:cs="Times New Roman"/>
      <w:lang w:val="en-US" w:eastAsia="zh-CN" w:bidi="ar-SA"/>
    </w:rPr>
  </w:style>
  <w:style w:type="paragraph" w:customStyle="1" w:styleId="72">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3">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4">
    <w:name w:val="发布"/>
    <w:qFormat/>
    <w:uiPriority w:val="0"/>
    <w:rPr>
      <w:rFonts w:ascii="黑体" w:eastAsia="黑体"/>
      <w:spacing w:val="85"/>
      <w:w w:val="100"/>
      <w:position w:val="3"/>
      <w:sz w:val="28"/>
      <w:szCs w:val="28"/>
    </w:rPr>
  </w:style>
  <w:style w:type="paragraph" w:customStyle="1" w:styleId="75">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7">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0">
    <w:name w:val="封面标准英文名称"/>
    <w:basedOn w:val="79"/>
    <w:qFormat/>
    <w:uiPriority w:val="0"/>
    <w:pPr>
      <w:spacing w:before="370" w:line="400" w:lineRule="exact"/>
    </w:pPr>
    <w:rPr>
      <w:rFonts w:ascii="Times New Roman"/>
      <w:sz w:val="28"/>
      <w:szCs w:val="28"/>
    </w:rPr>
  </w:style>
  <w:style w:type="paragraph" w:customStyle="1" w:styleId="81">
    <w:name w:val="封面一致性程度标识"/>
    <w:basedOn w:val="80"/>
    <w:qFormat/>
    <w:uiPriority w:val="0"/>
    <w:pPr>
      <w:spacing w:before="440"/>
    </w:pPr>
    <w:rPr>
      <w:rFonts w:ascii="宋体" w:eastAsia="宋体"/>
    </w:rPr>
  </w:style>
  <w:style w:type="paragraph" w:customStyle="1" w:styleId="82">
    <w:name w:val="封面标准文稿类别"/>
    <w:basedOn w:val="81"/>
    <w:qFormat/>
    <w:uiPriority w:val="0"/>
    <w:pPr>
      <w:spacing w:after="160" w:line="240" w:lineRule="auto"/>
    </w:pPr>
    <w:rPr>
      <w:sz w:val="24"/>
    </w:rPr>
  </w:style>
  <w:style w:type="paragraph" w:customStyle="1" w:styleId="83">
    <w:name w:val="封面标准文稿编辑信息"/>
    <w:basedOn w:val="82"/>
    <w:qFormat/>
    <w:uiPriority w:val="0"/>
    <w:pPr>
      <w:spacing w:before="180" w:line="180" w:lineRule="exact"/>
    </w:pPr>
    <w:rPr>
      <w:sz w:val="21"/>
    </w:rPr>
  </w:style>
  <w:style w:type="paragraph" w:customStyle="1" w:styleId="84">
    <w:name w:val="封面正文"/>
    <w:qFormat/>
    <w:uiPriority w:val="0"/>
    <w:pPr>
      <w:jc w:val="both"/>
    </w:pPr>
    <w:rPr>
      <w:rFonts w:ascii="Times New Roman" w:hAnsi="Times New Roman" w:eastAsia="宋体" w:cs="Times New Roman"/>
      <w:lang w:val="en-US" w:eastAsia="zh-CN" w:bidi="ar-SA"/>
    </w:rPr>
  </w:style>
  <w:style w:type="paragraph" w:customStyle="1" w:styleId="85">
    <w:name w:val="附录标识"/>
    <w:basedOn w:val="1"/>
    <w:next w:val="25"/>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6">
    <w:name w:val="附录标题"/>
    <w:basedOn w:val="25"/>
    <w:next w:val="25"/>
    <w:qFormat/>
    <w:uiPriority w:val="0"/>
    <w:pPr>
      <w:ind w:firstLine="0" w:firstLineChars="0"/>
      <w:jc w:val="center"/>
    </w:pPr>
    <w:rPr>
      <w:rFonts w:ascii="黑体" w:eastAsia="黑体"/>
    </w:rPr>
  </w:style>
  <w:style w:type="paragraph" w:customStyle="1" w:styleId="87">
    <w:name w:val="附录表标号"/>
    <w:basedOn w:val="1"/>
    <w:next w:val="25"/>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8">
    <w:name w:val="附录表标题"/>
    <w:basedOn w:val="1"/>
    <w:next w:val="25"/>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89">
    <w:name w:val="附录二级条标题"/>
    <w:basedOn w:val="1"/>
    <w:next w:val="25"/>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0">
    <w:name w:val="附录二级无"/>
    <w:basedOn w:val="89"/>
    <w:qFormat/>
    <w:uiPriority w:val="0"/>
    <w:pPr>
      <w:tabs>
        <w:tab w:val="clear" w:pos="360"/>
      </w:tabs>
      <w:spacing w:before="0" w:beforeLines="0" w:after="0" w:afterLines="0"/>
    </w:pPr>
    <w:rPr>
      <w:rFonts w:ascii="宋体" w:eastAsia="宋体"/>
      <w:szCs w:val="21"/>
    </w:rPr>
  </w:style>
  <w:style w:type="paragraph" w:customStyle="1" w:styleId="91">
    <w:name w:val="附录公式"/>
    <w:basedOn w:val="25"/>
    <w:next w:val="25"/>
    <w:link w:val="92"/>
    <w:qFormat/>
    <w:uiPriority w:val="0"/>
  </w:style>
  <w:style w:type="character" w:customStyle="1" w:styleId="92">
    <w:name w:val="附录公式 Char"/>
    <w:link w:val="91"/>
    <w:qFormat/>
    <w:uiPriority w:val="0"/>
    <w:rPr>
      <w:lang w:val="en-US" w:eastAsia="zh-CN" w:bidi="ar-SA"/>
    </w:rPr>
  </w:style>
  <w:style w:type="paragraph" w:customStyle="1" w:styleId="93">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94">
    <w:name w:val="附录三级条标题"/>
    <w:basedOn w:val="89"/>
    <w:next w:val="25"/>
    <w:qFormat/>
    <w:uiPriority w:val="0"/>
    <w:pPr>
      <w:numPr>
        <w:ilvl w:val="4"/>
        <w:numId w:val="11"/>
      </w:numPr>
      <w:outlineLvl w:val="4"/>
    </w:pPr>
  </w:style>
  <w:style w:type="paragraph" w:customStyle="1" w:styleId="95">
    <w:name w:val="附录三级无"/>
    <w:basedOn w:val="94"/>
    <w:qFormat/>
    <w:uiPriority w:val="0"/>
    <w:pPr>
      <w:tabs>
        <w:tab w:val="clear" w:pos="360"/>
      </w:tabs>
      <w:spacing w:before="0" w:beforeLines="0" w:after="0" w:afterLines="0"/>
    </w:pPr>
    <w:rPr>
      <w:rFonts w:ascii="宋体" w:eastAsia="宋体"/>
      <w:szCs w:val="21"/>
    </w:rPr>
  </w:style>
  <w:style w:type="paragraph" w:customStyle="1" w:styleId="96">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7">
    <w:name w:val="附录四级条标题"/>
    <w:basedOn w:val="94"/>
    <w:next w:val="25"/>
    <w:qFormat/>
    <w:uiPriority w:val="0"/>
    <w:pPr>
      <w:numPr>
        <w:ilvl w:val="5"/>
        <w:numId w:val="11"/>
      </w:numPr>
      <w:outlineLvl w:val="5"/>
    </w:pPr>
  </w:style>
  <w:style w:type="paragraph" w:customStyle="1" w:styleId="98">
    <w:name w:val="附录四级无"/>
    <w:basedOn w:val="97"/>
    <w:qFormat/>
    <w:uiPriority w:val="0"/>
    <w:pPr>
      <w:tabs>
        <w:tab w:val="clear" w:pos="360"/>
      </w:tabs>
      <w:spacing w:before="0" w:beforeLines="0" w:after="0" w:afterLines="0"/>
    </w:pPr>
    <w:rPr>
      <w:rFonts w:ascii="宋体" w:eastAsia="宋体"/>
      <w:szCs w:val="21"/>
    </w:rPr>
  </w:style>
  <w:style w:type="paragraph" w:customStyle="1" w:styleId="99">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100">
    <w:name w:val="附录图标题"/>
    <w:basedOn w:val="1"/>
    <w:next w:val="25"/>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01">
    <w:name w:val="附录五级条标题"/>
    <w:basedOn w:val="97"/>
    <w:next w:val="25"/>
    <w:qFormat/>
    <w:uiPriority w:val="0"/>
    <w:pPr>
      <w:numPr>
        <w:ilvl w:val="6"/>
        <w:numId w:val="11"/>
      </w:numPr>
      <w:outlineLvl w:val="6"/>
    </w:pPr>
  </w:style>
  <w:style w:type="paragraph" w:customStyle="1" w:styleId="102">
    <w:name w:val="附录五级无"/>
    <w:basedOn w:val="101"/>
    <w:qFormat/>
    <w:uiPriority w:val="0"/>
    <w:pPr>
      <w:tabs>
        <w:tab w:val="clear" w:pos="360"/>
      </w:tabs>
      <w:spacing w:before="0" w:beforeLines="0" w:after="0" w:afterLines="0"/>
    </w:pPr>
    <w:rPr>
      <w:rFonts w:ascii="宋体" w:eastAsia="宋体"/>
      <w:szCs w:val="21"/>
    </w:rPr>
  </w:style>
  <w:style w:type="paragraph" w:customStyle="1" w:styleId="103">
    <w:name w:val="附录章标题"/>
    <w:next w:val="25"/>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4">
    <w:name w:val="附录一级条标题"/>
    <w:basedOn w:val="103"/>
    <w:next w:val="25"/>
    <w:qFormat/>
    <w:uiPriority w:val="0"/>
    <w:pPr>
      <w:numPr>
        <w:ilvl w:val="2"/>
        <w:numId w:val="11"/>
      </w:numPr>
      <w:autoSpaceDN w:val="0"/>
      <w:spacing w:before="50" w:beforeLines="50" w:after="50" w:afterLines="50"/>
      <w:outlineLvl w:val="2"/>
    </w:pPr>
  </w:style>
  <w:style w:type="paragraph" w:customStyle="1" w:styleId="105">
    <w:name w:val="附录一级无"/>
    <w:basedOn w:val="104"/>
    <w:qFormat/>
    <w:uiPriority w:val="0"/>
    <w:pPr>
      <w:tabs>
        <w:tab w:val="clear" w:pos="360"/>
      </w:tabs>
      <w:spacing w:before="0" w:beforeLines="0" w:after="0" w:afterLines="0"/>
    </w:pPr>
    <w:rPr>
      <w:rFonts w:ascii="宋体" w:eastAsia="宋体"/>
      <w:szCs w:val="21"/>
    </w:rPr>
  </w:style>
  <w:style w:type="paragraph" w:customStyle="1" w:styleId="106">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7">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8">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其他标准标志"/>
    <w:basedOn w:val="67"/>
    <w:qFormat/>
    <w:uiPriority w:val="0"/>
    <w:pPr>
      <w:framePr w:w="6101" w:vAnchor="page" w:hAnchor="page" w:x="4673" w:y="942"/>
    </w:pPr>
    <w:rPr>
      <w:w w:val="130"/>
    </w:rPr>
  </w:style>
  <w:style w:type="paragraph" w:customStyle="1" w:styleId="111">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2">
    <w:name w:val="其他发布部门"/>
    <w:basedOn w:val="75"/>
    <w:qFormat/>
    <w:uiPriority w:val="0"/>
    <w:pPr>
      <w:framePr w:y="15310"/>
      <w:spacing w:line="0" w:lineRule="atLeast"/>
    </w:pPr>
    <w:rPr>
      <w:rFonts w:ascii="黑体" w:eastAsia="黑体"/>
      <w:b w:val="0"/>
    </w:rPr>
  </w:style>
  <w:style w:type="paragraph" w:customStyle="1" w:styleId="113">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4">
    <w:name w:val="三级无"/>
    <w:basedOn w:val="52"/>
    <w:qFormat/>
    <w:uiPriority w:val="0"/>
    <w:pPr>
      <w:spacing w:before="0" w:beforeLines="0" w:after="0" w:afterLines="0"/>
    </w:pPr>
    <w:rPr>
      <w:rFonts w:ascii="宋体" w:eastAsia="宋体"/>
    </w:rPr>
  </w:style>
  <w:style w:type="paragraph" w:customStyle="1" w:styleId="115">
    <w:name w:val="实施日期"/>
    <w:basedOn w:val="76"/>
    <w:qFormat/>
    <w:uiPriority w:val="0"/>
    <w:pPr>
      <w:framePr w:vAnchor="page" w:hAnchor="page"/>
      <w:jc w:val="right"/>
    </w:pPr>
  </w:style>
  <w:style w:type="paragraph" w:customStyle="1" w:styleId="116">
    <w:name w:val="示例后文字"/>
    <w:basedOn w:val="25"/>
    <w:next w:val="25"/>
    <w:qFormat/>
    <w:uiPriority w:val="0"/>
    <w:pPr>
      <w:ind w:firstLine="360"/>
    </w:pPr>
    <w:rPr>
      <w:sz w:val="18"/>
    </w:rPr>
  </w:style>
  <w:style w:type="paragraph" w:customStyle="1" w:styleId="117">
    <w:name w:val="首示例"/>
    <w:next w:val="25"/>
    <w:link w:val="118"/>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8">
    <w:name w:val="首示例 Char"/>
    <w:link w:val="117"/>
    <w:qFormat/>
    <w:uiPriority w:val="0"/>
    <w:rPr>
      <w:rFonts w:ascii="宋体" w:hAnsi="宋体"/>
      <w:kern w:val="2"/>
      <w:sz w:val="18"/>
      <w:szCs w:val="18"/>
    </w:rPr>
  </w:style>
  <w:style w:type="paragraph" w:customStyle="1" w:styleId="119">
    <w:name w:val="四级无"/>
    <w:basedOn w:val="56"/>
    <w:qFormat/>
    <w:uiPriority w:val="0"/>
    <w:pPr>
      <w:spacing w:before="0" w:beforeLines="0" w:after="0" w:afterLines="0"/>
    </w:pPr>
    <w:rPr>
      <w:rFonts w:ascii="宋体" w:eastAsia="宋体"/>
    </w:rPr>
  </w:style>
  <w:style w:type="paragraph" w:customStyle="1" w:styleId="120">
    <w:name w:val="条文脚注"/>
    <w:basedOn w:val="26"/>
    <w:qFormat/>
    <w:uiPriority w:val="0"/>
    <w:pPr>
      <w:numPr>
        <w:ilvl w:val="0"/>
        <w:numId w:val="0"/>
      </w:numPr>
      <w:tabs>
        <w:tab w:val="clear" w:pos="0"/>
      </w:tabs>
      <w:jc w:val="both"/>
    </w:pPr>
    <w:rPr>
      <w:rFonts w:ascii="宋体"/>
    </w:rPr>
  </w:style>
  <w:style w:type="paragraph" w:customStyle="1" w:styleId="121">
    <w:name w:val="图标脚注说明"/>
    <w:basedOn w:val="25"/>
    <w:qFormat/>
    <w:uiPriority w:val="0"/>
    <w:pPr>
      <w:ind w:left="840" w:hanging="420" w:firstLineChars="0"/>
    </w:pPr>
    <w:rPr>
      <w:sz w:val="18"/>
      <w:szCs w:val="18"/>
    </w:rPr>
  </w:style>
  <w:style w:type="paragraph" w:customStyle="1" w:styleId="122">
    <w:name w:val="图表脚注说明"/>
    <w:basedOn w:val="1"/>
    <w:qFormat/>
    <w:uiPriority w:val="0"/>
    <w:pPr>
      <w:numPr>
        <w:ilvl w:val="0"/>
        <w:numId w:val="16"/>
      </w:numPr>
    </w:pPr>
    <w:rPr>
      <w:rFonts w:ascii="宋体"/>
      <w:sz w:val="18"/>
      <w:szCs w:val="18"/>
    </w:rPr>
  </w:style>
  <w:style w:type="paragraph" w:customStyle="1" w:styleId="123">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5">
    <w:name w:val="五级无"/>
    <w:basedOn w:val="57"/>
    <w:qFormat/>
    <w:uiPriority w:val="0"/>
    <w:pPr>
      <w:spacing w:before="0" w:beforeLines="0" w:after="0" w:afterLines="0"/>
    </w:pPr>
    <w:rPr>
      <w:rFonts w:ascii="宋体" w:eastAsia="宋体"/>
    </w:rPr>
  </w:style>
  <w:style w:type="paragraph" w:customStyle="1" w:styleId="126">
    <w:name w:val="一级无"/>
    <w:basedOn w:val="43"/>
    <w:qFormat/>
    <w:uiPriority w:val="0"/>
    <w:pPr>
      <w:spacing w:before="0" w:beforeLines="0" w:after="0" w:afterLines="0"/>
    </w:pPr>
    <w:rPr>
      <w:rFonts w:ascii="宋体" w:eastAsia="宋体"/>
    </w:rPr>
  </w:style>
  <w:style w:type="paragraph" w:customStyle="1" w:styleId="127">
    <w:name w:val="正文表标题"/>
    <w:next w:val="25"/>
    <w:qFormat/>
    <w:uiPriority w:val="0"/>
    <w:pPr>
      <w:numPr>
        <w:ilvl w:val="0"/>
        <w:numId w:val="17"/>
      </w:numPr>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正文公式编号制表符"/>
    <w:basedOn w:val="25"/>
    <w:next w:val="25"/>
    <w:qFormat/>
    <w:uiPriority w:val="0"/>
    <w:pPr>
      <w:ind w:firstLine="0" w:firstLineChars="0"/>
    </w:pPr>
  </w:style>
  <w:style w:type="paragraph" w:customStyle="1" w:styleId="129">
    <w:name w:val="正文图标题"/>
    <w:next w:val="25"/>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30">
    <w:name w:val="终结线"/>
    <w:basedOn w:val="1"/>
    <w:qFormat/>
    <w:uiPriority w:val="0"/>
    <w:pPr>
      <w:framePr w:hSpace="181" w:vSpace="181" w:wrap="around" w:vAnchor="text" w:hAnchor="margin" w:xAlign="center" w:y="285"/>
    </w:pPr>
  </w:style>
  <w:style w:type="paragraph" w:customStyle="1" w:styleId="131">
    <w:name w:val="其他发布日期"/>
    <w:basedOn w:val="76"/>
    <w:qFormat/>
    <w:uiPriority w:val="0"/>
    <w:pPr>
      <w:framePr w:vAnchor="page" w:hAnchor="page" w:x="1419"/>
    </w:pPr>
  </w:style>
  <w:style w:type="paragraph" w:customStyle="1" w:styleId="132">
    <w:name w:val="其他实施日期"/>
    <w:basedOn w:val="115"/>
    <w:qFormat/>
    <w:uiPriority w:val="0"/>
  </w:style>
  <w:style w:type="paragraph" w:customStyle="1" w:styleId="133">
    <w:name w:val="封面标准名称2"/>
    <w:basedOn w:val="79"/>
    <w:qFormat/>
    <w:uiPriority w:val="0"/>
    <w:pPr>
      <w:framePr w:y="4469"/>
      <w:spacing w:before="630" w:beforeLines="630"/>
    </w:pPr>
  </w:style>
  <w:style w:type="paragraph" w:customStyle="1" w:styleId="134">
    <w:name w:val="封面标准英文名称2"/>
    <w:basedOn w:val="80"/>
    <w:qFormat/>
    <w:uiPriority w:val="0"/>
    <w:pPr>
      <w:framePr w:y="4469"/>
    </w:pPr>
  </w:style>
  <w:style w:type="paragraph" w:customStyle="1" w:styleId="135">
    <w:name w:val="封面一致性程度标识2"/>
    <w:basedOn w:val="81"/>
    <w:qFormat/>
    <w:uiPriority w:val="0"/>
    <w:pPr>
      <w:framePr w:y="4469"/>
    </w:pPr>
  </w:style>
  <w:style w:type="paragraph" w:customStyle="1" w:styleId="136">
    <w:name w:val="封面标准文稿类别2"/>
    <w:basedOn w:val="82"/>
    <w:qFormat/>
    <w:uiPriority w:val="0"/>
    <w:pPr>
      <w:framePr w:y="4469"/>
    </w:pPr>
  </w:style>
  <w:style w:type="paragraph" w:customStyle="1" w:styleId="137">
    <w:name w:val="封面标准文稿编辑信息2"/>
    <w:basedOn w:val="83"/>
    <w:qFormat/>
    <w:uiPriority w:val="0"/>
    <w:pPr>
      <w:framePr w:y="4469"/>
    </w:pPr>
  </w:style>
  <w:style w:type="paragraph" w:customStyle="1" w:styleId="138">
    <w:name w:val="标准文件_段"/>
    <w:link w:val="13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39">
    <w:name w:val="标准文件_段 Char"/>
    <w:link w:val="138"/>
    <w:qFormat/>
    <w:locked/>
    <w:uiPriority w:val="0"/>
    <w:rPr>
      <w:rFonts w:ascii="宋体" w:eastAsia="宋体"/>
      <w:sz w:val="21"/>
      <w:lang w:val="en-US" w:eastAsia="zh-CN" w:bidi="ar-SA"/>
    </w:rPr>
  </w:style>
  <w:style w:type="paragraph" w:customStyle="1" w:styleId="140">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141">
    <w:name w:val="标准文件_章标题"/>
    <w:next w:val="138"/>
    <w:qFormat/>
    <w:uiPriority w:val="0"/>
    <w:pPr>
      <w:numPr>
        <w:ilvl w:val="1"/>
        <w:numId w:val="1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42">
    <w:name w:val="标准文件_一级条标题"/>
    <w:basedOn w:val="141"/>
    <w:next w:val="138"/>
    <w:qFormat/>
    <w:uiPriority w:val="0"/>
    <w:pPr>
      <w:numPr>
        <w:ilvl w:val="2"/>
      </w:numPr>
      <w:spacing w:before="50" w:beforeLines="50" w:after="50" w:afterLines="50"/>
      <w:ind w:left="0"/>
      <w:outlineLvl w:val="1"/>
    </w:pPr>
  </w:style>
  <w:style w:type="paragraph" w:customStyle="1" w:styleId="143">
    <w:name w:val="标准文件_二级条标题"/>
    <w:next w:val="138"/>
    <w:qFormat/>
    <w:uiPriority w:val="0"/>
    <w:pPr>
      <w:widowControl w:val="0"/>
      <w:numPr>
        <w:ilvl w:val="3"/>
        <w:numId w:val="19"/>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144">
    <w:name w:val="标题 1 Char"/>
    <w:link w:val="2"/>
    <w:qFormat/>
    <w:uiPriority w:val="0"/>
    <w:rPr>
      <w:b/>
      <w:bCs/>
      <w:kern w:val="44"/>
      <w:sz w:val="44"/>
      <w:szCs w:val="44"/>
    </w:rPr>
  </w:style>
  <w:style w:type="paragraph" w:customStyle="1" w:styleId="145">
    <w:name w:val="WPSOffice手动目录 1"/>
    <w:qFormat/>
    <w:uiPriority w:val="0"/>
    <w:pPr>
      <w:ind w:leftChars="0"/>
    </w:pPr>
    <w:rPr>
      <w:rFonts w:ascii="Times New Roman" w:hAnsi="Times New Roman" w:eastAsia="宋体" w:cs="Times New Roman"/>
      <w:sz w:val="20"/>
      <w:szCs w:val="20"/>
    </w:rPr>
  </w:style>
  <w:style w:type="paragraph" w:customStyle="1" w:styleId="146">
    <w:name w:val="标准文件_术语条一"/>
    <w:basedOn w:val="147"/>
    <w:next w:val="138"/>
    <w:autoRedefine/>
    <w:qFormat/>
    <w:uiPriority w:val="0"/>
  </w:style>
  <w:style w:type="paragraph" w:customStyle="1" w:styleId="147">
    <w:name w:val="标准文件_一级无标题"/>
    <w:basedOn w:val="142"/>
    <w:autoRedefine/>
    <w:qFormat/>
    <w:uiPriority w:val="0"/>
    <w:pPr>
      <w:spacing w:before="0" w:beforeLines="0" w:after="0" w:afterLines="0"/>
      <w:outlineLvl w:val="9"/>
    </w:pPr>
    <w:rPr>
      <w:rFonts w:ascii="宋体" w:eastAsia="宋体"/>
    </w:rPr>
  </w:style>
  <w:style w:type="paragraph" w:customStyle="1" w:styleId="148">
    <w:name w:val="标准文件_二级无标题"/>
    <w:basedOn w:val="143"/>
    <w:autoRedefine/>
    <w:qFormat/>
    <w:uiPriority w:val="0"/>
    <w:pPr>
      <w:spacing w:before="0" w:beforeLines="0" w:after="0" w:afterLines="0"/>
      <w:outlineLvl w:val="9"/>
    </w:pPr>
    <w:rPr>
      <w:rFonts w:ascii="宋体" w:eastAsia="宋体"/>
    </w:rPr>
  </w:style>
  <w:style w:type="paragraph" w:customStyle="1" w:styleId="149">
    <w:name w:val="标准文件_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150">
    <w:name w:val="标准文件_三级无标题"/>
    <w:basedOn w:val="151"/>
    <w:autoRedefine/>
    <w:qFormat/>
    <w:uiPriority w:val="0"/>
    <w:pPr>
      <w:spacing w:before="0" w:beforeLines="0" w:after="0" w:afterLines="0"/>
      <w:outlineLvl w:val="9"/>
    </w:pPr>
    <w:rPr>
      <w:rFonts w:ascii="宋体" w:eastAsia="宋体"/>
    </w:rPr>
  </w:style>
  <w:style w:type="paragraph" w:customStyle="1" w:styleId="151">
    <w:name w:val="标准文件_三级条标题"/>
    <w:basedOn w:val="143"/>
    <w:next w:val="138"/>
    <w:autoRedefine/>
    <w:qFormat/>
    <w:uiPriority w:val="0"/>
    <w:pPr>
      <w:widowControl/>
      <w:numPr>
        <w:ilvl w:val="4"/>
      </w:numPr>
      <w:outlineLvl w:val="3"/>
    </w:pPr>
  </w:style>
  <w:style w:type="paragraph" w:customStyle="1" w:styleId="152">
    <w:name w:val="标准文件_四级无标题"/>
    <w:basedOn w:val="153"/>
    <w:autoRedefine/>
    <w:qFormat/>
    <w:uiPriority w:val="0"/>
    <w:pPr>
      <w:spacing w:before="0" w:beforeLines="0" w:after="0" w:afterLines="0"/>
      <w:outlineLvl w:val="9"/>
    </w:pPr>
    <w:rPr>
      <w:rFonts w:ascii="宋体" w:hAnsi="黑体" w:eastAsia="宋体"/>
      <w:szCs w:val="52"/>
    </w:rPr>
  </w:style>
  <w:style w:type="paragraph" w:customStyle="1" w:styleId="153">
    <w:name w:val="标准文件_四级条标题"/>
    <w:next w:val="138"/>
    <w:autoRedefine/>
    <w:qFormat/>
    <w:uiPriority w:val="0"/>
    <w:pPr>
      <w:widowControl w:val="0"/>
      <w:numPr>
        <w:ilvl w:val="5"/>
        <w:numId w:val="19"/>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54">
    <w:name w:val="标准文件_附录标识"/>
    <w:next w:val="138"/>
    <w:link w:val="159"/>
    <w:autoRedefine/>
    <w:qFormat/>
    <w:uiPriority w:val="0"/>
    <w:pPr>
      <w:numPr>
        <w:ilvl w:val="0"/>
        <w:numId w:val="11"/>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55">
    <w:name w:val="标准文件_附录图标题"/>
    <w:next w:val="138"/>
    <w:autoRedefine/>
    <w:qFormat/>
    <w:uiPriority w:val="0"/>
    <w:pPr>
      <w:numPr>
        <w:ilvl w:val="1"/>
        <w:numId w:val="20"/>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156">
    <w:name w:val="标准文件_附录表标题"/>
    <w:next w:val="138"/>
    <w:link w:val="157"/>
    <w:autoRedefine/>
    <w:qFormat/>
    <w:uiPriority w:val="0"/>
    <w:pPr>
      <w:numPr>
        <w:ilvl w:val="1"/>
        <w:numId w:val="21"/>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character" w:customStyle="1" w:styleId="157">
    <w:name w:val="标准文件_附录表标题 Char"/>
    <w:link w:val="156"/>
    <w:qFormat/>
    <w:uiPriority w:val="0"/>
    <w:rPr>
      <w:rFonts w:ascii="黑体" w:hAnsi="Times New Roman" w:eastAsia="黑体" w:cs="Times New Roman"/>
      <w:kern w:val="21"/>
      <w:sz w:val="21"/>
      <w:lang w:val="en-US" w:eastAsia="zh-CN" w:bidi="ar-SA"/>
    </w:rPr>
  </w:style>
  <w:style w:type="character" w:customStyle="1" w:styleId="158">
    <w:name w:val="font122"/>
    <w:basedOn w:val="35"/>
    <w:qFormat/>
    <w:uiPriority w:val="0"/>
    <w:rPr>
      <w:rFonts w:hint="eastAsia" w:ascii="宋体" w:hAnsi="宋体" w:eastAsia="宋体" w:cs="宋体"/>
      <w:b/>
      <w:bCs/>
      <w:color w:val="000000"/>
      <w:sz w:val="20"/>
      <w:szCs w:val="20"/>
      <w:u w:val="none"/>
    </w:rPr>
  </w:style>
  <w:style w:type="character" w:customStyle="1" w:styleId="159">
    <w:name w:val="标准文件_附录标识 Char"/>
    <w:link w:val="154"/>
    <w:qFormat/>
    <w:uiPriority w:val="0"/>
    <w:rPr>
      <w:rFonts w:ascii="黑体" w:hAnsi="Times New Roman" w:eastAsia="黑体" w:cs="Times New Roman"/>
      <w:sz w:val="21"/>
      <w:lang w:val="en-US" w:eastAsia="zh-CN" w:bidi="ar-SA"/>
    </w:rPr>
  </w:style>
  <w:style w:type="paragraph" w:customStyle="1" w:styleId="160">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61">
    <w:name w:val="标准文件_页脚奇数页"/>
    <w:autoRedefine/>
    <w:qFormat/>
    <w:uiPriority w:val="0"/>
    <w:pPr>
      <w:ind w:right="227"/>
      <w:jc w:val="right"/>
    </w:pPr>
    <w:rPr>
      <w:rFonts w:ascii="宋体" w:hAnsi="Times New Roman" w:eastAsia="宋体" w:cs="Times New Roman"/>
      <w:sz w:val="18"/>
      <w:lang w:val="en-US" w:eastAsia="zh-CN" w:bidi="ar-SA"/>
    </w:rPr>
  </w:style>
  <w:style w:type="character" w:customStyle="1" w:styleId="162">
    <w:name w:val="font11"/>
    <w:basedOn w:val="35"/>
    <w:qFormat/>
    <w:uiPriority w:val="0"/>
    <w:rPr>
      <w:rFonts w:hint="eastAsia" w:ascii="宋体" w:hAnsi="宋体" w:eastAsia="宋体" w:cs="宋体"/>
      <w:color w:val="000000"/>
      <w:sz w:val="18"/>
      <w:szCs w:val="18"/>
      <w:u w:val="none"/>
    </w:rPr>
  </w:style>
  <w:style w:type="character" w:customStyle="1" w:styleId="163">
    <w:name w:val="font31"/>
    <w:basedOn w:val="35"/>
    <w:qFormat/>
    <w:uiPriority w:val="0"/>
    <w:rPr>
      <w:rFonts w:hint="eastAsia" w:ascii="宋体" w:hAnsi="宋体" w:eastAsia="宋体" w:cs="宋体"/>
      <w:color w:val="000000"/>
      <w:sz w:val="18"/>
      <w:szCs w:val="18"/>
      <w:u w:val="none"/>
      <w:vertAlign w:val="superscript"/>
    </w:rPr>
  </w:style>
  <w:style w:type="character" w:customStyle="1" w:styleId="164">
    <w:name w:val="font41"/>
    <w:basedOn w:val="35"/>
    <w:qFormat/>
    <w:uiPriority w:val="0"/>
    <w:rPr>
      <w:rFonts w:hint="eastAsia" w:ascii="宋体" w:hAnsi="宋体" w:eastAsia="宋体" w:cs="宋体"/>
      <w:color w:val="000000"/>
      <w:sz w:val="16"/>
      <w:szCs w:val="16"/>
      <w:u w:val="none"/>
    </w:rPr>
  </w:style>
  <w:style w:type="character" w:customStyle="1" w:styleId="165">
    <w:name w:val="font51"/>
    <w:basedOn w:val="35"/>
    <w:qFormat/>
    <w:uiPriority w:val="0"/>
    <w:rPr>
      <w:rFonts w:hint="eastAsia" w:ascii="宋体" w:hAnsi="宋体" w:eastAsia="宋体" w:cs="宋体"/>
      <w:color w:val="000000"/>
      <w:sz w:val="16"/>
      <w:szCs w:val="16"/>
      <w:u w:val="none"/>
      <w:vertAlign w:val="sub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bbf8eee-58b5-42ff-bf1d-4417fc90e4c2}"/>
        <w:style w:val=""/>
        <w:category>
          <w:name w:val="常规"/>
          <w:gallery w:val="placeholder"/>
        </w:category>
        <w:types>
          <w:type w:val="bbPlcHdr"/>
        </w:types>
        <w:behaviors>
          <w:behavior w:val="content"/>
        </w:behaviors>
        <w:description w:val=""/>
        <w:guid w:val="{2bbf8eee-58b5-42ff-bf1d-4417fc90e4c2}"/>
      </w:docPartPr>
      <w:docPartBody>
        <w:p w14:paraId="2383515C">
          <w:pPr>
            <w:pStyle w:val="2"/>
          </w:pPr>
          <w:r>
            <w:rPr>
              <w:rStyle w:val="3"/>
              <w:rFonts w:hint="eastAsia"/>
            </w:rPr>
            <w:t>选择一项。</w:t>
          </w:r>
        </w:p>
      </w:docPartBody>
    </w:docPart>
    <w:docPart>
      <w:docPartPr>
        <w:name w:val="{26289ece-a49d-4587-89b5-90e2dc3439d3}"/>
        <w:style w:val=""/>
        <w:category>
          <w:name w:val="常规"/>
          <w:gallery w:val="placeholder"/>
        </w:category>
        <w:types>
          <w:type w:val="bbPlcHdr"/>
        </w:types>
        <w:behaviors>
          <w:behavior w:val="content"/>
        </w:behaviors>
        <w:description w:val=""/>
        <w:guid w:val="{26289ece-a49d-4587-89b5-90e2dc3439d3}"/>
      </w:docPartPr>
      <w:docPartBody>
        <w:p w14:paraId="47858C31">
          <w:pPr>
            <w:pStyle w:val="4"/>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autoRedefine/>
    <w:semiHidden/>
    <w:unhideWhenUsed/>
    <w:qFormat/>
    <w:uiPriority w:val="1"/>
  </w:style>
  <w:style w:type="paragraph" w:customStyle="1" w:styleId="2">
    <w:name w:val="646A1E1E83AE41039F8408072EE4C7AF"/>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autoRedefine/>
    <w:semiHidden/>
    <w:qFormat/>
    <w:uiPriority w:val="99"/>
    <w:rPr>
      <w:color w:val="808080"/>
    </w:rPr>
  </w:style>
  <w:style w:type="paragraph" w:customStyle="1" w:styleId="4">
    <w:name w:val="08758A309DD146BAA8B599F37636EE34"/>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20</Pages>
  <Words>2261</Words>
  <Characters>2442</Characters>
  <Lines>137</Lines>
  <Paragraphs>38</Paragraphs>
  <TotalTime>3</TotalTime>
  <ScaleCrop>false</ScaleCrop>
  <LinksUpToDate>false</LinksUpToDate>
  <CharactersWithSpaces>2527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2010-01-28T06:47:00Z</dcterms:created>
  <dc:creator>CNIS</dc:creator>
  <cp:lastModifiedBy>空</cp:lastModifiedBy>
  <cp:lastPrinted>2025-06-04T04:45:00Z</cp:lastPrinted>
  <dcterms:modified xsi:type="dcterms:W3CDTF">2025-07-01T02:15:40Z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195BF91A3A874B75830026D831CB5A7C_13</vt:lpwstr>
  </property>
  <property fmtid="{D5CDD505-2E9C-101B-9397-08002B2CF9AE}" pid="4" name="KSOTemplateDocerSaveRecord">
    <vt:lpwstr>eyJoZGlkIjoiYTZjOTI1MzhlZjRlZDRhMDgwNGVlODBhMzcwZDFmMGUiLCJ1c2VySWQiOiI0NTIzNzM5NTcifQ==</vt:lpwstr>
  </property>
</Properties>
</file>