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75835">
        <w:tc>
          <w:tcPr>
            <w:tcW w:w="509" w:type="dxa"/>
          </w:tcPr>
          <w:p w:rsidR="00975835" w:rsidRDefault="00544D67">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75835" w:rsidRDefault="00544D67">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w:t>
            </w:r>
            <w:r w:rsidR="001854BB">
              <w:rPr>
                <w:rFonts w:ascii="黑体" w:eastAsia="黑体" w:hAnsi="黑体" w:hint="eastAsia"/>
                <w:sz w:val="21"/>
                <w:szCs w:val="21"/>
              </w:rPr>
              <w:t>01</w:t>
            </w:r>
            <w:r>
              <w:rPr>
                <w:rFonts w:ascii="黑体" w:eastAsia="黑体" w:hAnsi="黑体"/>
                <w:sz w:val="21"/>
                <w:szCs w:val="21"/>
              </w:rPr>
              <w:t xml:space="preserve"> </w:t>
            </w:r>
            <w:r>
              <w:rPr>
                <w:rFonts w:ascii="黑体" w:eastAsia="黑体" w:hAnsi="黑体"/>
                <w:sz w:val="21"/>
                <w:szCs w:val="21"/>
              </w:rPr>
              <w:fldChar w:fldCharType="end"/>
            </w:r>
            <w:bookmarkEnd w:id="0"/>
          </w:p>
        </w:tc>
      </w:tr>
      <w:tr w:rsidR="00975835">
        <w:tc>
          <w:tcPr>
            <w:tcW w:w="509" w:type="dxa"/>
          </w:tcPr>
          <w:p w:rsidR="00975835" w:rsidRDefault="00544D6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975835" w:rsidRDefault="00544D6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B </w:t>
            </w:r>
            <w:r w:rsidR="001854BB">
              <w:rPr>
                <w:rFonts w:ascii="黑体" w:eastAsia="黑体" w:hAnsi="黑体" w:hint="eastAsia"/>
                <w:sz w:val="21"/>
                <w:szCs w:val="21"/>
              </w:rPr>
              <w:t>16</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75835">
        <w:tc>
          <w:tcPr>
            <w:tcW w:w="6407" w:type="dxa"/>
          </w:tcPr>
          <w:p w:rsidR="00975835" w:rsidRDefault="00544D67">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rsidR="00975835" w:rsidRDefault="00544D67">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75835" w:rsidRDefault="00544D67">
      <w:pPr>
        <w:pStyle w:val="affffffffff2"/>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202</w:t>
      </w:r>
      <w:r w:rsidR="005A7D15">
        <w:rPr>
          <w:rFonts w:hint="eastAsia"/>
          <w:lang w:val="fr-FR"/>
        </w:rPr>
        <w:t>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975835" w:rsidRDefault="00544D67">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75835" w:rsidRDefault="00544D6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D0059E8"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rsidR="00975835" w:rsidRDefault="00975835">
      <w:pPr>
        <w:pStyle w:val="afffff0"/>
        <w:framePr w:w="9639" w:h="6976" w:hRule="exact" w:hSpace="0" w:vSpace="0" w:wrap="around" w:hAnchor="page" w:y="6408"/>
        <w:jc w:val="center"/>
        <w:rPr>
          <w:rFonts w:ascii="黑体" w:eastAsia="黑体" w:hAnsi="黑体"/>
          <w:b w:val="0"/>
          <w:bCs w:val="0"/>
          <w:w w:val="100"/>
        </w:rPr>
      </w:pPr>
    </w:p>
    <w:p w:rsidR="00975835" w:rsidRDefault="00544D6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1854BB" w:rsidRPr="001854BB">
        <w:rPr>
          <w:rFonts w:hint="eastAsia"/>
        </w:rPr>
        <w:t>松材线虫病注药防治技术规程</w:t>
      </w:r>
      <w:r>
        <w:fldChar w:fldCharType="end"/>
      </w:r>
      <w:bookmarkEnd w:id="9"/>
    </w:p>
    <w:p w:rsidR="00975835" w:rsidRDefault="00975835">
      <w:pPr>
        <w:framePr w:w="9639" w:h="6974" w:hRule="exact" w:wrap="around" w:vAnchor="page" w:hAnchor="page" w:x="1419" w:y="6408" w:anchorLock="1"/>
        <w:ind w:left="-1418"/>
      </w:pPr>
    </w:p>
    <w:p w:rsidR="00975835" w:rsidRDefault="00544D67" w:rsidP="001854BB">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1854BB" w:rsidRPr="001854BB">
        <w:rPr>
          <w:rFonts w:eastAsia="黑体"/>
          <w:szCs w:val="28"/>
        </w:rPr>
        <w:t>Technical Regulation for the Trunk Injection Control of Pine Wilt Disease</w:t>
      </w:r>
      <w:r>
        <w:rPr>
          <w:rFonts w:eastAsia="黑体"/>
          <w:szCs w:val="28"/>
        </w:rPr>
        <w:fldChar w:fldCharType="end"/>
      </w:r>
      <w:bookmarkEnd w:id="10"/>
    </w:p>
    <w:p w:rsidR="00975835" w:rsidRDefault="00975835">
      <w:pPr>
        <w:framePr w:w="9639" w:h="6974" w:hRule="exact" w:wrap="around" w:vAnchor="page" w:hAnchor="page" w:x="1419" w:y="6408" w:anchorLock="1"/>
        <w:spacing w:line="760" w:lineRule="exact"/>
        <w:ind w:left="-1418"/>
      </w:pPr>
    </w:p>
    <w:p w:rsidR="00975835" w:rsidRDefault="00975835">
      <w:pPr>
        <w:pStyle w:val="afffffff8"/>
        <w:framePr w:w="9639" w:h="6974" w:hRule="exact" w:wrap="around" w:vAnchor="page" w:hAnchor="page" w:x="1419" w:y="6408" w:anchorLock="1"/>
        <w:textAlignment w:val="bottom"/>
        <w:rPr>
          <w:rFonts w:eastAsia="黑体"/>
          <w:szCs w:val="28"/>
        </w:rPr>
      </w:pPr>
    </w:p>
    <w:p w:rsidR="00975835" w:rsidRDefault="00544D67">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975835" w:rsidRDefault="00544D67">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A84CD3">
        <w:rPr>
          <w:sz w:val="21"/>
          <w:szCs w:val="28"/>
        </w:rPr>
        <w:t> </w:t>
      </w:r>
      <w:r w:rsidR="00A84CD3">
        <w:rPr>
          <w:sz w:val="21"/>
          <w:szCs w:val="28"/>
        </w:rPr>
        <w:t> </w:t>
      </w:r>
      <w:r w:rsidR="00A84CD3">
        <w:rPr>
          <w:sz w:val="21"/>
          <w:szCs w:val="28"/>
        </w:rPr>
        <w:t> </w:t>
      </w:r>
      <w:r w:rsidR="00A84CD3">
        <w:rPr>
          <w:sz w:val="21"/>
          <w:szCs w:val="28"/>
        </w:rPr>
        <w:t> </w:t>
      </w:r>
      <w:r w:rsidR="00A84CD3">
        <w:rPr>
          <w:sz w:val="21"/>
          <w:szCs w:val="28"/>
        </w:rPr>
        <w:t> </w:t>
      </w:r>
      <w:r>
        <w:rPr>
          <w:sz w:val="21"/>
          <w:szCs w:val="28"/>
        </w:rPr>
        <w:fldChar w:fldCharType="end"/>
      </w:r>
      <w:bookmarkEnd w:id="12"/>
    </w:p>
    <w:p w:rsidR="00975835" w:rsidRDefault="00544D67">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975835" w:rsidRDefault="00544D67">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975835" w:rsidRDefault="00544D67">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975835" w:rsidRDefault="00544D67">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975835" w:rsidRDefault="00544D67">
      <w:pPr>
        <w:rPr>
          <w:rFonts w:ascii="宋体" w:hAnsi="宋体"/>
          <w:sz w:val="28"/>
          <w:szCs w:val="28"/>
        </w:rPr>
        <w:sectPr w:rsidR="00975835">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3F9081C"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rsidR="00975835" w:rsidRDefault="00544D67">
      <w:pPr>
        <w:pStyle w:val="a6"/>
        <w:spacing w:after="468"/>
      </w:pPr>
      <w:bookmarkStart w:id="21" w:name="BookMark2"/>
      <w:r>
        <w:rPr>
          <w:spacing w:val="320"/>
        </w:rPr>
        <w:lastRenderedPageBreak/>
        <w:t>前</w:t>
      </w:r>
      <w:r>
        <w:t>言</w:t>
      </w:r>
    </w:p>
    <w:p w:rsidR="00924465" w:rsidRPr="00924465" w:rsidRDefault="00924465" w:rsidP="00696633">
      <w:pPr>
        <w:pStyle w:val="afffff5"/>
        <w:ind w:firstLine="420"/>
      </w:pPr>
      <w:r w:rsidRPr="00924465">
        <w:rPr>
          <w:rFonts w:hint="eastAsia"/>
        </w:rPr>
        <w:t>本标准按照GB/T 1.1-2020《标准化工作导则 第1部分：标准化文件的结构和起草规则》的规定起草。</w:t>
      </w:r>
    </w:p>
    <w:p w:rsidR="00924465" w:rsidRPr="00924465" w:rsidRDefault="00924465" w:rsidP="00696633">
      <w:pPr>
        <w:pStyle w:val="afffff5"/>
        <w:ind w:firstLine="420"/>
      </w:pPr>
      <w:r w:rsidRPr="00924465">
        <w:rPr>
          <w:rFonts w:hint="eastAsia"/>
        </w:rPr>
        <w:t>本标准由安徽省林业科学研究院提出。</w:t>
      </w:r>
    </w:p>
    <w:p w:rsidR="00924465" w:rsidRPr="00924465" w:rsidRDefault="00924465" w:rsidP="00696633">
      <w:pPr>
        <w:pStyle w:val="afffff5"/>
        <w:ind w:firstLine="420"/>
      </w:pPr>
      <w:r w:rsidRPr="00924465">
        <w:rPr>
          <w:rFonts w:hint="eastAsia"/>
        </w:rPr>
        <w:t>本标准由安徽省林业局提出并归口。</w:t>
      </w:r>
    </w:p>
    <w:p w:rsidR="00924465" w:rsidRPr="00924465" w:rsidRDefault="00924465" w:rsidP="00696633">
      <w:pPr>
        <w:pStyle w:val="afffff5"/>
        <w:ind w:firstLine="420"/>
      </w:pPr>
      <w:r w:rsidRPr="00924465">
        <w:rPr>
          <w:rFonts w:hint="eastAsia"/>
        </w:rPr>
        <w:t>本标准起草单位：安徽省林业科学研究院、安徽森科生物科技有限公司。</w:t>
      </w:r>
    </w:p>
    <w:p w:rsidR="00975835" w:rsidRDefault="00924465" w:rsidP="00696633">
      <w:pPr>
        <w:pStyle w:val="afffff5"/>
        <w:ind w:firstLine="420"/>
        <w:rPr>
          <w:rFonts w:hAnsi="宋体" w:cs="宋体"/>
          <w:spacing w:val="7"/>
          <w:sz w:val="22"/>
          <w:szCs w:val="22"/>
        </w:rPr>
      </w:pPr>
      <w:r w:rsidRPr="00924465">
        <w:rPr>
          <w:rFonts w:hint="eastAsia"/>
        </w:rPr>
        <w:t>本标准主要起草人：</w:t>
      </w:r>
      <w:proofErr w:type="gramStart"/>
      <w:r w:rsidRPr="00924465">
        <w:rPr>
          <w:rFonts w:hint="eastAsia"/>
        </w:rPr>
        <w:t>尹</w:t>
      </w:r>
      <w:proofErr w:type="gramEnd"/>
      <w:r w:rsidRPr="00924465">
        <w:rPr>
          <w:rFonts w:hint="eastAsia"/>
        </w:rPr>
        <w:t>华阳、郭婉琳、汪青桐、李晓</w:t>
      </w:r>
      <w:proofErr w:type="gramStart"/>
      <w:r w:rsidRPr="00924465">
        <w:rPr>
          <w:rFonts w:hint="eastAsia"/>
        </w:rPr>
        <w:t>娟</w:t>
      </w:r>
      <w:proofErr w:type="gramEnd"/>
      <w:r w:rsidRPr="00924465">
        <w:rPr>
          <w:rFonts w:hint="eastAsia"/>
        </w:rPr>
        <w:t>、刘洪剑、顾玉霞、方建民、董广平、张延高、周孟豪、朱昌宇、张雷。</w:t>
      </w:r>
    </w:p>
    <w:p w:rsidR="00975835" w:rsidRDefault="00975835">
      <w:pPr>
        <w:pStyle w:val="afffff5"/>
        <w:ind w:firstLine="420"/>
      </w:pPr>
    </w:p>
    <w:p w:rsidR="00975835" w:rsidRDefault="00975835">
      <w:pPr>
        <w:pStyle w:val="afffff5"/>
        <w:ind w:firstLine="420"/>
      </w:pPr>
    </w:p>
    <w:p w:rsidR="005A7D15" w:rsidRDefault="005A7D15">
      <w:pPr>
        <w:pStyle w:val="afffff5"/>
        <w:ind w:firstLine="420"/>
      </w:pPr>
    </w:p>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Pr="005A7D15" w:rsidRDefault="005A7D15" w:rsidP="005A7D15"/>
    <w:p w:rsidR="005A7D15" w:rsidRDefault="005A7D15" w:rsidP="005A7D15"/>
    <w:p w:rsidR="005A7D15" w:rsidRDefault="005A7D15" w:rsidP="005A7D15">
      <w:pPr>
        <w:tabs>
          <w:tab w:val="left" w:pos="5190"/>
        </w:tabs>
      </w:pPr>
      <w:r>
        <w:tab/>
      </w:r>
    </w:p>
    <w:p w:rsidR="005A7D15" w:rsidRDefault="005A7D15" w:rsidP="005A7D15"/>
    <w:p w:rsidR="00975835" w:rsidRPr="005A7D15" w:rsidRDefault="00975835" w:rsidP="005A7D15">
      <w:pPr>
        <w:sectPr w:rsidR="00975835" w:rsidRPr="005A7D15">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p>
    <w:p w:rsidR="00975835" w:rsidRDefault="00975835">
      <w:pPr>
        <w:spacing w:line="20" w:lineRule="exact"/>
        <w:jc w:val="center"/>
        <w:rPr>
          <w:rFonts w:ascii="黑体" w:eastAsia="黑体" w:hAnsi="黑体"/>
          <w:sz w:val="32"/>
          <w:szCs w:val="32"/>
        </w:rPr>
      </w:pPr>
      <w:bookmarkStart w:id="22" w:name="BookMark4"/>
      <w:bookmarkEnd w:id="21"/>
    </w:p>
    <w:p w:rsidR="00975835" w:rsidRDefault="00975835">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7463DEDC05E5434CB4DB862004330F30"/>
        </w:placeholder>
      </w:sdtPr>
      <w:sdtContent>
        <w:p w:rsidR="00975835" w:rsidRDefault="00924465" w:rsidP="007B2EB1">
          <w:pPr>
            <w:pStyle w:val="afffffffff8"/>
            <w:spacing w:beforeLines="100" w:before="312" w:afterLines="220" w:after="686"/>
          </w:pPr>
          <w:r w:rsidRPr="00924465">
            <w:rPr>
              <w:rFonts w:hint="eastAsia"/>
            </w:rPr>
            <w:t>松材线虫病注药防治技术规程</w:t>
          </w:r>
        </w:p>
      </w:sdtContent>
    </w:sdt>
    <w:p w:rsidR="00975835" w:rsidRDefault="00544D67">
      <w:pPr>
        <w:pStyle w:val="affc"/>
        <w:spacing w:before="312" w:after="312"/>
      </w:pPr>
      <w:bookmarkStart w:id="24" w:name="_Toc26986530"/>
      <w:bookmarkStart w:id="25" w:name="_Toc24884211"/>
      <w:bookmarkStart w:id="26" w:name="_Toc24884218"/>
      <w:bookmarkStart w:id="27" w:name="_Toc17233333"/>
      <w:bookmarkStart w:id="28" w:name="_Toc26718930"/>
      <w:bookmarkStart w:id="29" w:name="_Toc97191423"/>
      <w:bookmarkStart w:id="30" w:name="_Toc17233325"/>
      <w:bookmarkStart w:id="31" w:name="_Toc26648465"/>
      <w:bookmarkStart w:id="32" w:name="_Toc26986771"/>
      <w:bookmarkEnd w:id="23"/>
      <w:r>
        <w:rPr>
          <w:rFonts w:hint="eastAsia"/>
        </w:rPr>
        <w:t>范围</w:t>
      </w:r>
      <w:bookmarkEnd w:id="24"/>
      <w:bookmarkEnd w:id="25"/>
      <w:bookmarkEnd w:id="26"/>
      <w:bookmarkEnd w:id="27"/>
      <w:bookmarkEnd w:id="28"/>
      <w:bookmarkEnd w:id="29"/>
      <w:bookmarkEnd w:id="30"/>
      <w:bookmarkEnd w:id="31"/>
      <w:bookmarkEnd w:id="32"/>
    </w:p>
    <w:p w:rsidR="00924465" w:rsidRPr="00924465" w:rsidRDefault="00924465" w:rsidP="003F2B80">
      <w:pPr>
        <w:pStyle w:val="afffff5"/>
        <w:ind w:firstLine="420"/>
        <w:rPr>
          <w:color w:val="000000" w:themeColor="text1"/>
        </w:rPr>
      </w:pPr>
      <w:r w:rsidRPr="00924465">
        <w:rPr>
          <w:rFonts w:hint="eastAsia"/>
          <w:color w:val="000000" w:themeColor="text1"/>
        </w:rPr>
        <w:t>本标准规定了松材线虫病注药防治技术的术语和定义、适用树干注药的器械和耗材以及作业规范和质量评价方法。</w:t>
      </w:r>
    </w:p>
    <w:p w:rsidR="00924465" w:rsidRPr="00924465" w:rsidRDefault="00924465" w:rsidP="003F2B80">
      <w:pPr>
        <w:pStyle w:val="afffff5"/>
        <w:ind w:firstLine="420"/>
        <w:rPr>
          <w:color w:val="000000" w:themeColor="text1"/>
        </w:rPr>
      </w:pPr>
      <w:r w:rsidRPr="00924465">
        <w:rPr>
          <w:rFonts w:hint="eastAsia"/>
          <w:color w:val="000000" w:themeColor="text1"/>
        </w:rPr>
        <w:t>本标准适用于全省范围内的以防治松材线虫病为目的的松树注药作业。</w:t>
      </w:r>
    </w:p>
    <w:p w:rsidR="00975835" w:rsidRDefault="00924465" w:rsidP="003F2B80">
      <w:pPr>
        <w:pStyle w:val="afffff5"/>
        <w:ind w:firstLine="420"/>
        <w:rPr>
          <w:color w:val="000000" w:themeColor="text1"/>
        </w:rPr>
      </w:pPr>
      <w:r w:rsidRPr="00924465">
        <w:rPr>
          <w:rFonts w:hint="eastAsia"/>
          <w:color w:val="000000" w:themeColor="text1"/>
        </w:rPr>
        <w:t>本标准规定的技术方法可供省外相关作业参考。</w:t>
      </w:r>
    </w:p>
    <w:p w:rsidR="00975835" w:rsidRDefault="00544D67">
      <w:pPr>
        <w:pStyle w:val="affc"/>
        <w:spacing w:before="312" w:after="312"/>
      </w:pPr>
      <w:bookmarkStart w:id="33" w:name="_Toc24884219"/>
      <w:bookmarkStart w:id="34" w:name="_Toc17233334"/>
      <w:bookmarkStart w:id="35" w:name="_Toc24884212"/>
      <w:bookmarkStart w:id="36" w:name="_Toc17233326"/>
      <w:bookmarkStart w:id="37" w:name="_Toc26648466"/>
      <w:bookmarkStart w:id="38" w:name="_Toc26986531"/>
      <w:bookmarkStart w:id="39" w:name="_Toc26986772"/>
      <w:bookmarkStart w:id="40" w:name="_Toc97191424"/>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CE9FE24E28114F119D7CA10CF66C375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975835" w:rsidRDefault="00544D67">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627F7" w:rsidRDefault="008627F7" w:rsidP="008627F7">
      <w:pPr>
        <w:pStyle w:val="afffff5"/>
        <w:ind w:firstLine="420"/>
      </w:pPr>
      <w:r>
        <w:rPr>
          <w:rFonts w:hint="eastAsia"/>
        </w:rPr>
        <w:t>GB/T 23476-2009 松材线虫病检疫技术规程</w:t>
      </w:r>
    </w:p>
    <w:p w:rsidR="00924465" w:rsidRDefault="00924465" w:rsidP="00924465">
      <w:pPr>
        <w:pStyle w:val="afffff5"/>
        <w:ind w:firstLine="420"/>
      </w:pPr>
      <w:r>
        <w:rPr>
          <w:rFonts w:hint="eastAsia"/>
        </w:rPr>
        <w:t xml:space="preserve">GB/T 28126-2011 </w:t>
      </w:r>
      <w:proofErr w:type="gramStart"/>
      <w:r>
        <w:rPr>
          <w:rFonts w:hint="eastAsia"/>
        </w:rPr>
        <w:t>吡</w:t>
      </w:r>
      <w:proofErr w:type="gramEnd"/>
      <w:r>
        <w:rPr>
          <w:rFonts w:hint="eastAsia"/>
        </w:rPr>
        <w:t>虫</w:t>
      </w:r>
      <w:proofErr w:type="gramStart"/>
      <w:r>
        <w:rPr>
          <w:rFonts w:hint="eastAsia"/>
        </w:rPr>
        <w:t>啉</w:t>
      </w:r>
      <w:proofErr w:type="gramEnd"/>
      <w:r>
        <w:rPr>
          <w:rFonts w:hint="eastAsia"/>
        </w:rPr>
        <w:t>原药</w:t>
      </w:r>
    </w:p>
    <w:p w:rsidR="00924465" w:rsidRDefault="00924465" w:rsidP="00924465">
      <w:pPr>
        <w:pStyle w:val="afffff5"/>
        <w:ind w:firstLine="420"/>
      </w:pPr>
      <w:r>
        <w:rPr>
          <w:rFonts w:hint="eastAsia"/>
        </w:rPr>
        <w:t>GB/T 35342-2017 松材线虫分子检测鉴定技术规程</w:t>
      </w:r>
    </w:p>
    <w:p w:rsidR="00924465" w:rsidRDefault="00924465" w:rsidP="00924465">
      <w:pPr>
        <w:pStyle w:val="afffff5"/>
        <w:ind w:firstLine="420"/>
      </w:pPr>
      <w:r>
        <w:rPr>
          <w:rFonts w:hint="eastAsia"/>
        </w:rPr>
        <w:t>GB/T 19336-2017 阿维菌素原药</w:t>
      </w:r>
    </w:p>
    <w:p w:rsidR="00924465" w:rsidRDefault="00924465" w:rsidP="00924465">
      <w:pPr>
        <w:pStyle w:val="afffff5"/>
        <w:ind w:firstLine="420"/>
      </w:pPr>
      <w:r>
        <w:rPr>
          <w:rFonts w:hint="eastAsia"/>
        </w:rPr>
        <w:t>GB/T 20693-2020 甲氨基阿维菌素苯甲酸盐原药</w:t>
      </w:r>
    </w:p>
    <w:p w:rsidR="00924465" w:rsidRDefault="00924465" w:rsidP="00924465">
      <w:pPr>
        <w:pStyle w:val="afffff5"/>
        <w:ind w:firstLine="420"/>
      </w:pPr>
      <w:r>
        <w:rPr>
          <w:rFonts w:hint="eastAsia"/>
        </w:rPr>
        <w:t>NY/T 1276—2007 农药安全使用规范 总则</w:t>
      </w:r>
    </w:p>
    <w:p w:rsidR="00924465" w:rsidRDefault="00924465" w:rsidP="00924465">
      <w:pPr>
        <w:pStyle w:val="afffff5"/>
        <w:ind w:firstLine="420"/>
      </w:pPr>
      <w:r>
        <w:rPr>
          <w:rFonts w:hint="eastAsia"/>
        </w:rPr>
        <w:t>DB3710/T 178-2022 松材线虫病防治技术规范</w:t>
      </w:r>
    </w:p>
    <w:p w:rsidR="00975835" w:rsidRDefault="00924465" w:rsidP="00924465">
      <w:pPr>
        <w:pStyle w:val="afffff5"/>
        <w:ind w:firstLine="420"/>
      </w:pPr>
      <w:r>
        <w:rPr>
          <w:rFonts w:hint="eastAsia"/>
        </w:rPr>
        <w:t>DB3502/T 174-2025 松材线虫病防治技术规程 树干注药法</w:t>
      </w:r>
    </w:p>
    <w:p w:rsidR="00975835" w:rsidRDefault="00544D67" w:rsidP="003F2B80">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7A7C839B8AF743409B2420D835ED4C3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975835" w:rsidRDefault="00544D67">
          <w:pPr>
            <w:pStyle w:val="afffff5"/>
            <w:ind w:firstLine="420"/>
          </w:pPr>
          <w:r>
            <w:t>下列术语和定义适用于本文件。</w:t>
          </w:r>
        </w:p>
      </w:sdtContent>
    </w:sdt>
    <w:p w:rsidR="00924465" w:rsidRPr="00924465" w:rsidRDefault="00924465" w:rsidP="00696633">
      <w:pPr>
        <w:pStyle w:val="affd"/>
        <w:spacing w:before="156" w:after="156"/>
        <w:rPr>
          <w:rFonts w:hAnsi="黑体" w:cs="黑体"/>
          <w:lang w:eastAsia="zh-Hans"/>
        </w:rPr>
      </w:pPr>
      <w:r w:rsidRPr="00924465">
        <w:rPr>
          <w:rFonts w:hAnsi="黑体" w:cs="黑体" w:hint="eastAsia"/>
          <w:lang w:eastAsia="zh-Hans"/>
        </w:rPr>
        <w:t>打孔注药</w:t>
      </w:r>
      <w:r w:rsidRPr="00924465">
        <w:rPr>
          <w:lang w:eastAsia="zh-Hans"/>
        </w:rPr>
        <w:t>（Trunk Injection）</w:t>
      </w:r>
    </w:p>
    <w:p w:rsidR="00924465" w:rsidRPr="00924465" w:rsidRDefault="00924465" w:rsidP="003F2B80">
      <w:pPr>
        <w:pStyle w:val="afffff5"/>
        <w:ind w:firstLine="420"/>
      </w:pPr>
      <w:r w:rsidRPr="00924465">
        <w:t>通过在树干上</w:t>
      </w:r>
      <w:r w:rsidRPr="00924465">
        <w:rPr>
          <w:rFonts w:hint="eastAsia"/>
        </w:rPr>
        <w:t>打</w:t>
      </w:r>
      <w:r w:rsidRPr="00924465">
        <w:t>孔，并</w:t>
      </w:r>
      <w:r w:rsidRPr="00924465">
        <w:rPr>
          <w:rFonts w:hint="eastAsia"/>
        </w:rPr>
        <w:t>利用专用器械</w:t>
      </w:r>
      <w:r w:rsidRPr="00924465">
        <w:t>将</w:t>
      </w:r>
      <w:r w:rsidRPr="00924465">
        <w:rPr>
          <w:rFonts w:hint="eastAsia"/>
        </w:rPr>
        <w:t>内吸性</w:t>
      </w:r>
      <w:r w:rsidRPr="00924465">
        <w:t>药</w:t>
      </w:r>
      <w:r w:rsidRPr="00924465">
        <w:rPr>
          <w:rFonts w:hint="eastAsia"/>
        </w:rPr>
        <w:t>剂</w:t>
      </w:r>
      <w:r w:rsidRPr="00924465">
        <w:t>注入木质部</w:t>
      </w:r>
      <w:r w:rsidRPr="00924465">
        <w:rPr>
          <w:rFonts w:hint="eastAsia"/>
        </w:rPr>
        <w:t>，让药剂在树体内传导和扩散的施药方法，包括自流式注药和加压注药。</w:t>
      </w:r>
    </w:p>
    <w:p w:rsidR="00924465" w:rsidRPr="00924465" w:rsidRDefault="00924465" w:rsidP="00696633">
      <w:pPr>
        <w:pStyle w:val="affd"/>
        <w:spacing w:before="156" w:after="156"/>
        <w:rPr>
          <w:rFonts w:hAnsi="黑体" w:cs="黑体"/>
          <w:lang w:eastAsia="zh-Hans"/>
        </w:rPr>
      </w:pPr>
      <w:r w:rsidRPr="00924465">
        <w:rPr>
          <w:rFonts w:hAnsi="黑体" w:cs="黑体"/>
          <w:lang w:eastAsia="zh-Hans"/>
        </w:rPr>
        <w:t>自流式注药（</w:t>
      </w:r>
      <w:r w:rsidRPr="00924465">
        <w:rPr>
          <w:lang w:eastAsia="zh-Hans"/>
        </w:rPr>
        <w:t>Gravity Trunk Injection</w:t>
      </w:r>
      <w:r w:rsidRPr="00924465">
        <w:rPr>
          <w:rFonts w:hAnsi="黑体" w:cs="黑体"/>
          <w:lang w:eastAsia="zh-Hans"/>
        </w:rPr>
        <w:t>）</w:t>
      </w:r>
    </w:p>
    <w:p w:rsidR="00924465" w:rsidRPr="00924465" w:rsidRDefault="00924465" w:rsidP="00696633">
      <w:pPr>
        <w:pStyle w:val="afffff5"/>
        <w:ind w:firstLine="420"/>
        <w:rPr>
          <w:rFonts w:hAnsi="宋体" w:cs="宋体"/>
        </w:rPr>
      </w:pPr>
      <w:r w:rsidRPr="00924465">
        <w:rPr>
          <w:rFonts w:hint="eastAsia"/>
        </w:rPr>
        <w:t>利用重力势能差，驱动药液自动流入树木木质部的药液输送方式。</w:t>
      </w:r>
    </w:p>
    <w:p w:rsidR="00924465" w:rsidRPr="00924465" w:rsidRDefault="00924465" w:rsidP="00696633">
      <w:pPr>
        <w:pStyle w:val="affd"/>
        <w:spacing w:before="156" w:after="156"/>
        <w:rPr>
          <w:rFonts w:hAnsi="黑体" w:cs="黑体"/>
        </w:rPr>
      </w:pPr>
      <w:r w:rsidRPr="00924465">
        <w:rPr>
          <w:rFonts w:hAnsi="黑体" w:cs="黑体"/>
          <w:lang w:eastAsia="zh-Hans"/>
        </w:rPr>
        <w:t>加压注药（</w:t>
      </w:r>
      <w:r w:rsidRPr="00924465">
        <w:rPr>
          <w:lang w:eastAsia="zh-Hans"/>
        </w:rPr>
        <w:t>Pressure Trunk Injection</w:t>
      </w:r>
      <w:r w:rsidRPr="00924465">
        <w:rPr>
          <w:rFonts w:hAnsi="黑体" w:cs="黑体"/>
          <w:lang w:eastAsia="zh-Hans"/>
        </w:rPr>
        <w:t>）</w:t>
      </w:r>
    </w:p>
    <w:p w:rsidR="00924465" w:rsidRPr="00924465" w:rsidRDefault="00924465" w:rsidP="003F2B80">
      <w:pPr>
        <w:adjustRightInd/>
        <w:spacing w:line="240" w:lineRule="auto"/>
        <w:ind w:firstLineChars="200" w:firstLine="420"/>
        <w:rPr>
          <w:rFonts w:cs="宋体"/>
        </w:rPr>
      </w:pPr>
      <w:r w:rsidRPr="00924465">
        <w:rPr>
          <w:rFonts w:cs="宋体" w:hint="eastAsia"/>
          <w:lang w:eastAsia="zh-Hans"/>
        </w:rPr>
        <w:t>利用加压器械驱动药液流入树木木质部的药液输送方式。</w:t>
      </w:r>
    </w:p>
    <w:p w:rsidR="00924465" w:rsidRPr="00924465" w:rsidRDefault="00924465" w:rsidP="00696633">
      <w:pPr>
        <w:pStyle w:val="affd"/>
        <w:spacing w:before="156" w:after="156"/>
        <w:rPr>
          <w:rFonts w:hAnsi="黑体" w:cs="黑体"/>
          <w:lang w:eastAsia="zh-Hans"/>
        </w:rPr>
      </w:pPr>
      <w:r w:rsidRPr="00924465">
        <w:rPr>
          <w:rFonts w:hAnsi="黑体" w:cs="黑体" w:hint="eastAsia"/>
          <w:lang w:eastAsia="zh-Hans"/>
        </w:rPr>
        <w:t>堵孔</w:t>
      </w:r>
      <w:r w:rsidRPr="00924465">
        <w:rPr>
          <w:rFonts w:hAnsi="黑体" w:cs="黑体"/>
          <w:lang w:eastAsia="zh-Hans"/>
        </w:rPr>
        <w:t>塞（</w:t>
      </w:r>
      <w:r w:rsidRPr="00924465">
        <w:rPr>
          <w:lang w:eastAsia="zh-Hans"/>
        </w:rPr>
        <w:t>Hole plug</w:t>
      </w:r>
      <w:r w:rsidRPr="00924465">
        <w:rPr>
          <w:rFonts w:hAnsi="黑体" w:cs="黑体"/>
          <w:lang w:eastAsia="zh-Hans"/>
        </w:rPr>
        <w:t>）</w:t>
      </w:r>
    </w:p>
    <w:p w:rsidR="00924465" w:rsidRPr="00924465" w:rsidRDefault="00924465" w:rsidP="003F2B80">
      <w:pPr>
        <w:adjustRightInd/>
        <w:spacing w:line="240" w:lineRule="auto"/>
        <w:ind w:firstLineChars="200" w:firstLine="420"/>
        <w:rPr>
          <w:rFonts w:cs="宋体"/>
        </w:rPr>
      </w:pPr>
      <w:r w:rsidRPr="00924465">
        <w:rPr>
          <w:rFonts w:ascii="宋体" w:hAnsi="宋体" w:cs="宋体" w:hint="eastAsia"/>
          <w:lang w:eastAsia="zh-Hans"/>
        </w:rPr>
        <w:t>指用于</w:t>
      </w:r>
      <w:r w:rsidRPr="00924465">
        <w:rPr>
          <w:rFonts w:ascii="Times New Roman" w:hAnsi="Times New Roman" w:hint="eastAsia"/>
          <w:lang w:eastAsia="zh-Hans"/>
        </w:rPr>
        <w:t>自流式注药后堵塞打孔口的</w:t>
      </w:r>
      <w:r w:rsidRPr="00924465">
        <w:rPr>
          <w:rFonts w:ascii="Times New Roman" w:hAnsi="Times New Roman" w:hint="eastAsia"/>
        </w:rPr>
        <w:t>专用</w:t>
      </w:r>
      <w:r w:rsidRPr="00924465">
        <w:rPr>
          <w:rFonts w:ascii="Times New Roman" w:hAnsi="Times New Roman" w:hint="eastAsia"/>
          <w:lang w:eastAsia="zh-Hans"/>
        </w:rPr>
        <w:t>环保耗材。</w:t>
      </w:r>
    </w:p>
    <w:p w:rsidR="00924465" w:rsidRPr="00924465" w:rsidRDefault="00924465" w:rsidP="00696633">
      <w:pPr>
        <w:pStyle w:val="affd"/>
        <w:spacing w:before="156" w:after="156"/>
        <w:rPr>
          <w:rFonts w:hAnsi="黑体" w:cs="黑体"/>
          <w:lang w:eastAsia="zh-Hans"/>
        </w:rPr>
      </w:pPr>
      <w:r w:rsidRPr="00924465">
        <w:rPr>
          <w:rFonts w:hAnsi="黑体" w:cs="黑体"/>
          <w:lang w:eastAsia="zh-Hans"/>
        </w:rPr>
        <w:t>注干塞（</w:t>
      </w:r>
      <w:r w:rsidRPr="00924465">
        <w:rPr>
          <w:lang w:eastAsia="zh-Hans"/>
        </w:rPr>
        <w:t>Injection Plug</w:t>
      </w:r>
      <w:r w:rsidRPr="00924465">
        <w:rPr>
          <w:rFonts w:hAnsi="黑体" w:cs="黑体"/>
          <w:lang w:eastAsia="zh-Hans"/>
        </w:rPr>
        <w:t>）</w:t>
      </w:r>
    </w:p>
    <w:p w:rsidR="00975835" w:rsidRPr="00924465" w:rsidRDefault="00924465" w:rsidP="003F2B80">
      <w:pPr>
        <w:pStyle w:val="afffff5"/>
        <w:ind w:firstLine="420"/>
        <w:rPr>
          <w:rFonts w:eastAsiaTheme="minorEastAsia"/>
        </w:rPr>
      </w:pPr>
      <w:r w:rsidRPr="00924465">
        <w:rPr>
          <w:rFonts w:hAnsi="宋体" w:cs="宋体" w:hint="eastAsia"/>
          <w:kern w:val="2"/>
          <w:szCs w:val="21"/>
          <w:lang w:eastAsia="zh-Hans"/>
        </w:rPr>
        <w:lastRenderedPageBreak/>
        <w:t>指用于加压注药树干打孔后堵孔密封的环保耗材，</w:t>
      </w:r>
      <w:r w:rsidRPr="00924465">
        <w:rPr>
          <w:rFonts w:ascii="Calibri" w:hAnsi="Calibri"/>
          <w:kern w:val="2"/>
          <w:szCs w:val="24"/>
        </w:rPr>
        <w:t>具有密封性能和单向阀结构，插入松树注孔后，为注药设备提供单向药液输入通道，加速药液进入</w:t>
      </w:r>
      <w:r w:rsidRPr="00924465">
        <w:rPr>
          <w:rFonts w:ascii="Calibri" w:hAnsi="Calibri" w:hint="eastAsia"/>
          <w:kern w:val="2"/>
          <w:szCs w:val="24"/>
        </w:rPr>
        <w:t>树体</w:t>
      </w:r>
      <w:r w:rsidRPr="00924465">
        <w:rPr>
          <w:rFonts w:hAnsi="宋体" w:cs="宋体" w:hint="eastAsia"/>
          <w:kern w:val="2"/>
          <w:szCs w:val="21"/>
          <w:lang w:eastAsia="zh-Hans"/>
        </w:rPr>
        <w:t>。</w:t>
      </w:r>
      <w:r w:rsidR="00544D67">
        <w:rPr>
          <w:rFonts w:ascii="MS Gothic" w:eastAsia="MS Gothic" w:hAnsi="MS Gothic" w:cs="MS Gothic" w:hint="eastAsia"/>
        </w:rPr>
        <w:t>‌</w:t>
      </w:r>
    </w:p>
    <w:p w:rsidR="00975835" w:rsidRDefault="00924465">
      <w:pPr>
        <w:pStyle w:val="affc"/>
        <w:spacing w:before="312" w:after="312"/>
      </w:pPr>
      <w:r>
        <w:rPr>
          <w:rFonts w:hint="eastAsia"/>
        </w:rPr>
        <w:t>作业要求</w:t>
      </w:r>
    </w:p>
    <w:p w:rsidR="00924465" w:rsidRDefault="00924465" w:rsidP="00696633">
      <w:pPr>
        <w:pStyle w:val="affd"/>
        <w:spacing w:before="156" w:after="156"/>
      </w:pPr>
      <w:r>
        <w:t>注药时间及环境</w:t>
      </w:r>
    </w:p>
    <w:p w:rsidR="00924465" w:rsidRPr="00924465" w:rsidRDefault="00924465" w:rsidP="00696633">
      <w:pPr>
        <w:pStyle w:val="afffff5"/>
        <w:ind w:firstLine="420"/>
      </w:pPr>
      <w:r w:rsidRPr="00924465">
        <w:t>根据注药方式以及作业地区气候不同，作业时间存在差异。自流式注药</w:t>
      </w:r>
      <w:r w:rsidRPr="00924465">
        <w:rPr>
          <w:lang w:eastAsia="zh-Hans"/>
        </w:rPr>
        <w:t>作业时间</w:t>
      </w:r>
      <w:r w:rsidRPr="00924465">
        <w:t>选择在</w:t>
      </w:r>
      <w:r w:rsidRPr="00924465">
        <w:rPr>
          <w:lang w:eastAsia="zh-Hans"/>
        </w:rPr>
        <w:t>11月份至次年3月份</w:t>
      </w:r>
      <w:r w:rsidRPr="00924465">
        <w:rPr>
          <w:rFonts w:hint="eastAsia"/>
        </w:rPr>
        <w:t>，作业</w:t>
      </w:r>
      <w:r w:rsidRPr="00924465">
        <w:t>气温低于</w:t>
      </w:r>
      <w:r w:rsidRPr="00924465">
        <w:rPr>
          <w:lang w:eastAsia="zh-Hans"/>
        </w:rPr>
        <w:t>10</w:t>
      </w:r>
      <w:r w:rsidRPr="00924465">
        <w:rPr>
          <w:lang w:eastAsia="zh-Hans"/>
        </w:rPr>
        <w:t>℃</w:t>
      </w:r>
      <w:r w:rsidRPr="00924465">
        <w:rPr>
          <w:rFonts w:hint="eastAsia"/>
          <w:lang w:eastAsia="zh-Hans"/>
        </w:rPr>
        <w:t>。</w:t>
      </w:r>
      <w:r w:rsidRPr="00924465">
        <w:rPr>
          <w:lang w:eastAsia="zh-Hans"/>
        </w:rPr>
        <w:t>加压式注药</w:t>
      </w:r>
      <w:r w:rsidRPr="00924465">
        <w:t>可常年作业，作业气温范围为-5</w:t>
      </w:r>
      <w:r w:rsidRPr="00924465">
        <w:t>℃</w:t>
      </w:r>
      <w:r w:rsidR="00580345">
        <w:rPr>
          <w:rFonts w:hint="eastAsia"/>
        </w:rPr>
        <w:t>～</w:t>
      </w:r>
      <w:r w:rsidRPr="00924465">
        <w:t>38</w:t>
      </w:r>
      <w:r w:rsidRPr="00924465">
        <w:t>℃</w:t>
      </w:r>
      <w:r w:rsidRPr="00924465">
        <w:t>。打孔注药作业均应选择在无雨、无雪、无大雾、无6级以上大风以及其他恶劣天气的白天进行。</w:t>
      </w:r>
    </w:p>
    <w:p w:rsidR="00924465" w:rsidRDefault="00924465" w:rsidP="00696633">
      <w:pPr>
        <w:pStyle w:val="affd"/>
        <w:spacing w:before="156" w:after="156"/>
      </w:pPr>
      <w:r>
        <w:rPr>
          <w:rFonts w:hint="eastAsia"/>
        </w:rPr>
        <w:t>注药对象</w:t>
      </w:r>
    </w:p>
    <w:p w:rsidR="00924465" w:rsidRPr="003F2B80" w:rsidRDefault="00924465" w:rsidP="00696633">
      <w:pPr>
        <w:pStyle w:val="afffff5"/>
        <w:ind w:firstLine="420"/>
      </w:pPr>
      <w:r w:rsidRPr="003F2B80">
        <w:t>注药对象主要为规划作业区域内胸径大于10cm的松树。对于具有特殊保护需求的松树若不满足前述要求可在进行技术评估后，根据实际需要确定是否实施注药。对拟进行打孔注药松树的胸径、生长情况、地理位置等情况进行测量并记录在册（参照附录A表A.1）。</w:t>
      </w:r>
    </w:p>
    <w:p w:rsidR="00924465" w:rsidRDefault="00924465" w:rsidP="00696633">
      <w:pPr>
        <w:pStyle w:val="affd"/>
        <w:spacing w:before="156" w:after="156"/>
      </w:pPr>
      <w:r>
        <w:rPr>
          <w:rFonts w:hint="eastAsia"/>
        </w:rPr>
        <w:t>药剂及其剂量</w:t>
      </w:r>
    </w:p>
    <w:p w:rsidR="00924465" w:rsidRPr="003F2B80" w:rsidRDefault="00924465" w:rsidP="00696633">
      <w:pPr>
        <w:pStyle w:val="afffff5"/>
        <w:ind w:firstLine="420"/>
      </w:pPr>
      <w:r w:rsidRPr="003F2B80">
        <w:t>应选择低毒、高效、渗透性较好的药剂进行注射，以《NY/T 1276</w:t>
      </w:r>
      <w:r w:rsidRPr="003F2B80">
        <w:t>—</w:t>
      </w:r>
      <w:r w:rsidRPr="003F2B80">
        <w:t>2007 农药安全使用规范 总则》为指导进行科学用药。针对松材线虫防治的药剂有效成分可选择甲氨基阿维菌素苯甲酸盐、阿维菌素、甲维</w:t>
      </w:r>
      <w:r w:rsidRPr="003F2B80">
        <w:t>·</w:t>
      </w:r>
      <w:proofErr w:type="gramStart"/>
      <w:r w:rsidRPr="003F2B80">
        <w:t>吡</w:t>
      </w:r>
      <w:proofErr w:type="gramEnd"/>
      <w:r w:rsidRPr="003F2B80">
        <w:t>虫</w:t>
      </w:r>
      <w:proofErr w:type="gramStart"/>
      <w:r w:rsidRPr="003F2B80">
        <w:t>啉</w:t>
      </w:r>
      <w:proofErr w:type="gramEnd"/>
      <w:r w:rsidRPr="003F2B80">
        <w:t>、苦参碱等，剂型可</w:t>
      </w:r>
      <w:proofErr w:type="gramStart"/>
      <w:r w:rsidRPr="003F2B80">
        <w:t>选择水</w:t>
      </w:r>
      <w:proofErr w:type="gramEnd"/>
      <w:r w:rsidRPr="003F2B80">
        <w:t>乳剂、可溶液剂、悬浮剂、微乳剂、乳油等。根据松树胸径以及药剂种类和含量确定药剂用量。具体使用剂量应按照登记批准的农药标签说明执行，无标签说明的可参考附录B的表B.1。</w:t>
      </w:r>
    </w:p>
    <w:p w:rsidR="00924465" w:rsidRDefault="00924465" w:rsidP="00696633">
      <w:pPr>
        <w:pStyle w:val="affd"/>
        <w:spacing w:before="156" w:after="156"/>
      </w:pPr>
      <w:r>
        <w:rPr>
          <w:rFonts w:hint="eastAsia"/>
        </w:rPr>
        <w:t>注药方法</w:t>
      </w:r>
    </w:p>
    <w:p w:rsidR="00924465" w:rsidRPr="003F2B80" w:rsidRDefault="00924465" w:rsidP="00696633">
      <w:pPr>
        <w:pStyle w:val="afffff5"/>
        <w:ind w:firstLine="420"/>
      </w:pPr>
      <w:r w:rsidRPr="003F2B80">
        <w:t>本文件列出两种打孔注药方法要求</w:t>
      </w:r>
      <w:r w:rsidRPr="003F2B80">
        <w:rPr>
          <w:rFonts w:hint="eastAsia"/>
        </w:rPr>
        <w:t>。</w:t>
      </w:r>
    </w:p>
    <w:p w:rsidR="00924465" w:rsidRDefault="00924465" w:rsidP="009B4C7B">
      <w:pPr>
        <w:pStyle w:val="affe"/>
        <w:spacing w:before="156" w:after="156"/>
      </w:pPr>
      <w:r>
        <w:t>自流式注药</w:t>
      </w:r>
    </w:p>
    <w:p w:rsidR="003F2B80" w:rsidRDefault="00924465" w:rsidP="009B4C7B">
      <w:pPr>
        <w:pStyle w:val="afff"/>
        <w:spacing w:before="156" w:after="156"/>
      </w:pPr>
      <w:r>
        <w:t>工具</w:t>
      </w:r>
    </w:p>
    <w:p w:rsidR="00924465" w:rsidRDefault="00924465" w:rsidP="009B4C7B">
      <w:pPr>
        <w:pStyle w:val="afffff5"/>
        <w:ind w:firstLine="420"/>
      </w:pPr>
      <w:r>
        <w:t>使用电钻进行树干打孔。根据</w:t>
      </w:r>
      <w:r>
        <w:rPr>
          <w:rFonts w:hint="eastAsia"/>
        </w:rPr>
        <w:t>药瓶</w:t>
      </w:r>
      <w:r>
        <w:t>注药</w:t>
      </w:r>
      <w:r>
        <w:rPr>
          <w:rFonts w:hint="eastAsia"/>
        </w:rPr>
        <w:t>管</w:t>
      </w:r>
      <w:r>
        <w:t>外径选择合适钻头（如直径5 mm</w:t>
      </w:r>
      <w:r w:rsidR="00580345">
        <w:t>～</w:t>
      </w:r>
      <w:r>
        <w:t>8 mm）。</w:t>
      </w:r>
    </w:p>
    <w:p w:rsidR="003F2B80" w:rsidRDefault="00924465" w:rsidP="009B4C7B">
      <w:pPr>
        <w:pStyle w:val="afff"/>
        <w:spacing w:before="156" w:after="156"/>
      </w:pPr>
      <w:r>
        <w:rPr>
          <w:rFonts w:hint="eastAsia"/>
        </w:rPr>
        <w:t>打孔数量和位置</w:t>
      </w:r>
    </w:p>
    <w:p w:rsidR="00924465" w:rsidRDefault="00924465" w:rsidP="009B4C7B">
      <w:pPr>
        <w:pStyle w:val="afffff5"/>
        <w:ind w:firstLine="420"/>
      </w:pPr>
      <w:r>
        <w:t>根据松树胸径和按照药剂产品说明确定打孔数量，胸径10cm</w:t>
      </w:r>
      <w:r w:rsidR="00580345">
        <w:t>～</w:t>
      </w:r>
      <w:r>
        <w:t>20cm打1个孔；胸径20cm</w:t>
      </w:r>
      <w:r w:rsidR="00580345">
        <w:t>～</w:t>
      </w:r>
      <w:r>
        <w:t>30cm打2个孔；胸径30cm</w:t>
      </w:r>
      <w:r w:rsidR="00580345">
        <w:t>～</w:t>
      </w:r>
      <w:r>
        <w:t>40cm打3个孔；胸径40cm</w:t>
      </w:r>
      <w:r w:rsidR="00580345">
        <w:t>～</w:t>
      </w:r>
      <w:r>
        <w:t>50cm打4个孔；胸径50cm以上每增加10cm增加打1个孔。打孔位置宜选在距离地面30cm</w:t>
      </w:r>
      <w:r w:rsidR="00580345">
        <w:t>～</w:t>
      </w:r>
      <w:r>
        <w:t>80cm处，孔间距离需大于20cm，各孔的位置应尽可能均匀分布在树干一周，且不在同一水平面上。</w:t>
      </w:r>
    </w:p>
    <w:p w:rsidR="003F2B80" w:rsidRDefault="00924465" w:rsidP="009B4C7B">
      <w:pPr>
        <w:pStyle w:val="afff"/>
        <w:spacing w:before="156" w:after="156"/>
      </w:pPr>
      <w:r>
        <w:rPr>
          <w:rFonts w:hint="eastAsia"/>
        </w:rPr>
        <w:t>打孔方法</w:t>
      </w:r>
    </w:p>
    <w:p w:rsidR="00924465" w:rsidRDefault="00924465" w:rsidP="009B4C7B">
      <w:pPr>
        <w:pStyle w:val="afffff5"/>
        <w:ind w:firstLine="420"/>
      </w:pPr>
      <w:r>
        <w:t>打孔前清理打孔点周围的粗糙外表皮，以确保药瓶</w:t>
      </w:r>
      <w:r>
        <w:rPr>
          <w:rFonts w:hint="eastAsia"/>
        </w:rPr>
        <w:t>注药管</w:t>
      </w:r>
      <w:r>
        <w:t>能有效插入，钻头角度与水平面夹角为30</w:t>
      </w:r>
      <w:r>
        <w:t>°</w:t>
      </w:r>
      <w:r w:rsidR="00580345">
        <w:t>～</w:t>
      </w:r>
      <w:r>
        <w:t>45</w:t>
      </w:r>
      <w:r>
        <w:t>°</w:t>
      </w:r>
      <w:r>
        <w:t>，斜向下钻入4cm</w:t>
      </w:r>
      <w:r w:rsidR="00580345">
        <w:t>～</w:t>
      </w:r>
      <w:r>
        <w:t>8cm，</w:t>
      </w:r>
      <w:proofErr w:type="gramStart"/>
      <w:r>
        <w:t>适当清理</w:t>
      </w:r>
      <w:proofErr w:type="gramEnd"/>
      <w:r>
        <w:t>孔内木屑。打孔位置应避开死节、病虫害或木质部损伤部位。</w:t>
      </w:r>
    </w:p>
    <w:p w:rsidR="003F2B80" w:rsidRDefault="00924465" w:rsidP="009B4C7B">
      <w:pPr>
        <w:pStyle w:val="afff"/>
        <w:spacing w:before="156" w:after="156"/>
      </w:pPr>
      <w:r>
        <w:rPr>
          <w:rFonts w:hint="eastAsia"/>
        </w:rPr>
        <w:t>插瓶注药</w:t>
      </w:r>
    </w:p>
    <w:p w:rsidR="00924465" w:rsidRDefault="00924465" w:rsidP="009B4C7B">
      <w:pPr>
        <w:pStyle w:val="afffff5"/>
        <w:ind w:firstLine="420"/>
      </w:pPr>
      <w:r>
        <w:rPr>
          <w:rFonts w:hint="eastAsia"/>
        </w:rPr>
        <w:t>打开注药管前端注入口，将注药管完全插入树体孔洞中，轻敲瓶底或</w:t>
      </w:r>
      <w:proofErr w:type="gramStart"/>
      <w:r>
        <w:rPr>
          <w:rFonts w:hint="eastAsia"/>
        </w:rPr>
        <w:t>拧动瓶身</w:t>
      </w:r>
      <w:proofErr w:type="gramEnd"/>
      <w:r>
        <w:rPr>
          <w:rFonts w:hint="eastAsia"/>
        </w:rPr>
        <w:t>使注药管紧密贴合孔洞，用打孔针在药瓶瓶底上缘扎透气孔。</w:t>
      </w:r>
    </w:p>
    <w:p w:rsidR="003F2B80" w:rsidRDefault="00924465" w:rsidP="009B4C7B">
      <w:pPr>
        <w:pStyle w:val="afff"/>
        <w:spacing w:before="156" w:after="156"/>
      </w:pPr>
      <w:proofErr w:type="gramStart"/>
      <w:r>
        <w:rPr>
          <w:rFonts w:hint="eastAsia"/>
        </w:rPr>
        <w:lastRenderedPageBreak/>
        <w:t>拔瓶封孔</w:t>
      </w:r>
      <w:proofErr w:type="gramEnd"/>
    </w:p>
    <w:p w:rsidR="00924465" w:rsidRDefault="00924465" w:rsidP="009B4C7B">
      <w:pPr>
        <w:pStyle w:val="afffff5"/>
        <w:ind w:firstLine="420"/>
      </w:pPr>
      <w:r>
        <w:t>根据药剂种类确定拔瓶时间。拔瓶前需观察瓶内残余药液量，判断药液是否顺利进入树体。确定药液充分注入后，缓慢拔出药瓶置于回收袋中，集中送至有资质的回收单位或按危险废弃物进行无害化处理。拔瓶后应</w:t>
      </w:r>
      <w:r>
        <w:rPr>
          <w:rFonts w:hint="eastAsia"/>
        </w:rPr>
        <w:t>使用合适的堵孔塞封闭注孔，防止病虫侵害。</w:t>
      </w:r>
    </w:p>
    <w:p w:rsidR="00924465" w:rsidRDefault="00924465" w:rsidP="009B4C7B">
      <w:pPr>
        <w:pStyle w:val="affe"/>
        <w:spacing w:before="156" w:after="156"/>
      </w:pPr>
      <w:r>
        <w:t>加压注药</w:t>
      </w:r>
    </w:p>
    <w:p w:rsidR="003F2B80" w:rsidRDefault="00924465" w:rsidP="009B4C7B">
      <w:pPr>
        <w:pStyle w:val="afff"/>
        <w:spacing w:before="156" w:after="156"/>
      </w:pPr>
      <w:r>
        <w:t>工具</w:t>
      </w:r>
    </w:p>
    <w:p w:rsidR="00924465" w:rsidRDefault="00924465" w:rsidP="009B4C7B">
      <w:pPr>
        <w:pStyle w:val="afffff5"/>
        <w:ind w:firstLine="420"/>
      </w:pPr>
      <w:r>
        <w:rPr>
          <w:rFonts w:hint="eastAsia"/>
        </w:rPr>
        <w:t>使用</w:t>
      </w:r>
      <w:r>
        <w:t>电钻进行树干打孔。根据</w:t>
      </w:r>
      <w:proofErr w:type="gramStart"/>
      <w:r>
        <w:t>注干塞规格选择</w:t>
      </w:r>
      <w:proofErr w:type="gramEnd"/>
      <w:r>
        <w:t>相应直径的钻头（如直径5 mm</w:t>
      </w:r>
      <w:r w:rsidR="009B4C7B">
        <w:rPr>
          <w:rFonts w:ascii="Times New Roman" w:hint="eastAsia"/>
        </w:rPr>
        <w:t>～</w:t>
      </w:r>
      <w:r>
        <w:t>8 mm）</w:t>
      </w:r>
      <w:r>
        <w:rPr>
          <w:rFonts w:hint="eastAsia"/>
        </w:rPr>
        <w:t>。</w:t>
      </w:r>
    </w:p>
    <w:p w:rsidR="003F2B80" w:rsidRDefault="00924465" w:rsidP="009B4C7B">
      <w:pPr>
        <w:pStyle w:val="afff"/>
        <w:spacing w:before="156" w:after="156"/>
      </w:pPr>
      <w:r>
        <w:t>打孔</w:t>
      </w:r>
      <w:r>
        <w:rPr>
          <w:rFonts w:hint="eastAsia"/>
        </w:rPr>
        <w:t>方法</w:t>
      </w:r>
    </w:p>
    <w:p w:rsidR="00924465" w:rsidRDefault="00924465" w:rsidP="009B4C7B">
      <w:pPr>
        <w:pStyle w:val="afffff5"/>
        <w:ind w:firstLine="420"/>
      </w:pPr>
      <w:r>
        <w:t>打孔数量同4.4.1.2。打孔前清理打孔点周围的粗糙外表皮</w:t>
      </w:r>
      <w:r>
        <w:rPr>
          <w:rFonts w:hint="eastAsia"/>
        </w:rPr>
        <w:t>，</w:t>
      </w:r>
      <w:r>
        <w:t>钻头垂直于树体，钻入木质部约2cm</w:t>
      </w:r>
      <w:r w:rsidR="00580345">
        <w:t>～</w:t>
      </w:r>
      <w:r>
        <w:t>5cm深，清理孔内木屑。</w:t>
      </w:r>
    </w:p>
    <w:p w:rsidR="003F2B80" w:rsidRDefault="00924465" w:rsidP="009B4C7B">
      <w:pPr>
        <w:pStyle w:val="afff"/>
        <w:spacing w:before="156" w:after="156"/>
      </w:pPr>
      <w:r>
        <w:t>塞孔方法</w:t>
      </w:r>
    </w:p>
    <w:p w:rsidR="00924465" w:rsidRDefault="00924465" w:rsidP="009B4C7B">
      <w:pPr>
        <w:pStyle w:val="afffff5"/>
        <w:ind w:firstLine="420"/>
      </w:pPr>
      <w:r>
        <w:rPr>
          <w:rFonts w:hint="eastAsia"/>
        </w:rPr>
        <w:t>将</w:t>
      </w:r>
      <w:proofErr w:type="gramStart"/>
      <w:r>
        <w:rPr>
          <w:rFonts w:hint="eastAsia"/>
        </w:rPr>
        <w:t>与注孔大小</w:t>
      </w:r>
      <w:proofErr w:type="gramEnd"/>
      <w:r>
        <w:rPr>
          <w:rFonts w:hint="eastAsia"/>
        </w:rPr>
        <w:t>适配的</w:t>
      </w:r>
      <w:proofErr w:type="gramStart"/>
      <w:r>
        <w:rPr>
          <w:rFonts w:hint="eastAsia"/>
        </w:rPr>
        <w:t>注干塞</w:t>
      </w:r>
      <w:proofErr w:type="gramEnd"/>
      <w:r>
        <w:rPr>
          <w:rFonts w:hint="eastAsia"/>
        </w:rPr>
        <w:t>插入，用锤子将</w:t>
      </w:r>
      <w:proofErr w:type="gramStart"/>
      <w:r>
        <w:rPr>
          <w:rFonts w:hint="eastAsia"/>
        </w:rPr>
        <w:t>注干塞</w:t>
      </w:r>
      <w:proofErr w:type="gramEnd"/>
      <w:r>
        <w:rPr>
          <w:rFonts w:hint="eastAsia"/>
        </w:rPr>
        <w:t>楔入松树</w:t>
      </w:r>
      <w:proofErr w:type="gramStart"/>
      <w:r>
        <w:rPr>
          <w:rFonts w:hint="eastAsia"/>
        </w:rPr>
        <w:t>树</w:t>
      </w:r>
      <w:proofErr w:type="gramEnd"/>
      <w:r>
        <w:rPr>
          <w:rFonts w:hint="eastAsia"/>
        </w:rPr>
        <w:t>体内，</w:t>
      </w:r>
      <w:proofErr w:type="gramStart"/>
      <w:r>
        <w:rPr>
          <w:rFonts w:hint="eastAsia"/>
        </w:rPr>
        <w:t>注干塞</w:t>
      </w:r>
      <w:proofErr w:type="gramEnd"/>
      <w:r>
        <w:rPr>
          <w:rFonts w:hint="eastAsia"/>
        </w:rPr>
        <w:t>外缘应紧密贴合木质部表面，</w:t>
      </w:r>
      <w:proofErr w:type="gramStart"/>
      <w:r>
        <w:rPr>
          <w:rFonts w:hint="eastAsia"/>
        </w:rPr>
        <w:t>略进入</w:t>
      </w:r>
      <w:proofErr w:type="gramEnd"/>
      <w:r>
        <w:rPr>
          <w:rFonts w:hint="eastAsia"/>
        </w:rPr>
        <w:t>边材，确保密封。</w:t>
      </w:r>
    </w:p>
    <w:p w:rsidR="003F2B80" w:rsidRDefault="00924465" w:rsidP="009B4C7B">
      <w:pPr>
        <w:pStyle w:val="afff"/>
        <w:spacing w:before="156" w:after="156"/>
      </w:pPr>
      <w:r>
        <w:t>注药设备</w:t>
      </w:r>
    </w:p>
    <w:p w:rsidR="00924465" w:rsidRDefault="00924465" w:rsidP="009B4C7B">
      <w:pPr>
        <w:pStyle w:val="afffff5"/>
        <w:ind w:firstLine="420"/>
      </w:pPr>
      <w:r>
        <w:rPr>
          <w:rFonts w:hint="eastAsia"/>
        </w:rPr>
        <w:t>注药选用手压</w:t>
      </w:r>
      <w:proofErr w:type="gramStart"/>
      <w:r>
        <w:rPr>
          <w:rFonts w:hint="eastAsia"/>
        </w:rPr>
        <w:t>式连续</w:t>
      </w:r>
      <w:proofErr w:type="gramEnd"/>
      <w:r>
        <w:rPr>
          <w:rFonts w:hint="eastAsia"/>
        </w:rPr>
        <w:t>注射器或具备压缩空气瓶的自动压力注射器。</w:t>
      </w:r>
    </w:p>
    <w:p w:rsidR="003F2B80" w:rsidRDefault="00924465" w:rsidP="009B4C7B">
      <w:pPr>
        <w:pStyle w:val="afff"/>
        <w:spacing w:before="156" w:after="156"/>
      </w:pPr>
      <w:r>
        <w:t>注药</w:t>
      </w:r>
      <w:r>
        <w:rPr>
          <w:rFonts w:hint="eastAsia"/>
        </w:rPr>
        <w:t>流程</w:t>
      </w:r>
    </w:p>
    <w:p w:rsidR="00924465" w:rsidRDefault="00924465" w:rsidP="009B4C7B">
      <w:pPr>
        <w:pStyle w:val="afffff5"/>
        <w:ind w:firstLine="420"/>
        <w:rPr>
          <w:rFonts w:ascii="黑体" w:eastAsia="黑体" w:hAnsi="黑体"/>
        </w:rPr>
      </w:pPr>
      <w:r>
        <w:rPr>
          <w:rFonts w:hint="eastAsia"/>
        </w:rPr>
        <w:t>注射前药液应混合均匀，将注射器针头插入树体</w:t>
      </w:r>
      <w:proofErr w:type="gramStart"/>
      <w:r>
        <w:rPr>
          <w:rFonts w:hint="eastAsia"/>
        </w:rPr>
        <w:t>注干塞</w:t>
      </w:r>
      <w:proofErr w:type="gramEnd"/>
      <w:r>
        <w:rPr>
          <w:rFonts w:hint="eastAsia"/>
        </w:rPr>
        <w:t>单向阀中，匀速将药液注入树体，达到注药体积</w:t>
      </w:r>
      <w:r>
        <w:rPr>
          <w:rFonts w:ascii="Times New Roman"/>
        </w:rPr>
        <w:t>后静置</w:t>
      </w:r>
      <w:r>
        <w:rPr>
          <w:rFonts w:ascii="Times New Roman"/>
        </w:rPr>
        <w:t>5</w:t>
      </w:r>
      <w:r>
        <w:rPr>
          <w:rFonts w:ascii="Times New Roman" w:hint="eastAsia"/>
        </w:rPr>
        <w:t>～</w:t>
      </w:r>
      <w:r>
        <w:rPr>
          <w:rFonts w:ascii="Times New Roman"/>
        </w:rPr>
        <w:t>10</w:t>
      </w:r>
      <w:r>
        <w:rPr>
          <w:rFonts w:ascii="Times New Roman"/>
        </w:rPr>
        <w:t>秒，拔出注</w:t>
      </w:r>
      <w:r>
        <w:rPr>
          <w:rFonts w:hint="eastAsia"/>
        </w:rPr>
        <w:t>射器针头，完成注药操作。</w:t>
      </w:r>
    </w:p>
    <w:p w:rsidR="00924465" w:rsidRDefault="00924465" w:rsidP="009B4C7B">
      <w:pPr>
        <w:pStyle w:val="affd"/>
        <w:spacing w:before="156" w:after="156"/>
      </w:pPr>
      <w:r>
        <w:t>悬挂标识</w:t>
      </w:r>
      <w:r>
        <w:rPr>
          <w:rFonts w:hint="eastAsia"/>
        </w:rPr>
        <w:t>与记录</w:t>
      </w:r>
    </w:p>
    <w:p w:rsidR="00975835" w:rsidRDefault="00924465" w:rsidP="009B4C7B">
      <w:pPr>
        <w:pStyle w:val="afffff5"/>
        <w:ind w:firstLine="420"/>
      </w:pPr>
      <w:r>
        <w:t>施工前，在注药区张贴告示牌。施工时，对打孔注药树木悬挂标识牌，明确注药日期、药剂类型和用量、注药人员（单位）等信息，以提醒他人注意安全和防护。标识牌应当明显可见，易于识别。同时完成打孔注药资料档案（参照附录A附表A.1）。</w:t>
      </w:r>
    </w:p>
    <w:p w:rsidR="009B4C7B" w:rsidRPr="009B4C7B" w:rsidRDefault="009B4C7B" w:rsidP="009B4C7B">
      <w:pPr>
        <w:pStyle w:val="affc"/>
        <w:spacing w:before="312" w:after="312"/>
        <w:rPr>
          <w:lang w:eastAsia="zh-Hans"/>
        </w:rPr>
      </w:pPr>
      <w:bookmarkStart w:id="44" w:name="BookMark8"/>
      <w:bookmarkEnd w:id="22"/>
      <w:r w:rsidRPr="009B4C7B">
        <w:rPr>
          <w:lang w:eastAsia="zh-Hans"/>
        </w:rPr>
        <w:t>质量控制</w:t>
      </w:r>
    </w:p>
    <w:p w:rsidR="009B4C7B" w:rsidRPr="009B4C7B" w:rsidRDefault="009B4C7B" w:rsidP="009B4C7B">
      <w:pPr>
        <w:pStyle w:val="afffff5"/>
        <w:ind w:firstLine="420"/>
        <w:rPr>
          <w:lang w:eastAsia="zh-Hans"/>
        </w:rPr>
      </w:pPr>
      <w:r w:rsidRPr="009B4C7B">
        <w:rPr>
          <w:rFonts w:hint="eastAsia"/>
          <w:lang w:eastAsia="zh-Hans"/>
        </w:rPr>
        <w:t>为</w:t>
      </w:r>
      <w:r w:rsidRPr="009B4C7B">
        <w:rPr>
          <w:lang w:eastAsia="zh-Hans"/>
        </w:rPr>
        <w:t>确保药液浓度和药剂量的准确性和一致性</w:t>
      </w:r>
      <w:r w:rsidRPr="009B4C7B">
        <w:rPr>
          <w:rFonts w:hint="eastAsia"/>
          <w:lang w:eastAsia="zh-Hans"/>
        </w:rPr>
        <w:t>，作业前应</w:t>
      </w:r>
      <w:r w:rsidRPr="009B4C7B">
        <w:rPr>
          <w:lang w:eastAsia="zh-Hans"/>
        </w:rPr>
        <w:t>对药液进行充分混合，</w:t>
      </w:r>
      <w:r w:rsidRPr="009B4C7B">
        <w:rPr>
          <w:rFonts w:hint="eastAsia"/>
          <w:lang w:eastAsia="zh-Hans"/>
        </w:rPr>
        <w:t>确保药剂混合均匀，避免药剂沉淀</w:t>
      </w:r>
      <w:r w:rsidRPr="009B4C7B">
        <w:rPr>
          <w:lang w:eastAsia="zh-Hans"/>
        </w:rPr>
        <w:t>。在</w:t>
      </w:r>
      <w:r w:rsidRPr="009B4C7B">
        <w:rPr>
          <w:rFonts w:hint="eastAsia"/>
          <w:lang w:eastAsia="zh-Hans"/>
        </w:rPr>
        <w:t>完成打孔注药</w:t>
      </w:r>
      <w:r w:rsidRPr="009B4C7B">
        <w:rPr>
          <w:lang w:eastAsia="zh-Hans"/>
        </w:rPr>
        <w:t>后，</w:t>
      </w:r>
      <w:r w:rsidRPr="009B4C7B">
        <w:rPr>
          <w:rFonts w:hint="eastAsia"/>
          <w:lang w:eastAsia="zh-Hans"/>
        </w:rPr>
        <w:t>要及时观察注药孔处漏药情况，</w:t>
      </w:r>
      <w:r w:rsidRPr="009B4C7B">
        <w:rPr>
          <w:lang w:eastAsia="zh-Hans"/>
        </w:rPr>
        <w:t>如注孔处药液明显流失，应视为严重漏药，需重新注药。</w:t>
      </w:r>
    </w:p>
    <w:p w:rsidR="009B4C7B" w:rsidRPr="009B4C7B" w:rsidRDefault="009B4C7B" w:rsidP="009B4C7B">
      <w:pPr>
        <w:pStyle w:val="affc"/>
        <w:spacing w:before="312" w:after="312"/>
        <w:rPr>
          <w:lang w:eastAsia="zh-Hans"/>
        </w:rPr>
      </w:pPr>
      <w:r w:rsidRPr="009B4C7B">
        <w:rPr>
          <w:lang w:eastAsia="zh-Hans"/>
        </w:rPr>
        <w:t>效果评价</w:t>
      </w:r>
    </w:p>
    <w:p w:rsidR="009B4C7B" w:rsidRPr="009B4C7B" w:rsidRDefault="009B4C7B" w:rsidP="009B4C7B">
      <w:pPr>
        <w:pStyle w:val="affd"/>
        <w:spacing w:before="156" w:after="156"/>
        <w:rPr>
          <w:lang w:eastAsia="zh-Hans"/>
        </w:rPr>
      </w:pPr>
      <w:r w:rsidRPr="009B4C7B">
        <w:rPr>
          <w:lang w:eastAsia="zh-Hans"/>
        </w:rPr>
        <w:t>总则</w:t>
      </w:r>
    </w:p>
    <w:p w:rsidR="009B4C7B" w:rsidRPr="009B4C7B" w:rsidRDefault="009B4C7B" w:rsidP="009B4C7B">
      <w:pPr>
        <w:pStyle w:val="afffff5"/>
        <w:ind w:firstLine="420"/>
      </w:pPr>
      <w:r w:rsidRPr="009B4C7B">
        <w:rPr>
          <w:lang w:eastAsia="zh-Hans"/>
        </w:rPr>
        <w:t>效果</w:t>
      </w:r>
      <w:r w:rsidRPr="009B4C7B">
        <w:rPr>
          <w:rFonts w:hint="eastAsia"/>
          <w:lang w:eastAsia="zh-Hans"/>
        </w:rPr>
        <w:t>评价</w:t>
      </w:r>
      <w:r w:rsidRPr="009B4C7B">
        <w:rPr>
          <w:lang w:eastAsia="zh-Hans"/>
        </w:rPr>
        <w:t>旨在</w:t>
      </w:r>
      <w:r w:rsidRPr="009B4C7B">
        <w:rPr>
          <w:rFonts w:hint="eastAsia"/>
          <w:lang w:eastAsia="zh-Hans"/>
        </w:rPr>
        <w:t>检测</w:t>
      </w:r>
      <w:r w:rsidRPr="009B4C7B">
        <w:rPr>
          <w:lang w:eastAsia="zh-Hans"/>
        </w:rPr>
        <w:t>打孔注药措施在松树体内药剂的分布与持效情况，以及对松材线虫病的实际预防效果，为优化防治策略和评价项目成效提供依据。</w:t>
      </w:r>
      <w:r w:rsidRPr="009B4C7B">
        <w:rPr>
          <w:rFonts w:hint="eastAsia"/>
          <w:lang w:eastAsia="zh-Hans"/>
        </w:rPr>
        <w:t>评价</w:t>
      </w:r>
      <w:r w:rsidRPr="009B4C7B">
        <w:rPr>
          <w:lang w:eastAsia="zh-Hans"/>
        </w:rPr>
        <w:t>工作应由具备相应资质和能力的专业技术人员或机构承担。</w:t>
      </w:r>
      <w:r w:rsidRPr="009B4C7B">
        <w:rPr>
          <w:rFonts w:hint="eastAsia"/>
          <w:lang w:eastAsia="zh-Hans"/>
        </w:rPr>
        <w:t>注药防治作业是否需要效果评价可根据实际需要选择。</w:t>
      </w:r>
    </w:p>
    <w:p w:rsidR="009B4C7B" w:rsidRPr="009B4C7B" w:rsidRDefault="009B4C7B" w:rsidP="009B4C7B">
      <w:pPr>
        <w:pStyle w:val="affd"/>
        <w:spacing w:before="156" w:after="156"/>
        <w:rPr>
          <w:lang w:eastAsia="zh-Hans"/>
        </w:rPr>
      </w:pPr>
      <w:r w:rsidRPr="009B4C7B">
        <w:rPr>
          <w:lang w:eastAsia="zh-Hans"/>
        </w:rPr>
        <w:lastRenderedPageBreak/>
        <w:t>药剂残留检测</w:t>
      </w:r>
    </w:p>
    <w:p w:rsidR="009B4C7B" w:rsidRPr="009B4C7B" w:rsidRDefault="009B4C7B" w:rsidP="009B4C7B">
      <w:pPr>
        <w:pStyle w:val="afffff5"/>
        <w:ind w:firstLine="420"/>
      </w:pPr>
      <w:r w:rsidRPr="009B4C7B">
        <w:rPr>
          <w:lang w:eastAsia="zh-Hans"/>
        </w:rPr>
        <w:t>通过检测松树体内药剂有效成分的残留量、分布情况及维持有效浓度的时间，评价药剂吸收、传导及持效性能。</w:t>
      </w:r>
    </w:p>
    <w:p w:rsidR="009B4C7B" w:rsidRPr="009B4C7B" w:rsidRDefault="009B4C7B" w:rsidP="009B4C7B">
      <w:pPr>
        <w:pStyle w:val="affe"/>
        <w:spacing w:before="156" w:after="156"/>
        <w:rPr>
          <w:lang w:eastAsia="zh-Hans"/>
        </w:rPr>
      </w:pPr>
      <w:r w:rsidRPr="009B4C7B">
        <w:rPr>
          <w:lang w:eastAsia="zh-Hans"/>
        </w:rPr>
        <w:t>抽样</w:t>
      </w:r>
    </w:p>
    <w:p w:rsidR="009B4C7B" w:rsidRPr="009B4C7B" w:rsidRDefault="009B4C7B" w:rsidP="009B4C7B">
      <w:pPr>
        <w:pStyle w:val="afffff5"/>
        <w:ind w:firstLine="420"/>
        <w:rPr>
          <w:lang w:eastAsia="zh-Hans"/>
        </w:rPr>
      </w:pPr>
      <w:r w:rsidRPr="009B4C7B">
        <w:rPr>
          <w:lang w:eastAsia="zh-Hans"/>
        </w:rPr>
        <w:t>在注药后不同时间点进行抽样。例如：注药后1个月</w:t>
      </w:r>
      <w:r w:rsidR="00580345">
        <w:rPr>
          <w:lang w:eastAsia="zh-Hans"/>
        </w:rPr>
        <w:t>～</w:t>
      </w:r>
      <w:r w:rsidRPr="009B4C7B">
        <w:rPr>
          <w:lang w:eastAsia="zh-Hans"/>
        </w:rPr>
        <w:t>3个月取样评估药剂是否有效吸收并初步分布至树体；注药后1年及以后取样评估药剂的持效期，通常至少每年检测一次，直至低于目标浓度。取样方法为：在实施注药的林分内，采用随机抽样或分层随机抽样的方法选择样木。具体数量可根据林分面积、树木分布均匀度、检测成本等因素</w:t>
      </w:r>
      <w:r w:rsidRPr="009B4C7B">
        <w:rPr>
          <w:rFonts w:hint="eastAsia"/>
          <w:lang w:eastAsia="zh-Hans"/>
        </w:rPr>
        <w:t>确定</w:t>
      </w:r>
      <w:r w:rsidRPr="009B4C7B">
        <w:rPr>
          <w:lang w:eastAsia="zh-Hans"/>
        </w:rPr>
        <w:t>，但需确保统计学意义。</w:t>
      </w:r>
    </w:p>
    <w:p w:rsidR="009B4C7B" w:rsidRPr="009B4C7B" w:rsidRDefault="009B4C7B" w:rsidP="009B4C7B">
      <w:pPr>
        <w:pStyle w:val="affe"/>
        <w:spacing w:before="156" w:after="156"/>
        <w:rPr>
          <w:lang w:eastAsia="zh-Hans"/>
        </w:rPr>
      </w:pPr>
      <w:r w:rsidRPr="009B4C7B">
        <w:rPr>
          <w:lang w:eastAsia="zh-Hans"/>
        </w:rPr>
        <w:t>样品采集</w:t>
      </w:r>
    </w:p>
    <w:p w:rsidR="009B4C7B" w:rsidRPr="009B4C7B" w:rsidRDefault="009B4C7B" w:rsidP="009B4C7B">
      <w:pPr>
        <w:pStyle w:val="afffff5"/>
        <w:ind w:firstLine="420"/>
        <w:rPr>
          <w:rFonts w:cs="宋体"/>
        </w:rPr>
      </w:pPr>
      <w:r w:rsidRPr="009B4C7B">
        <w:rPr>
          <w:lang w:eastAsia="zh-Hans"/>
        </w:rPr>
        <w:t>为全面评估药剂分布，应分别采集树干木质部样品和树冠枝条（或松针）样品。树干木质部样品应在距离地面1.3m胸高处，使用消毒的树木生长锥钻取木芯，深度应至少覆盖边材主要部分，且避开原打孔</w:t>
      </w:r>
      <w:r w:rsidRPr="009B4C7B">
        <w:rPr>
          <w:rFonts w:hint="eastAsia"/>
        </w:rPr>
        <w:t>位置</w:t>
      </w:r>
      <w:r w:rsidRPr="009B4C7B">
        <w:rPr>
          <w:lang w:eastAsia="zh-Hans"/>
        </w:rPr>
        <w:t>10cm以上。树冠样品应在树冠上、中、下不同层次和方位，采集当年生或1</w:t>
      </w:r>
      <w:r w:rsidRPr="009B4C7B">
        <w:rPr>
          <w:rFonts w:hint="eastAsia"/>
        </w:rPr>
        <w:t>～</w:t>
      </w:r>
      <w:r w:rsidRPr="009B4C7B">
        <w:rPr>
          <w:lang w:eastAsia="zh-Hans"/>
        </w:rPr>
        <w:t>2年生健康枝条（或松针）并混合均匀。采集的样品应及时装入洁净的样品袋中，内外标签清晰注明</w:t>
      </w:r>
      <w:r w:rsidRPr="009B4C7B">
        <w:rPr>
          <w:rFonts w:hint="eastAsia"/>
        </w:rPr>
        <w:t>样本</w:t>
      </w:r>
      <w:r w:rsidRPr="009B4C7B">
        <w:rPr>
          <w:lang w:eastAsia="zh-Hans"/>
        </w:rPr>
        <w:t>编号、取样部位、取样日期、取样人、地点等信息。样品运输及保存应保持-20</w:t>
      </w:r>
      <w:r w:rsidRPr="009B4C7B">
        <w:rPr>
          <w:lang w:eastAsia="zh-Hans"/>
        </w:rPr>
        <w:t>℃</w:t>
      </w:r>
      <w:r w:rsidRPr="009B4C7B">
        <w:rPr>
          <w:lang w:eastAsia="zh-Hans"/>
        </w:rPr>
        <w:t>以下低温、避光，防止降解或污染，并尽早进行检测</w:t>
      </w:r>
      <w:r w:rsidRPr="009B4C7B">
        <w:rPr>
          <w:rFonts w:cs="宋体" w:hint="eastAsia"/>
          <w:lang w:eastAsia="zh-Hans"/>
        </w:rPr>
        <w:t>。</w:t>
      </w:r>
    </w:p>
    <w:p w:rsidR="009B4C7B" w:rsidRPr="009B4C7B" w:rsidRDefault="009B4C7B" w:rsidP="009B4C7B">
      <w:pPr>
        <w:pStyle w:val="affe"/>
        <w:spacing w:before="156" w:after="156"/>
        <w:rPr>
          <w:lang w:eastAsia="zh-Hans"/>
        </w:rPr>
      </w:pPr>
      <w:r w:rsidRPr="009B4C7B">
        <w:rPr>
          <w:lang w:eastAsia="zh-Hans"/>
        </w:rPr>
        <w:t>分析方法</w:t>
      </w:r>
    </w:p>
    <w:p w:rsidR="009B4C7B" w:rsidRPr="009B4C7B" w:rsidRDefault="009B4C7B" w:rsidP="009B4C7B">
      <w:pPr>
        <w:pStyle w:val="afffff5"/>
        <w:ind w:firstLine="420"/>
        <w:rPr>
          <w:lang w:eastAsia="zh-Hans"/>
        </w:rPr>
      </w:pPr>
      <w:r w:rsidRPr="009B4C7B">
        <w:rPr>
          <w:lang w:eastAsia="zh-Hans"/>
        </w:rPr>
        <w:t>检测指标为所注射药剂的有效成分含量。检测</w:t>
      </w:r>
      <w:r w:rsidRPr="009B4C7B">
        <w:rPr>
          <w:rFonts w:hint="eastAsia"/>
          <w:lang w:eastAsia="zh-Hans"/>
        </w:rPr>
        <w:t>可</w:t>
      </w:r>
      <w:r w:rsidRPr="009B4C7B">
        <w:rPr>
          <w:lang w:eastAsia="zh-Hans"/>
        </w:rPr>
        <w:t>采</w:t>
      </w:r>
      <w:r w:rsidRPr="009B4C7B">
        <w:rPr>
          <w:rFonts w:hint="eastAsia"/>
          <w:lang w:eastAsia="zh-Hans"/>
        </w:rPr>
        <w:t>用的分析方法包括：</w:t>
      </w:r>
      <w:r w:rsidRPr="009B4C7B">
        <w:rPr>
          <w:lang w:eastAsia="zh-Hans"/>
        </w:rPr>
        <w:t>高效液相色谱法（HPLC）、气相色谱-质谱联用法（GC-MS）、液相色谱-质谱联用法（LC-MS/MS）等。可参考《GB/T 20693-2020 甲氨基阿维菌素苯甲酸盐原药</w:t>
      </w:r>
      <w:r w:rsidRPr="009B4C7B">
        <w:rPr>
          <w:rFonts w:hint="eastAsia"/>
        </w:rPr>
        <w:t>》《</w:t>
      </w:r>
      <w:r w:rsidRPr="009B4C7B">
        <w:rPr>
          <w:lang w:eastAsia="zh-Hans"/>
        </w:rPr>
        <w:t>GB/T 19336-2017 阿维菌素原药</w:t>
      </w:r>
      <w:r w:rsidRPr="009B4C7B">
        <w:rPr>
          <w:rFonts w:hint="eastAsia"/>
        </w:rPr>
        <w:t>》《</w:t>
      </w:r>
      <w:r w:rsidRPr="009B4C7B">
        <w:rPr>
          <w:lang w:eastAsia="zh-Hans"/>
        </w:rPr>
        <w:t>GB 28126-2011 吡虫啉原药》等标准中提供的分析原理，但需针对样品进行调整和验证。</w:t>
      </w:r>
    </w:p>
    <w:p w:rsidR="009B4C7B" w:rsidRPr="009B4C7B" w:rsidRDefault="009B4C7B" w:rsidP="009B4C7B">
      <w:pPr>
        <w:pStyle w:val="affe"/>
        <w:spacing w:before="156" w:after="156"/>
        <w:rPr>
          <w:lang w:eastAsia="zh-Hans"/>
        </w:rPr>
      </w:pPr>
      <w:r w:rsidRPr="009B4C7B">
        <w:rPr>
          <w:lang w:eastAsia="zh-Hans"/>
        </w:rPr>
        <w:t>结果判定</w:t>
      </w:r>
    </w:p>
    <w:p w:rsidR="009B4C7B" w:rsidRPr="009B4C7B" w:rsidRDefault="009B4C7B" w:rsidP="009B4C7B">
      <w:pPr>
        <w:pStyle w:val="afffff5"/>
        <w:ind w:firstLine="420"/>
      </w:pPr>
      <w:r w:rsidRPr="009B4C7B">
        <w:rPr>
          <w:lang w:eastAsia="zh-Hans"/>
        </w:rPr>
        <w:t>将检测得到的药剂有效成分浓度</w:t>
      </w:r>
      <w:r w:rsidRPr="009B4C7B">
        <w:rPr>
          <w:rFonts w:hint="eastAsia"/>
          <w:lang w:eastAsia="zh-Hans"/>
        </w:rPr>
        <w:t>，与</w:t>
      </w:r>
      <w:r w:rsidRPr="009B4C7B">
        <w:rPr>
          <w:lang w:eastAsia="zh-Hans"/>
        </w:rPr>
        <w:t>松材线虫有效控制浓度（如半数致死浓度LC50、90%致死浓度LC90或抑制浓度）进行比较，评估药剂在树体内是否达到并维持有效防治水平。</w:t>
      </w:r>
    </w:p>
    <w:p w:rsidR="009B4C7B" w:rsidRPr="009B4C7B" w:rsidRDefault="009B4C7B" w:rsidP="009B4C7B">
      <w:pPr>
        <w:pStyle w:val="affd"/>
        <w:spacing w:before="156" w:after="156"/>
        <w:rPr>
          <w:lang w:eastAsia="zh-Hans"/>
        </w:rPr>
      </w:pPr>
      <w:r w:rsidRPr="009B4C7B">
        <w:rPr>
          <w:lang w:eastAsia="zh-Hans"/>
        </w:rPr>
        <w:t>防治效果</w:t>
      </w:r>
      <w:r w:rsidRPr="009B4C7B">
        <w:rPr>
          <w:rFonts w:hint="eastAsia"/>
          <w:lang w:eastAsia="zh-Hans"/>
        </w:rPr>
        <w:t>调查</w:t>
      </w:r>
    </w:p>
    <w:p w:rsidR="009B4C7B" w:rsidRPr="009B4C7B" w:rsidRDefault="009B4C7B" w:rsidP="009B4C7B">
      <w:pPr>
        <w:pStyle w:val="afffff5"/>
        <w:ind w:firstLine="420"/>
      </w:pPr>
      <w:r w:rsidRPr="009B4C7B">
        <w:rPr>
          <w:lang w:eastAsia="zh-Hans"/>
        </w:rPr>
        <w:t>通过定期调查注药松树的健康状况和松材线虫病的发生情况，评价注药措施的效果。</w:t>
      </w:r>
    </w:p>
    <w:p w:rsidR="009B4C7B" w:rsidRPr="009B4C7B" w:rsidRDefault="009B4C7B" w:rsidP="009B4C7B">
      <w:pPr>
        <w:pStyle w:val="affe"/>
        <w:spacing w:before="156" w:after="156"/>
        <w:rPr>
          <w:rFonts w:cs="黑体"/>
          <w:lang w:eastAsia="zh-Hans"/>
        </w:rPr>
      </w:pPr>
      <w:r w:rsidRPr="009B4C7B">
        <w:rPr>
          <w:lang w:eastAsia="zh-Hans"/>
        </w:rPr>
        <w:t>调查频率</w:t>
      </w:r>
    </w:p>
    <w:p w:rsidR="009B4C7B" w:rsidRPr="009B4C7B" w:rsidRDefault="009B4C7B" w:rsidP="009B4C7B">
      <w:pPr>
        <w:pStyle w:val="afffff5"/>
        <w:ind w:firstLine="420"/>
      </w:pPr>
      <w:r w:rsidRPr="009B4C7B">
        <w:rPr>
          <w:lang w:eastAsia="zh-Hans"/>
        </w:rPr>
        <w:t>注药后第一年进行调查，后续根据药剂持效期和疫情动态，宜每年或每两年进行一次跟踪调查。</w:t>
      </w:r>
    </w:p>
    <w:p w:rsidR="009B4C7B" w:rsidRPr="009B4C7B" w:rsidRDefault="009B4C7B" w:rsidP="009B4C7B">
      <w:pPr>
        <w:pStyle w:val="affe"/>
        <w:spacing w:before="156" w:after="156"/>
        <w:rPr>
          <w:lang w:eastAsia="zh-Hans"/>
        </w:rPr>
      </w:pPr>
      <w:r w:rsidRPr="009B4C7B">
        <w:rPr>
          <w:lang w:eastAsia="zh-Hans"/>
        </w:rPr>
        <w:t>样地设置</w:t>
      </w:r>
    </w:p>
    <w:p w:rsidR="009B4C7B" w:rsidRPr="009B4C7B" w:rsidRDefault="009B4C7B" w:rsidP="009B4C7B">
      <w:pPr>
        <w:pStyle w:val="afffff5"/>
        <w:ind w:firstLine="420"/>
        <w:rPr>
          <w:rFonts w:cs="宋体"/>
          <w:lang w:eastAsia="zh-Hans"/>
        </w:rPr>
      </w:pPr>
      <w:r w:rsidRPr="009B4C7B">
        <w:rPr>
          <w:lang w:eastAsia="zh-Hans"/>
        </w:rPr>
        <w:t>对所有经过注药处理的松树进行全面调查，或在注药区域内设置固定标准地进行样地调查。若条件允许，应在同类立地条件下设置未经注药处理的对照区或对照样地，以便更准确地计算防治效果。若无对照区，可参考疫情专项普查结果中注药区域历史发病情况评价防治效果。</w:t>
      </w:r>
    </w:p>
    <w:p w:rsidR="009B4C7B" w:rsidRPr="009B4C7B" w:rsidRDefault="009B4C7B" w:rsidP="009B4C7B">
      <w:pPr>
        <w:pStyle w:val="affe"/>
        <w:spacing w:before="156" w:after="156"/>
        <w:rPr>
          <w:lang w:eastAsia="zh-Hans"/>
        </w:rPr>
      </w:pPr>
      <w:r w:rsidRPr="009B4C7B">
        <w:rPr>
          <w:lang w:eastAsia="zh-Hans"/>
        </w:rPr>
        <w:t>调查方法</w:t>
      </w:r>
    </w:p>
    <w:p w:rsidR="009B4C7B" w:rsidRPr="009B4C7B" w:rsidRDefault="009B4C7B" w:rsidP="009B4C7B">
      <w:pPr>
        <w:pStyle w:val="afffff5"/>
        <w:ind w:firstLine="420"/>
        <w:rPr>
          <w:rFonts w:hAnsi="宋体" w:cs="宋体"/>
          <w:lang w:eastAsia="zh-Hans"/>
        </w:rPr>
      </w:pPr>
      <w:r w:rsidRPr="009B4C7B">
        <w:rPr>
          <w:lang w:eastAsia="zh-Hans"/>
        </w:rPr>
        <w:lastRenderedPageBreak/>
        <w:t>采用踏查或遥感等方式，对区域内松树枯死、松针变色等异常情况进行调查。对疑似感病濒死或枯死树，采集样品进行鉴定</w:t>
      </w:r>
      <w:r w:rsidRPr="009B4C7B">
        <w:rPr>
          <w:rFonts w:hint="eastAsia"/>
          <w:lang w:eastAsia="zh-Hans"/>
        </w:rPr>
        <w:t>。</w:t>
      </w:r>
      <w:r w:rsidRPr="009B4C7B">
        <w:rPr>
          <w:lang w:eastAsia="zh-Hans"/>
        </w:rPr>
        <w:t>具体</w:t>
      </w:r>
      <w:r w:rsidRPr="009B4C7B">
        <w:rPr>
          <w:rFonts w:hint="eastAsia"/>
          <w:lang w:eastAsia="zh-Hans"/>
        </w:rPr>
        <w:t>调查和</w:t>
      </w:r>
      <w:r w:rsidRPr="009B4C7B">
        <w:rPr>
          <w:lang w:eastAsia="zh-Hans"/>
        </w:rPr>
        <w:t>鉴定方法参考《GB/T 23476-2009</w:t>
      </w:r>
      <w:r w:rsidRPr="009B4C7B">
        <w:t xml:space="preserve"> </w:t>
      </w:r>
      <w:r w:rsidRPr="009B4C7B">
        <w:rPr>
          <w:lang w:eastAsia="zh-Hans"/>
        </w:rPr>
        <w:t>松材线虫病检疫技术规程</w:t>
      </w:r>
      <w:r w:rsidRPr="009B4C7B">
        <w:rPr>
          <w:rFonts w:hint="eastAsia"/>
        </w:rPr>
        <w:t>》《</w:t>
      </w:r>
      <w:r w:rsidRPr="009B4C7B">
        <w:rPr>
          <w:lang w:eastAsia="zh-Hans"/>
        </w:rPr>
        <w:t>GB/T 35342-2017</w:t>
      </w:r>
      <w:r w:rsidRPr="009B4C7B">
        <w:t xml:space="preserve"> </w:t>
      </w:r>
      <w:r w:rsidRPr="009B4C7B">
        <w:rPr>
          <w:lang w:eastAsia="zh-Hans"/>
        </w:rPr>
        <w:t>松材线虫分子检测鉴定技术规程》</w:t>
      </w:r>
      <w:r w:rsidRPr="009B4C7B">
        <w:rPr>
          <w:rFonts w:hAnsi="宋体" w:cs="宋体"/>
          <w:lang w:eastAsia="zh-Hans"/>
        </w:rPr>
        <w:t>。</w:t>
      </w:r>
    </w:p>
    <w:p w:rsidR="009B4C7B" w:rsidRPr="009B4C7B" w:rsidRDefault="009B4C7B" w:rsidP="009B4C7B">
      <w:pPr>
        <w:pStyle w:val="affe"/>
        <w:spacing w:before="156" w:after="156"/>
        <w:rPr>
          <w:lang w:eastAsia="zh-Hans"/>
        </w:rPr>
      </w:pPr>
      <w:r w:rsidRPr="009B4C7B">
        <w:rPr>
          <w:lang w:eastAsia="zh-Hans"/>
        </w:rPr>
        <w:t>防治效果计算</w:t>
      </w:r>
    </w:p>
    <w:p w:rsidR="009B4C7B" w:rsidRPr="009B4C7B" w:rsidRDefault="009B4C7B" w:rsidP="009B4C7B">
      <w:pPr>
        <w:pStyle w:val="afffff5"/>
        <w:ind w:firstLine="420"/>
      </w:pPr>
      <w:r w:rsidRPr="009B4C7B">
        <w:rPr>
          <w:lang w:eastAsia="zh-Hans"/>
        </w:rPr>
        <w:t xml:space="preserve">a) 发病率计算： </w:t>
      </w:r>
    </w:p>
    <w:p w:rsidR="009B4C7B" w:rsidRPr="00580345" w:rsidRDefault="009B4C7B" w:rsidP="009B4C7B">
      <w:pPr>
        <w:pStyle w:val="afffff5"/>
        <w:ind w:firstLine="420"/>
        <w:rPr>
          <w:rFonts w:hAnsi="宋体"/>
          <w:iCs/>
        </w:rPr>
      </w:pPr>
      <m:oMathPara>
        <m:oMath>
          <m:r>
            <m:rPr>
              <m:sty m:val="p"/>
            </m:rPr>
            <w:rPr>
              <w:rFonts w:ascii="Cambria Math" w:hAnsi="Cambria Math"/>
            </w:rPr>
            <m:t>发病率</m:t>
          </m:r>
          <m:r>
            <m:rPr>
              <m:sty m:val="p"/>
            </m:rPr>
            <w:rPr>
              <w:rFonts w:ascii="Cambria Math" w:hAnsi="Cambria Math"/>
            </w:rPr>
            <m:t>(%)=</m:t>
          </m:r>
          <m:f>
            <m:fPr>
              <m:ctrlPr>
                <w:rPr>
                  <w:rFonts w:ascii="Cambria Math" w:hAnsi="Cambria Math"/>
                  <w:iCs/>
                </w:rPr>
              </m:ctrlPr>
            </m:fPr>
            <m:num>
              <m:r>
                <m:rPr>
                  <m:sty m:val="p"/>
                </m:rPr>
                <w:rPr>
                  <w:rFonts w:ascii="Cambria Math" w:hAnsi="Cambria Math"/>
                </w:rPr>
                <m:t>发病株数</m:t>
              </m:r>
            </m:num>
            <m:den>
              <m:r>
                <m:rPr>
                  <m:sty m:val="p"/>
                </m:rPr>
                <w:rPr>
                  <w:rFonts w:ascii="Cambria Math" w:hAnsi="Cambria Math"/>
                </w:rPr>
                <m:t>调查总株数</m:t>
              </m:r>
            </m:den>
          </m:f>
          <m:r>
            <m:rPr>
              <m:sty m:val="p"/>
            </m:rPr>
            <w:rPr>
              <w:rFonts w:ascii="Cambria Math" w:hAnsi="Cambria Math"/>
            </w:rPr>
            <m:t>×100</m:t>
          </m:r>
        </m:oMath>
      </m:oMathPara>
    </w:p>
    <w:p w:rsidR="009B4C7B" w:rsidRPr="009B4C7B" w:rsidRDefault="009B4C7B" w:rsidP="009B4C7B">
      <w:pPr>
        <w:pStyle w:val="afffff5"/>
        <w:ind w:firstLine="420"/>
      </w:pPr>
      <w:r w:rsidRPr="009B4C7B">
        <w:rPr>
          <w:lang w:eastAsia="zh-Hans"/>
        </w:rPr>
        <w:t>b) 防治效果计算（适用于有对照区的情况）：</w:t>
      </w:r>
    </w:p>
    <w:p w:rsidR="009B4C7B" w:rsidRPr="009B4C7B" w:rsidRDefault="009B4C7B" w:rsidP="009B4C7B">
      <w:pPr>
        <w:pStyle w:val="afffff5"/>
        <w:ind w:firstLine="420"/>
        <w:rPr>
          <w:rFonts w:ascii="Times New Roman"/>
          <w:iCs/>
        </w:rPr>
      </w:pPr>
      <m:oMathPara>
        <m:oMath>
          <m:r>
            <m:rPr>
              <m:sty m:val="p"/>
            </m:rPr>
            <w:rPr>
              <w:rFonts w:ascii="Cambria Math" w:hAnsi="Cambria Math"/>
            </w:rPr>
            <m:t>防治效果</m:t>
          </m:r>
          <m:d>
            <m:dPr>
              <m:begChr m:val="（"/>
              <m:endChr m:val="）"/>
              <m:ctrlPr>
                <w:rPr>
                  <w:rFonts w:ascii="Cambria Math" w:hAnsi="Cambria Math"/>
                  <w:iCs/>
                </w:rPr>
              </m:ctrlPr>
            </m:dPr>
            <m:e>
              <m:r>
                <m:rPr>
                  <m:sty m:val="p"/>
                </m:rPr>
                <w:rPr>
                  <w:rFonts w:ascii="Cambria Math" w:hAnsi="Cambria Math"/>
                </w:rPr>
                <m:t>%</m:t>
              </m:r>
            </m:e>
          </m:d>
          <m:r>
            <m:rPr>
              <m:sty m:val="p"/>
            </m:rPr>
            <w:rPr>
              <w:rFonts w:ascii="Cambria Math" w:hAnsi="Cambria Math"/>
            </w:rPr>
            <m:t>=</m:t>
          </m:r>
          <m:f>
            <m:fPr>
              <m:ctrlPr>
                <w:rPr>
                  <w:rFonts w:ascii="Cambria Math" w:hAnsi="Cambria Math"/>
                  <w:iCs/>
                </w:rPr>
              </m:ctrlPr>
            </m:fPr>
            <m:num>
              <m:r>
                <m:rPr>
                  <m:sty m:val="p"/>
                </m:rPr>
                <w:rPr>
                  <w:rFonts w:ascii="Cambria Math" w:hAnsi="Cambria Math"/>
                </w:rPr>
                <m:t>对照区发病率</m:t>
              </m:r>
              <m:r>
                <m:rPr>
                  <m:sty m:val="p"/>
                </m:rPr>
                <w:rPr>
                  <w:rFonts w:ascii="Cambria Math" w:hAnsi="Cambria Math"/>
                </w:rPr>
                <m:t>-</m:t>
              </m:r>
              <m:r>
                <m:rPr>
                  <m:sty m:val="p"/>
                </m:rPr>
                <w:rPr>
                  <w:rFonts w:ascii="Cambria Math" w:hAnsi="Cambria Math"/>
                </w:rPr>
                <m:t>注药区发病率</m:t>
              </m:r>
            </m:num>
            <m:den>
              <m:r>
                <m:rPr>
                  <m:sty m:val="p"/>
                </m:rPr>
                <w:rPr>
                  <w:rFonts w:ascii="Cambria Math" w:hAnsi="Cambria Math"/>
                </w:rPr>
                <m:t>对照区发病率</m:t>
              </m:r>
            </m:den>
          </m:f>
          <m:r>
            <m:rPr>
              <m:sty m:val="p"/>
            </m:rPr>
            <w:rPr>
              <w:rFonts w:ascii="Cambria Math" w:hAnsi="Cambria Math"/>
            </w:rPr>
            <m:t>×100</m:t>
          </m:r>
        </m:oMath>
      </m:oMathPara>
    </w:p>
    <w:p w:rsidR="009B4C7B" w:rsidRPr="009B4C7B" w:rsidRDefault="009B4C7B" w:rsidP="009B4C7B">
      <w:pPr>
        <w:pStyle w:val="afffff5"/>
        <w:ind w:firstLine="420"/>
        <w:rPr>
          <w:lang w:eastAsia="zh-Hans"/>
        </w:rPr>
      </w:pPr>
      <w:r w:rsidRPr="009B4C7B">
        <w:rPr>
          <w:lang w:eastAsia="zh-Hans"/>
        </w:rPr>
        <w:t>若对照区发病率为零，则防治效果无法按此公式计算，应结合</w:t>
      </w:r>
      <w:r w:rsidRPr="009B4C7B">
        <w:t>注药</w:t>
      </w:r>
      <w:r w:rsidRPr="009B4C7B">
        <w:rPr>
          <w:lang w:eastAsia="zh-Hans"/>
        </w:rPr>
        <w:t xml:space="preserve">区历史发病情况进行评价。 </w:t>
      </w:r>
    </w:p>
    <w:p w:rsidR="009B4C7B" w:rsidRPr="009B4C7B" w:rsidRDefault="009B4C7B" w:rsidP="009B4C7B">
      <w:pPr>
        <w:pStyle w:val="afffff5"/>
        <w:ind w:firstLine="420"/>
        <w:rPr>
          <w:lang w:eastAsia="zh-Hans"/>
        </w:rPr>
      </w:pPr>
      <w:r w:rsidRPr="009B4C7B">
        <w:rPr>
          <w:lang w:eastAsia="zh-Hans"/>
        </w:rPr>
        <w:t>c) 若无对照区，可通过与疫情专项普查结果中注药区域历史平均发病率比较，评估防治效果。</w:t>
      </w:r>
    </w:p>
    <w:p w:rsidR="009B4C7B" w:rsidRPr="009B4C7B" w:rsidRDefault="009B4C7B" w:rsidP="009B4C7B">
      <w:pPr>
        <w:pStyle w:val="affd"/>
        <w:spacing w:before="156" w:after="156"/>
        <w:rPr>
          <w:lang w:eastAsia="zh-Hans"/>
        </w:rPr>
      </w:pPr>
      <w:r w:rsidRPr="009B4C7B">
        <w:rPr>
          <w:lang w:eastAsia="zh-Hans"/>
        </w:rPr>
        <w:t>数据记录与分析</w:t>
      </w:r>
    </w:p>
    <w:p w:rsidR="009B4C7B" w:rsidRPr="009B4C7B" w:rsidRDefault="009B4C7B" w:rsidP="009B4C7B">
      <w:pPr>
        <w:pStyle w:val="afffff5"/>
        <w:ind w:firstLine="420"/>
        <w:rPr>
          <w:lang w:eastAsia="zh-Hans"/>
        </w:rPr>
      </w:pPr>
      <w:r w:rsidRPr="009B4C7B">
        <w:rPr>
          <w:lang w:eastAsia="zh-Hans"/>
        </w:rPr>
        <w:t>药剂残留检测和防治效果调查</w:t>
      </w:r>
      <w:r w:rsidRPr="009B4C7B">
        <w:rPr>
          <w:rFonts w:hint="eastAsia"/>
          <w:lang w:eastAsia="zh-Hans"/>
        </w:rPr>
        <w:t>结果</w:t>
      </w:r>
      <w:r w:rsidRPr="009B4C7B">
        <w:rPr>
          <w:lang w:eastAsia="zh-Hans"/>
        </w:rPr>
        <w:t>，均应按照附录</w:t>
      </w:r>
      <w:r w:rsidRPr="009B4C7B">
        <w:t>A表A.2</w:t>
      </w:r>
      <w:r w:rsidRPr="009B4C7B">
        <w:rPr>
          <w:lang w:eastAsia="zh-Hans"/>
        </w:rPr>
        <w:t>（药剂残留检测结果</w:t>
      </w:r>
      <w:r w:rsidRPr="009B4C7B">
        <w:rPr>
          <w:rFonts w:hint="eastAsia"/>
          <w:lang w:eastAsia="zh-Hans"/>
        </w:rPr>
        <w:t>汇总表</w:t>
      </w:r>
      <w:r w:rsidRPr="009B4C7B">
        <w:rPr>
          <w:lang w:eastAsia="zh-Hans"/>
        </w:rPr>
        <w:t>）</w:t>
      </w:r>
      <w:r w:rsidRPr="009B4C7B">
        <w:rPr>
          <w:rFonts w:hint="eastAsia"/>
          <w:lang w:eastAsia="zh-Hans"/>
        </w:rPr>
        <w:t>和</w:t>
      </w:r>
      <w:r w:rsidRPr="009B4C7B">
        <w:rPr>
          <w:rFonts w:hint="eastAsia"/>
        </w:rPr>
        <w:t>A.3（</w:t>
      </w:r>
      <w:r w:rsidRPr="009B4C7B">
        <w:rPr>
          <w:lang w:eastAsia="zh-Hans"/>
        </w:rPr>
        <w:t>防治效果调查</w:t>
      </w:r>
      <w:r w:rsidRPr="009B4C7B">
        <w:rPr>
          <w:rFonts w:hint="eastAsia"/>
          <w:lang w:eastAsia="zh-Hans"/>
        </w:rPr>
        <w:t>结果汇总表</w:t>
      </w:r>
      <w:r w:rsidRPr="009B4C7B">
        <w:rPr>
          <w:rFonts w:hint="eastAsia"/>
        </w:rPr>
        <w:t>）</w:t>
      </w:r>
      <w:r w:rsidRPr="009B4C7B">
        <w:rPr>
          <w:lang w:eastAsia="zh-Hans"/>
        </w:rPr>
        <w:t>的要求详细记录，汇总形成评价报告。</w:t>
      </w:r>
    </w:p>
    <w:p w:rsidR="009B4C7B" w:rsidRPr="009B4C7B" w:rsidRDefault="009B4C7B" w:rsidP="009B4C7B">
      <w:pPr>
        <w:pStyle w:val="affc"/>
        <w:spacing w:before="312" w:after="312"/>
        <w:rPr>
          <w:lang w:eastAsia="zh-Hans"/>
        </w:rPr>
      </w:pPr>
      <w:r w:rsidRPr="009B4C7B">
        <w:rPr>
          <w:lang w:eastAsia="zh-Hans"/>
        </w:rPr>
        <w:t>安全注意事项</w:t>
      </w:r>
    </w:p>
    <w:p w:rsidR="009B4C7B" w:rsidRDefault="009B4C7B" w:rsidP="009B4C7B">
      <w:pPr>
        <w:pStyle w:val="afffff5"/>
        <w:ind w:firstLine="420"/>
      </w:pPr>
      <w:r w:rsidRPr="009B4C7B">
        <w:t>打孔注药过程中应当严格遵守安全注意事项，包括但不限于佩戴防护用品、</w:t>
      </w:r>
      <w:r w:rsidRPr="009B4C7B">
        <w:rPr>
          <w:rFonts w:hint="eastAsia"/>
        </w:rPr>
        <w:t>禁止吸烟和使用明火、保证作业</w:t>
      </w:r>
      <w:r w:rsidRPr="009B4C7B">
        <w:t>区域</w:t>
      </w:r>
      <w:r w:rsidRPr="009B4C7B">
        <w:rPr>
          <w:rFonts w:hint="eastAsia"/>
        </w:rPr>
        <w:t>环境卫生</w:t>
      </w:r>
      <w:r w:rsidRPr="009B4C7B">
        <w:t>、防止药液直接接触皮肤和眼睛</w:t>
      </w:r>
      <w:r w:rsidRPr="009B4C7B">
        <w:rPr>
          <w:rFonts w:hint="eastAsia"/>
        </w:rPr>
        <w:t>、防止药液泄漏</w:t>
      </w:r>
      <w:r w:rsidRPr="009B4C7B">
        <w:t>等。注药人员应经过专业的操作培训，掌握正确的操作方法、药剂知识及紧急情况下的应急处置措施。如发现药液泄漏、设备故障、人员受伤等突发情况，应立即停止操作，并采取相应措施。宜为注药人员购买人身意外伤害保险</w:t>
      </w:r>
      <w:r w:rsidRPr="009B4C7B">
        <w:rPr>
          <w:rFonts w:hint="eastAsia"/>
        </w:rPr>
        <w:t>。</w:t>
      </w:r>
    </w:p>
    <w:p w:rsidR="00891774" w:rsidRDefault="00891774" w:rsidP="009B4C7B">
      <w:pPr>
        <w:pStyle w:val="afffff5"/>
        <w:ind w:firstLine="420"/>
      </w:pPr>
      <w:r>
        <w:br w:type="page"/>
      </w:r>
    </w:p>
    <w:p w:rsidR="00891774" w:rsidRDefault="00891774" w:rsidP="00580345">
      <w:pPr>
        <w:pStyle w:val="aff3"/>
        <w:spacing w:after="156"/>
      </w:pPr>
    </w:p>
    <w:p w:rsidR="00891774" w:rsidRDefault="00891774" w:rsidP="00580345">
      <w:pPr>
        <w:pStyle w:val="afffffffff4"/>
        <w:spacing w:after="156"/>
      </w:pPr>
      <w:r>
        <w:t>（规范性附录）</w:t>
      </w:r>
    </w:p>
    <w:p w:rsidR="00891774" w:rsidRDefault="00891774" w:rsidP="00580345">
      <w:pPr>
        <w:pStyle w:val="afffffffff4"/>
        <w:spacing w:after="156"/>
      </w:pPr>
      <w:r>
        <w:t>表A.1 打孔注药作业记录表</w:t>
      </w:r>
    </w:p>
    <w:p w:rsidR="00891774" w:rsidRPr="00891774" w:rsidRDefault="00891774" w:rsidP="00891774">
      <w:pPr>
        <w:pStyle w:val="afffffffffffa"/>
        <w:ind w:right="840"/>
        <w:jc w:val="center"/>
        <w:rPr>
          <w:rFonts w:ascii="宋体" w:eastAsia="宋体" w:hAnsi="宋体"/>
          <w:color w:val="auto"/>
          <w:sz w:val="18"/>
          <w:szCs w:val="18"/>
          <w:lang w:eastAsia="zh-CN"/>
        </w:rPr>
      </w:pPr>
      <w:r>
        <w:rPr>
          <w:rFonts w:hint="eastAsia"/>
          <w:color w:val="auto"/>
          <w:lang w:eastAsia="zh-CN"/>
        </w:rPr>
        <w:t xml:space="preserve">             </w:t>
      </w:r>
      <w:r w:rsidRPr="00891774">
        <w:rPr>
          <w:rFonts w:ascii="宋体" w:eastAsia="宋体" w:hAnsi="宋体" w:hint="eastAsia"/>
          <w:color w:val="auto"/>
          <w:sz w:val="18"/>
          <w:szCs w:val="18"/>
        </w:rPr>
        <w:t>作业地点：</w:t>
      </w:r>
      <w:r w:rsidRPr="00891774">
        <w:rPr>
          <w:rFonts w:ascii="宋体" w:eastAsia="宋体" w:hAnsi="宋体" w:hint="eastAsia"/>
          <w:color w:val="auto"/>
          <w:sz w:val="18"/>
          <w:szCs w:val="18"/>
          <w:lang w:eastAsia="zh-CN"/>
        </w:rPr>
        <w:t xml:space="preserve">             作业时间：             作业人员：            </w:t>
      </w:r>
    </w:p>
    <w:tbl>
      <w:tblPr>
        <w:tblStyle w:val="affff7"/>
        <w:tblW w:w="0" w:type="auto"/>
        <w:tblLook w:val="04A0" w:firstRow="1" w:lastRow="0" w:firstColumn="1" w:lastColumn="0" w:noHBand="0" w:noVBand="1"/>
      </w:tblPr>
      <w:tblGrid>
        <w:gridCol w:w="1012"/>
        <w:gridCol w:w="1011"/>
        <w:gridCol w:w="1051"/>
        <w:gridCol w:w="1096"/>
        <w:gridCol w:w="1011"/>
        <w:gridCol w:w="1210"/>
        <w:gridCol w:w="1309"/>
        <w:gridCol w:w="942"/>
        <w:gridCol w:w="702"/>
      </w:tblGrid>
      <w:tr w:rsidR="00891774" w:rsidRPr="00891774" w:rsidTr="00891774">
        <w:trPr>
          <w:trHeight w:val="20"/>
        </w:trPr>
        <w:tc>
          <w:tcPr>
            <w:tcW w:w="1012" w:type="dxa"/>
            <w:vAlign w:val="center"/>
          </w:tcPr>
          <w:p w:rsidR="00891774" w:rsidRPr="00891774" w:rsidRDefault="00891774" w:rsidP="00891774">
            <w:pPr>
              <w:pStyle w:val="12"/>
              <w:spacing w:before="156" w:after="156"/>
              <w:jc w:val="center"/>
              <w:rPr>
                <w:rFonts w:ascii="宋体" w:eastAsia="宋体" w:hAnsi="宋体" w:cs="Times New Roman" w:hint="default"/>
                <w:b w:val="0"/>
                <w:bCs w:val="0"/>
                <w:color w:val="auto"/>
                <w:sz w:val="18"/>
                <w:szCs w:val="18"/>
              </w:rPr>
            </w:pPr>
            <w:r w:rsidRPr="00891774">
              <w:rPr>
                <w:rFonts w:ascii="宋体" w:eastAsia="宋体" w:hAnsi="宋体" w:cs="Times New Roman" w:hint="default"/>
                <w:b w:val="0"/>
                <w:bCs w:val="0"/>
                <w:color w:val="auto"/>
                <w:sz w:val="18"/>
                <w:szCs w:val="18"/>
              </w:rPr>
              <w:t>树木编号</w:t>
            </w:r>
          </w:p>
        </w:tc>
        <w:tc>
          <w:tcPr>
            <w:tcW w:w="1011" w:type="dxa"/>
            <w:vAlign w:val="center"/>
          </w:tcPr>
          <w:p w:rsidR="00891774" w:rsidRPr="00891774" w:rsidRDefault="00891774" w:rsidP="00891774">
            <w:pPr>
              <w:pStyle w:val="12"/>
              <w:spacing w:before="156" w:after="156"/>
              <w:jc w:val="center"/>
              <w:rPr>
                <w:rFonts w:ascii="宋体" w:eastAsia="宋体" w:hAnsi="宋体" w:cs="Times New Roman" w:hint="default"/>
                <w:b w:val="0"/>
                <w:bCs w:val="0"/>
                <w:color w:val="auto"/>
                <w:sz w:val="18"/>
                <w:szCs w:val="18"/>
              </w:rPr>
            </w:pPr>
            <w:r w:rsidRPr="00891774">
              <w:rPr>
                <w:rFonts w:ascii="宋体" w:eastAsia="宋体" w:hAnsi="宋体" w:cs="Times New Roman" w:hint="default"/>
                <w:b w:val="0"/>
                <w:bCs w:val="0"/>
                <w:color w:val="auto"/>
                <w:sz w:val="18"/>
                <w:szCs w:val="18"/>
              </w:rPr>
              <w:t>树种</w:t>
            </w:r>
          </w:p>
        </w:tc>
        <w:tc>
          <w:tcPr>
            <w:tcW w:w="1051" w:type="dxa"/>
            <w:vAlign w:val="center"/>
          </w:tcPr>
          <w:p w:rsidR="00891774" w:rsidRPr="00891774" w:rsidRDefault="00891774" w:rsidP="00891774">
            <w:pPr>
              <w:pStyle w:val="12"/>
              <w:spacing w:before="156" w:after="156"/>
              <w:jc w:val="center"/>
              <w:rPr>
                <w:rFonts w:ascii="宋体" w:eastAsia="宋体" w:hAnsi="宋体" w:cs="Times New Roman" w:hint="default"/>
                <w:b w:val="0"/>
                <w:bCs w:val="0"/>
                <w:color w:val="auto"/>
                <w:sz w:val="18"/>
                <w:szCs w:val="18"/>
                <w:lang w:eastAsia="zh-CN"/>
              </w:rPr>
            </w:pPr>
            <w:r w:rsidRPr="00891774">
              <w:rPr>
                <w:rFonts w:ascii="宋体" w:eastAsia="宋体" w:hAnsi="宋体" w:cs="Times New Roman" w:hint="default"/>
                <w:b w:val="0"/>
                <w:bCs w:val="0"/>
                <w:color w:val="auto"/>
                <w:sz w:val="18"/>
                <w:szCs w:val="18"/>
              </w:rPr>
              <w:t>胸径</w:t>
            </w:r>
          </w:p>
          <w:p w:rsidR="00891774" w:rsidRPr="00891774" w:rsidRDefault="00580345" w:rsidP="00891774">
            <w:pPr>
              <w:pStyle w:val="12"/>
              <w:spacing w:before="156" w:after="156"/>
              <w:jc w:val="center"/>
              <w:rPr>
                <w:rFonts w:ascii="宋体" w:eastAsia="宋体" w:hAnsi="宋体" w:cs="Times New Roman" w:hint="default"/>
                <w:b w:val="0"/>
                <w:bCs w:val="0"/>
                <w:color w:val="auto"/>
                <w:sz w:val="18"/>
                <w:szCs w:val="18"/>
                <w:lang w:eastAsia="zh-CN"/>
              </w:rPr>
            </w:pPr>
            <w:r>
              <w:rPr>
                <w:rFonts w:ascii="宋体" w:eastAsia="宋体" w:hAnsi="宋体" w:cs="Times New Roman"/>
                <w:b w:val="0"/>
                <w:bCs w:val="0"/>
                <w:color w:val="auto"/>
                <w:sz w:val="18"/>
                <w:szCs w:val="18"/>
                <w:lang w:eastAsia="zh-CN"/>
              </w:rPr>
              <w:t>（</w:t>
            </w:r>
            <w:r w:rsidR="00891774" w:rsidRPr="00891774">
              <w:rPr>
                <w:rFonts w:ascii="宋体" w:eastAsia="宋体" w:hAnsi="宋体" w:cs="Times New Roman" w:hint="default"/>
                <w:b w:val="0"/>
                <w:bCs w:val="0"/>
                <w:color w:val="auto"/>
                <w:sz w:val="18"/>
                <w:szCs w:val="18"/>
                <w:lang w:eastAsia="zh-CN"/>
              </w:rPr>
              <w:t>cm</w:t>
            </w:r>
            <w:r>
              <w:rPr>
                <w:rFonts w:ascii="宋体" w:eastAsia="宋体" w:hAnsi="宋体" w:cs="Times New Roman"/>
                <w:b w:val="0"/>
                <w:bCs w:val="0"/>
                <w:color w:val="auto"/>
                <w:sz w:val="18"/>
                <w:szCs w:val="18"/>
                <w:lang w:eastAsia="zh-CN"/>
              </w:rPr>
              <w:t>）</w:t>
            </w:r>
          </w:p>
        </w:tc>
        <w:tc>
          <w:tcPr>
            <w:tcW w:w="1096" w:type="dxa"/>
            <w:vAlign w:val="center"/>
          </w:tcPr>
          <w:p w:rsidR="00891774" w:rsidRPr="00891774" w:rsidRDefault="00891774" w:rsidP="00891774">
            <w:pPr>
              <w:pStyle w:val="12"/>
              <w:spacing w:before="156" w:after="156"/>
              <w:jc w:val="center"/>
              <w:rPr>
                <w:rFonts w:ascii="宋体" w:eastAsia="宋体" w:hAnsi="宋体" w:cs="Times New Roman" w:hint="default"/>
                <w:b w:val="0"/>
                <w:bCs w:val="0"/>
                <w:color w:val="auto"/>
                <w:sz w:val="18"/>
                <w:szCs w:val="18"/>
              </w:rPr>
            </w:pPr>
            <w:r w:rsidRPr="00891774">
              <w:rPr>
                <w:rFonts w:ascii="宋体" w:eastAsia="宋体" w:hAnsi="宋体" w:cs="Times New Roman" w:hint="default"/>
                <w:b w:val="0"/>
                <w:bCs w:val="0"/>
                <w:color w:val="auto"/>
                <w:sz w:val="18"/>
                <w:szCs w:val="18"/>
              </w:rPr>
              <w:t>注药前生长情况</w:t>
            </w:r>
          </w:p>
        </w:tc>
        <w:tc>
          <w:tcPr>
            <w:tcW w:w="1011" w:type="dxa"/>
            <w:vAlign w:val="center"/>
          </w:tcPr>
          <w:p w:rsidR="00891774" w:rsidRPr="00891774" w:rsidRDefault="00891774" w:rsidP="00891774">
            <w:pPr>
              <w:pStyle w:val="12"/>
              <w:spacing w:before="156" w:after="156"/>
              <w:jc w:val="center"/>
              <w:rPr>
                <w:rFonts w:ascii="宋体" w:eastAsia="宋体" w:hAnsi="宋体" w:cs="Times New Roman" w:hint="default"/>
                <w:b w:val="0"/>
                <w:bCs w:val="0"/>
                <w:color w:val="auto"/>
                <w:sz w:val="18"/>
                <w:szCs w:val="18"/>
              </w:rPr>
            </w:pPr>
            <w:r w:rsidRPr="00891774">
              <w:rPr>
                <w:rFonts w:ascii="宋体" w:eastAsia="宋体" w:hAnsi="宋体" w:cs="Times New Roman" w:hint="default"/>
                <w:b w:val="0"/>
                <w:bCs w:val="0"/>
                <w:color w:val="auto"/>
                <w:sz w:val="18"/>
                <w:szCs w:val="18"/>
              </w:rPr>
              <w:t>药剂名称</w:t>
            </w:r>
          </w:p>
        </w:tc>
        <w:tc>
          <w:tcPr>
            <w:tcW w:w="1210" w:type="dxa"/>
            <w:vAlign w:val="center"/>
          </w:tcPr>
          <w:p w:rsidR="00891774" w:rsidRPr="00891774" w:rsidRDefault="00891774" w:rsidP="00891774">
            <w:pPr>
              <w:pStyle w:val="12"/>
              <w:spacing w:before="156" w:after="156"/>
              <w:jc w:val="center"/>
              <w:rPr>
                <w:rFonts w:ascii="宋体" w:eastAsia="宋体" w:hAnsi="宋体" w:cs="Times New Roman" w:hint="default"/>
                <w:b w:val="0"/>
                <w:bCs w:val="0"/>
                <w:color w:val="auto"/>
                <w:sz w:val="18"/>
                <w:szCs w:val="18"/>
                <w:lang w:eastAsia="zh-CN"/>
              </w:rPr>
            </w:pPr>
            <w:r w:rsidRPr="00891774">
              <w:rPr>
                <w:rFonts w:ascii="宋体" w:eastAsia="宋体" w:hAnsi="宋体" w:cs="Times New Roman" w:hint="default"/>
                <w:b w:val="0"/>
                <w:bCs w:val="0"/>
                <w:color w:val="auto"/>
                <w:sz w:val="18"/>
                <w:szCs w:val="18"/>
              </w:rPr>
              <w:t>打孔数量</w:t>
            </w:r>
          </w:p>
          <w:p w:rsidR="00891774" w:rsidRPr="00891774" w:rsidRDefault="00891774" w:rsidP="00891774">
            <w:pPr>
              <w:pStyle w:val="12"/>
              <w:spacing w:before="156" w:after="156"/>
              <w:jc w:val="center"/>
              <w:rPr>
                <w:rFonts w:ascii="宋体" w:eastAsia="宋体" w:hAnsi="宋体" w:cs="Times New Roman" w:hint="default"/>
                <w:b w:val="0"/>
                <w:bCs w:val="0"/>
                <w:color w:val="auto"/>
                <w:sz w:val="18"/>
                <w:szCs w:val="18"/>
                <w:lang w:eastAsia="zh-CN"/>
              </w:rPr>
            </w:pPr>
            <w:r w:rsidRPr="00891774">
              <w:rPr>
                <w:rFonts w:ascii="宋体" w:eastAsia="宋体" w:hAnsi="宋体" w:cs="Times New Roman" w:hint="default"/>
                <w:b w:val="0"/>
                <w:bCs w:val="0"/>
                <w:color w:val="auto"/>
                <w:sz w:val="18"/>
                <w:szCs w:val="18"/>
                <w:lang w:eastAsia="zh-CN"/>
              </w:rPr>
              <w:t>（</w:t>
            </w:r>
            <w:proofErr w:type="gramStart"/>
            <w:r w:rsidRPr="00891774">
              <w:rPr>
                <w:rFonts w:ascii="宋体" w:eastAsia="宋体" w:hAnsi="宋体" w:cs="Times New Roman" w:hint="default"/>
                <w:b w:val="0"/>
                <w:bCs w:val="0"/>
                <w:color w:val="auto"/>
                <w:sz w:val="18"/>
                <w:szCs w:val="18"/>
                <w:lang w:eastAsia="zh-CN"/>
              </w:rPr>
              <w:t>个</w:t>
            </w:r>
            <w:proofErr w:type="gramEnd"/>
            <w:r w:rsidRPr="00891774">
              <w:rPr>
                <w:rFonts w:ascii="宋体" w:eastAsia="宋体" w:hAnsi="宋体" w:cs="Times New Roman" w:hint="default"/>
                <w:b w:val="0"/>
                <w:bCs w:val="0"/>
                <w:color w:val="auto"/>
                <w:sz w:val="18"/>
                <w:szCs w:val="18"/>
                <w:lang w:eastAsia="zh-CN"/>
              </w:rPr>
              <w:t>）</w:t>
            </w:r>
          </w:p>
        </w:tc>
        <w:tc>
          <w:tcPr>
            <w:tcW w:w="1309" w:type="dxa"/>
            <w:vAlign w:val="center"/>
          </w:tcPr>
          <w:p w:rsidR="00891774" w:rsidRPr="00891774" w:rsidRDefault="00891774" w:rsidP="00891774">
            <w:pPr>
              <w:pStyle w:val="12"/>
              <w:spacing w:before="156" w:after="156"/>
              <w:jc w:val="center"/>
              <w:rPr>
                <w:rFonts w:ascii="宋体" w:eastAsia="宋体" w:hAnsi="宋体" w:cs="Times New Roman" w:hint="default"/>
                <w:b w:val="0"/>
                <w:bCs w:val="0"/>
                <w:color w:val="auto"/>
                <w:sz w:val="18"/>
                <w:szCs w:val="18"/>
                <w:lang w:eastAsia="zh-CN"/>
              </w:rPr>
            </w:pPr>
            <w:r w:rsidRPr="00891774">
              <w:rPr>
                <w:rFonts w:ascii="宋体" w:eastAsia="宋体" w:hAnsi="宋体" w:cs="Times New Roman" w:hint="default"/>
                <w:b w:val="0"/>
                <w:bCs w:val="0"/>
                <w:color w:val="auto"/>
                <w:sz w:val="18"/>
                <w:szCs w:val="18"/>
              </w:rPr>
              <w:t>注药体积</w:t>
            </w:r>
          </w:p>
          <w:p w:rsidR="00891774" w:rsidRPr="00891774" w:rsidRDefault="00580345" w:rsidP="00891774">
            <w:pPr>
              <w:pStyle w:val="12"/>
              <w:spacing w:before="156" w:after="156"/>
              <w:jc w:val="center"/>
              <w:rPr>
                <w:rFonts w:ascii="宋体" w:eastAsia="宋体" w:hAnsi="宋体" w:cs="Times New Roman" w:hint="default"/>
                <w:b w:val="0"/>
                <w:bCs w:val="0"/>
                <w:color w:val="auto"/>
                <w:sz w:val="18"/>
                <w:szCs w:val="18"/>
              </w:rPr>
            </w:pPr>
            <w:r>
              <w:rPr>
                <w:rFonts w:ascii="宋体" w:eastAsia="宋体" w:hAnsi="宋体" w:cs="Times New Roman"/>
                <w:b w:val="0"/>
                <w:bCs w:val="0"/>
                <w:color w:val="auto"/>
                <w:sz w:val="18"/>
                <w:szCs w:val="18"/>
                <w:lang w:eastAsia="zh-CN"/>
              </w:rPr>
              <w:t>（</w:t>
            </w:r>
            <w:r w:rsidR="00891774" w:rsidRPr="00891774">
              <w:rPr>
                <w:rFonts w:ascii="宋体" w:eastAsia="宋体" w:hAnsi="宋体" w:cs="Times New Roman" w:hint="default"/>
                <w:b w:val="0"/>
                <w:bCs w:val="0"/>
                <w:color w:val="auto"/>
                <w:sz w:val="18"/>
                <w:szCs w:val="18"/>
                <w:lang w:eastAsia="zh-CN"/>
              </w:rPr>
              <w:t>mL</w:t>
            </w:r>
            <w:r>
              <w:rPr>
                <w:rFonts w:ascii="宋体" w:eastAsia="宋体" w:hAnsi="宋体" w:cs="Times New Roman"/>
                <w:b w:val="0"/>
                <w:bCs w:val="0"/>
                <w:color w:val="auto"/>
                <w:sz w:val="18"/>
                <w:szCs w:val="18"/>
                <w:lang w:eastAsia="zh-CN"/>
              </w:rPr>
              <w:t>）</w:t>
            </w:r>
          </w:p>
        </w:tc>
        <w:tc>
          <w:tcPr>
            <w:tcW w:w="942" w:type="dxa"/>
            <w:vAlign w:val="center"/>
          </w:tcPr>
          <w:p w:rsidR="00891774" w:rsidRPr="00891774" w:rsidRDefault="00891774" w:rsidP="00891774">
            <w:pPr>
              <w:pStyle w:val="afffffffffffa"/>
              <w:ind w:firstLineChars="0" w:firstLine="0"/>
              <w:jc w:val="center"/>
              <w:rPr>
                <w:rFonts w:ascii="宋体" w:eastAsia="宋体" w:hAnsi="宋体" w:cs="Times New Roman"/>
                <w:color w:val="auto"/>
                <w:sz w:val="18"/>
                <w:szCs w:val="18"/>
              </w:rPr>
            </w:pPr>
            <w:r w:rsidRPr="00891774">
              <w:rPr>
                <w:rFonts w:ascii="宋体" w:eastAsia="宋体" w:hAnsi="宋体" w:cs="Times New Roman"/>
                <w:color w:val="auto"/>
                <w:sz w:val="18"/>
                <w:szCs w:val="18"/>
              </w:rPr>
              <w:t>注药方法</w:t>
            </w:r>
          </w:p>
        </w:tc>
        <w:tc>
          <w:tcPr>
            <w:tcW w:w="702" w:type="dxa"/>
            <w:vAlign w:val="center"/>
          </w:tcPr>
          <w:p w:rsidR="00891774" w:rsidRPr="00891774" w:rsidRDefault="00891774" w:rsidP="00891774">
            <w:pPr>
              <w:pStyle w:val="12"/>
              <w:spacing w:before="156" w:after="156"/>
              <w:jc w:val="center"/>
              <w:rPr>
                <w:rFonts w:ascii="宋体" w:eastAsia="宋体" w:hAnsi="宋体" w:cs="Times New Roman" w:hint="default"/>
                <w:b w:val="0"/>
                <w:bCs w:val="0"/>
                <w:color w:val="auto"/>
                <w:sz w:val="18"/>
                <w:szCs w:val="18"/>
              </w:rPr>
            </w:pPr>
            <w:r w:rsidRPr="00891774">
              <w:rPr>
                <w:rFonts w:ascii="宋体" w:eastAsia="宋体" w:hAnsi="宋体" w:cs="Times New Roman" w:hint="default"/>
                <w:b w:val="0"/>
                <w:bCs w:val="0"/>
                <w:color w:val="auto"/>
                <w:sz w:val="18"/>
                <w:szCs w:val="18"/>
              </w:rPr>
              <w:t>备注</w:t>
            </w:r>
          </w:p>
        </w:tc>
      </w:tr>
      <w:tr w:rsidR="00891774" w:rsidRPr="00891774" w:rsidTr="00891774">
        <w:trPr>
          <w:trHeight w:val="567"/>
        </w:trPr>
        <w:tc>
          <w:tcPr>
            <w:tcW w:w="101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r w:rsidR="00891774" w:rsidRPr="00891774" w:rsidTr="00891774">
        <w:trPr>
          <w:trHeight w:val="567"/>
        </w:trPr>
        <w:tc>
          <w:tcPr>
            <w:tcW w:w="101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r w:rsidR="00891774" w:rsidRPr="00891774" w:rsidTr="00891774">
        <w:trPr>
          <w:trHeight w:val="567"/>
        </w:trPr>
        <w:tc>
          <w:tcPr>
            <w:tcW w:w="101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r w:rsidR="00891774" w:rsidRPr="00891774" w:rsidTr="00891774">
        <w:trPr>
          <w:trHeight w:val="567"/>
        </w:trPr>
        <w:tc>
          <w:tcPr>
            <w:tcW w:w="101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r w:rsidR="00891774" w:rsidRPr="00891774" w:rsidTr="00891774">
        <w:trPr>
          <w:trHeight w:val="567"/>
        </w:trPr>
        <w:tc>
          <w:tcPr>
            <w:tcW w:w="101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r w:rsidR="00891774" w:rsidRPr="00891774" w:rsidTr="00891774">
        <w:trPr>
          <w:trHeight w:val="567"/>
        </w:trPr>
        <w:tc>
          <w:tcPr>
            <w:tcW w:w="1012" w:type="dxa"/>
            <w:vAlign w:val="center"/>
          </w:tcPr>
          <w:p w:rsidR="00891774" w:rsidRPr="00891774" w:rsidRDefault="00891774" w:rsidP="004A77CD">
            <w:pPr>
              <w:pStyle w:val="afffffffffffa"/>
              <w:ind w:firstLineChars="0" w:firstLine="0"/>
              <w:jc w:val="center"/>
              <w:rPr>
                <w:rFonts w:ascii="宋体" w:eastAsia="宋体" w:hAnsi="宋体" w:cs="Times New Roman"/>
                <w:color w:val="auto"/>
                <w:sz w:val="18"/>
                <w:szCs w:val="18"/>
                <w:lang w:eastAsia="zh-CN"/>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r w:rsidR="00891774" w:rsidRPr="00891774" w:rsidTr="00891774">
        <w:trPr>
          <w:trHeight w:val="567"/>
        </w:trPr>
        <w:tc>
          <w:tcPr>
            <w:tcW w:w="1012" w:type="dxa"/>
            <w:vAlign w:val="center"/>
          </w:tcPr>
          <w:p w:rsidR="00891774" w:rsidRPr="00891774" w:rsidRDefault="00891774" w:rsidP="004A77CD">
            <w:pPr>
              <w:pStyle w:val="afffffffffffa"/>
              <w:ind w:firstLineChars="0" w:firstLine="0"/>
              <w:jc w:val="center"/>
              <w:rPr>
                <w:rFonts w:ascii="宋体" w:eastAsia="宋体" w:hAnsi="宋体" w:cs="Times New Roman"/>
                <w:color w:val="auto"/>
                <w:sz w:val="18"/>
                <w:szCs w:val="18"/>
                <w:lang w:eastAsia="zh-CN"/>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r w:rsidR="00891774" w:rsidRPr="00891774" w:rsidTr="00891774">
        <w:trPr>
          <w:trHeight w:val="567"/>
        </w:trPr>
        <w:tc>
          <w:tcPr>
            <w:tcW w:w="1012" w:type="dxa"/>
            <w:vAlign w:val="center"/>
          </w:tcPr>
          <w:p w:rsidR="00891774" w:rsidRPr="00891774" w:rsidRDefault="00891774" w:rsidP="004A77CD">
            <w:pPr>
              <w:pStyle w:val="afffffffffffa"/>
              <w:ind w:firstLineChars="0" w:firstLine="0"/>
              <w:jc w:val="center"/>
              <w:rPr>
                <w:rFonts w:ascii="宋体" w:eastAsia="宋体" w:hAnsi="宋体" w:cs="Times New Roman"/>
                <w:color w:val="auto"/>
                <w:sz w:val="18"/>
                <w:szCs w:val="18"/>
                <w:lang w:eastAsia="zh-CN"/>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r w:rsidR="00891774" w:rsidRPr="00891774" w:rsidTr="00891774">
        <w:trPr>
          <w:trHeight w:val="567"/>
        </w:trPr>
        <w:tc>
          <w:tcPr>
            <w:tcW w:w="1012" w:type="dxa"/>
            <w:vAlign w:val="center"/>
          </w:tcPr>
          <w:p w:rsidR="00891774" w:rsidRPr="00891774" w:rsidRDefault="00891774" w:rsidP="004A77CD">
            <w:pPr>
              <w:pStyle w:val="afffffffffffa"/>
              <w:ind w:firstLineChars="0" w:firstLine="0"/>
              <w:jc w:val="center"/>
              <w:rPr>
                <w:rFonts w:ascii="宋体" w:eastAsia="宋体" w:hAnsi="宋体" w:cs="Times New Roman"/>
                <w:color w:val="auto"/>
                <w:sz w:val="18"/>
                <w:szCs w:val="18"/>
                <w:lang w:eastAsia="zh-CN"/>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r w:rsidR="00891774" w:rsidRPr="00891774" w:rsidTr="00891774">
        <w:trPr>
          <w:trHeight w:val="567"/>
        </w:trPr>
        <w:tc>
          <w:tcPr>
            <w:tcW w:w="1012" w:type="dxa"/>
            <w:vAlign w:val="center"/>
          </w:tcPr>
          <w:p w:rsidR="00891774" w:rsidRPr="00891774" w:rsidRDefault="00891774" w:rsidP="004A77CD">
            <w:pPr>
              <w:pStyle w:val="afffffffffffa"/>
              <w:ind w:firstLineChars="0" w:firstLine="0"/>
              <w:jc w:val="center"/>
              <w:rPr>
                <w:rFonts w:ascii="宋体" w:eastAsia="宋体" w:hAnsi="宋体" w:cs="Times New Roman"/>
                <w:color w:val="auto"/>
                <w:sz w:val="18"/>
                <w:szCs w:val="18"/>
                <w:lang w:eastAsia="zh-CN"/>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r w:rsidR="00891774" w:rsidRPr="00891774" w:rsidTr="00891774">
        <w:trPr>
          <w:trHeight w:val="567"/>
        </w:trPr>
        <w:tc>
          <w:tcPr>
            <w:tcW w:w="1012" w:type="dxa"/>
            <w:vAlign w:val="center"/>
          </w:tcPr>
          <w:p w:rsidR="00891774" w:rsidRPr="00891774" w:rsidRDefault="00891774" w:rsidP="004A77CD">
            <w:pPr>
              <w:pStyle w:val="afffffffffffa"/>
              <w:ind w:firstLineChars="0" w:firstLine="0"/>
              <w:jc w:val="center"/>
              <w:rPr>
                <w:rFonts w:ascii="宋体" w:eastAsia="宋体" w:hAnsi="宋体" w:cs="Times New Roman"/>
                <w:color w:val="auto"/>
                <w:sz w:val="18"/>
                <w:szCs w:val="18"/>
                <w:lang w:eastAsia="zh-CN"/>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r w:rsidR="00891774" w:rsidRPr="00891774" w:rsidTr="00891774">
        <w:trPr>
          <w:trHeight w:val="567"/>
        </w:trPr>
        <w:tc>
          <w:tcPr>
            <w:tcW w:w="1012" w:type="dxa"/>
            <w:vAlign w:val="center"/>
          </w:tcPr>
          <w:p w:rsidR="00891774" w:rsidRPr="00891774" w:rsidRDefault="00891774" w:rsidP="004A77CD">
            <w:pPr>
              <w:pStyle w:val="afffffffffffa"/>
              <w:ind w:firstLineChars="0" w:firstLine="0"/>
              <w:jc w:val="center"/>
              <w:rPr>
                <w:rFonts w:ascii="宋体" w:eastAsia="宋体" w:hAnsi="宋体" w:cs="Times New Roman"/>
                <w:color w:val="auto"/>
                <w:sz w:val="18"/>
                <w:szCs w:val="18"/>
                <w:lang w:eastAsia="zh-CN"/>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5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96"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011"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210"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1309"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942" w:type="dxa"/>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c>
          <w:tcPr>
            <w:tcW w:w="702" w:type="dxa"/>
            <w:vAlign w:val="center"/>
          </w:tcPr>
          <w:p w:rsidR="00891774" w:rsidRPr="00891774" w:rsidRDefault="00891774" w:rsidP="004A77CD">
            <w:pPr>
              <w:pStyle w:val="12"/>
              <w:spacing w:beforeLines="0" w:before="0" w:afterLines="0" w:after="0"/>
              <w:jc w:val="center"/>
              <w:rPr>
                <w:rFonts w:ascii="宋体" w:eastAsia="宋体" w:hAnsi="宋体" w:cs="Times New Roman" w:hint="default"/>
                <w:color w:val="auto"/>
                <w:sz w:val="18"/>
                <w:szCs w:val="18"/>
              </w:rPr>
            </w:pPr>
          </w:p>
        </w:tc>
      </w:tr>
    </w:tbl>
    <w:p w:rsidR="00580345" w:rsidRDefault="00580345" w:rsidP="009B4C7B">
      <w:pPr>
        <w:pStyle w:val="afffff5"/>
        <w:ind w:firstLine="420"/>
      </w:pPr>
    </w:p>
    <w:p w:rsidR="00580345" w:rsidRDefault="00580345">
      <w:pPr>
        <w:widowControl/>
        <w:adjustRightInd/>
        <w:spacing w:line="240" w:lineRule="auto"/>
        <w:jc w:val="left"/>
        <w:rPr>
          <w:rFonts w:ascii="宋体" w:hAnsi="Times New Roman"/>
          <w:kern w:val="0"/>
          <w:szCs w:val="20"/>
        </w:rPr>
      </w:pPr>
      <w:r>
        <w:br w:type="page"/>
      </w:r>
    </w:p>
    <w:p w:rsidR="00580345" w:rsidRDefault="00580345" w:rsidP="00580345">
      <w:pPr>
        <w:pStyle w:val="afffffffff4"/>
        <w:spacing w:after="156"/>
      </w:pPr>
      <w:r>
        <w:lastRenderedPageBreak/>
        <w:t>表A.2 药剂残留检测结果汇总表</w:t>
      </w:r>
    </w:p>
    <w:tbl>
      <w:tblPr>
        <w:tblStyle w:val="affff7"/>
        <w:tblW w:w="0" w:type="auto"/>
        <w:jc w:val="center"/>
        <w:tblLook w:val="04A0" w:firstRow="1" w:lastRow="0" w:firstColumn="1" w:lastColumn="0" w:noHBand="0" w:noVBand="1"/>
      </w:tblPr>
      <w:tblGrid>
        <w:gridCol w:w="1659"/>
        <w:gridCol w:w="1660"/>
        <w:gridCol w:w="1659"/>
        <w:gridCol w:w="1660"/>
        <w:gridCol w:w="1658"/>
      </w:tblGrid>
      <w:tr w:rsidR="00580345" w:rsidTr="00580345">
        <w:trPr>
          <w:trHeight w:val="794"/>
          <w:jc w:val="center"/>
        </w:trPr>
        <w:tc>
          <w:tcPr>
            <w:tcW w:w="1659"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抽样区域</w:t>
            </w:r>
          </w:p>
        </w:tc>
        <w:tc>
          <w:tcPr>
            <w:tcW w:w="3319"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c>
          <w:tcPr>
            <w:tcW w:w="1660"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抽样时间</w:t>
            </w:r>
          </w:p>
        </w:tc>
        <w:tc>
          <w:tcPr>
            <w:tcW w:w="1658"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r>
      <w:tr w:rsidR="00580345" w:rsidTr="00580345">
        <w:trPr>
          <w:trHeight w:val="794"/>
          <w:jc w:val="center"/>
        </w:trPr>
        <w:tc>
          <w:tcPr>
            <w:tcW w:w="1659"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检测时间</w:t>
            </w:r>
          </w:p>
        </w:tc>
        <w:tc>
          <w:tcPr>
            <w:tcW w:w="3319"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c>
          <w:tcPr>
            <w:tcW w:w="1660"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检测人员</w:t>
            </w:r>
          </w:p>
        </w:tc>
        <w:tc>
          <w:tcPr>
            <w:tcW w:w="1658"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r>
      <w:tr w:rsidR="00580345" w:rsidTr="00580345">
        <w:trPr>
          <w:trHeight w:val="794"/>
          <w:jc w:val="center"/>
        </w:trPr>
        <w:tc>
          <w:tcPr>
            <w:tcW w:w="1659"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抽样树木编号</w:t>
            </w:r>
          </w:p>
        </w:tc>
        <w:tc>
          <w:tcPr>
            <w:tcW w:w="1660"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木质部药剂残留量</w:t>
            </w:r>
          </w:p>
        </w:tc>
        <w:tc>
          <w:tcPr>
            <w:tcW w:w="1659"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能否达到松材线虫有效控制浓度</w:t>
            </w:r>
          </w:p>
        </w:tc>
        <w:tc>
          <w:tcPr>
            <w:tcW w:w="1660"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枝条药剂残留量</w:t>
            </w:r>
          </w:p>
        </w:tc>
        <w:tc>
          <w:tcPr>
            <w:tcW w:w="1658"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能否达到松材线虫有效控制浓度</w:t>
            </w:r>
          </w:p>
        </w:tc>
      </w:tr>
      <w:tr w:rsidR="00580345" w:rsidTr="00580345">
        <w:trPr>
          <w:trHeight w:val="794"/>
          <w:jc w:val="center"/>
        </w:trPr>
        <w:tc>
          <w:tcPr>
            <w:tcW w:w="1659" w:type="dxa"/>
            <w:vAlign w:val="center"/>
          </w:tcPr>
          <w:p w:rsidR="00580345" w:rsidRDefault="00580345" w:rsidP="004A77CD">
            <w:pPr>
              <w:pStyle w:val="12"/>
              <w:spacing w:beforeLines="0" w:before="0" w:afterLines="0" w:after="0"/>
              <w:jc w:val="center"/>
              <w:rPr>
                <w:rFonts w:hint="default"/>
                <w:color w:val="auto"/>
              </w:rPr>
            </w:pPr>
          </w:p>
        </w:tc>
        <w:tc>
          <w:tcPr>
            <w:tcW w:w="1660" w:type="dxa"/>
            <w:vAlign w:val="center"/>
          </w:tcPr>
          <w:p w:rsidR="00580345" w:rsidRDefault="00580345" w:rsidP="004A77CD">
            <w:pPr>
              <w:pStyle w:val="12"/>
              <w:spacing w:beforeLines="0" w:before="0" w:afterLines="0" w:after="0"/>
              <w:jc w:val="center"/>
              <w:rPr>
                <w:rFonts w:hint="default"/>
                <w:color w:val="auto"/>
              </w:rPr>
            </w:pPr>
          </w:p>
        </w:tc>
        <w:tc>
          <w:tcPr>
            <w:tcW w:w="1659" w:type="dxa"/>
            <w:vAlign w:val="center"/>
          </w:tcPr>
          <w:p w:rsidR="00580345" w:rsidRDefault="00580345" w:rsidP="004A77CD">
            <w:pPr>
              <w:pStyle w:val="12"/>
              <w:spacing w:beforeLines="0" w:before="0" w:afterLines="0" w:after="0"/>
              <w:jc w:val="center"/>
              <w:rPr>
                <w:rFonts w:hint="default"/>
                <w:color w:val="auto"/>
              </w:rPr>
            </w:pPr>
          </w:p>
        </w:tc>
        <w:tc>
          <w:tcPr>
            <w:tcW w:w="1660" w:type="dxa"/>
            <w:vAlign w:val="center"/>
          </w:tcPr>
          <w:p w:rsidR="00580345" w:rsidRDefault="00580345" w:rsidP="004A77CD">
            <w:pPr>
              <w:pStyle w:val="12"/>
              <w:spacing w:beforeLines="0" w:before="0" w:afterLines="0" w:after="0"/>
              <w:jc w:val="center"/>
              <w:rPr>
                <w:rFonts w:hint="default"/>
                <w:color w:val="auto"/>
              </w:rPr>
            </w:pPr>
          </w:p>
        </w:tc>
        <w:tc>
          <w:tcPr>
            <w:tcW w:w="1658" w:type="dxa"/>
            <w:vAlign w:val="center"/>
          </w:tcPr>
          <w:p w:rsidR="00580345" w:rsidRDefault="00580345" w:rsidP="004A77CD">
            <w:pPr>
              <w:pStyle w:val="12"/>
              <w:spacing w:beforeLines="0" w:before="0" w:afterLines="0" w:after="0"/>
              <w:jc w:val="center"/>
              <w:rPr>
                <w:rFonts w:hint="default"/>
                <w:color w:val="auto"/>
              </w:rPr>
            </w:pPr>
          </w:p>
        </w:tc>
      </w:tr>
      <w:tr w:rsidR="00580345" w:rsidTr="00580345">
        <w:trPr>
          <w:trHeight w:val="794"/>
          <w:jc w:val="center"/>
        </w:trPr>
        <w:tc>
          <w:tcPr>
            <w:tcW w:w="1659" w:type="dxa"/>
            <w:vAlign w:val="center"/>
          </w:tcPr>
          <w:p w:rsidR="00580345" w:rsidRDefault="00580345" w:rsidP="004A77CD">
            <w:pPr>
              <w:pStyle w:val="12"/>
              <w:spacing w:beforeLines="0" w:before="0" w:afterLines="0" w:after="0"/>
              <w:jc w:val="center"/>
              <w:rPr>
                <w:rFonts w:hint="default"/>
                <w:color w:val="auto"/>
              </w:rPr>
            </w:pPr>
          </w:p>
        </w:tc>
        <w:tc>
          <w:tcPr>
            <w:tcW w:w="1660" w:type="dxa"/>
            <w:vAlign w:val="center"/>
          </w:tcPr>
          <w:p w:rsidR="00580345" w:rsidRDefault="00580345" w:rsidP="004A77CD">
            <w:pPr>
              <w:pStyle w:val="12"/>
              <w:spacing w:beforeLines="0" w:before="0" w:afterLines="0" w:after="0"/>
              <w:jc w:val="center"/>
              <w:rPr>
                <w:rFonts w:hint="default"/>
                <w:color w:val="auto"/>
              </w:rPr>
            </w:pPr>
          </w:p>
        </w:tc>
        <w:tc>
          <w:tcPr>
            <w:tcW w:w="1659" w:type="dxa"/>
            <w:vAlign w:val="center"/>
          </w:tcPr>
          <w:p w:rsidR="00580345" w:rsidRDefault="00580345" w:rsidP="004A77CD">
            <w:pPr>
              <w:pStyle w:val="12"/>
              <w:spacing w:beforeLines="0" w:before="0" w:afterLines="0" w:after="0"/>
              <w:jc w:val="center"/>
              <w:rPr>
                <w:rFonts w:hint="default"/>
                <w:color w:val="auto"/>
              </w:rPr>
            </w:pPr>
          </w:p>
        </w:tc>
        <w:tc>
          <w:tcPr>
            <w:tcW w:w="1660" w:type="dxa"/>
            <w:vAlign w:val="center"/>
          </w:tcPr>
          <w:p w:rsidR="00580345" w:rsidRDefault="00580345" w:rsidP="004A77CD">
            <w:pPr>
              <w:pStyle w:val="12"/>
              <w:spacing w:beforeLines="0" w:before="0" w:afterLines="0" w:after="0"/>
              <w:jc w:val="center"/>
              <w:rPr>
                <w:rFonts w:hint="default"/>
                <w:color w:val="auto"/>
              </w:rPr>
            </w:pPr>
          </w:p>
        </w:tc>
        <w:tc>
          <w:tcPr>
            <w:tcW w:w="1658" w:type="dxa"/>
            <w:vAlign w:val="center"/>
          </w:tcPr>
          <w:p w:rsidR="00580345" w:rsidRDefault="00580345" w:rsidP="004A77CD">
            <w:pPr>
              <w:pStyle w:val="12"/>
              <w:spacing w:beforeLines="0" w:before="0" w:afterLines="0" w:after="0"/>
              <w:jc w:val="center"/>
              <w:rPr>
                <w:rFonts w:hint="default"/>
                <w:color w:val="auto"/>
              </w:rPr>
            </w:pPr>
          </w:p>
        </w:tc>
      </w:tr>
      <w:tr w:rsidR="00580345" w:rsidTr="00580345">
        <w:trPr>
          <w:trHeight w:val="794"/>
          <w:jc w:val="center"/>
        </w:trPr>
        <w:tc>
          <w:tcPr>
            <w:tcW w:w="1659" w:type="dxa"/>
            <w:vAlign w:val="center"/>
          </w:tcPr>
          <w:p w:rsidR="00580345" w:rsidRDefault="00580345" w:rsidP="004A77CD">
            <w:pPr>
              <w:pStyle w:val="12"/>
              <w:spacing w:beforeLines="0" w:before="0" w:afterLines="0" w:after="0"/>
              <w:jc w:val="center"/>
              <w:rPr>
                <w:rFonts w:hint="default"/>
                <w:color w:val="auto"/>
              </w:rPr>
            </w:pPr>
          </w:p>
        </w:tc>
        <w:tc>
          <w:tcPr>
            <w:tcW w:w="1660" w:type="dxa"/>
            <w:vAlign w:val="center"/>
          </w:tcPr>
          <w:p w:rsidR="00580345" w:rsidRDefault="00580345" w:rsidP="004A77CD">
            <w:pPr>
              <w:pStyle w:val="12"/>
              <w:spacing w:beforeLines="0" w:before="0" w:afterLines="0" w:after="0"/>
              <w:jc w:val="center"/>
              <w:rPr>
                <w:rFonts w:hint="default"/>
                <w:color w:val="auto"/>
              </w:rPr>
            </w:pPr>
          </w:p>
        </w:tc>
        <w:tc>
          <w:tcPr>
            <w:tcW w:w="1659" w:type="dxa"/>
            <w:vAlign w:val="center"/>
          </w:tcPr>
          <w:p w:rsidR="00580345" w:rsidRDefault="00580345" w:rsidP="004A77CD">
            <w:pPr>
              <w:pStyle w:val="12"/>
              <w:spacing w:beforeLines="0" w:before="0" w:afterLines="0" w:after="0"/>
              <w:jc w:val="center"/>
              <w:rPr>
                <w:rFonts w:hint="default"/>
                <w:color w:val="auto"/>
              </w:rPr>
            </w:pPr>
          </w:p>
        </w:tc>
        <w:tc>
          <w:tcPr>
            <w:tcW w:w="1660" w:type="dxa"/>
            <w:vAlign w:val="center"/>
          </w:tcPr>
          <w:p w:rsidR="00580345" w:rsidRDefault="00580345" w:rsidP="004A77CD">
            <w:pPr>
              <w:pStyle w:val="12"/>
              <w:spacing w:beforeLines="0" w:before="0" w:afterLines="0" w:after="0"/>
              <w:jc w:val="center"/>
              <w:rPr>
                <w:rFonts w:hint="default"/>
                <w:color w:val="auto"/>
              </w:rPr>
            </w:pPr>
          </w:p>
        </w:tc>
        <w:tc>
          <w:tcPr>
            <w:tcW w:w="1658" w:type="dxa"/>
            <w:vAlign w:val="center"/>
          </w:tcPr>
          <w:p w:rsidR="00580345" w:rsidRDefault="00580345" w:rsidP="004A77CD">
            <w:pPr>
              <w:pStyle w:val="12"/>
              <w:spacing w:beforeLines="0" w:before="0" w:afterLines="0" w:after="0"/>
              <w:jc w:val="center"/>
              <w:rPr>
                <w:rFonts w:hint="default"/>
                <w:color w:val="auto"/>
              </w:rPr>
            </w:pPr>
          </w:p>
        </w:tc>
      </w:tr>
      <w:tr w:rsidR="00580345" w:rsidTr="00580345">
        <w:trPr>
          <w:trHeight w:val="794"/>
          <w:jc w:val="center"/>
        </w:trPr>
        <w:tc>
          <w:tcPr>
            <w:tcW w:w="1659" w:type="dxa"/>
            <w:vAlign w:val="center"/>
          </w:tcPr>
          <w:p w:rsidR="00580345" w:rsidRDefault="00580345" w:rsidP="004A77CD">
            <w:pPr>
              <w:pStyle w:val="12"/>
              <w:spacing w:beforeLines="0" w:before="0" w:afterLines="0" w:after="0"/>
              <w:jc w:val="center"/>
              <w:rPr>
                <w:rFonts w:hint="default"/>
                <w:color w:val="auto"/>
              </w:rPr>
            </w:pPr>
          </w:p>
        </w:tc>
        <w:tc>
          <w:tcPr>
            <w:tcW w:w="1660" w:type="dxa"/>
            <w:vAlign w:val="center"/>
          </w:tcPr>
          <w:p w:rsidR="00580345" w:rsidRDefault="00580345" w:rsidP="004A77CD">
            <w:pPr>
              <w:pStyle w:val="12"/>
              <w:spacing w:beforeLines="0" w:before="0" w:afterLines="0" w:after="0"/>
              <w:jc w:val="center"/>
              <w:rPr>
                <w:rFonts w:hint="default"/>
                <w:color w:val="auto"/>
              </w:rPr>
            </w:pPr>
          </w:p>
        </w:tc>
        <w:tc>
          <w:tcPr>
            <w:tcW w:w="1659" w:type="dxa"/>
            <w:vAlign w:val="center"/>
          </w:tcPr>
          <w:p w:rsidR="00580345" w:rsidRDefault="00580345" w:rsidP="004A77CD">
            <w:pPr>
              <w:pStyle w:val="12"/>
              <w:spacing w:beforeLines="0" w:before="0" w:afterLines="0" w:after="0"/>
              <w:jc w:val="center"/>
              <w:rPr>
                <w:rFonts w:hint="default"/>
                <w:color w:val="auto"/>
              </w:rPr>
            </w:pPr>
          </w:p>
        </w:tc>
        <w:tc>
          <w:tcPr>
            <w:tcW w:w="1660" w:type="dxa"/>
            <w:vAlign w:val="center"/>
          </w:tcPr>
          <w:p w:rsidR="00580345" w:rsidRDefault="00580345" w:rsidP="004A77CD">
            <w:pPr>
              <w:pStyle w:val="12"/>
              <w:spacing w:beforeLines="0" w:before="0" w:afterLines="0" w:after="0"/>
              <w:jc w:val="center"/>
              <w:rPr>
                <w:rFonts w:hint="default"/>
                <w:color w:val="auto"/>
              </w:rPr>
            </w:pPr>
          </w:p>
        </w:tc>
        <w:tc>
          <w:tcPr>
            <w:tcW w:w="1658" w:type="dxa"/>
            <w:vAlign w:val="center"/>
          </w:tcPr>
          <w:p w:rsidR="00580345" w:rsidRDefault="00580345" w:rsidP="004A77CD">
            <w:pPr>
              <w:pStyle w:val="12"/>
              <w:spacing w:beforeLines="0" w:before="0" w:afterLines="0" w:after="0"/>
              <w:jc w:val="center"/>
              <w:rPr>
                <w:rFonts w:hint="default"/>
                <w:color w:val="auto"/>
              </w:rPr>
            </w:pPr>
          </w:p>
        </w:tc>
      </w:tr>
    </w:tbl>
    <w:p w:rsidR="00580345" w:rsidRDefault="00580345">
      <w:pPr>
        <w:widowControl/>
        <w:adjustRightInd/>
        <w:spacing w:line="240" w:lineRule="auto"/>
        <w:jc w:val="left"/>
        <w:rPr>
          <w:rFonts w:asciiTheme="minorHAnsi" w:eastAsiaTheme="minorEastAsia" w:hAnsiTheme="minorHAnsi" w:cstheme="minorEastAsia"/>
        </w:rPr>
      </w:pPr>
      <w:r>
        <w:br w:type="page"/>
      </w:r>
    </w:p>
    <w:p w:rsidR="00580345" w:rsidRDefault="00580345" w:rsidP="00580345">
      <w:pPr>
        <w:pStyle w:val="afffffffff4"/>
        <w:spacing w:after="156"/>
      </w:pPr>
      <w:r>
        <w:lastRenderedPageBreak/>
        <w:t>表A.3 防治效果调查结果汇总表</w:t>
      </w:r>
    </w:p>
    <w:tbl>
      <w:tblPr>
        <w:tblStyle w:val="affff7"/>
        <w:tblW w:w="0" w:type="auto"/>
        <w:jc w:val="center"/>
        <w:tblLook w:val="04A0" w:firstRow="1" w:lastRow="0" w:firstColumn="1" w:lastColumn="0" w:noHBand="0" w:noVBand="1"/>
      </w:tblPr>
      <w:tblGrid>
        <w:gridCol w:w="1382"/>
        <w:gridCol w:w="692"/>
        <w:gridCol w:w="690"/>
        <w:gridCol w:w="1380"/>
        <w:gridCol w:w="1382"/>
        <w:gridCol w:w="694"/>
        <w:gridCol w:w="688"/>
        <w:gridCol w:w="1388"/>
      </w:tblGrid>
      <w:tr w:rsidR="00580345" w:rsidTr="00580345">
        <w:trPr>
          <w:trHeight w:val="794"/>
          <w:jc w:val="center"/>
        </w:trPr>
        <w:tc>
          <w:tcPr>
            <w:tcW w:w="8296" w:type="dxa"/>
            <w:gridSpan w:val="8"/>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防治效果调查</w:t>
            </w:r>
          </w:p>
        </w:tc>
      </w:tr>
      <w:tr w:rsidR="00580345" w:rsidTr="00580345">
        <w:trPr>
          <w:trHeight w:val="794"/>
          <w:jc w:val="center"/>
        </w:trPr>
        <w:tc>
          <w:tcPr>
            <w:tcW w:w="1382"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调查区域</w:t>
            </w:r>
          </w:p>
        </w:tc>
        <w:tc>
          <w:tcPr>
            <w:tcW w:w="1382"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c>
          <w:tcPr>
            <w:tcW w:w="1380"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调查人员</w:t>
            </w:r>
          </w:p>
        </w:tc>
        <w:tc>
          <w:tcPr>
            <w:tcW w:w="1382"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c>
          <w:tcPr>
            <w:tcW w:w="1382"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调查时间</w:t>
            </w:r>
          </w:p>
        </w:tc>
        <w:tc>
          <w:tcPr>
            <w:tcW w:w="1388" w:type="dxa"/>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r>
      <w:tr w:rsidR="00580345" w:rsidTr="00580345">
        <w:trPr>
          <w:trHeight w:val="794"/>
          <w:jc w:val="center"/>
        </w:trPr>
        <w:tc>
          <w:tcPr>
            <w:tcW w:w="2074"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作业区调查株数</w:t>
            </w:r>
          </w:p>
        </w:tc>
        <w:tc>
          <w:tcPr>
            <w:tcW w:w="2070"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发病株数</w:t>
            </w:r>
          </w:p>
        </w:tc>
        <w:tc>
          <w:tcPr>
            <w:tcW w:w="2076"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lang w:eastAsia="zh-CN"/>
              </w:rPr>
            </w:pPr>
            <w:r>
              <w:rPr>
                <w:rFonts w:ascii="宋体" w:eastAsia="宋体" w:hAnsi="宋体" w:cs="宋体"/>
                <w:b w:val="0"/>
                <w:bCs w:val="0"/>
                <w:color w:val="auto"/>
                <w:lang w:eastAsia="zh-CN"/>
              </w:rPr>
              <w:t>发病率</w:t>
            </w:r>
          </w:p>
          <w:p w:rsidR="00580345" w:rsidRDefault="00580345" w:rsidP="004A77CD">
            <w:pPr>
              <w:pStyle w:val="12"/>
              <w:spacing w:beforeLines="0" w:before="0" w:afterLines="0" w:after="0"/>
              <w:jc w:val="center"/>
              <w:rPr>
                <w:rFonts w:ascii="宋体" w:eastAsia="宋体" w:hAnsi="宋体" w:cs="宋体" w:hint="default"/>
                <w:b w:val="0"/>
                <w:bCs w:val="0"/>
                <w:color w:val="auto"/>
                <w:lang w:eastAsia="zh-CN"/>
              </w:rPr>
            </w:pPr>
            <w:r>
              <w:rPr>
                <w:rFonts w:ascii="宋体" w:eastAsia="宋体" w:hAnsi="宋体" w:cs="宋体"/>
                <w:b w:val="0"/>
                <w:bCs w:val="0"/>
                <w:color w:val="auto"/>
                <w:lang w:eastAsia="zh-CN"/>
              </w:rPr>
              <w:t>（%）</w:t>
            </w:r>
          </w:p>
        </w:tc>
        <w:tc>
          <w:tcPr>
            <w:tcW w:w="2076"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lang w:eastAsia="zh-CN"/>
              </w:rPr>
            </w:pPr>
            <w:r>
              <w:rPr>
                <w:rFonts w:ascii="宋体" w:eastAsia="宋体" w:hAnsi="宋体" w:cs="宋体"/>
                <w:b w:val="0"/>
                <w:bCs w:val="0"/>
                <w:color w:val="auto"/>
              </w:rPr>
              <w:t>防治效果</w:t>
            </w:r>
          </w:p>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lang w:eastAsia="zh-CN"/>
              </w:rPr>
              <w:t>（%）</w:t>
            </w:r>
          </w:p>
        </w:tc>
      </w:tr>
      <w:tr w:rsidR="00580345" w:rsidTr="00580345">
        <w:trPr>
          <w:trHeight w:val="794"/>
          <w:jc w:val="center"/>
        </w:trPr>
        <w:tc>
          <w:tcPr>
            <w:tcW w:w="2074"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c>
          <w:tcPr>
            <w:tcW w:w="2070"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c>
          <w:tcPr>
            <w:tcW w:w="2076"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c>
          <w:tcPr>
            <w:tcW w:w="2076" w:type="dxa"/>
            <w:gridSpan w:val="2"/>
            <w:vMerge w:val="restart"/>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r>
      <w:tr w:rsidR="00580345" w:rsidTr="00580345">
        <w:trPr>
          <w:trHeight w:val="794"/>
          <w:jc w:val="center"/>
        </w:trPr>
        <w:tc>
          <w:tcPr>
            <w:tcW w:w="2074"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对照区调查株数</w:t>
            </w:r>
          </w:p>
        </w:tc>
        <w:tc>
          <w:tcPr>
            <w:tcW w:w="2070"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r>
              <w:rPr>
                <w:rFonts w:ascii="宋体" w:eastAsia="宋体" w:hAnsi="宋体" w:cs="宋体"/>
                <w:b w:val="0"/>
                <w:bCs w:val="0"/>
                <w:color w:val="auto"/>
              </w:rPr>
              <w:t>发病株数</w:t>
            </w:r>
          </w:p>
        </w:tc>
        <w:tc>
          <w:tcPr>
            <w:tcW w:w="2076"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lang w:eastAsia="zh-CN"/>
              </w:rPr>
            </w:pPr>
            <w:r>
              <w:rPr>
                <w:rFonts w:ascii="宋体" w:eastAsia="宋体" w:hAnsi="宋体" w:cs="宋体"/>
                <w:b w:val="0"/>
                <w:bCs w:val="0"/>
                <w:color w:val="auto"/>
              </w:rPr>
              <w:t>发病率</w:t>
            </w:r>
          </w:p>
          <w:p w:rsidR="00580345" w:rsidRDefault="00580345" w:rsidP="004A77CD">
            <w:pPr>
              <w:pStyle w:val="12"/>
              <w:spacing w:beforeLines="0" w:before="0" w:afterLines="0" w:after="0"/>
              <w:jc w:val="center"/>
              <w:rPr>
                <w:rFonts w:ascii="宋体" w:eastAsia="宋体" w:hAnsi="宋体" w:cs="宋体" w:hint="default"/>
                <w:b w:val="0"/>
                <w:bCs w:val="0"/>
                <w:color w:val="auto"/>
                <w:lang w:eastAsia="zh-CN"/>
              </w:rPr>
            </w:pPr>
            <w:r>
              <w:rPr>
                <w:rFonts w:ascii="宋体" w:eastAsia="宋体" w:hAnsi="宋体" w:cs="宋体"/>
                <w:b w:val="0"/>
                <w:bCs w:val="0"/>
                <w:color w:val="auto"/>
                <w:lang w:eastAsia="zh-CN"/>
              </w:rPr>
              <w:t>（%）</w:t>
            </w:r>
          </w:p>
        </w:tc>
        <w:tc>
          <w:tcPr>
            <w:tcW w:w="2076" w:type="dxa"/>
            <w:gridSpan w:val="2"/>
            <w:vMerge/>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r>
      <w:tr w:rsidR="00580345" w:rsidTr="00580345">
        <w:trPr>
          <w:trHeight w:val="794"/>
          <w:jc w:val="center"/>
        </w:trPr>
        <w:tc>
          <w:tcPr>
            <w:tcW w:w="2074"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c>
          <w:tcPr>
            <w:tcW w:w="2070"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c>
          <w:tcPr>
            <w:tcW w:w="2076" w:type="dxa"/>
            <w:gridSpan w:val="2"/>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c>
          <w:tcPr>
            <w:tcW w:w="2076" w:type="dxa"/>
            <w:gridSpan w:val="2"/>
            <w:vMerge/>
            <w:vAlign w:val="center"/>
          </w:tcPr>
          <w:p w:rsidR="00580345" w:rsidRDefault="00580345" w:rsidP="004A77CD">
            <w:pPr>
              <w:pStyle w:val="12"/>
              <w:spacing w:beforeLines="0" w:before="0" w:afterLines="0" w:after="0"/>
              <w:jc w:val="center"/>
              <w:rPr>
                <w:rFonts w:ascii="宋体" w:eastAsia="宋体" w:hAnsi="宋体" w:cs="宋体" w:hint="default"/>
                <w:b w:val="0"/>
                <w:bCs w:val="0"/>
                <w:color w:val="auto"/>
              </w:rPr>
            </w:pPr>
          </w:p>
        </w:tc>
      </w:tr>
    </w:tbl>
    <w:p w:rsidR="00580345" w:rsidRDefault="00580345" w:rsidP="009B4C7B">
      <w:pPr>
        <w:pStyle w:val="afffff5"/>
        <w:ind w:firstLine="420"/>
        <w:jc w:val="center"/>
        <w:rPr>
          <w:rFonts w:asciiTheme="minorHAnsi" w:eastAsiaTheme="minorEastAsia" w:hAnsiTheme="minorHAnsi" w:cstheme="minorEastAsia"/>
          <w:kern w:val="2"/>
          <w:szCs w:val="21"/>
          <w:lang w:eastAsia="zh-Hans"/>
        </w:rPr>
      </w:pPr>
    </w:p>
    <w:p w:rsidR="00580345" w:rsidRDefault="00580345">
      <w:pPr>
        <w:widowControl/>
        <w:adjustRightInd/>
        <w:spacing w:line="240" w:lineRule="auto"/>
        <w:jc w:val="left"/>
        <w:rPr>
          <w:rFonts w:asciiTheme="minorHAnsi" w:eastAsiaTheme="minorEastAsia" w:hAnsiTheme="minorHAnsi" w:cstheme="minorEastAsia"/>
          <w:lang w:eastAsia="zh-Hans"/>
        </w:rPr>
      </w:pPr>
      <w:r>
        <w:rPr>
          <w:rFonts w:asciiTheme="minorHAnsi" w:eastAsiaTheme="minorEastAsia" w:hAnsiTheme="minorHAnsi" w:cstheme="minorEastAsia"/>
          <w:lang w:eastAsia="zh-Hans"/>
        </w:rPr>
        <w:br w:type="page"/>
      </w:r>
    </w:p>
    <w:p w:rsidR="00580345" w:rsidRDefault="00580345" w:rsidP="00580345">
      <w:pPr>
        <w:pStyle w:val="aff3"/>
        <w:spacing w:after="156"/>
      </w:pPr>
    </w:p>
    <w:p w:rsidR="00580345" w:rsidRDefault="00580345" w:rsidP="00580345">
      <w:pPr>
        <w:pStyle w:val="afffffffff4"/>
        <w:spacing w:after="156"/>
      </w:pPr>
      <w:r>
        <w:t>（资料性附录）</w:t>
      </w:r>
    </w:p>
    <w:p w:rsidR="00580345" w:rsidRDefault="00580345" w:rsidP="00580345">
      <w:pPr>
        <w:pStyle w:val="afffffffff4"/>
        <w:spacing w:after="156"/>
      </w:pPr>
      <w:r>
        <w:t>表B.1 药品名称及用量</w:t>
      </w:r>
    </w:p>
    <w:tbl>
      <w:tblPr>
        <w:tblStyle w:val="affff7"/>
        <w:tblW w:w="10060" w:type="dxa"/>
        <w:jc w:val="center"/>
        <w:tblLayout w:type="fixed"/>
        <w:tblLook w:val="04A0" w:firstRow="1" w:lastRow="0" w:firstColumn="1" w:lastColumn="0" w:noHBand="0" w:noVBand="1"/>
      </w:tblPr>
      <w:tblGrid>
        <w:gridCol w:w="1986"/>
        <w:gridCol w:w="872"/>
        <w:gridCol w:w="873"/>
        <w:gridCol w:w="873"/>
        <w:gridCol w:w="873"/>
        <w:gridCol w:w="872"/>
        <w:gridCol w:w="873"/>
        <w:gridCol w:w="873"/>
        <w:gridCol w:w="873"/>
        <w:gridCol w:w="1092"/>
      </w:tblGrid>
      <w:tr w:rsidR="00580345" w:rsidRPr="00580345" w:rsidTr="004A77CD">
        <w:trPr>
          <w:trHeight w:val="639"/>
          <w:jc w:val="center"/>
        </w:trPr>
        <w:tc>
          <w:tcPr>
            <w:tcW w:w="1986" w:type="dxa"/>
            <w:vMerge w:val="restart"/>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lang w:eastAsia="zh-CN"/>
              </w:rPr>
            </w:pPr>
            <w:r w:rsidRPr="00580345">
              <w:rPr>
                <w:rFonts w:ascii="宋体" w:eastAsia="宋体" w:hAnsi="宋体" w:cs="Times New Roman"/>
                <w:color w:val="auto"/>
                <w:sz w:val="18"/>
                <w:szCs w:val="18"/>
              </w:rPr>
              <w:t>药品名称</w:t>
            </w:r>
          </w:p>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hint="eastAsia"/>
                <w:color w:val="auto"/>
                <w:sz w:val="18"/>
                <w:szCs w:val="18"/>
                <w:lang w:eastAsia="zh-CN"/>
              </w:rPr>
              <w:t>（</w:t>
            </w:r>
            <w:r w:rsidRPr="00580345">
              <w:rPr>
                <w:rFonts w:ascii="宋体" w:eastAsia="宋体" w:hAnsi="宋体" w:cs="Times New Roman"/>
                <w:color w:val="auto"/>
                <w:sz w:val="18"/>
                <w:szCs w:val="18"/>
              </w:rPr>
              <w:t>有效成分、含量、剂型</w:t>
            </w:r>
            <w:r w:rsidRPr="00580345">
              <w:rPr>
                <w:rFonts w:ascii="宋体" w:eastAsia="宋体" w:hAnsi="宋体" w:cs="Times New Roman" w:hint="eastAsia"/>
                <w:color w:val="auto"/>
                <w:sz w:val="18"/>
                <w:szCs w:val="18"/>
                <w:lang w:eastAsia="zh-CN"/>
              </w:rPr>
              <w:t>）</w:t>
            </w:r>
          </w:p>
        </w:tc>
        <w:tc>
          <w:tcPr>
            <w:tcW w:w="8074" w:type="dxa"/>
            <w:gridSpan w:val="9"/>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lang w:eastAsia="zh-CN"/>
              </w:rPr>
            </w:pPr>
            <w:r w:rsidRPr="00580345">
              <w:rPr>
                <w:rFonts w:ascii="宋体" w:eastAsia="宋体" w:hAnsi="宋体" w:cs="Times New Roman"/>
                <w:color w:val="auto"/>
                <w:sz w:val="18"/>
                <w:szCs w:val="18"/>
              </w:rPr>
              <w:t>胸径</w:t>
            </w:r>
            <w:r>
              <w:rPr>
                <w:rFonts w:ascii="宋体" w:eastAsia="宋体" w:hAnsi="宋体" w:cs="Times New Roman" w:hint="eastAsia"/>
                <w:color w:val="auto"/>
                <w:sz w:val="18"/>
                <w:szCs w:val="18"/>
                <w:lang w:eastAsia="zh-CN"/>
              </w:rPr>
              <w:t>（</w:t>
            </w:r>
            <w:r w:rsidRPr="00580345">
              <w:rPr>
                <w:rFonts w:ascii="宋体" w:eastAsia="宋体" w:hAnsi="宋体" w:cs="Times New Roman"/>
                <w:color w:val="auto"/>
                <w:sz w:val="18"/>
                <w:szCs w:val="18"/>
                <w:lang w:eastAsia="zh-CN"/>
              </w:rPr>
              <w:t>cm</w:t>
            </w:r>
            <w:r>
              <w:rPr>
                <w:rFonts w:ascii="宋体" w:eastAsia="宋体" w:hAnsi="宋体" w:cs="Times New Roman" w:hint="eastAsia"/>
                <w:color w:val="auto"/>
                <w:sz w:val="18"/>
                <w:szCs w:val="18"/>
                <w:lang w:eastAsia="zh-CN"/>
              </w:rPr>
              <w:t>）</w:t>
            </w:r>
          </w:p>
        </w:tc>
      </w:tr>
      <w:tr w:rsidR="00580345" w:rsidRPr="00580345" w:rsidTr="004A77CD">
        <w:trPr>
          <w:trHeight w:val="639"/>
          <w:jc w:val="center"/>
        </w:trPr>
        <w:tc>
          <w:tcPr>
            <w:tcW w:w="1986" w:type="dxa"/>
            <w:vMerge/>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≤15</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16-20</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21-25</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26-30</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31-35</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36-40</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41-45</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46-50</w:t>
            </w:r>
          </w:p>
        </w:tc>
        <w:tc>
          <w:tcPr>
            <w:tcW w:w="1092" w:type="dxa"/>
            <w:noWrap/>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lang w:eastAsia="zh-CN"/>
              </w:rPr>
            </w:pPr>
            <w:r w:rsidRPr="00580345">
              <w:rPr>
                <w:rFonts w:ascii="宋体" w:eastAsia="宋体" w:hAnsi="宋体" w:cs="Times New Roman"/>
                <w:color w:val="auto"/>
                <w:sz w:val="18"/>
                <w:szCs w:val="18"/>
              </w:rPr>
              <w:t>&gt;50</w:t>
            </w:r>
            <w:r w:rsidRPr="00580345">
              <w:rPr>
                <w:rFonts w:ascii="宋体" w:eastAsia="宋体" w:hAnsi="宋体" w:cs="Times New Roman" w:hint="eastAsia"/>
                <w:color w:val="auto"/>
                <w:sz w:val="18"/>
                <w:szCs w:val="18"/>
                <w:vertAlign w:val="superscript"/>
                <w:lang w:eastAsia="zh-CN"/>
              </w:rPr>
              <w:t>a</w:t>
            </w:r>
          </w:p>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(5cm)</w:t>
            </w:r>
          </w:p>
        </w:tc>
      </w:tr>
      <w:tr w:rsidR="00580345" w:rsidRPr="00580345" w:rsidTr="004A77CD">
        <w:trPr>
          <w:trHeight w:val="639"/>
          <w:jc w:val="center"/>
        </w:trPr>
        <w:tc>
          <w:tcPr>
            <w:tcW w:w="1986"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 甲维盐·阿维菌素可溶液剂</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75ml</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100ml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125ml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150ml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200ml</w:t>
            </w:r>
          </w:p>
        </w:tc>
        <w:tc>
          <w:tcPr>
            <w:tcW w:w="109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r>
      <w:tr w:rsidR="00580345" w:rsidRPr="00580345" w:rsidTr="004A77CD">
        <w:trPr>
          <w:trHeight w:val="639"/>
          <w:jc w:val="center"/>
        </w:trPr>
        <w:tc>
          <w:tcPr>
            <w:tcW w:w="1986"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0.3% 苦参碱可溶液剂</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80ml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110ml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150ml</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180ml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210ml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250ml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300ml</w:t>
            </w:r>
          </w:p>
        </w:tc>
        <w:tc>
          <w:tcPr>
            <w:tcW w:w="109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r>
      <w:tr w:rsidR="00580345" w:rsidRPr="00580345" w:rsidTr="004A77CD">
        <w:trPr>
          <w:trHeight w:val="639"/>
          <w:jc w:val="center"/>
        </w:trPr>
        <w:tc>
          <w:tcPr>
            <w:tcW w:w="1986"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 甲维盐微乳剂</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75ml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100ml</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125ml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150ml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200ml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250ml</w:t>
            </w:r>
          </w:p>
        </w:tc>
        <w:tc>
          <w:tcPr>
            <w:tcW w:w="109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r>
      <w:tr w:rsidR="00580345" w:rsidRPr="00580345" w:rsidTr="004A77CD">
        <w:trPr>
          <w:trHeight w:val="639"/>
          <w:jc w:val="center"/>
        </w:trPr>
        <w:tc>
          <w:tcPr>
            <w:tcW w:w="1986"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 甲维盐微乳剂</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75ml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75ml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100ml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125ml</w:t>
            </w:r>
          </w:p>
        </w:tc>
        <w:tc>
          <w:tcPr>
            <w:tcW w:w="109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+25ml</w:t>
            </w:r>
          </w:p>
        </w:tc>
      </w:tr>
      <w:tr w:rsidR="00580345" w:rsidRPr="00580345" w:rsidTr="004A77CD">
        <w:trPr>
          <w:trHeight w:val="639"/>
          <w:jc w:val="center"/>
        </w:trPr>
        <w:tc>
          <w:tcPr>
            <w:tcW w:w="1986"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3.2% 阿维菌素乳油</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90ml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120ml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180ml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240ml</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360ml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480ml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540ml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600ml</w:t>
            </w:r>
          </w:p>
        </w:tc>
        <w:tc>
          <w:tcPr>
            <w:tcW w:w="109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+60ml</w:t>
            </w:r>
          </w:p>
        </w:tc>
      </w:tr>
      <w:tr w:rsidR="00580345" w:rsidRPr="00580345" w:rsidTr="004A77CD">
        <w:trPr>
          <w:trHeight w:val="639"/>
          <w:jc w:val="center"/>
        </w:trPr>
        <w:tc>
          <w:tcPr>
            <w:tcW w:w="1986"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 阿维菌素乳油</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30ml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40ml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60ml</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70ml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80ml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90ml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100ml</w:t>
            </w:r>
          </w:p>
        </w:tc>
        <w:tc>
          <w:tcPr>
            <w:tcW w:w="109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+10ml</w:t>
            </w:r>
          </w:p>
        </w:tc>
      </w:tr>
      <w:tr w:rsidR="00580345" w:rsidRPr="00580345" w:rsidTr="004A77CD">
        <w:trPr>
          <w:trHeight w:val="639"/>
          <w:jc w:val="center"/>
        </w:trPr>
        <w:tc>
          <w:tcPr>
            <w:tcW w:w="1986"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10% 甲维·吡虫啉可溶液剂</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40ml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40ml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60ml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80ml</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100ml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120ml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120ml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160ml</w:t>
            </w:r>
          </w:p>
        </w:tc>
        <w:tc>
          <w:tcPr>
            <w:tcW w:w="109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+40ml</w:t>
            </w:r>
          </w:p>
        </w:tc>
      </w:tr>
      <w:tr w:rsidR="00580345" w:rsidRPr="00580345" w:rsidTr="004A77CD">
        <w:trPr>
          <w:trHeight w:val="639"/>
          <w:jc w:val="center"/>
        </w:trPr>
        <w:tc>
          <w:tcPr>
            <w:tcW w:w="1986"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 阿维菌素微囊悬浮剂</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c>
          <w:tcPr>
            <w:tcW w:w="87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50ml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75ml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75ml</w:t>
            </w:r>
          </w:p>
        </w:tc>
        <w:tc>
          <w:tcPr>
            <w:tcW w:w="873"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100ml</w:t>
            </w:r>
          </w:p>
        </w:tc>
        <w:tc>
          <w:tcPr>
            <w:tcW w:w="1092" w:type="dxa"/>
            <w:vAlign w:val="center"/>
          </w:tcPr>
          <w:p w:rsidR="00580345" w:rsidRPr="00580345" w:rsidRDefault="00580345" w:rsidP="004A77CD">
            <w:pPr>
              <w:pStyle w:val="afffffffffffa"/>
              <w:adjustRightInd w:val="0"/>
              <w:snapToGrid w:val="0"/>
              <w:spacing w:line="240" w:lineRule="auto"/>
              <w:ind w:firstLineChars="0" w:firstLine="0"/>
              <w:jc w:val="center"/>
              <w:rPr>
                <w:rFonts w:ascii="宋体" w:eastAsia="宋体" w:hAnsi="宋体" w:cs="Times New Roman"/>
                <w:color w:val="auto"/>
                <w:sz w:val="18"/>
                <w:szCs w:val="18"/>
              </w:rPr>
            </w:pPr>
            <w:r w:rsidRPr="00580345">
              <w:rPr>
                <w:rFonts w:ascii="宋体" w:eastAsia="宋体" w:hAnsi="宋体" w:cs="Times New Roman"/>
                <w:color w:val="auto"/>
                <w:sz w:val="18"/>
                <w:szCs w:val="18"/>
              </w:rPr>
              <w:t>+25ml</w:t>
            </w:r>
          </w:p>
        </w:tc>
      </w:tr>
      <w:tr w:rsidR="00580345" w:rsidRPr="00580345" w:rsidTr="004A77CD">
        <w:trPr>
          <w:trHeight w:val="639"/>
          <w:jc w:val="center"/>
        </w:trPr>
        <w:tc>
          <w:tcPr>
            <w:tcW w:w="10060" w:type="dxa"/>
            <w:gridSpan w:val="10"/>
            <w:vAlign w:val="center"/>
          </w:tcPr>
          <w:p w:rsidR="00580345" w:rsidRPr="00580345" w:rsidRDefault="00580345" w:rsidP="004A77CD">
            <w:pPr>
              <w:pStyle w:val="afffffffffffa"/>
              <w:adjustRightInd w:val="0"/>
              <w:snapToGrid w:val="0"/>
              <w:spacing w:line="240" w:lineRule="auto"/>
              <w:ind w:firstLineChars="0" w:firstLine="0"/>
              <w:jc w:val="left"/>
              <w:rPr>
                <w:rFonts w:ascii="宋体" w:eastAsia="宋体" w:hAnsi="宋体" w:cs="Times New Roman"/>
                <w:color w:val="auto"/>
                <w:sz w:val="18"/>
                <w:szCs w:val="18"/>
              </w:rPr>
            </w:pPr>
            <w:r w:rsidRPr="00580345">
              <w:rPr>
                <w:rFonts w:ascii="宋体" w:eastAsia="宋体" w:hAnsi="宋体" w:cs="Times New Roman" w:hint="eastAsia"/>
                <w:color w:val="auto"/>
                <w:sz w:val="18"/>
                <w:szCs w:val="18"/>
                <w:vertAlign w:val="superscript"/>
                <w:lang w:eastAsia="zh-CN"/>
              </w:rPr>
              <w:t>a</w:t>
            </w:r>
            <w:r w:rsidRPr="00580345">
              <w:rPr>
                <w:rFonts w:ascii="宋体" w:eastAsia="宋体" w:hAnsi="宋体" w:cs="Times New Roman"/>
                <w:color w:val="auto"/>
                <w:sz w:val="18"/>
                <w:szCs w:val="18"/>
              </w:rPr>
              <w:t>表示胸径大于50cm时，每增加5cm胸径，相应药剂的建议注药体积增加的量值，并以此类推。</w:t>
            </w:r>
          </w:p>
        </w:tc>
      </w:tr>
    </w:tbl>
    <w:p w:rsidR="00580345" w:rsidRDefault="00580345" w:rsidP="00580345">
      <w:pPr>
        <w:pStyle w:val="afffffffffffa"/>
        <w:rPr>
          <w:color w:val="auto"/>
        </w:rPr>
      </w:pPr>
    </w:p>
    <w:p w:rsidR="00975835" w:rsidRDefault="00544D67" w:rsidP="009B4C7B">
      <w:pPr>
        <w:pStyle w:val="afffff5"/>
        <w:ind w:firstLine="420"/>
        <w:jc w:val="center"/>
      </w:pPr>
      <w:r>
        <w:rPr>
          <w:noProof/>
        </w:rPr>
        <w:drawing>
          <wp:inline distT="0" distB="0" distL="0" distR="0" wp14:anchorId="1F0E1DF0" wp14:editId="7B9F4006">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7"/>
                    <a:stretch>
                      <a:fillRect/>
                    </a:stretch>
                  </pic:blipFill>
                  <pic:spPr>
                    <a:xfrm>
                      <a:off x="0" y="0"/>
                      <a:ext cx="1485900" cy="317500"/>
                    </a:xfrm>
                    <a:prstGeom prst="rect">
                      <a:avLst/>
                    </a:prstGeom>
                  </pic:spPr>
                </pic:pic>
              </a:graphicData>
            </a:graphic>
          </wp:inline>
        </w:drawing>
      </w:r>
      <w:bookmarkEnd w:id="44"/>
    </w:p>
    <w:sectPr w:rsidR="00975835">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5B11" w:rsidRDefault="00595B11">
      <w:pPr>
        <w:spacing w:line="240" w:lineRule="auto"/>
      </w:pPr>
      <w:r>
        <w:separator/>
      </w:r>
    </w:p>
  </w:endnote>
  <w:endnote w:type="continuationSeparator" w:id="0">
    <w:p w:rsidR="00595B11" w:rsidRDefault="00595B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5835" w:rsidRDefault="00544D67">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5835" w:rsidRDefault="00975835">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5835" w:rsidRDefault="00544D67">
    <w:pPr>
      <w:pStyle w:val="afffff2"/>
    </w:pPr>
    <w:r>
      <w:fldChar w:fldCharType="begin"/>
    </w:r>
    <w:r>
      <w:instrText>PAGE   \* MERGEFORMAT</w:instrText>
    </w:r>
    <w:r>
      <w:fldChar w:fldCharType="separate"/>
    </w:r>
    <w:r w:rsidR="00AA645D" w:rsidRPr="00AA645D">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5B11" w:rsidRDefault="00595B11">
      <w:pPr>
        <w:spacing w:line="240" w:lineRule="auto"/>
      </w:pPr>
      <w:r>
        <w:separator/>
      </w:r>
    </w:p>
  </w:footnote>
  <w:footnote w:type="continuationSeparator" w:id="0">
    <w:p w:rsidR="00595B11" w:rsidRDefault="00595B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5835" w:rsidRDefault="00544D67">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5835" w:rsidRDefault="00975835">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5835" w:rsidRDefault="00544D67">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710C99">
      <w:rPr>
        <w:noProof/>
        <w:lang w:val="fr-FR"/>
      </w:rPr>
      <w:t>DB 34/T 2024—XXXX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75835" w:rsidRDefault="00544D67">
    <w:pPr>
      <w:pStyle w:val="afffffa"/>
    </w:pPr>
    <w:r>
      <w:fldChar w:fldCharType="begin"/>
    </w:r>
    <w:r>
      <w:instrText xml:space="preserve"> STYLEREF  标准文件_文件编号  \* MERGEFORMAT </w:instrText>
    </w:r>
    <w:r>
      <w:fldChar w:fldCharType="separate"/>
    </w:r>
    <w:r w:rsidR="008627F7">
      <w:rPr>
        <w:noProof/>
      </w:rPr>
      <w:t>DB 34/T 2024</w:t>
    </w:r>
    <w:r w:rsidR="008627F7">
      <w:rPr>
        <w:noProof/>
      </w:rPr>
      <w:t>—</w:t>
    </w:r>
    <w:r w:rsidR="008627F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330331918">
    <w:abstractNumId w:val="0"/>
  </w:num>
  <w:num w:numId="2" w16cid:durableId="1051923579">
    <w:abstractNumId w:val="27"/>
  </w:num>
  <w:num w:numId="3" w16cid:durableId="569270631">
    <w:abstractNumId w:val="5"/>
  </w:num>
  <w:num w:numId="4" w16cid:durableId="1958291345">
    <w:abstractNumId w:val="23"/>
  </w:num>
  <w:num w:numId="5" w16cid:durableId="1150975751">
    <w:abstractNumId w:val="18"/>
  </w:num>
  <w:num w:numId="6" w16cid:durableId="1129861988">
    <w:abstractNumId w:val="13"/>
  </w:num>
  <w:num w:numId="7" w16cid:durableId="84770675">
    <w:abstractNumId w:val="8"/>
  </w:num>
  <w:num w:numId="8" w16cid:durableId="865479771">
    <w:abstractNumId w:val="3"/>
  </w:num>
  <w:num w:numId="9" w16cid:durableId="2078088492">
    <w:abstractNumId w:val="9"/>
  </w:num>
  <w:num w:numId="10" w16cid:durableId="1599754030">
    <w:abstractNumId w:val="16"/>
  </w:num>
  <w:num w:numId="11" w16cid:durableId="1518732669">
    <w:abstractNumId w:val="25"/>
  </w:num>
  <w:num w:numId="12" w16cid:durableId="1754475355">
    <w:abstractNumId w:val="11"/>
  </w:num>
  <w:num w:numId="13" w16cid:durableId="1577738358">
    <w:abstractNumId w:val="12"/>
  </w:num>
  <w:num w:numId="14" w16cid:durableId="1208450776">
    <w:abstractNumId w:val="7"/>
  </w:num>
  <w:num w:numId="15" w16cid:durableId="1145506705">
    <w:abstractNumId w:val="19"/>
  </w:num>
  <w:num w:numId="16" w16cid:durableId="2128741968">
    <w:abstractNumId w:val="21"/>
  </w:num>
  <w:num w:numId="17" w16cid:durableId="1096293419">
    <w:abstractNumId w:val="17"/>
  </w:num>
  <w:num w:numId="18" w16cid:durableId="1425955459">
    <w:abstractNumId w:val="29"/>
  </w:num>
  <w:num w:numId="19" w16cid:durableId="1414741965">
    <w:abstractNumId w:val="15"/>
  </w:num>
  <w:num w:numId="20" w16cid:durableId="1380011225">
    <w:abstractNumId w:val="1"/>
  </w:num>
  <w:num w:numId="21" w16cid:durableId="1092431963">
    <w:abstractNumId w:val="10"/>
  </w:num>
  <w:num w:numId="22" w16cid:durableId="263651716">
    <w:abstractNumId w:val="30"/>
  </w:num>
  <w:num w:numId="23" w16cid:durableId="1024406090">
    <w:abstractNumId w:val="20"/>
  </w:num>
  <w:num w:numId="24" w16cid:durableId="378624902">
    <w:abstractNumId w:val="6"/>
  </w:num>
  <w:num w:numId="25" w16cid:durableId="1563129038">
    <w:abstractNumId w:val="26"/>
  </w:num>
  <w:num w:numId="26" w16cid:durableId="2137136959">
    <w:abstractNumId w:val="28"/>
  </w:num>
  <w:num w:numId="27" w16cid:durableId="1096824349">
    <w:abstractNumId w:val="2"/>
  </w:num>
  <w:num w:numId="28" w16cid:durableId="1342587372">
    <w:abstractNumId w:val="4"/>
  </w:num>
  <w:num w:numId="29" w16cid:durableId="1296835937">
    <w:abstractNumId w:val="14"/>
  </w:num>
  <w:num w:numId="30" w16cid:durableId="145127688">
    <w:abstractNumId w:val="24"/>
  </w:num>
  <w:num w:numId="31" w16cid:durableId="1184249492">
    <w:abstractNumId w:val="22"/>
  </w:num>
  <w:num w:numId="32" w16cid:durableId="7568304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Full" w:cryptAlgorithmClass="hash" w:cryptAlgorithmType="typeAny" w:cryptAlgorithmSid="4" w:cryptSpinCount="100000" w:hash="R1dguAg/QGjIMMU7nTlV7LHQ74U=" w:salt="sAnviLBRC7qlL8vksQXniA=="/>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FB"/>
    <w:rsid w:val="0000040A"/>
    <w:rsid w:val="000006CB"/>
    <w:rsid w:val="00000A94"/>
    <w:rsid w:val="00001972"/>
    <w:rsid w:val="00001D9A"/>
    <w:rsid w:val="000063AD"/>
    <w:rsid w:val="00007B3A"/>
    <w:rsid w:val="000107E0"/>
    <w:rsid w:val="00011FDE"/>
    <w:rsid w:val="00012FFD"/>
    <w:rsid w:val="00014162"/>
    <w:rsid w:val="00014340"/>
    <w:rsid w:val="00016A9C"/>
    <w:rsid w:val="00022184"/>
    <w:rsid w:val="00022762"/>
    <w:rsid w:val="000238E0"/>
    <w:rsid w:val="000249DB"/>
    <w:rsid w:val="0002595E"/>
    <w:rsid w:val="00026622"/>
    <w:rsid w:val="00027346"/>
    <w:rsid w:val="000303C3"/>
    <w:rsid w:val="000331D3"/>
    <w:rsid w:val="000346A5"/>
    <w:rsid w:val="000359C3"/>
    <w:rsid w:val="00035A7D"/>
    <w:rsid w:val="000365ED"/>
    <w:rsid w:val="0004249A"/>
    <w:rsid w:val="00043282"/>
    <w:rsid w:val="00044286"/>
    <w:rsid w:val="00047F28"/>
    <w:rsid w:val="000503AA"/>
    <w:rsid w:val="000506A1"/>
    <w:rsid w:val="00051156"/>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36E"/>
    <w:rsid w:val="00086AA1"/>
    <w:rsid w:val="0008714F"/>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1E2"/>
    <w:rsid w:val="000C2FBD"/>
    <w:rsid w:val="000C4B41"/>
    <w:rsid w:val="000C57D6"/>
    <w:rsid w:val="000C6163"/>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5FE"/>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4BB"/>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676"/>
    <w:rsid w:val="001D411C"/>
    <w:rsid w:val="001D4D35"/>
    <w:rsid w:val="001E1B6A"/>
    <w:rsid w:val="001E2484"/>
    <w:rsid w:val="001E286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15EE"/>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C1E"/>
    <w:rsid w:val="00263D25"/>
    <w:rsid w:val="002643C3"/>
    <w:rsid w:val="00264A0C"/>
    <w:rsid w:val="00266EEB"/>
    <w:rsid w:val="00267EF4"/>
    <w:rsid w:val="00270CB8"/>
    <w:rsid w:val="00272376"/>
    <w:rsid w:val="00272B08"/>
    <w:rsid w:val="002736D4"/>
    <w:rsid w:val="002745BD"/>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A77"/>
    <w:rsid w:val="002A4CEA"/>
    <w:rsid w:val="002A5977"/>
    <w:rsid w:val="002A5A13"/>
    <w:rsid w:val="002A757F"/>
    <w:rsid w:val="002A7F44"/>
    <w:rsid w:val="002B0C40"/>
    <w:rsid w:val="002B10AF"/>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0A3E"/>
    <w:rsid w:val="002F30E0"/>
    <w:rsid w:val="002F35E4"/>
    <w:rsid w:val="002F3730"/>
    <w:rsid w:val="002F38E1"/>
    <w:rsid w:val="002F6D93"/>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111"/>
    <w:rsid w:val="003705F4"/>
    <w:rsid w:val="00370D58"/>
    <w:rsid w:val="00371316"/>
    <w:rsid w:val="00376713"/>
    <w:rsid w:val="00381815"/>
    <w:rsid w:val="003819AF"/>
    <w:rsid w:val="003820E9"/>
    <w:rsid w:val="00382DE7"/>
    <w:rsid w:val="0038402B"/>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2B80"/>
    <w:rsid w:val="003F3F08"/>
    <w:rsid w:val="003F49F1"/>
    <w:rsid w:val="003F6272"/>
    <w:rsid w:val="00400E72"/>
    <w:rsid w:val="00401400"/>
    <w:rsid w:val="00404869"/>
    <w:rsid w:val="00405884"/>
    <w:rsid w:val="00407D39"/>
    <w:rsid w:val="004102B1"/>
    <w:rsid w:val="00410E90"/>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DA1"/>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6D"/>
    <w:rsid w:val="004D4406"/>
    <w:rsid w:val="004D7C42"/>
    <w:rsid w:val="004E0465"/>
    <w:rsid w:val="004E127B"/>
    <w:rsid w:val="004E1C0A"/>
    <w:rsid w:val="004E2B06"/>
    <w:rsid w:val="004E2C4C"/>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60B"/>
    <w:rsid w:val="00533D04"/>
    <w:rsid w:val="00534804"/>
    <w:rsid w:val="00534BDF"/>
    <w:rsid w:val="005354EA"/>
    <w:rsid w:val="0053585F"/>
    <w:rsid w:val="00535EC4"/>
    <w:rsid w:val="00535ED9"/>
    <w:rsid w:val="0053692B"/>
    <w:rsid w:val="00541853"/>
    <w:rsid w:val="00543BDA"/>
    <w:rsid w:val="005441CC"/>
    <w:rsid w:val="00544D67"/>
    <w:rsid w:val="005479DA"/>
    <w:rsid w:val="00547BCC"/>
    <w:rsid w:val="0055013B"/>
    <w:rsid w:val="00551F6F"/>
    <w:rsid w:val="00555044"/>
    <w:rsid w:val="00561475"/>
    <w:rsid w:val="00562F78"/>
    <w:rsid w:val="0056487B"/>
    <w:rsid w:val="00564FB9"/>
    <w:rsid w:val="00573D9E"/>
    <w:rsid w:val="005801E3"/>
    <w:rsid w:val="00580345"/>
    <w:rsid w:val="00581802"/>
    <w:rsid w:val="005836A8"/>
    <w:rsid w:val="0058409C"/>
    <w:rsid w:val="00584262"/>
    <w:rsid w:val="00586630"/>
    <w:rsid w:val="00587ADD"/>
    <w:rsid w:val="00591E27"/>
    <w:rsid w:val="00595B11"/>
    <w:rsid w:val="00596160"/>
    <w:rsid w:val="005966E2"/>
    <w:rsid w:val="00597007"/>
    <w:rsid w:val="005A0966"/>
    <w:rsid w:val="005A11B7"/>
    <w:rsid w:val="005A260B"/>
    <w:rsid w:val="005A4A1B"/>
    <w:rsid w:val="005A7830"/>
    <w:rsid w:val="005A7D15"/>
    <w:rsid w:val="005A7FCE"/>
    <w:rsid w:val="005B0F3F"/>
    <w:rsid w:val="005B4903"/>
    <w:rsid w:val="005B51CE"/>
    <w:rsid w:val="005B5885"/>
    <w:rsid w:val="005B5CD7"/>
    <w:rsid w:val="005B6567"/>
    <w:rsid w:val="005B6CF6"/>
    <w:rsid w:val="005B7422"/>
    <w:rsid w:val="005C29B8"/>
    <w:rsid w:val="005C5F21"/>
    <w:rsid w:val="005C7156"/>
    <w:rsid w:val="005D0C75"/>
    <w:rsid w:val="005D33E6"/>
    <w:rsid w:val="005D4171"/>
    <w:rsid w:val="005D4B5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6A6"/>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468"/>
    <w:rsid w:val="00672060"/>
    <w:rsid w:val="00672BFD"/>
    <w:rsid w:val="00673949"/>
    <w:rsid w:val="006770F4"/>
    <w:rsid w:val="00677A84"/>
    <w:rsid w:val="0068026D"/>
    <w:rsid w:val="00680A27"/>
    <w:rsid w:val="006816A4"/>
    <w:rsid w:val="00681974"/>
    <w:rsid w:val="006819B8"/>
    <w:rsid w:val="006840A6"/>
    <w:rsid w:val="006850CD"/>
    <w:rsid w:val="00685AAB"/>
    <w:rsid w:val="00695D22"/>
    <w:rsid w:val="0069663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6DCA"/>
    <w:rsid w:val="00707669"/>
    <w:rsid w:val="00710C9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A8E"/>
    <w:rsid w:val="00752B4D"/>
    <w:rsid w:val="00755402"/>
    <w:rsid w:val="00756B26"/>
    <w:rsid w:val="00756EDF"/>
    <w:rsid w:val="007600E3"/>
    <w:rsid w:val="00764EC9"/>
    <w:rsid w:val="00765C43"/>
    <w:rsid w:val="00765EFB"/>
    <w:rsid w:val="007671CA"/>
    <w:rsid w:val="00767C61"/>
    <w:rsid w:val="0077008A"/>
    <w:rsid w:val="00773C1F"/>
    <w:rsid w:val="00774DA4"/>
    <w:rsid w:val="00776599"/>
    <w:rsid w:val="007771A9"/>
    <w:rsid w:val="0078114B"/>
    <w:rsid w:val="00781DD2"/>
    <w:rsid w:val="00783ECF"/>
    <w:rsid w:val="0078413A"/>
    <w:rsid w:val="0078646F"/>
    <w:rsid w:val="007959E8"/>
    <w:rsid w:val="00795E9C"/>
    <w:rsid w:val="007A0521"/>
    <w:rsid w:val="007A2E12"/>
    <w:rsid w:val="007A3475"/>
    <w:rsid w:val="007A41C8"/>
    <w:rsid w:val="007A54CE"/>
    <w:rsid w:val="007A63F3"/>
    <w:rsid w:val="007A6FD9"/>
    <w:rsid w:val="007A7FFA"/>
    <w:rsid w:val="007B04EB"/>
    <w:rsid w:val="007B0D4F"/>
    <w:rsid w:val="007B2EB1"/>
    <w:rsid w:val="007B5A3D"/>
    <w:rsid w:val="007B5B95"/>
    <w:rsid w:val="007B68EA"/>
    <w:rsid w:val="007B7453"/>
    <w:rsid w:val="007C1E8B"/>
    <w:rsid w:val="007C29FB"/>
    <w:rsid w:val="007C2D89"/>
    <w:rsid w:val="007C4593"/>
    <w:rsid w:val="007C5309"/>
    <w:rsid w:val="007C6069"/>
    <w:rsid w:val="007D06C4"/>
    <w:rsid w:val="007D1352"/>
    <w:rsid w:val="007D2508"/>
    <w:rsid w:val="007D346A"/>
    <w:rsid w:val="007D6518"/>
    <w:rsid w:val="007D76BD"/>
    <w:rsid w:val="007E07B9"/>
    <w:rsid w:val="007E0BF1"/>
    <w:rsid w:val="007F0ED8"/>
    <w:rsid w:val="007F0F63"/>
    <w:rsid w:val="007F320A"/>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CA2"/>
    <w:rsid w:val="0085173A"/>
    <w:rsid w:val="00856316"/>
    <w:rsid w:val="008603CE"/>
    <w:rsid w:val="008620FC"/>
    <w:rsid w:val="008627A5"/>
    <w:rsid w:val="008627F7"/>
    <w:rsid w:val="00863E05"/>
    <w:rsid w:val="00865ACA"/>
    <w:rsid w:val="00865D28"/>
    <w:rsid w:val="00865F85"/>
    <w:rsid w:val="00867C10"/>
    <w:rsid w:val="00870439"/>
    <w:rsid w:val="00870DA1"/>
    <w:rsid w:val="00881F2E"/>
    <w:rsid w:val="00883F93"/>
    <w:rsid w:val="00884DB3"/>
    <w:rsid w:val="00885A9D"/>
    <w:rsid w:val="008864F6"/>
    <w:rsid w:val="0089049D"/>
    <w:rsid w:val="00891774"/>
    <w:rsid w:val="008928C9"/>
    <w:rsid w:val="008930CB"/>
    <w:rsid w:val="008938DC"/>
    <w:rsid w:val="00893FD1"/>
    <w:rsid w:val="00894836"/>
    <w:rsid w:val="00895172"/>
    <w:rsid w:val="00895680"/>
    <w:rsid w:val="00896DFF"/>
    <w:rsid w:val="0089762C"/>
    <w:rsid w:val="008A1893"/>
    <w:rsid w:val="008A3215"/>
    <w:rsid w:val="008A5571"/>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49C"/>
    <w:rsid w:val="008D0CE8"/>
    <w:rsid w:val="008D2D1D"/>
    <w:rsid w:val="008D453D"/>
    <w:rsid w:val="008D53AD"/>
    <w:rsid w:val="008D562B"/>
    <w:rsid w:val="008D5733"/>
    <w:rsid w:val="008D622B"/>
    <w:rsid w:val="008D64B0"/>
    <w:rsid w:val="008D666C"/>
    <w:rsid w:val="008D7B54"/>
    <w:rsid w:val="008E0C9D"/>
    <w:rsid w:val="008E1648"/>
    <w:rsid w:val="008E1B3E"/>
    <w:rsid w:val="008E2319"/>
    <w:rsid w:val="008E47FD"/>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465"/>
    <w:rsid w:val="009245F5"/>
    <w:rsid w:val="009249EC"/>
    <w:rsid w:val="0092507B"/>
    <w:rsid w:val="009273B3"/>
    <w:rsid w:val="009305B5"/>
    <w:rsid w:val="009429D5"/>
    <w:rsid w:val="00942BF1"/>
    <w:rsid w:val="00945180"/>
    <w:rsid w:val="00945428"/>
    <w:rsid w:val="0094607B"/>
    <w:rsid w:val="00953604"/>
    <w:rsid w:val="0095496B"/>
    <w:rsid w:val="009610DC"/>
    <w:rsid w:val="00961490"/>
    <w:rsid w:val="0096381A"/>
    <w:rsid w:val="009644DE"/>
    <w:rsid w:val="00965E04"/>
    <w:rsid w:val="009674AD"/>
    <w:rsid w:val="00970CDC"/>
    <w:rsid w:val="00975835"/>
    <w:rsid w:val="00977010"/>
    <w:rsid w:val="00977D02"/>
    <w:rsid w:val="009809BB"/>
    <w:rsid w:val="0098364B"/>
    <w:rsid w:val="009911AF"/>
    <w:rsid w:val="00991875"/>
    <w:rsid w:val="00991F92"/>
    <w:rsid w:val="00992985"/>
    <w:rsid w:val="00993889"/>
    <w:rsid w:val="0099551B"/>
    <w:rsid w:val="009967AB"/>
    <w:rsid w:val="00997BF1"/>
    <w:rsid w:val="009A089C"/>
    <w:rsid w:val="009A118E"/>
    <w:rsid w:val="009A21CD"/>
    <w:rsid w:val="009A278C"/>
    <w:rsid w:val="009A2BC2"/>
    <w:rsid w:val="009A42C1"/>
    <w:rsid w:val="009A5429"/>
    <w:rsid w:val="009A72AD"/>
    <w:rsid w:val="009B05C1"/>
    <w:rsid w:val="009B09E0"/>
    <w:rsid w:val="009B0BC5"/>
    <w:rsid w:val="009B1247"/>
    <w:rsid w:val="009B46F9"/>
    <w:rsid w:val="009B4C7B"/>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993"/>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126"/>
    <w:rsid w:val="00A648CD"/>
    <w:rsid w:val="00A6537A"/>
    <w:rsid w:val="00A67866"/>
    <w:rsid w:val="00A70B07"/>
    <w:rsid w:val="00A723F8"/>
    <w:rsid w:val="00A75597"/>
    <w:rsid w:val="00A77CCB"/>
    <w:rsid w:val="00A83D8D"/>
    <w:rsid w:val="00A8446B"/>
    <w:rsid w:val="00A8473F"/>
    <w:rsid w:val="00A84CD3"/>
    <w:rsid w:val="00A862D6"/>
    <w:rsid w:val="00A8715E"/>
    <w:rsid w:val="00A9295B"/>
    <w:rsid w:val="00A93B09"/>
    <w:rsid w:val="00A94247"/>
    <w:rsid w:val="00A952D7"/>
    <w:rsid w:val="00A963F7"/>
    <w:rsid w:val="00A96AD8"/>
    <w:rsid w:val="00AA052C"/>
    <w:rsid w:val="00AA1E45"/>
    <w:rsid w:val="00AA4286"/>
    <w:rsid w:val="00AA456B"/>
    <w:rsid w:val="00AA57F5"/>
    <w:rsid w:val="00AA645D"/>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E7C"/>
    <w:rsid w:val="00B939B1"/>
    <w:rsid w:val="00B96D40"/>
    <w:rsid w:val="00B97386"/>
    <w:rsid w:val="00BA263B"/>
    <w:rsid w:val="00BA2F52"/>
    <w:rsid w:val="00BA42B2"/>
    <w:rsid w:val="00BA58D4"/>
    <w:rsid w:val="00BA5B9E"/>
    <w:rsid w:val="00BA7C9A"/>
    <w:rsid w:val="00BB203B"/>
    <w:rsid w:val="00BB5F8F"/>
    <w:rsid w:val="00BB657A"/>
    <w:rsid w:val="00BC1A4E"/>
    <w:rsid w:val="00BC4790"/>
    <w:rsid w:val="00BC5DC7"/>
    <w:rsid w:val="00BC6B8B"/>
    <w:rsid w:val="00BC73D8"/>
    <w:rsid w:val="00BD3766"/>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45B7"/>
    <w:rsid w:val="00C55232"/>
    <w:rsid w:val="00C553A4"/>
    <w:rsid w:val="00C55A06"/>
    <w:rsid w:val="00C55D03"/>
    <w:rsid w:val="00C601BC"/>
    <w:rsid w:val="00C6329F"/>
    <w:rsid w:val="00C63340"/>
    <w:rsid w:val="00C643F9"/>
    <w:rsid w:val="00C64E95"/>
    <w:rsid w:val="00C70C93"/>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B83"/>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0845"/>
    <w:rsid w:val="00D66846"/>
    <w:rsid w:val="00D675FB"/>
    <w:rsid w:val="00D71F25"/>
    <w:rsid w:val="00D72A9C"/>
    <w:rsid w:val="00D77031"/>
    <w:rsid w:val="00D84941"/>
    <w:rsid w:val="00D84FA1"/>
    <w:rsid w:val="00D851F0"/>
    <w:rsid w:val="00D86DB7"/>
    <w:rsid w:val="00D90F1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5549"/>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C77"/>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7178"/>
    <w:rsid w:val="00ED067A"/>
    <w:rsid w:val="00ED2B50"/>
    <w:rsid w:val="00EE0350"/>
    <w:rsid w:val="00EE0719"/>
    <w:rsid w:val="00EE0E80"/>
    <w:rsid w:val="00EE54A6"/>
    <w:rsid w:val="00EE613F"/>
    <w:rsid w:val="00EE7295"/>
    <w:rsid w:val="00EE7869"/>
    <w:rsid w:val="00EF054A"/>
    <w:rsid w:val="00EF3235"/>
    <w:rsid w:val="00EF7E72"/>
    <w:rsid w:val="00F02C34"/>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9AC"/>
    <w:rsid w:val="00F81141"/>
    <w:rsid w:val="00F833BA"/>
    <w:rsid w:val="00F84FD0"/>
    <w:rsid w:val="00F859A8"/>
    <w:rsid w:val="00F86D87"/>
    <w:rsid w:val="00F86E08"/>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4E9657B9"/>
    <w:rsid w:val="6F7D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23819F87-F355-44CD-B0A8-31D8C264C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C7B"/>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2">
    <w:name w:val="标准标题1"/>
    <w:basedOn w:val="afff5"/>
    <w:autoRedefine/>
    <w:qFormat/>
    <w:rsid w:val="00891774"/>
    <w:pPr>
      <w:adjustRightInd/>
      <w:spacing w:beforeLines="50" w:before="50" w:afterLines="50" w:after="50" w:line="440" w:lineRule="atLeast"/>
      <w:outlineLvl w:val="0"/>
    </w:pPr>
    <w:rPr>
      <w:rFonts w:ascii="黑体" w:eastAsia="黑体" w:hAnsi="黑体" w:cs="黑体" w:hint="eastAsia"/>
      <w:b/>
      <w:bCs/>
      <w:color w:val="000000" w:themeColor="text1"/>
      <w:lang w:eastAsia="zh-Hans"/>
    </w:rPr>
  </w:style>
  <w:style w:type="paragraph" w:customStyle="1" w:styleId="afffffffffffa">
    <w:name w:val="标准正文"/>
    <w:basedOn w:val="afff5"/>
    <w:qFormat/>
    <w:rsid w:val="00891774"/>
    <w:pPr>
      <w:adjustRightInd/>
      <w:spacing w:line="400" w:lineRule="atLeast"/>
      <w:ind w:firstLineChars="200" w:firstLine="420"/>
    </w:pPr>
    <w:rPr>
      <w:rFonts w:asciiTheme="minorHAnsi" w:eastAsiaTheme="minorEastAsia" w:hAnsiTheme="minorHAnsi" w:cstheme="minorEastAsia"/>
      <w:color w:val="000000" w:themeColor="text1"/>
      <w:lang w:eastAsia="zh-Hans"/>
    </w:rPr>
  </w:style>
  <w:style w:type="paragraph" w:styleId="afffffffffffb">
    <w:name w:val="Revision"/>
    <w:hidden/>
    <w:uiPriority w:val="99"/>
    <w:unhideWhenUsed/>
    <w:rsid w:val="00580345"/>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63DEDC05E5434CB4DB862004330F30"/>
        <w:category>
          <w:name w:val="常规"/>
          <w:gallery w:val="placeholder"/>
        </w:category>
        <w:types>
          <w:type w:val="bbPlcHdr"/>
        </w:types>
        <w:behaviors>
          <w:behavior w:val="content"/>
        </w:behaviors>
        <w:guid w:val="{567431F8-4087-45E0-ACC0-3AB05619194D}"/>
      </w:docPartPr>
      <w:docPartBody>
        <w:p w:rsidR="00717407" w:rsidRDefault="00785DBB">
          <w:pPr>
            <w:pStyle w:val="7463DEDC05E5434CB4DB862004330F30"/>
          </w:pPr>
          <w:r>
            <w:rPr>
              <w:rStyle w:val="a3"/>
              <w:rFonts w:hint="eastAsia"/>
            </w:rPr>
            <w:t>单击或点击此处输入文字。</w:t>
          </w:r>
        </w:p>
      </w:docPartBody>
    </w:docPart>
    <w:docPart>
      <w:docPartPr>
        <w:name w:val="CE9FE24E28114F119D7CA10CF66C3758"/>
        <w:category>
          <w:name w:val="常规"/>
          <w:gallery w:val="placeholder"/>
        </w:category>
        <w:types>
          <w:type w:val="bbPlcHdr"/>
        </w:types>
        <w:behaviors>
          <w:behavior w:val="content"/>
        </w:behaviors>
        <w:guid w:val="{ECD221BD-7A6E-4FB4-A801-8BF370BC1654}"/>
      </w:docPartPr>
      <w:docPartBody>
        <w:p w:rsidR="00717407" w:rsidRDefault="00785DBB">
          <w:pPr>
            <w:pStyle w:val="CE9FE24E28114F119D7CA10CF66C3758"/>
          </w:pPr>
          <w:r>
            <w:rPr>
              <w:rStyle w:val="a3"/>
              <w:rFonts w:hint="eastAsia"/>
            </w:rPr>
            <w:t>选择一项。</w:t>
          </w:r>
        </w:p>
      </w:docPartBody>
    </w:docPart>
    <w:docPart>
      <w:docPartPr>
        <w:name w:val="7A7C839B8AF743409B2420D835ED4C36"/>
        <w:category>
          <w:name w:val="常规"/>
          <w:gallery w:val="placeholder"/>
        </w:category>
        <w:types>
          <w:type w:val="bbPlcHdr"/>
        </w:types>
        <w:behaviors>
          <w:behavior w:val="content"/>
        </w:behaviors>
        <w:guid w:val="{4680791C-D71E-41A3-9886-15AD0DABF930}"/>
      </w:docPartPr>
      <w:docPartBody>
        <w:p w:rsidR="00717407" w:rsidRDefault="00785DBB">
          <w:pPr>
            <w:pStyle w:val="7A7C839B8AF743409B2420D835ED4C3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7C04"/>
    <w:rsid w:val="00070F46"/>
    <w:rsid w:val="0012212C"/>
    <w:rsid w:val="002467C0"/>
    <w:rsid w:val="002A4A77"/>
    <w:rsid w:val="00334EFE"/>
    <w:rsid w:val="00717407"/>
    <w:rsid w:val="00783B98"/>
    <w:rsid w:val="00785DBB"/>
    <w:rsid w:val="007B79F2"/>
    <w:rsid w:val="00864CB6"/>
    <w:rsid w:val="00A07C04"/>
    <w:rsid w:val="00A24993"/>
    <w:rsid w:val="00A96F12"/>
    <w:rsid w:val="00BB2498"/>
    <w:rsid w:val="00EC71F1"/>
    <w:rsid w:val="00F76E25"/>
    <w:rsid w:val="00FC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463DEDC05E5434CB4DB862004330F30">
    <w:name w:val="7463DEDC05E5434CB4DB862004330F30"/>
    <w:qFormat/>
    <w:pPr>
      <w:widowControl w:val="0"/>
      <w:jc w:val="both"/>
    </w:pPr>
    <w:rPr>
      <w:kern w:val="2"/>
      <w:sz w:val="21"/>
      <w:szCs w:val="22"/>
    </w:rPr>
  </w:style>
  <w:style w:type="paragraph" w:customStyle="1" w:styleId="CE9FE24E28114F119D7CA10CF66C3758">
    <w:name w:val="CE9FE24E28114F119D7CA10CF66C3758"/>
    <w:qFormat/>
    <w:pPr>
      <w:widowControl w:val="0"/>
      <w:jc w:val="both"/>
    </w:pPr>
    <w:rPr>
      <w:kern w:val="2"/>
      <w:sz w:val="21"/>
      <w:szCs w:val="22"/>
    </w:rPr>
  </w:style>
  <w:style w:type="paragraph" w:customStyle="1" w:styleId="7A7C839B8AF743409B2420D835ED4C36">
    <w:name w:val="7A7C839B8AF743409B2420D835ED4C3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282FA9C7-121C-4953-B921-6082D6F7C0E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TotalTime>83</TotalTime>
  <Pages>11</Pages>
  <Words>2655</Words>
  <Characters>3241</Characters>
  <Application>Microsoft Office Word</Application>
  <DocSecurity>0</DocSecurity>
  <Lines>294</Lines>
  <Paragraphs>267</Paragraphs>
  <ScaleCrop>false</ScaleCrop>
  <Company>PCMI</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doctype="SDKXY"&gt;_x000d_
&lt;/config&gt;</dc:description>
  <cp:lastModifiedBy>华阳 尹</cp:lastModifiedBy>
  <cp:revision>4</cp:revision>
  <cp:lastPrinted>2024-12-09T08:28:00Z</cp:lastPrinted>
  <dcterms:created xsi:type="dcterms:W3CDTF">2025-05-13T00:17:00Z</dcterms:created>
  <dcterms:modified xsi:type="dcterms:W3CDTF">2025-05-13T02:01:00Z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6F7C665C31C0440D9A81D32C932C3333_12</vt:lpwstr>
  </property>
</Properties>
</file>