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4766F">
      <w:pPr>
        <w:pStyle w:val="2"/>
        <w:spacing w:before="31" w:line="191" w:lineRule="auto"/>
        <w:ind w:left="35"/>
        <w:jc w:val="left"/>
        <w:rPr>
          <w:sz w:val="21"/>
          <w:szCs w:val="21"/>
          <w:lang w:eastAsia="zh-CN"/>
        </w:rPr>
      </w:pPr>
      <w:r>
        <w:rPr>
          <w:rFonts w:ascii="Times New Roman" w:hAnsi="Times New Roman" w:eastAsia="Times New Roman" w:cs="Times New Roman"/>
          <w:spacing w:val="-1"/>
          <w:position w:val="1"/>
          <w:sz w:val="21"/>
          <w:szCs w:val="21"/>
          <w:lang w:eastAsia="zh-CN"/>
        </w:rPr>
        <w:t>ICS</w:t>
      </w:r>
      <w:r>
        <w:rPr>
          <w:spacing w:val="-1"/>
          <w:sz w:val="21"/>
          <w:szCs w:val="21"/>
          <w:lang w:eastAsia="zh-CN"/>
        </w:rPr>
        <w:t>03.080.10</w:t>
      </w:r>
    </w:p>
    <w:p w14:paraId="36A2DA17">
      <w:pPr>
        <w:pStyle w:val="2"/>
        <w:spacing w:before="94" w:line="189" w:lineRule="auto"/>
        <w:ind w:left="37"/>
        <w:jc w:val="left"/>
        <w:rPr>
          <w:sz w:val="21"/>
          <w:szCs w:val="21"/>
          <w:lang w:eastAsia="zh-CN"/>
        </w:rPr>
      </w:pPr>
      <w:r>
        <w:rPr>
          <w:rFonts w:ascii="Times New Roman" w:hAnsi="Times New Roman" w:eastAsia="Times New Roman" w:cs="Times New Roman"/>
          <w:spacing w:val="-3"/>
          <w:sz w:val="21"/>
          <w:szCs w:val="21"/>
          <w:lang w:eastAsia="zh-CN"/>
        </w:rPr>
        <w:t>CCS</w:t>
      </w:r>
      <w:r>
        <w:rPr>
          <w:spacing w:val="-3"/>
          <w:sz w:val="21"/>
          <w:szCs w:val="21"/>
          <w:lang w:eastAsia="zh-CN"/>
        </w:rPr>
        <w:t>A00</w:t>
      </w:r>
    </w:p>
    <w:tbl>
      <w:tblPr>
        <w:tblStyle w:val="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E1121A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B0B3ED6">
            <w:pPr>
              <w:pStyle w:val="49"/>
              <w:framePr w:w="0" w:hRule="auto" w:wrap="auto" w:vAnchor="margin" w:hAnchor="text" w:xAlign="left" w:yAlign="inline"/>
              <w:rPr>
                <w:rFonts w:ascii="宋体" w:hAnsi="宋体"/>
                <w:sz w:val="28"/>
                <w:szCs w:val="28"/>
              </w:rPr>
            </w:pPr>
            <w:r>
              <w:drawing>
                <wp:inline distT="0" distB="0" distL="0" distR="0">
                  <wp:extent cx="796290" cy="397510"/>
                  <wp:effectExtent l="0" t="0" r="3810" b="254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bookmarkStart w:id="0" w:name="_Hlk26473981"/>
            <w:r>
              <w:fldChar w:fldCharType="begin">
                <w:ffData>
                  <w:name w:val="c1"/>
                  <w:enabled/>
                  <w:calcOnExit w:val="0"/>
                  <w:textInput>
                    <w:maxLength w:val="8"/>
                  </w:textInput>
                </w:ffData>
              </w:fldChar>
            </w:r>
            <w:bookmarkStart w:id="1" w:name="c1"/>
            <w:r>
              <w:instrText xml:space="preserve"> FORMTEXT </w:instrText>
            </w:r>
            <w:r>
              <w:fldChar w:fldCharType="separate"/>
            </w:r>
            <w:r>
              <w:rPr>
                <w:rFonts w:hint="eastAsia"/>
              </w:rPr>
              <w:t>34</w:t>
            </w:r>
            <w:r>
              <w:fldChar w:fldCharType="end"/>
            </w:r>
            <w:bookmarkEnd w:id="1"/>
          </w:p>
        </w:tc>
      </w:tr>
    </w:tbl>
    <w:p w14:paraId="29EF1D51">
      <w:pPr>
        <w:pStyle w:val="14"/>
        <w:framePr w:w="9639" w:h="624" w:hRule="exact" w:hSpace="181" w:vSpace="181" w:wrap="around" w:hAnchor="page" w:x="1305" w:y="2536"/>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2"/>
      <w:r>
        <w:rPr>
          <w:rFonts w:hint="eastAsia" w:ascii="黑体" w:hAnsi="黑体" w:eastAsia="黑体"/>
          <w:b w:val="0"/>
          <w:bCs w:val="0"/>
          <w:w w:val="100"/>
          <w:sz w:val="48"/>
          <w:szCs w:val="48"/>
        </w:rPr>
        <w:t>地方标准</w:t>
      </w:r>
    </w:p>
    <w:bookmarkEnd w:id="0"/>
    <w:p w14:paraId="3B8ECB90">
      <w:pPr>
        <w:pStyle w:val="43"/>
        <w:framePr/>
        <w:rPr>
          <w:lang w:val="fr-FR"/>
        </w:rPr>
      </w:pPr>
      <w:r>
        <w:rPr>
          <w:lang w:val="fr-FR"/>
        </w:rPr>
        <w:t>DB</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rFonts w:hint="eastAsia"/>
          <w:lang w:val="fr-FR"/>
        </w:rPr>
        <w:t>34</w:t>
      </w:r>
      <w:r>
        <w:rPr>
          <w:lang w:val="fr-FR"/>
        </w:rPr>
        <w:t>/T</w:t>
      </w:r>
      <w:r>
        <w:fldChar w:fldCharType="end"/>
      </w:r>
      <w:bookmarkEnd w:id="3"/>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rPr>
          <w:lang w:val="fr-FR"/>
        </w:rPr>
        <w:t>XXXX</w:t>
      </w:r>
      <w:r>
        <w:fldChar w:fldCharType="end"/>
      </w:r>
      <w:bookmarkEnd w:id="5"/>
    </w:p>
    <w:p w14:paraId="73F1CCCB">
      <w:pPr>
        <w:pStyle w:val="53"/>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15FF2894">
      <w:pPr>
        <w:rPr>
          <w:rFonts w:ascii="黑体" w:hAnsi="黑体" w:eastAsia="黑体"/>
          <w:sz w:val="10"/>
          <w:szCs w:val="10"/>
        </w:rPr>
      </w:pPr>
      <w:r>
        <w:rPr>
          <w:rFonts w:ascii="黑体" w:hAnsi="黑体" w:eastAsia="黑体"/>
          <w:sz w:val="10"/>
          <w:szCs w:val="10"/>
        </w:rPr>
        <w:pict>
          <v:line id="_x0000_s1032" o:spid="_x0000_s1032" o:spt="20" style="position:absolute;left:0pt;margin-left:70.9pt;margin-top:212.65pt;height:0pt;width:481.9pt;mso-position-horizontal-relative:page;mso-position-vertical-relative:page;z-index:251659264;mso-width-relative:page;mso-height-relative:page;"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path arrowok="t"/>
            <v:fill focussize="0,0"/>
            <v:stroke/>
            <v:imagedata o:title=""/>
            <o:lock v:ext="edit"/>
          </v:line>
        </w:pict>
      </w:r>
    </w:p>
    <w:p w14:paraId="556A20B5">
      <w:pPr>
        <w:pStyle w:val="14"/>
        <w:framePr w:w="9639" w:h="6976" w:hRule="exact" w:hSpace="0" w:vSpace="0" w:wrap="around" w:hAnchor="page" w:y="6408"/>
        <w:jc w:val="center"/>
        <w:rPr>
          <w:rFonts w:ascii="黑体" w:hAnsi="黑体" w:eastAsia="黑体"/>
          <w:b w:val="0"/>
          <w:bCs w:val="0"/>
          <w:w w:val="100"/>
        </w:rPr>
      </w:pPr>
    </w:p>
    <w:p w14:paraId="5581268E">
      <w:pPr>
        <w:framePr w:w="9639" w:h="6974" w:hRule="exact" w:wrap="around" w:vAnchor="page" w:hAnchor="page" w:x="1419" w:y="6408" w:anchorLock="1"/>
        <w:ind w:left="-1418"/>
        <w:rPr>
          <w:sz w:val="52"/>
          <w:szCs w:val="52"/>
          <w:lang w:eastAsia="zh-CN"/>
        </w:rPr>
      </w:pPr>
      <w:r>
        <w:rPr>
          <w:rFonts w:hint="eastAsia" w:ascii="黑体" w:hAnsi="黑体" w:eastAsia="黑体" w:cs="黑体"/>
          <w:spacing w:val="8"/>
          <w:sz w:val="51"/>
          <w:szCs w:val="51"/>
          <w:lang w:eastAsia="zh-CN"/>
        </w:rPr>
        <w:t xml:space="preserve">        </w:t>
      </w:r>
      <w:r>
        <w:rPr>
          <w:rFonts w:hint="eastAsia" w:ascii="黑体" w:hAnsi="黑体" w:eastAsia="黑体" w:cs="黑体"/>
          <w:spacing w:val="8"/>
          <w:sz w:val="52"/>
          <w:szCs w:val="52"/>
          <w:lang w:eastAsia="zh-CN"/>
        </w:rPr>
        <w:t>保健食品</w:t>
      </w:r>
      <w:r>
        <w:rPr>
          <w:rFonts w:ascii="黑体" w:hAnsi="黑体" w:eastAsia="黑体" w:cs="黑体"/>
          <w:spacing w:val="8"/>
          <w:sz w:val="52"/>
          <w:szCs w:val="52"/>
          <w:lang w:eastAsia="zh-CN"/>
        </w:rPr>
        <w:t>生产许可现场评审规范</w:t>
      </w:r>
    </w:p>
    <w:p w14:paraId="38D4A999">
      <w:pPr>
        <w:pStyle w:val="2"/>
        <w:framePr w:w="9639" w:h="6974" w:hRule="exact" w:wrap="around" w:vAnchor="page" w:hAnchor="page" w:x="1419" w:y="6408" w:anchorLock="1"/>
        <w:spacing w:before="79" w:line="276" w:lineRule="auto"/>
        <w:ind w:left="4033" w:leftChars="526" w:right="630" w:hanging="2928" w:hangingChars="1046"/>
        <w:rPr>
          <w:rFonts w:ascii="Times New Roman" w:hAnsi="Times New Roman" w:cs="Times New Roman" w:eastAsiaTheme="minorEastAsia"/>
          <w:lang w:eastAsia="zh-CN"/>
        </w:rPr>
      </w:pPr>
      <w:r>
        <w:rPr>
          <w:rFonts w:ascii="Times New Roman" w:hAnsi="Times New Roman" w:eastAsia="Times New Roman" w:cs="Times New Roman"/>
          <w:spacing w:val="5"/>
        </w:rPr>
        <w:t>Specification for on-site r</w:t>
      </w:r>
      <w:r>
        <w:rPr>
          <w:rFonts w:ascii="Times New Roman" w:hAnsi="Times New Roman" w:eastAsia="Times New Roman" w:cs="Times New Roman"/>
          <w:spacing w:val="4"/>
        </w:rPr>
        <w:t xml:space="preserve">eview ofproduction license </w:t>
      </w:r>
      <w:r>
        <w:rPr>
          <w:rFonts w:hint="eastAsia" w:ascii="Times New Roman" w:hAnsi="Times New Roman" w:cs="Times New Roman" w:eastAsiaTheme="minorEastAsia"/>
          <w:spacing w:val="4"/>
          <w:lang w:eastAsia="zh-CN"/>
        </w:rPr>
        <w:t>health food</w:t>
      </w:r>
    </w:p>
    <w:p w14:paraId="78B64EB7">
      <w:pPr>
        <w:framePr w:w="9639" w:h="6974" w:hRule="exact" w:wrap="around" w:vAnchor="page" w:hAnchor="page" w:x="1419" w:y="6408" w:anchorLock="1"/>
        <w:spacing w:line="760" w:lineRule="exact"/>
        <w:ind w:left="-1418"/>
      </w:pPr>
    </w:p>
    <w:p w14:paraId="617FF256">
      <w:pPr>
        <w:pStyle w:val="51"/>
        <w:framePr w:w="9639" w:h="6974" w:hRule="exact" w:wrap="around" w:vAnchor="page" w:hAnchor="page" w:x="1419" w:y="6408" w:anchorLock="1"/>
        <w:textAlignment w:val="bottom"/>
        <w:rPr>
          <w:rFonts w:eastAsia="黑体"/>
          <w:szCs w:val="28"/>
        </w:rPr>
      </w:pPr>
    </w:p>
    <w:p w14:paraId="14F72C5E">
      <w:pPr>
        <w:pStyle w:val="51"/>
        <w:framePr w:w="9639" w:h="6974" w:hRule="exact" w:wrap="around" w:vAnchor="page" w:hAnchor="page" w:x="1419" w:y="6408" w:anchorLock="1"/>
        <w:spacing w:before="440" w:after="160"/>
        <w:textAlignment w:val="bottom"/>
        <w:rPr>
          <w:sz w:val="24"/>
          <w:szCs w:val="28"/>
        </w:rPr>
      </w:pPr>
      <w:bookmarkStart w:id="7" w:name="下拉1"/>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FORMDROPDOWN </w:instrText>
      </w:r>
      <w:r>
        <w:rPr>
          <w:sz w:val="24"/>
          <w:szCs w:val="28"/>
        </w:rPr>
        <w:fldChar w:fldCharType="separate"/>
      </w:r>
      <w:r>
        <w:rPr>
          <w:sz w:val="24"/>
          <w:szCs w:val="28"/>
        </w:rPr>
        <w:fldChar w:fldCharType="end"/>
      </w:r>
      <w:bookmarkEnd w:id="7"/>
      <w:r>
        <w:rPr>
          <w:rFonts w:hint="eastAsia"/>
          <w:sz w:val="24"/>
          <w:szCs w:val="28"/>
        </w:rPr>
        <w:t>征求意见稿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p>
    <w:p w14:paraId="69E1A807">
      <w:pPr>
        <w:pStyle w:val="51"/>
        <w:framePr w:w="9639" w:h="6974" w:hRule="exact" w:wrap="around" w:vAnchor="page" w:hAnchor="page" w:x="1419" w:y="6408" w:anchorLock="1"/>
        <w:spacing w:before="440" w:after="160"/>
        <w:textAlignment w:val="bottom"/>
        <w:rPr>
          <w:sz w:val="24"/>
          <w:szCs w:val="28"/>
        </w:rPr>
      </w:pPr>
    </w:p>
    <w:p w14:paraId="6B707DA8">
      <w:pPr>
        <w:pStyle w:val="5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14:paraId="49694B82">
      <w:pPr>
        <w:pStyle w:val="51"/>
        <w:framePr w:w="9639" w:h="6974" w:hRule="exact" w:wrap="around" w:vAnchor="page" w:hAnchor="page" w:x="1419" w:y="6408" w:anchorLock="1"/>
        <w:spacing w:beforeLines="300" w:afterLines="30" w:line="240" w:lineRule="auto"/>
        <w:textAlignment w:val="bottom"/>
        <w:rPr>
          <w:b/>
          <w:sz w:val="21"/>
          <w:szCs w:val="28"/>
        </w:rPr>
      </w:pPr>
    </w:p>
    <w:p w14:paraId="57FA1865">
      <w:pPr>
        <w:pStyle w:val="51"/>
        <w:framePr w:w="9639" w:h="6974" w:hRule="exact" w:wrap="around" w:vAnchor="page" w:hAnchor="page" w:x="1419" w:y="6408" w:anchorLock="1"/>
        <w:spacing w:beforeLines="300" w:afterLines="30" w:line="240" w:lineRule="auto"/>
        <w:textAlignment w:val="bottom"/>
        <w:rPr>
          <w:b/>
          <w:sz w:val="21"/>
          <w:szCs w:val="28"/>
        </w:rPr>
      </w:pPr>
      <w:r>
        <w:rPr>
          <w:rFonts w:hint="eastAsia"/>
          <w:b/>
          <w:sz w:val="21"/>
          <w:szCs w:val="28"/>
        </w:rPr>
        <w:t>在提交反馈意见时，请将您知道的相关专利连同支持性文件一并附上。</w:t>
      </w:r>
    </w:p>
    <w:p w14:paraId="079B5823">
      <w:pPr>
        <w:pStyle w:val="44"/>
        <w:framePr w:wrap="around" w:y="14176"/>
      </w:pPr>
      <w:r>
        <w:rPr>
          <w:rFonts w:ascii="黑体"/>
        </w:rPr>
        <w:fldChar w:fldCharType="begin">
          <w:ffData>
            <w:name w:val="PLSH_DATE_Y"/>
            <w:enabled/>
            <w:calcOnExit w:val="0"/>
            <w:textInput>
              <w:default w:val="XXXX"/>
              <w:maxLength w:val="4"/>
            </w:textInput>
          </w:ffData>
        </w:fldChar>
      </w:r>
      <w:bookmarkStart w:id="9"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9"/>
      <w:r>
        <w:rPr>
          <w:rFonts w:ascii="黑体"/>
        </w:rPr>
        <w:t>-</w:t>
      </w:r>
      <w:r>
        <w:rPr>
          <w:rFonts w:ascii="黑体"/>
        </w:rPr>
        <w:fldChar w:fldCharType="begin">
          <w:ffData>
            <w:name w:val="PLSH_DATE_M"/>
            <w:enabled/>
            <w:calcOnExit w:val="0"/>
            <w:textInput>
              <w:default w:val="XX"/>
              <w:maxLength w:val="2"/>
            </w:textInput>
          </w:ffData>
        </w:fldChar>
      </w:r>
      <w:bookmarkStart w:id="10"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ascii="黑体"/>
        </w:rPr>
        <w:t>-</w:t>
      </w:r>
      <w:r>
        <w:rPr>
          <w:rFonts w:ascii="黑体"/>
        </w:rPr>
        <w:fldChar w:fldCharType="begin">
          <w:ffData>
            <w:name w:val="PLSH_DATE_D"/>
            <w:enabled/>
            <w:calcOnExit w:val="0"/>
            <w:textInput>
              <w:default w:val="XX"/>
              <w:maxLength w:val="2"/>
            </w:textInput>
          </w:ffData>
        </w:fldChar>
      </w:r>
      <w:bookmarkStart w:id="11"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rPr>
          <w:rFonts w:hint="eastAsia"/>
        </w:rPr>
        <w:t>发布</w:t>
      </w:r>
    </w:p>
    <w:p w14:paraId="5D3EE9EA">
      <w:pPr>
        <w:pStyle w:val="45"/>
        <w:framePr w:wrap="around" w:y="14176"/>
      </w:pPr>
      <w:r>
        <w:rPr>
          <w:rFonts w:ascii="黑体"/>
        </w:rPr>
        <w:fldChar w:fldCharType="begin">
          <w:ffData>
            <w:name w:val="CROT_DATE_Y"/>
            <w:enabled/>
            <w:calcOnExit w:val="0"/>
            <w:textInput>
              <w:default w:val="XXXX"/>
              <w:maxLength w:val="4"/>
            </w:textInput>
          </w:ffData>
        </w:fldChar>
      </w:r>
      <w:bookmarkStart w:id="12"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CROT_DATE_M"/>
            <w:enabled/>
            <w:calcOnExit w:val="0"/>
            <w:textInput>
              <w:default w:val="XX"/>
              <w:maxLength w:val="2"/>
            </w:textInput>
          </w:ffData>
        </w:fldChar>
      </w:r>
      <w:bookmarkStart w:id="13"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CROT_DATE_D"/>
            <w:enabled/>
            <w:calcOnExit w:val="0"/>
            <w:textInput>
              <w:default w:val="XX"/>
              <w:maxLength w:val="2"/>
            </w:textInput>
          </w:ffData>
        </w:fldChar>
      </w:r>
      <w:bookmarkStart w:id="14"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实施</w:t>
      </w:r>
    </w:p>
    <w:p w14:paraId="3FCF9B69">
      <w:pPr>
        <w:pStyle w:val="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5"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5"/>
      <w:r>
        <w:rPr>
          <w:rFonts w:ascii="Times New Roman"/>
          <w:w w:val="100"/>
          <w:sz w:val="28"/>
        </w:rPr>
        <w:t>  </w:t>
      </w:r>
      <w:r>
        <w:rPr>
          <w:rStyle w:val="60"/>
          <w:rFonts w:hint="eastAsia" w:hAnsi="黑体"/>
        </w:rPr>
        <w:t>发布</w:t>
      </w:r>
    </w:p>
    <w:p w14:paraId="06156072">
      <w:pPr>
        <w:rPr>
          <w:rFonts w:ascii="宋体" w:hAnsi="宋体"/>
          <w:sz w:val="28"/>
          <w:szCs w:val="28"/>
          <w:lang w:eastAsia="zh-CN"/>
        </w:rPr>
        <w:sectPr>
          <w:headerReference r:id="rId4" w:type="first"/>
          <w:footerReference r:id="rId6" w:type="first"/>
          <w:headerReference r:id="rId3" w:type="default"/>
          <w:footerReference r:id="rId5" w:type="even"/>
          <w:pgSz w:w="11906" w:h="16838"/>
          <w:pgMar w:top="-338" w:right="1134" w:bottom="1021" w:left="1134" w:header="0" w:footer="0" w:gutter="284"/>
          <w:cols w:space="425" w:num="1"/>
          <w:titlePg/>
          <w:docGrid w:linePitch="312" w:charSpace="0"/>
        </w:sectPr>
      </w:pPr>
      <w:r>
        <w:rPr>
          <w:rFonts w:ascii="宋体" w:hAnsi="宋体"/>
          <w:sz w:val="28"/>
          <w:szCs w:val="28"/>
        </w:rPr>
        <w:pict>
          <v:line id="_x0000_s1033" o:spid="_x0000_s1033" o:spt="20" style="position:absolute;left:0pt;margin-left:70.85pt;margin-top:728.6pt;height:0pt;width:481.9pt;mso-position-horizontal-relative:page;mso-position-vertical-relative:page;z-index:251660288;mso-width-relative:page;mso-height-relative:page;"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path arrowok="t"/>
            <v:fill focussize="0,0"/>
            <v:stroke/>
            <v:imagedata o:title=""/>
            <o:lock v:ext="edit"/>
            <w10:anchorlock/>
          </v:line>
        </w:pict>
      </w:r>
    </w:p>
    <w:p w14:paraId="016BB414">
      <w:pPr>
        <w:pStyle w:val="50"/>
        <w:spacing w:after="360"/>
      </w:pPr>
      <w:r>
        <w:rPr>
          <w:spacing w:val="320"/>
        </w:rPr>
        <w:t>前</w:t>
      </w:r>
      <w:r>
        <w:t>言</w:t>
      </w:r>
    </w:p>
    <w:p w14:paraId="5E05EF40">
      <w:pPr>
        <w:pStyle w:val="27"/>
        <w:ind w:firstLine="420"/>
      </w:pPr>
      <w:r>
        <w:rPr>
          <w:rFonts w:hint="eastAsia"/>
        </w:rPr>
        <w:t>本文件按照GB/T 1.1—2020《标准化工作导则  第1部分：标准化文件的结构和起草规则》的规定起草。</w:t>
      </w:r>
    </w:p>
    <w:p w14:paraId="4DC08AFB">
      <w:pPr>
        <w:pStyle w:val="27"/>
        <w:ind w:firstLine="420"/>
      </w:pPr>
      <w:r>
        <w:rPr>
          <w:rFonts w:hint="eastAsia"/>
        </w:rPr>
        <w:t>请注意本文件的某些内容可能涉及专利。本文件的发布机构不承担识别专利的责任。</w:t>
      </w:r>
    </w:p>
    <w:p w14:paraId="080B49CB">
      <w:pPr>
        <w:pStyle w:val="27"/>
        <w:ind w:firstLine="420"/>
      </w:pPr>
      <w:r>
        <w:rPr>
          <w:rFonts w:hint="eastAsia"/>
        </w:rPr>
        <w:t>本文件由安徽省市场监督管理局提出。</w:t>
      </w:r>
    </w:p>
    <w:p w14:paraId="4B105A76">
      <w:pPr>
        <w:pStyle w:val="27"/>
        <w:ind w:firstLine="420"/>
      </w:pPr>
      <w:r>
        <w:rPr>
          <w:rFonts w:hint="eastAsia"/>
        </w:rPr>
        <w:t>本文件由安徽省市场监督管理局归口。</w:t>
      </w:r>
    </w:p>
    <w:p w14:paraId="4D74F347">
      <w:pPr>
        <w:pStyle w:val="27"/>
        <w:ind w:firstLine="420"/>
      </w:pPr>
      <w:r>
        <w:rPr>
          <w:rFonts w:hint="eastAsia"/>
        </w:rPr>
        <w:t>本文件起草单位：安徽省食品药品检验研究院等。</w:t>
      </w:r>
    </w:p>
    <w:p w14:paraId="47FB51D5">
      <w:pPr>
        <w:pStyle w:val="27"/>
        <w:ind w:firstLine="420"/>
      </w:pPr>
      <w:r>
        <w:rPr>
          <w:rFonts w:hint="eastAsia"/>
        </w:rPr>
        <w:t>本文件主要起草人：暂略。</w:t>
      </w:r>
    </w:p>
    <w:p w14:paraId="513B405C">
      <w:pPr>
        <w:pStyle w:val="27"/>
        <w:ind w:firstLine="420"/>
      </w:pPr>
    </w:p>
    <w:p w14:paraId="7F76BBEB">
      <w:pPr>
        <w:rPr>
          <w:lang w:eastAsia="zh-CN"/>
        </w:rPr>
        <w:sectPr>
          <w:headerReference r:id="rId7" w:type="default"/>
          <w:footerReference r:id="rId8" w:type="default"/>
          <w:pgSz w:w="11905" w:h="16840"/>
          <w:pgMar w:top="400" w:right="1131" w:bottom="1312" w:left="1427" w:header="1417" w:footer="1134" w:gutter="0"/>
          <w:cols w:space="720" w:num="1"/>
          <w:docGrid w:linePitch="286" w:charSpace="0"/>
        </w:sectPr>
      </w:pPr>
    </w:p>
    <w:p w14:paraId="1A5F2DBF">
      <w:pPr>
        <w:rPr>
          <w:lang w:eastAsia="zh-CN"/>
        </w:rPr>
      </w:pPr>
    </w:p>
    <w:p w14:paraId="1C560DA6">
      <w:pPr>
        <w:pStyle w:val="30"/>
        <w:spacing w:beforeLines="1" w:afterLines="1"/>
      </w:pPr>
      <w:r>
        <w:rPr>
          <w:rFonts w:hint="eastAsia"/>
        </w:rPr>
        <w:t>保健食品</w:t>
      </w:r>
      <w:r>
        <w:t>生产许可现场评审规范</w:t>
      </w:r>
    </w:p>
    <w:p w14:paraId="24519AED">
      <w:pPr>
        <w:rPr>
          <w:lang w:eastAsia="zh-CN"/>
        </w:rPr>
      </w:pPr>
    </w:p>
    <w:p w14:paraId="5B4BC362">
      <w:pPr>
        <w:pStyle w:val="19"/>
        <w:spacing w:before="312" w:after="312"/>
      </w:pPr>
      <w:bookmarkStart w:id="16" w:name="_Toc17233325"/>
      <w:bookmarkStart w:id="17" w:name="_Toc146258220"/>
      <w:bookmarkStart w:id="18" w:name="_Toc97191423"/>
      <w:bookmarkStart w:id="19" w:name="_Toc26986530"/>
      <w:bookmarkStart w:id="20" w:name="_Toc26648465"/>
      <w:bookmarkStart w:id="21" w:name="_Toc24884218"/>
      <w:bookmarkStart w:id="22" w:name="_Toc24884211"/>
      <w:bookmarkStart w:id="23" w:name="_Toc26986771"/>
      <w:bookmarkStart w:id="24" w:name="_Toc17233333"/>
      <w:bookmarkStart w:id="25" w:name="_Toc26718930"/>
      <w:r>
        <w:rPr>
          <w:rFonts w:hint="eastAsia"/>
        </w:rPr>
        <w:t>范围</w:t>
      </w:r>
      <w:bookmarkEnd w:id="16"/>
      <w:bookmarkEnd w:id="17"/>
      <w:bookmarkEnd w:id="18"/>
      <w:bookmarkEnd w:id="19"/>
      <w:bookmarkEnd w:id="20"/>
      <w:bookmarkEnd w:id="21"/>
      <w:bookmarkEnd w:id="22"/>
      <w:bookmarkEnd w:id="23"/>
      <w:bookmarkEnd w:id="24"/>
      <w:bookmarkEnd w:id="25"/>
    </w:p>
    <w:p w14:paraId="12C9BEB2">
      <w:pPr>
        <w:pStyle w:val="27"/>
        <w:ind w:firstLine="420"/>
      </w:pPr>
      <w:bookmarkStart w:id="26" w:name="_Toc17233334"/>
      <w:bookmarkStart w:id="27" w:name="_Toc24884219"/>
      <w:bookmarkStart w:id="28" w:name="_Toc24884212"/>
      <w:bookmarkStart w:id="29" w:name="_Toc26648466"/>
      <w:bookmarkStart w:id="30" w:name="_Toc17233326"/>
      <w:r>
        <w:rPr>
          <w:rFonts w:hint="eastAsia"/>
        </w:rPr>
        <w:t>本文件确立了保健食品生产许可现场评审的基本要求，并规定了保健食品生产许可现场评审流程和要求。</w:t>
      </w:r>
    </w:p>
    <w:p w14:paraId="71774A53">
      <w:pPr>
        <w:pStyle w:val="27"/>
        <w:ind w:firstLine="420"/>
      </w:pPr>
      <w:r>
        <w:rPr>
          <w:rFonts w:hint="eastAsia"/>
        </w:rPr>
        <w:t>本文件适用于安徽省行政区域内保健食品生产许可现场评审工作。</w:t>
      </w:r>
    </w:p>
    <w:p w14:paraId="6E6DE12F">
      <w:pPr>
        <w:pStyle w:val="19"/>
        <w:spacing w:before="312" w:after="312"/>
      </w:pPr>
      <w:bookmarkStart w:id="31" w:name="_Toc97191424"/>
      <w:bookmarkStart w:id="32" w:name="_Toc146258221"/>
      <w:bookmarkStart w:id="33" w:name="_Toc26986531"/>
      <w:bookmarkStart w:id="34" w:name="_Toc26986772"/>
      <w:bookmarkStart w:id="35" w:name="_Toc26718931"/>
      <w:r>
        <w:rPr>
          <w:rFonts w:hint="eastAsia"/>
        </w:rPr>
        <w:t>规范性引用文件</w:t>
      </w:r>
      <w:bookmarkEnd w:id="26"/>
      <w:bookmarkEnd w:id="27"/>
      <w:bookmarkEnd w:id="28"/>
      <w:bookmarkEnd w:id="29"/>
      <w:bookmarkEnd w:id="30"/>
      <w:bookmarkEnd w:id="31"/>
      <w:bookmarkEnd w:id="32"/>
      <w:bookmarkEnd w:id="33"/>
      <w:bookmarkEnd w:id="34"/>
      <w:bookmarkEnd w:id="35"/>
    </w:p>
    <w:p w14:paraId="72171705">
      <w:pPr>
        <w:pStyle w:val="27"/>
        <w:ind w:firstLine="420"/>
      </w:pPr>
      <w:bookmarkStart w:id="36" w:name="_Toc97191425"/>
      <w:bookmarkStart w:id="37" w:name="_Toc146258222"/>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918B99C">
      <w:pPr>
        <w:pStyle w:val="21"/>
        <w:spacing w:before="0" w:after="0"/>
        <w:ind w:firstLine="420" w:firstLineChars="200"/>
        <w:jc w:val="left"/>
        <w:outlineLvl w:val="9"/>
        <w:rPr>
          <w:rFonts w:ascii="宋体" w:eastAsia="宋体"/>
          <w:sz w:val="21"/>
        </w:rPr>
      </w:pPr>
      <w:r>
        <w:rPr>
          <w:rFonts w:ascii="宋体" w:eastAsia="宋体"/>
          <w:sz w:val="21"/>
        </w:rPr>
        <w:t>GB17405</w:t>
      </w:r>
      <w:r>
        <w:rPr>
          <w:rFonts w:hint="eastAsia" w:ascii="宋体" w:eastAsia="宋体"/>
          <w:sz w:val="21"/>
        </w:rPr>
        <w:t>-1998《保健食品良好生产规范》</w:t>
      </w:r>
    </w:p>
    <w:p w14:paraId="1768A100">
      <w:pPr>
        <w:pStyle w:val="21"/>
        <w:spacing w:before="0" w:after="0"/>
        <w:ind w:firstLine="420" w:firstLineChars="200"/>
        <w:jc w:val="left"/>
        <w:outlineLvl w:val="9"/>
        <w:rPr>
          <w:rFonts w:ascii="宋体" w:eastAsia="宋体"/>
          <w:sz w:val="21"/>
        </w:rPr>
      </w:pPr>
      <w:r>
        <w:rPr>
          <w:rFonts w:ascii="宋体" w:eastAsia="宋体"/>
          <w:sz w:val="21"/>
        </w:rPr>
        <w:t>GB50073</w:t>
      </w:r>
      <w:r>
        <w:rPr>
          <w:rFonts w:hint="eastAsia" w:ascii="宋体" w:eastAsia="宋体"/>
          <w:sz w:val="21"/>
        </w:rPr>
        <w:t>-2013《洁净厂房设计规范》</w:t>
      </w:r>
    </w:p>
    <w:p w14:paraId="6CCE0C9E">
      <w:pPr>
        <w:pStyle w:val="21"/>
        <w:spacing w:before="0" w:after="0"/>
        <w:ind w:firstLine="420" w:firstLineChars="200"/>
        <w:jc w:val="left"/>
        <w:outlineLvl w:val="9"/>
        <w:rPr>
          <w:rFonts w:ascii="宋体" w:eastAsia="宋体"/>
          <w:sz w:val="21"/>
        </w:rPr>
      </w:pPr>
      <w:r>
        <w:rPr>
          <w:rFonts w:ascii="宋体" w:eastAsia="宋体"/>
          <w:sz w:val="21"/>
        </w:rPr>
        <w:t>GB14881</w:t>
      </w:r>
      <w:r>
        <w:rPr>
          <w:rFonts w:hint="eastAsia" w:ascii="宋体" w:eastAsia="宋体"/>
          <w:sz w:val="21"/>
        </w:rPr>
        <w:t>-2013《食品安全国家标准食品生产通用卫生规范》</w:t>
      </w:r>
    </w:p>
    <w:p w14:paraId="0E09AFF1">
      <w:pPr>
        <w:pStyle w:val="21"/>
        <w:spacing w:before="0" w:after="0"/>
        <w:ind w:firstLine="420" w:firstLineChars="200"/>
        <w:jc w:val="left"/>
        <w:outlineLvl w:val="9"/>
        <w:rPr>
          <w:rFonts w:ascii="宋体" w:eastAsia="宋体"/>
          <w:sz w:val="21"/>
        </w:rPr>
      </w:pPr>
      <w:r>
        <w:rPr>
          <w:rFonts w:ascii="宋体" w:eastAsia="宋体"/>
          <w:sz w:val="21"/>
        </w:rPr>
        <w:t>GB26687</w:t>
      </w:r>
      <w:r>
        <w:rPr>
          <w:rFonts w:hint="eastAsia" w:ascii="宋体" w:eastAsia="宋体"/>
          <w:sz w:val="21"/>
        </w:rPr>
        <w:t>-2011《食品安全国家标准复配食品添加剂通则》</w:t>
      </w:r>
    </w:p>
    <w:p w14:paraId="6FC76C1C">
      <w:pPr>
        <w:pStyle w:val="21"/>
        <w:spacing w:before="0" w:after="0"/>
        <w:ind w:firstLine="420" w:firstLineChars="200"/>
        <w:jc w:val="left"/>
        <w:outlineLvl w:val="9"/>
        <w:rPr>
          <w:rFonts w:ascii="宋体" w:eastAsia="宋体"/>
          <w:sz w:val="21"/>
        </w:rPr>
      </w:pPr>
      <w:r>
        <w:rPr>
          <w:rFonts w:hint="eastAsia" w:ascii="宋体" w:eastAsia="宋体"/>
          <w:sz w:val="21"/>
        </w:rPr>
        <w:t>《保健食品生产许可审查细则》</w:t>
      </w:r>
    </w:p>
    <w:bookmarkEnd w:id="36"/>
    <w:bookmarkEnd w:id="37"/>
    <w:p w14:paraId="02C35FF4">
      <w:pPr>
        <w:pStyle w:val="19"/>
        <w:numPr>
          <w:ilvl w:val="0"/>
          <w:numId w:val="0"/>
        </w:numPr>
        <w:spacing w:before="312" w:after="312"/>
      </w:pPr>
      <w:r>
        <w:rPr>
          <w:rFonts w:hint="eastAsia"/>
        </w:rPr>
        <w:t xml:space="preserve">3  </w:t>
      </w:r>
      <w:r>
        <w:t>术语和定义</w:t>
      </w:r>
    </w:p>
    <w:p w14:paraId="3C1231CD">
      <w:pPr>
        <w:pStyle w:val="27"/>
        <w:ind w:firstLine="420"/>
      </w:pPr>
      <w:r>
        <w:t>下列术语和定义适用于本文件。</w:t>
      </w:r>
    </w:p>
    <w:p w14:paraId="06B6BCD3">
      <w:pPr>
        <w:pStyle w:val="27"/>
        <w:ind w:firstLine="420"/>
      </w:pPr>
      <w:r>
        <w:t>3.1</w:t>
      </w:r>
      <w:r>
        <w:rPr>
          <w:rFonts w:hint="eastAsia"/>
        </w:rPr>
        <w:t>保健食品</w:t>
      </w:r>
    </w:p>
    <w:p w14:paraId="21DC87C8">
      <w:pPr>
        <w:pStyle w:val="27"/>
        <w:ind w:firstLine="420"/>
      </w:pPr>
      <w:r>
        <w:rPr>
          <w:rFonts w:hint="eastAsia"/>
        </w:rPr>
        <w:t>声称并具有特定保健功能或者以补充维生素、</w:t>
      </w:r>
      <w:r>
        <w:t xml:space="preserve"> </w:t>
      </w:r>
      <w:r>
        <w:rPr>
          <w:rFonts w:hint="eastAsia"/>
        </w:rPr>
        <w:t>矿物质为目的的食品。</w:t>
      </w:r>
      <w:r>
        <w:t xml:space="preserve"> </w:t>
      </w:r>
      <w:r>
        <w:rPr>
          <w:rFonts w:hint="eastAsia"/>
        </w:rPr>
        <w:t>即适用于特定人群食用</w:t>
      </w:r>
      <w:r>
        <w:t xml:space="preserve">, </w:t>
      </w:r>
      <w:r>
        <w:rPr>
          <w:rFonts w:hint="eastAsia"/>
        </w:rPr>
        <w:t>具有调节机体功能</w:t>
      </w:r>
      <w:r>
        <w:t xml:space="preserve">, </w:t>
      </w:r>
      <w:r>
        <w:rPr>
          <w:rFonts w:hint="eastAsia"/>
        </w:rPr>
        <w:t>不以治疗疾病为目的</w:t>
      </w:r>
      <w:r>
        <w:t xml:space="preserve">, </w:t>
      </w:r>
      <w:r>
        <w:rPr>
          <w:rFonts w:hint="eastAsia"/>
        </w:rPr>
        <w:t>并且对人体不产生任何急性、</w:t>
      </w:r>
      <w:r>
        <w:t xml:space="preserve"> </w:t>
      </w:r>
      <w:r>
        <w:rPr>
          <w:rFonts w:hint="eastAsia"/>
        </w:rPr>
        <w:t>亚急性或慢性危害的食品。</w:t>
      </w:r>
    </w:p>
    <w:p w14:paraId="3C655540">
      <w:pPr>
        <w:pStyle w:val="27"/>
        <w:ind w:firstLine="420"/>
      </w:pPr>
    </w:p>
    <w:p w14:paraId="6A397C51">
      <w:pPr>
        <w:pStyle w:val="27"/>
        <w:ind w:firstLine="420"/>
      </w:pPr>
      <w:r>
        <w:rPr>
          <w:rFonts w:hint="eastAsia"/>
        </w:rPr>
        <w:t xml:space="preserve">3.2 </w:t>
      </w:r>
    </w:p>
    <w:p w14:paraId="5EC6C1D9">
      <w:pPr>
        <w:pStyle w:val="27"/>
        <w:ind w:firstLine="420"/>
      </w:pPr>
      <w:r>
        <w:rPr>
          <w:rFonts w:hint="eastAsia"/>
        </w:rPr>
        <w:t>评审机构</w:t>
      </w:r>
    </w:p>
    <w:p w14:paraId="7D03A3EF">
      <w:pPr>
        <w:pStyle w:val="27"/>
        <w:ind w:firstLine="420"/>
      </w:pPr>
      <w:r>
        <w:t>经省级市场监督管理部门授权委托，或通过政府采购服务的方式并经省级市场监督管理部门授权确定的，具有组织开展保健食品生产许可技术评审服务能力并从事相关工作能力。</w:t>
      </w:r>
    </w:p>
    <w:p w14:paraId="4749DD33">
      <w:pPr>
        <w:pStyle w:val="19"/>
        <w:numPr>
          <w:ilvl w:val="0"/>
          <w:numId w:val="0"/>
        </w:numPr>
        <w:spacing w:before="312" w:after="312"/>
      </w:pPr>
      <w:r>
        <w:rPr>
          <w:rFonts w:hint="eastAsia"/>
        </w:rPr>
        <w:t>4  基本要求</w:t>
      </w:r>
    </w:p>
    <w:p w14:paraId="796526A4">
      <w:pPr>
        <w:pStyle w:val="27"/>
        <w:ind w:firstLine="420"/>
      </w:pPr>
      <w:r>
        <w:t xml:space="preserve">4.1 </w:t>
      </w:r>
      <w:r>
        <w:rPr>
          <w:rFonts w:hint="eastAsia"/>
        </w:rPr>
        <w:t>评审应坚持客观、公正、依法、独立的原则。</w:t>
      </w:r>
    </w:p>
    <w:p w14:paraId="5E04992C">
      <w:pPr>
        <w:pStyle w:val="27"/>
        <w:ind w:firstLine="420"/>
      </w:pPr>
      <w:r>
        <w:rPr>
          <w:rFonts w:hint="eastAsia"/>
        </w:rPr>
        <w:t>4.2 评审应在评审类别范围内开展评审工作。</w:t>
      </w:r>
    </w:p>
    <w:p w14:paraId="403B3347">
      <w:pPr>
        <w:pStyle w:val="27"/>
        <w:ind w:firstLine="420"/>
      </w:pPr>
      <w:r>
        <w:rPr>
          <w:rFonts w:hint="eastAsia"/>
        </w:rPr>
        <w:t>4.3评审组应使用省市场监督管理部门统一使用的评审许可系统中的评审核查模块（以下简称“ZAPP”）。</w:t>
      </w:r>
    </w:p>
    <w:p w14:paraId="05A40344">
      <w:pPr>
        <w:pStyle w:val="27"/>
        <w:ind w:firstLine="420"/>
      </w:pPr>
      <w:r>
        <w:rPr>
          <w:rFonts w:hint="eastAsia"/>
        </w:rPr>
        <w:t>4.4评审组应在规定的期限内开展现场评审工作。</w:t>
      </w:r>
    </w:p>
    <w:p w14:paraId="70D0D7D6">
      <w:pPr>
        <w:pStyle w:val="27"/>
        <w:ind w:firstLine="420"/>
      </w:pPr>
      <w:r>
        <w:rPr>
          <w:rFonts w:hint="eastAsia"/>
        </w:rPr>
        <w:t>4.5现场评审工作应当在1至2天内完成。</w:t>
      </w:r>
    </w:p>
    <w:p w14:paraId="4A47D744">
      <w:pPr>
        <w:pStyle w:val="27"/>
        <w:ind w:firstLine="420"/>
      </w:pPr>
      <w:r>
        <w:rPr>
          <w:rFonts w:hint="eastAsia"/>
        </w:rPr>
        <w:t>4.6评审组对企业现场评审结果负责，并实行评审组长负责制。</w:t>
      </w:r>
    </w:p>
    <w:p w14:paraId="4BF30866">
      <w:pPr>
        <w:pStyle w:val="27"/>
        <w:ind w:firstLine="420"/>
      </w:pPr>
      <w:r>
        <w:rPr>
          <w:rFonts w:hint="eastAsia"/>
        </w:rPr>
        <w:t>4.7评审现场应张贴公示。</w:t>
      </w:r>
    </w:p>
    <w:p w14:paraId="73785DE9">
      <w:pPr>
        <w:pStyle w:val="27"/>
        <w:ind w:firstLine="420"/>
      </w:pPr>
      <w:r>
        <w:rPr>
          <w:rFonts w:hint="eastAsia"/>
        </w:rPr>
        <w:t>4.8评审员应签订承诺书。</w:t>
      </w:r>
    </w:p>
    <w:p w14:paraId="15E1C90F">
      <w:pPr>
        <w:pStyle w:val="27"/>
        <w:ind w:firstLine="420"/>
      </w:pPr>
      <w:r>
        <w:rPr>
          <w:rFonts w:hint="eastAsia"/>
        </w:rPr>
        <w:t>4.9评审组应遵守保密要求，不得泄露评审过程中知晓的国家秘密、商业秘密和个人隐私。</w:t>
      </w:r>
    </w:p>
    <w:p w14:paraId="1A804C76">
      <w:pPr>
        <w:pStyle w:val="27"/>
        <w:ind w:firstLine="420"/>
      </w:pPr>
      <w:r>
        <w:rPr>
          <w:rFonts w:hint="eastAsia"/>
        </w:rPr>
        <w:t>4.10评审员应当遵循回避原则，不得对以下申请单位进行审查。</w:t>
      </w:r>
    </w:p>
    <w:p w14:paraId="7B37A0AA">
      <w:pPr>
        <w:pStyle w:val="27"/>
        <w:ind w:firstLine="420"/>
      </w:pPr>
      <w:r>
        <w:rPr>
          <w:rFonts w:hint="eastAsia"/>
        </w:rPr>
        <w:t>a)就职过（含现就职）的单位，</w:t>
      </w:r>
    </w:p>
    <w:p w14:paraId="094D76F4">
      <w:pPr>
        <w:pStyle w:val="27"/>
        <w:ind w:firstLine="420"/>
      </w:pPr>
      <w:r>
        <w:rPr>
          <w:rFonts w:hint="eastAsia"/>
        </w:rPr>
        <w:t>b)提供过咨询服务的单位，</w:t>
      </w:r>
    </w:p>
    <w:p w14:paraId="2BD79672">
      <w:pPr>
        <w:pStyle w:val="27"/>
        <w:ind w:firstLine="420"/>
      </w:pPr>
      <w:r>
        <w:rPr>
          <w:rFonts w:hint="eastAsia"/>
        </w:rPr>
        <w:t>c)与申请单位相关负责人存在近亲属关系的单位。</w:t>
      </w:r>
    </w:p>
    <w:p w14:paraId="77FDB71E">
      <w:pPr>
        <w:pStyle w:val="27"/>
        <w:ind w:firstLine="420"/>
      </w:pPr>
      <w:r>
        <w:rPr>
          <w:rFonts w:hint="eastAsia"/>
        </w:rPr>
        <w:t>d)与申请单位有利益关系，可能影响公正评审的单位。</w:t>
      </w:r>
    </w:p>
    <w:p w14:paraId="0330251D">
      <w:pPr>
        <w:pStyle w:val="27"/>
        <w:ind w:firstLine="420"/>
      </w:pPr>
      <w:r>
        <w:rPr>
          <w:rFonts w:hint="eastAsia"/>
        </w:rPr>
        <w:t>e)其他可能影响公正评审的。</w:t>
      </w:r>
    </w:p>
    <w:p w14:paraId="66EDFF4E">
      <w:pPr>
        <w:pStyle w:val="27"/>
        <w:ind w:firstLine="420"/>
      </w:pPr>
      <w:r>
        <w:rPr>
          <w:rFonts w:hint="eastAsia"/>
        </w:rPr>
        <w:t>4.11现场评审内容包括企业申请材料的一致性、企业申请领证的基本条件。</w:t>
      </w:r>
    </w:p>
    <w:p w14:paraId="2652D142">
      <w:pPr>
        <w:pStyle w:val="27"/>
        <w:ind w:firstLine="420"/>
      </w:pPr>
      <w:r>
        <w:rPr>
          <w:rFonts w:hint="eastAsia"/>
        </w:rPr>
        <w:t>4.12现场评审工作结束，评审组应向评审机构提交现场评审报告、评审记录及其相关见证材料，并对其真实性负责。</w:t>
      </w:r>
    </w:p>
    <w:p w14:paraId="0E4F9AC3">
      <w:pPr>
        <w:pStyle w:val="27"/>
        <w:ind w:firstLine="420"/>
      </w:pPr>
      <w:r>
        <w:rPr>
          <w:rFonts w:hint="eastAsia"/>
        </w:rPr>
        <w:t>4.13企业对评审工作有异议时，可书面向评审机构或省级市场监督管理部门提出质疑。评审机构或省级市场监督</w:t>
      </w:r>
      <w:r>
        <w:rPr>
          <w:rFonts w:hint="eastAsia"/>
          <w:lang w:eastAsia="zh-CN"/>
        </w:rPr>
        <w:t>管理</w:t>
      </w:r>
      <w:r>
        <w:rPr>
          <w:rFonts w:hint="eastAsia"/>
        </w:rPr>
        <w:t>部门接到质疑后应当予以调查处理，并将调查结果告知评审企业。评审机构调查处理的，应将调查处理结果报省级市场监督管理部门。</w:t>
      </w:r>
    </w:p>
    <w:p w14:paraId="7516D2A7">
      <w:pPr>
        <w:pStyle w:val="19"/>
        <w:numPr>
          <w:ilvl w:val="0"/>
          <w:numId w:val="0"/>
        </w:numPr>
        <w:spacing w:before="312" w:after="312"/>
      </w:pPr>
      <w:r>
        <w:rPr>
          <w:rFonts w:hint="eastAsia"/>
        </w:rPr>
        <w:t>5   工作流程</w:t>
      </w:r>
    </w:p>
    <w:p w14:paraId="2E58347F">
      <w:pPr>
        <w:rPr>
          <w:lang w:eastAsia="zh-CN"/>
        </w:rPr>
      </w:pPr>
      <w:r>
        <w:rPr>
          <w:rFonts w:hint="eastAsia" w:ascii="宋体" w:hAnsi="宋体" w:eastAsia="宋体" w:cs="宋体"/>
          <w:lang w:eastAsia="zh-CN"/>
        </w:rPr>
        <w:t>保健食品现场审查流程见附录</w:t>
      </w:r>
      <w:r>
        <w:rPr>
          <w:rFonts w:hint="eastAsia"/>
          <w:lang w:eastAsia="zh-CN"/>
        </w:rPr>
        <w:t>A</w:t>
      </w:r>
    </w:p>
    <w:p w14:paraId="3D5EAFED">
      <w:pPr>
        <w:rPr>
          <w:lang w:eastAsia="zh-CN"/>
        </w:rPr>
      </w:pPr>
    </w:p>
    <w:p w14:paraId="1019C171">
      <w:pPr>
        <w:pStyle w:val="19"/>
        <w:numPr>
          <w:ilvl w:val="0"/>
          <w:numId w:val="7"/>
        </w:numPr>
        <w:spacing w:before="312" w:after="312"/>
      </w:pPr>
      <w:r>
        <w:rPr>
          <w:rFonts w:hint="eastAsia"/>
        </w:rPr>
        <w:t xml:space="preserve"> 审查分工</w:t>
      </w:r>
    </w:p>
    <w:p w14:paraId="575C2F30">
      <w:pPr>
        <w:pStyle w:val="27"/>
        <w:ind w:firstLine="420"/>
      </w:pPr>
      <w:r>
        <w:rPr>
          <w:rFonts w:hint="eastAsia"/>
        </w:rPr>
        <w:t>6.1 评审组长接到评审任务通知，应与评审企业及其他评审员确认具体现场评审日期，使用ZAPP“分配任务”模块进行分工。</w:t>
      </w:r>
    </w:p>
    <w:p w14:paraId="253FABC2">
      <w:pPr>
        <w:pStyle w:val="27"/>
        <w:ind w:firstLine="420"/>
      </w:pPr>
      <w:r>
        <w:rPr>
          <w:rFonts w:hint="eastAsia"/>
        </w:rPr>
        <w:t>评审组长应根据评审员年龄、健康和专业特点开展审查分工，并与组员沟通和确认。评审组应本着</w:t>
      </w:r>
      <w:r>
        <w:t>“</w:t>
      </w:r>
      <w:r>
        <w:rPr>
          <w:rFonts w:hint="eastAsia"/>
        </w:rPr>
        <w:t>客观、公平、公正、公开”的原则进行审查</w:t>
      </w:r>
    </w:p>
    <w:p w14:paraId="3DECBD09">
      <w:pPr>
        <w:pStyle w:val="27"/>
        <w:ind w:firstLine="420"/>
      </w:pPr>
      <w:r>
        <w:rPr>
          <w:rFonts w:hint="eastAsia"/>
        </w:rPr>
        <w:t>a）评审组长负责组织对保健食品生产企业提交的申请材料进行审查，了解保健食品生产企业总体运行情况，对企业的工作类型、业务领域、能力范围、资源配置以及管理体系运行情况等进行初步评价：</w:t>
      </w:r>
    </w:p>
    <w:p w14:paraId="0A5A4190">
      <w:pPr>
        <w:pStyle w:val="27"/>
        <w:ind w:firstLine="420"/>
      </w:pPr>
      <w:r>
        <w:rPr>
          <w:rFonts w:hint="eastAsia"/>
        </w:rPr>
        <w:t>b) 评审组长应与保健品生产企业通确认评审所需的设施设备与环境，验证是否具备评审的条件；</w:t>
      </w:r>
    </w:p>
    <w:p w14:paraId="53869E0C">
      <w:pPr>
        <w:pStyle w:val="27"/>
        <w:ind w:firstLine="420"/>
      </w:pPr>
      <w:r>
        <w:rPr>
          <w:rFonts w:hint="eastAsia"/>
        </w:rPr>
        <w:t>c) 评审组长应对评审员的任务、时间、评审要点、工作纪律进行明确。</w:t>
      </w:r>
    </w:p>
    <w:p w14:paraId="2709B009">
      <w:pPr>
        <w:pStyle w:val="27"/>
        <w:ind w:firstLine="420"/>
      </w:pPr>
      <w:r>
        <w:rPr>
          <w:rFonts w:hint="eastAsia"/>
        </w:rPr>
        <w:t>d)</w:t>
      </w:r>
      <w:bookmarkStart w:id="38" w:name="_Toc100787046"/>
      <w:r>
        <w:rPr>
          <w:rFonts w:hint="eastAsia"/>
        </w:rPr>
        <w:t xml:space="preserve"> 评审组长负责全面工作，评审员应服从组长安排，履行各自职责。</w:t>
      </w:r>
      <w:bookmarkEnd w:id="38"/>
    </w:p>
    <w:p w14:paraId="7B5BBD08">
      <w:pPr>
        <w:pStyle w:val="22"/>
        <w:numPr>
          <w:ilvl w:val="0"/>
          <w:numId w:val="0"/>
        </w:numPr>
        <w:ind w:firstLine="420" w:firstLineChars="200"/>
      </w:pPr>
      <w:r>
        <w:rPr>
          <w:rFonts w:hint="eastAsia"/>
        </w:rPr>
        <w:t>6.2现场评审活动应遵循</w:t>
      </w:r>
      <w:r>
        <w:t>“</w:t>
      </w:r>
      <w:r>
        <w:rPr>
          <w:rFonts w:hint="eastAsia"/>
        </w:rPr>
        <w:t>组长负责制</w:t>
      </w:r>
      <w:r>
        <w:t>”</w:t>
      </w:r>
      <w:r>
        <w:rPr>
          <w:rFonts w:hint="eastAsia"/>
        </w:rPr>
        <w:t>，评审组长对于产品执行国家产业政策证明件、关键岗位人员能力、技术文件的正确性和完整性、生产和检验设备的完好性等应全面正确掌握外，各评审员之间应相互帮助、相互补台。对于其他评审员没有发现的系统性、区域性或者性质严重问题的，应做到提醒义务；对于设备配备、单项核查结论等无法明确的，应主动与评审组其他成员及时沟通，统一尺度，确保现场评审的客观公正性。</w:t>
      </w:r>
    </w:p>
    <w:p w14:paraId="0D524F75">
      <w:pPr>
        <w:pStyle w:val="22"/>
        <w:numPr>
          <w:ilvl w:val="0"/>
          <w:numId w:val="0"/>
        </w:numPr>
      </w:pPr>
    </w:p>
    <w:p w14:paraId="7C4670BB">
      <w:pPr>
        <w:pStyle w:val="19"/>
        <w:numPr>
          <w:ilvl w:val="0"/>
          <w:numId w:val="7"/>
        </w:numPr>
        <w:spacing w:before="312" w:after="312"/>
      </w:pPr>
      <w:r>
        <w:rPr>
          <w:rFonts w:hint="eastAsia"/>
        </w:rPr>
        <w:t xml:space="preserve"> 签到</w:t>
      </w:r>
    </w:p>
    <w:p w14:paraId="12D91441">
      <w:pPr>
        <w:pStyle w:val="27"/>
        <w:ind w:firstLine="420"/>
      </w:pPr>
      <w:r>
        <w:rPr>
          <w:rFonts w:hint="eastAsia"/>
        </w:rPr>
        <w:t>7.1评审组到达评审现场，应即时进行签到，拍照。拍照内容包含评审组员及企业负责人、观察员企业名称的合影，并即时上传到ZAPP。</w:t>
      </w:r>
    </w:p>
    <w:p w14:paraId="4A134A75">
      <w:pPr>
        <w:pStyle w:val="27"/>
        <w:ind w:firstLine="420"/>
      </w:pPr>
      <w:r>
        <w:rPr>
          <w:rFonts w:hint="eastAsia"/>
        </w:rPr>
        <w:t>7.2评审组应在企业显著位置张贴“公示”（见附录B），并上传到ZAPP</w:t>
      </w:r>
    </w:p>
    <w:p w14:paraId="47AFDBA9">
      <w:pPr>
        <w:pStyle w:val="22"/>
        <w:numPr>
          <w:ilvl w:val="0"/>
          <w:numId w:val="0"/>
        </w:numPr>
      </w:pPr>
    </w:p>
    <w:p w14:paraId="264816C0">
      <w:pPr>
        <w:pStyle w:val="19"/>
        <w:numPr>
          <w:ilvl w:val="0"/>
          <w:numId w:val="0"/>
        </w:numPr>
        <w:spacing w:before="312" w:after="312"/>
      </w:pPr>
      <w:bookmarkStart w:id="39" w:name="_Toc100787044"/>
      <w:bookmarkStart w:id="40" w:name="_Toc146258227"/>
      <w:r>
        <w:rPr>
          <w:rFonts w:hint="eastAsia"/>
        </w:rPr>
        <w:t>8    首次会议</w:t>
      </w:r>
      <w:bookmarkEnd w:id="39"/>
      <w:bookmarkEnd w:id="40"/>
    </w:p>
    <w:p w14:paraId="45E54635">
      <w:pPr>
        <w:pStyle w:val="27"/>
        <w:ind w:firstLine="420"/>
      </w:pPr>
      <w:r>
        <w:rPr>
          <w:rFonts w:hint="eastAsia"/>
        </w:rPr>
        <w:t>8.1.参加会议人员包括评审员、观察员（如有）、企业代表（企业主要负责人、质量安全总监、生产负责人）等。</w:t>
      </w:r>
    </w:p>
    <w:p w14:paraId="41D01858">
      <w:pPr>
        <w:pStyle w:val="27"/>
        <w:ind w:firstLine="420"/>
      </w:pPr>
      <w:r>
        <w:rPr>
          <w:rFonts w:hint="eastAsia"/>
        </w:rPr>
        <w:t>8.2全体参会人员在首次会议签到表（见附录C）上签到。</w:t>
      </w:r>
    </w:p>
    <w:p w14:paraId="591C4E7A">
      <w:pPr>
        <w:pStyle w:val="27"/>
        <w:ind w:firstLine="420"/>
      </w:pPr>
      <w:r>
        <w:rPr>
          <w:rFonts w:hint="eastAsia"/>
        </w:rPr>
        <w:t>8.3评审组长主持首次会议，会议议题包括但不限于：</w:t>
      </w:r>
    </w:p>
    <w:p w14:paraId="7D57E39B">
      <w:pPr>
        <w:pStyle w:val="27"/>
        <w:ind w:firstLine="420"/>
      </w:pPr>
      <w:r>
        <w:rPr>
          <w:rFonts w:hint="eastAsia"/>
        </w:rPr>
        <w:t>介绍陪审员</w:t>
      </w:r>
      <w:r>
        <w:rPr>
          <w:rFonts w:hint="eastAsia"/>
          <w:lang w:eastAsia="zh-CN"/>
        </w:rPr>
        <w:t>宣布</w:t>
      </w:r>
      <w:r>
        <w:rPr>
          <w:rFonts w:hint="eastAsia"/>
        </w:rPr>
        <w:t>评审组成员分工；</w:t>
      </w:r>
    </w:p>
    <w:p w14:paraId="08880746">
      <w:pPr>
        <w:pStyle w:val="27"/>
        <w:ind w:firstLine="420"/>
      </w:pPr>
      <w:r>
        <w:rPr>
          <w:rFonts w:hint="eastAsia"/>
        </w:rPr>
        <w:t>宣读评审通知并说明评审的目的、依据、范围、原则，明确评审将涉及的部门、人员；</w:t>
      </w:r>
    </w:p>
    <w:p w14:paraId="411D163E">
      <w:pPr>
        <w:pStyle w:val="27"/>
        <w:ind w:firstLine="420"/>
      </w:pPr>
      <w:r>
        <w:rPr>
          <w:rFonts w:hint="eastAsia"/>
        </w:rPr>
        <w:t>确定评审日程表：</w:t>
      </w:r>
    </w:p>
    <w:p w14:paraId="34C65319">
      <w:pPr>
        <w:pStyle w:val="27"/>
        <w:ind w:firstLine="420"/>
      </w:pPr>
      <w:r>
        <w:rPr>
          <w:rFonts w:hint="eastAsia"/>
        </w:rPr>
        <w:t>强调公正客观原则，并向企业做出保密的承诺：</w:t>
      </w:r>
    </w:p>
    <w:p w14:paraId="3427F27E">
      <w:pPr>
        <w:pStyle w:val="27"/>
        <w:ind w:firstLine="420"/>
      </w:pPr>
      <w:r>
        <w:rPr>
          <w:rFonts w:hint="eastAsia"/>
        </w:rPr>
        <w:t>确定企业需要审查组回避的事项</w:t>
      </w:r>
    </w:p>
    <w:p w14:paraId="2EFF64CD">
      <w:pPr>
        <w:pStyle w:val="27"/>
        <w:ind w:firstLine="420"/>
      </w:pPr>
      <w:r>
        <w:rPr>
          <w:rFonts w:hint="eastAsia"/>
        </w:rPr>
        <w:t>告知企业应给予必要的配合并请企业配备陪同人员，</w:t>
      </w:r>
    </w:p>
    <w:p w14:paraId="13D18E51">
      <w:pPr>
        <w:pStyle w:val="27"/>
        <w:ind w:firstLine="420"/>
      </w:pPr>
      <w:r>
        <w:rPr>
          <w:rFonts w:hint="eastAsia"/>
        </w:rPr>
        <w:t>听取企业汇报。</w:t>
      </w:r>
    </w:p>
    <w:p w14:paraId="2D8C0904">
      <w:pPr>
        <w:pStyle w:val="27"/>
        <w:ind w:firstLine="420"/>
      </w:pPr>
      <w:r>
        <w:rPr>
          <w:rFonts w:hint="eastAsia"/>
        </w:rPr>
        <w:t>8.4评审员签订“承诺书”（见附录D），评审组长负责宣读其内容。签字的“承诺书”应上传到ZAPP。</w:t>
      </w:r>
    </w:p>
    <w:p w14:paraId="1D694880">
      <w:pPr>
        <w:pStyle w:val="27"/>
        <w:ind w:firstLine="420"/>
      </w:pPr>
      <w:r>
        <w:rPr>
          <w:rFonts w:hint="eastAsia"/>
        </w:rPr>
        <w:t>8.5首次会议现场照片和签到表，应即时上传到ZAPP。</w:t>
      </w:r>
    </w:p>
    <w:p w14:paraId="2122569A">
      <w:pPr>
        <w:pStyle w:val="19"/>
        <w:numPr>
          <w:ilvl w:val="0"/>
          <w:numId w:val="0"/>
        </w:numPr>
        <w:spacing w:before="312" w:after="312"/>
      </w:pPr>
      <w:bookmarkStart w:id="41" w:name="_Toc146258228"/>
      <w:r>
        <w:rPr>
          <w:rFonts w:hint="eastAsia"/>
        </w:rPr>
        <w:t>9   现场核查</w:t>
      </w:r>
      <w:bookmarkEnd w:id="41"/>
    </w:p>
    <w:p w14:paraId="40B2C365">
      <w:pPr>
        <w:pStyle w:val="27"/>
        <w:ind w:firstLine="420"/>
      </w:pPr>
      <w:r>
        <w:rPr>
          <w:rFonts w:hint="eastAsia"/>
        </w:rPr>
        <w:t>9.1评审员依据生产许可证核发法定条件，对企业申请材料一致性以及规定的相关材料进行技术核查。</w:t>
      </w:r>
    </w:p>
    <w:p w14:paraId="184A89AF">
      <w:pPr>
        <w:pStyle w:val="27"/>
        <w:ind w:firstLine="420"/>
      </w:pPr>
      <w:r>
        <w:rPr>
          <w:rFonts w:hint="eastAsia"/>
        </w:rPr>
        <w:t>9.2评审员依据《GB14881-2013食品生产通用卫生规范》、《GB17405-1998保健食品良好生产规范》、《</w:t>
      </w:r>
      <w:r>
        <w:fldChar w:fldCharType="begin"/>
      </w:r>
      <w:r>
        <w:instrText xml:space="preserve"> HYPERLINK "https://www.samr.gov.cn/cms_files/filemanager/samr/www/samrnew/samrgkml/nsjg/bgt/201902/W020190225582921916019.rar" </w:instrText>
      </w:r>
      <w:r>
        <w:fldChar w:fldCharType="separate"/>
      </w:r>
      <w:r>
        <w:rPr>
          <w:rFonts w:hint="eastAsia"/>
        </w:rPr>
        <w:t>保健食品生产许可证实施细则</w:t>
      </w:r>
      <w:r>
        <w:rPr>
          <w:rFonts w:hint="eastAsia"/>
        </w:rPr>
        <w:fldChar w:fldCharType="end"/>
      </w:r>
      <w:r>
        <w:rPr>
          <w:rFonts w:hint="eastAsia"/>
        </w:rPr>
        <w:t>》、《特殊食品注册现场核查工作规程（暂行）等规定》，依据《保健食品生产许可审查细则》中的现场核查记录表，使用ZAPP进行实地核查，对企业组织机构、人员资质、人员管理、布局设计、原辅料管理、原料提取物（适用时）、复配营养素（适用时）、生产管理制度、质量管理制度、生产过程控制、产品留样、库房管理等进行材料审查或现场核查，对证据材料进行拍照,并做好记录。</w:t>
      </w:r>
    </w:p>
    <w:p w14:paraId="6E45E8C1">
      <w:pPr>
        <w:pStyle w:val="27"/>
        <w:ind w:firstLine="420"/>
      </w:pPr>
      <w:r>
        <w:rPr>
          <w:rFonts w:hint="eastAsia"/>
        </w:rPr>
        <w:t>9.3评审员可以通过现场观察、现场提问、现场验证、操作考核、查阅记录、调阅资料等方式进行评审。</w:t>
      </w:r>
    </w:p>
    <w:p w14:paraId="429EA089">
      <w:pPr>
        <w:pStyle w:val="27"/>
        <w:ind w:firstLine="420"/>
      </w:pPr>
      <w:r>
        <w:rPr>
          <w:rFonts w:hint="eastAsia"/>
        </w:rPr>
        <w:t>9.4每项评审情况，内容填写应完整、规范、准确。对判为不符合项，必须详细填写不符合事实；必要时，在给出评审描述、评审结果的同时上传证明性照片。</w:t>
      </w:r>
    </w:p>
    <w:p w14:paraId="7263C302">
      <w:pPr>
        <w:pStyle w:val="27"/>
        <w:ind w:firstLine="420"/>
      </w:pPr>
      <w:r>
        <w:rPr>
          <w:rFonts w:hint="eastAsia"/>
        </w:rPr>
        <w:t>9.5在现场评审过程中，评审员可以将相关材料上传到ZAPP。</w:t>
      </w:r>
    </w:p>
    <w:p w14:paraId="2C64EAC1">
      <w:pPr>
        <w:pStyle w:val="27"/>
        <w:ind w:firstLine="420"/>
      </w:pPr>
      <w:r>
        <w:rPr>
          <w:rFonts w:hint="eastAsia"/>
        </w:rPr>
        <w:t>a) 现场评审中的厂房租赁证明、特殊事件说明等证明材料，</w:t>
      </w:r>
    </w:p>
    <w:p w14:paraId="257DE575">
      <w:pPr>
        <w:pStyle w:val="27"/>
        <w:ind w:firstLine="420"/>
      </w:pPr>
      <w:r>
        <w:rPr>
          <w:rFonts w:hint="eastAsia"/>
        </w:rPr>
        <w:t>b) 企业签字盖章的纸质检查文件，</w:t>
      </w:r>
    </w:p>
    <w:p w14:paraId="18E290F3">
      <w:pPr>
        <w:pStyle w:val="27"/>
        <w:ind w:firstLine="420"/>
        <w:rPr>
          <w:shd w:val="clear" w:color="auto" w:fill="FFFFFF"/>
        </w:rPr>
      </w:pPr>
      <w:r>
        <w:rPr>
          <w:rFonts w:hint="eastAsia"/>
        </w:rPr>
        <w:t>c) 评审组认为必要的附加材料</w:t>
      </w:r>
      <w:r>
        <w:rPr>
          <w:rFonts w:hint="eastAsia"/>
          <w:shd w:val="clear" w:color="auto" w:fill="FFFFFF"/>
        </w:rPr>
        <w:t>。</w:t>
      </w:r>
    </w:p>
    <w:p w14:paraId="1F0D7D8C">
      <w:pPr>
        <w:pStyle w:val="24"/>
        <w:numPr>
          <w:ilvl w:val="0"/>
          <w:numId w:val="0"/>
        </w:numPr>
        <w:ind w:left="420"/>
        <w:rPr>
          <w:shd w:val="clear" w:color="auto" w:fill="FFFFFF"/>
        </w:rPr>
      </w:pPr>
    </w:p>
    <w:p w14:paraId="72EB2215">
      <w:pPr>
        <w:pStyle w:val="19"/>
        <w:numPr>
          <w:ilvl w:val="0"/>
          <w:numId w:val="0"/>
        </w:numPr>
        <w:spacing w:before="312" w:after="312"/>
      </w:pPr>
      <w:bookmarkStart w:id="42" w:name="_Toc100787052"/>
      <w:bookmarkStart w:id="43" w:name="_Toc146258229"/>
      <w:r>
        <w:rPr>
          <w:rFonts w:hint="eastAsia"/>
        </w:rPr>
        <w:t>10   核查结论</w:t>
      </w:r>
      <w:bookmarkEnd w:id="42"/>
      <w:bookmarkEnd w:id="43"/>
    </w:p>
    <w:p w14:paraId="1A7E3D51">
      <w:pPr>
        <w:pStyle w:val="27"/>
        <w:ind w:firstLine="420"/>
      </w:pPr>
      <w:bookmarkStart w:id="44" w:name="_Toc100787053"/>
      <w:r>
        <w:rPr>
          <w:rFonts w:hint="eastAsia"/>
        </w:rPr>
        <w:t>10.1评审员按照任务分工，完成相应的评审工作，并将评审记录提交给评审组长。</w:t>
      </w:r>
    </w:p>
    <w:p w14:paraId="5A58198D">
      <w:pPr>
        <w:pStyle w:val="27"/>
        <w:ind w:firstLine="420"/>
      </w:pPr>
      <w:r>
        <w:rPr>
          <w:rFonts w:hint="eastAsia"/>
        </w:rPr>
        <w:t>10.2现场评审工作过程中，评审组可根据需要召开评审组内部沟通会议，汇总评审情况，讨论并确认不符合事实；并与企业主要负责人就现场评审情况进行沟通和确认。</w:t>
      </w:r>
    </w:p>
    <w:bookmarkEnd w:id="44"/>
    <w:p w14:paraId="7D8E616D">
      <w:pPr>
        <w:pStyle w:val="27"/>
        <w:ind w:firstLine="420"/>
      </w:pPr>
      <w:r>
        <w:rPr>
          <w:rFonts w:hint="eastAsia"/>
        </w:rPr>
        <w:t>10.3评审组根据现场评审情况，参照</w:t>
      </w:r>
      <w:r>
        <w:t>保健食品生产许可</w:t>
      </w:r>
      <w:r>
        <w:rPr>
          <w:rFonts w:hint="eastAsia"/>
        </w:rPr>
        <w:t>现场评审指引（见附录G）形成核查结论。</w:t>
      </w:r>
    </w:p>
    <w:p w14:paraId="4AD2B307">
      <w:pPr>
        <w:rPr>
          <w:lang w:eastAsia="zh-CN"/>
        </w:rPr>
      </w:pPr>
      <w:r>
        <w:rPr>
          <w:rFonts w:hint="eastAsia" w:eastAsiaTheme="minorEastAsia"/>
          <w:lang w:eastAsia="zh-CN"/>
        </w:rPr>
        <w:t>10.3.1</w:t>
      </w:r>
      <w:r>
        <w:rPr>
          <w:rFonts w:hint="eastAsia" w:ascii="宋体" w:hAnsi="宋体" w:eastAsia="宋体" w:cs="宋体"/>
          <w:lang w:eastAsia="zh-CN"/>
        </w:rPr>
        <w:t>结论：现场核查结论分为合格和不合格。</w:t>
      </w:r>
    </w:p>
    <w:p w14:paraId="311F256B">
      <w:pPr>
        <w:rPr>
          <w:lang w:eastAsia="zh-CN"/>
        </w:rPr>
      </w:pPr>
      <w:r>
        <w:rPr>
          <w:rFonts w:hint="eastAsia" w:eastAsiaTheme="minorEastAsia"/>
          <w:lang w:eastAsia="zh-CN"/>
        </w:rPr>
        <w:t>10.3.2</w:t>
      </w:r>
      <w:r>
        <w:rPr>
          <w:rFonts w:hint="eastAsia" w:ascii="宋体" w:hAnsi="宋体" w:eastAsia="宋体" w:cs="宋体"/>
          <w:lang w:eastAsia="zh-CN"/>
        </w:rPr>
        <w:t>条款项目类别：记录条款序号前标注</w:t>
      </w:r>
      <w:r>
        <w:rPr>
          <w:lang w:eastAsia="zh-CN"/>
        </w:rPr>
        <w:t>“**”</w:t>
      </w:r>
      <w:r>
        <w:rPr>
          <w:rFonts w:hint="eastAsia" w:ascii="宋体" w:hAnsi="宋体" w:eastAsia="宋体" w:cs="宋体"/>
          <w:lang w:eastAsia="zh-CN"/>
        </w:rPr>
        <w:t>的为关键项，标注</w:t>
      </w:r>
      <w:r>
        <w:rPr>
          <w:lang w:eastAsia="zh-CN"/>
        </w:rPr>
        <w:t>“*”</w:t>
      </w:r>
      <w:r>
        <w:rPr>
          <w:rFonts w:hint="eastAsia" w:ascii="宋体" w:hAnsi="宋体" w:eastAsia="宋体" w:cs="宋体"/>
          <w:lang w:eastAsia="zh-CN"/>
        </w:rPr>
        <w:t>的为重点项，其余为一般项。</w:t>
      </w:r>
    </w:p>
    <w:p w14:paraId="7FEE8DDF">
      <w:pPr>
        <w:rPr>
          <w:lang w:eastAsia="zh-CN"/>
        </w:rPr>
      </w:pPr>
      <w:r>
        <w:rPr>
          <w:rFonts w:hint="eastAsia" w:eastAsiaTheme="minorEastAsia"/>
          <w:lang w:eastAsia="zh-CN"/>
        </w:rPr>
        <w:t>10.3.3</w:t>
      </w:r>
      <w:r>
        <w:rPr>
          <w:rFonts w:hint="eastAsia" w:ascii="宋体" w:hAnsi="宋体" w:eastAsia="宋体" w:cs="宋体"/>
          <w:lang w:eastAsia="zh-CN"/>
        </w:rPr>
        <w:t>结论判定标准：以下为现场核查不合格的，不适用的审查条款除外：</w:t>
      </w:r>
    </w:p>
    <w:p w14:paraId="100A1E50">
      <w:pPr>
        <w:rPr>
          <w:lang w:eastAsia="zh-CN"/>
        </w:rPr>
      </w:pPr>
      <w:r>
        <w:rPr>
          <w:rFonts w:hint="eastAsia"/>
          <w:lang w:eastAsia="zh-CN"/>
        </w:rPr>
        <w:t>a</w:t>
      </w:r>
      <w:r>
        <w:rPr>
          <w:rFonts w:hint="eastAsia" w:ascii="宋体" w:hAnsi="宋体" w:eastAsia="宋体" w:cs="宋体"/>
          <w:lang w:eastAsia="zh-CN"/>
        </w:rPr>
        <w:t>）现场核查有一项（含）以上关键项不合格；</w:t>
      </w:r>
    </w:p>
    <w:p w14:paraId="252F974D">
      <w:pPr>
        <w:rPr>
          <w:lang w:eastAsia="zh-CN"/>
        </w:rPr>
      </w:pPr>
      <w:r>
        <w:rPr>
          <w:rFonts w:hint="eastAsia"/>
          <w:lang w:eastAsia="zh-CN"/>
        </w:rPr>
        <w:t>b</w:t>
      </w:r>
      <w:r>
        <w:rPr>
          <w:rFonts w:hint="eastAsia" w:ascii="宋体" w:hAnsi="宋体" w:eastAsia="宋体" w:cs="宋体"/>
          <w:lang w:eastAsia="zh-CN"/>
        </w:rPr>
        <w:t>）现场核查有五项（含）以上重点项不合格；</w:t>
      </w:r>
    </w:p>
    <w:p w14:paraId="19C3B26F">
      <w:pPr>
        <w:rPr>
          <w:lang w:eastAsia="zh-CN"/>
        </w:rPr>
      </w:pPr>
      <w:r>
        <w:rPr>
          <w:rFonts w:hint="eastAsia"/>
          <w:lang w:eastAsia="zh-CN"/>
        </w:rPr>
        <w:t>c</w:t>
      </w:r>
      <w:r>
        <w:rPr>
          <w:rFonts w:hint="eastAsia" w:ascii="宋体" w:hAnsi="宋体" w:eastAsia="宋体" w:cs="宋体"/>
          <w:lang w:eastAsia="zh-CN"/>
        </w:rPr>
        <w:t>）现场核查有十项（含）以上一般项不合格；</w:t>
      </w:r>
    </w:p>
    <w:p w14:paraId="6D990C2D">
      <w:pPr>
        <w:rPr>
          <w:lang w:eastAsia="zh-CN"/>
        </w:rPr>
      </w:pPr>
      <w:r>
        <w:rPr>
          <w:rFonts w:hint="eastAsia"/>
          <w:lang w:eastAsia="zh-CN"/>
        </w:rPr>
        <w:t>d</w:t>
      </w:r>
      <w:r>
        <w:rPr>
          <w:rFonts w:hint="eastAsia" w:ascii="宋体" w:hAnsi="宋体" w:eastAsia="宋体" w:cs="宋体"/>
          <w:lang w:eastAsia="zh-CN"/>
        </w:rPr>
        <w:t>）现场核查有三项重点项不合格，五项（含）以上一般项不合格；</w:t>
      </w:r>
    </w:p>
    <w:p w14:paraId="20063BD5">
      <w:pPr>
        <w:rPr>
          <w:lang w:eastAsia="zh-CN"/>
        </w:rPr>
      </w:pPr>
      <w:r>
        <w:rPr>
          <w:rFonts w:hint="eastAsia"/>
          <w:lang w:eastAsia="zh-CN"/>
        </w:rPr>
        <w:t>e</w:t>
      </w:r>
      <w:r>
        <w:rPr>
          <w:rFonts w:hint="eastAsia" w:ascii="宋体" w:hAnsi="宋体" w:eastAsia="宋体" w:cs="宋体"/>
          <w:lang w:eastAsia="zh-CN"/>
        </w:rPr>
        <w:t>）现场核查有四项重点项不合格，两项（含）以上一般项不合格。</w:t>
      </w:r>
    </w:p>
    <w:p w14:paraId="2B5D3273">
      <w:pPr>
        <w:rPr>
          <w:lang w:eastAsia="zh-CN"/>
        </w:rPr>
      </w:pPr>
      <w:r>
        <w:rPr>
          <w:rFonts w:hint="eastAsia" w:ascii="宋体" w:hAnsi="宋体" w:eastAsia="宋体" w:cs="宋体"/>
          <w:lang w:eastAsia="zh-CN"/>
        </w:rPr>
        <w:t>除以上情形之外的，现场核查均为合格。</w:t>
      </w:r>
    </w:p>
    <w:p w14:paraId="2BCE931C">
      <w:pPr>
        <w:pStyle w:val="27"/>
        <w:ind w:firstLine="420"/>
      </w:pPr>
      <w:r>
        <w:rPr>
          <w:rFonts w:hint="eastAsia"/>
        </w:rPr>
        <w:t>10.4评审组应编制《生产许可证获证企业实地核查报告》，全体评审人员签字，经企业确认签字盖章，并上传到ZAPP。</w:t>
      </w:r>
    </w:p>
    <w:p w14:paraId="16F1C1F5">
      <w:pPr>
        <w:pStyle w:val="22"/>
        <w:numPr>
          <w:ilvl w:val="0"/>
          <w:numId w:val="0"/>
        </w:numPr>
        <w:ind w:left="284"/>
      </w:pPr>
    </w:p>
    <w:p w14:paraId="2D946A96">
      <w:pPr>
        <w:pStyle w:val="19"/>
        <w:numPr>
          <w:ilvl w:val="0"/>
          <w:numId w:val="0"/>
        </w:numPr>
        <w:spacing w:before="312" w:after="312"/>
      </w:pPr>
      <w:r>
        <w:rPr>
          <w:rFonts w:hint="eastAsia"/>
        </w:rPr>
        <w:t>11   末次会议</w:t>
      </w:r>
    </w:p>
    <w:p w14:paraId="5A10EEF1">
      <w:pPr>
        <w:pStyle w:val="27"/>
        <w:ind w:firstLine="420"/>
        <w:jc w:val="left"/>
      </w:pPr>
      <w:r>
        <w:rPr>
          <w:rFonts w:hint="eastAsia"/>
        </w:rPr>
        <w:t>11.1参加会议人员与首次会议原则上一致。</w:t>
      </w:r>
    </w:p>
    <w:p w14:paraId="59E9DBC6">
      <w:pPr>
        <w:pStyle w:val="27"/>
        <w:ind w:firstLine="420"/>
        <w:jc w:val="left"/>
      </w:pPr>
      <w:r>
        <w:rPr>
          <w:rFonts w:hint="eastAsia"/>
        </w:rPr>
        <w:t>11.2全体参会人员在末次会议签到表（见附录E）上签到。</w:t>
      </w:r>
    </w:p>
    <w:p w14:paraId="7B81ECE4">
      <w:pPr>
        <w:pStyle w:val="27"/>
        <w:ind w:firstLine="420"/>
        <w:jc w:val="left"/>
      </w:pPr>
      <w:r>
        <w:rPr>
          <w:rFonts w:hint="eastAsia"/>
        </w:rPr>
        <w:t>11.3评审组长主持末次会议，末次会议议程包括但不限于：</w:t>
      </w:r>
    </w:p>
    <w:p w14:paraId="1474AD84">
      <w:pPr>
        <w:pStyle w:val="27"/>
        <w:ind w:firstLine="840" w:firstLineChars="400"/>
        <w:jc w:val="left"/>
      </w:pPr>
      <w:r>
        <w:rPr>
          <w:rFonts w:hint="eastAsia"/>
        </w:rPr>
        <w:t>a)通报现场评审情况和评审中发现的问题，</w:t>
      </w:r>
    </w:p>
    <w:p w14:paraId="04EA1F96">
      <w:pPr>
        <w:pStyle w:val="27"/>
        <w:ind w:firstLine="840" w:firstLineChars="400"/>
        <w:jc w:val="left"/>
      </w:pPr>
      <w:r>
        <w:rPr>
          <w:rFonts w:hint="eastAsia"/>
        </w:rPr>
        <w:t>b)宣读企业实地核查报告，</w:t>
      </w:r>
    </w:p>
    <w:p w14:paraId="415B0EB7">
      <w:pPr>
        <w:pStyle w:val="27"/>
        <w:ind w:firstLine="840" w:firstLineChars="400"/>
        <w:jc w:val="left"/>
      </w:pPr>
      <w:r>
        <w:rPr>
          <w:rFonts w:hint="eastAsia"/>
        </w:rPr>
        <w:t>c)告知企业填写反馈意见表（见附录F），</w:t>
      </w:r>
    </w:p>
    <w:p w14:paraId="19171905">
      <w:pPr>
        <w:pStyle w:val="27"/>
        <w:ind w:firstLine="840" w:firstLineChars="400"/>
        <w:jc w:val="left"/>
      </w:pPr>
      <w:r>
        <w:rPr>
          <w:rFonts w:hint="eastAsia"/>
        </w:rPr>
        <w:t>d)企业发表意见，</w:t>
      </w:r>
    </w:p>
    <w:p w14:paraId="2CE2D4E9">
      <w:pPr>
        <w:pStyle w:val="27"/>
        <w:ind w:firstLine="840" w:firstLineChars="400"/>
        <w:jc w:val="left"/>
      </w:pPr>
      <w:r>
        <w:rPr>
          <w:rFonts w:hint="eastAsia"/>
        </w:rPr>
        <w:t>e)宣布现场评审工作结束。</w:t>
      </w:r>
    </w:p>
    <w:p w14:paraId="5DA36D8A">
      <w:pPr>
        <w:pStyle w:val="27"/>
        <w:ind w:firstLine="420"/>
        <w:jc w:val="left"/>
      </w:pPr>
      <w:r>
        <w:rPr>
          <w:rFonts w:hint="eastAsia"/>
        </w:rPr>
        <w:t>11.4评审组应将末次会议现场照片和签到表，应即时上传ZAPP。</w:t>
      </w:r>
    </w:p>
    <w:p w14:paraId="018A84A4">
      <w:pPr>
        <w:pStyle w:val="19"/>
        <w:numPr>
          <w:ilvl w:val="0"/>
          <w:numId w:val="8"/>
        </w:numPr>
        <w:spacing w:before="312" w:after="312"/>
      </w:pPr>
      <w:bookmarkStart w:id="45" w:name="_Toc100787059"/>
      <w:bookmarkStart w:id="46" w:name="_Toc146258233"/>
      <w:r>
        <w:rPr>
          <w:rFonts w:hint="eastAsia"/>
        </w:rPr>
        <w:t xml:space="preserve"> 报告提交</w:t>
      </w:r>
      <w:bookmarkEnd w:id="45"/>
      <w:bookmarkEnd w:id="46"/>
    </w:p>
    <w:p w14:paraId="43E64AB8">
      <w:pPr>
        <w:pStyle w:val="27"/>
        <w:ind w:firstLine="420"/>
      </w:pPr>
      <w:r>
        <w:rPr>
          <w:rFonts w:hint="eastAsia"/>
        </w:rPr>
        <w:t>12.1评审组长应将《生产许可证获证企业实地核查报告》等纸质材料提交给评审机构。</w:t>
      </w:r>
    </w:p>
    <w:p w14:paraId="54596CD7">
      <w:pPr>
        <w:pStyle w:val="27"/>
        <w:ind w:firstLine="420"/>
      </w:pPr>
      <w:r>
        <w:rPr>
          <w:rFonts w:hint="eastAsia"/>
        </w:rPr>
        <w:t>12.2《生产许可证获证企业实地核查报告》内容和格式等应符合产品生产许可证实施细则的要求。</w:t>
      </w:r>
    </w:p>
    <w:p w14:paraId="46A53C8E">
      <w:pPr>
        <w:pStyle w:val="27"/>
        <w:ind w:firstLine="420"/>
      </w:pPr>
      <w:r>
        <w:rPr>
          <w:rFonts w:hint="eastAsia"/>
        </w:rPr>
        <w:t>12.3机构审核应对《生产许可证获证企业实地核查报告》盖章并存档。</w:t>
      </w:r>
    </w:p>
    <w:p w14:paraId="17E30A73">
      <w:pPr>
        <w:rPr>
          <w:rFonts w:hAnsi="Times New Roman" w:cs="Times New Roman"/>
          <w:snapToGrid/>
          <w:color w:val="auto"/>
          <w:szCs w:val="20"/>
          <w:lang w:eastAsia="zh-CN"/>
        </w:rPr>
      </w:pPr>
      <w:r>
        <w:rPr>
          <w:lang w:eastAsia="zh-CN"/>
        </w:rPr>
        <w:br w:type="page"/>
      </w:r>
    </w:p>
    <w:p w14:paraId="215816AA">
      <w:pPr>
        <w:pStyle w:val="32"/>
        <w:spacing w:after="156"/>
      </w:pPr>
      <w:r>
        <w:br w:type="textWrapping"/>
      </w:r>
      <w:bookmarkStart w:id="47" w:name="_Toc146258234"/>
      <w:r>
        <w:rPr>
          <w:rFonts w:hint="eastAsia"/>
        </w:rPr>
        <w:t>（资料性）</w:t>
      </w:r>
    </w:p>
    <w:p w14:paraId="113CC012">
      <w:pPr>
        <w:pStyle w:val="27"/>
        <w:ind w:firstLine="420"/>
      </w:pPr>
      <w:r>
        <w:rPr>
          <w:rFonts w:hint="eastAsia"/>
        </w:rPr>
        <w:t xml:space="preserve">                               </w:t>
      </w:r>
      <w:r>
        <w:rPr>
          <w:rFonts w:hint="eastAsia"/>
        </w:rPr>
        <w:drawing>
          <wp:inline distT="0" distB="0" distL="0" distR="0">
            <wp:extent cx="6000750" cy="3200400"/>
            <wp:effectExtent l="0" t="19050" r="0" b="19050"/>
            <wp:docPr id="5" name="图示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1B0B99BA">
      <w:pPr>
        <w:pStyle w:val="27"/>
        <w:ind w:firstLine="420"/>
      </w:pPr>
    </w:p>
    <w:p w14:paraId="06638A2D">
      <w:pPr>
        <w:pStyle w:val="27"/>
        <w:ind w:firstLine="420"/>
      </w:pPr>
    </w:p>
    <w:p w14:paraId="351AD4B5">
      <w:pPr>
        <w:pStyle w:val="27"/>
        <w:ind w:firstLine="420"/>
      </w:pPr>
    </w:p>
    <w:p w14:paraId="6219FA5C">
      <w:pPr>
        <w:pStyle w:val="27"/>
        <w:ind w:firstLine="420"/>
      </w:pPr>
    </w:p>
    <w:p w14:paraId="006472F9">
      <w:pPr>
        <w:pStyle w:val="27"/>
        <w:ind w:firstLine="420"/>
      </w:pPr>
    </w:p>
    <w:p w14:paraId="2A0FAF5E">
      <w:pPr>
        <w:pStyle w:val="27"/>
        <w:ind w:firstLine="420"/>
      </w:pPr>
    </w:p>
    <w:p w14:paraId="720B2760">
      <w:pPr>
        <w:pStyle w:val="27"/>
        <w:ind w:firstLine="420"/>
      </w:pPr>
    </w:p>
    <w:p w14:paraId="55507077">
      <w:pPr>
        <w:pStyle w:val="27"/>
        <w:ind w:firstLine="420"/>
      </w:pPr>
    </w:p>
    <w:p w14:paraId="31D475C8">
      <w:pPr>
        <w:pStyle w:val="27"/>
        <w:ind w:firstLine="420"/>
      </w:pPr>
    </w:p>
    <w:p w14:paraId="52A94539">
      <w:pPr>
        <w:pStyle w:val="27"/>
        <w:ind w:firstLine="420"/>
      </w:pPr>
    </w:p>
    <w:p w14:paraId="3CE272F6">
      <w:pPr>
        <w:pStyle w:val="27"/>
        <w:ind w:firstLine="420"/>
      </w:pPr>
    </w:p>
    <w:p w14:paraId="79A7EC6F">
      <w:pPr>
        <w:pStyle w:val="27"/>
        <w:ind w:firstLine="420"/>
      </w:pPr>
    </w:p>
    <w:p w14:paraId="44551750">
      <w:pPr>
        <w:pStyle w:val="27"/>
        <w:ind w:firstLine="420"/>
      </w:pPr>
    </w:p>
    <w:p w14:paraId="514CEDB3">
      <w:pPr>
        <w:pStyle w:val="27"/>
        <w:ind w:firstLine="420"/>
      </w:pPr>
    </w:p>
    <w:p w14:paraId="46A93642">
      <w:pPr>
        <w:pStyle w:val="27"/>
        <w:ind w:firstLine="420"/>
      </w:pPr>
    </w:p>
    <w:p w14:paraId="6778F7B1">
      <w:pPr>
        <w:pStyle w:val="27"/>
        <w:ind w:firstLine="420"/>
      </w:pPr>
    </w:p>
    <w:p w14:paraId="12A65620">
      <w:pPr>
        <w:pStyle w:val="27"/>
        <w:ind w:firstLine="420"/>
      </w:pPr>
    </w:p>
    <w:p w14:paraId="552C3A9F">
      <w:pPr>
        <w:pStyle w:val="27"/>
        <w:ind w:firstLine="420"/>
      </w:pPr>
    </w:p>
    <w:p w14:paraId="7540C961">
      <w:pPr>
        <w:pStyle w:val="27"/>
        <w:ind w:firstLine="420"/>
      </w:pPr>
    </w:p>
    <w:p w14:paraId="68E1F904">
      <w:pPr>
        <w:pStyle w:val="27"/>
        <w:ind w:firstLine="420"/>
      </w:pPr>
    </w:p>
    <w:p w14:paraId="5337B104">
      <w:pPr>
        <w:pStyle w:val="27"/>
        <w:ind w:firstLine="420"/>
      </w:pPr>
    </w:p>
    <w:p w14:paraId="7D411ECB">
      <w:pPr>
        <w:pStyle w:val="32"/>
        <w:spacing w:after="156"/>
      </w:pPr>
      <w:r>
        <w:rPr>
          <w:rFonts w:hint="eastAsia"/>
        </w:rPr>
        <w:t>安徽省保健食品生产许可现场评审公示</w:t>
      </w:r>
      <w:bookmarkEnd w:id="47"/>
    </w:p>
    <w:p w14:paraId="0213A215">
      <w:pPr>
        <w:pStyle w:val="34"/>
        <w:spacing w:before="156" w:after="156"/>
      </w:pPr>
      <w:r>
        <w:rPr>
          <w:rFonts w:hint="eastAsia"/>
        </w:rPr>
        <w:t>安徽省保健食品生产许可现场评审公示</w:t>
      </w:r>
    </w:p>
    <w:p w14:paraId="2752978C">
      <w:pPr>
        <w:pStyle w:val="27"/>
        <w:ind w:firstLine="420"/>
      </w:pPr>
      <w:r>
        <w:rPr>
          <w:rFonts w:hint="eastAsia"/>
        </w:rPr>
        <w:t>安徽省保健食品生产许可现场评审公示内容及格式如下：</w:t>
      </w:r>
    </w:p>
    <w:tbl>
      <w:tblPr>
        <w:tblStyle w:val="7"/>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44"/>
      </w:tblGrid>
      <w:tr w14:paraId="0BC9A3B1">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344" w:type="dxa"/>
            <w:shd w:val="clear" w:color="auto" w:fill="auto"/>
            <w:vAlign w:val="center"/>
          </w:tcPr>
          <w:p w14:paraId="5975B87B">
            <w:pPr>
              <w:rPr>
                <w:lang w:eastAsia="zh-CN"/>
              </w:rPr>
            </w:pPr>
          </w:p>
          <w:p w14:paraId="59ED4501">
            <w:pPr>
              <w:rPr>
                <w:lang w:eastAsia="zh-CN"/>
              </w:rPr>
            </w:pPr>
            <w:r>
              <w:rPr>
                <w:rFonts w:hint="eastAsia" w:ascii="宋体" w:hAnsi="宋体" w:eastAsia="宋体" w:cs="宋体"/>
                <w:lang w:eastAsia="zh-CN"/>
              </w:rPr>
              <w:t>公</w:t>
            </w:r>
            <w:r>
              <w:rPr>
                <w:rFonts w:hint="eastAsia"/>
                <w:lang w:eastAsia="zh-CN"/>
              </w:rPr>
              <w:t xml:space="preserve"> </w:t>
            </w:r>
            <w:r>
              <w:rPr>
                <w:rFonts w:hint="eastAsia" w:ascii="宋体" w:hAnsi="宋体" w:eastAsia="宋体" w:cs="宋体"/>
                <w:lang w:eastAsia="zh-CN"/>
              </w:rPr>
              <w:t>示</w:t>
            </w:r>
          </w:p>
          <w:p w14:paraId="378EDD8A">
            <w:pPr>
              <w:rPr>
                <w:lang w:eastAsia="zh-CN"/>
              </w:rPr>
            </w:pPr>
          </w:p>
          <w:p w14:paraId="6671467B">
            <w:pPr>
              <w:rPr>
                <w:lang w:eastAsia="zh-CN"/>
              </w:rPr>
            </w:pPr>
            <w:r>
              <w:rPr>
                <w:rFonts w:hint="eastAsia" w:ascii="宋体" w:hAnsi="宋体" w:eastAsia="宋体" w:cs="宋体"/>
                <w:lang w:eastAsia="zh-CN"/>
              </w:rPr>
              <w:t>为进一步规范生产许可证现场评审工作，充分接受群众监督，根据《安徽省市场监督管理局</w:t>
            </w:r>
            <w:r>
              <w:rPr>
                <w:rFonts w:hint="eastAsia" w:hAnsi="宋体" w:eastAsia="宋体" w:cs="宋体"/>
                <w:lang w:eastAsia="zh-CN"/>
              </w:rPr>
              <w:t>保健食品</w:t>
            </w:r>
            <w:r>
              <w:rPr>
                <w:rFonts w:hint="eastAsia" w:ascii="宋体" w:hAnsi="宋体" w:eastAsia="宋体" w:cs="宋体"/>
                <w:lang w:eastAsia="zh-CN"/>
              </w:rPr>
              <w:t>、特殊食品生产许可技术评审工作管理办法（试行）》（皖市监办发〔</w:t>
            </w:r>
            <w:r>
              <w:rPr>
                <w:rFonts w:hint="eastAsia"/>
                <w:lang w:eastAsia="zh-CN"/>
              </w:rPr>
              <w:t>2019</w:t>
            </w:r>
            <w:r>
              <w:rPr>
                <w:rFonts w:hint="eastAsia" w:ascii="宋体" w:hAnsi="宋体" w:eastAsia="宋体" w:cs="宋体"/>
                <w:lang w:eastAsia="zh-CN"/>
              </w:rPr>
              <w:t>〕</w:t>
            </w:r>
            <w:r>
              <w:rPr>
                <w:rFonts w:hint="eastAsia"/>
                <w:lang w:eastAsia="zh-CN"/>
              </w:rPr>
              <w:t>32</w:t>
            </w:r>
            <w:r>
              <w:rPr>
                <w:rFonts w:hint="eastAsia" w:ascii="宋体" w:hAnsi="宋体" w:eastAsia="宋体" w:cs="宋体"/>
                <w:lang w:eastAsia="zh-CN"/>
              </w:rPr>
              <w:t>号）等有关规定，安徽省市场监督管理局组织评审组对贵企业申请的事项开展现场评审工作。</w:t>
            </w:r>
          </w:p>
          <w:p w14:paraId="2ABF66BC">
            <w:pPr>
              <w:rPr>
                <w:lang w:eastAsia="zh-CN"/>
              </w:rPr>
            </w:pPr>
            <w:r>
              <w:rPr>
                <w:rFonts w:hint="eastAsia" w:ascii="宋体" w:hAnsi="宋体" w:eastAsia="宋体" w:cs="宋体"/>
                <w:lang w:eastAsia="zh-CN"/>
              </w:rPr>
              <w:t>在现场评审期间，如果对评审组成员评审行为、廉洁自律等情况存有异议，请与安徽省市场监督管理局行政审批办公室联系。</w:t>
            </w:r>
          </w:p>
          <w:p w14:paraId="0F24F578">
            <w:pPr>
              <w:rPr>
                <w:lang w:eastAsia="zh-CN"/>
              </w:rPr>
            </w:pPr>
          </w:p>
          <w:p w14:paraId="0DC01866">
            <w:pPr>
              <w:rPr>
                <w:lang w:eastAsia="zh-CN"/>
              </w:rPr>
            </w:pPr>
            <w:r>
              <w:rPr>
                <w:rFonts w:hint="eastAsia"/>
                <w:lang w:eastAsia="zh-CN"/>
              </w:rPr>
              <w:t xml:space="preserve">  </w:t>
            </w:r>
            <w:r>
              <w:rPr>
                <w:rFonts w:hint="eastAsia" w:ascii="宋体" w:hAnsi="宋体" w:eastAsia="宋体" w:cs="宋体"/>
                <w:lang w:eastAsia="zh-CN"/>
              </w:rPr>
              <w:t>联系电话：</w:t>
            </w:r>
            <w:r>
              <w:rPr>
                <w:rFonts w:hint="eastAsia"/>
                <w:lang w:eastAsia="zh-CN"/>
              </w:rPr>
              <w:t xml:space="preserve">0551-62999861           </w:t>
            </w:r>
            <w:r>
              <w:rPr>
                <w:rFonts w:hint="eastAsia" w:ascii="宋体" w:hAnsi="宋体" w:eastAsia="宋体" w:cs="宋体"/>
                <w:lang w:eastAsia="zh-CN"/>
              </w:rPr>
              <w:t>邮箱：</w:t>
            </w:r>
            <w:r>
              <w:rPr>
                <w:rFonts w:hint="eastAsia"/>
                <w:lang w:eastAsia="zh-CN"/>
              </w:rPr>
              <w:t>ahsscjdgljspb@126.com</w:t>
            </w:r>
          </w:p>
          <w:p w14:paraId="65D297DA">
            <w:pPr>
              <w:rPr>
                <w:lang w:eastAsia="zh-CN"/>
              </w:rPr>
            </w:pPr>
            <w:r>
              <w:rPr>
                <w:rFonts w:hint="eastAsia"/>
                <w:lang w:eastAsia="zh-CN"/>
              </w:rPr>
              <w:t xml:space="preserve"> </w:t>
            </w:r>
          </w:p>
          <w:p w14:paraId="6BDAEBA2">
            <w:pPr>
              <w:rPr>
                <w:lang w:eastAsia="zh-CN"/>
              </w:rPr>
            </w:pPr>
          </w:p>
          <w:p w14:paraId="04FA33E7">
            <w:pPr>
              <w:rPr>
                <w:lang w:eastAsia="zh-CN"/>
              </w:rPr>
            </w:pPr>
          </w:p>
          <w:p w14:paraId="05610AB5">
            <w:pPr>
              <w:rPr>
                <w:lang w:eastAsia="zh-CN"/>
              </w:rPr>
            </w:pPr>
            <w:r>
              <w:rPr>
                <w:rFonts w:hint="eastAsia" w:ascii="宋体" w:hAnsi="宋体" w:eastAsia="宋体" w:cs="宋体"/>
                <w:lang w:eastAsia="zh-CN"/>
              </w:rPr>
              <w:t>特此公示</w:t>
            </w:r>
          </w:p>
          <w:p w14:paraId="7E476090">
            <w:pPr>
              <w:rPr>
                <w:lang w:eastAsia="zh-CN"/>
              </w:rPr>
            </w:pPr>
            <w:r>
              <w:rPr>
                <w:rFonts w:hint="eastAsia"/>
                <w:lang w:eastAsia="zh-CN"/>
              </w:rPr>
              <w:t xml:space="preserve">                                       </w:t>
            </w:r>
            <w:r>
              <w:rPr>
                <w:rFonts w:hint="eastAsia" w:ascii="宋体" w:hAnsi="宋体" w:eastAsia="宋体" w:cs="宋体"/>
                <w:lang w:eastAsia="zh-CN"/>
              </w:rPr>
              <w:t>年</w:t>
            </w:r>
            <w:r>
              <w:rPr>
                <w:rFonts w:hint="eastAsia"/>
                <w:lang w:eastAsia="zh-CN"/>
              </w:rPr>
              <w:t xml:space="preserve">   </w:t>
            </w:r>
            <w:r>
              <w:rPr>
                <w:rFonts w:hint="eastAsia" w:ascii="宋体" w:hAnsi="宋体" w:eastAsia="宋体" w:cs="宋体"/>
                <w:lang w:eastAsia="zh-CN"/>
              </w:rPr>
              <w:t>月</w:t>
            </w:r>
            <w:r>
              <w:rPr>
                <w:rFonts w:hint="eastAsia"/>
                <w:lang w:eastAsia="zh-CN"/>
              </w:rPr>
              <w:t xml:space="preserve">    </w:t>
            </w:r>
            <w:r>
              <w:rPr>
                <w:rFonts w:hint="eastAsia" w:ascii="宋体" w:hAnsi="宋体" w:eastAsia="宋体" w:cs="宋体"/>
                <w:lang w:eastAsia="zh-CN"/>
              </w:rPr>
              <w:t>日</w:t>
            </w:r>
          </w:p>
          <w:p w14:paraId="57EFEA3C">
            <w:pPr>
              <w:rPr>
                <w:lang w:eastAsia="zh-CN"/>
              </w:rPr>
            </w:pPr>
          </w:p>
          <w:p w14:paraId="4459B50D">
            <w:pPr>
              <w:rPr>
                <w:lang w:eastAsia="zh-CN"/>
              </w:rPr>
            </w:pPr>
          </w:p>
          <w:p w14:paraId="2930D00D">
            <w:pPr>
              <w:rPr>
                <w:lang w:eastAsia="zh-CN"/>
              </w:rPr>
            </w:pPr>
            <w:r>
              <w:rPr>
                <w:rFonts w:hint="eastAsia" w:ascii="宋体" w:hAnsi="宋体" w:eastAsia="宋体" w:cs="宋体"/>
                <w:lang w:eastAsia="zh-CN"/>
              </w:rPr>
              <w:t>备注：</w:t>
            </w:r>
          </w:p>
          <w:p w14:paraId="571A64A9">
            <w:pPr>
              <w:rPr>
                <w:lang w:eastAsia="zh-CN"/>
              </w:rPr>
            </w:pPr>
            <w:r>
              <w:rPr>
                <w:rFonts w:hint="eastAsia" w:ascii="宋体" w:hAnsi="宋体" w:eastAsia="宋体" w:cs="宋体"/>
                <w:lang w:eastAsia="zh-CN"/>
              </w:rPr>
              <w:t>评审组开展评审工作前，应主动在企业的公共场所张贴公示内容，自觉接受群众监督。</w:t>
            </w:r>
          </w:p>
          <w:p w14:paraId="31F1AE27">
            <w:pPr>
              <w:rPr>
                <w:lang w:eastAsia="zh-CN"/>
              </w:rPr>
            </w:pPr>
            <w:r>
              <w:rPr>
                <w:rFonts w:hint="eastAsia" w:ascii="宋体" w:hAnsi="宋体" w:eastAsia="宋体" w:cs="宋体"/>
                <w:lang w:eastAsia="zh-CN"/>
              </w:rPr>
              <w:t>现场评审工作全部完成后，公示结束。</w:t>
            </w:r>
          </w:p>
        </w:tc>
      </w:tr>
    </w:tbl>
    <w:p w14:paraId="10ACAD98">
      <w:pPr>
        <w:pStyle w:val="27"/>
        <w:ind w:firstLine="420"/>
      </w:pPr>
    </w:p>
    <w:p w14:paraId="5E8FE1BD">
      <w:pPr>
        <w:jc w:val="left"/>
        <w:rPr>
          <w:rFonts w:hint="eastAsia" w:ascii="宋体" w:hAnsi="Times New Roman" w:cs="Times New Roman" w:eastAsiaTheme="minorEastAsia"/>
          <w:snapToGrid/>
          <w:color w:val="auto"/>
          <w:szCs w:val="20"/>
          <w:lang w:eastAsia="zh-CN"/>
        </w:rPr>
      </w:pPr>
      <w:r>
        <w:br w:type="page"/>
      </w:r>
    </w:p>
    <w:p w14:paraId="46E2CDC2">
      <w:pPr>
        <w:pStyle w:val="32"/>
        <w:spacing w:after="156"/>
      </w:pPr>
      <w:r>
        <w:br w:type="textWrapping"/>
      </w:r>
      <w:bookmarkStart w:id="48" w:name="_Toc146258236"/>
      <w:r>
        <w:rPr>
          <w:rFonts w:hint="eastAsia"/>
        </w:rPr>
        <w:t>（资料性）</w:t>
      </w:r>
      <w:r>
        <w:br w:type="textWrapping"/>
      </w:r>
      <w:r>
        <w:rPr>
          <w:rFonts w:hint="eastAsia"/>
        </w:rPr>
        <w:t>安徽省保健食品生产许可现场评审首次会议签到表</w:t>
      </w:r>
      <w:bookmarkEnd w:id="48"/>
    </w:p>
    <w:p w14:paraId="172F15B8">
      <w:pPr>
        <w:pStyle w:val="34"/>
        <w:spacing w:before="156" w:after="156"/>
      </w:pPr>
      <w:r>
        <w:rPr>
          <w:rFonts w:hint="eastAsia"/>
        </w:rPr>
        <w:t>首次会议签到表内容及格式</w:t>
      </w:r>
    </w:p>
    <w:p w14:paraId="464DC137">
      <w:pPr>
        <w:pStyle w:val="27"/>
        <w:ind w:firstLine="420"/>
      </w:pPr>
      <w:r>
        <w:rPr>
          <w:rFonts w:hint="eastAsia"/>
        </w:rPr>
        <w:t>首次会议签到表内容及格式如下：</w:t>
      </w:r>
    </w:p>
    <w:tbl>
      <w:tblPr>
        <w:tblStyle w:val="7"/>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44"/>
      </w:tblGrid>
      <w:tr w14:paraId="3CC15129">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10987" w:hRule="atLeast"/>
          <w:tblHeader/>
          <w:jc w:val="center"/>
        </w:trPr>
        <w:tc>
          <w:tcPr>
            <w:tcW w:w="9344" w:type="dxa"/>
            <w:shd w:val="clear" w:color="auto" w:fill="auto"/>
            <w:vAlign w:val="center"/>
          </w:tcPr>
          <w:p w14:paraId="7ABEFE64">
            <w:pPr>
              <w:rPr>
                <w:lang w:eastAsia="zh-CN"/>
              </w:rPr>
            </w:pPr>
            <w:r>
              <w:rPr>
                <w:rFonts w:hint="eastAsia" w:ascii="宋体" w:hAnsi="宋体" w:eastAsia="宋体" w:cs="宋体"/>
                <w:lang w:eastAsia="zh-CN"/>
              </w:rPr>
              <w:t>安徽省保健食品生产许可现场评审</w:t>
            </w:r>
          </w:p>
          <w:p w14:paraId="7480790D">
            <w:r>
              <w:rPr>
                <w:rFonts w:hint="eastAsia"/>
                <w:bCs/>
                <w:lang w:eastAsia="zh-CN"/>
              </w:rPr>
              <w:t xml:space="preserve"> </w:t>
            </w:r>
            <w:r>
              <w:rPr>
                <w:rFonts w:hint="eastAsia" w:ascii="宋体" w:hAnsi="宋体" w:eastAsia="宋体" w:cs="宋体"/>
              </w:rPr>
              <w:t>首次会议签到表</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8"/>
              <w:gridCol w:w="1784"/>
              <w:gridCol w:w="1888"/>
              <w:gridCol w:w="1783"/>
              <w:gridCol w:w="1489"/>
            </w:tblGrid>
            <w:tr w14:paraId="4CC27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78" w:type="dxa"/>
                  <w:vAlign w:val="center"/>
                </w:tcPr>
                <w:p w14:paraId="428543E0">
                  <w:r>
                    <w:rPr>
                      <w:rFonts w:hint="eastAsia" w:ascii="宋体" w:hAnsi="宋体" w:eastAsia="宋体" w:cs="宋体"/>
                    </w:rPr>
                    <w:t>企业名称</w:t>
                  </w:r>
                </w:p>
              </w:tc>
              <w:tc>
                <w:tcPr>
                  <w:tcW w:w="6944" w:type="dxa"/>
                  <w:gridSpan w:val="4"/>
                  <w:vAlign w:val="center"/>
                </w:tcPr>
                <w:p w14:paraId="0BB6CCF0"/>
              </w:tc>
            </w:tr>
            <w:tr w14:paraId="3DF15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78" w:type="dxa"/>
                  <w:vAlign w:val="center"/>
                </w:tcPr>
                <w:p w14:paraId="4D44FB26">
                  <w:r>
                    <w:rPr>
                      <w:rFonts w:hint="eastAsia" w:ascii="宋体" w:hAnsi="宋体" w:eastAsia="宋体" w:cs="宋体"/>
                    </w:rPr>
                    <w:t>会议地点</w:t>
                  </w:r>
                </w:p>
              </w:tc>
              <w:tc>
                <w:tcPr>
                  <w:tcW w:w="6944" w:type="dxa"/>
                  <w:gridSpan w:val="4"/>
                  <w:vAlign w:val="center"/>
                </w:tcPr>
                <w:p w14:paraId="0BD45B92"/>
              </w:tc>
            </w:tr>
            <w:tr w14:paraId="68E6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78" w:type="dxa"/>
                  <w:vAlign w:val="center"/>
                </w:tcPr>
                <w:p w14:paraId="2B220179">
                  <w:r>
                    <w:rPr>
                      <w:rFonts w:hint="eastAsia" w:ascii="宋体" w:hAnsi="宋体" w:eastAsia="宋体" w:cs="宋体"/>
                    </w:rPr>
                    <w:t>会议时间</w:t>
                  </w:r>
                </w:p>
              </w:tc>
              <w:tc>
                <w:tcPr>
                  <w:tcW w:w="6944" w:type="dxa"/>
                  <w:gridSpan w:val="4"/>
                  <w:vAlign w:val="center"/>
                </w:tcPr>
                <w:p w14:paraId="2A6DC70E">
                  <w:r>
                    <w:rPr>
                      <w:rFonts w:hint="eastAsia"/>
                    </w:rPr>
                    <w:t xml:space="preserve">      </w:t>
                  </w:r>
                  <w:r>
                    <w:rPr>
                      <w:rFonts w:hint="eastAsia" w:ascii="宋体" w:hAnsi="宋体" w:eastAsia="宋体" w:cs="宋体"/>
                    </w:rPr>
                    <w:t>年</w:t>
                  </w:r>
                  <w:r>
                    <w:rPr>
                      <w:rFonts w:hint="eastAsia"/>
                    </w:rPr>
                    <w:t xml:space="preserve">   </w:t>
                  </w:r>
                  <w:r>
                    <w:rPr>
                      <w:rFonts w:hint="eastAsia" w:ascii="宋体" w:hAnsi="宋体" w:eastAsia="宋体" w:cs="宋体"/>
                    </w:rPr>
                    <w:t>月</w:t>
                  </w:r>
                  <w:r>
                    <w:rPr>
                      <w:rFonts w:hint="eastAsia"/>
                    </w:rPr>
                    <w:t xml:space="preserve">   </w:t>
                  </w:r>
                  <w:r>
                    <w:rPr>
                      <w:rFonts w:hint="eastAsia" w:ascii="宋体" w:hAnsi="宋体" w:eastAsia="宋体" w:cs="宋体"/>
                    </w:rPr>
                    <w:t>日</w:t>
                  </w:r>
                  <w:r>
                    <w:rPr>
                      <w:rFonts w:hint="eastAsia"/>
                    </w:rPr>
                    <w:t xml:space="preserve">   </w:t>
                  </w:r>
                  <w:r>
                    <w:rPr>
                      <w:rFonts w:hint="eastAsia" w:ascii="宋体" w:hAnsi="宋体" w:eastAsia="宋体" w:cs="宋体"/>
                    </w:rPr>
                    <w:t>时</w:t>
                  </w:r>
                  <w:r>
                    <w:rPr>
                      <w:rFonts w:hint="eastAsia"/>
                    </w:rPr>
                    <w:t xml:space="preserve">  </w:t>
                  </w:r>
                  <w:r>
                    <w:rPr>
                      <w:rFonts w:hint="eastAsia" w:ascii="宋体" w:hAnsi="宋体" w:eastAsia="宋体" w:cs="宋体"/>
                    </w:rPr>
                    <w:t>分至</w:t>
                  </w:r>
                  <w:r>
                    <w:rPr>
                      <w:rFonts w:hint="eastAsia"/>
                    </w:rPr>
                    <w:t xml:space="preserve">   </w:t>
                  </w:r>
                  <w:r>
                    <w:rPr>
                      <w:rFonts w:hint="eastAsia" w:ascii="宋体" w:hAnsi="宋体" w:eastAsia="宋体" w:cs="宋体"/>
                    </w:rPr>
                    <w:t>时</w:t>
                  </w:r>
                  <w:r>
                    <w:rPr>
                      <w:rFonts w:hint="eastAsia"/>
                    </w:rPr>
                    <w:t xml:space="preserve">   </w:t>
                  </w:r>
                  <w:r>
                    <w:rPr>
                      <w:rFonts w:hint="eastAsia" w:ascii="宋体" w:hAnsi="宋体" w:eastAsia="宋体" w:cs="宋体"/>
                    </w:rPr>
                    <w:t>分</w:t>
                  </w:r>
                </w:p>
              </w:tc>
            </w:tr>
            <w:tr w14:paraId="346A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362" w:type="dxa"/>
                  <w:gridSpan w:val="2"/>
                  <w:vAlign w:val="center"/>
                </w:tcPr>
                <w:p w14:paraId="7D63A121">
                  <w:r>
                    <w:rPr>
                      <w:rFonts w:hint="eastAsia" w:ascii="宋体" w:hAnsi="宋体" w:eastAsia="宋体" w:cs="宋体"/>
                    </w:rPr>
                    <w:t>评审组</w:t>
                  </w:r>
                </w:p>
              </w:tc>
              <w:tc>
                <w:tcPr>
                  <w:tcW w:w="5160" w:type="dxa"/>
                  <w:gridSpan w:val="3"/>
                  <w:vAlign w:val="center"/>
                </w:tcPr>
                <w:p w14:paraId="47D3B08B">
                  <w:r>
                    <w:rPr>
                      <w:rFonts w:hint="eastAsia" w:ascii="宋体" w:hAnsi="宋体" w:eastAsia="宋体" w:cs="宋体"/>
                    </w:rPr>
                    <w:t>企业人员</w:t>
                  </w:r>
                </w:p>
              </w:tc>
            </w:tr>
            <w:tr w14:paraId="1548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78" w:type="dxa"/>
                  <w:vAlign w:val="center"/>
                </w:tcPr>
                <w:p w14:paraId="5AE1824D">
                  <w:r>
                    <w:rPr>
                      <w:rFonts w:hint="eastAsia" w:ascii="宋体" w:hAnsi="宋体" w:eastAsia="宋体" w:cs="宋体"/>
                    </w:rPr>
                    <w:t>姓名</w:t>
                  </w:r>
                </w:p>
              </w:tc>
              <w:tc>
                <w:tcPr>
                  <w:tcW w:w="1784" w:type="dxa"/>
                  <w:vAlign w:val="center"/>
                </w:tcPr>
                <w:p w14:paraId="0F3FFBEC">
                  <w:r>
                    <w:rPr>
                      <w:rFonts w:hint="eastAsia" w:ascii="宋体" w:hAnsi="宋体" w:eastAsia="宋体" w:cs="宋体"/>
                    </w:rPr>
                    <w:t>组内职务</w:t>
                  </w:r>
                </w:p>
              </w:tc>
              <w:tc>
                <w:tcPr>
                  <w:tcW w:w="1888" w:type="dxa"/>
                  <w:vAlign w:val="center"/>
                </w:tcPr>
                <w:p w14:paraId="7BBD27DE">
                  <w:r>
                    <w:rPr>
                      <w:rFonts w:hint="eastAsia" w:ascii="宋体" w:hAnsi="宋体" w:eastAsia="宋体" w:cs="宋体"/>
                    </w:rPr>
                    <w:t>姓名</w:t>
                  </w:r>
                </w:p>
              </w:tc>
              <w:tc>
                <w:tcPr>
                  <w:tcW w:w="1783" w:type="dxa"/>
                  <w:vAlign w:val="center"/>
                </w:tcPr>
                <w:p w14:paraId="4195C9EE">
                  <w:r>
                    <w:rPr>
                      <w:rFonts w:hint="eastAsia" w:ascii="宋体" w:hAnsi="宋体" w:eastAsia="宋体" w:cs="宋体"/>
                    </w:rPr>
                    <w:t>部门</w:t>
                  </w:r>
                </w:p>
              </w:tc>
              <w:tc>
                <w:tcPr>
                  <w:tcW w:w="1489" w:type="dxa"/>
                  <w:vAlign w:val="center"/>
                </w:tcPr>
                <w:p w14:paraId="47993ACD">
                  <w:r>
                    <w:rPr>
                      <w:rFonts w:hint="eastAsia" w:ascii="宋体" w:hAnsi="宋体" w:eastAsia="宋体" w:cs="宋体"/>
                    </w:rPr>
                    <w:t>职务</w:t>
                  </w:r>
                </w:p>
              </w:tc>
            </w:tr>
            <w:tr w14:paraId="0C244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78" w:type="dxa"/>
                  <w:vAlign w:val="center"/>
                </w:tcPr>
                <w:p w14:paraId="2CBDA664"/>
              </w:tc>
              <w:tc>
                <w:tcPr>
                  <w:tcW w:w="1784" w:type="dxa"/>
                  <w:vAlign w:val="center"/>
                </w:tcPr>
                <w:p w14:paraId="2B1379C4">
                  <w:r>
                    <w:rPr>
                      <w:rFonts w:hint="eastAsia" w:ascii="宋体" w:hAnsi="宋体" w:eastAsia="宋体" w:cs="宋体"/>
                    </w:rPr>
                    <w:t>组长</w:t>
                  </w:r>
                </w:p>
              </w:tc>
              <w:tc>
                <w:tcPr>
                  <w:tcW w:w="1888" w:type="dxa"/>
                  <w:vAlign w:val="center"/>
                </w:tcPr>
                <w:p w14:paraId="7A9A9147">
                  <w:r>
                    <w:rPr>
                      <w:rFonts w:hint="eastAsia"/>
                    </w:rPr>
                    <w:t xml:space="preserve"> </w:t>
                  </w:r>
                </w:p>
              </w:tc>
              <w:tc>
                <w:tcPr>
                  <w:tcW w:w="1783" w:type="dxa"/>
                  <w:vAlign w:val="center"/>
                </w:tcPr>
                <w:p w14:paraId="0877391D"/>
              </w:tc>
              <w:tc>
                <w:tcPr>
                  <w:tcW w:w="1489" w:type="dxa"/>
                  <w:vAlign w:val="center"/>
                </w:tcPr>
                <w:p w14:paraId="42BA0472"/>
              </w:tc>
            </w:tr>
            <w:tr w14:paraId="7505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78" w:type="dxa"/>
                  <w:vAlign w:val="center"/>
                </w:tcPr>
                <w:p w14:paraId="3A1919F5"/>
              </w:tc>
              <w:tc>
                <w:tcPr>
                  <w:tcW w:w="1784" w:type="dxa"/>
                  <w:vAlign w:val="center"/>
                </w:tcPr>
                <w:p w14:paraId="2BAA8229">
                  <w:r>
                    <w:rPr>
                      <w:rFonts w:hint="eastAsia" w:ascii="宋体" w:hAnsi="宋体" w:eastAsia="宋体" w:cs="宋体"/>
                    </w:rPr>
                    <w:t>组员</w:t>
                  </w:r>
                </w:p>
              </w:tc>
              <w:tc>
                <w:tcPr>
                  <w:tcW w:w="1888" w:type="dxa"/>
                  <w:vAlign w:val="center"/>
                </w:tcPr>
                <w:p w14:paraId="19A794B4"/>
              </w:tc>
              <w:tc>
                <w:tcPr>
                  <w:tcW w:w="1783" w:type="dxa"/>
                  <w:vAlign w:val="center"/>
                </w:tcPr>
                <w:p w14:paraId="50E00D6F"/>
              </w:tc>
              <w:tc>
                <w:tcPr>
                  <w:tcW w:w="1489" w:type="dxa"/>
                  <w:vAlign w:val="center"/>
                </w:tcPr>
                <w:p w14:paraId="5EE2C5E9"/>
              </w:tc>
            </w:tr>
            <w:tr w14:paraId="6CD3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78" w:type="dxa"/>
                  <w:vAlign w:val="center"/>
                </w:tcPr>
                <w:p w14:paraId="3551A4B9"/>
              </w:tc>
              <w:tc>
                <w:tcPr>
                  <w:tcW w:w="1784" w:type="dxa"/>
                  <w:vAlign w:val="center"/>
                </w:tcPr>
                <w:p w14:paraId="39888A36">
                  <w:r>
                    <w:rPr>
                      <w:rFonts w:hint="eastAsia" w:ascii="宋体" w:hAnsi="宋体" w:eastAsia="宋体" w:cs="宋体"/>
                    </w:rPr>
                    <w:t>组员</w:t>
                  </w:r>
                </w:p>
              </w:tc>
              <w:tc>
                <w:tcPr>
                  <w:tcW w:w="1888" w:type="dxa"/>
                  <w:vAlign w:val="center"/>
                </w:tcPr>
                <w:p w14:paraId="34667076"/>
              </w:tc>
              <w:tc>
                <w:tcPr>
                  <w:tcW w:w="1783" w:type="dxa"/>
                  <w:vAlign w:val="center"/>
                </w:tcPr>
                <w:p w14:paraId="561B941C"/>
              </w:tc>
              <w:tc>
                <w:tcPr>
                  <w:tcW w:w="1489" w:type="dxa"/>
                  <w:vAlign w:val="center"/>
                </w:tcPr>
                <w:p w14:paraId="226A0110"/>
              </w:tc>
            </w:tr>
            <w:tr w14:paraId="6A6EE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78" w:type="dxa"/>
                  <w:vAlign w:val="center"/>
                </w:tcPr>
                <w:p w14:paraId="3CCA79C2"/>
              </w:tc>
              <w:tc>
                <w:tcPr>
                  <w:tcW w:w="1784" w:type="dxa"/>
                  <w:vAlign w:val="center"/>
                </w:tcPr>
                <w:p w14:paraId="5FB73200">
                  <w:r>
                    <w:rPr>
                      <w:rFonts w:hint="eastAsia"/>
                    </w:rPr>
                    <w:t xml:space="preserve"> </w:t>
                  </w:r>
                </w:p>
              </w:tc>
              <w:tc>
                <w:tcPr>
                  <w:tcW w:w="1888" w:type="dxa"/>
                  <w:vAlign w:val="center"/>
                </w:tcPr>
                <w:p w14:paraId="713DF3A9">
                  <w:r>
                    <w:rPr>
                      <w:rFonts w:hint="eastAsia"/>
                    </w:rPr>
                    <w:t xml:space="preserve"> </w:t>
                  </w:r>
                </w:p>
              </w:tc>
              <w:tc>
                <w:tcPr>
                  <w:tcW w:w="1783" w:type="dxa"/>
                  <w:vAlign w:val="center"/>
                </w:tcPr>
                <w:p w14:paraId="7C4F21E7"/>
              </w:tc>
              <w:tc>
                <w:tcPr>
                  <w:tcW w:w="1489" w:type="dxa"/>
                  <w:vAlign w:val="center"/>
                </w:tcPr>
                <w:p w14:paraId="536E5AA8"/>
              </w:tc>
            </w:tr>
            <w:tr w14:paraId="53CA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362" w:type="dxa"/>
                  <w:gridSpan w:val="2"/>
                  <w:vAlign w:val="center"/>
                </w:tcPr>
                <w:p w14:paraId="16C79D5F">
                  <w:r>
                    <w:rPr>
                      <w:rFonts w:hint="eastAsia"/>
                    </w:rPr>
                    <w:t xml:space="preserve">      </w:t>
                  </w:r>
                  <w:r>
                    <w:rPr>
                      <w:rFonts w:hint="eastAsia" w:ascii="宋体" w:hAnsi="宋体" w:eastAsia="宋体" w:cs="宋体"/>
                    </w:rPr>
                    <w:t>观</w:t>
                  </w:r>
                  <w:r>
                    <w:rPr>
                      <w:rFonts w:hint="eastAsia"/>
                    </w:rPr>
                    <w:t xml:space="preserve"> </w:t>
                  </w:r>
                  <w:r>
                    <w:rPr>
                      <w:rFonts w:hint="eastAsia" w:ascii="宋体" w:hAnsi="宋体" w:eastAsia="宋体" w:cs="宋体"/>
                    </w:rPr>
                    <w:t>察</w:t>
                  </w:r>
                  <w:r>
                    <w:rPr>
                      <w:rFonts w:hint="eastAsia"/>
                    </w:rPr>
                    <w:t xml:space="preserve"> </w:t>
                  </w:r>
                  <w:r>
                    <w:rPr>
                      <w:rFonts w:hint="eastAsia" w:ascii="宋体" w:hAnsi="宋体" w:eastAsia="宋体" w:cs="宋体"/>
                    </w:rPr>
                    <w:t>员</w:t>
                  </w:r>
                </w:p>
              </w:tc>
              <w:tc>
                <w:tcPr>
                  <w:tcW w:w="1888" w:type="dxa"/>
                </w:tcPr>
                <w:p w14:paraId="3CFDFF20"/>
              </w:tc>
              <w:tc>
                <w:tcPr>
                  <w:tcW w:w="1783" w:type="dxa"/>
                </w:tcPr>
                <w:p w14:paraId="093B10FF"/>
              </w:tc>
              <w:tc>
                <w:tcPr>
                  <w:tcW w:w="1489" w:type="dxa"/>
                </w:tcPr>
                <w:p w14:paraId="2F366713"/>
              </w:tc>
            </w:tr>
            <w:tr w14:paraId="4AAD6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78" w:type="dxa"/>
                  <w:vAlign w:val="center"/>
                </w:tcPr>
                <w:p w14:paraId="20C4EEA2">
                  <w:r>
                    <w:rPr>
                      <w:rFonts w:hint="eastAsia" w:ascii="宋体" w:hAnsi="宋体" w:eastAsia="宋体" w:cs="宋体"/>
                    </w:rPr>
                    <w:t>姓名</w:t>
                  </w:r>
                </w:p>
              </w:tc>
              <w:tc>
                <w:tcPr>
                  <w:tcW w:w="1784" w:type="dxa"/>
                </w:tcPr>
                <w:p w14:paraId="68C9C381">
                  <w:r>
                    <w:rPr>
                      <w:rFonts w:hint="eastAsia"/>
                    </w:rPr>
                    <w:t xml:space="preserve"> </w:t>
                  </w:r>
                  <w:r>
                    <w:rPr>
                      <w:rFonts w:hint="eastAsia" w:ascii="宋体" w:hAnsi="宋体" w:eastAsia="宋体" w:cs="宋体"/>
                    </w:rPr>
                    <w:t>工作单位</w:t>
                  </w:r>
                </w:p>
              </w:tc>
              <w:tc>
                <w:tcPr>
                  <w:tcW w:w="1888" w:type="dxa"/>
                </w:tcPr>
                <w:p w14:paraId="09CDD751"/>
              </w:tc>
              <w:tc>
                <w:tcPr>
                  <w:tcW w:w="1783" w:type="dxa"/>
                </w:tcPr>
                <w:p w14:paraId="0EA87C8B"/>
              </w:tc>
              <w:tc>
                <w:tcPr>
                  <w:tcW w:w="1489" w:type="dxa"/>
                </w:tcPr>
                <w:p w14:paraId="0C316327"/>
              </w:tc>
            </w:tr>
            <w:tr w14:paraId="49C1F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78" w:type="dxa"/>
                  <w:vAlign w:val="center"/>
                </w:tcPr>
                <w:p w14:paraId="3C23C3AD"/>
              </w:tc>
              <w:tc>
                <w:tcPr>
                  <w:tcW w:w="1784" w:type="dxa"/>
                </w:tcPr>
                <w:p w14:paraId="47ADDBD9"/>
              </w:tc>
              <w:tc>
                <w:tcPr>
                  <w:tcW w:w="1888" w:type="dxa"/>
                </w:tcPr>
                <w:p w14:paraId="36B1C068"/>
              </w:tc>
              <w:tc>
                <w:tcPr>
                  <w:tcW w:w="1783" w:type="dxa"/>
                </w:tcPr>
                <w:p w14:paraId="0B4BF248"/>
              </w:tc>
              <w:tc>
                <w:tcPr>
                  <w:tcW w:w="1489" w:type="dxa"/>
                </w:tcPr>
                <w:p w14:paraId="2974BF7C"/>
              </w:tc>
            </w:tr>
            <w:tr w14:paraId="622E5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78" w:type="dxa"/>
                </w:tcPr>
                <w:p w14:paraId="47FD4E61"/>
              </w:tc>
              <w:tc>
                <w:tcPr>
                  <w:tcW w:w="1784" w:type="dxa"/>
                </w:tcPr>
                <w:p w14:paraId="2CFF8C69"/>
              </w:tc>
              <w:tc>
                <w:tcPr>
                  <w:tcW w:w="1888" w:type="dxa"/>
                </w:tcPr>
                <w:p w14:paraId="3F1B46E1"/>
              </w:tc>
              <w:tc>
                <w:tcPr>
                  <w:tcW w:w="1783" w:type="dxa"/>
                </w:tcPr>
                <w:p w14:paraId="31690907"/>
              </w:tc>
              <w:tc>
                <w:tcPr>
                  <w:tcW w:w="1489" w:type="dxa"/>
                </w:tcPr>
                <w:p w14:paraId="637AE778"/>
              </w:tc>
            </w:tr>
            <w:tr w14:paraId="21588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1" w:hRule="atLeast"/>
                <w:jc w:val="center"/>
              </w:trPr>
              <w:tc>
                <w:tcPr>
                  <w:tcW w:w="8522" w:type="dxa"/>
                  <w:gridSpan w:val="5"/>
                  <w:vAlign w:val="center"/>
                </w:tcPr>
                <w:p w14:paraId="3B7A5F0A">
                  <w:pPr>
                    <w:rPr>
                      <w:lang w:eastAsia="zh-CN"/>
                    </w:rPr>
                  </w:pPr>
                  <w:r>
                    <w:rPr>
                      <w:rFonts w:hint="eastAsia"/>
                      <w:lang w:eastAsia="zh-CN"/>
                    </w:rPr>
                    <w:t xml:space="preserve">   </w:t>
                  </w:r>
                  <w:r>
                    <w:rPr>
                      <w:rFonts w:hint="eastAsia" w:ascii="宋体" w:hAnsi="宋体" w:eastAsia="宋体" w:cs="宋体"/>
                      <w:lang w:eastAsia="zh-CN"/>
                    </w:rPr>
                    <w:t>评审组已告知企业</w:t>
                  </w:r>
                  <w:r>
                    <w:rPr>
                      <w:rFonts w:hint="eastAsia" w:eastAsia="宋体"/>
                      <w:lang w:eastAsia="zh-CN"/>
                    </w:rPr>
                    <w:t>保健食品</w:t>
                  </w:r>
                  <w:r>
                    <w:rPr>
                      <w:rFonts w:hint="eastAsia" w:ascii="宋体" w:hAnsi="宋体" w:eastAsia="宋体" w:cs="宋体"/>
                      <w:lang w:eastAsia="zh-CN"/>
                    </w:rPr>
                    <w:t>生产许可证现场评审目的、依据、评审范围及相关要求。</w:t>
                  </w:r>
                </w:p>
                <w:p w14:paraId="409FD266">
                  <w:pPr>
                    <w:rPr>
                      <w:lang w:eastAsia="zh-CN"/>
                    </w:rPr>
                  </w:pPr>
                </w:p>
                <w:p w14:paraId="66CA300E">
                  <w:pPr>
                    <w:rPr>
                      <w:lang w:eastAsia="zh-CN"/>
                    </w:rPr>
                  </w:pPr>
                </w:p>
                <w:p w14:paraId="11860703">
                  <w:r>
                    <w:rPr>
                      <w:rFonts w:hint="eastAsia"/>
                      <w:lang w:eastAsia="zh-CN"/>
                    </w:rPr>
                    <w:t xml:space="preserve">                                  </w:t>
                  </w:r>
                  <w:r>
                    <w:rPr>
                      <w:rFonts w:hint="eastAsia" w:ascii="宋体" w:hAnsi="宋体" w:eastAsia="宋体" w:cs="宋体"/>
                    </w:rPr>
                    <w:t>（企业盖章）</w:t>
                  </w:r>
                  <w:r>
                    <w:rPr>
                      <w:rFonts w:hint="eastAsia"/>
                    </w:rPr>
                    <w:t xml:space="preserve">  </w:t>
                  </w:r>
                </w:p>
              </w:tc>
            </w:tr>
          </w:tbl>
          <w:p w14:paraId="4353F97A">
            <w:pPr>
              <w:pStyle w:val="40"/>
            </w:pPr>
          </w:p>
        </w:tc>
      </w:tr>
    </w:tbl>
    <w:p w14:paraId="50BDCCF4">
      <w:pPr>
        <w:pStyle w:val="27"/>
        <w:ind w:firstLine="420"/>
        <w:sectPr>
          <w:footerReference r:id="rId9" w:type="default"/>
          <w:pgSz w:w="11906" w:h="16838"/>
          <w:pgMar w:top="1928" w:right="1134" w:bottom="1134" w:left="1134" w:header="1418" w:footer="1134" w:gutter="284"/>
          <w:pgNumType w:start="1"/>
          <w:cols w:space="425" w:num="1"/>
          <w:formProt w:val="0"/>
          <w:docGrid w:type="lines" w:linePitch="312" w:charSpace="0"/>
        </w:sectPr>
      </w:pPr>
    </w:p>
    <w:p w14:paraId="5DD33A4B">
      <w:pPr>
        <w:pStyle w:val="41"/>
        <w:rPr>
          <w:vanish w:val="0"/>
        </w:rPr>
      </w:pPr>
    </w:p>
    <w:p w14:paraId="6432B854">
      <w:pPr>
        <w:pStyle w:val="42"/>
        <w:rPr>
          <w:vanish w:val="0"/>
        </w:rPr>
      </w:pPr>
    </w:p>
    <w:p w14:paraId="71657D99">
      <w:pPr>
        <w:pStyle w:val="32"/>
        <w:spacing w:after="156"/>
      </w:pPr>
      <w:r>
        <w:br w:type="textWrapping"/>
      </w:r>
      <w:bookmarkStart w:id="49" w:name="_Toc146258235"/>
      <w:r>
        <w:rPr>
          <w:rFonts w:hint="eastAsia"/>
        </w:rPr>
        <w:t>（资料性）</w:t>
      </w:r>
      <w:r>
        <w:br w:type="textWrapping"/>
      </w:r>
      <w:r>
        <w:rPr>
          <w:rFonts w:hint="eastAsia"/>
        </w:rPr>
        <w:t>安徽省保健食品生产许可现场评审承诺书</w:t>
      </w:r>
      <w:bookmarkEnd w:id="49"/>
    </w:p>
    <w:p w14:paraId="2C9C52D1">
      <w:pPr>
        <w:pStyle w:val="41"/>
        <w:rPr>
          <w:vanish w:val="0"/>
        </w:rPr>
      </w:pPr>
    </w:p>
    <w:p w14:paraId="378D2CC2">
      <w:pPr>
        <w:pStyle w:val="42"/>
        <w:rPr>
          <w:vanish w:val="0"/>
        </w:rPr>
      </w:pPr>
    </w:p>
    <w:p w14:paraId="46BFADC3">
      <w:pPr>
        <w:pStyle w:val="42"/>
        <w:rPr>
          <w:rFonts w:hAnsi="宋体" w:cs="宋体"/>
          <w:b/>
          <w:szCs w:val="21"/>
        </w:rPr>
      </w:pPr>
      <w:r>
        <w:rPr>
          <w:rFonts w:hint="eastAsia"/>
        </w:rPr>
        <w:t>安徽省工业产品生产许可实地核查核查组承诺书内容及格式如下：</w:t>
      </w:r>
    </w:p>
    <w:p w14:paraId="13D6A4B2">
      <w:pPr>
        <w:pStyle w:val="42"/>
        <w:rPr>
          <w:rFonts w:hAnsi="宋体" w:cs="宋体"/>
          <w:b/>
          <w:szCs w:val="21"/>
        </w:rPr>
      </w:pPr>
      <w:r>
        <w:rPr>
          <w:rFonts w:hint="eastAsia"/>
        </w:rPr>
        <w:t>安徽省工业产品生产许可实地核查核查组承诺书内容及格式如下：</w:t>
      </w:r>
    </w:p>
    <w:p w14:paraId="017ED13A">
      <w:pPr>
        <w:pStyle w:val="42"/>
        <w:rPr>
          <w:rFonts w:hAnsi="宋体" w:cs="宋体"/>
          <w:b/>
          <w:szCs w:val="21"/>
        </w:rPr>
      </w:pPr>
      <w:r>
        <w:rPr>
          <w:rFonts w:hint="eastAsia"/>
        </w:rPr>
        <w:t>安徽省工业产品生产许可实地核查核查组承诺书内容及格式如下：</w:t>
      </w:r>
    </w:p>
    <w:p w14:paraId="7DF3DD0C">
      <w:pPr>
        <w:pStyle w:val="42"/>
        <w:rPr>
          <w:rFonts w:hAnsi="宋体" w:cs="宋体"/>
          <w:b/>
          <w:szCs w:val="21"/>
        </w:rPr>
      </w:pPr>
      <w:r>
        <w:rPr>
          <w:rFonts w:hint="eastAsia"/>
        </w:rPr>
        <w:t>安徽省工业产品生产许可实地核查核查组承诺书内容及格式如下：</w:t>
      </w:r>
    </w:p>
    <w:p w14:paraId="59C09023">
      <w:pPr>
        <w:pStyle w:val="34"/>
        <w:spacing w:before="156" w:after="156"/>
      </w:pPr>
      <w:r>
        <w:rPr>
          <w:rFonts w:hint="eastAsia"/>
        </w:rPr>
        <w:t>安徽省保健食品生产许可现场评审承诺书</w:t>
      </w:r>
    </w:p>
    <w:p w14:paraId="7EE80BC9">
      <w:pPr>
        <w:pStyle w:val="27"/>
        <w:ind w:firstLine="420"/>
      </w:pPr>
      <w:r>
        <w:rPr>
          <w:rFonts w:hint="eastAsia"/>
        </w:rPr>
        <w:t>安徽省保健食品生产许可现场评审承诺书内容及格式如下：</w:t>
      </w:r>
    </w:p>
    <w:tbl>
      <w:tblPr>
        <w:tblStyle w:val="7"/>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44"/>
      </w:tblGrid>
      <w:tr w14:paraId="3C5AC59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344" w:type="dxa"/>
            <w:shd w:val="clear" w:color="auto" w:fill="auto"/>
            <w:vAlign w:val="center"/>
          </w:tcPr>
          <w:p w14:paraId="2D303C0B">
            <w:pPr>
              <w:rPr>
                <w:rFonts w:ascii="宋体" w:hAnsi="Times New Roman"/>
                <w:lang w:eastAsia="zh-CN"/>
              </w:rPr>
            </w:pPr>
            <w:r>
              <w:rPr>
                <w:rFonts w:hint="eastAsia" w:ascii="宋体" w:hAnsi="宋体" w:eastAsia="宋体" w:cs="宋体"/>
                <w:lang w:eastAsia="zh-CN"/>
              </w:rPr>
              <w:t>承诺书</w:t>
            </w:r>
          </w:p>
          <w:p w14:paraId="2A341F90">
            <w:pPr>
              <w:rPr>
                <w:lang w:eastAsia="zh-CN"/>
              </w:rPr>
            </w:pPr>
            <w:r>
              <w:rPr>
                <w:rFonts w:hint="eastAsia" w:ascii="宋体" w:hAnsi="宋体" w:eastAsia="宋体" w:cs="宋体"/>
                <w:lang w:eastAsia="zh-CN"/>
              </w:rPr>
              <w:t>为维护核查工作的公正性、权威性，保证现场评审工作的质量和有效性，根据安徽省市场监督管理局行政审批办公室（以下简称审批办）管理的要求，本人现就以下事宜作如下承诺：</w:t>
            </w:r>
          </w:p>
          <w:p w14:paraId="492BF0D1">
            <w:pPr>
              <w:rPr>
                <w:lang w:eastAsia="zh-CN"/>
              </w:rPr>
            </w:pPr>
            <w:r>
              <w:rPr>
                <w:rFonts w:hint="eastAsia" w:ascii="宋体" w:hAnsi="宋体" w:eastAsia="宋体" w:cs="宋体"/>
                <w:lang w:eastAsia="zh-CN"/>
              </w:rPr>
              <w:t>遵守《安徽省市场监督管理局</w:t>
            </w:r>
            <w:r>
              <w:rPr>
                <w:rFonts w:hint="eastAsia" w:hAnsi="宋体" w:eastAsia="宋体" w:cs="宋体"/>
                <w:lang w:eastAsia="zh-CN"/>
              </w:rPr>
              <w:t>保健食品</w:t>
            </w:r>
            <w:r>
              <w:rPr>
                <w:rFonts w:hint="eastAsia" w:ascii="宋体" w:hAnsi="宋体" w:eastAsia="宋体" w:cs="宋体"/>
                <w:lang w:eastAsia="zh-CN"/>
              </w:rPr>
              <w:t>、特殊食品生产许可技术评审工作管理办法（试行）》（皖市监办发〔</w:t>
            </w:r>
            <w:r>
              <w:rPr>
                <w:rFonts w:hint="eastAsia"/>
                <w:lang w:eastAsia="zh-CN"/>
              </w:rPr>
              <w:t>2019</w:t>
            </w:r>
            <w:r>
              <w:rPr>
                <w:rFonts w:hint="eastAsia" w:ascii="宋体" w:hAnsi="宋体" w:eastAsia="宋体" w:cs="宋体"/>
                <w:lang w:eastAsia="zh-CN"/>
              </w:rPr>
              <w:t>〕</w:t>
            </w:r>
            <w:r>
              <w:rPr>
                <w:rFonts w:hint="eastAsia"/>
                <w:lang w:eastAsia="zh-CN"/>
              </w:rPr>
              <w:t>32</w:t>
            </w:r>
            <w:r>
              <w:rPr>
                <w:rFonts w:hint="eastAsia" w:ascii="宋体" w:hAnsi="宋体" w:eastAsia="宋体" w:cs="宋体"/>
                <w:lang w:eastAsia="zh-CN"/>
              </w:rPr>
              <w:t>号）等相关规定，自愿接受省局的管理；</w:t>
            </w:r>
          </w:p>
          <w:p w14:paraId="08A22E19">
            <w:pPr>
              <w:rPr>
                <w:lang w:eastAsia="zh-CN"/>
              </w:rPr>
            </w:pPr>
            <w:r>
              <w:rPr>
                <w:rFonts w:hint="eastAsia"/>
                <w:lang w:eastAsia="zh-CN"/>
              </w:rPr>
              <w:t>2</w:t>
            </w:r>
            <w:r>
              <w:rPr>
                <w:rFonts w:hint="eastAsia" w:ascii="宋体" w:hAnsi="宋体" w:eastAsia="宋体" w:cs="宋体"/>
                <w:lang w:eastAsia="zh-CN"/>
              </w:rPr>
              <w:t>、遵守国家、省有关生产许可证核查的其它规定和要求，遵守核查人员行为规范；</w:t>
            </w:r>
            <w:r>
              <w:rPr>
                <w:rFonts w:hint="eastAsia"/>
                <w:lang w:eastAsia="zh-CN"/>
              </w:rPr>
              <w:t xml:space="preserve"> </w:t>
            </w:r>
          </w:p>
          <w:p w14:paraId="2CCAD6F5">
            <w:pPr>
              <w:rPr>
                <w:lang w:eastAsia="zh-CN"/>
              </w:rPr>
            </w:pPr>
            <w:r>
              <w:rPr>
                <w:rFonts w:hint="eastAsia"/>
                <w:lang w:eastAsia="zh-CN"/>
              </w:rPr>
              <w:t>3</w:t>
            </w:r>
            <w:r>
              <w:rPr>
                <w:rFonts w:hint="eastAsia" w:ascii="宋体" w:hAnsi="宋体" w:eastAsia="宋体" w:cs="宋体"/>
                <w:lang w:eastAsia="zh-CN"/>
              </w:rPr>
              <w:t>、按照现场评审的工作程序，公开公正地进行实地核查工作</w:t>
            </w:r>
            <w:r>
              <w:rPr>
                <w:rFonts w:hint="eastAsia"/>
                <w:lang w:eastAsia="zh-CN"/>
              </w:rPr>
              <w:t xml:space="preserve">, </w:t>
            </w:r>
            <w:r>
              <w:rPr>
                <w:rFonts w:hint="eastAsia" w:ascii="宋体" w:hAnsi="宋体" w:eastAsia="宋体" w:cs="宋体"/>
                <w:lang w:eastAsia="zh-CN"/>
              </w:rPr>
              <w:t>并对工作结果负责；</w:t>
            </w:r>
          </w:p>
          <w:p w14:paraId="76DD9BD2">
            <w:pPr>
              <w:rPr>
                <w:lang w:eastAsia="zh-CN"/>
              </w:rPr>
            </w:pPr>
            <w:r>
              <w:rPr>
                <w:rFonts w:hint="eastAsia"/>
                <w:lang w:eastAsia="zh-CN"/>
              </w:rPr>
              <w:t>4</w:t>
            </w:r>
            <w:r>
              <w:rPr>
                <w:rFonts w:hint="eastAsia" w:ascii="宋体" w:hAnsi="宋体" w:eastAsia="宋体" w:cs="宋体"/>
                <w:lang w:eastAsia="zh-CN"/>
              </w:rPr>
              <w:t>、在工作中不向企业提出任何与现场评审无关的要求；</w:t>
            </w:r>
          </w:p>
          <w:p w14:paraId="69FB5F22">
            <w:pPr>
              <w:rPr>
                <w:lang w:eastAsia="zh-CN"/>
              </w:rPr>
            </w:pPr>
            <w:r>
              <w:rPr>
                <w:rFonts w:hint="eastAsia"/>
                <w:lang w:eastAsia="zh-CN"/>
              </w:rPr>
              <w:t>5</w:t>
            </w:r>
            <w:r>
              <w:rPr>
                <w:rFonts w:hint="eastAsia" w:ascii="宋体" w:hAnsi="宋体" w:eastAsia="宋体" w:cs="宋体"/>
                <w:lang w:eastAsia="zh-CN"/>
              </w:rPr>
              <w:t>、在执行现场评审任务时</w:t>
            </w:r>
            <w:r>
              <w:rPr>
                <w:rFonts w:hint="eastAsia"/>
                <w:lang w:eastAsia="zh-CN"/>
              </w:rPr>
              <w:t xml:space="preserve">, </w:t>
            </w:r>
            <w:r>
              <w:rPr>
                <w:rFonts w:hint="eastAsia" w:ascii="宋体" w:hAnsi="宋体" w:eastAsia="宋体" w:cs="宋体"/>
                <w:lang w:eastAsia="zh-CN"/>
              </w:rPr>
              <w:t>不弄虚作假，不收受企业的礼品、礼金、有价证券等，不参加企业安排的各种娱乐活动和吃请；</w:t>
            </w:r>
          </w:p>
          <w:p w14:paraId="61DA79CB">
            <w:pPr>
              <w:rPr>
                <w:lang w:eastAsia="zh-CN"/>
              </w:rPr>
            </w:pPr>
            <w:r>
              <w:rPr>
                <w:rFonts w:hint="eastAsia"/>
                <w:lang w:eastAsia="zh-CN"/>
              </w:rPr>
              <w:t>6</w:t>
            </w:r>
            <w:r>
              <w:rPr>
                <w:rFonts w:hint="eastAsia" w:ascii="宋体" w:hAnsi="宋体" w:eastAsia="宋体" w:cs="宋体"/>
                <w:lang w:eastAsia="zh-CN"/>
              </w:rPr>
              <w:t>、严格遵守职业道德，不复制保留现场评审工作中接触到的任何资料、文件（需要复印留存的除外），保守企业的商业秘密；</w:t>
            </w:r>
          </w:p>
          <w:p w14:paraId="2C69A2DB">
            <w:pPr>
              <w:rPr>
                <w:lang w:eastAsia="zh-CN"/>
              </w:rPr>
            </w:pPr>
            <w:r>
              <w:rPr>
                <w:rFonts w:hint="eastAsia"/>
                <w:lang w:eastAsia="zh-CN"/>
              </w:rPr>
              <w:t>7</w:t>
            </w:r>
            <w:r>
              <w:rPr>
                <w:rFonts w:hint="eastAsia" w:ascii="宋体" w:hAnsi="宋体" w:eastAsia="宋体" w:cs="宋体"/>
                <w:lang w:eastAsia="zh-CN"/>
              </w:rPr>
              <w:t>、按照省局审批办要求的时间和质量完成工作任务，如因故无法按时完成核查工作任务，应及时沟通反馈（必要时须附说明）；</w:t>
            </w:r>
          </w:p>
          <w:p w14:paraId="46A4EFF4">
            <w:pPr>
              <w:rPr>
                <w:lang w:eastAsia="zh-CN"/>
              </w:rPr>
            </w:pPr>
            <w:r>
              <w:rPr>
                <w:rFonts w:hint="eastAsia"/>
                <w:lang w:eastAsia="zh-CN"/>
              </w:rPr>
              <w:t>8</w:t>
            </w:r>
            <w:r>
              <w:rPr>
                <w:rFonts w:hint="eastAsia" w:ascii="宋体" w:hAnsi="宋体" w:eastAsia="宋体" w:cs="宋体"/>
                <w:lang w:eastAsia="zh-CN"/>
              </w:rPr>
              <w:t>、现场评审实行组长负责制，负责核查组成员的管理。</w:t>
            </w:r>
          </w:p>
          <w:p w14:paraId="3CFB2540">
            <w:pPr>
              <w:rPr>
                <w:lang w:eastAsia="zh-CN"/>
              </w:rPr>
            </w:pPr>
            <w:r>
              <w:rPr>
                <w:rFonts w:hint="eastAsia" w:ascii="宋体" w:hAnsi="宋体" w:eastAsia="宋体" w:cs="宋体"/>
                <w:lang w:eastAsia="zh-CN"/>
              </w:rPr>
              <w:t>如违反以上条款，本人愿意按相关规定接受处理，直至承担法律责任。</w:t>
            </w:r>
          </w:p>
          <w:p w14:paraId="4DBC9E0E">
            <w:pPr>
              <w:rPr>
                <w:lang w:eastAsia="zh-CN"/>
              </w:rPr>
            </w:pPr>
          </w:p>
          <w:p w14:paraId="6765B788">
            <w:pPr>
              <w:rPr>
                <w:lang w:eastAsia="zh-CN"/>
              </w:rPr>
            </w:pPr>
            <w:r>
              <w:rPr>
                <w:rFonts w:hint="eastAsia" w:ascii="宋体" w:hAnsi="宋体" w:eastAsia="宋体" w:cs="宋体"/>
                <w:lang w:eastAsia="zh-CN"/>
              </w:rPr>
              <w:t>特此承诺。</w:t>
            </w:r>
            <w:r>
              <w:rPr>
                <w:rFonts w:hint="eastAsia"/>
                <w:lang w:eastAsia="zh-CN"/>
              </w:rPr>
              <w:t xml:space="preserve">                                  </w:t>
            </w:r>
          </w:p>
          <w:p w14:paraId="4FDD2F61">
            <w:pPr>
              <w:rPr>
                <w:lang w:eastAsia="zh-CN"/>
              </w:rPr>
            </w:pPr>
          </w:p>
          <w:p w14:paraId="64D5CC09">
            <w:pPr>
              <w:rPr>
                <w:lang w:eastAsia="zh-CN"/>
              </w:rPr>
            </w:pPr>
            <w:r>
              <w:rPr>
                <w:rFonts w:hint="eastAsia" w:ascii="宋体" w:hAnsi="宋体" w:eastAsia="宋体" w:cs="宋体"/>
                <w:lang w:eastAsia="zh-CN"/>
              </w:rPr>
              <w:t>签名（组长）：</w:t>
            </w:r>
            <w:r>
              <w:rPr>
                <w:rFonts w:hint="eastAsia"/>
                <w:lang w:eastAsia="zh-CN"/>
              </w:rPr>
              <w:t xml:space="preserve">              </w:t>
            </w:r>
            <w:r>
              <w:rPr>
                <w:rFonts w:hint="eastAsia" w:ascii="宋体" w:hAnsi="宋体" w:eastAsia="宋体" w:cs="宋体"/>
                <w:lang w:eastAsia="zh-CN"/>
              </w:rPr>
              <w:t>（组员）：</w:t>
            </w:r>
            <w:r>
              <w:rPr>
                <w:rFonts w:hint="eastAsia"/>
                <w:lang w:eastAsia="zh-CN"/>
              </w:rPr>
              <w:t xml:space="preserve">                                            </w:t>
            </w:r>
          </w:p>
          <w:p w14:paraId="6D896AA8">
            <w:pPr>
              <w:rPr>
                <w:lang w:eastAsia="zh-CN"/>
              </w:rPr>
            </w:pPr>
            <w:r>
              <w:rPr>
                <w:rFonts w:hint="eastAsia"/>
                <w:lang w:eastAsia="zh-CN"/>
              </w:rPr>
              <w:t xml:space="preserve">                                                </w:t>
            </w:r>
          </w:p>
          <w:p w14:paraId="553D4C7C">
            <w:pPr>
              <w:rPr>
                <w:lang w:eastAsia="zh-CN"/>
              </w:rPr>
            </w:pPr>
            <w:r>
              <w:rPr>
                <w:rFonts w:hint="eastAsia"/>
                <w:lang w:eastAsia="zh-CN"/>
              </w:rPr>
              <w:t xml:space="preserve"> </w:t>
            </w:r>
            <w:r>
              <w:rPr>
                <w:rFonts w:hint="eastAsia" w:ascii="宋体" w:hAnsi="宋体" w:eastAsia="宋体" w:cs="宋体"/>
                <w:lang w:eastAsia="zh-CN"/>
              </w:rPr>
              <w:t>日期：</w:t>
            </w:r>
            <w:r>
              <w:rPr>
                <w:rFonts w:hint="eastAsia"/>
                <w:lang w:eastAsia="zh-CN"/>
              </w:rPr>
              <w:t xml:space="preserve">                </w:t>
            </w:r>
          </w:p>
          <w:p w14:paraId="68013FAE">
            <w:pPr>
              <w:rPr>
                <w:lang w:eastAsia="zh-CN"/>
              </w:rPr>
            </w:pPr>
            <w:r>
              <w:rPr>
                <w:rFonts w:hint="eastAsia" w:ascii="宋体" w:hAnsi="宋体" w:eastAsia="宋体" w:cs="宋体"/>
                <w:lang w:eastAsia="zh-CN"/>
              </w:rPr>
              <w:t>备注：评审组全体成员在评审前需签订承诺书。</w:t>
            </w:r>
          </w:p>
        </w:tc>
      </w:tr>
    </w:tbl>
    <w:p w14:paraId="1669481F">
      <w:pPr>
        <w:pStyle w:val="42"/>
        <w:rPr>
          <w:vanish w:val="0"/>
        </w:rPr>
      </w:pPr>
    </w:p>
    <w:p w14:paraId="744BFCA2">
      <w:pPr>
        <w:pStyle w:val="27"/>
        <w:ind w:firstLine="420"/>
        <w:sectPr>
          <w:pgSz w:w="11906" w:h="16838"/>
          <w:pgMar w:top="1928" w:right="1134" w:bottom="1134" w:left="1134" w:header="1418" w:footer="1134" w:gutter="284"/>
          <w:cols w:space="425" w:num="1"/>
          <w:formProt w:val="0"/>
          <w:docGrid w:type="lines" w:linePitch="312" w:charSpace="0"/>
        </w:sectPr>
      </w:pPr>
    </w:p>
    <w:p w14:paraId="5C51A263">
      <w:pPr>
        <w:pStyle w:val="41"/>
        <w:rPr>
          <w:vanish w:val="0"/>
        </w:rPr>
      </w:pPr>
    </w:p>
    <w:p w14:paraId="692243DC">
      <w:pPr>
        <w:pStyle w:val="42"/>
        <w:rPr>
          <w:vanish w:val="0"/>
        </w:rPr>
      </w:pPr>
    </w:p>
    <w:p w14:paraId="1F816B45">
      <w:pPr>
        <w:pStyle w:val="32"/>
        <w:spacing w:after="120"/>
      </w:pPr>
      <w:r>
        <w:br w:type="textWrapping"/>
      </w:r>
      <w:bookmarkStart w:id="50" w:name="_Toc146258237"/>
      <w:r>
        <w:rPr>
          <w:rFonts w:hint="eastAsia"/>
        </w:rPr>
        <w:t>（资料性）</w:t>
      </w:r>
      <w:r>
        <w:br w:type="textWrapping"/>
      </w:r>
      <w:r>
        <w:rPr>
          <w:rFonts w:hint="eastAsia"/>
        </w:rPr>
        <w:t>安徽省保健食品生产许可现场评审末次会议签到表</w:t>
      </w:r>
      <w:bookmarkEnd w:id="50"/>
    </w:p>
    <w:p w14:paraId="4665DBBC">
      <w:pPr>
        <w:pStyle w:val="34"/>
        <w:spacing w:before="120" w:after="120"/>
      </w:pPr>
      <w:r>
        <w:rPr>
          <w:rFonts w:hint="eastAsia"/>
        </w:rPr>
        <w:t>末次会议签到表内容及格式</w:t>
      </w:r>
    </w:p>
    <w:p w14:paraId="1C1F5BCF">
      <w:pPr>
        <w:pStyle w:val="27"/>
        <w:ind w:firstLine="420"/>
      </w:pPr>
      <w:r>
        <w:rPr>
          <w:rFonts w:hint="eastAsia"/>
        </w:rPr>
        <w:t>末次会议签到表内容及格式如下：</w:t>
      </w:r>
    </w:p>
    <w:tbl>
      <w:tblPr>
        <w:tblStyle w:val="7"/>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8577"/>
      </w:tblGrid>
      <w:tr w14:paraId="72C49A8E">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rHeight w:val="10922" w:hRule="atLeast"/>
          <w:tblHeader/>
          <w:jc w:val="center"/>
        </w:trPr>
        <w:tc>
          <w:tcPr>
            <w:tcW w:w="8577" w:type="dxa"/>
            <w:shd w:val="clear" w:color="auto" w:fill="auto"/>
            <w:vAlign w:val="center"/>
          </w:tcPr>
          <w:p w14:paraId="7751F162">
            <w:pPr>
              <w:rPr>
                <w:lang w:eastAsia="zh-CN"/>
              </w:rPr>
            </w:pPr>
            <w:r>
              <w:rPr>
                <w:rFonts w:hint="eastAsia" w:ascii="宋体" w:hAnsi="宋体" w:eastAsia="宋体" w:cs="宋体"/>
                <w:lang w:eastAsia="zh-CN"/>
              </w:rPr>
              <w:t>安徽省保健食品生产许可现场评审</w:t>
            </w:r>
          </w:p>
          <w:p w14:paraId="13057DD3">
            <w:r>
              <w:rPr>
                <w:rFonts w:hint="eastAsia"/>
                <w:lang w:eastAsia="zh-CN"/>
              </w:rPr>
              <w:t xml:space="preserve"> </w:t>
            </w:r>
            <w:r>
              <w:rPr>
                <w:rFonts w:hint="eastAsia" w:ascii="宋体" w:hAnsi="宋体" w:eastAsia="宋体" w:cs="宋体"/>
              </w:rPr>
              <w:t>末次会议签到表</w:t>
            </w:r>
          </w:p>
          <w:tbl>
            <w:tblPr>
              <w:tblStyle w:val="7"/>
              <w:tblW w:w="78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1638"/>
              <w:gridCol w:w="1733"/>
              <w:gridCol w:w="1636"/>
              <w:gridCol w:w="1368"/>
            </w:tblGrid>
            <w:tr w14:paraId="6B018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3" w:hRule="exact"/>
                <w:jc w:val="center"/>
              </w:trPr>
              <w:tc>
                <w:tcPr>
                  <w:tcW w:w="1448" w:type="dxa"/>
                  <w:vAlign w:val="center"/>
                </w:tcPr>
                <w:p w14:paraId="736850BB">
                  <w:r>
                    <w:rPr>
                      <w:rFonts w:hint="eastAsia" w:ascii="宋体" w:hAnsi="宋体" w:eastAsia="宋体" w:cs="宋体"/>
                    </w:rPr>
                    <w:t>企业名称</w:t>
                  </w:r>
                </w:p>
              </w:tc>
              <w:tc>
                <w:tcPr>
                  <w:tcW w:w="6374" w:type="dxa"/>
                  <w:gridSpan w:val="4"/>
                  <w:vAlign w:val="center"/>
                </w:tcPr>
                <w:p w14:paraId="7364E405"/>
              </w:tc>
            </w:tr>
            <w:tr w14:paraId="32439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1448" w:type="dxa"/>
                  <w:vAlign w:val="center"/>
                </w:tcPr>
                <w:p w14:paraId="70F12472">
                  <w:r>
                    <w:rPr>
                      <w:rFonts w:hint="eastAsia" w:ascii="宋体" w:hAnsi="宋体" w:eastAsia="宋体" w:cs="宋体"/>
                    </w:rPr>
                    <w:t>会议地点</w:t>
                  </w:r>
                </w:p>
              </w:tc>
              <w:tc>
                <w:tcPr>
                  <w:tcW w:w="6374" w:type="dxa"/>
                  <w:gridSpan w:val="4"/>
                  <w:vAlign w:val="center"/>
                </w:tcPr>
                <w:p w14:paraId="7CCD3FCC"/>
              </w:tc>
            </w:tr>
            <w:tr w14:paraId="63223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1448" w:type="dxa"/>
                  <w:vAlign w:val="center"/>
                </w:tcPr>
                <w:p w14:paraId="5B96ABF3">
                  <w:r>
                    <w:rPr>
                      <w:rFonts w:hint="eastAsia" w:ascii="宋体" w:hAnsi="宋体" w:eastAsia="宋体" w:cs="宋体"/>
                    </w:rPr>
                    <w:t>会议时间</w:t>
                  </w:r>
                </w:p>
              </w:tc>
              <w:tc>
                <w:tcPr>
                  <w:tcW w:w="6374" w:type="dxa"/>
                  <w:gridSpan w:val="4"/>
                  <w:vAlign w:val="center"/>
                </w:tcPr>
                <w:p w14:paraId="64BC25EF">
                  <w:r>
                    <w:rPr>
                      <w:rFonts w:hint="eastAsia"/>
                    </w:rPr>
                    <w:t xml:space="preserve">      </w:t>
                  </w:r>
                  <w:r>
                    <w:rPr>
                      <w:rFonts w:hint="eastAsia" w:ascii="宋体" w:hAnsi="宋体" w:eastAsia="宋体" w:cs="宋体"/>
                    </w:rPr>
                    <w:t>年</w:t>
                  </w:r>
                  <w:r>
                    <w:rPr>
                      <w:rFonts w:hint="eastAsia"/>
                    </w:rPr>
                    <w:t xml:space="preserve">   </w:t>
                  </w:r>
                  <w:r>
                    <w:rPr>
                      <w:rFonts w:hint="eastAsia" w:ascii="宋体" w:hAnsi="宋体" w:eastAsia="宋体" w:cs="宋体"/>
                    </w:rPr>
                    <w:t>月</w:t>
                  </w:r>
                  <w:r>
                    <w:rPr>
                      <w:rFonts w:hint="eastAsia"/>
                    </w:rPr>
                    <w:t xml:space="preserve">   </w:t>
                  </w:r>
                  <w:r>
                    <w:rPr>
                      <w:rFonts w:hint="eastAsia" w:ascii="宋体" w:hAnsi="宋体" w:eastAsia="宋体" w:cs="宋体"/>
                    </w:rPr>
                    <w:t>日</w:t>
                  </w:r>
                  <w:r>
                    <w:rPr>
                      <w:rFonts w:hint="eastAsia"/>
                    </w:rPr>
                    <w:t xml:space="preserve">   </w:t>
                  </w:r>
                  <w:r>
                    <w:rPr>
                      <w:rFonts w:hint="eastAsia" w:ascii="宋体" w:hAnsi="宋体" w:eastAsia="宋体" w:cs="宋体"/>
                    </w:rPr>
                    <w:t>时</w:t>
                  </w:r>
                  <w:r>
                    <w:rPr>
                      <w:rFonts w:hint="eastAsia"/>
                    </w:rPr>
                    <w:t xml:space="preserve">  </w:t>
                  </w:r>
                  <w:r>
                    <w:rPr>
                      <w:rFonts w:hint="eastAsia" w:ascii="宋体" w:hAnsi="宋体" w:eastAsia="宋体" w:cs="宋体"/>
                    </w:rPr>
                    <w:t>分至</w:t>
                  </w:r>
                  <w:r>
                    <w:rPr>
                      <w:rFonts w:hint="eastAsia"/>
                    </w:rPr>
                    <w:t xml:space="preserve">   </w:t>
                  </w:r>
                  <w:r>
                    <w:rPr>
                      <w:rFonts w:hint="eastAsia" w:ascii="宋体" w:hAnsi="宋体" w:eastAsia="宋体" w:cs="宋体"/>
                    </w:rPr>
                    <w:t>时</w:t>
                  </w:r>
                  <w:r>
                    <w:rPr>
                      <w:rFonts w:hint="eastAsia"/>
                    </w:rPr>
                    <w:t xml:space="preserve">   </w:t>
                  </w:r>
                  <w:r>
                    <w:rPr>
                      <w:rFonts w:hint="eastAsia" w:ascii="宋体" w:hAnsi="宋体" w:eastAsia="宋体" w:cs="宋体"/>
                    </w:rPr>
                    <w:t>分</w:t>
                  </w:r>
                </w:p>
              </w:tc>
            </w:tr>
            <w:tr w14:paraId="63DE3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3086" w:type="dxa"/>
                  <w:gridSpan w:val="2"/>
                  <w:vAlign w:val="center"/>
                </w:tcPr>
                <w:p w14:paraId="3C50B702">
                  <w:r>
                    <w:rPr>
                      <w:rFonts w:hint="eastAsia" w:ascii="宋体" w:hAnsi="宋体" w:eastAsia="宋体" w:cs="宋体"/>
                    </w:rPr>
                    <w:t>评审组</w:t>
                  </w:r>
                </w:p>
              </w:tc>
              <w:tc>
                <w:tcPr>
                  <w:tcW w:w="4737" w:type="dxa"/>
                  <w:gridSpan w:val="3"/>
                  <w:vAlign w:val="center"/>
                </w:tcPr>
                <w:p w14:paraId="147CAC11">
                  <w:r>
                    <w:rPr>
                      <w:rFonts w:hint="eastAsia" w:ascii="宋体" w:hAnsi="宋体" w:eastAsia="宋体" w:cs="宋体"/>
                    </w:rPr>
                    <w:t>企业人员</w:t>
                  </w:r>
                </w:p>
              </w:tc>
            </w:tr>
            <w:tr w14:paraId="453E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1448" w:type="dxa"/>
                  <w:vAlign w:val="center"/>
                </w:tcPr>
                <w:p w14:paraId="5B3FBA32">
                  <w:r>
                    <w:rPr>
                      <w:rFonts w:hint="eastAsia" w:ascii="宋体" w:hAnsi="宋体" w:eastAsia="宋体" w:cs="宋体"/>
                    </w:rPr>
                    <w:t>姓名</w:t>
                  </w:r>
                </w:p>
              </w:tc>
              <w:tc>
                <w:tcPr>
                  <w:tcW w:w="1637" w:type="dxa"/>
                  <w:vAlign w:val="center"/>
                </w:tcPr>
                <w:p w14:paraId="5A935F86">
                  <w:r>
                    <w:rPr>
                      <w:rFonts w:hint="eastAsia" w:ascii="宋体" w:hAnsi="宋体" w:eastAsia="宋体" w:cs="宋体"/>
                    </w:rPr>
                    <w:t>组内职务</w:t>
                  </w:r>
                </w:p>
              </w:tc>
              <w:tc>
                <w:tcPr>
                  <w:tcW w:w="1733" w:type="dxa"/>
                  <w:vAlign w:val="center"/>
                </w:tcPr>
                <w:p w14:paraId="0A83A247">
                  <w:r>
                    <w:rPr>
                      <w:rFonts w:hint="eastAsia" w:ascii="宋体" w:hAnsi="宋体" w:eastAsia="宋体" w:cs="宋体"/>
                    </w:rPr>
                    <w:t>姓名</w:t>
                  </w:r>
                </w:p>
              </w:tc>
              <w:tc>
                <w:tcPr>
                  <w:tcW w:w="1636" w:type="dxa"/>
                  <w:vAlign w:val="center"/>
                </w:tcPr>
                <w:p w14:paraId="7BD0EEBB">
                  <w:r>
                    <w:rPr>
                      <w:rFonts w:hint="eastAsia" w:ascii="宋体" w:hAnsi="宋体" w:eastAsia="宋体" w:cs="宋体"/>
                    </w:rPr>
                    <w:t>部门</w:t>
                  </w:r>
                </w:p>
              </w:tc>
              <w:tc>
                <w:tcPr>
                  <w:tcW w:w="1367" w:type="dxa"/>
                  <w:vAlign w:val="center"/>
                </w:tcPr>
                <w:p w14:paraId="1275D29A">
                  <w:r>
                    <w:rPr>
                      <w:rFonts w:hint="eastAsia" w:ascii="宋体" w:hAnsi="宋体" w:eastAsia="宋体" w:cs="宋体"/>
                    </w:rPr>
                    <w:t>职务</w:t>
                  </w:r>
                </w:p>
              </w:tc>
            </w:tr>
            <w:tr w14:paraId="2F774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1448" w:type="dxa"/>
                  <w:vAlign w:val="center"/>
                </w:tcPr>
                <w:p w14:paraId="6AF82149"/>
              </w:tc>
              <w:tc>
                <w:tcPr>
                  <w:tcW w:w="1637" w:type="dxa"/>
                  <w:vAlign w:val="center"/>
                </w:tcPr>
                <w:p w14:paraId="384B273F">
                  <w:r>
                    <w:rPr>
                      <w:rFonts w:hint="eastAsia" w:ascii="宋体" w:hAnsi="宋体" w:eastAsia="宋体" w:cs="宋体"/>
                    </w:rPr>
                    <w:t>组长</w:t>
                  </w:r>
                </w:p>
              </w:tc>
              <w:tc>
                <w:tcPr>
                  <w:tcW w:w="1733" w:type="dxa"/>
                  <w:vAlign w:val="center"/>
                </w:tcPr>
                <w:p w14:paraId="1D76C4F0">
                  <w:r>
                    <w:rPr>
                      <w:rFonts w:hint="eastAsia"/>
                    </w:rPr>
                    <w:t xml:space="preserve"> </w:t>
                  </w:r>
                </w:p>
              </w:tc>
              <w:tc>
                <w:tcPr>
                  <w:tcW w:w="1636" w:type="dxa"/>
                  <w:vAlign w:val="center"/>
                </w:tcPr>
                <w:p w14:paraId="35DCA613"/>
              </w:tc>
              <w:tc>
                <w:tcPr>
                  <w:tcW w:w="1367" w:type="dxa"/>
                  <w:vAlign w:val="center"/>
                </w:tcPr>
                <w:p w14:paraId="57DB9867"/>
              </w:tc>
            </w:tr>
            <w:tr w14:paraId="6A1C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1448" w:type="dxa"/>
                  <w:vAlign w:val="center"/>
                </w:tcPr>
                <w:p w14:paraId="2CCB3F29"/>
              </w:tc>
              <w:tc>
                <w:tcPr>
                  <w:tcW w:w="1637" w:type="dxa"/>
                  <w:vAlign w:val="center"/>
                </w:tcPr>
                <w:p w14:paraId="51BFA72B">
                  <w:r>
                    <w:rPr>
                      <w:rFonts w:hint="eastAsia" w:ascii="宋体" w:hAnsi="宋体" w:eastAsia="宋体" w:cs="宋体"/>
                    </w:rPr>
                    <w:t>组员</w:t>
                  </w:r>
                </w:p>
              </w:tc>
              <w:tc>
                <w:tcPr>
                  <w:tcW w:w="1733" w:type="dxa"/>
                  <w:vAlign w:val="center"/>
                </w:tcPr>
                <w:p w14:paraId="5E8B01B3"/>
              </w:tc>
              <w:tc>
                <w:tcPr>
                  <w:tcW w:w="1636" w:type="dxa"/>
                  <w:vAlign w:val="center"/>
                </w:tcPr>
                <w:p w14:paraId="124B7C4B"/>
              </w:tc>
              <w:tc>
                <w:tcPr>
                  <w:tcW w:w="1367" w:type="dxa"/>
                  <w:vAlign w:val="center"/>
                </w:tcPr>
                <w:p w14:paraId="581CF209"/>
              </w:tc>
            </w:tr>
            <w:tr w14:paraId="49B80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1448" w:type="dxa"/>
                  <w:vAlign w:val="center"/>
                </w:tcPr>
                <w:p w14:paraId="3A916CA5"/>
              </w:tc>
              <w:tc>
                <w:tcPr>
                  <w:tcW w:w="1637" w:type="dxa"/>
                  <w:vAlign w:val="center"/>
                </w:tcPr>
                <w:p w14:paraId="716197D4">
                  <w:r>
                    <w:rPr>
                      <w:rFonts w:hint="eastAsia" w:ascii="宋体" w:hAnsi="宋体" w:eastAsia="宋体" w:cs="宋体"/>
                    </w:rPr>
                    <w:t>组员</w:t>
                  </w:r>
                </w:p>
              </w:tc>
              <w:tc>
                <w:tcPr>
                  <w:tcW w:w="1733" w:type="dxa"/>
                  <w:vAlign w:val="center"/>
                </w:tcPr>
                <w:p w14:paraId="3D672F79"/>
              </w:tc>
              <w:tc>
                <w:tcPr>
                  <w:tcW w:w="1636" w:type="dxa"/>
                  <w:vAlign w:val="center"/>
                </w:tcPr>
                <w:p w14:paraId="5DE7699C"/>
              </w:tc>
              <w:tc>
                <w:tcPr>
                  <w:tcW w:w="1367" w:type="dxa"/>
                  <w:vAlign w:val="center"/>
                </w:tcPr>
                <w:p w14:paraId="55FCE2C3"/>
              </w:tc>
            </w:tr>
            <w:tr w14:paraId="588CE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1448" w:type="dxa"/>
                  <w:vAlign w:val="center"/>
                </w:tcPr>
                <w:p w14:paraId="151662C7"/>
              </w:tc>
              <w:tc>
                <w:tcPr>
                  <w:tcW w:w="1637" w:type="dxa"/>
                  <w:vAlign w:val="center"/>
                </w:tcPr>
                <w:p w14:paraId="7B70CBD4">
                  <w:r>
                    <w:rPr>
                      <w:rFonts w:hint="eastAsia"/>
                    </w:rPr>
                    <w:t xml:space="preserve"> </w:t>
                  </w:r>
                </w:p>
              </w:tc>
              <w:tc>
                <w:tcPr>
                  <w:tcW w:w="1733" w:type="dxa"/>
                  <w:vAlign w:val="center"/>
                </w:tcPr>
                <w:p w14:paraId="04E16953">
                  <w:r>
                    <w:rPr>
                      <w:rFonts w:hint="eastAsia"/>
                    </w:rPr>
                    <w:t xml:space="preserve"> </w:t>
                  </w:r>
                </w:p>
              </w:tc>
              <w:tc>
                <w:tcPr>
                  <w:tcW w:w="1636" w:type="dxa"/>
                  <w:vAlign w:val="center"/>
                </w:tcPr>
                <w:p w14:paraId="313DC439"/>
              </w:tc>
              <w:tc>
                <w:tcPr>
                  <w:tcW w:w="1367" w:type="dxa"/>
                  <w:vAlign w:val="center"/>
                </w:tcPr>
                <w:p w14:paraId="61A76FF4"/>
              </w:tc>
            </w:tr>
            <w:tr w14:paraId="561E4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exact"/>
                <w:jc w:val="center"/>
              </w:trPr>
              <w:tc>
                <w:tcPr>
                  <w:tcW w:w="1448" w:type="dxa"/>
                  <w:vAlign w:val="center"/>
                </w:tcPr>
                <w:p w14:paraId="28F21F02"/>
              </w:tc>
              <w:tc>
                <w:tcPr>
                  <w:tcW w:w="1637" w:type="dxa"/>
                </w:tcPr>
                <w:p w14:paraId="0C22934B"/>
              </w:tc>
              <w:tc>
                <w:tcPr>
                  <w:tcW w:w="1733" w:type="dxa"/>
                </w:tcPr>
                <w:p w14:paraId="12977CBE"/>
              </w:tc>
              <w:tc>
                <w:tcPr>
                  <w:tcW w:w="1636" w:type="dxa"/>
                </w:tcPr>
                <w:p w14:paraId="36E09865"/>
              </w:tc>
              <w:tc>
                <w:tcPr>
                  <w:tcW w:w="1367" w:type="dxa"/>
                </w:tcPr>
                <w:p w14:paraId="614FEFA4"/>
              </w:tc>
            </w:tr>
            <w:tr w14:paraId="2430F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3086" w:type="dxa"/>
                  <w:gridSpan w:val="2"/>
                  <w:vAlign w:val="center"/>
                </w:tcPr>
                <w:p w14:paraId="37C250DD">
                  <w:r>
                    <w:rPr>
                      <w:rFonts w:hint="eastAsia"/>
                    </w:rPr>
                    <w:t xml:space="preserve">      </w:t>
                  </w:r>
                  <w:r>
                    <w:rPr>
                      <w:rFonts w:hint="eastAsia" w:ascii="宋体" w:hAnsi="宋体" w:eastAsia="宋体" w:cs="宋体"/>
                    </w:rPr>
                    <w:t>观</w:t>
                  </w:r>
                  <w:r>
                    <w:rPr>
                      <w:rFonts w:hint="eastAsia"/>
                    </w:rPr>
                    <w:t xml:space="preserve"> </w:t>
                  </w:r>
                  <w:r>
                    <w:rPr>
                      <w:rFonts w:hint="eastAsia" w:ascii="宋体" w:hAnsi="宋体" w:eastAsia="宋体" w:cs="宋体"/>
                    </w:rPr>
                    <w:t>察</w:t>
                  </w:r>
                  <w:r>
                    <w:rPr>
                      <w:rFonts w:hint="eastAsia"/>
                    </w:rPr>
                    <w:t xml:space="preserve"> </w:t>
                  </w:r>
                  <w:r>
                    <w:rPr>
                      <w:rFonts w:hint="eastAsia" w:ascii="宋体" w:hAnsi="宋体" w:eastAsia="宋体" w:cs="宋体"/>
                    </w:rPr>
                    <w:t>员</w:t>
                  </w:r>
                </w:p>
              </w:tc>
              <w:tc>
                <w:tcPr>
                  <w:tcW w:w="1733" w:type="dxa"/>
                </w:tcPr>
                <w:p w14:paraId="7D5F71D8"/>
              </w:tc>
              <w:tc>
                <w:tcPr>
                  <w:tcW w:w="1636" w:type="dxa"/>
                </w:tcPr>
                <w:p w14:paraId="441AADB7"/>
              </w:tc>
              <w:tc>
                <w:tcPr>
                  <w:tcW w:w="1367" w:type="dxa"/>
                </w:tcPr>
                <w:p w14:paraId="2F20458B"/>
              </w:tc>
            </w:tr>
            <w:tr w14:paraId="289B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1448" w:type="dxa"/>
                  <w:vAlign w:val="center"/>
                </w:tcPr>
                <w:p w14:paraId="0D02FEDC">
                  <w:r>
                    <w:rPr>
                      <w:rFonts w:hint="eastAsia" w:ascii="宋体" w:hAnsi="宋体" w:eastAsia="宋体" w:cs="宋体"/>
                    </w:rPr>
                    <w:t>姓名</w:t>
                  </w:r>
                </w:p>
              </w:tc>
              <w:tc>
                <w:tcPr>
                  <w:tcW w:w="1637" w:type="dxa"/>
                </w:tcPr>
                <w:p w14:paraId="20AC5612">
                  <w:r>
                    <w:rPr>
                      <w:rFonts w:hint="eastAsia"/>
                    </w:rPr>
                    <w:t xml:space="preserve"> </w:t>
                  </w:r>
                  <w:r>
                    <w:rPr>
                      <w:rFonts w:hint="eastAsia" w:ascii="宋体" w:hAnsi="宋体" w:eastAsia="宋体" w:cs="宋体"/>
                    </w:rPr>
                    <w:t>工作单位</w:t>
                  </w:r>
                </w:p>
              </w:tc>
              <w:tc>
                <w:tcPr>
                  <w:tcW w:w="1733" w:type="dxa"/>
                </w:tcPr>
                <w:p w14:paraId="59E2000D"/>
              </w:tc>
              <w:tc>
                <w:tcPr>
                  <w:tcW w:w="1636" w:type="dxa"/>
                </w:tcPr>
                <w:p w14:paraId="6C73B134"/>
              </w:tc>
              <w:tc>
                <w:tcPr>
                  <w:tcW w:w="1367" w:type="dxa"/>
                </w:tcPr>
                <w:p w14:paraId="3A77FC68"/>
              </w:tc>
            </w:tr>
            <w:tr w14:paraId="26D6B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1448" w:type="dxa"/>
                  <w:vAlign w:val="center"/>
                </w:tcPr>
                <w:p w14:paraId="37B4A702"/>
              </w:tc>
              <w:tc>
                <w:tcPr>
                  <w:tcW w:w="1637" w:type="dxa"/>
                </w:tcPr>
                <w:p w14:paraId="203F5466"/>
              </w:tc>
              <w:tc>
                <w:tcPr>
                  <w:tcW w:w="1733" w:type="dxa"/>
                </w:tcPr>
                <w:p w14:paraId="6D19A04A"/>
              </w:tc>
              <w:tc>
                <w:tcPr>
                  <w:tcW w:w="1636" w:type="dxa"/>
                </w:tcPr>
                <w:p w14:paraId="20E00F4F"/>
              </w:tc>
              <w:tc>
                <w:tcPr>
                  <w:tcW w:w="1367" w:type="dxa"/>
                </w:tcPr>
                <w:p w14:paraId="3D69E37C"/>
              </w:tc>
            </w:tr>
            <w:tr w14:paraId="2B8FE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center"/>
              </w:trPr>
              <w:tc>
                <w:tcPr>
                  <w:tcW w:w="1448" w:type="dxa"/>
                </w:tcPr>
                <w:p w14:paraId="41E571AE"/>
              </w:tc>
              <w:tc>
                <w:tcPr>
                  <w:tcW w:w="1637" w:type="dxa"/>
                </w:tcPr>
                <w:p w14:paraId="54B0CE3C"/>
              </w:tc>
              <w:tc>
                <w:tcPr>
                  <w:tcW w:w="1733" w:type="dxa"/>
                </w:tcPr>
                <w:p w14:paraId="67B68F64"/>
              </w:tc>
              <w:tc>
                <w:tcPr>
                  <w:tcW w:w="1636" w:type="dxa"/>
                </w:tcPr>
                <w:p w14:paraId="3B1816E8"/>
              </w:tc>
              <w:tc>
                <w:tcPr>
                  <w:tcW w:w="1367" w:type="dxa"/>
                </w:tcPr>
                <w:p w14:paraId="6AB3A981"/>
              </w:tc>
            </w:tr>
            <w:tr w14:paraId="2D7DE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9" w:hRule="atLeast"/>
                <w:jc w:val="center"/>
              </w:trPr>
              <w:tc>
                <w:tcPr>
                  <w:tcW w:w="7823" w:type="dxa"/>
                  <w:gridSpan w:val="5"/>
                  <w:vAlign w:val="center"/>
                </w:tcPr>
                <w:p w14:paraId="288E8D7B">
                  <w:pPr>
                    <w:rPr>
                      <w:lang w:eastAsia="zh-CN"/>
                    </w:rPr>
                  </w:pPr>
                  <w:r>
                    <w:rPr>
                      <w:rFonts w:hint="eastAsia"/>
                      <w:lang w:eastAsia="zh-CN"/>
                    </w:rPr>
                    <w:t xml:space="preserve">    1</w:t>
                  </w:r>
                  <w:r>
                    <w:rPr>
                      <w:rFonts w:hint="eastAsia" w:ascii="宋体" w:hAnsi="宋体" w:eastAsia="宋体" w:cs="宋体"/>
                      <w:lang w:eastAsia="zh-CN"/>
                    </w:rPr>
                    <w:t>、评审组已向本企业通报生产许可现场评审情况，宣读核查结论。</w:t>
                  </w:r>
                </w:p>
                <w:p w14:paraId="1691F707">
                  <w:pPr>
                    <w:rPr>
                      <w:lang w:eastAsia="zh-CN"/>
                    </w:rPr>
                  </w:pPr>
                  <w:r>
                    <w:rPr>
                      <w:rFonts w:hint="eastAsia"/>
                      <w:lang w:eastAsia="zh-CN"/>
                    </w:rPr>
                    <w:t xml:space="preserve">    2</w:t>
                  </w:r>
                  <w:r>
                    <w:rPr>
                      <w:rFonts w:hint="eastAsia" w:ascii="宋体" w:hAnsi="宋体" w:eastAsia="宋体" w:cs="宋体"/>
                      <w:lang w:eastAsia="zh-CN"/>
                    </w:rPr>
                    <w:t>、评审组已向本企业提供并告知填写现场评审反馈意见表。</w:t>
                  </w:r>
                </w:p>
                <w:p w14:paraId="6981485A">
                  <w:pPr>
                    <w:rPr>
                      <w:lang w:eastAsia="zh-CN"/>
                    </w:rPr>
                  </w:pPr>
                </w:p>
                <w:p w14:paraId="34AA3795">
                  <w:r>
                    <w:rPr>
                      <w:rFonts w:hint="eastAsia"/>
                      <w:lang w:eastAsia="zh-CN"/>
                    </w:rPr>
                    <w:t xml:space="preserve">                                         </w:t>
                  </w:r>
                  <w:r>
                    <w:rPr>
                      <w:rFonts w:hint="eastAsia" w:ascii="宋体" w:hAnsi="宋体" w:eastAsia="宋体" w:cs="宋体"/>
                    </w:rPr>
                    <w:t>（企业盖章）</w:t>
                  </w:r>
                </w:p>
              </w:tc>
            </w:tr>
          </w:tbl>
          <w:p w14:paraId="11095343">
            <w:pPr>
              <w:pStyle w:val="40"/>
            </w:pPr>
          </w:p>
        </w:tc>
      </w:tr>
    </w:tbl>
    <w:p w14:paraId="0759DAD2">
      <w:pPr>
        <w:pStyle w:val="41"/>
        <w:rPr>
          <w:vanish w:val="0"/>
        </w:rPr>
      </w:pPr>
    </w:p>
    <w:p w14:paraId="20E434AC">
      <w:pPr>
        <w:pStyle w:val="42"/>
        <w:rPr>
          <w:vanish w:val="0"/>
        </w:rPr>
      </w:pPr>
    </w:p>
    <w:p w14:paraId="39BDB85C">
      <w:pPr>
        <w:pStyle w:val="32"/>
        <w:spacing w:after="120"/>
      </w:pPr>
      <w:r>
        <w:br w:type="textWrapping"/>
      </w:r>
      <w:bookmarkStart w:id="51" w:name="_Toc146258238"/>
      <w:r>
        <w:rPr>
          <w:rFonts w:hint="eastAsia"/>
        </w:rPr>
        <w:t>（资料性）</w:t>
      </w:r>
      <w:r>
        <w:br w:type="textWrapping"/>
      </w:r>
      <w:r>
        <w:rPr>
          <w:rFonts w:hint="eastAsia"/>
        </w:rPr>
        <w:t>安徽省保健食品生产许可现场评审反馈表</w:t>
      </w:r>
      <w:bookmarkEnd w:id="51"/>
    </w:p>
    <w:p w14:paraId="1ACE679C">
      <w:pPr>
        <w:pStyle w:val="34"/>
        <w:spacing w:before="120" w:after="120"/>
      </w:pPr>
      <w:r>
        <w:rPr>
          <w:rFonts w:hint="eastAsia"/>
        </w:rPr>
        <w:t>现场评审反馈表内容及格式</w:t>
      </w:r>
    </w:p>
    <w:p w14:paraId="77B099AA">
      <w:pPr>
        <w:pStyle w:val="27"/>
        <w:ind w:firstLine="420"/>
      </w:pPr>
      <w:r>
        <w:rPr>
          <w:rFonts w:hint="eastAsia"/>
        </w:rPr>
        <w:t>反馈表内容及格式如下：</w:t>
      </w:r>
    </w:p>
    <w:tbl>
      <w:tblPr>
        <w:tblStyle w:val="7"/>
        <w:tblW w:w="0" w:type="auto"/>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9334"/>
      </w:tblGrid>
      <w:tr w14:paraId="62D4366D">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Header/>
          <w:jc w:val="center"/>
        </w:trPr>
        <w:tc>
          <w:tcPr>
            <w:tcW w:w="9334" w:type="dxa"/>
            <w:shd w:val="clear" w:color="auto" w:fill="auto"/>
            <w:vAlign w:val="center"/>
          </w:tcPr>
          <w:p w14:paraId="13A74269">
            <w:pPr>
              <w:rPr>
                <w:lang w:eastAsia="zh-CN"/>
              </w:rPr>
            </w:pPr>
            <w:r>
              <w:rPr>
                <w:rFonts w:hint="eastAsia" w:ascii="宋体" w:hAnsi="宋体" w:eastAsia="宋体" w:cs="宋体"/>
                <w:lang w:eastAsia="zh-CN"/>
              </w:rPr>
              <w:t>企业对现场评审工作的反馈意见</w:t>
            </w:r>
          </w:p>
          <w:p w14:paraId="5489E5F6">
            <w:pPr>
              <w:pStyle w:val="27"/>
              <w:ind w:firstLine="420"/>
            </w:pPr>
            <w:r>
              <w:rPr>
                <w:rFonts w:hint="eastAsia"/>
              </w:rPr>
              <w:t xml:space="preserve">                    </w:t>
            </w:r>
          </w:p>
          <w:tbl>
            <w:tblPr>
              <w:tblStyle w:val="6"/>
              <w:tblW w:w="85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0"/>
              <w:gridCol w:w="4042"/>
            </w:tblGrid>
            <w:tr w14:paraId="263A1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540" w:type="dxa"/>
                </w:tcPr>
                <w:p w14:paraId="46281F7B">
                  <w:pPr>
                    <w:rPr>
                      <w:lang w:eastAsia="zh-CN"/>
                    </w:rPr>
                  </w:pPr>
                  <w:r>
                    <w:rPr>
                      <w:rFonts w:hint="eastAsia"/>
                      <w:lang w:eastAsia="zh-CN"/>
                    </w:rPr>
                    <w:t>1.</w:t>
                  </w:r>
                  <w:r>
                    <w:rPr>
                      <w:rFonts w:hint="eastAsia" w:ascii="宋体" w:hAnsi="宋体" w:eastAsia="宋体" w:cs="宋体"/>
                      <w:lang w:eastAsia="zh-CN"/>
                    </w:rPr>
                    <w:t>有无不按许可证实施细则及有关文件规定，准时、高效开展审核工作。</w:t>
                  </w:r>
                </w:p>
              </w:tc>
              <w:tc>
                <w:tcPr>
                  <w:tcW w:w="4042" w:type="dxa"/>
                </w:tcPr>
                <w:p w14:paraId="7F01FF7C">
                  <w:r>
                    <w:rPr>
                      <w:rFonts w:hint="eastAsia" w:ascii="宋体" w:hAnsi="宋体" w:eastAsia="宋体" w:cs="宋体"/>
                    </w:rPr>
                    <w:t>有口</w:t>
                  </w:r>
                  <w:r>
                    <w:rPr>
                      <w:rFonts w:hint="eastAsia"/>
                    </w:rPr>
                    <w:t xml:space="preserve">             </w:t>
                  </w:r>
                  <w:r>
                    <w:rPr>
                      <w:rFonts w:hint="eastAsia" w:ascii="宋体" w:hAnsi="宋体" w:eastAsia="宋体" w:cs="宋体"/>
                    </w:rPr>
                    <w:t>无口</w:t>
                  </w:r>
                </w:p>
              </w:tc>
            </w:tr>
            <w:tr w14:paraId="32ECF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4540" w:type="dxa"/>
                </w:tcPr>
                <w:p w14:paraId="3273F13A">
                  <w:pPr>
                    <w:rPr>
                      <w:lang w:eastAsia="zh-CN"/>
                    </w:rPr>
                  </w:pPr>
                  <w:r>
                    <w:rPr>
                      <w:rFonts w:hint="eastAsia"/>
                      <w:lang w:eastAsia="zh-CN"/>
                    </w:rPr>
                    <w:t>2</w:t>
                  </w:r>
                  <w:r>
                    <w:rPr>
                      <w:rFonts w:hint="eastAsia" w:ascii="宋体" w:hAnsi="宋体" w:eastAsia="宋体" w:cs="宋体"/>
                      <w:lang w:eastAsia="zh-CN"/>
                    </w:rPr>
                    <w:t>有无不坚持原则、作风正派、秉公办事。</w:t>
                  </w:r>
                </w:p>
              </w:tc>
              <w:tc>
                <w:tcPr>
                  <w:tcW w:w="4042" w:type="dxa"/>
                </w:tcPr>
                <w:p w14:paraId="06F2DD3F">
                  <w:r>
                    <w:rPr>
                      <w:rFonts w:hint="eastAsia" w:ascii="宋体" w:hAnsi="宋体" w:eastAsia="宋体" w:cs="宋体"/>
                    </w:rPr>
                    <w:t>有口</w:t>
                  </w:r>
                  <w:r>
                    <w:rPr>
                      <w:rFonts w:hint="eastAsia"/>
                    </w:rPr>
                    <w:t xml:space="preserve">             </w:t>
                  </w:r>
                  <w:r>
                    <w:rPr>
                      <w:rFonts w:hint="eastAsia" w:ascii="宋体" w:hAnsi="宋体" w:eastAsia="宋体" w:cs="宋体"/>
                    </w:rPr>
                    <w:t>无口</w:t>
                  </w:r>
                </w:p>
              </w:tc>
            </w:tr>
            <w:tr w14:paraId="79208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4540" w:type="dxa"/>
                </w:tcPr>
                <w:p w14:paraId="1BDEFE39">
                  <w:pPr>
                    <w:rPr>
                      <w:lang w:eastAsia="zh-CN"/>
                    </w:rPr>
                  </w:pPr>
                  <w:r>
                    <w:rPr>
                      <w:rFonts w:hint="eastAsia"/>
                      <w:lang w:eastAsia="zh-CN"/>
                    </w:rPr>
                    <w:t>3.</w:t>
                  </w:r>
                  <w:r>
                    <w:rPr>
                      <w:rFonts w:hint="eastAsia" w:ascii="宋体" w:hAnsi="宋体" w:eastAsia="宋体" w:cs="宋体"/>
                      <w:lang w:eastAsia="zh-CN"/>
                    </w:rPr>
                    <w:t>有无借审查之机刁难企业行为。</w:t>
                  </w:r>
                </w:p>
              </w:tc>
              <w:tc>
                <w:tcPr>
                  <w:tcW w:w="4042" w:type="dxa"/>
                </w:tcPr>
                <w:p w14:paraId="7F9C9B50">
                  <w:r>
                    <w:rPr>
                      <w:rFonts w:hint="eastAsia" w:ascii="宋体" w:hAnsi="宋体" w:eastAsia="宋体" w:cs="宋体"/>
                    </w:rPr>
                    <w:t>有口</w:t>
                  </w:r>
                  <w:r>
                    <w:rPr>
                      <w:rFonts w:hint="eastAsia"/>
                    </w:rPr>
                    <w:t xml:space="preserve">             </w:t>
                  </w:r>
                  <w:r>
                    <w:rPr>
                      <w:rFonts w:hint="eastAsia" w:ascii="宋体" w:hAnsi="宋体" w:eastAsia="宋体" w:cs="宋体"/>
                    </w:rPr>
                    <w:t>无口</w:t>
                  </w:r>
                </w:p>
              </w:tc>
            </w:tr>
            <w:tr w14:paraId="05927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540" w:type="dxa"/>
                </w:tcPr>
                <w:p w14:paraId="392B9F3E">
                  <w:pPr>
                    <w:rPr>
                      <w:lang w:eastAsia="zh-CN"/>
                    </w:rPr>
                  </w:pPr>
                  <w:r>
                    <w:rPr>
                      <w:rFonts w:hint="eastAsia"/>
                      <w:lang w:eastAsia="zh-CN"/>
                    </w:rPr>
                    <w:t>4.</w:t>
                  </w:r>
                  <w:r>
                    <w:rPr>
                      <w:rFonts w:hint="eastAsia" w:ascii="宋体" w:hAnsi="宋体" w:eastAsia="宋体" w:cs="宋体"/>
                      <w:lang w:eastAsia="zh-CN"/>
                    </w:rPr>
                    <w:t>有无利用职权向被审查企业索取礼物、有价证券、现金行为。</w:t>
                  </w:r>
                </w:p>
              </w:tc>
              <w:tc>
                <w:tcPr>
                  <w:tcW w:w="4042" w:type="dxa"/>
                </w:tcPr>
                <w:p w14:paraId="6EA1A5E5">
                  <w:r>
                    <w:rPr>
                      <w:rFonts w:hint="eastAsia" w:ascii="宋体" w:hAnsi="宋体" w:eastAsia="宋体" w:cs="宋体"/>
                    </w:rPr>
                    <w:t>有口</w:t>
                  </w:r>
                  <w:r>
                    <w:rPr>
                      <w:rFonts w:hint="eastAsia"/>
                    </w:rPr>
                    <w:t xml:space="preserve">             </w:t>
                  </w:r>
                  <w:r>
                    <w:rPr>
                      <w:rFonts w:hint="eastAsia" w:ascii="宋体" w:hAnsi="宋体" w:eastAsia="宋体" w:cs="宋体"/>
                    </w:rPr>
                    <w:t>无口</w:t>
                  </w:r>
                </w:p>
              </w:tc>
            </w:tr>
            <w:tr w14:paraId="789C5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jc w:val="center"/>
              </w:trPr>
              <w:tc>
                <w:tcPr>
                  <w:tcW w:w="4540" w:type="dxa"/>
                </w:tcPr>
                <w:p w14:paraId="17EB569E">
                  <w:pPr>
                    <w:rPr>
                      <w:lang w:eastAsia="zh-CN"/>
                    </w:rPr>
                  </w:pPr>
                  <w:r>
                    <w:rPr>
                      <w:rFonts w:hint="eastAsia"/>
                      <w:lang w:eastAsia="zh-CN"/>
                    </w:rPr>
                    <w:t>5.</w:t>
                  </w:r>
                  <w:r>
                    <w:rPr>
                      <w:rFonts w:hint="eastAsia" w:ascii="宋体" w:hAnsi="宋体" w:eastAsia="宋体" w:cs="宋体"/>
                      <w:lang w:eastAsia="zh-CN"/>
                    </w:rPr>
                    <w:t>有无参加企业支付的娱乐活动。</w:t>
                  </w:r>
                </w:p>
              </w:tc>
              <w:tc>
                <w:tcPr>
                  <w:tcW w:w="4042" w:type="dxa"/>
                </w:tcPr>
                <w:p w14:paraId="6337D8B4">
                  <w:r>
                    <w:rPr>
                      <w:rFonts w:hint="eastAsia" w:ascii="宋体" w:hAnsi="宋体" w:eastAsia="宋体" w:cs="宋体"/>
                    </w:rPr>
                    <w:t>有口</w:t>
                  </w:r>
                  <w:r>
                    <w:rPr>
                      <w:rFonts w:hint="eastAsia"/>
                    </w:rPr>
                    <w:t xml:space="preserve">             </w:t>
                  </w:r>
                  <w:r>
                    <w:rPr>
                      <w:rFonts w:hint="eastAsia" w:ascii="宋体" w:hAnsi="宋体" w:eastAsia="宋体" w:cs="宋体"/>
                    </w:rPr>
                    <w:t>无口</w:t>
                  </w:r>
                </w:p>
              </w:tc>
            </w:tr>
            <w:tr w14:paraId="59771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540" w:type="dxa"/>
                </w:tcPr>
                <w:p w14:paraId="4AD54CF4">
                  <w:pPr>
                    <w:rPr>
                      <w:lang w:eastAsia="zh-CN"/>
                    </w:rPr>
                  </w:pPr>
                  <w:r>
                    <w:rPr>
                      <w:rFonts w:hint="eastAsia"/>
                      <w:lang w:eastAsia="zh-CN"/>
                    </w:rPr>
                    <w:t>6.</w:t>
                  </w:r>
                  <w:r>
                    <w:rPr>
                      <w:rFonts w:hint="eastAsia" w:ascii="宋体" w:hAnsi="宋体" w:eastAsia="宋体" w:cs="宋体"/>
                      <w:lang w:eastAsia="zh-CN"/>
                    </w:rPr>
                    <w:t>有无利用工作之便借机游山玩水，超标准用餐等情况。</w:t>
                  </w:r>
                </w:p>
              </w:tc>
              <w:tc>
                <w:tcPr>
                  <w:tcW w:w="4042" w:type="dxa"/>
                </w:tcPr>
                <w:p w14:paraId="4D48F401">
                  <w:r>
                    <w:rPr>
                      <w:rFonts w:hint="eastAsia" w:ascii="宋体" w:hAnsi="宋体" w:eastAsia="宋体" w:cs="宋体"/>
                    </w:rPr>
                    <w:t>有口</w:t>
                  </w:r>
                  <w:r>
                    <w:rPr>
                      <w:rFonts w:hint="eastAsia"/>
                    </w:rPr>
                    <w:t xml:space="preserve">             </w:t>
                  </w:r>
                  <w:r>
                    <w:rPr>
                      <w:rFonts w:hint="eastAsia" w:ascii="宋体" w:hAnsi="宋体" w:eastAsia="宋体" w:cs="宋体"/>
                    </w:rPr>
                    <w:t>无口</w:t>
                  </w:r>
                </w:p>
              </w:tc>
            </w:tr>
            <w:tr w14:paraId="54E4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exact"/>
                <w:jc w:val="center"/>
              </w:trPr>
              <w:tc>
                <w:tcPr>
                  <w:tcW w:w="4540" w:type="dxa"/>
                </w:tcPr>
                <w:p w14:paraId="504FE465">
                  <w:pPr>
                    <w:rPr>
                      <w:lang w:eastAsia="zh-CN"/>
                    </w:rPr>
                  </w:pPr>
                  <w:r>
                    <w:rPr>
                      <w:rFonts w:hint="eastAsia"/>
                      <w:lang w:eastAsia="zh-CN"/>
                    </w:rPr>
                    <w:t>7.</w:t>
                  </w:r>
                  <w:r>
                    <w:rPr>
                      <w:rFonts w:hint="eastAsia" w:ascii="宋体" w:hAnsi="宋体" w:eastAsia="宋体" w:cs="宋体"/>
                      <w:lang w:eastAsia="zh-CN"/>
                    </w:rPr>
                    <w:t>有无借审查之机，在受审企业报销应由个人支付的费用。</w:t>
                  </w:r>
                </w:p>
              </w:tc>
              <w:tc>
                <w:tcPr>
                  <w:tcW w:w="4042" w:type="dxa"/>
                </w:tcPr>
                <w:p w14:paraId="70EFBD6D">
                  <w:r>
                    <w:rPr>
                      <w:rFonts w:hint="eastAsia" w:ascii="宋体" w:hAnsi="宋体" w:eastAsia="宋体" w:cs="宋体"/>
                    </w:rPr>
                    <w:t>有口</w:t>
                  </w:r>
                  <w:r>
                    <w:rPr>
                      <w:rFonts w:hint="eastAsia"/>
                    </w:rPr>
                    <w:t xml:space="preserve">             </w:t>
                  </w:r>
                  <w:r>
                    <w:rPr>
                      <w:rFonts w:hint="eastAsia" w:ascii="宋体" w:hAnsi="宋体" w:eastAsia="宋体" w:cs="宋体"/>
                    </w:rPr>
                    <w:t>无口</w:t>
                  </w:r>
                </w:p>
              </w:tc>
            </w:tr>
            <w:tr w14:paraId="19821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exact"/>
                <w:jc w:val="center"/>
              </w:trPr>
              <w:tc>
                <w:tcPr>
                  <w:tcW w:w="4540" w:type="dxa"/>
                </w:tcPr>
                <w:p w14:paraId="5B5FE253">
                  <w:pPr>
                    <w:rPr>
                      <w:lang w:eastAsia="zh-CN"/>
                    </w:rPr>
                  </w:pPr>
                  <w:r>
                    <w:rPr>
                      <w:rFonts w:hint="eastAsia"/>
                      <w:lang w:eastAsia="zh-CN"/>
                    </w:rPr>
                    <w:t>8.</w:t>
                  </w:r>
                  <w:r>
                    <w:rPr>
                      <w:rFonts w:hint="eastAsia" w:ascii="宋体" w:hAnsi="宋体" w:eastAsia="宋体" w:cs="宋体"/>
                      <w:lang w:eastAsia="zh-CN"/>
                    </w:rPr>
                    <w:t>有无其他违纪、违规行为。</w:t>
                  </w:r>
                </w:p>
              </w:tc>
              <w:tc>
                <w:tcPr>
                  <w:tcW w:w="4042" w:type="dxa"/>
                </w:tcPr>
                <w:p w14:paraId="1C5CD175">
                  <w:pPr>
                    <w:rPr>
                      <w:lang w:eastAsia="zh-CN"/>
                    </w:rPr>
                  </w:pPr>
                  <w:r>
                    <w:rPr>
                      <w:rFonts w:hint="eastAsia" w:ascii="宋体" w:hAnsi="宋体" w:eastAsia="宋体" w:cs="宋体"/>
                      <w:lang w:eastAsia="zh-CN"/>
                    </w:rPr>
                    <w:t>有口</w:t>
                  </w:r>
                  <w:r>
                    <w:rPr>
                      <w:rFonts w:hint="eastAsia"/>
                      <w:lang w:eastAsia="zh-CN"/>
                    </w:rPr>
                    <w:t xml:space="preserve">             </w:t>
                  </w:r>
                  <w:r>
                    <w:rPr>
                      <w:rFonts w:hint="eastAsia" w:ascii="宋体" w:hAnsi="宋体" w:eastAsia="宋体" w:cs="宋体"/>
                      <w:lang w:eastAsia="zh-CN"/>
                    </w:rPr>
                    <w:t>无口</w:t>
                  </w:r>
                </w:p>
              </w:tc>
            </w:tr>
          </w:tbl>
          <w:p w14:paraId="35012CCD">
            <w:pPr>
              <w:rPr>
                <w:lang w:eastAsia="zh-CN"/>
              </w:rPr>
            </w:pPr>
            <w:r>
              <w:rPr>
                <w:rFonts w:hint="eastAsia" w:ascii="宋体" w:hAnsi="宋体" w:eastAsia="宋体" w:cs="宋体"/>
                <w:lang w:eastAsia="zh-CN"/>
              </w:rPr>
              <w:t>企业负责人签名：</w:t>
            </w:r>
            <w:r>
              <w:rPr>
                <w:rFonts w:hint="eastAsia"/>
                <w:lang w:eastAsia="zh-CN"/>
              </w:rPr>
              <w:t xml:space="preserve">                                     </w:t>
            </w:r>
            <w:r>
              <w:rPr>
                <w:rFonts w:hint="eastAsia" w:ascii="宋体" w:hAnsi="宋体" w:eastAsia="宋体" w:cs="宋体"/>
                <w:lang w:eastAsia="zh-CN"/>
              </w:rPr>
              <w:t>企业名称（盖章）：</w:t>
            </w:r>
          </w:p>
          <w:p w14:paraId="29CE8AF2">
            <w:pPr>
              <w:rPr>
                <w:lang w:eastAsia="zh-CN"/>
              </w:rPr>
            </w:pPr>
          </w:p>
          <w:p w14:paraId="0B56EC2A">
            <w:pPr>
              <w:rPr>
                <w:lang w:eastAsia="zh-CN"/>
              </w:rPr>
            </w:pPr>
            <w:r>
              <w:rPr>
                <w:rFonts w:hint="eastAsia" w:ascii="宋体" w:hAnsi="宋体" w:eastAsia="宋体" w:cs="宋体"/>
                <w:lang w:eastAsia="zh-CN"/>
              </w:rPr>
              <w:t>联系电话：</w:t>
            </w:r>
            <w:r>
              <w:rPr>
                <w:rFonts w:hint="eastAsia"/>
                <w:lang w:eastAsia="zh-CN"/>
              </w:rPr>
              <w:t xml:space="preserve">                                                </w:t>
            </w:r>
            <w:r>
              <w:rPr>
                <w:rFonts w:hint="eastAsia" w:ascii="宋体" w:hAnsi="宋体" w:eastAsia="宋体" w:cs="宋体"/>
                <w:lang w:eastAsia="zh-CN"/>
              </w:rPr>
              <w:t>年</w:t>
            </w:r>
            <w:r>
              <w:rPr>
                <w:rFonts w:hint="eastAsia"/>
                <w:lang w:eastAsia="zh-CN"/>
              </w:rPr>
              <w:t xml:space="preserve">   </w:t>
            </w:r>
            <w:r>
              <w:rPr>
                <w:rFonts w:hint="eastAsia" w:ascii="宋体" w:hAnsi="宋体" w:eastAsia="宋体" w:cs="宋体"/>
                <w:lang w:eastAsia="zh-CN"/>
              </w:rPr>
              <w:t>月</w:t>
            </w:r>
            <w:r>
              <w:rPr>
                <w:rFonts w:hint="eastAsia"/>
                <w:lang w:eastAsia="zh-CN"/>
              </w:rPr>
              <w:t xml:space="preserve">   </w:t>
            </w:r>
            <w:r>
              <w:rPr>
                <w:rFonts w:hint="eastAsia" w:ascii="宋体" w:hAnsi="宋体" w:eastAsia="宋体" w:cs="宋体"/>
                <w:lang w:eastAsia="zh-CN"/>
              </w:rPr>
              <w:t>日</w:t>
            </w:r>
          </w:p>
          <w:p w14:paraId="099718F5">
            <w:pPr>
              <w:rPr>
                <w:lang w:eastAsia="zh-CN"/>
              </w:rPr>
            </w:pPr>
          </w:p>
          <w:p w14:paraId="053F3915">
            <w:pPr>
              <w:rPr>
                <w:rFonts w:ascii="宋体" w:hAnsi="宋体" w:cs="宋体"/>
                <w:lang w:eastAsia="zh-CN"/>
              </w:rPr>
            </w:pPr>
            <w:r>
              <w:rPr>
                <w:rFonts w:hint="eastAsia"/>
                <w:lang w:eastAsia="zh-CN"/>
              </w:rPr>
              <w:t xml:space="preserve">    </w:t>
            </w:r>
            <w:r>
              <w:rPr>
                <w:rFonts w:hint="eastAsia" w:ascii="宋体" w:hAnsi="宋体" w:eastAsia="宋体" w:cs="宋体"/>
                <w:lang w:eastAsia="zh-CN"/>
              </w:rPr>
              <w:t>注：</w:t>
            </w:r>
          </w:p>
          <w:p w14:paraId="7E683524">
            <w:pPr>
              <w:rPr>
                <w:lang w:eastAsia="zh-CN"/>
              </w:rPr>
            </w:pPr>
            <w:r>
              <w:rPr>
                <w:rFonts w:hint="eastAsia"/>
                <w:lang w:eastAsia="zh-CN"/>
              </w:rPr>
              <w:t>1</w:t>
            </w:r>
            <w:r>
              <w:rPr>
                <w:rFonts w:hint="eastAsia" w:ascii="宋体" w:hAnsi="宋体" w:eastAsia="宋体" w:cs="宋体"/>
                <w:lang w:eastAsia="zh-CN"/>
              </w:rPr>
              <w:t>、</w:t>
            </w:r>
            <w:r>
              <w:rPr>
                <w:rFonts w:hint="eastAsia"/>
                <w:lang w:eastAsia="zh-CN"/>
              </w:rPr>
              <w:t xml:space="preserve"> </w:t>
            </w:r>
            <w:r>
              <w:rPr>
                <w:rFonts w:hint="eastAsia" w:ascii="宋体" w:hAnsi="宋体" w:eastAsia="宋体" w:cs="宋体"/>
                <w:lang w:eastAsia="zh-CN"/>
              </w:rPr>
              <w:t>本反馈意见表在评审结束时，由企业如实填写；</w:t>
            </w:r>
          </w:p>
          <w:p w14:paraId="33FA5CBB">
            <w:pPr>
              <w:rPr>
                <w:lang w:eastAsia="zh-CN"/>
              </w:rPr>
            </w:pPr>
            <w:r>
              <w:rPr>
                <w:rFonts w:hint="eastAsia"/>
                <w:lang w:eastAsia="zh-CN"/>
              </w:rPr>
              <w:t>2</w:t>
            </w:r>
            <w:r>
              <w:rPr>
                <w:rFonts w:hint="eastAsia" w:ascii="宋体" w:hAnsi="宋体" w:eastAsia="宋体" w:cs="宋体"/>
                <w:lang w:eastAsia="zh-CN"/>
              </w:rPr>
              <w:t>、</w:t>
            </w:r>
            <w:r>
              <w:rPr>
                <w:rFonts w:hint="eastAsia"/>
                <w:lang w:eastAsia="zh-CN"/>
              </w:rPr>
              <w:t xml:space="preserve"> </w:t>
            </w:r>
            <w:r>
              <w:rPr>
                <w:rFonts w:hint="eastAsia" w:ascii="宋体" w:hAnsi="宋体" w:eastAsia="宋体" w:cs="宋体"/>
                <w:lang w:eastAsia="zh-CN"/>
              </w:rPr>
              <w:t>企业负责人签名、企业盖章；</w:t>
            </w:r>
          </w:p>
          <w:p w14:paraId="3249A99C">
            <w:r>
              <w:rPr>
                <w:rFonts w:hint="eastAsia"/>
              </w:rPr>
              <w:t>3</w:t>
            </w:r>
            <w:r>
              <w:rPr>
                <w:rFonts w:hint="eastAsia" w:ascii="宋体" w:hAnsi="宋体" w:eastAsia="宋体" w:cs="宋体"/>
              </w:rPr>
              <w:t>、</w:t>
            </w:r>
            <w:r>
              <w:rPr>
                <w:rFonts w:hint="eastAsia"/>
              </w:rPr>
              <w:t xml:space="preserve"> </w:t>
            </w:r>
            <w:r>
              <w:rPr>
                <w:rFonts w:hint="eastAsia" w:ascii="宋体" w:hAnsi="宋体" w:eastAsia="宋体" w:cs="宋体"/>
              </w:rPr>
              <w:t>评审结束后，</w:t>
            </w:r>
            <w:r>
              <w:rPr>
                <w:rFonts w:hint="eastAsia"/>
              </w:rPr>
              <w:t>7</w:t>
            </w:r>
            <w:r>
              <w:rPr>
                <w:rFonts w:hint="eastAsia" w:ascii="宋体" w:hAnsi="宋体" w:eastAsia="宋体" w:cs="宋体"/>
              </w:rPr>
              <w:t>日内，扫描发送至省局审批办意见建议反馈邮箱：</w:t>
            </w:r>
            <w:r>
              <w:rPr>
                <w:rFonts w:hint="eastAsia"/>
              </w:rPr>
              <w:t>ahsscjdgljspb@126.com</w:t>
            </w:r>
            <w:r>
              <w:rPr>
                <w:rFonts w:hint="eastAsia" w:ascii="宋体" w:hAnsi="宋体" w:eastAsia="宋体" w:cs="宋体"/>
              </w:rPr>
              <w:t>。</w:t>
            </w:r>
          </w:p>
          <w:p w14:paraId="10E0EE6F">
            <w:pPr>
              <w:pStyle w:val="40"/>
              <w:rPr>
                <w:sz w:val="21"/>
              </w:rPr>
            </w:pPr>
          </w:p>
        </w:tc>
      </w:tr>
    </w:tbl>
    <w:p w14:paraId="582774D8">
      <w:pPr>
        <w:pStyle w:val="2"/>
        <w:rPr>
          <w:lang w:eastAsia="zh-CN"/>
        </w:rPr>
        <w:sectPr>
          <w:pgSz w:w="11905" w:h="16840"/>
          <w:pgMar w:top="400" w:right="1416" w:bottom="1314" w:left="1141" w:header="1417" w:footer="1134" w:gutter="0"/>
          <w:cols w:space="720" w:num="1"/>
          <w:docGrid w:linePitch="286" w:charSpace="0"/>
        </w:sectPr>
      </w:pPr>
    </w:p>
    <w:tbl>
      <w:tblPr>
        <w:tblStyle w:val="6"/>
        <w:tblW w:w="14581" w:type="dxa"/>
        <w:jc w:val="center"/>
        <w:tblLayout w:type="autofit"/>
        <w:tblCellMar>
          <w:top w:w="0" w:type="dxa"/>
          <w:left w:w="108" w:type="dxa"/>
          <w:bottom w:w="0" w:type="dxa"/>
          <w:right w:w="108" w:type="dxa"/>
        </w:tblCellMar>
      </w:tblPr>
      <w:tblGrid>
        <w:gridCol w:w="1134"/>
        <w:gridCol w:w="1056"/>
        <w:gridCol w:w="9660"/>
        <w:gridCol w:w="968"/>
        <w:gridCol w:w="1763"/>
      </w:tblGrid>
      <w:tr w14:paraId="34EFE2AB">
        <w:tblPrEx>
          <w:tblCellMar>
            <w:top w:w="0" w:type="dxa"/>
            <w:left w:w="108" w:type="dxa"/>
            <w:bottom w:w="0" w:type="dxa"/>
            <w:right w:w="108" w:type="dxa"/>
          </w:tblCellMar>
        </w:tblPrEx>
        <w:trPr>
          <w:trHeight w:val="762" w:hRule="atLeast"/>
          <w:jc w:val="center"/>
        </w:trPr>
        <w:tc>
          <w:tcPr>
            <w:tcW w:w="14581" w:type="dxa"/>
            <w:gridSpan w:val="5"/>
            <w:tcBorders>
              <w:top w:val="nil"/>
              <w:left w:val="nil"/>
              <w:bottom w:val="nil"/>
              <w:right w:val="nil"/>
            </w:tcBorders>
            <w:shd w:val="clear" w:color="auto" w:fill="auto"/>
            <w:vAlign w:val="center"/>
          </w:tcPr>
          <w:p w14:paraId="01413CF8">
            <w:pPr>
              <w:pStyle w:val="2"/>
              <w:rPr>
                <w:lang w:eastAsia="zh-CN"/>
              </w:rPr>
            </w:pPr>
            <w:r>
              <w:rPr>
                <w:lang w:eastAsia="zh-CN"/>
              </w:rPr>
              <w:t xml:space="preserve">附录 </w:t>
            </w:r>
            <w:r>
              <w:rPr>
                <w:rFonts w:hint="eastAsia"/>
                <w:lang w:eastAsia="zh-CN"/>
              </w:rPr>
              <w:t>G</w:t>
            </w:r>
          </w:p>
          <w:p w14:paraId="43E73D6B">
            <w:pPr>
              <w:rPr>
                <w:rFonts w:eastAsiaTheme="minorEastAsia"/>
                <w:lang w:eastAsia="zh-CN"/>
              </w:rPr>
            </w:pPr>
            <w:r>
              <w:rPr>
                <w:lang w:eastAsia="zh-CN"/>
              </w:rPr>
              <w:t>（资料性）</w:t>
            </w:r>
          </w:p>
          <w:p w14:paraId="68357553">
            <w:pPr>
              <w:rPr>
                <w:lang w:eastAsia="zh-CN" w:bidi="sa-IN"/>
              </w:rPr>
            </w:pPr>
            <w:r>
              <w:rPr>
                <w:lang w:eastAsia="zh-CN" w:bidi="sa-IN"/>
              </w:rPr>
              <w:t>保健食品生产许可</w:t>
            </w:r>
            <w:r>
              <w:rPr>
                <w:rFonts w:hint="eastAsia"/>
                <w:lang w:eastAsia="zh-CN" w:bidi="sa-IN"/>
              </w:rPr>
              <w:t>现场评审指引</w:t>
            </w:r>
          </w:p>
        </w:tc>
      </w:tr>
      <w:tr w14:paraId="5ACFBEB1">
        <w:tblPrEx>
          <w:tblCellMar>
            <w:top w:w="0" w:type="dxa"/>
            <w:left w:w="108" w:type="dxa"/>
            <w:bottom w:w="0" w:type="dxa"/>
            <w:right w:w="108" w:type="dxa"/>
          </w:tblCellMar>
        </w:tblPrEx>
        <w:trPr>
          <w:trHeight w:val="585" w:hRule="atLeast"/>
          <w:jc w:val="center"/>
        </w:trPr>
        <w:tc>
          <w:tcPr>
            <w:tcW w:w="145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A4A974C">
            <w:pPr>
              <w:rPr>
                <w:lang w:bidi="sa-IN"/>
              </w:rPr>
            </w:pPr>
            <w:r>
              <w:rPr>
                <w:rFonts w:hint="eastAsia" w:ascii="宋体" w:hAnsi="宋体" w:eastAsia="宋体" w:cs="宋体"/>
                <w:lang w:bidi="sa-IN"/>
              </w:rPr>
              <w:t>一、机构与人员</w:t>
            </w:r>
          </w:p>
        </w:tc>
      </w:tr>
      <w:tr w14:paraId="2054938E">
        <w:tblPrEx>
          <w:tblCellMar>
            <w:top w:w="0" w:type="dxa"/>
            <w:left w:w="108" w:type="dxa"/>
            <w:bottom w:w="0" w:type="dxa"/>
            <w:right w:w="108" w:type="dxa"/>
          </w:tblCellMar>
        </w:tblPrEx>
        <w:trPr>
          <w:trHeight w:val="762" w:hRule="atLeast"/>
          <w:jc w:val="center"/>
        </w:trPr>
        <w:tc>
          <w:tcPr>
            <w:tcW w:w="1134" w:type="dxa"/>
            <w:tcBorders>
              <w:top w:val="nil"/>
              <w:left w:val="single" w:color="auto" w:sz="4" w:space="0"/>
              <w:bottom w:val="single" w:color="auto" w:sz="4" w:space="0"/>
              <w:right w:val="single" w:color="auto" w:sz="4" w:space="0"/>
            </w:tcBorders>
            <w:shd w:val="clear" w:color="auto" w:fill="auto"/>
            <w:vAlign w:val="center"/>
          </w:tcPr>
          <w:p w14:paraId="310FBD81">
            <w:pPr>
              <w:rPr>
                <w:lang w:bidi="sa-IN"/>
              </w:rPr>
            </w:pPr>
            <w:r>
              <w:rPr>
                <w:rFonts w:hint="eastAsia" w:ascii="宋体" w:hAnsi="宋体" w:eastAsia="宋体" w:cs="宋体"/>
                <w:lang w:bidi="sa-IN"/>
              </w:rPr>
              <w:t>审查项目</w:t>
            </w:r>
          </w:p>
        </w:tc>
        <w:tc>
          <w:tcPr>
            <w:tcW w:w="1056" w:type="dxa"/>
            <w:tcBorders>
              <w:top w:val="nil"/>
              <w:left w:val="nil"/>
              <w:bottom w:val="single" w:color="auto" w:sz="4" w:space="0"/>
              <w:right w:val="single" w:color="auto" w:sz="4" w:space="0"/>
            </w:tcBorders>
            <w:shd w:val="clear" w:color="auto" w:fill="auto"/>
            <w:vAlign w:val="center"/>
          </w:tcPr>
          <w:p w14:paraId="1E48A420">
            <w:pPr>
              <w:rPr>
                <w:lang w:bidi="sa-IN"/>
              </w:rPr>
            </w:pPr>
            <w:r>
              <w:rPr>
                <w:lang w:bidi="sa-IN"/>
              </w:rPr>
              <w:t>序号</w:t>
            </w:r>
          </w:p>
        </w:tc>
        <w:tc>
          <w:tcPr>
            <w:tcW w:w="9660" w:type="dxa"/>
            <w:tcBorders>
              <w:top w:val="nil"/>
              <w:left w:val="nil"/>
              <w:bottom w:val="single" w:color="auto" w:sz="4" w:space="0"/>
              <w:right w:val="single" w:color="auto" w:sz="4" w:space="0"/>
            </w:tcBorders>
            <w:shd w:val="clear" w:color="auto" w:fill="auto"/>
            <w:vAlign w:val="center"/>
          </w:tcPr>
          <w:p w14:paraId="7C5ABC86">
            <w:pPr>
              <w:rPr>
                <w:rFonts w:eastAsiaTheme="minorEastAsia"/>
                <w:lang w:eastAsia="zh-CN" w:bidi="sa-IN"/>
              </w:rPr>
            </w:pPr>
            <w:r>
              <w:rPr>
                <w:lang w:bidi="sa-IN"/>
              </w:rPr>
              <w:t>审查内容</w:t>
            </w:r>
          </w:p>
        </w:tc>
        <w:tc>
          <w:tcPr>
            <w:tcW w:w="968" w:type="dxa"/>
            <w:tcBorders>
              <w:top w:val="nil"/>
              <w:left w:val="nil"/>
              <w:bottom w:val="single" w:color="auto" w:sz="4" w:space="0"/>
              <w:right w:val="single" w:color="auto" w:sz="4" w:space="0"/>
            </w:tcBorders>
            <w:shd w:val="clear" w:color="auto" w:fill="auto"/>
            <w:vAlign w:val="center"/>
          </w:tcPr>
          <w:p w14:paraId="67123957">
            <w:pPr>
              <w:rPr>
                <w:spacing w:val="-12"/>
                <w:sz w:val="20"/>
                <w:szCs w:val="20"/>
                <w:lang w:bidi="sa-IN"/>
              </w:rPr>
            </w:pPr>
            <w:r>
              <w:rPr>
                <w:rFonts w:hint="eastAsia"/>
                <w:lang w:eastAsia="zh-CN"/>
              </w:rPr>
              <w:t>备注</w:t>
            </w:r>
          </w:p>
        </w:tc>
        <w:tc>
          <w:tcPr>
            <w:tcW w:w="1763" w:type="dxa"/>
            <w:tcBorders>
              <w:top w:val="nil"/>
              <w:left w:val="nil"/>
              <w:bottom w:val="single" w:color="auto" w:sz="4" w:space="0"/>
              <w:right w:val="single" w:color="auto" w:sz="4" w:space="0"/>
            </w:tcBorders>
            <w:shd w:val="clear" w:color="auto" w:fill="auto"/>
            <w:vAlign w:val="center"/>
          </w:tcPr>
          <w:p w14:paraId="52FAFE92">
            <w:pPr>
              <w:rPr>
                <w:sz w:val="22"/>
                <w:szCs w:val="22"/>
                <w:lang w:bidi="sa-IN"/>
              </w:rPr>
            </w:pPr>
            <w:r>
              <w:rPr>
                <w:rFonts w:hint="eastAsia"/>
                <w:lang w:eastAsia="zh-CN"/>
              </w:rPr>
              <w:t>现场评审指引</w:t>
            </w:r>
          </w:p>
        </w:tc>
      </w:tr>
      <w:tr w14:paraId="5E8DDBBB">
        <w:tblPrEx>
          <w:tblCellMar>
            <w:top w:w="0" w:type="dxa"/>
            <w:left w:w="108" w:type="dxa"/>
            <w:bottom w:w="0" w:type="dxa"/>
            <w:right w:w="108" w:type="dxa"/>
          </w:tblCellMar>
        </w:tblPrEx>
        <w:trPr>
          <w:trHeight w:val="615" w:hRule="atLeast"/>
          <w:jc w:val="center"/>
        </w:trPr>
        <w:tc>
          <w:tcPr>
            <w:tcW w:w="1134" w:type="dxa"/>
            <w:vMerge w:val="restart"/>
            <w:tcBorders>
              <w:top w:val="nil"/>
              <w:left w:val="single" w:color="auto" w:sz="4" w:space="0"/>
              <w:bottom w:val="single" w:color="auto" w:sz="4" w:space="0"/>
              <w:right w:val="single" w:color="auto" w:sz="4" w:space="0"/>
            </w:tcBorders>
            <w:shd w:val="clear" w:color="auto" w:fill="auto"/>
            <w:vAlign w:val="center"/>
          </w:tcPr>
          <w:p w14:paraId="2C6A1889">
            <w:pPr>
              <w:rPr>
                <w:lang w:bidi="sa-IN"/>
              </w:rPr>
            </w:pPr>
            <w:r>
              <w:rPr>
                <w:rFonts w:hint="eastAsia" w:ascii="宋体" w:hAnsi="宋体" w:eastAsia="宋体" w:cs="宋体"/>
                <w:lang w:bidi="sa-IN"/>
              </w:rPr>
              <w:t>组织机构</w:t>
            </w:r>
          </w:p>
        </w:tc>
        <w:tc>
          <w:tcPr>
            <w:tcW w:w="1056" w:type="dxa"/>
            <w:tcBorders>
              <w:top w:val="nil"/>
              <w:left w:val="nil"/>
              <w:bottom w:val="single" w:color="auto" w:sz="4" w:space="0"/>
              <w:right w:val="single" w:color="auto" w:sz="4" w:space="0"/>
            </w:tcBorders>
            <w:shd w:val="clear" w:color="auto" w:fill="auto"/>
            <w:vAlign w:val="center"/>
          </w:tcPr>
          <w:p w14:paraId="7D6C6E32">
            <w:pPr>
              <w:rPr>
                <w:lang w:bidi="sa-IN"/>
              </w:rPr>
            </w:pPr>
            <w:r>
              <w:rPr>
                <w:lang w:bidi="sa-IN"/>
              </w:rPr>
              <w:t>*1.1</w:t>
            </w:r>
          </w:p>
        </w:tc>
        <w:tc>
          <w:tcPr>
            <w:tcW w:w="9660" w:type="dxa"/>
            <w:tcBorders>
              <w:top w:val="nil"/>
              <w:left w:val="nil"/>
              <w:bottom w:val="single" w:color="auto" w:sz="4" w:space="0"/>
              <w:right w:val="single" w:color="auto" w:sz="4" w:space="0"/>
            </w:tcBorders>
            <w:shd w:val="clear" w:color="auto" w:fill="auto"/>
            <w:vAlign w:val="center"/>
          </w:tcPr>
          <w:p w14:paraId="1B85A3EB">
            <w:pPr>
              <w:rPr>
                <w:lang w:eastAsia="zh-CN" w:bidi="sa-IN"/>
              </w:rPr>
            </w:pPr>
            <w:r>
              <w:rPr>
                <w:lang w:eastAsia="zh-CN" w:bidi="sa-IN"/>
              </w:rPr>
              <w:t>建立健全组织机构</w:t>
            </w:r>
            <w:r>
              <w:rPr>
                <w:rFonts w:hint="eastAsia"/>
                <w:lang w:eastAsia="zh-CN" w:bidi="sa-IN"/>
              </w:rPr>
              <w:t>，</w:t>
            </w:r>
            <w:r>
              <w:rPr>
                <w:lang w:eastAsia="zh-CN" w:bidi="sa-IN"/>
              </w:rPr>
              <w:t>完善质量管理制度，明确各部门与人员的职责分工。</w:t>
            </w:r>
          </w:p>
        </w:tc>
        <w:tc>
          <w:tcPr>
            <w:tcW w:w="968" w:type="dxa"/>
            <w:tcBorders>
              <w:top w:val="nil"/>
              <w:left w:val="nil"/>
              <w:bottom w:val="single" w:color="auto" w:sz="4" w:space="0"/>
              <w:right w:val="single" w:color="auto" w:sz="4" w:space="0"/>
            </w:tcBorders>
            <w:shd w:val="clear" w:color="auto" w:fill="auto"/>
            <w:vAlign w:val="center"/>
          </w:tcPr>
          <w:p w14:paraId="073F1085">
            <w:pPr>
              <w:rPr>
                <w:lang w:eastAsia="zh-CN" w:bidi="sa-IN"/>
              </w:rPr>
            </w:pPr>
            <w:r>
              <w:rPr>
                <w:lang w:eastAsia="zh-CN" w:bidi="sa-IN"/>
              </w:rPr>
              <w:t>　</w:t>
            </w:r>
          </w:p>
        </w:tc>
        <w:tc>
          <w:tcPr>
            <w:tcW w:w="1763" w:type="dxa"/>
            <w:vMerge w:val="restart"/>
            <w:tcBorders>
              <w:top w:val="nil"/>
              <w:left w:val="single" w:color="auto" w:sz="4" w:space="0"/>
              <w:bottom w:val="single" w:color="auto" w:sz="4" w:space="0"/>
              <w:right w:val="single" w:color="auto" w:sz="4" w:space="0"/>
            </w:tcBorders>
            <w:shd w:val="clear" w:color="auto" w:fill="auto"/>
            <w:vAlign w:val="center"/>
          </w:tcPr>
          <w:p w14:paraId="57566A33">
            <w:pPr>
              <w:rPr>
                <w:lang w:eastAsia="zh-CN" w:bidi="sa-IN"/>
              </w:rPr>
            </w:pPr>
            <w:r>
              <w:rPr>
                <w:sz w:val="22"/>
                <w:szCs w:val="22"/>
                <w:lang w:eastAsia="zh-CN" w:bidi="sa-IN"/>
              </w:rPr>
              <w:t>　</w:t>
            </w:r>
            <w:r>
              <w:rPr>
                <w:rFonts w:hint="eastAsia"/>
                <w:lang w:eastAsia="zh-CN" w:bidi="sa-IN"/>
              </w:rPr>
              <w:t>查看保健食品质量管理规章制度、保健食品生产质量管理体系文件。</w:t>
            </w:r>
          </w:p>
          <w:p w14:paraId="5E4692EA">
            <w:pPr>
              <w:rPr>
                <w:lang w:eastAsia="zh-CN" w:bidi="sa-IN"/>
              </w:rPr>
            </w:pPr>
          </w:p>
        </w:tc>
      </w:tr>
      <w:tr w14:paraId="2734E1BE">
        <w:tblPrEx>
          <w:tblCellMar>
            <w:top w:w="0" w:type="dxa"/>
            <w:left w:w="108" w:type="dxa"/>
            <w:bottom w:w="0" w:type="dxa"/>
            <w:right w:w="108" w:type="dxa"/>
          </w:tblCellMar>
        </w:tblPrEx>
        <w:trPr>
          <w:trHeight w:val="1395"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5EB5BF8F">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2E78897C">
            <w:pPr>
              <w:rPr>
                <w:lang w:bidi="sa-IN"/>
              </w:rPr>
            </w:pPr>
            <w:r>
              <w:rPr>
                <w:lang w:bidi="sa-IN"/>
              </w:rPr>
              <w:t>1.2</w:t>
            </w:r>
          </w:p>
        </w:tc>
        <w:tc>
          <w:tcPr>
            <w:tcW w:w="9660" w:type="dxa"/>
            <w:tcBorders>
              <w:top w:val="nil"/>
              <w:left w:val="nil"/>
              <w:bottom w:val="single" w:color="auto" w:sz="4" w:space="0"/>
              <w:right w:val="single" w:color="auto" w:sz="4" w:space="0"/>
            </w:tcBorders>
            <w:shd w:val="clear" w:color="auto" w:fill="auto"/>
            <w:vAlign w:val="center"/>
          </w:tcPr>
          <w:p w14:paraId="6F61DCF7">
            <w:pPr>
              <w:rPr>
                <w:lang w:eastAsia="zh-CN" w:bidi="sa-IN"/>
              </w:rPr>
            </w:pPr>
            <w:r>
              <w:rPr>
                <w:lang w:eastAsia="zh-CN" w:bidi="sa-IN"/>
              </w:rPr>
              <w:t>企业应当设立独立的质量管理部门，至少应具有以下职责：</w:t>
            </w:r>
            <w:r>
              <w:rPr>
                <w:rFonts w:hint="eastAsia" w:ascii="宋体" w:hAnsi="宋体" w:cs="宋体"/>
                <w:lang w:eastAsia="zh-CN" w:bidi="sa-IN"/>
              </w:rPr>
              <w:t>①</w:t>
            </w:r>
            <w:r>
              <w:rPr>
                <w:lang w:eastAsia="zh-CN" w:bidi="sa-IN"/>
              </w:rPr>
              <w:t>审核并放行原辅料、包装材料、中间产品和成品；</w:t>
            </w:r>
            <w:r>
              <w:rPr>
                <w:rFonts w:hint="eastAsia" w:ascii="宋体" w:hAnsi="宋体" w:cs="宋体"/>
                <w:lang w:eastAsia="zh-CN" w:bidi="sa-IN"/>
              </w:rPr>
              <w:t>②</w:t>
            </w:r>
            <w:r>
              <w:rPr>
                <w:lang w:eastAsia="zh-CN" w:bidi="sa-IN"/>
              </w:rPr>
              <w:t>审核工艺操作规程以及投料、生产、检验等各项记录，监督产品的生产过程；</w:t>
            </w:r>
            <w:r>
              <w:rPr>
                <w:rFonts w:hint="eastAsia" w:ascii="宋体" w:hAnsi="宋体" w:cs="宋体"/>
                <w:lang w:eastAsia="zh-CN" w:bidi="sa-IN"/>
              </w:rPr>
              <w:t>③</w:t>
            </w:r>
            <w:r>
              <w:rPr>
                <w:lang w:eastAsia="zh-CN" w:bidi="sa-IN"/>
              </w:rPr>
              <w:t>批准质量标准、取样方法、检验方法和其他质量管理规程；</w:t>
            </w:r>
            <w:r>
              <w:rPr>
                <w:rFonts w:hint="eastAsia" w:ascii="宋体" w:hAnsi="宋体" w:cs="宋体"/>
                <w:lang w:eastAsia="zh-CN" w:bidi="sa-IN"/>
              </w:rPr>
              <w:t>④</w:t>
            </w:r>
            <w:r>
              <w:rPr>
                <w:lang w:eastAsia="zh-CN" w:bidi="sa-IN"/>
              </w:rPr>
              <w:t>审核和监督原辅料、包装材料供应商；</w:t>
            </w:r>
            <w:r>
              <w:rPr>
                <w:rFonts w:hint="eastAsia" w:ascii="宋体" w:hAnsi="宋体" w:cs="宋体"/>
                <w:lang w:eastAsia="zh-CN" w:bidi="sa-IN"/>
              </w:rPr>
              <w:t>⑤</w:t>
            </w:r>
            <w:r>
              <w:rPr>
                <w:lang w:eastAsia="zh-CN" w:bidi="sa-IN"/>
              </w:rPr>
              <w:t>监督生产厂房和设施设备的维护情况，以保持其良好的运行状态。</w:t>
            </w:r>
          </w:p>
        </w:tc>
        <w:tc>
          <w:tcPr>
            <w:tcW w:w="968" w:type="dxa"/>
            <w:tcBorders>
              <w:top w:val="nil"/>
              <w:left w:val="nil"/>
              <w:bottom w:val="single" w:color="auto" w:sz="4" w:space="0"/>
              <w:right w:val="single" w:color="auto" w:sz="4" w:space="0"/>
            </w:tcBorders>
            <w:shd w:val="clear" w:color="auto" w:fill="auto"/>
            <w:vAlign w:val="center"/>
          </w:tcPr>
          <w:p w14:paraId="22BEB4AA">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338A59FB">
            <w:pPr>
              <w:rPr>
                <w:lang w:eastAsia="zh-CN" w:bidi="sa-IN"/>
              </w:rPr>
            </w:pPr>
          </w:p>
        </w:tc>
      </w:tr>
      <w:tr w14:paraId="5959BE8F">
        <w:tblPrEx>
          <w:tblCellMar>
            <w:top w:w="0" w:type="dxa"/>
            <w:left w:w="108" w:type="dxa"/>
            <w:bottom w:w="0" w:type="dxa"/>
            <w:right w:w="108" w:type="dxa"/>
          </w:tblCellMar>
        </w:tblPrEx>
        <w:trPr>
          <w:trHeight w:val="1320"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7BB17F2E">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42F30E87">
            <w:pPr>
              <w:rPr>
                <w:lang w:bidi="sa-IN"/>
              </w:rPr>
            </w:pPr>
            <w:r>
              <w:rPr>
                <w:lang w:bidi="sa-IN"/>
              </w:rPr>
              <w:t>1.3</w:t>
            </w:r>
          </w:p>
        </w:tc>
        <w:tc>
          <w:tcPr>
            <w:tcW w:w="9660" w:type="dxa"/>
            <w:tcBorders>
              <w:top w:val="nil"/>
              <w:left w:val="nil"/>
              <w:bottom w:val="single" w:color="auto" w:sz="4" w:space="0"/>
              <w:right w:val="single" w:color="auto" w:sz="4" w:space="0"/>
            </w:tcBorders>
            <w:shd w:val="clear" w:color="auto" w:fill="auto"/>
            <w:vAlign w:val="center"/>
          </w:tcPr>
          <w:p w14:paraId="3CE73C51">
            <w:pPr>
              <w:rPr>
                <w:lang w:eastAsia="zh-CN" w:bidi="sa-IN"/>
              </w:rPr>
            </w:pPr>
            <w:r>
              <w:rPr>
                <w:lang w:eastAsia="zh-CN" w:bidi="sa-IN"/>
              </w:rPr>
              <w:t>企业生产管理部门至少应具有以下职责：</w:t>
            </w:r>
            <w:r>
              <w:rPr>
                <w:rFonts w:hint="eastAsia" w:ascii="宋体" w:hAnsi="宋体" w:cs="宋体"/>
                <w:lang w:eastAsia="zh-CN" w:bidi="sa-IN"/>
              </w:rPr>
              <w:t>①</w:t>
            </w:r>
            <w:r>
              <w:rPr>
                <w:lang w:eastAsia="zh-CN" w:bidi="sa-IN"/>
              </w:rPr>
              <w:t>按照生产工艺和控制参数的要求组织生产；</w:t>
            </w:r>
            <w:r>
              <w:rPr>
                <w:rFonts w:hint="eastAsia" w:ascii="宋体" w:hAnsi="宋体" w:cs="宋体"/>
                <w:lang w:eastAsia="zh-CN" w:bidi="sa-IN"/>
              </w:rPr>
              <w:t>②</w:t>
            </w:r>
            <w:r>
              <w:rPr>
                <w:lang w:eastAsia="zh-CN" w:bidi="sa-IN"/>
              </w:rPr>
              <w:t>严格执行各项生产岗位操作规程；</w:t>
            </w:r>
            <w:r>
              <w:rPr>
                <w:rFonts w:hint="eastAsia" w:ascii="宋体" w:hAnsi="宋体" w:cs="宋体"/>
                <w:lang w:eastAsia="zh-CN" w:bidi="sa-IN"/>
              </w:rPr>
              <w:t>③</w:t>
            </w:r>
            <w:r>
              <w:rPr>
                <w:lang w:eastAsia="zh-CN" w:bidi="sa-IN"/>
              </w:rPr>
              <w:t xml:space="preserve"> 审核产品批生产记录，调查处理生产偏差；</w:t>
            </w:r>
            <w:r>
              <w:rPr>
                <w:rFonts w:hint="eastAsia" w:ascii="宋体" w:hAnsi="宋体" w:cs="宋体"/>
                <w:lang w:eastAsia="zh-CN" w:bidi="sa-IN"/>
              </w:rPr>
              <w:t>④</w:t>
            </w:r>
            <w:r>
              <w:rPr>
                <w:lang w:eastAsia="zh-CN" w:bidi="sa-IN"/>
              </w:rPr>
              <w:t xml:space="preserve"> 实施生产工艺验证，确保生产过程合理有序；</w:t>
            </w:r>
            <w:r>
              <w:rPr>
                <w:rFonts w:hint="eastAsia" w:ascii="宋体" w:hAnsi="宋体" w:cs="宋体"/>
                <w:lang w:eastAsia="zh-CN" w:bidi="sa-IN"/>
              </w:rPr>
              <w:t>⑤</w:t>
            </w:r>
            <w:r>
              <w:rPr>
                <w:lang w:eastAsia="zh-CN" w:bidi="sa-IN"/>
              </w:rPr>
              <w:t xml:space="preserve"> 检查确认生产厂房和设施设备处于良好运行状态。</w:t>
            </w:r>
          </w:p>
        </w:tc>
        <w:tc>
          <w:tcPr>
            <w:tcW w:w="968" w:type="dxa"/>
            <w:tcBorders>
              <w:top w:val="nil"/>
              <w:left w:val="nil"/>
              <w:bottom w:val="single" w:color="auto" w:sz="4" w:space="0"/>
              <w:right w:val="single" w:color="auto" w:sz="4" w:space="0"/>
            </w:tcBorders>
            <w:shd w:val="clear" w:color="auto" w:fill="auto"/>
            <w:vAlign w:val="center"/>
          </w:tcPr>
          <w:p w14:paraId="61F2F79A">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03ECE5B8">
            <w:pPr>
              <w:rPr>
                <w:lang w:eastAsia="zh-CN" w:bidi="sa-IN"/>
              </w:rPr>
            </w:pPr>
          </w:p>
        </w:tc>
      </w:tr>
      <w:tr w14:paraId="315DAA61">
        <w:tblPrEx>
          <w:tblCellMar>
            <w:top w:w="0" w:type="dxa"/>
            <w:left w:w="108" w:type="dxa"/>
            <w:bottom w:w="0" w:type="dxa"/>
            <w:right w:w="108" w:type="dxa"/>
          </w:tblCellMar>
        </w:tblPrEx>
        <w:trPr>
          <w:trHeight w:val="1080" w:hRule="atLeast"/>
          <w:jc w:val="center"/>
        </w:trPr>
        <w:tc>
          <w:tcPr>
            <w:tcW w:w="1134" w:type="dxa"/>
            <w:vMerge w:val="restart"/>
            <w:tcBorders>
              <w:top w:val="nil"/>
              <w:left w:val="single" w:color="auto" w:sz="4" w:space="0"/>
              <w:right w:val="single" w:color="auto" w:sz="4" w:space="0"/>
            </w:tcBorders>
            <w:shd w:val="clear" w:color="auto" w:fill="auto"/>
            <w:vAlign w:val="center"/>
          </w:tcPr>
          <w:p w14:paraId="02B286AA">
            <w:pPr>
              <w:rPr>
                <w:lang w:bidi="sa-IN"/>
              </w:rPr>
            </w:pPr>
            <w:r>
              <w:rPr>
                <w:rFonts w:hint="eastAsia" w:ascii="宋体" w:hAnsi="宋体" w:eastAsia="宋体" w:cs="宋体"/>
                <w:lang w:bidi="sa-IN"/>
              </w:rPr>
              <w:t>人员资质</w:t>
            </w:r>
          </w:p>
        </w:tc>
        <w:tc>
          <w:tcPr>
            <w:tcW w:w="1056" w:type="dxa"/>
            <w:tcBorders>
              <w:top w:val="nil"/>
              <w:left w:val="nil"/>
              <w:bottom w:val="single" w:color="auto" w:sz="4" w:space="0"/>
              <w:right w:val="single" w:color="auto" w:sz="4" w:space="0"/>
            </w:tcBorders>
            <w:shd w:val="clear" w:color="auto" w:fill="auto"/>
            <w:vAlign w:val="center"/>
          </w:tcPr>
          <w:p w14:paraId="274DE323">
            <w:pPr>
              <w:rPr>
                <w:lang w:bidi="sa-IN"/>
              </w:rPr>
            </w:pPr>
            <w:r>
              <w:rPr>
                <w:lang w:bidi="sa-IN"/>
              </w:rPr>
              <w:t>*1.4</w:t>
            </w:r>
          </w:p>
        </w:tc>
        <w:tc>
          <w:tcPr>
            <w:tcW w:w="9660" w:type="dxa"/>
            <w:tcBorders>
              <w:top w:val="nil"/>
              <w:left w:val="nil"/>
              <w:bottom w:val="single" w:color="auto" w:sz="4" w:space="0"/>
              <w:right w:val="single" w:color="auto" w:sz="4" w:space="0"/>
            </w:tcBorders>
            <w:shd w:val="clear" w:color="auto" w:fill="auto"/>
            <w:vAlign w:val="center"/>
          </w:tcPr>
          <w:p w14:paraId="19B73200">
            <w:pPr>
              <w:rPr>
                <w:lang w:eastAsia="zh-CN" w:bidi="sa-IN"/>
              </w:rPr>
            </w:pPr>
            <w:r>
              <w:rPr>
                <w:lang w:eastAsia="zh-CN" w:bidi="sa-IN"/>
              </w:rPr>
              <w:t>配备与保健食品生产相适应的具有相关专业知识、生产经验及组织能力的管理人员和技术人员，专职技术人员的比例不低于职工总数的5%。保健食品生产有特殊要求的，专业技术人员应符合相应管理要求。</w:t>
            </w:r>
          </w:p>
        </w:tc>
        <w:tc>
          <w:tcPr>
            <w:tcW w:w="968" w:type="dxa"/>
            <w:tcBorders>
              <w:top w:val="nil"/>
              <w:left w:val="nil"/>
              <w:bottom w:val="single" w:color="auto" w:sz="4" w:space="0"/>
              <w:right w:val="single" w:color="auto" w:sz="4" w:space="0"/>
            </w:tcBorders>
            <w:shd w:val="clear" w:color="auto" w:fill="auto"/>
            <w:vAlign w:val="center"/>
          </w:tcPr>
          <w:p w14:paraId="0E9DD93D">
            <w:pPr>
              <w:rPr>
                <w:lang w:eastAsia="zh-CN" w:bidi="sa-IN"/>
              </w:rPr>
            </w:pPr>
            <w:r>
              <w:rPr>
                <w:lang w:eastAsia="zh-CN" w:bidi="sa-IN"/>
              </w:rPr>
              <w:t>　</w:t>
            </w:r>
          </w:p>
        </w:tc>
        <w:tc>
          <w:tcPr>
            <w:tcW w:w="1763" w:type="dxa"/>
            <w:vMerge w:val="restart"/>
            <w:tcBorders>
              <w:top w:val="nil"/>
              <w:left w:val="single" w:color="auto" w:sz="4" w:space="0"/>
              <w:right w:val="single" w:color="auto" w:sz="4" w:space="0"/>
            </w:tcBorders>
            <w:shd w:val="clear" w:color="auto" w:fill="auto"/>
            <w:vAlign w:val="center"/>
          </w:tcPr>
          <w:p w14:paraId="64264A24">
            <w:pPr>
              <w:rPr>
                <w:sz w:val="22"/>
                <w:szCs w:val="22"/>
                <w:lang w:eastAsia="zh-CN" w:bidi="sa-IN"/>
              </w:rPr>
            </w:pPr>
            <w:r>
              <w:rPr>
                <w:sz w:val="22"/>
                <w:szCs w:val="22"/>
                <w:lang w:eastAsia="zh-CN" w:bidi="sa-IN"/>
              </w:rPr>
              <w:t>　</w:t>
            </w:r>
            <w:r>
              <w:rPr>
                <w:rFonts w:hint="eastAsia"/>
                <w:lang w:eastAsia="zh-CN" w:bidi="sa-IN"/>
              </w:rPr>
              <w:t>调取企业人员花名册，查看人员技术档案，专职技术人员比例是否满足。</w:t>
            </w:r>
          </w:p>
        </w:tc>
      </w:tr>
      <w:tr w14:paraId="16076242">
        <w:tblPrEx>
          <w:tblCellMar>
            <w:top w:w="0" w:type="dxa"/>
            <w:left w:w="108" w:type="dxa"/>
            <w:bottom w:w="0" w:type="dxa"/>
            <w:right w:w="108" w:type="dxa"/>
          </w:tblCellMar>
        </w:tblPrEx>
        <w:trPr>
          <w:trHeight w:val="1012" w:hRule="atLeast"/>
          <w:jc w:val="center"/>
        </w:trPr>
        <w:tc>
          <w:tcPr>
            <w:tcW w:w="1134" w:type="dxa"/>
            <w:vMerge w:val="continue"/>
            <w:tcBorders>
              <w:left w:val="single" w:color="auto" w:sz="4" w:space="0"/>
              <w:bottom w:val="single" w:color="auto" w:sz="4" w:space="0"/>
              <w:right w:val="single" w:color="auto" w:sz="4" w:space="0"/>
            </w:tcBorders>
            <w:shd w:val="clear" w:color="auto" w:fill="auto"/>
            <w:vAlign w:val="center"/>
          </w:tcPr>
          <w:p w14:paraId="315020FB">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4A39321D">
            <w:pPr>
              <w:rPr>
                <w:lang w:bidi="sa-IN"/>
              </w:rPr>
            </w:pPr>
            <w:r>
              <w:rPr>
                <w:lang w:bidi="sa-IN"/>
              </w:rPr>
              <w:t>1.5</w:t>
            </w:r>
          </w:p>
        </w:tc>
        <w:tc>
          <w:tcPr>
            <w:tcW w:w="9660" w:type="dxa"/>
            <w:tcBorders>
              <w:top w:val="nil"/>
              <w:left w:val="nil"/>
              <w:bottom w:val="single" w:color="auto" w:sz="4" w:space="0"/>
              <w:right w:val="single" w:color="auto" w:sz="4" w:space="0"/>
            </w:tcBorders>
            <w:shd w:val="clear" w:color="auto" w:fill="auto"/>
            <w:vAlign w:val="center"/>
          </w:tcPr>
          <w:p w14:paraId="083C468C">
            <w:pPr>
              <w:rPr>
                <w:lang w:eastAsia="zh-CN" w:bidi="sa-IN"/>
              </w:rPr>
            </w:pPr>
            <w:r>
              <w:rPr>
                <w:lang w:eastAsia="zh-CN" w:bidi="sa-IN"/>
              </w:rPr>
              <w:t>企业主要负责人全面负责本企业食品安全工作，企业应当配备食品安全管理人员，并加强培训和考核。</w:t>
            </w:r>
          </w:p>
        </w:tc>
        <w:tc>
          <w:tcPr>
            <w:tcW w:w="968" w:type="dxa"/>
            <w:tcBorders>
              <w:top w:val="nil"/>
              <w:left w:val="nil"/>
              <w:bottom w:val="single" w:color="auto" w:sz="4" w:space="0"/>
              <w:right w:val="single" w:color="auto" w:sz="4" w:space="0"/>
            </w:tcBorders>
            <w:shd w:val="clear" w:color="auto" w:fill="auto"/>
            <w:vAlign w:val="center"/>
          </w:tcPr>
          <w:p w14:paraId="1123FB37">
            <w:pPr>
              <w:rPr>
                <w:lang w:eastAsia="zh-CN" w:bidi="sa-IN"/>
              </w:rPr>
            </w:pPr>
            <w:r>
              <w:rPr>
                <w:lang w:eastAsia="zh-CN" w:bidi="sa-IN"/>
              </w:rPr>
              <w:t>　</w:t>
            </w:r>
          </w:p>
        </w:tc>
        <w:tc>
          <w:tcPr>
            <w:tcW w:w="1763" w:type="dxa"/>
            <w:vMerge w:val="continue"/>
            <w:tcBorders>
              <w:left w:val="single" w:color="auto" w:sz="4" w:space="0"/>
              <w:bottom w:val="single" w:color="auto" w:sz="4" w:space="0"/>
              <w:right w:val="single" w:color="auto" w:sz="4" w:space="0"/>
            </w:tcBorders>
            <w:shd w:val="clear" w:color="auto" w:fill="auto"/>
            <w:vAlign w:val="center"/>
          </w:tcPr>
          <w:p w14:paraId="4996EABB">
            <w:pPr>
              <w:rPr>
                <w:lang w:eastAsia="zh-CN" w:bidi="sa-IN"/>
              </w:rPr>
            </w:pPr>
          </w:p>
        </w:tc>
      </w:tr>
      <w:tr w14:paraId="44DD33B9">
        <w:tblPrEx>
          <w:tblCellMar>
            <w:top w:w="0" w:type="dxa"/>
            <w:left w:w="108" w:type="dxa"/>
            <w:bottom w:w="0" w:type="dxa"/>
            <w:right w:w="108" w:type="dxa"/>
          </w:tblCellMar>
        </w:tblPrEx>
        <w:trPr>
          <w:trHeight w:val="766" w:hRule="atLeast"/>
          <w:jc w:val="center"/>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17B7606">
            <w:pPr>
              <w:rPr>
                <w:lang w:bidi="sa-IN"/>
              </w:rPr>
            </w:pPr>
            <w:r>
              <w:rPr>
                <w:lang w:bidi="sa-IN"/>
              </w:rPr>
              <w:t>审查项目</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5393489A">
            <w:pPr>
              <w:rPr>
                <w:lang w:bidi="sa-IN"/>
              </w:rPr>
            </w:pPr>
            <w:r>
              <w:rPr>
                <w:lang w:bidi="sa-IN"/>
              </w:rPr>
              <w:t>序号</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2417359E">
            <w:pPr>
              <w:rPr>
                <w:lang w:bidi="sa-IN"/>
              </w:rPr>
            </w:pPr>
            <w:r>
              <w:rPr>
                <w:lang w:bidi="sa-IN"/>
              </w:rPr>
              <w:t>审查内容</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519A331">
            <w:pPr>
              <w:rPr>
                <w:sz w:val="22"/>
                <w:szCs w:val="22"/>
                <w:lang w:bidi="sa-IN"/>
              </w:rPr>
            </w:pPr>
            <w:r>
              <w:rPr>
                <w:rFonts w:hint="eastAsia"/>
                <w:lang w:eastAsia="zh-CN"/>
              </w:rPr>
              <w:t>备注</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54391D6A">
            <w:pPr>
              <w:rPr>
                <w:sz w:val="22"/>
                <w:szCs w:val="22"/>
                <w:lang w:bidi="sa-IN"/>
              </w:rPr>
            </w:pPr>
            <w:r>
              <w:rPr>
                <w:rFonts w:hint="eastAsia"/>
                <w:lang w:eastAsia="zh-CN"/>
              </w:rPr>
              <w:t>现场评审指引</w:t>
            </w:r>
          </w:p>
        </w:tc>
      </w:tr>
      <w:tr w14:paraId="4419E996">
        <w:tblPrEx>
          <w:tblCellMar>
            <w:top w:w="0" w:type="dxa"/>
            <w:left w:w="108" w:type="dxa"/>
            <w:bottom w:w="0" w:type="dxa"/>
            <w:right w:w="108" w:type="dxa"/>
          </w:tblCellMar>
        </w:tblPrEx>
        <w:trPr>
          <w:trHeight w:val="825" w:hRule="atLeast"/>
          <w:jc w:val="center"/>
        </w:trPr>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77BF07">
            <w:pPr>
              <w:rPr>
                <w:lang w:bidi="sa-IN"/>
              </w:rPr>
            </w:pPr>
            <w:r>
              <w:rPr>
                <w:rFonts w:hint="eastAsia" w:ascii="宋体" w:hAnsi="宋体" w:eastAsia="宋体" w:cs="宋体"/>
                <w:lang w:bidi="sa-IN"/>
              </w:rPr>
              <w:t>人员资质</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2EDF98BA">
            <w:pPr>
              <w:rPr>
                <w:lang w:bidi="sa-IN"/>
              </w:rPr>
            </w:pPr>
            <w:r>
              <w:rPr>
                <w:lang w:bidi="sa-IN"/>
              </w:rPr>
              <w:t>*1.6</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6641A1BE">
            <w:pPr>
              <w:rPr>
                <w:lang w:eastAsia="zh-CN" w:bidi="sa-IN"/>
              </w:rPr>
            </w:pPr>
            <w:r>
              <w:rPr>
                <w:lang w:eastAsia="zh-CN" w:bidi="sa-IN"/>
              </w:rPr>
              <w:t>生产管理部门负责人和质量管理部门负责人应当是专职人员，不得相互兼任，并具有相关专业大专以上学历或中级技术职称，三年以上从事食品医药生产或质量管理经验。</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50995D4B">
            <w:pPr>
              <w:rPr>
                <w:lang w:eastAsia="zh-CN" w:bidi="sa-IN"/>
              </w:rPr>
            </w:pPr>
            <w:r>
              <w:rPr>
                <w:lang w:eastAsia="zh-CN" w:bidi="sa-IN"/>
              </w:rPr>
              <w:t>　</w:t>
            </w:r>
          </w:p>
        </w:tc>
        <w:tc>
          <w:tcPr>
            <w:tcW w:w="17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E9ADEA">
            <w:pPr>
              <w:rPr>
                <w:sz w:val="22"/>
                <w:szCs w:val="22"/>
                <w:lang w:eastAsia="zh-CN" w:bidi="sa-IN"/>
              </w:rPr>
            </w:pPr>
            <w:r>
              <w:rPr>
                <w:rFonts w:hint="eastAsia" w:eastAsiaTheme="minorEastAsia"/>
                <w:lang w:eastAsia="zh-CN" w:bidi="sa-IN"/>
              </w:rPr>
              <w:t>查看</w:t>
            </w:r>
            <w:r>
              <w:rPr>
                <w:rFonts w:hint="eastAsia"/>
                <w:lang w:eastAsia="zh-CN" w:bidi="sa-IN"/>
              </w:rPr>
              <w:t>生产管理部门负责人、质量管理部门负责人、采购人员及检验人员等人员技术档案，对相关人员的学历和职称进行核实，调取培训记录，询问相关人员。</w:t>
            </w:r>
          </w:p>
        </w:tc>
      </w:tr>
      <w:tr w14:paraId="08F38454">
        <w:tblPrEx>
          <w:tblCellMar>
            <w:top w:w="0" w:type="dxa"/>
            <w:left w:w="108" w:type="dxa"/>
            <w:bottom w:w="0" w:type="dxa"/>
            <w:right w:w="108" w:type="dxa"/>
          </w:tblCellMar>
        </w:tblPrEx>
        <w:trPr>
          <w:trHeight w:val="758" w:hRule="atLeast"/>
          <w:jc w:val="center"/>
        </w:trPr>
        <w:tc>
          <w:tcPr>
            <w:tcW w:w="11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A7AD0D2">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1802E586">
            <w:pPr>
              <w:rPr>
                <w:lang w:bidi="sa-IN"/>
              </w:rPr>
            </w:pPr>
            <w:r>
              <w:rPr>
                <w:lang w:bidi="sa-IN"/>
              </w:rPr>
              <w:t>1.7</w:t>
            </w:r>
          </w:p>
        </w:tc>
        <w:tc>
          <w:tcPr>
            <w:tcW w:w="9660" w:type="dxa"/>
            <w:tcBorders>
              <w:top w:val="single" w:color="auto" w:sz="4" w:space="0"/>
              <w:left w:val="nil"/>
              <w:bottom w:val="single" w:color="auto" w:sz="4" w:space="0"/>
              <w:right w:val="single" w:color="auto" w:sz="4" w:space="0"/>
            </w:tcBorders>
            <w:shd w:val="clear" w:color="auto" w:fill="auto"/>
            <w:vAlign w:val="center"/>
          </w:tcPr>
          <w:p w14:paraId="2411CB5E">
            <w:pPr>
              <w:rPr>
                <w:lang w:eastAsia="zh-CN" w:bidi="sa-IN"/>
              </w:rPr>
            </w:pPr>
            <w:r>
              <w:rPr>
                <w:lang w:eastAsia="zh-CN" w:bidi="sa-IN"/>
              </w:rPr>
              <w:t>采购人员等从事影响产品质量</w:t>
            </w:r>
            <w:r>
              <w:rPr>
                <w:rFonts w:hint="eastAsia"/>
                <w:lang w:eastAsia="zh-CN" w:bidi="sa-IN"/>
              </w:rPr>
              <w:t>的</w:t>
            </w:r>
            <w:r>
              <w:rPr>
                <w:lang w:eastAsia="zh-CN" w:bidi="sa-IN"/>
              </w:rPr>
              <w:t>工作人员，应具有相关理论知识和实际操作技能，熟悉食品安全标准和相关法律法规。</w:t>
            </w:r>
          </w:p>
        </w:tc>
        <w:tc>
          <w:tcPr>
            <w:tcW w:w="968" w:type="dxa"/>
            <w:tcBorders>
              <w:top w:val="nil"/>
              <w:left w:val="nil"/>
              <w:bottom w:val="single" w:color="auto" w:sz="4" w:space="0"/>
              <w:right w:val="single" w:color="auto" w:sz="4" w:space="0"/>
            </w:tcBorders>
            <w:shd w:val="clear" w:color="auto" w:fill="auto"/>
            <w:vAlign w:val="center"/>
          </w:tcPr>
          <w:p w14:paraId="16AA3A48">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28F179">
            <w:pPr>
              <w:rPr>
                <w:lang w:eastAsia="zh-CN" w:bidi="sa-IN"/>
              </w:rPr>
            </w:pPr>
          </w:p>
        </w:tc>
      </w:tr>
      <w:tr w14:paraId="0C2DBA2A">
        <w:tblPrEx>
          <w:tblCellMar>
            <w:top w:w="0" w:type="dxa"/>
            <w:left w:w="108" w:type="dxa"/>
            <w:bottom w:w="0" w:type="dxa"/>
            <w:right w:w="108" w:type="dxa"/>
          </w:tblCellMar>
        </w:tblPrEx>
        <w:trPr>
          <w:trHeight w:val="756" w:hRule="atLeast"/>
          <w:jc w:val="center"/>
        </w:trPr>
        <w:tc>
          <w:tcPr>
            <w:tcW w:w="11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3C6031">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3BF7C400">
            <w:pPr>
              <w:rPr>
                <w:lang w:bidi="sa-IN"/>
              </w:rPr>
            </w:pPr>
            <w:r>
              <w:rPr>
                <w:lang w:bidi="sa-IN"/>
              </w:rPr>
              <w:t>1.8</w:t>
            </w:r>
          </w:p>
        </w:tc>
        <w:tc>
          <w:tcPr>
            <w:tcW w:w="9660" w:type="dxa"/>
            <w:tcBorders>
              <w:top w:val="nil"/>
              <w:left w:val="nil"/>
              <w:bottom w:val="single" w:color="auto" w:sz="4" w:space="0"/>
              <w:right w:val="single" w:color="auto" w:sz="4" w:space="0"/>
            </w:tcBorders>
            <w:shd w:val="clear" w:color="auto" w:fill="auto"/>
            <w:vAlign w:val="center"/>
          </w:tcPr>
          <w:p w14:paraId="09CF5551">
            <w:pPr>
              <w:rPr>
                <w:lang w:eastAsia="zh-CN" w:bidi="sa-IN"/>
              </w:rPr>
            </w:pPr>
            <w:r>
              <w:rPr>
                <w:lang w:eastAsia="zh-CN" w:bidi="sa-IN"/>
              </w:rPr>
              <w:t>企业应当具有两名以上专职检验人员，检验人员必须具有中专或高中以上学历，并经培训合格，具备相应检验能力。</w:t>
            </w:r>
          </w:p>
        </w:tc>
        <w:tc>
          <w:tcPr>
            <w:tcW w:w="968" w:type="dxa"/>
            <w:tcBorders>
              <w:top w:val="nil"/>
              <w:left w:val="nil"/>
              <w:bottom w:val="single" w:color="auto" w:sz="4" w:space="0"/>
              <w:right w:val="single" w:color="auto" w:sz="4" w:space="0"/>
            </w:tcBorders>
            <w:shd w:val="clear" w:color="auto" w:fill="auto"/>
            <w:vAlign w:val="center"/>
          </w:tcPr>
          <w:p w14:paraId="36FA1A1F">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BC28AD">
            <w:pPr>
              <w:rPr>
                <w:lang w:eastAsia="zh-CN" w:bidi="sa-IN"/>
              </w:rPr>
            </w:pPr>
          </w:p>
        </w:tc>
      </w:tr>
      <w:tr w14:paraId="4E33FAD9">
        <w:tblPrEx>
          <w:tblCellMar>
            <w:top w:w="0" w:type="dxa"/>
            <w:left w:w="108" w:type="dxa"/>
            <w:bottom w:w="0" w:type="dxa"/>
            <w:right w:w="108" w:type="dxa"/>
          </w:tblCellMar>
        </w:tblPrEx>
        <w:trPr>
          <w:trHeight w:val="793" w:hRule="atLeast"/>
          <w:jc w:val="center"/>
        </w:trPr>
        <w:tc>
          <w:tcPr>
            <w:tcW w:w="1134" w:type="dxa"/>
            <w:vMerge w:val="restart"/>
            <w:tcBorders>
              <w:top w:val="nil"/>
              <w:left w:val="single" w:color="auto" w:sz="4" w:space="0"/>
              <w:bottom w:val="single" w:color="auto" w:sz="4" w:space="0"/>
              <w:right w:val="single" w:color="auto" w:sz="4" w:space="0"/>
            </w:tcBorders>
            <w:shd w:val="clear" w:color="auto" w:fill="auto"/>
            <w:vAlign w:val="center"/>
          </w:tcPr>
          <w:p w14:paraId="09B2453C">
            <w:pPr>
              <w:rPr>
                <w:lang w:bidi="sa-IN"/>
              </w:rPr>
            </w:pPr>
            <w:r>
              <w:rPr>
                <w:rFonts w:hint="eastAsia" w:ascii="宋体" w:hAnsi="宋体" w:eastAsia="宋体" w:cs="宋体"/>
                <w:lang w:bidi="sa-IN"/>
              </w:rPr>
              <w:t>人员管理</w:t>
            </w:r>
          </w:p>
        </w:tc>
        <w:tc>
          <w:tcPr>
            <w:tcW w:w="1056" w:type="dxa"/>
            <w:tcBorders>
              <w:top w:val="nil"/>
              <w:left w:val="nil"/>
              <w:bottom w:val="single" w:color="auto" w:sz="4" w:space="0"/>
              <w:right w:val="single" w:color="auto" w:sz="4" w:space="0"/>
            </w:tcBorders>
            <w:shd w:val="clear" w:color="auto" w:fill="auto"/>
            <w:vAlign w:val="center"/>
          </w:tcPr>
          <w:p w14:paraId="0F0C8FB4">
            <w:pPr>
              <w:rPr>
                <w:lang w:bidi="sa-IN"/>
              </w:rPr>
            </w:pPr>
            <w:r>
              <w:rPr>
                <w:lang w:bidi="sa-IN"/>
              </w:rPr>
              <w:t>*1.9</w:t>
            </w:r>
          </w:p>
        </w:tc>
        <w:tc>
          <w:tcPr>
            <w:tcW w:w="9660" w:type="dxa"/>
            <w:tcBorders>
              <w:top w:val="nil"/>
              <w:left w:val="nil"/>
              <w:bottom w:val="single" w:color="auto" w:sz="4" w:space="0"/>
              <w:right w:val="single" w:color="auto" w:sz="4" w:space="0"/>
            </w:tcBorders>
            <w:shd w:val="clear" w:color="auto" w:fill="auto"/>
            <w:vAlign w:val="center"/>
          </w:tcPr>
          <w:p w14:paraId="2C8D6318">
            <w:pPr>
              <w:rPr>
                <w:lang w:eastAsia="zh-CN" w:bidi="sa-IN"/>
              </w:rPr>
            </w:pPr>
            <w:r>
              <w:rPr>
                <w:lang w:eastAsia="zh-CN" w:bidi="sa-IN"/>
              </w:rPr>
              <w:t>企业应建立从业人员健康管理制度，从事保健食品暴露工序生产的从业人员每年应当进行健康检查，取得健康证明后方可上岗。</w:t>
            </w:r>
          </w:p>
        </w:tc>
        <w:tc>
          <w:tcPr>
            <w:tcW w:w="968" w:type="dxa"/>
            <w:tcBorders>
              <w:top w:val="nil"/>
              <w:left w:val="nil"/>
              <w:bottom w:val="single" w:color="auto" w:sz="4" w:space="0"/>
              <w:right w:val="single" w:color="auto" w:sz="4" w:space="0"/>
            </w:tcBorders>
            <w:shd w:val="clear" w:color="auto" w:fill="auto"/>
            <w:vAlign w:val="center"/>
          </w:tcPr>
          <w:p w14:paraId="51F73E74">
            <w:pPr>
              <w:rPr>
                <w:lang w:eastAsia="zh-CN" w:bidi="sa-IN"/>
              </w:rPr>
            </w:pPr>
            <w:r>
              <w:rPr>
                <w:lang w:eastAsia="zh-CN" w:bidi="sa-IN"/>
              </w:rPr>
              <w:t>　</w:t>
            </w:r>
          </w:p>
        </w:tc>
        <w:tc>
          <w:tcPr>
            <w:tcW w:w="1763" w:type="dxa"/>
            <w:vMerge w:val="restart"/>
            <w:tcBorders>
              <w:top w:val="nil"/>
              <w:left w:val="single" w:color="auto" w:sz="4" w:space="0"/>
              <w:bottom w:val="single" w:color="auto" w:sz="4" w:space="0"/>
              <w:right w:val="single" w:color="auto" w:sz="4" w:space="0"/>
            </w:tcBorders>
            <w:shd w:val="clear" w:color="auto" w:fill="auto"/>
            <w:vAlign w:val="center"/>
          </w:tcPr>
          <w:p w14:paraId="1D840F8C">
            <w:pPr>
              <w:rPr>
                <w:sz w:val="22"/>
                <w:szCs w:val="22"/>
                <w:lang w:eastAsia="zh-CN" w:bidi="sa-IN"/>
              </w:rPr>
            </w:pPr>
            <w:r>
              <w:rPr>
                <w:rFonts w:hint="eastAsia"/>
                <w:lang w:eastAsia="zh-CN" w:bidi="sa-IN"/>
              </w:rPr>
              <w:t>查看人员健康管理制度及人员培训制度，随机抽查2名车间人员的健康证。</w:t>
            </w:r>
            <w:r>
              <w:rPr>
                <w:sz w:val="22"/>
                <w:szCs w:val="22"/>
                <w:lang w:eastAsia="zh-CN" w:bidi="sa-IN"/>
              </w:rPr>
              <w:t>　</w:t>
            </w:r>
          </w:p>
        </w:tc>
      </w:tr>
      <w:tr w14:paraId="33A35A5C">
        <w:tblPrEx>
          <w:tblCellMar>
            <w:top w:w="0" w:type="dxa"/>
            <w:left w:w="108" w:type="dxa"/>
            <w:bottom w:w="0" w:type="dxa"/>
            <w:right w:w="108" w:type="dxa"/>
          </w:tblCellMar>
        </w:tblPrEx>
        <w:trPr>
          <w:trHeight w:val="458"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7F7987FE">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623531CC">
            <w:pPr>
              <w:rPr>
                <w:lang w:bidi="sa-IN"/>
              </w:rPr>
            </w:pPr>
            <w:r>
              <w:rPr>
                <w:lang w:bidi="sa-IN"/>
              </w:rPr>
              <w:t>1.10</w:t>
            </w:r>
          </w:p>
        </w:tc>
        <w:tc>
          <w:tcPr>
            <w:tcW w:w="9660" w:type="dxa"/>
            <w:tcBorders>
              <w:top w:val="nil"/>
              <w:left w:val="nil"/>
              <w:bottom w:val="single" w:color="auto" w:sz="4" w:space="0"/>
              <w:right w:val="single" w:color="auto" w:sz="4" w:space="0"/>
            </w:tcBorders>
            <w:shd w:val="clear" w:color="auto" w:fill="auto"/>
            <w:vAlign w:val="center"/>
          </w:tcPr>
          <w:p w14:paraId="259A0036">
            <w:pPr>
              <w:rPr>
                <w:lang w:eastAsia="zh-CN" w:bidi="sa-IN"/>
              </w:rPr>
            </w:pPr>
            <w:r>
              <w:rPr>
                <w:lang w:eastAsia="zh-CN" w:bidi="sa-IN"/>
              </w:rPr>
              <w:t>患有国务院卫生行政部门规定的有碍食品安全疾病的人员，不得从事保健食品暴露工序的生产。</w:t>
            </w:r>
          </w:p>
        </w:tc>
        <w:tc>
          <w:tcPr>
            <w:tcW w:w="968" w:type="dxa"/>
            <w:tcBorders>
              <w:top w:val="nil"/>
              <w:left w:val="nil"/>
              <w:bottom w:val="single" w:color="auto" w:sz="4" w:space="0"/>
              <w:right w:val="single" w:color="auto" w:sz="4" w:space="0"/>
            </w:tcBorders>
            <w:shd w:val="clear" w:color="auto" w:fill="auto"/>
            <w:vAlign w:val="center"/>
          </w:tcPr>
          <w:p w14:paraId="30438731">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61E62455">
            <w:pPr>
              <w:rPr>
                <w:lang w:eastAsia="zh-CN" w:bidi="sa-IN"/>
              </w:rPr>
            </w:pPr>
          </w:p>
        </w:tc>
      </w:tr>
      <w:tr w14:paraId="53BDE462">
        <w:tblPrEx>
          <w:tblCellMar>
            <w:top w:w="0" w:type="dxa"/>
            <w:left w:w="108" w:type="dxa"/>
            <w:bottom w:w="0" w:type="dxa"/>
            <w:right w:w="108" w:type="dxa"/>
          </w:tblCellMar>
        </w:tblPrEx>
        <w:trPr>
          <w:trHeight w:val="695"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75AA13CE">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50FBE158">
            <w:pPr>
              <w:rPr>
                <w:lang w:bidi="sa-IN"/>
              </w:rPr>
            </w:pPr>
            <w:r>
              <w:rPr>
                <w:lang w:bidi="sa-IN"/>
              </w:rPr>
              <w:t>1.11</w:t>
            </w:r>
          </w:p>
        </w:tc>
        <w:tc>
          <w:tcPr>
            <w:tcW w:w="9660" w:type="dxa"/>
            <w:tcBorders>
              <w:top w:val="nil"/>
              <w:left w:val="nil"/>
              <w:bottom w:val="single" w:color="auto" w:sz="4" w:space="0"/>
              <w:right w:val="single" w:color="auto" w:sz="4" w:space="0"/>
            </w:tcBorders>
            <w:shd w:val="clear" w:color="auto" w:fill="auto"/>
            <w:vAlign w:val="center"/>
          </w:tcPr>
          <w:p w14:paraId="02717F48">
            <w:pPr>
              <w:rPr>
                <w:lang w:eastAsia="zh-CN" w:bidi="sa-IN"/>
              </w:rPr>
            </w:pPr>
            <w:r>
              <w:rPr>
                <w:lang w:eastAsia="zh-CN" w:bidi="sa-IN"/>
              </w:rPr>
              <w:t>企业应建立从业人员培训制度，根据不同岗位制订并实施年度培训计划，定期进行保健食品相关法律法规、规范标准和食品安全知识培训和考核，并留存相应记录。</w:t>
            </w:r>
          </w:p>
        </w:tc>
        <w:tc>
          <w:tcPr>
            <w:tcW w:w="968" w:type="dxa"/>
            <w:tcBorders>
              <w:top w:val="nil"/>
              <w:left w:val="nil"/>
              <w:bottom w:val="single" w:color="auto" w:sz="4" w:space="0"/>
              <w:right w:val="single" w:color="auto" w:sz="4" w:space="0"/>
            </w:tcBorders>
            <w:shd w:val="clear" w:color="auto" w:fill="auto"/>
            <w:vAlign w:val="center"/>
          </w:tcPr>
          <w:p w14:paraId="75EC06E5">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5AC74DEF">
            <w:pPr>
              <w:rPr>
                <w:lang w:eastAsia="zh-CN" w:bidi="sa-IN"/>
              </w:rPr>
            </w:pPr>
          </w:p>
        </w:tc>
      </w:tr>
      <w:tr w14:paraId="44997EF9">
        <w:tblPrEx>
          <w:tblCellMar>
            <w:top w:w="0" w:type="dxa"/>
            <w:left w:w="108" w:type="dxa"/>
            <w:bottom w:w="0" w:type="dxa"/>
            <w:right w:w="108" w:type="dxa"/>
          </w:tblCellMar>
        </w:tblPrEx>
        <w:trPr>
          <w:trHeight w:val="371" w:hRule="atLeast"/>
          <w:jc w:val="center"/>
        </w:trPr>
        <w:tc>
          <w:tcPr>
            <w:tcW w:w="145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DB390EF">
            <w:pPr>
              <w:rPr>
                <w:lang w:bidi="sa-IN"/>
              </w:rPr>
            </w:pPr>
            <w:r>
              <w:rPr>
                <w:rFonts w:hint="eastAsia" w:ascii="宋体" w:hAnsi="宋体" w:eastAsia="宋体" w:cs="宋体"/>
                <w:lang w:bidi="sa-IN"/>
              </w:rPr>
              <w:t>二、厂房布局</w:t>
            </w:r>
          </w:p>
        </w:tc>
      </w:tr>
      <w:tr w14:paraId="53FC82D4">
        <w:tblPrEx>
          <w:tblCellMar>
            <w:top w:w="0" w:type="dxa"/>
            <w:left w:w="108" w:type="dxa"/>
            <w:bottom w:w="0" w:type="dxa"/>
            <w:right w:w="108" w:type="dxa"/>
          </w:tblCellMar>
        </w:tblPrEx>
        <w:trPr>
          <w:trHeight w:val="477" w:hRule="atLeast"/>
          <w:jc w:val="center"/>
        </w:trPr>
        <w:tc>
          <w:tcPr>
            <w:tcW w:w="1134" w:type="dxa"/>
            <w:tcBorders>
              <w:top w:val="nil"/>
              <w:left w:val="single" w:color="auto" w:sz="4" w:space="0"/>
              <w:bottom w:val="single" w:color="auto" w:sz="4" w:space="0"/>
              <w:right w:val="single" w:color="auto" w:sz="4" w:space="0"/>
            </w:tcBorders>
            <w:shd w:val="clear" w:color="auto" w:fill="auto"/>
            <w:vAlign w:val="center"/>
          </w:tcPr>
          <w:p w14:paraId="4BA8F1D5">
            <w:pPr>
              <w:rPr>
                <w:lang w:bidi="sa-IN"/>
              </w:rPr>
            </w:pPr>
            <w:r>
              <w:rPr>
                <w:rFonts w:hint="eastAsia" w:ascii="宋体" w:hAnsi="宋体" w:eastAsia="宋体" w:cs="宋体"/>
                <w:lang w:bidi="sa-IN"/>
              </w:rPr>
              <w:t>审查项目</w:t>
            </w:r>
          </w:p>
        </w:tc>
        <w:tc>
          <w:tcPr>
            <w:tcW w:w="1056" w:type="dxa"/>
            <w:tcBorders>
              <w:top w:val="nil"/>
              <w:left w:val="nil"/>
              <w:bottom w:val="single" w:color="auto" w:sz="4" w:space="0"/>
              <w:right w:val="single" w:color="auto" w:sz="4" w:space="0"/>
            </w:tcBorders>
            <w:shd w:val="clear" w:color="auto" w:fill="auto"/>
            <w:vAlign w:val="center"/>
          </w:tcPr>
          <w:p w14:paraId="42B3DBC6">
            <w:pPr>
              <w:rPr>
                <w:lang w:bidi="sa-IN"/>
              </w:rPr>
            </w:pPr>
            <w:r>
              <w:rPr>
                <w:lang w:bidi="sa-IN"/>
              </w:rPr>
              <w:t>序号</w:t>
            </w:r>
          </w:p>
        </w:tc>
        <w:tc>
          <w:tcPr>
            <w:tcW w:w="9660" w:type="dxa"/>
            <w:tcBorders>
              <w:top w:val="nil"/>
              <w:left w:val="nil"/>
              <w:bottom w:val="single" w:color="auto" w:sz="4" w:space="0"/>
              <w:right w:val="single" w:color="auto" w:sz="4" w:space="0"/>
            </w:tcBorders>
            <w:shd w:val="clear" w:color="auto" w:fill="auto"/>
            <w:vAlign w:val="center"/>
          </w:tcPr>
          <w:p w14:paraId="3BBD4141">
            <w:pPr>
              <w:rPr>
                <w:lang w:bidi="sa-IN"/>
              </w:rPr>
            </w:pPr>
            <w:r>
              <w:rPr>
                <w:lang w:bidi="sa-IN"/>
              </w:rPr>
              <w:t>审查内容</w:t>
            </w:r>
          </w:p>
        </w:tc>
        <w:tc>
          <w:tcPr>
            <w:tcW w:w="968" w:type="dxa"/>
            <w:tcBorders>
              <w:top w:val="nil"/>
              <w:left w:val="nil"/>
              <w:bottom w:val="single" w:color="auto" w:sz="4" w:space="0"/>
              <w:right w:val="single" w:color="auto" w:sz="4" w:space="0"/>
            </w:tcBorders>
            <w:shd w:val="clear" w:color="auto" w:fill="auto"/>
            <w:vAlign w:val="center"/>
          </w:tcPr>
          <w:p w14:paraId="2D7887A4">
            <w:pPr>
              <w:rPr>
                <w:sz w:val="20"/>
                <w:szCs w:val="20"/>
                <w:lang w:bidi="sa-IN"/>
              </w:rPr>
            </w:pPr>
            <w:r>
              <w:rPr>
                <w:rFonts w:hint="eastAsia"/>
                <w:lang w:eastAsia="zh-CN"/>
              </w:rPr>
              <w:t>备注</w:t>
            </w:r>
          </w:p>
        </w:tc>
        <w:tc>
          <w:tcPr>
            <w:tcW w:w="1763" w:type="dxa"/>
            <w:tcBorders>
              <w:top w:val="nil"/>
              <w:left w:val="nil"/>
              <w:bottom w:val="single" w:color="auto" w:sz="4" w:space="0"/>
              <w:right w:val="single" w:color="auto" w:sz="4" w:space="0"/>
            </w:tcBorders>
            <w:shd w:val="clear" w:color="auto" w:fill="auto"/>
            <w:vAlign w:val="center"/>
          </w:tcPr>
          <w:p w14:paraId="02084FE4">
            <w:pPr>
              <w:rPr>
                <w:sz w:val="22"/>
                <w:szCs w:val="22"/>
                <w:lang w:bidi="sa-IN"/>
              </w:rPr>
            </w:pPr>
            <w:r>
              <w:rPr>
                <w:rFonts w:hint="eastAsia"/>
                <w:lang w:eastAsia="zh-CN"/>
              </w:rPr>
              <w:t>现场评审指引</w:t>
            </w:r>
          </w:p>
        </w:tc>
      </w:tr>
      <w:tr w14:paraId="699402D5">
        <w:tblPrEx>
          <w:tblCellMar>
            <w:top w:w="0" w:type="dxa"/>
            <w:left w:w="108" w:type="dxa"/>
            <w:bottom w:w="0" w:type="dxa"/>
            <w:right w:w="108" w:type="dxa"/>
          </w:tblCellMar>
        </w:tblPrEx>
        <w:trPr>
          <w:trHeight w:val="660" w:hRule="atLeast"/>
          <w:jc w:val="center"/>
        </w:trPr>
        <w:tc>
          <w:tcPr>
            <w:tcW w:w="1134" w:type="dxa"/>
            <w:vMerge w:val="restart"/>
            <w:tcBorders>
              <w:top w:val="nil"/>
              <w:left w:val="single" w:color="auto" w:sz="4" w:space="0"/>
              <w:right w:val="single" w:color="auto" w:sz="4" w:space="0"/>
            </w:tcBorders>
            <w:shd w:val="clear" w:color="auto" w:fill="auto"/>
            <w:vAlign w:val="center"/>
          </w:tcPr>
          <w:p w14:paraId="7EA0F108">
            <w:pPr>
              <w:rPr>
                <w:lang w:bidi="sa-IN"/>
              </w:rPr>
            </w:pPr>
            <w:r>
              <w:rPr>
                <w:rFonts w:hint="eastAsia" w:ascii="宋体" w:hAnsi="宋体" w:eastAsia="宋体" w:cs="宋体"/>
                <w:lang w:bidi="sa-IN"/>
              </w:rPr>
              <w:t>厂区环境</w:t>
            </w:r>
          </w:p>
        </w:tc>
        <w:tc>
          <w:tcPr>
            <w:tcW w:w="1056" w:type="dxa"/>
            <w:tcBorders>
              <w:top w:val="nil"/>
              <w:left w:val="nil"/>
              <w:bottom w:val="single" w:color="auto" w:sz="4" w:space="0"/>
              <w:right w:val="single" w:color="auto" w:sz="4" w:space="0"/>
            </w:tcBorders>
            <w:shd w:val="clear" w:color="auto" w:fill="auto"/>
            <w:vAlign w:val="center"/>
          </w:tcPr>
          <w:p w14:paraId="0FC9D5E4">
            <w:pPr>
              <w:rPr>
                <w:lang w:bidi="sa-IN"/>
              </w:rPr>
            </w:pPr>
            <w:r>
              <w:rPr>
                <w:lang w:bidi="sa-IN"/>
              </w:rPr>
              <w:t>*2.1</w:t>
            </w:r>
          </w:p>
        </w:tc>
        <w:tc>
          <w:tcPr>
            <w:tcW w:w="9660" w:type="dxa"/>
            <w:tcBorders>
              <w:top w:val="nil"/>
              <w:left w:val="nil"/>
              <w:bottom w:val="single" w:color="auto" w:sz="4" w:space="0"/>
              <w:right w:val="single" w:color="auto" w:sz="4" w:space="0"/>
            </w:tcBorders>
            <w:shd w:val="clear" w:color="auto" w:fill="auto"/>
            <w:vAlign w:val="center"/>
          </w:tcPr>
          <w:p w14:paraId="5D8F414C">
            <w:pPr>
              <w:rPr>
                <w:lang w:eastAsia="zh-CN" w:bidi="sa-IN"/>
              </w:rPr>
            </w:pPr>
            <w:r>
              <w:rPr>
                <w:lang w:eastAsia="zh-CN" w:bidi="sa-IN"/>
              </w:rPr>
              <w:t>生产厂区周边不得有粉尘、有害气体、放射性物质、垃圾处理场和其</w:t>
            </w:r>
            <w:r>
              <w:rPr>
                <w:rFonts w:hint="eastAsia"/>
                <w:lang w:eastAsia="zh-CN" w:bidi="sa-IN"/>
              </w:rPr>
              <w:t>他</w:t>
            </w:r>
            <w:r>
              <w:rPr>
                <w:lang w:eastAsia="zh-CN" w:bidi="sa-IN"/>
              </w:rPr>
              <w:t>扩散性污染源，不得有昆虫大量孳生的潜在场所，避免危及产品安全。</w:t>
            </w:r>
          </w:p>
        </w:tc>
        <w:tc>
          <w:tcPr>
            <w:tcW w:w="968" w:type="dxa"/>
            <w:tcBorders>
              <w:top w:val="nil"/>
              <w:left w:val="nil"/>
              <w:bottom w:val="single" w:color="auto" w:sz="4" w:space="0"/>
              <w:right w:val="single" w:color="auto" w:sz="4" w:space="0"/>
            </w:tcBorders>
            <w:shd w:val="clear" w:color="auto" w:fill="auto"/>
            <w:vAlign w:val="center"/>
          </w:tcPr>
          <w:p w14:paraId="02591744">
            <w:pPr>
              <w:rPr>
                <w:lang w:eastAsia="zh-CN" w:bidi="sa-IN"/>
              </w:rPr>
            </w:pPr>
            <w:r>
              <w:rPr>
                <w:lang w:eastAsia="zh-CN" w:bidi="sa-IN"/>
              </w:rPr>
              <w:t>　</w:t>
            </w:r>
          </w:p>
        </w:tc>
        <w:tc>
          <w:tcPr>
            <w:tcW w:w="1763" w:type="dxa"/>
            <w:vMerge w:val="restart"/>
            <w:tcBorders>
              <w:top w:val="nil"/>
              <w:left w:val="single" w:color="auto" w:sz="4" w:space="0"/>
              <w:bottom w:val="single" w:color="auto" w:sz="4" w:space="0"/>
              <w:right w:val="single" w:color="auto" w:sz="4" w:space="0"/>
            </w:tcBorders>
            <w:shd w:val="clear" w:color="auto" w:fill="auto"/>
            <w:vAlign w:val="center"/>
          </w:tcPr>
          <w:p w14:paraId="069CA263">
            <w:pPr>
              <w:rPr>
                <w:sz w:val="22"/>
                <w:szCs w:val="22"/>
                <w:lang w:eastAsia="zh-CN" w:bidi="sa-IN"/>
              </w:rPr>
            </w:pPr>
            <w:r>
              <w:rPr>
                <w:sz w:val="22"/>
                <w:szCs w:val="22"/>
                <w:lang w:eastAsia="zh-CN" w:bidi="sa-IN"/>
              </w:rPr>
              <w:t>　</w:t>
            </w:r>
            <w:r>
              <w:rPr>
                <w:rFonts w:hint="eastAsia"/>
                <w:lang w:eastAsia="zh-CN" w:bidi="sa-IN"/>
              </w:rPr>
              <w:t>依据生产场所及周围环境平面图，现场查看企业生产厂区周边环境</w:t>
            </w:r>
            <w:r>
              <w:rPr>
                <w:rFonts w:hint="eastAsia" w:ascii="宋体" w:hAnsi="宋体" w:eastAsia="宋体" w:cs="宋体"/>
                <w:sz w:val="22"/>
                <w:szCs w:val="22"/>
                <w:lang w:eastAsia="zh-CN" w:bidi="sa-IN"/>
              </w:rPr>
              <w:t>　</w:t>
            </w:r>
          </w:p>
        </w:tc>
      </w:tr>
      <w:tr w14:paraId="487E9A2C">
        <w:tblPrEx>
          <w:tblCellMar>
            <w:top w:w="0" w:type="dxa"/>
            <w:left w:w="108" w:type="dxa"/>
            <w:bottom w:w="0" w:type="dxa"/>
            <w:right w:w="108" w:type="dxa"/>
          </w:tblCellMar>
        </w:tblPrEx>
        <w:trPr>
          <w:trHeight w:val="615" w:hRule="atLeast"/>
          <w:jc w:val="center"/>
        </w:trPr>
        <w:tc>
          <w:tcPr>
            <w:tcW w:w="1134" w:type="dxa"/>
            <w:vMerge w:val="continue"/>
            <w:tcBorders>
              <w:left w:val="single" w:color="auto" w:sz="4" w:space="0"/>
              <w:right w:val="single" w:color="auto" w:sz="4" w:space="0"/>
            </w:tcBorders>
            <w:shd w:val="clear" w:color="auto" w:fill="auto"/>
            <w:vAlign w:val="center"/>
          </w:tcPr>
          <w:p w14:paraId="7114559E">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16ED61DA">
            <w:pPr>
              <w:rPr>
                <w:lang w:bidi="sa-IN"/>
              </w:rPr>
            </w:pPr>
            <w:r>
              <w:rPr>
                <w:lang w:bidi="sa-IN"/>
              </w:rPr>
              <w:t>2.2</w:t>
            </w:r>
          </w:p>
        </w:tc>
        <w:tc>
          <w:tcPr>
            <w:tcW w:w="9660" w:type="dxa"/>
            <w:tcBorders>
              <w:top w:val="nil"/>
              <w:left w:val="nil"/>
              <w:bottom w:val="single" w:color="auto" w:sz="4" w:space="0"/>
              <w:right w:val="single" w:color="auto" w:sz="4" w:space="0"/>
            </w:tcBorders>
            <w:shd w:val="clear" w:color="auto" w:fill="auto"/>
            <w:vAlign w:val="center"/>
          </w:tcPr>
          <w:p w14:paraId="18C15649">
            <w:pPr>
              <w:rPr>
                <w:lang w:eastAsia="zh-CN" w:bidi="sa-IN"/>
              </w:rPr>
            </w:pPr>
            <w:r>
              <w:rPr>
                <w:lang w:eastAsia="zh-CN" w:bidi="sa-IN"/>
              </w:rPr>
              <w:t>生产环境必须整洁，厂区的地面、路面及运输等不应当对保健食品的生产造成污染</w:t>
            </w:r>
            <w:r>
              <w:rPr>
                <w:rFonts w:hint="eastAsia" w:ascii="宋体" w:hAnsi="宋体" w:eastAsia="宋体" w:cs="宋体"/>
                <w:sz w:val="18"/>
                <w:szCs w:val="18"/>
                <w:lang w:eastAsia="zh-CN" w:bidi="sa-IN"/>
              </w:rPr>
              <w:t>；</w:t>
            </w:r>
            <w:r>
              <w:rPr>
                <w:lang w:eastAsia="zh-CN" w:bidi="sa-IN"/>
              </w:rPr>
              <w:t>生产</w:t>
            </w:r>
            <w:r>
              <w:rPr>
                <w:rFonts w:hint="eastAsia" w:ascii="宋体" w:hAnsi="宋体" w:eastAsia="宋体" w:cs="宋体"/>
                <w:sz w:val="18"/>
                <w:szCs w:val="18"/>
                <w:lang w:eastAsia="zh-CN" w:bidi="sa-IN"/>
              </w:rPr>
              <w:t>、</w:t>
            </w:r>
            <w:r>
              <w:rPr>
                <w:lang w:eastAsia="zh-CN" w:bidi="sa-IN"/>
              </w:rPr>
              <w:t>行政、生活和辅助区的总体布局应当合理，不得互相妨碍。</w:t>
            </w:r>
          </w:p>
        </w:tc>
        <w:tc>
          <w:tcPr>
            <w:tcW w:w="968" w:type="dxa"/>
            <w:tcBorders>
              <w:top w:val="nil"/>
              <w:left w:val="nil"/>
              <w:bottom w:val="single" w:color="auto" w:sz="4" w:space="0"/>
              <w:right w:val="single" w:color="auto" w:sz="4" w:space="0"/>
            </w:tcBorders>
            <w:shd w:val="clear" w:color="auto" w:fill="auto"/>
            <w:vAlign w:val="center"/>
          </w:tcPr>
          <w:p w14:paraId="406C3014">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41BEBAD2">
            <w:pPr>
              <w:rPr>
                <w:lang w:eastAsia="zh-CN" w:bidi="sa-IN"/>
              </w:rPr>
            </w:pPr>
          </w:p>
        </w:tc>
      </w:tr>
      <w:tr w14:paraId="5843F41C">
        <w:tblPrEx>
          <w:tblCellMar>
            <w:top w:w="0" w:type="dxa"/>
            <w:left w:w="108" w:type="dxa"/>
            <w:bottom w:w="0" w:type="dxa"/>
            <w:right w:w="108" w:type="dxa"/>
          </w:tblCellMar>
        </w:tblPrEx>
        <w:trPr>
          <w:trHeight w:val="405" w:hRule="atLeast"/>
          <w:jc w:val="center"/>
        </w:trPr>
        <w:tc>
          <w:tcPr>
            <w:tcW w:w="1134" w:type="dxa"/>
            <w:vMerge w:val="continue"/>
            <w:tcBorders>
              <w:left w:val="single" w:color="auto" w:sz="4" w:space="0"/>
              <w:bottom w:val="single" w:color="auto" w:sz="4" w:space="0"/>
              <w:right w:val="single" w:color="auto" w:sz="4" w:space="0"/>
            </w:tcBorders>
            <w:shd w:val="clear" w:color="auto" w:fill="auto"/>
            <w:vAlign w:val="center"/>
          </w:tcPr>
          <w:p w14:paraId="06BFE3B4">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6742BDF5">
            <w:pPr>
              <w:rPr>
                <w:lang w:bidi="sa-IN"/>
              </w:rPr>
            </w:pPr>
            <w:r>
              <w:rPr>
                <w:lang w:bidi="sa-IN"/>
              </w:rPr>
              <w:t>2.3</w:t>
            </w:r>
          </w:p>
        </w:tc>
        <w:tc>
          <w:tcPr>
            <w:tcW w:w="9660" w:type="dxa"/>
            <w:tcBorders>
              <w:top w:val="nil"/>
              <w:left w:val="nil"/>
              <w:bottom w:val="single" w:color="auto" w:sz="4" w:space="0"/>
              <w:right w:val="single" w:color="auto" w:sz="4" w:space="0"/>
            </w:tcBorders>
            <w:shd w:val="clear" w:color="auto" w:fill="auto"/>
            <w:vAlign w:val="center"/>
          </w:tcPr>
          <w:p w14:paraId="0AB4AF02">
            <w:pPr>
              <w:rPr>
                <w:lang w:eastAsia="zh-CN" w:bidi="sa-IN"/>
              </w:rPr>
            </w:pPr>
            <w:r>
              <w:rPr>
                <w:lang w:eastAsia="zh-CN" w:bidi="sa-IN"/>
              </w:rPr>
              <w:t>厂房建筑结构应当完整，能够满足生产工艺和质量、卫生及安全生产要求，同时便于进行清洁工作。</w:t>
            </w:r>
          </w:p>
        </w:tc>
        <w:tc>
          <w:tcPr>
            <w:tcW w:w="968" w:type="dxa"/>
            <w:tcBorders>
              <w:top w:val="nil"/>
              <w:left w:val="nil"/>
              <w:bottom w:val="single" w:color="auto" w:sz="4" w:space="0"/>
              <w:right w:val="single" w:color="auto" w:sz="4" w:space="0"/>
            </w:tcBorders>
            <w:shd w:val="clear" w:color="auto" w:fill="auto"/>
            <w:vAlign w:val="center"/>
          </w:tcPr>
          <w:p w14:paraId="6AC98D22">
            <w:pPr>
              <w:rPr>
                <w:lang w:eastAsia="zh-CN" w:bidi="sa-IN"/>
              </w:rPr>
            </w:pPr>
          </w:p>
        </w:tc>
        <w:tc>
          <w:tcPr>
            <w:tcW w:w="1763" w:type="dxa"/>
            <w:vMerge w:val="continue"/>
            <w:tcBorders>
              <w:top w:val="nil"/>
              <w:left w:val="single" w:color="auto" w:sz="4" w:space="0"/>
              <w:bottom w:val="single" w:color="auto" w:sz="4" w:space="0"/>
              <w:right w:val="single" w:color="auto" w:sz="4" w:space="0"/>
            </w:tcBorders>
            <w:vAlign w:val="center"/>
          </w:tcPr>
          <w:p w14:paraId="33799B6D">
            <w:pPr>
              <w:rPr>
                <w:lang w:eastAsia="zh-CN" w:bidi="sa-IN"/>
              </w:rPr>
            </w:pPr>
          </w:p>
        </w:tc>
      </w:tr>
      <w:tr w14:paraId="3C846D65">
        <w:tblPrEx>
          <w:tblCellMar>
            <w:top w:w="0" w:type="dxa"/>
            <w:left w:w="108" w:type="dxa"/>
            <w:bottom w:w="0" w:type="dxa"/>
            <w:right w:w="108" w:type="dxa"/>
          </w:tblCellMar>
        </w:tblPrEx>
        <w:trPr>
          <w:trHeight w:val="492" w:hRule="atLeast"/>
          <w:jc w:val="center"/>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3885C16">
            <w:pPr>
              <w:rPr>
                <w:lang w:bidi="sa-IN"/>
              </w:rPr>
            </w:pPr>
            <w:r>
              <w:rPr>
                <w:lang w:bidi="sa-IN"/>
              </w:rPr>
              <w:t>审查项目</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08A520BC">
            <w:pPr>
              <w:rPr>
                <w:lang w:bidi="sa-IN"/>
              </w:rPr>
            </w:pPr>
            <w:r>
              <w:rPr>
                <w:lang w:bidi="sa-IN"/>
              </w:rPr>
              <w:t>序号</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299388F0">
            <w:pPr>
              <w:rPr>
                <w:lang w:bidi="sa-IN"/>
              </w:rPr>
            </w:pPr>
            <w:r>
              <w:rPr>
                <w:lang w:bidi="sa-IN"/>
              </w:rPr>
              <w:t>审查内容</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4B94E964">
            <w:pPr>
              <w:rPr>
                <w:sz w:val="22"/>
                <w:szCs w:val="22"/>
                <w:lang w:bidi="sa-IN"/>
              </w:rPr>
            </w:pPr>
            <w:r>
              <w:rPr>
                <w:rFonts w:hint="eastAsia"/>
                <w:lang w:eastAsia="zh-CN"/>
              </w:rPr>
              <w:t>备注</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03D3E587">
            <w:pPr>
              <w:rPr>
                <w:sz w:val="22"/>
                <w:szCs w:val="22"/>
                <w:lang w:bidi="sa-IN"/>
              </w:rPr>
            </w:pPr>
            <w:r>
              <w:rPr>
                <w:rFonts w:hint="eastAsia"/>
                <w:lang w:eastAsia="zh-CN"/>
              </w:rPr>
              <w:t>现场评审指引</w:t>
            </w:r>
          </w:p>
        </w:tc>
      </w:tr>
      <w:tr w14:paraId="748203F2">
        <w:tblPrEx>
          <w:tblCellMar>
            <w:top w:w="0" w:type="dxa"/>
            <w:left w:w="108" w:type="dxa"/>
            <w:bottom w:w="0" w:type="dxa"/>
            <w:right w:w="108" w:type="dxa"/>
          </w:tblCellMar>
        </w:tblPrEx>
        <w:trPr>
          <w:trHeight w:val="615" w:hRule="atLeast"/>
          <w:jc w:val="center"/>
        </w:trPr>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4CA392">
            <w:pPr>
              <w:rPr>
                <w:lang w:bidi="sa-IN"/>
              </w:rPr>
            </w:pPr>
            <w:r>
              <w:rPr>
                <w:rFonts w:hint="eastAsia" w:ascii="宋体" w:hAnsi="宋体" w:eastAsia="宋体" w:cs="宋体"/>
                <w:lang w:bidi="sa-IN"/>
              </w:rPr>
              <w:t>布局设计</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0877F028">
            <w:pPr>
              <w:rPr>
                <w:lang w:bidi="sa-IN"/>
              </w:rPr>
            </w:pPr>
            <w:r>
              <w:rPr>
                <w:lang w:bidi="sa-IN"/>
              </w:rPr>
              <w:t>**2.4</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5B5DB2A5">
            <w:pPr>
              <w:rPr>
                <w:lang w:eastAsia="zh-CN" w:bidi="sa-IN"/>
              </w:rPr>
            </w:pPr>
            <w:r>
              <w:rPr>
                <w:lang w:eastAsia="zh-CN" w:bidi="sa-IN"/>
              </w:rPr>
              <w:t>生产车间分为一般生产区和洁净区</w:t>
            </w:r>
            <w:r>
              <w:rPr>
                <w:rFonts w:hint="eastAsia"/>
                <w:lang w:eastAsia="zh-CN" w:bidi="sa-IN"/>
              </w:rPr>
              <w:t>。</w:t>
            </w:r>
            <w:r>
              <w:rPr>
                <w:lang w:eastAsia="zh-CN" w:bidi="sa-IN"/>
              </w:rPr>
              <w:t>企业应按照生产工艺和洁净级别，对生产车间进行合理布局，并能够完成保健食品全部生产工序。</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787071BC">
            <w:pPr>
              <w:rPr>
                <w:lang w:eastAsia="zh-CN" w:bidi="sa-IN"/>
              </w:rPr>
            </w:pPr>
            <w:r>
              <w:rPr>
                <w:rFonts w:hint="eastAsia"/>
                <w:lang w:eastAsia="zh-CN" w:bidi="sa-IN"/>
              </w:rPr>
              <w:t>若此项不符合要求，审查结论为直接判为不合格。</w:t>
            </w:r>
            <w:r>
              <w:rPr>
                <w:lang w:eastAsia="zh-CN" w:bidi="sa-IN"/>
              </w:rPr>
              <w:t>　</w:t>
            </w:r>
          </w:p>
        </w:tc>
        <w:tc>
          <w:tcPr>
            <w:tcW w:w="17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387421">
            <w:pPr>
              <w:rPr>
                <w:sz w:val="22"/>
                <w:szCs w:val="22"/>
                <w:lang w:eastAsia="zh-CN" w:bidi="sa-IN"/>
              </w:rPr>
            </w:pPr>
            <w:r>
              <w:rPr>
                <w:sz w:val="22"/>
                <w:szCs w:val="22"/>
                <w:lang w:eastAsia="zh-CN" w:bidi="sa-IN"/>
              </w:rPr>
              <w:t>　</w:t>
            </w:r>
            <w:r>
              <w:rPr>
                <w:rFonts w:hint="eastAsia"/>
                <w:lang w:eastAsia="zh-CN" w:bidi="sa-IN"/>
              </w:rPr>
              <w:t>对照功能区间布局平面图，查看生产车间布局是否合理，是否存在交叉污染。洁净车间的级别是否满足要求。</w:t>
            </w:r>
          </w:p>
        </w:tc>
      </w:tr>
      <w:tr w14:paraId="65C0C85F">
        <w:tblPrEx>
          <w:tblCellMar>
            <w:top w:w="0" w:type="dxa"/>
            <w:left w:w="108" w:type="dxa"/>
            <w:bottom w:w="0" w:type="dxa"/>
            <w:right w:w="108" w:type="dxa"/>
          </w:tblCellMar>
        </w:tblPrEx>
        <w:trPr>
          <w:trHeight w:val="660" w:hRule="atLeast"/>
          <w:jc w:val="center"/>
        </w:trPr>
        <w:tc>
          <w:tcPr>
            <w:tcW w:w="1134" w:type="dxa"/>
            <w:vMerge w:val="continue"/>
            <w:tcBorders>
              <w:top w:val="single" w:color="auto" w:sz="4" w:space="0"/>
              <w:left w:val="single" w:color="auto" w:sz="4" w:space="0"/>
              <w:bottom w:val="single" w:color="auto" w:sz="4" w:space="0"/>
              <w:right w:val="single" w:color="auto" w:sz="4" w:space="0"/>
            </w:tcBorders>
            <w:vAlign w:val="center"/>
          </w:tcPr>
          <w:p w14:paraId="24C33596">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08300517">
            <w:pPr>
              <w:rPr>
                <w:lang w:bidi="sa-IN"/>
              </w:rPr>
            </w:pPr>
            <w:r>
              <w:rPr>
                <w:lang w:bidi="sa-IN"/>
              </w:rPr>
              <w:t>2.5</w:t>
            </w:r>
          </w:p>
        </w:tc>
        <w:tc>
          <w:tcPr>
            <w:tcW w:w="9660" w:type="dxa"/>
            <w:tcBorders>
              <w:top w:val="single" w:color="auto" w:sz="4" w:space="0"/>
              <w:left w:val="nil"/>
              <w:bottom w:val="single" w:color="auto" w:sz="4" w:space="0"/>
              <w:right w:val="single" w:color="auto" w:sz="4" w:space="0"/>
            </w:tcBorders>
            <w:shd w:val="clear" w:color="auto" w:fill="auto"/>
            <w:vAlign w:val="center"/>
          </w:tcPr>
          <w:p w14:paraId="04E6C324">
            <w:pPr>
              <w:rPr>
                <w:lang w:eastAsia="zh-CN" w:bidi="sa-IN"/>
              </w:rPr>
            </w:pPr>
            <w:r>
              <w:rPr>
                <w:lang w:eastAsia="zh-CN" w:bidi="sa-IN"/>
              </w:rPr>
              <w:t>生产车间应当有与生产规模相适应的面积和空间，以有序地安置设备和物料，便于生产加工操作，防止差错和交叉污染。</w:t>
            </w:r>
          </w:p>
        </w:tc>
        <w:tc>
          <w:tcPr>
            <w:tcW w:w="968" w:type="dxa"/>
            <w:tcBorders>
              <w:top w:val="single" w:color="auto" w:sz="4" w:space="0"/>
              <w:left w:val="nil"/>
              <w:bottom w:val="single" w:color="auto" w:sz="4" w:space="0"/>
              <w:right w:val="single" w:color="auto" w:sz="4" w:space="0"/>
            </w:tcBorders>
            <w:shd w:val="clear" w:color="auto" w:fill="auto"/>
            <w:vAlign w:val="center"/>
          </w:tcPr>
          <w:p w14:paraId="17110F14">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vAlign w:val="center"/>
          </w:tcPr>
          <w:p w14:paraId="598343C0">
            <w:pPr>
              <w:rPr>
                <w:lang w:eastAsia="zh-CN" w:bidi="sa-IN"/>
              </w:rPr>
            </w:pPr>
          </w:p>
        </w:tc>
      </w:tr>
      <w:tr w14:paraId="1F716806">
        <w:tblPrEx>
          <w:tblCellMar>
            <w:top w:w="0" w:type="dxa"/>
            <w:left w:w="108" w:type="dxa"/>
            <w:bottom w:w="0" w:type="dxa"/>
            <w:right w:w="108" w:type="dxa"/>
          </w:tblCellMar>
        </w:tblPrEx>
        <w:trPr>
          <w:trHeight w:val="405"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4C4EBDEE">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7F23F665">
            <w:pPr>
              <w:rPr>
                <w:lang w:bidi="sa-IN"/>
              </w:rPr>
            </w:pPr>
            <w:r>
              <w:rPr>
                <w:lang w:bidi="sa-IN"/>
              </w:rPr>
              <w:t>*2.6</w:t>
            </w:r>
          </w:p>
        </w:tc>
        <w:tc>
          <w:tcPr>
            <w:tcW w:w="9660" w:type="dxa"/>
            <w:tcBorders>
              <w:top w:val="nil"/>
              <w:left w:val="nil"/>
              <w:bottom w:val="single" w:color="auto" w:sz="4" w:space="0"/>
              <w:right w:val="single" w:color="auto" w:sz="4" w:space="0"/>
            </w:tcBorders>
            <w:shd w:val="clear" w:color="auto" w:fill="auto"/>
            <w:vAlign w:val="center"/>
          </w:tcPr>
          <w:p w14:paraId="593C64BB">
            <w:pPr>
              <w:rPr>
                <w:lang w:eastAsia="zh-CN" w:bidi="sa-IN"/>
              </w:rPr>
            </w:pPr>
            <w:r>
              <w:rPr>
                <w:lang w:eastAsia="zh-CN" w:bidi="sa-IN"/>
              </w:rPr>
              <w:t>生产车间应当分别设置与洁净级别相适应的人流物流通道，避免交叉污染。</w:t>
            </w:r>
          </w:p>
        </w:tc>
        <w:tc>
          <w:tcPr>
            <w:tcW w:w="968" w:type="dxa"/>
            <w:tcBorders>
              <w:top w:val="nil"/>
              <w:left w:val="nil"/>
              <w:bottom w:val="single" w:color="auto" w:sz="4" w:space="0"/>
              <w:right w:val="single" w:color="auto" w:sz="4" w:space="0"/>
            </w:tcBorders>
            <w:shd w:val="clear" w:color="auto" w:fill="auto"/>
            <w:vAlign w:val="center"/>
          </w:tcPr>
          <w:p w14:paraId="4D45C5BE">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7C460E81">
            <w:pPr>
              <w:rPr>
                <w:lang w:eastAsia="zh-CN" w:bidi="sa-IN"/>
              </w:rPr>
            </w:pPr>
          </w:p>
        </w:tc>
      </w:tr>
      <w:tr w14:paraId="2B889074">
        <w:tblPrEx>
          <w:tblCellMar>
            <w:top w:w="0" w:type="dxa"/>
            <w:left w:w="108" w:type="dxa"/>
            <w:bottom w:w="0" w:type="dxa"/>
            <w:right w:w="108" w:type="dxa"/>
          </w:tblCellMar>
        </w:tblPrEx>
        <w:trPr>
          <w:trHeight w:val="912"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442385D1">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0F5A7D3B">
            <w:pPr>
              <w:rPr>
                <w:lang w:bidi="sa-IN"/>
              </w:rPr>
            </w:pPr>
            <w:r>
              <w:rPr>
                <w:lang w:bidi="sa-IN"/>
              </w:rPr>
              <w:t>*2.7</w:t>
            </w:r>
          </w:p>
        </w:tc>
        <w:tc>
          <w:tcPr>
            <w:tcW w:w="9660" w:type="dxa"/>
            <w:tcBorders>
              <w:top w:val="nil"/>
              <w:left w:val="nil"/>
              <w:bottom w:val="single" w:color="auto" w:sz="4" w:space="0"/>
              <w:right w:val="single" w:color="auto" w:sz="4" w:space="0"/>
            </w:tcBorders>
            <w:shd w:val="clear" w:color="auto" w:fill="auto"/>
            <w:vAlign w:val="center"/>
          </w:tcPr>
          <w:p w14:paraId="1BDF48BD">
            <w:pPr>
              <w:rPr>
                <w:lang w:eastAsia="zh-CN" w:bidi="sa-IN"/>
              </w:rPr>
            </w:pPr>
            <w:r>
              <w:rPr>
                <w:lang w:eastAsia="zh-CN" w:bidi="sa-IN"/>
              </w:rPr>
              <w:t>保健食品洁净车间洁净级别一般不低于十万级</w:t>
            </w:r>
            <w:r>
              <w:rPr>
                <w:rFonts w:hint="eastAsia" w:ascii="宋体" w:hAnsi="宋体" w:eastAsia="宋体" w:cs="宋体"/>
                <w:sz w:val="18"/>
                <w:szCs w:val="18"/>
                <w:lang w:eastAsia="zh-CN" w:bidi="sa-IN"/>
              </w:rPr>
              <w:t>。</w:t>
            </w:r>
            <w:r>
              <w:rPr>
                <w:lang w:eastAsia="zh-CN" w:bidi="sa-IN"/>
              </w:rPr>
              <w:t>酒类保健食品（含酒精度在35％以上的保健食品）应有良好的除湿</w:t>
            </w:r>
            <w:r>
              <w:rPr>
                <w:rFonts w:hint="eastAsia" w:ascii="宋体" w:hAnsi="宋体" w:eastAsia="宋体" w:cs="宋体"/>
                <w:sz w:val="16"/>
                <w:szCs w:val="16"/>
                <w:lang w:eastAsia="zh-CN" w:bidi="sa-IN"/>
              </w:rPr>
              <w:t>、</w:t>
            </w:r>
            <w:r>
              <w:rPr>
                <w:lang w:eastAsia="zh-CN" w:bidi="sa-IN"/>
              </w:rPr>
              <w:t>排风</w:t>
            </w:r>
            <w:r>
              <w:rPr>
                <w:rFonts w:hint="eastAsia" w:ascii="宋体" w:hAnsi="宋体" w:eastAsia="宋体" w:cs="宋体"/>
                <w:sz w:val="16"/>
                <w:szCs w:val="16"/>
                <w:lang w:eastAsia="zh-CN" w:bidi="sa-IN"/>
              </w:rPr>
              <w:t>、</w:t>
            </w:r>
            <w:r>
              <w:rPr>
                <w:lang w:eastAsia="zh-CN" w:bidi="sa-IN"/>
              </w:rPr>
              <w:t>除尘</w:t>
            </w:r>
            <w:r>
              <w:rPr>
                <w:rFonts w:hint="eastAsia" w:ascii="宋体" w:hAnsi="宋体" w:eastAsia="宋体" w:cs="宋体"/>
                <w:sz w:val="16"/>
                <w:szCs w:val="16"/>
                <w:lang w:eastAsia="zh-CN" w:bidi="sa-IN"/>
              </w:rPr>
              <w:t>、</w:t>
            </w:r>
            <w:r>
              <w:rPr>
                <w:lang w:eastAsia="zh-CN" w:bidi="sa-IN"/>
              </w:rPr>
              <w:t>降温等设施</w:t>
            </w:r>
            <w:r>
              <w:rPr>
                <w:rFonts w:hint="eastAsia" w:ascii="宋体" w:hAnsi="宋体" w:eastAsia="宋体" w:cs="宋体"/>
                <w:sz w:val="16"/>
                <w:szCs w:val="16"/>
                <w:lang w:eastAsia="zh-CN" w:bidi="sa-IN"/>
              </w:rPr>
              <w:t>，</w:t>
            </w:r>
            <w:r>
              <w:rPr>
                <w:lang w:eastAsia="zh-CN" w:bidi="sa-IN"/>
              </w:rPr>
              <w:t>人员</w:t>
            </w:r>
            <w:r>
              <w:rPr>
                <w:rFonts w:hint="eastAsia" w:ascii="宋体" w:hAnsi="宋体" w:eastAsia="宋体" w:cs="宋体"/>
                <w:sz w:val="18"/>
                <w:szCs w:val="18"/>
                <w:lang w:eastAsia="zh-CN" w:bidi="sa-IN"/>
              </w:rPr>
              <w:t>、</w:t>
            </w:r>
            <w:r>
              <w:rPr>
                <w:lang w:eastAsia="zh-CN" w:bidi="sa-IN"/>
              </w:rPr>
              <w:t>物料进出及生产操作应参照洁净车间管理</w:t>
            </w:r>
            <w:r>
              <w:rPr>
                <w:rFonts w:hint="eastAsia" w:ascii="宋体" w:hAnsi="宋体" w:eastAsia="宋体" w:cs="宋体"/>
                <w:sz w:val="16"/>
                <w:szCs w:val="16"/>
                <w:lang w:eastAsia="zh-CN" w:bidi="sa-IN"/>
              </w:rPr>
              <w:t>。</w:t>
            </w:r>
          </w:p>
        </w:tc>
        <w:tc>
          <w:tcPr>
            <w:tcW w:w="968" w:type="dxa"/>
            <w:tcBorders>
              <w:top w:val="nil"/>
              <w:left w:val="nil"/>
              <w:bottom w:val="single" w:color="auto" w:sz="4" w:space="0"/>
              <w:right w:val="single" w:color="auto" w:sz="4" w:space="0"/>
            </w:tcBorders>
            <w:shd w:val="clear" w:color="auto" w:fill="auto"/>
            <w:vAlign w:val="center"/>
          </w:tcPr>
          <w:p w14:paraId="1C8437A2">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63E198FA">
            <w:pPr>
              <w:rPr>
                <w:lang w:eastAsia="zh-CN" w:bidi="sa-IN"/>
              </w:rPr>
            </w:pPr>
          </w:p>
        </w:tc>
      </w:tr>
      <w:tr w14:paraId="59339B3F">
        <w:tblPrEx>
          <w:tblCellMar>
            <w:top w:w="0" w:type="dxa"/>
            <w:left w:w="108" w:type="dxa"/>
            <w:bottom w:w="0" w:type="dxa"/>
            <w:right w:w="108" w:type="dxa"/>
          </w:tblCellMar>
        </w:tblPrEx>
        <w:trPr>
          <w:trHeight w:val="960"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1469D0DC">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0988F199">
            <w:pPr>
              <w:rPr>
                <w:lang w:bidi="sa-IN"/>
              </w:rPr>
            </w:pPr>
            <w:r>
              <w:rPr>
                <w:lang w:bidi="sa-IN"/>
              </w:rPr>
              <w:t>*2.8</w:t>
            </w:r>
          </w:p>
        </w:tc>
        <w:tc>
          <w:tcPr>
            <w:tcW w:w="9660" w:type="dxa"/>
            <w:tcBorders>
              <w:top w:val="nil"/>
              <w:left w:val="nil"/>
              <w:bottom w:val="single" w:color="auto" w:sz="4" w:space="0"/>
              <w:right w:val="single" w:color="auto" w:sz="4" w:space="0"/>
            </w:tcBorders>
            <w:shd w:val="clear" w:color="auto" w:fill="auto"/>
            <w:vAlign w:val="center"/>
          </w:tcPr>
          <w:p w14:paraId="09EFF250">
            <w:pPr>
              <w:rPr>
                <w:lang w:eastAsia="zh-CN" w:bidi="sa-IN"/>
              </w:rPr>
            </w:pPr>
            <w:r>
              <w:rPr>
                <w:lang w:eastAsia="zh-CN" w:bidi="sa-IN"/>
              </w:rPr>
              <w:t>保健食品生产中直接接触空气的各暴露工序以及直接接触保健食品的包装材料最终处理的暴露工序应在同一洁净车间内连续完成。生产工序未在同一洁净车间内完成的，应经生产验证合格，符合保健食品生产洁净级别要求。</w:t>
            </w:r>
          </w:p>
        </w:tc>
        <w:tc>
          <w:tcPr>
            <w:tcW w:w="968" w:type="dxa"/>
            <w:tcBorders>
              <w:top w:val="nil"/>
              <w:left w:val="nil"/>
              <w:bottom w:val="single" w:color="auto" w:sz="4" w:space="0"/>
              <w:right w:val="single" w:color="auto" w:sz="4" w:space="0"/>
            </w:tcBorders>
            <w:shd w:val="clear" w:color="auto" w:fill="auto"/>
            <w:vAlign w:val="center"/>
          </w:tcPr>
          <w:p w14:paraId="4F4B3F5F">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7808368D">
            <w:pPr>
              <w:rPr>
                <w:lang w:eastAsia="zh-CN" w:bidi="sa-IN"/>
              </w:rPr>
            </w:pPr>
          </w:p>
        </w:tc>
      </w:tr>
      <w:tr w14:paraId="1A30DB90">
        <w:tblPrEx>
          <w:tblCellMar>
            <w:top w:w="0" w:type="dxa"/>
            <w:left w:w="108" w:type="dxa"/>
            <w:bottom w:w="0" w:type="dxa"/>
            <w:right w:w="108" w:type="dxa"/>
          </w:tblCellMar>
        </w:tblPrEx>
        <w:trPr>
          <w:trHeight w:val="2280"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2ABE8432">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5A42C3FD">
            <w:pPr>
              <w:rPr>
                <w:lang w:bidi="sa-IN"/>
              </w:rPr>
            </w:pPr>
            <w:r>
              <w:rPr>
                <w:lang w:bidi="sa-IN"/>
              </w:rPr>
              <w:t>**2.9</w:t>
            </w:r>
          </w:p>
        </w:tc>
        <w:tc>
          <w:tcPr>
            <w:tcW w:w="9660" w:type="dxa"/>
            <w:tcBorders>
              <w:top w:val="nil"/>
              <w:left w:val="nil"/>
              <w:bottom w:val="single" w:color="auto" w:sz="4" w:space="0"/>
              <w:right w:val="single" w:color="auto" w:sz="4" w:space="0"/>
            </w:tcBorders>
            <w:shd w:val="clear" w:color="auto" w:fill="auto"/>
            <w:vAlign w:val="center"/>
          </w:tcPr>
          <w:p w14:paraId="6F2007C0">
            <w:pPr>
              <w:rPr>
                <w:lang w:eastAsia="zh-CN" w:bidi="sa-IN"/>
              </w:rPr>
            </w:pPr>
            <w:r>
              <w:rPr>
                <w:lang w:eastAsia="zh-CN" w:bidi="sa-IN"/>
              </w:rPr>
              <w:t>保健食品不得与药品共线生产，不得生产对保健食品质量安全产生影响的其他产品。</w:t>
            </w:r>
          </w:p>
        </w:tc>
        <w:tc>
          <w:tcPr>
            <w:tcW w:w="968" w:type="dxa"/>
            <w:tcBorders>
              <w:top w:val="nil"/>
              <w:left w:val="nil"/>
              <w:bottom w:val="single" w:color="auto" w:sz="4" w:space="0"/>
              <w:right w:val="single" w:color="auto" w:sz="4" w:space="0"/>
            </w:tcBorders>
            <w:shd w:val="clear" w:color="auto" w:fill="auto"/>
            <w:vAlign w:val="center"/>
          </w:tcPr>
          <w:p w14:paraId="49D8B7B9">
            <w:pPr>
              <w:rPr>
                <w:lang w:eastAsia="zh-CN" w:bidi="sa-IN"/>
              </w:rPr>
            </w:pPr>
            <w:r>
              <w:rPr>
                <w:rFonts w:hint="eastAsia"/>
                <w:lang w:eastAsia="zh-CN" w:bidi="sa-IN"/>
              </w:rPr>
              <w:t>若此项不符合要求，审查结论为直接判为不合格。　</w:t>
            </w: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003AA75B">
            <w:pPr>
              <w:rPr>
                <w:lang w:eastAsia="zh-CN" w:bidi="sa-IN"/>
              </w:rPr>
            </w:pPr>
          </w:p>
        </w:tc>
      </w:tr>
      <w:tr w14:paraId="2C50B91F">
        <w:tblPrEx>
          <w:tblCellMar>
            <w:top w:w="0" w:type="dxa"/>
            <w:left w:w="108" w:type="dxa"/>
            <w:bottom w:w="0" w:type="dxa"/>
            <w:right w:w="108" w:type="dxa"/>
          </w:tblCellMar>
        </w:tblPrEx>
        <w:trPr>
          <w:trHeight w:val="634" w:hRule="atLeast"/>
          <w:jc w:val="center"/>
        </w:trPr>
        <w:tc>
          <w:tcPr>
            <w:tcW w:w="145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818EF80">
            <w:pPr>
              <w:rPr>
                <w:lang w:bidi="sa-IN"/>
              </w:rPr>
            </w:pPr>
            <w:r>
              <w:rPr>
                <w:rFonts w:hint="eastAsia" w:ascii="宋体" w:hAnsi="宋体" w:eastAsia="宋体" w:cs="宋体"/>
                <w:lang w:bidi="sa-IN"/>
              </w:rPr>
              <w:t>三、设施设备</w:t>
            </w:r>
          </w:p>
        </w:tc>
      </w:tr>
      <w:tr w14:paraId="631ECF41">
        <w:tblPrEx>
          <w:tblCellMar>
            <w:top w:w="0" w:type="dxa"/>
            <w:left w:w="108" w:type="dxa"/>
            <w:bottom w:w="0" w:type="dxa"/>
            <w:right w:w="108" w:type="dxa"/>
          </w:tblCellMar>
        </w:tblPrEx>
        <w:trPr>
          <w:trHeight w:val="699" w:hRule="atLeast"/>
          <w:jc w:val="center"/>
        </w:trPr>
        <w:tc>
          <w:tcPr>
            <w:tcW w:w="1134" w:type="dxa"/>
            <w:tcBorders>
              <w:top w:val="nil"/>
              <w:left w:val="single" w:color="auto" w:sz="4" w:space="0"/>
              <w:bottom w:val="single" w:color="auto" w:sz="4" w:space="0"/>
              <w:right w:val="single" w:color="auto" w:sz="4" w:space="0"/>
            </w:tcBorders>
            <w:shd w:val="clear" w:color="auto" w:fill="auto"/>
            <w:vAlign w:val="center"/>
          </w:tcPr>
          <w:p w14:paraId="729AA897">
            <w:pPr>
              <w:rPr>
                <w:bCs/>
                <w:lang w:bidi="sa-IN"/>
              </w:rPr>
            </w:pPr>
            <w:r>
              <w:rPr>
                <w:rFonts w:hint="eastAsia" w:ascii="宋体" w:hAnsi="宋体" w:eastAsia="宋体" w:cs="宋体"/>
                <w:lang w:bidi="sa-IN"/>
              </w:rPr>
              <w:t>审查项目</w:t>
            </w:r>
          </w:p>
        </w:tc>
        <w:tc>
          <w:tcPr>
            <w:tcW w:w="1056" w:type="dxa"/>
            <w:tcBorders>
              <w:top w:val="nil"/>
              <w:left w:val="nil"/>
              <w:bottom w:val="single" w:color="auto" w:sz="4" w:space="0"/>
              <w:right w:val="single" w:color="auto" w:sz="4" w:space="0"/>
            </w:tcBorders>
            <w:shd w:val="clear" w:color="auto" w:fill="auto"/>
            <w:vAlign w:val="center"/>
          </w:tcPr>
          <w:p w14:paraId="64851C19">
            <w:pPr>
              <w:rPr>
                <w:bCs/>
                <w:lang w:bidi="sa-IN"/>
              </w:rPr>
            </w:pPr>
            <w:r>
              <w:rPr>
                <w:lang w:bidi="sa-IN"/>
              </w:rPr>
              <w:t>序号</w:t>
            </w:r>
          </w:p>
        </w:tc>
        <w:tc>
          <w:tcPr>
            <w:tcW w:w="9660" w:type="dxa"/>
            <w:tcBorders>
              <w:top w:val="nil"/>
              <w:left w:val="nil"/>
              <w:bottom w:val="single" w:color="auto" w:sz="4" w:space="0"/>
              <w:right w:val="single" w:color="auto" w:sz="4" w:space="0"/>
            </w:tcBorders>
            <w:shd w:val="clear" w:color="auto" w:fill="auto"/>
            <w:vAlign w:val="center"/>
          </w:tcPr>
          <w:p w14:paraId="215838C3">
            <w:pPr>
              <w:rPr>
                <w:bCs/>
                <w:lang w:bidi="sa-IN"/>
              </w:rPr>
            </w:pPr>
            <w:r>
              <w:rPr>
                <w:lang w:bidi="sa-IN"/>
              </w:rPr>
              <w:t>审查内容</w:t>
            </w:r>
          </w:p>
        </w:tc>
        <w:tc>
          <w:tcPr>
            <w:tcW w:w="968" w:type="dxa"/>
            <w:tcBorders>
              <w:top w:val="nil"/>
              <w:left w:val="nil"/>
              <w:bottom w:val="single" w:color="auto" w:sz="4" w:space="0"/>
              <w:right w:val="single" w:color="auto" w:sz="4" w:space="0"/>
            </w:tcBorders>
            <w:shd w:val="clear" w:color="auto" w:fill="auto"/>
            <w:vAlign w:val="center"/>
          </w:tcPr>
          <w:p w14:paraId="6CC91855">
            <w:pPr>
              <w:rPr>
                <w:sz w:val="20"/>
                <w:szCs w:val="20"/>
                <w:lang w:bidi="sa-IN"/>
              </w:rPr>
            </w:pPr>
            <w:r>
              <w:rPr>
                <w:rFonts w:hint="eastAsia"/>
                <w:lang w:eastAsia="zh-CN"/>
              </w:rPr>
              <w:t>备注</w:t>
            </w:r>
          </w:p>
        </w:tc>
        <w:tc>
          <w:tcPr>
            <w:tcW w:w="1763" w:type="dxa"/>
            <w:tcBorders>
              <w:top w:val="nil"/>
              <w:left w:val="nil"/>
              <w:bottom w:val="single" w:color="auto" w:sz="4" w:space="0"/>
              <w:right w:val="single" w:color="auto" w:sz="4" w:space="0"/>
            </w:tcBorders>
            <w:shd w:val="clear" w:color="auto" w:fill="auto"/>
            <w:vAlign w:val="center"/>
          </w:tcPr>
          <w:p w14:paraId="0B722EF7">
            <w:pPr>
              <w:rPr>
                <w:sz w:val="22"/>
                <w:szCs w:val="22"/>
                <w:lang w:bidi="sa-IN"/>
              </w:rPr>
            </w:pPr>
            <w:r>
              <w:rPr>
                <w:rFonts w:hint="eastAsia"/>
                <w:lang w:eastAsia="zh-CN"/>
              </w:rPr>
              <w:t>现场评审指引</w:t>
            </w:r>
          </w:p>
        </w:tc>
      </w:tr>
      <w:tr w14:paraId="420F50B9">
        <w:tblPrEx>
          <w:tblCellMar>
            <w:top w:w="0" w:type="dxa"/>
            <w:left w:w="108" w:type="dxa"/>
            <w:bottom w:w="0" w:type="dxa"/>
            <w:right w:w="108" w:type="dxa"/>
          </w:tblCellMar>
        </w:tblPrEx>
        <w:trPr>
          <w:trHeight w:val="891" w:hRule="atLeast"/>
          <w:jc w:val="center"/>
        </w:trPr>
        <w:tc>
          <w:tcPr>
            <w:tcW w:w="1134" w:type="dxa"/>
            <w:vMerge w:val="restart"/>
            <w:tcBorders>
              <w:top w:val="nil"/>
              <w:left w:val="single" w:color="auto" w:sz="4" w:space="0"/>
              <w:right w:val="single" w:color="auto" w:sz="4" w:space="0"/>
            </w:tcBorders>
            <w:shd w:val="clear" w:color="auto" w:fill="auto"/>
            <w:vAlign w:val="center"/>
          </w:tcPr>
          <w:p w14:paraId="43D4DA43">
            <w:pPr>
              <w:rPr>
                <w:lang w:bidi="sa-IN"/>
              </w:rPr>
            </w:pPr>
            <w:r>
              <w:rPr>
                <w:rFonts w:hint="eastAsia" w:ascii="宋体" w:hAnsi="宋体" w:eastAsia="宋体" w:cs="宋体"/>
                <w:lang w:bidi="sa-IN"/>
              </w:rPr>
              <w:t>生产设施</w:t>
            </w:r>
          </w:p>
        </w:tc>
        <w:tc>
          <w:tcPr>
            <w:tcW w:w="1056" w:type="dxa"/>
            <w:tcBorders>
              <w:top w:val="nil"/>
              <w:left w:val="nil"/>
              <w:bottom w:val="single" w:color="auto" w:sz="4" w:space="0"/>
              <w:right w:val="single" w:color="auto" w:sz="4" w:space="0"/>
            </w:tcBorders>
            <w:shd w:val="clear" w:color="auto" w:fill="auto"/>
            <w:vAlign w:val="center"/>
          </w:tcPr>
          <w:p w14:paraId="7F462428">
            <w:pPr>
              <w:rPr>
                <w:lang w:bidi="sa-IN"/>
              </w:rPr>
            </w:pPr>
            <w:r>
              <w:rPr>
                <w:lang w:bidi="sa-IN"/>
              </w:rPr>
              <w:t>3.1</w:t>
            </w:r>
          </w:p>
        </w:tc>
        <w:tc>
          <w:tcPr>
            <w:tcW w:w="9660" w:type="dxa"/>
            <w:tcBorders>
              <w:top w:val="nil"/>
              <w:left w:val="nil"/>
              <w:bottom w:val="single" w:color="auto" w:sz="4" w:space="0"/>
              <w:right w:val="single" w:color="auto" w:sz="4" w:space="0"/>
            </w:tcBorders>
            <w:shd w:val="clear" w:color="auto" w:fill="auto"/>
            <w:vAlign w:val="center"/>
          </w:tcPr>
          <w:p w14:paraId="088804E4">
            <w:pPr>
              <w:rPr>
                <w:lang w:eastAsia="zh-CN" w:bidi="sa-IN"/>
              </w:rPr>
            </w:pPr>
            <w:r>
              <w:rPr>
                <w:lang w:eastAsia="zh-CN" w:bidi="sa-IN"/>
              </w:rPr>
              <w:t>洁净车间的内表面应当平整光滑、无裂缝、接口严密、无颗粒物脱落，并能耐受清洗和消毒，墙壁与地面的交界处宜成弧形或采取其他措施，以减少灰尘积聚和便于清洁。</w:t>
            </w:r>
          </w:p>
        </w:tc>
        <w:tc>
          <w:tcPr>
            <w:tcW w:w="968" w:type="dxa"/>
            <w:tcBorders>
              <w:top w:val="nil"/>
              <w:left w:val="nil"/>
              <w:bottom w:val="single" w:color="auto" w:sz="4" w:space="0"/>
              <w:right w:val="single" w:color="auto" w:sz="4" w:space="0"/>
            </w:tcBorders>
            <w:shd w:val="clear" w:color="auto" w:fill="auto"/>
            <w:vAlign w:val="center"/>
          </w:tcPr>
          <w:p w14:paraId="22F94308">
            <w:pPr>
              <w:rPr>
                <w:lang w:eastAsia="zh-CN" w:bidi="sa-IN"/>
              </w:rPr>
            </w:pPr>
            <w:r>
              <w:rPr>
                <w:lang w:eastAsia="zh-CN" w:bidi="sa-IN"/>
              </w:rPr>
              <w:t>　</w:t>
            </w:r>
          </w:p>
        </w:tc>
        <w:tc>
          <w:tcPr>
            <w:tcW w:w="1763" w:type="dxa"/>
            <w:vMerge w:val="restart"/>
            <w:tcBorders>
              <w:top w:val="nil"/>
              <w:left w:val="single" w:color="auto" w:sz="4" w:space="0"/>
              <w:right w:val="single" w:color="auto" w:sz="4" w:space="0"/>
            </w:tcBorders>
            <w:shd w:val="clear" w:color="auto" w:fill="auto"/>
            <w:vAlign w:val="center"/>
          </w:tcPr>
          <w:p w14:paraId="517789B3">
            <w:pPr>
              <w:rPr>
                <w:sz w:val="22"/>
                <w:szCs w:val="22"/>
                <w:lang w:eastAsia="zh-CN" w:bidi="sa-IN"/>
              </w:rPr>
            </w:pPr>
            <w:r>
              <w:rPr>
                <w:sz w:val="22"/>
                <w:szCs w:val="22"/>
                <w:lang w:eastAsia="zh-CN" w:bidi="sa-IN"/>
              </w:rPr>
              <w:t>　</w:t>
            </w:r>
            <w:r>
              <w:rPr>
                <w:rFonts w:hint="eastAsia"/>
                <w:lang w:eastAsia="zh-CN" w:bidi="sa-IN"/>
              </w:rPr>
              <w:t>现场查看洁净车间环境，车间内表面、窗户、天棚及管道。</w:t>
            </w:r>
          </w:p>
        </w:tc>
      </w:tr>
      <w:tr w14:paraId="4CB54E7D">
        <w:tblPrEx>
          <w:tblCellMar>
            <w:top w:w="0" w:type="dxa"/>
            <w:left w:w="108" w:type="dxa"/>
            <w:bottom w:w="0" w:type="dxa"/>
            <w:right w:w="108" w:type="dxa"/>
          </w:tblCellMar>
        </w:tblPrEx>
        <w:trPr>
          <w:trHeight w:val="840" w:hRule="atLeast"/>
          <w:jc w:val="center"/>
        </w:trPr>
        <w:tc>
          <w:tcPr>
            <w:tcW w:w="1134" w:type="dxa"/>
            <w:vMerge w:val="continue"/>
            <w:tcBorders>
              <w:left w:val="single" w:color="auto" w:sz="4" w:space="0"/>
              <w:bottom w:val="single" w:color="auto" w:sz="4" w:space="0"/>
              <w:right w:val="single" w:color="auto" w:sz="4" w:space="0"/>
            </w:tcBorders>
            <w:shd w:val="clear" w:color="auto" w:fill="auto"/>
            <w:vAlign w:val="center"/>
          </w:tcPr>
          <w:p w14:paraId="35754C0D">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2D3A7E87">
            <w:pPr>
              <w:rPr>
                <w:lang w:bidi="sa-IN"/>
              </w:rPr>
            </w:pPr>
            <w:r>
              <w:rPr>
                <w:lang w:bidi="sa-IN"/>
              </w:rPr>
              <w:t>3.2</w:t>
            </w:r>
          </w:p>
        </w:tc>
        <w:tc>
          <w:tcPr>
            <w:tcW w:w="9660" w:type="dxa"/>
            <w:tcBorders>
              <w:top w:val="nil"/>
              <w:left w:val="nil"/>
              <w:bottom w:val="single" w:color="auto" w:sz="4" w:space="0"/>
              <w:right w:val="single" w:color="auto" w:sz="4" w:space="0"/>
            </w:tcBorders>
            <w:shd w:val="clear" w:color="auto" w:fill="auto"/>
            <w:vAlign w:val="center"/>
          </w:tcPr>
          <w:p w14:paraId="05CEDB5C">
            <w:pPr>
              <w:rPr>
                <w:lang w:eastAsia="zh-CN" w:bidi="sa-IN"/>
              </w:rPr>
            </w:pPr>
            <w:r>
              <w:rPr>
                <w:lang w:eastAsia="zh-CN" w:bidi="sa-IN"/>
              </w:rPr>
              <w:t>洁净车间内的窗户、天棚及进入室内的管道、风口、灯具与墙壁或天棚的连接部位均应当密封，洁净车间内的密闭门应朝空气洁净度较高的房间开启。</w:t>
            </w:r>
          </w:p>
        </w:tc>
        <w:tc>
          <w:tcPr>
            <w:tcW w:w="968" w:type="dxa"/>
            <w:tcBorders>
              <w:top w:val="nil"/>
              <w:left w:val="nil"/>
              <w:bottom w:val="single" w:color="auto" w:sz="4" w:space="0"/>
              <w:right w:val="single" w:color="auto" w:sz="4" w:space="0"/>
            </w:tcBorders>
            <w:shd w:val="clear" w:color="auto" w:fill="auto"/>
            <w:vAlign w:val="center"/>
          </w:tcPr>
          <w:p w14:paraId="7FF69935">
            <w:pPr>
              <w:rPr>
                <w:lang w:eastAsia="zh-CN" w:bidi="sa-IN"/>
              </w:rPr>
            </w:pPr>
            <w:r>
              <w:rPr>
                <w:lang w:eastAsia="zh-CN" w:bidi="sa-IN"/>
              </w:rPr>
              <w:t>　</w:t>
            </w:r>
          </w:p>
        </w:tc>
        <w:tc>
          <w:tcPr>
            <w:tcW w:w="1763" w:type="dxa"/>
            <w:vMerge w:val="continue"/>
            <w:tcBorders>
              <w:left w:val="single" w:color="auto" w:sz="4" w:space="0"/>
              <w:bottom w:val="single" w:color="auto" w:sz="4" w:space="0"/>
              <w:right w:val="single" w:color="auto" w:sz="4" w:space="0"/>
            </w:tcBorders>
            <w:shd w:val="clear" w:color="auto" w:fill="auto"/>
            <w:vAlign w:val="center"/>
          </w:tcPr>
          <w:p w14:paraId="08B9817D">
            <w:pPr>
              <w:rPr>
                <w:lang w:eastAsia="zh-CN" w:bidi="sa-IN"/>
              </w:rPr>
            </w:pPr>
          </w:p>
        </w:tc>
      </w:tr>
      <w:tr w14:paraId="770A9E31">
        <w:tblPrEx>
          <w:tblCellMar>
            <w:top w:w="0" w:type="dxa"/>
            <w:left w:w="108" w:type="dxa"/>
            <w:bottom w:w="0" w:type="dxa"/>
            <w:right w:w="108" w:type="dxa"/>
          </w:tblCellMar>
        </w:tblPrEx>
        <w:trPr>
          <w:trHeight w:val="649" w:hRule="atLeast"/>
          <w:jc w:val="center"/>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7595159">
            <w:pPr>
              <w:rPr>
                <w:lang w:bidi="sa-IN"/>
              </w:rPr>
            </w:pPr>
            <w:r>
              <w:rPr>
                <w:lang w:bidi="sa-IN"/>
              </w:rPr>
              <w:t>审查项目</w:t>
            </w:r>
          </w:p>
        </w:tc>
        <w:tc>
          <w:tcPr>
            <w:tcW w:w="1056" w:type="dxa"/>
            <w:tcBorders>
              <w:top w:val="single" w:color="auto" w:sz="4" w:space="0"/>
              <w:left w:val="nil"/>
              <w:bottom w:val="single" w:color="auto" w:sz="4" w:space="0"/>
              <w:right w:val="single" w:color="auto" w:sz="4" w:space="0"/>
            </w:tcBorders>
            <w:shd w:val="clear" w:color="auto" w:fill="auto"/>
            <w:vAlign w:val="center"/>
          </w:tcPr>
          <w:p w14:paraId="0944E4F5">
            <w:pPr>
              <w:rPr>
                <w:lang w:bidi="sa-IN"/>
              </w:rPr>
            </w:pPr>
            <w:r>
              <w:rPr>
                <w:lang w:bidi="sa-IN"/>
              </w:rPr>
              <w:t>序号</w:t>
            </w:r>
          </w:p>
        </w:tc>
        <w:tc>
          <w:tcPr>
            <w:tcW w:w="9660" w:type="dxa"/>
            <w:tcBorders>
              <w:top w:val="single" w:color="auto" w:sz="4" w:space="0"/>
              <w:left w:val="nil"/>
              <w:bottom w:val="single" w:color="auto" w:sz="4" w:space="0"/>
              <w:right w:val="single" w:color="auto" w:sz="4" w:space="0"/>
            </w:tcBorders>
            <w:shd w:val="clear" w:color="auto" w:fill="auto"/>
            <w:vAlign w:val="center"/>
          </w:tcPr>
          <w:p w14:paraId="16755E7E">
            <w:pPr>
              <w:rPr>
                <w:lang w:bidi="sa-IN"/>
              </w:rPr>
            </w:pPr>
            <w:r>
              <w:rPr>
                <w:lang w:bidi="sa-IN"/>
              </w:rPr>
              <w:t>审查内容</w:t>
            </w:r>
          </w:p>
        </w:tc>
        <w:tc>
          <w:tcPr>
            <w:tcW w:w="968" w:type="dxa"/>
            <w:tcBorders>
              <w:top w:val="single" w:color="auto" w:sz="4" w:space="0"/>
              <w:left w:val="nil"/>
              <w:bottom w:val="single" w:color="auto" w:sz="4" w:space="0"/>
              <w:right w:val="single" w:color="auto" w:sz="4" w:space="0"/>
            </w:tcBorders>
            <w:shd w:val="clear" w:color="auto" w:fill="auto"/>
            <w:vAlign w:val="center"/>
          </w:tcPr>
          <w:p w14:paraId="42952E23">
            <w:pPr>
              <w:rPr>
                <w:sz w:val="22"/>
                <w:szCs w:val="22"/>
                <w:lang w:bidi="sa-IN"/>
              </w:rPr>
            </w:pPr>
            <w:r>
              <w:rPr>
                <w:rFonts w:hint="eastAsia"/>
                <w:lang w:eastAsia="zh-CN"/>
              </w:rPr>
              <w:t>备注</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0320CAAA">
            <w:pPr>
              <w:rPr>
                <w:sz w:val="22"/>
                <w:szCs w:val="22"/>
                <w:lang w:bidi="sa-IN"/>
              </w:rPr>
            </w:pPr>
            <w:r>
              <w:rPr>
                <w:rFonts w:hint="eastAsia"/>
                <w:lang w:eastAsia="zh-CN"/>
              </w:rPr>
              <w:t>现场评审指引</w:t>
            </w:r>
          </w:p>
        </w:tc>
      </w:tr>
      <w:tr w14:paraId="1A226FBE">
        <w:tblPrEx>
          <w:tblCellMar>
            <w:top w:w="0" w:type="dxa"/>
            <w:left w:w="108" w:type="dxa"/>
            <w:bottom w:w="0" w:type="dxa"/>
            <w:right w:w="108" w:type="dxa"/>
          </w:tblCellMar>
        </w:tblPrEx>
        <w:trPr>
          <w:trHeight w:val="720" w:hRule="atLeast"/>
          <w:jc w:val="center"/>
        </w:trPr>
        <w:tc>
          <w:tcPr>
            <w:tcW w:w="1134" w:type="dxa"/>
            <w:vMerge w:val="restart"/>
            <w:tcBorders>
              <w:top w:val="single" w:color="auto" w:sz="4" w:space="0"/>
              <w:left w:val="single" w:color="auto" w:sz="4" w:space="0"/>
              <w:right w:val="single" w:color="auto" w:sz="4" w:space="0"/>
            </w:tcBorders>
            <w:shd w:val="clear" w:color="auto" w:fill="auto"/>
            <w:vAlign w:val="center"/>
          </w:tcPr>
          <w:p w14:paraId="2B081E2C">
            <w:pPr>
              <w:rPr>
                <w:lang w:bidi="sa-IN"/>
              </w:rPr>
            </w:pPr>
            <w:r>
              <w:rPr>
                <w:rFonts w:hint="eastAsia" w:ascii="宋体" w:hAnsi="宋体" w:eastAsia="宋体" w:cs="宋体"/>
                <w:lang w:bidi="sa-IN"/>
              </w:rPr>
              <w:t>生产设施</w:t>
            </w:r>
          </w:p>
        </w:tc>
        <w:tc>
          <w:tcPr>
            <w:tcW w:w="1056" w:type="dxa"/>
            <w:tcBorders>
              <w:top w:val="single" w:color="auto" w:sz="4" w:space="0"/>
              <w:left w:val="nil"/>
              <w:bottom w:val="single" w:color="auto" w:sz="4" w:space="0"/>
              <w:right w:val="single" w:color="auto" w:sz="4" w:space="0"/>
            </w:tcBorders>
            <w:shd w:val="clear" w:color="auto" w:fill="auto"/>
            <w:vAlign w:val="center"/>
          </w:tcPr>
          <w:p w14:paraId="0738F11B">
            <w:pPr>
              <w:rPr>
                <w:lang w:bidi="sa-IN"/>
              </w:rPr>
            </w:pPr>
            <w:r>
              <w:rPr>
                <w:lang w:bidi="sa-IN"/>
              </w:rPr>
              <w:t>3.3</w:t>
            </w:r>
          </w:p>
        </w:tc>
        <w:tc>
          <w:tcPr>
            <w:tcW w:w="9660" w:type="dxa"/>
            <w:tcBorders>
              <w:top w:val="single" w:color="auto" w:sz="4" w:space="0"/>
              <w:left w:val="nil"/>
              <w:bottom w:val="single" w:color="auto" w:sz="4" w:space="0"/>
              <w:right w:val="single" w:color="auto" w:sz="4" w:space="0"/>
            </w:tcBorders>
            <w:shd w:val="clear" w:color="auto" w:fill="auto"/>
            <w:vAlign w:val="center"/>
          </w:tcPr>
          <w:p w14:paraId="68200757">
            <w:pPr>
              <w:rPr>
                <w:lang w:eastAsia="zh-CN" w:bidi="sa-IN"/>
              </w:rPr>
            </w:pPr>
            <w:r>
              <w:rPr>
                <w:lang w:eastAsia="zh-CN" w:bidi="sa-IN"/>
              </w:rPr>
              <w:t>管道的设计和安装应当避免死角和盲管，确实无法避免的，应便于拆装清洁。与生产车间无关的管道不宜穿过，与生产设备连接的固定管道应当标明管内物料类别和流向。</w:t>
            </w:r>
          </w:p>
        </w:tc>
        <w:tc>
          <w:tcPr>
            <w:tcW w:w="968" w:type="dxa"/>
            <w:tcBorders>
              <w:top w:val="single" w:color="auto" w:sz="4" w:space="0"/>
              <w:left w:val="nil"/>
              <w:bottom w:val="single" w:color="auto" w:sz="4" w:space="0"/>
              <w:right w:val="single" w:color="auto" w:sz="4" w:space="0"/>
            </w:tcBorders>
            <w:shd w:val="clear" w:color="auto" w:fill="auto"/>
            <w:vAlign w:val="center"/>
          </w:tcPr>
          <w:p w14:paraId="5FF3DA77">
            <w:pPr>
              <w:rPr>
                <w:lang w:eastAsia="zh-CN" w:bidi="sa-IN"/>
              </w:rPr>
            </w:pPr>
            <w:r>
              <w:rPr>
                <w:lang w:eastAsia="zh-CN" w:bidi="sa-IN"/>
              </w:rPr>
              <w:t>　</w:t>
            </w:r>
          </w:p>
        </w:tc>
        <w:tc>
          <w:tcPr>
            <w:tcW w:w="17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94AE60">
            <w:pPr>
              <w:rPr>
                <w:sz w:val="22"/>
                <w:szCs w:val="22"/>
                <w:lang w:eastAsia="zh-CN" w:bidi="sa-IN"/>
              </w:rPr>
            </w:pPr>
            <w:r>
              <w:rPr>
                <w:rFonts w:hint="eastAsia"/>
                <w:lang w:eastAsia="zh-CN" w:bidi="sa-IN"/>
              </w:rPr>
              <w:t>查看车间管道设计是否合理，</w:t>
            </w:r>
            <w:r>
              <w:rPr>
                <w:rFonts w:hint="eastAsia"/>
                <w:spacing w:val="-6"/>
                <w:lang w:eastAsia="zh-CN" w:bidi="sa-IN"/>
              </w:rPr>
              <w:t>洁净区与非洁净区之间是否设了缓冲区，</w:t>
            </w:r>
            <w:r>
              <w:rPr>
                <w:rFonts w:hint="eastAsia"/>
                <w:lang w:eastAsia="zh-CN" w:bidi="sa-IN"/>
              </w:rPr>
              <w:t>产尘量大的车间是否有防尘及捕尘设施，查看车间的洗手、消毒及更衣设施等。</w:t>
            </w:r>
          </w:p>
        </w:tc>
      </w:tr>
      <w:tr w14:paraId="1B9BF08F">
        <w:tblPrEx>
          <w:tblCellMar>
            <w:top w:w="0" w:type="dxa"/>
            <w:left w:w="108" w:type="dxa"/>
            <w:bottom w:w="0" w:type="dxa"/>
            <w:right w:w="108" w:type="dxa"/>
          </w:tblCellMar>
        </w:tblPrEx>
        <w:trPr>
          <w:trHeight w:val="579" w:hRule="atLeast"/>
          <w:jc w:val="center"/>
        </w:trPr>
        <w:tc>
          <w:tcPr>
            <w:tcW w:w="1134" w:type="dxa"/>
            <w:vMerge w:val="continue"/>
            <w:tcBorders>
              <w:left w:val="single" w:color="auto" w:sz="4" w:space="0"/>
              <w:right w:val="single" w:color="auto" w:sz="4" w:space="0"/>
            </w:tcBorders>
            <w:shd w:val="clear" w:color="auto" w:fill="auto"/>
            <w:vAlign w:val="center"/>
          </w:tcPr>
          <w:p w14:paraId="53B28782">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4EBBF4D8">
            <w:pPr>
              <w:rPr>
                <w:lang w:bidi="sa-IN"/>
              </w:rPr>
            </w:pPr>
            <w:r>
              <w:rPr>
                <w:lang w:bidi="sa-IN"/>
              </w:rPr>
              <w:t>*3.4</w:t>
            </w:r>
          </w:p>
        </w:tc>
        <w:tc>
          <w:tcPr>
            <w:tcW w:w="9660" w:type="dxa"/>
            <w:tcBorders>
              <w:top w:val="single" w:color="auto" w:sz="4" w:space="0"/>
              <w:left w:val="nil"/>
              <w:bottom w:val="single" w:color="auto" w:sz="4" w:space="0"/>
              <w:right w:val="single" w:color="auto" w:sz="4" w:space="0"/>
            </w:tcBorders>
            <w:shd w:val="clear" w:color="auto" w:fill="auto"/>
            <w:vAlign w:val="center"/>
          </w:tcPr>
          <w:p w14:paraId="6EFEEC34">
            <w:pPr>
              <w:rPr>
                <w:lang w:eastAsia="zh-CN" w:bidi="sa-IN"/>
              </w:rPr>
            </w:pPr>
            <w:r>
              <w:rPr>
                <w:lang w:eastAsia="zh-CN" w:bidi="sa-IN"/>
              </w:rPr>
              <w:t>洁净区与非洁净区之间以及不同级别的洁净室之间应设缓冲区，缓冲区应设联锁装置，防止空气倒灌。</w:t>
            </w:r>
          </w:p>
        </w:tc>
        <w:tc>
          <w:tcPr>
            <w:tcW w:w="968" w:type="dxa"/>
            <w:tcBorders>
              <w:top w:val="single" w:color="auto" w:sz="4" w:space="0"/>
              <w:left w:val="nil"/>
              <w:bottom w:val="single" w:color="auto" w:sz="4" w:space="0"/>
              <w:right w:val="single" w:color="auto" w:sz="4" w:space="0"/>
            </w:tcBorders>
            <w:shd w:val="clear" w:color="auto" w:fill="auto"/>
            <w:vAlign w:val="center"/>
          </w:tcPr>
          <w:p w14:paraId="0843A3B7">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F68967">
            <w:pPr>
              <w:rPr>
                <w:lang w:eastAsia="zh-CN" w:bidi="sa-IN"/>
              </w:rPr>
            </w:pPr>
          </w:p>
        </w:tc>
      </w:tr>
      <w:tr w14:paraId="78EC19EA">
        <w:tblPrEx>
          <w:tblCellMar>
            <w:top w:w="0" w:type="dxa"/>
            <w:left w:w="108" w:type="dxa"/>
            <w:bottom w:w="0" w:type="dxa"/>
            <w:right w:w="108" w:type="dxa"/>
          </w:tblCellMar>
        </w:tblPrEx>
        <w:trPr>
          <w:trHeight w:val="699" w:hRule="atLeast"/>
          <w:jc w:val="center"/>
        </w:trPr>
        <w:tc>
          <w:tcPr>
            <w:tcW w:w="1134" w:type="dxa"/>
            <w:vMerge w:val="continue"/>
            <w:tcBorders>
              <w:left w:val="single" w:color="auto" w:sz="4" w:space="0"/>
              <w:right w:val="single" w:color="auto" w:sz="4" w:space="0"/>
            </w:tcBorders>
            <w:shd w:val="clear" w:color="auto" w:fill="auto"/>
            <w:vAlign w:val="center"/>
          </w:tcPr>
          <w:p w14:paraId="370FD19E">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1FF1BC09">
            <w:pPr>
              <w:rPr>
                <w:lang w:bidi="sa-IN"/>
              </w:rPr>
            </w:pPr>
            <w:r>
              <w:rPr>
                <w:lang w:bidi="sa-IN"/>
              </w:rPr>
              <w:t>3.5</w:t>
            </w:r>
          </w:p>
        </w:tc>
        <w:tc>
          <w:tcPr>
            <w:tcW w:w="9660" w:type="dxa"/>
            <w:tcBorders>
              <w:top w:val="nil"/>
              <w:left w:val="nil"/>
              <w:bottom w:val="single" w:color="auto" w:sz="4" w:space="0"/>
              <w:right w:val="single" w:color="auto" w:sz="4" w:space="0"/>
            </w:tcBorders>
            <w:shd w:val="clear" w:color="auto" w:fill="auto"/>
            <w:vAlign w:val="center"/>
          </w:tcPr>
          <w:p w14:paraId="615DB9C6">
            <w:pPr>
              <w:rPr>
                <w:lang w:eastAsia="zh-CN" w:bidi="sa-IN"/>
              </w:rPr>
            </w:pPr>
            <w:r>
              <w:rPr>
                <w:lang w:eastAsia="zh-CN" w:bidi="sa-IN"/>
              </w:rPr>
              <w:t>洁净车间内产尘量大的工序应当有防尘及捕尘设施，产尘量大的操作室应当保持相对负压，并采取相应措施，防止粉尘扩散、避免交叉污染。</w:t>
            </w:r>
          </w:p>
        </w:tc>
        <w:tc>
          <w:tcPr>
            <w:tcW w:w="968" w:type="dxa"/>
            <w:tcBorders>
              <w:top w:val="nil"/>
              <w:left w:val="nil"/>
              <w:bottom w:val="single" w:color="auto" w:sz="4" w:space="0"/>
              <w:right w:val="single" w:color="auto" w:sz="4" w:space="0"/>
            </w:tcBorders>
            <w:shd w:val="clear" w:color="auto" w:fill="auto"/>
            <w:vAlign w:val="center"/>
          </w:tcPr>
          <w:p w14:paraId="146CE386">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74FF33">
            <w:pPr>
              <w:rPr>
                <w:lang w:eastAsia="zh-CN" w:bidi="sa-IN"/>
              </w:rPr>
            </w:pPr>
          </w:p>
        </w:tc>
      </w:tr>
      <w:tr w14:paraId="08933DDD">
        <w:tblPrEx>
          <w:tblCellMar>
            <w:top w:w="0" w:type="dxa"/>
            <w:left w:w="108" w:type="dxa"/>
            <w:bottom w:w="0" w:type="dxa"/>
            <w:right w:w="108" w:type="dxa"/>
          </w:tblCellMar>
        </w:tblPrEx>
        <w:trPr>
          <w:trHeight w:val="527" w:hRule="atLeast"/>
          <w:jc w:val="center"/>
        </w:trPr>
        <w:tc>
          <w:tcPr>
            <w:tcW w:w="1134" w:type="dxa"/>
            <w:vMerge w:val="continue"/>
            <w:tcBorders>
              <w:left w:val="single" w:color="auto" w:sz="4" w:space="0"/>
              <w:right w:val="single" w:color="auto" w:sz="4" w:space="0"/>
            </w:tcBorders>
            <w:shd w:val="clear" w:color="auto" w:fill="auto"/>
            <w:vAlign w:val="center"/>
          </w:tcPr>
          <w:p w14:paraId="62CA3B4C">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794FD205">
            <w:pPr>
              <w:rPr>
                <w:lang w:bidi="sa-IN"/>
              </w:rPr>
            </w:pPr>
            <w:r>
              <w:rPr>
                <w:lang w:bidi="sa-IN"/>
              </w:rPr>
              <w:t>*3.6</w:t>
            </w:r>
          </w:p>
        </w:tc>
        <w:tc>
          <w:tcPr>
            <w:tcW w:w="9660" w:type="dxa"/>
            <w:tcBorders>
              <w:top w:val="nil"/>
              <w:left w:val="nil"/>
              <w:bottom w:val="single" w:color="auto" w:sz="4" w:space="0"/>
              <w:right w:val="single" w:color="auto" w:sz="4" w:space="0"/>
            </w:tcBorders>
            <w:shd w:val="clear" w:color="auto" w:fill="auto"/>
            <w:vAlign w:val="center"/>
          </w:tcPr>
          <w:p w14:paraId="7D0647E7">
            <w:pPr>
              <w:rPr>
                <w:lang w:eastAsia="zh-CN" w:bidi="sa-IN"/>
              </w:rPr>
            </w:pPr>
            <w:r>
              <w:rPr>
                <w:lang w:eastAsia="zh-CN" w:bidi="sa-IN"/>
              </w:rPr>
              <w:t>洁净车间的人流通道应设置合理的洗手、消毒、更衣等设施，物流通道应设置必要的缓冲和清洁设施。</w:t>
            </w:r>
          </w:p>
        </w:tc>
        <w:tc>
          <w:tcPr>
            <w:tcW w:w="968" w:type="dxa"/>
            <w:tcBorders>
              <w:top w:val="nil"/>
              <w:left w:val="nil"/>
              <w:bottom w:val="single" w:color="auto" w:sz="4" w:space="0"/>
              <w:right w:val="single" w:color="auto" w:sz="4" w:space="0"/>
            </w:tcBorders>
            <w:shd w:val="clear" w:color="auto" w:fill="auto"/>
            <w:vAlign w:val="center"/>
          </w:tcPr>
          <w:p w14:paraId="5246257C">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F5EE8F">
            <w:pPr>
              <w:rPr>
                <w:lang w:eastAsia="zh-CN" w:bidi="sa-IN"/>
              </w:rPr>
            </w:pPr>
          </w:p>
        </w:tc>
      </w:tr>
      <w:tr w14:paraId="2023F898">
        <w:tblPrEx>
          <w:tblCellMar>
            <w:top w:w="0" w:type="dxa"/>
            <w:left w:w="108" w:type="dxa"/>
            <w:bottom w:w="0" w:type="dxa"/>
            <w:right w:w="108" w:type="dxa"/>
          </w:tblCellMar>
        </w:tblPrEx>
        <w:trPr>
          <w:trHeight w:val="617" w:hRule="atLeast"/>
          <w:jc w:val="center"/>
        </w:trPr>
        <w:tc>
          <w:tcPr>
            <w:tcW w:w="1134" w:type="dxa"/>
            <w:vMerge w:val="continue"/>
            <w:tcBorders>
              <w:left w:val="single" w:color="auto" w:sz="4" w:space="0"/>
              <w:right w:val="single" w:color="auto" w:sz="4" w:space="0"/>
            </w:tcBorders>
            <w:shd w:val="clear" w:color="auto" w:fill="auto"/>
            <w:vAlign w:val="center"/>
          </w:tcPr>
          <w:p w14:paraId="7CB47AFA">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103F460D">
            <w:pPr>
              <w:rPr>
                <w:lang w:bidi="sa-IN"/>
              </w:rPr>
            </w:pPr>
            <w:r>
              <w:rPr>
                <w:lang w:bidi="sa-IN"/>
              </w:rPr>
              <w:t>3.7</w:t>
            </w:r>
          </w:p>
        </w:tc>
        <w:tc>
          <w:tcPr>
            <w:tcW w:w="9660" w:type="dxa"/>
            <w:tcBorders>
              <w:top w:val="nil"/>
              <w:left w:val="nil"/>
              <w:bottom w:val="single" w:color="auto" w:sz="4" w:space="0"/>
              <w:right w:val="single" w:color="auto" w:sz="4" w:space="0"/>
            </w:tcBorders>
            <w:shd w:val="clear" w:color="auto" w:fill="auto"/>
            <w:vAlign w:val="center"/>
          </w:tcPr>
          <w:p w14:paraId="4E2BC5E7">
            <w:pPr>
              <w:rPr>
                <w:lang w:eastAsia="zh-CN" w:bidi="sa-IN"/>
              </w:rPr>
            </w:pPr>
            <w:r>
              <w:rPr>
                <w:lang w:eastAsia="zh-CN" w:bidi="sa-IN"/>
              </w:rPr>
              <w:t>洁净车间内安装的水池、地漏应符合相应洁净要求，不得对物料、中间产品和成品产生污染。</w:t>
            </w:r>
          </w:p>
        </w:tc>
        <w:tc>
          <w:tcPr>
            <w:tcW w:w="968" w:type="dxa"/>
            <w:tcBorders>
              <w:top w:val="nil"/>
              <w:left w:val="nil"/>
              <w:bottom w:val="single" w:color="auto" w:sz="4" w:space="0"/>
              <w:right w:val="single" w:color="auto" w:sz="4" w:space="0"/>
            </w:tcBorders>
            <w:shd w:val="clear" w:color="auto" w:fill="auto"/>
            <w:vAlign w:val="center"/>
          </w:tcPr>
          <w:p w14:paraId="35E94F4B">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90FA35">
            <w:pPr>
              <w:rPr>
                <w:lang w:eastAsia="zh-CN" w:bidi="sa-IN"/>
              </w:rPr>
            </w:pPr>
          </w:p>
        </w:tc>
      </w:tr>
      <w:tr w14:paraId="5A870EE9">
        <w:tblPrEx>
          <w:tblCellMar>
            <w:top w:w="0" w:type="dxa"/>
            <w:left w:w="108" w:type="dxa"/>
            <w:bottom w:w="0" w:type="dxa"/>
            <w:right w:w="108" w:type="dxa"/>
          </w:tblCellMar>
        </w:tblPrEx>
        <w:trPr>
          <w:trHeight w:val="888" w:hRule="atLeast"/>
          <w:jc w:val="center"/>
        </w:trPr>
        <w:tc>
          <w:tcPr>
            <w:tcW w:w="1134" w:type="dxa"/>
            <w:vMerge w:val="continue"/>
            <w:tcBorders>
              <w:left w:val="single" w:color="auto" w:sz="4" w:space="0"/>
              <w:bottom w:val="single" w:color="auto" w:sz="4" w:space="0"/>
              <w:right w:val="single" w:color="auto" w:sz="4" w:space="0"/>
            </w:tcBorders>
            <w:shd w:val="clear" w:color="auto" w:fill="auto"/>
            <w:vAlign w:val="center"/>
          </w:tcPr>
          <w:p w14:paraId="3B9657D8">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4DB5B12C">
            <w:pPr>
              <w:rPr>
                <w:lang w:bidi="sa-IN"/>
              </w:rPr>
            </w:pPr>
            <w:r>
              <w:rPr>
                <w:lang w:bidi="sa-IN"/>
              </w:rPr>
              <w:t>3.8</w:t>
            </w:r>
          </w:p>
        </w:tc>
        <w:tc>
          <w:tcPr>
            <w:tcW w:w="9660" w:type="dxa"/>
            <w:tcBorders>
              <w:top w:val="nil"/>
              <w:left w:val="nil"/>
              <w:bottom w:val="single" w:color="auto" w:sz="4" w:space="0"/>
              <w:right w:val="single" w:color="auto" w:sz="4" w:space="0"/>
            </w:tcBorders>
            <w:shd w:val="clear" w:color="auto" w:fill="auto"/>
            <w:vAlign w:val="center"/>
          </w:tcPr>
          <w:p w14:paraId="07EF6492">
            <w:pPr>
              <w:rPr>
                <w:lang w:eastAsia="zh-CN" w:bidi="sa-IN"/>
              </w:rPr>
            </w:pPr>
            <w:r>
              <w:rPr>
                <w:lang w:eastAsia="zh-CN" w:bidi="sa-IN"/>
              </w:rPr>
              <w:t>一般生产区的墙面、地面、顶棚应当平整，便于清洁；管道、风口、灯具等设施应当安全规范，符合生产要求。</w:t>
            </w:r>
          </w:p>
        </w:tc>
        <w:tc>
          <w:tcPr>
            <w:tcW w:w="968" w:type="dxa"/>
            <w:tcBorders>
              <w:top w:val="nil"/>
              <w:left w:val="nil"/>
              <w:bottom w:val="single" w:color="auto" w:sz="4" w:space="0"/>
              <w:right w:val="single" w:color="auto" w:sz="4" w:space="0"/>
            </w:tcBorders>
            <w:shd w:val="clear" w:color="auto" w:fill="auto"/>
            <w:vAlign w:val="center"/>
          </w:tcPr>
          <w:p w14:paraId="0E446671">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A10521">
            <w:pPr>
              <w:rPr>
                <w:lang w:eastAsia="zh-CN" w:bidi="sa-IN"/>
              </w:rPr>
            </w:pPr>
          </w:p>
        </w:tc>
      </w:tr>
      <w:tr w14:paraId="6D3E53FD">
        <w:tblPrEx>
          <w:tblCellMar>
            <w:top w:w="0" w:type="dxa"/>
            <w:left w:w="108" w:type="dxa"/>
            <w:bottom w:w="0" w:type="dxa"/>
            <w:right w:w="108" w:type="dxa"/>
          </w:tblCellMar>
        </w:tblPrEx>
        <w:trPr>
          <w:trHeight w:val="2025" w:hRule="atLeast"/>
          <w:jc w:val="center"/>
        </w:trPr>
        <w:tc>
          <w:tcPr>
            <w:tcW w:w="1134" w:type="dxa"/>
            <w:vMerge w:val="restart"/>
            <w:tcBorders>
              <w:top w:val="single" w:color="auto" w:sz="4" w:space="0"/>
              <w:left w:val="single" w:color="auto" w:sz="4" w:space="0"/>
              <w:right w:val="single" w:color="auto" w:sz="4" w:space="0"/>
            </w:tcBorders>
            <w:shd w:val="clear" w:color="auto" w:fill="auto"/>
            <w:vAlign w:val="center"/>
          </w:tcPr>
          <w:p w14:paraId="76CB39F4">
            <w:pPr>
              <w:rPr>
                <w:lang w:bidi="sa-IN"/>
              </w:rPr>
            </w:pPr>
            <w:r>
              <w:rPr>
                <w:rFonts w:hint="eastAsia" w:ascii="宋体" w:hAnsi="宋体" w:eastAsia="宋体" w:cs="宋体"/>
                <w:lang w:bidi="sa-IN"/>
              </w:rPr>
              <w:t>生产设备</w:t>
            </w:r>
          </w:p>
        </w:tc>
        <w:tc>
          <w:tcPr>
            <w:tcW w:w="1056" w:type="dxa"/>
            <w:tcBorders>
              <w:top w:val="single" w:color="auto" w:sz="4" w:space="0"/>
              <w:left w:val="nil"/>
              <w:bottom w:val="single" w:color="auto" w:sz="4" w:space="0"/>
              <w:right w:val="single" w:color="auto" w:sz="4" w:space="0"/>
            </w:tcBorders>
            <w:shd w:val="clear" w:color="auto" w:fill="auto"/>
            <w:vAlign w:val="center"/>
          </w:tcPr>
          <w:p w14:paraId="5942F17F">
            <w:pPr>
              <w:rPr>
                <w:lang w:bidi="sa-IN"/>
              </w:rPr>
            </w:pPr>
            <w:r>
              <w:rPr>
                <w:lang w:bidi="sa-IN"/>
              </w:rPr>
              <w:t>**3.9</w:t>
            </w:r>
          </w:p>
        </w:tc>
        <w:tc>
          <w:tcPr>
            <w:tcW w:w="9660" w:type="dxa"/>
            <w:tcBorders>
              <w:top w:val="single" w:color="auto" w:sz="4" w:space="0"/>
              <w:left w:val="nil"/>
              <w:bottom w:val="single" w:color="auto" w:sz="4" w:space="0"/>
              <w:right w:val="single" w:color="auto" w:sz="4" w:space="0"/>
            </w:tcBorders>
            <w:shd w:val="clear" w:color="auto" w:fill="auto"/>
            <w:vAlign w:val="center"/>
          </w:tcPr>
          <w:p w14:paraId="25263A3F">
            <w:pPr>
              <w:rPr>
                <w:lang w:eastAsia="zh-CN" w:bidi="sa-IN"/>
              </w:rPr>
            </w:pPr>
            <w:r>
              <w:rPr>
                <w:lang w:eastAsia="zh-CN" w:bidi="sa-IN"/>
              </w:rPr>
              <w:t>具有与生产品种和规模相适应的生产设备，并根据工艺要求合理布局，生产工序应当衔接紧密，操作方便。</w:t>
            </w:r>
          </w:p>
        </w:tc>
        <w:tc>
          <w:tcPr>
            <w:tcW w:w="968" w:type="dxa"/>
            <w:tcBorders>
              <w:top w:val="single" w:color="auto" w:sz="4" w:space="0"/>
              <w:left w:val="nil"/>
              <w:bottom w:val="single" w:color="auto" w:sz="4" w:space="0"/>
              <w:right w:val="single" w:color="auto" w:sz="4" w:space="0"/>
            </w:tcBorders>
            <w:shd w:val="clear" w:color="auto" w:fill="auto"/>
            <w:vAlign w:val="center"/>
          </w:tcPr>
          <w:p w14:paraId="44BA57ED">
            <w:pPr>
              <w:rPr>
                <w:lang w:eastAsia="zh-CN" w:bidi="sa-IN"/>
              </w:rPr>
            </w:pPr>
            <w:r>
              <w:rPr>
                <w:rFonts w:hint="eastAsia"/>
                <w:lang w:eastAsia="zh-CN" w:bidi="sa-IN"/>
              </w:rPr>
              <w:t>若此项不符合要求，审查结论为直接判为不合格。　</w:t>
            </w:r>
            <w:r>
              <w:rPr>
                <w:lang w:eastAsia="zh-CN" w:bidi="sa-IN"/>
              </w:rPr>
              <w:t>　</w:t>
            </w:r>
          </w:p>
        </w:tc>
        <w:tc>
          <w:tcPr>
            <w:tcW w:w="17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438B1F">
            <w:pPr>
              <w:rPr>
                <w:sz w:val="22"/>
                <w:szCs w:val="22"/>
                <w:lang w:eastAsia="zh-CN" w:bidi="sa-IN"/>
              </w:rPr>
            </w:pPr>
            <w:r>
              <w:rPr>
                <w:rFonts w:hint="eastAsia"/>
                <w:lang w:eastAsia="zh-CN" w:bidi="sa-IN"/>
              </w:rPr>
              <w:t>依据生产设施设备清单，核对各生产设备数量、名称是否正确，需检定校准的仪器仪表是否进行检定校准，查看设备布局是否合理。</w:t>
            </w:r>
          </w:p>
        </w:tc>
      </w:tr>
      <w:tr w14:paraId="18FE30C5">
        <w:tblPrEx>
          <w:tblCellMar>
            <w:top w:w="0" w:type="dxa"/>
            <w:left w:w="108" w:type="dxa"/>
            <w:bottom w:w="0" w:type="dxa"/>
            <w:right w:w="108" w:type="dxa"/>
          </w:tblCellMar>
        </w:tblPrEx>
        <w:trPr>
          <w:trHeight w:val="816" w:hRule="atLeast"/>
          <w:jc w:val="center"/>
        </w:trPr>
        <w:tc>
          <w:tcPr>
            <w:tcW w:w="1134" w:type="dxa"/>
            <w:vMerge w:val="continue"/>
            <w:tcBorders>
              <w:left w:val="single" w:color="auto" w:sz="4" w:space="0"/>
              <w:bottom w:val="nil"/>
              <w:right w:val="single" w:color="auto" w:sz="4" w:space="0"/>
            </w:tcBorders>
            <w:shd w:val="clear" w:color="auto" w:fill="auto"/>
            <w:vAlign w:val="center"/>
          </w:tcPr>
          <w:p w14:paraId="3897452D">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0873C088">
            <w:pPr>
              <w:rPr>
                <w:lang w:bidi="sa-IN"/>
              </w:rPr>
            </w:pPr>
            <w:r>
              <w:rPr>
                <w:lang w:bidi="sa-IN"/>
              </w:rPr>
              <w:t>3.10</w:t>
            </w:r>
          </w:p>
        </w:tc>
        <w:tc>
          <w:tcPr>
            <w:tcW w:w="9660" w:type="dxa"/>
            <w:tcBorders>
              <w:top w:val="nil"/>
              <w:left w:val="nil"/>
              <w:bottom w:val="single" w:color="auto" w:sz="4" w:space="0"/>
              <w:right w:val="single" w:color="auto" w:sz="4" w:space="0"/>
            </w:tcBorders>
            <w:shd w:val="clear" w:color="auto" w:fill="auto"/>
            <w:vAlign w:val="center"/>
          </w:tcPr>
          <w:p w14:paraId="134C4BA7">
            <w:pPr>
              <w:rPr>
                <w:lang w:eastAsia="zh-CN" w:bidi="sa-IN"/>
              </w:rPr>
            </w:pPr>
            <w:r>
              <w:rPr>
                <w:lang w:eastAsia="zh-CN" w:bidi="sa-IN"/>
              </w:rPr>
              <w:t>与物料、中间产品直接或间接接触的设备</w:t>
            </w:r>
            <w:r>
              <w:rPr>
                <w:rFonts w:hint="eastAsia"/>
                <w:lang w:eastAsia="zh-CN" w:bidi="sa-IN"/>
              </w:rPr>
              <w:t>和</w:t>
            </w:r>
            <w:r>
              <w:rPr>
                <w:lang w:eastAsia="zh-CN" w:bidi="sa-IN"/>
              </w:rPr>
              <w:t>用具，应当使用安全、无毒、无臭味或异味、防吸收、耐腐蚀、不易脱落且可承受反复清洗和消毒的材料制造。</w:t>
            </w:r>
          </w:p>
        </w:tc>
        <w:tc>
          <w:tcPr>
            <w:tcW w:w="968" w:type="dxa"/>
            <w:tcBorders>
              <w:top w:val="nil"/>
              <w:left w:val="nil"/>
              <w:bottom w:val="single" w:color="auto" w:sz="4" w:space="0"/>
              <w:right w:val="single" w:color="auto" w:sz="4" w:space="0"/>
            </w:tcBorders>
            <w:shd w:val="clear" w:color="auto" w:fill="auto"/>
            <w:vAlign w:val="center"/>
          </w:tcPr>
          <w:p w14:paraId="1A582480">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027DF85E">
            <w:pPr>
              <w:rPr>
                <w:lang w:eastAsia="zh-CN" w:bidi="sa-IN"/>
              </w:rPr>
            </w:pPr>
          </w:p>
        </w:tc>
      </w:tr>
      <w:tr w14:paraId="62AEFCD4">
        <w:tblPrEx>
          <w:tblCellMar>
            <w:top w:w="0" w:type="dxa"/>
            <w:left w:w="108" w:type="dxa"/>
            <w:bottom w:w="0" w:type="dxa"/>
            <w:right w:w="108" w:type="dxa"/>
          </w:tblCellMar>
        </w:tblPrEx>
        <w:trPr>
          <w:trHeight w:val="759" w:hRule="atLeast"/>
          <w:jc w:val="center"/>
        </w:trPr>
        <w:tc>
          <w:tcPr>
            <w:tcW w:w="1134" w:type="dxa"/>
            <w:vMerge w:val="continue"/>
            <w:tcBorders>
              <w:left w:val="single" w:color="auto" w:sz="4" w:space="0"/>
              <w:right w:val="single" w:color="auto" w:sz="4" w:space="0"/>
            </w:tcBorders>
            <w:shd w:val="clear" w:color="auto" w:fill="auto"/>
            <w:vAlign w:val="center"/>
          </w:tcPr>
          <w:p w14:paraId="0A74D816">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04F7E61E">
            <w:pPr>
              <w:rPr>
                <w:lang w:bidi="sa-IN"/>
              </w:rPr>
            </w:pPr>
            <w:r>
              <w:rPr>
                <w:lang w:bidi="sa-IN"/>
              </w:rPr>
              <w:t>*3.11</w:t>
            </w:r>
          </w:p>
        </w:tc>
        <w:tc>
          <w:tcPr>
            <w:tcW w:w="9660" w:type="dxa"/>
            <w:tcBorders>
              <w:top w:val="nil"/>
              <w:left w:val="nil"/>
              <w:bottom w:val="single" w:color="auto" w:sz="4" w:space="0"/>
              <w:right w:val="single" w:color="auto" w:sz="4" w:space="0"/>
            </w:tcBorders>
            <w:shd w:val="clear" w:color="auto" w:fill="auto"/>
            <w:vAlign w:val="center"/>
          </w:tcPr>
          <w:p w14:paraId="09D3D696">
            <w:pPr>
              <w:rPr>
                <w:lang w:eastAsia="zh-CN" w:bidi="sa-IN"/>
              </w:rPr>
            </w:pPr>
            <w:r>
              <w:rPr>
                <w:lang w:eastAsia="zh-CN" w:bidi="sa-IN"/>
              </w:rPr>
              <w:t>产品的灌装、装填必须使用自动机械设备，因工艺特殊确实无法采用自动机械装置的，应有合理解释，并能保证产品质量。</w:t>
            </w:r>
          </w:p>
        </w:tc>
        <w:tc>
          <w:tcPr>
            <w:tcW w:w="968" w:type="dxa"/>
            <w:tcBorders>
              <w:top w:val="nil"/>
              <w:left w:val="nil"/>
              <w:bottom w:val="single" w:color="auto" w:sz="4" w:space="0"/>
              <w:right w:val="single" w:color="auto" w:sz="4" w:space="0"/>
            </w:tcBorders>
            <w:shd w:val="clear" w:color="auto" w:fill="auto"/>
            <w:vAlign w:val="center"/>
          </w:tcPr>
          <w:p w14:paraId="2234A713">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5BBAD611">
            <w:pPr>
              <w:rPr>
                <w:lang w:eastAsia="zh-CN" w:bidi="sa-IN"/>
              </w:rPr>
            </w:pPr>
          </w:p>
        </w:tc>
      </w:tr>
      <w:tr w14:paraId="621887E0">
        <w:tblPrEx>
          <w:tblCellMar>
            <w:top w:w="0" w:type="dxa"/>
            <w:left w:w="108" w:type="dxa"/>
            <w:bottom w:w="0" w:type="dxa"/>
            <w:right w:w="108" w:type="dxa"/>
          </w:tblCellMar>
        </w:tblPrEx>
        <w:trPr>
          <w:trHeight w:val="975" w:hRule="atLeast"/>
          <w:jc w:val="center"/>
        </w:trPr>
        <w:tc>
          <w:tcPr>
            <w:tcW w:w="1134" w:type="dxa"/>
            <w:vMerge w:val="continue"/>
            <w:tcBorders>
              <w:left w:val="single" w:color="auto" w:sz="4" w:space="0"/>
              <w:right w:val="single" w:color="auto" w:sz="4" w:space="0"/>
            </w:tcBorders>
            <w:shd w:val="clear" w:color="auto" w:fill="auto"/>
            <w:vAlign w:val="center"/>
          </w:tcPr>
          <w:p w14:paraId="07B96DF6">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5A36E31D">
            <w:pPr>
              <w:rPr>
                <w:lang w:bidi="sa-IN"/>
              </w:rPr>
            </w:pPr>
            <w:r>
              <w:rPr>
                <w:lang w:bidi="sa-IN"/>
              </w:rPr>
              <w:t>3.12</w:t>
            </w:r>
          </w:p>
        </w:tc>
        <w:tc>
          <w:tcPr>
            <w:tcW w:w="9660" w:type="dxa"/>
            <w:tcBorders>
              <w:top w:val="nil"/>
              <w:left w:val="nil"/>
              <w:bottom w:val="single" w:color="auto" w:sz="4" w:space="0"/>
              <w:right w:val="single" w:color="auto" w:sz="4" w:space="0"/>
            </w:tcBorders>
            <w:shd w:val="clear" w:color="auto" w:fill="auto"/>
            <w:vAlign w:val="center"/>
          </w:tcPr>
          <w:p w14:paraId="1876256A">
            <w:pPr>
              <w:rPr>
                <w:lang w:eastAsia="zh-CN" w:bidi="sa-IN"/>
              </w:rPr>
            </w:pPr>
            <w:r>
              <w:rPr>
                <w:lang w:eastAsia="zh-CN" w:bidi="sa-IN"/>
              </w:rPr>
              <w:t>计量器具和仪器仪表定期进行检定校验，生产厂房及设施设备定期进行保养维修，确保设施设备符合保健食品生产要求。</w:t>
            </w:r>
          </w:p>
        </w:tc>
        <w:tc>
          <w:tcPr>
            <w:tcW w:w="968" w:type="dxa"/>
            <w:tcBorders>
              <w:top w:val="nil"/>
              <w:left w:val="nil"/>
              <w:bottom w:val="single" w:color="auto" w:sz="4" w:space="0"/>
              <w:right w:val="single" w:color="auto" w:sz="4" w:space="0"/>
            </w:tcBorders>
            <w:shd w:val="clear" w:color="auto" w:fill="auto"/>
            <w:vAlign w:val="center"/>
          </w:tcPr>
          <w:p w14:paraId="056A0255">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73CD8771">
            <w:pPr>
              <w:rPr>
                <w:lang w:eastAsia="zh-CN" w:bidi="sa-IN"/>
              </w:rPr>
            </w:pPr>
          </w:p>
        </w:tc>
      </w:tr>
      <w:tr w14:paraId="37C1246F">
        <w:tblPrEx>
          <w:tblCellMar>
            <w:top w:w="0" w:type="dxa"/>
            <w:left w:w="108" w:type="dxa"/>
            <w:bottom w:w="0" w:type="dxa"/>
            <w:right w:w="108" w:type="dxa"/>
          </w:tblCellMar>
        </w:tblPrEx>
        <w:trPr>
          <w:trHeight w:val="565" w:hRule="atLeast"/>
          <w:jc w:val="center"/>
        </w:trPr>
        <w:tc>
          <w:tcPr>
            <w:tcW w:w="1134" w:type="dxa"/>
            <w:vMerge w:val="continue"/>
            <w:tcBorders>
              <w:left w:val="single" w:color="auto" w:sz="4" w:space="0"/>
              <w:bottom w:val="single" w:color="auto" w:sz="4" w:space="0"/>
              <w:right w:val="single" w:color="auto" w:sz="4" w:space="0"/>
            </w:tcBorders>
            <w:shd w:val="clear" w:color="auto" w:fill="auto"/>
            <w:vAlign w:val="center"/>
          </w:tcPr>
          <w:p w14:paraId="6919BEA4">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70BAEB98">
            <w:pPr>
              <w:rPr>
                <w:lang w:bidi="sa-IN"/>
              </w:rPr>
            </w:pPr>
            <w:r>
              <w:rPr>
                <w:lang w:bidi="sa-IN"/>
              </w:rPr>
              <w:t>3.13</w:t>
            </w:r>
          </w:p>
        </w:tc>
        <w:tc>
          <w:tcPr>
            <w:tcW w:w="9660" w:type="dxa"/>
            <w:tcBorders>
              <w:top w:val="nil"/>
              <w:left w:val="nil"/>
              <w:bottom w:val="single" w:color="auto" w:sz="4" w:space="0"/>
              <w:right w:val="single" w:color="auto" w:sz="4" w:space="0"/>
            </w:tcBorders>
            <w:shd w:val="clear" w:color="auto" w:fill="auto"/>
            <w:vAlign w:val="center"/>
          </w:tcPr>
          <w:p w14:paraId="086596F7">
            <w:pPr>
              <w:rPr>
                <w:lang w:eastAsia="zh-CN" w:bidi="sa-IN"/>
              </w:rPr>
            </w:pPr>
            <w:r>
              <w:rPr>
                <w:lang w:eastAsia="zh-CN" w:bidi="sa-IN"/>
              </w:rPr>
              <w:t>生产设备所用的润滑剂、冷却剂、清洁剂、消毒剂等不得对设备、原辅料或成品造成污染。</w:t>
            </w:r>
          </w:p>
        </w:tc>
        <w:tc>
          <w:tcPr>
            <w:tcW w:w="968" w:type="dxa"/>
            <w:tcBorders>
              <w:top w:val="nil"/>
              <w:left w:val="nil"/>
              <w:bottom w:val="single" w:color="auto" w:sz="4" w:space="0"/>
              <w:right w:val="single" w:color="auto" w:sz="4" w:space="0"/>
            </w:tcBorders>
            <w:shd w:val="clear" w:color="auto" w:fill="auto"/>
            <w:vAlign w:val="center"/>
          </w:tcPr>
          <w:p w14:paraId="11EA1152">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56DF360F">
            <w:pPr>
              <w:rPr>
                <w:lang w:eastAsia="zh-CN" w:bidi="sa-IN"/>
              </w:rPr>
            </w:pPr>
          </w:p>
        </w:tc>
      </w:tr>
      <w:tr w14:paraId="417A4219">
        <w:tblPrEx>
          <w:tblCellMar>
            <w:top w:w="0" w:type="dxa"/>
            <w:left w:w="108" w:type="dxa"/>
            <w:bottom w:w="0" w:type="dxa"/>
            <w:right w:w="108" w:type="dxa"/>
          </w:tblCellMar>
        </w:tblPrEx>
        <w:trPr>
          <w:trHeight w:val="681" w:hRule="atLeast"/>
          <w:jc w:val="center"/>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3BD4E0E1">
            <w:pPr>
              <w:rPr>
                <w:lang w:bidi="sa-IN"/>
              </w:rPr>
            </w:pPr>
            <w:r>
              <w:rPr>
                <w:lang w:bidi="sa-IN"/>
              </w:rPr>
              <w:t>审查项目</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2D64D449">
            <w:pPr>
              <w:rPr>
                <w:lang w:bidi="sa-IN"/>
              </w:rPr>
            </w:pPr>
            <w:r>
              <w:rPr>
                <w:lang w:bidi="sa-IN"/>
              </w:rPr>
              <w:t>序号</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25EEC569">
            <w:pPr>
              <w:rPr>
                <w:lang w:bidi="sa-IN"/>
              </w:rPr>
            </w:pPr>
            <w:r>
              <w:rPr>
                <w:lang w:bidi="sa-IN"/>
              </w:rPr>
              <w:t>审查内容</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22FED8EE">
            <w:pPr>
              <w:rPr>
                <w:sz w:val="22"/>
                <w:szCs w:val="22"/>
                <w:lang w:bidi="sa-IN"/>
              </w:rPr>
            </w:pPr>
            <w:r>
              <w:rPr>
                <w:rFonts w:hint="eastAsia"/>
                <w:lang w:eastAsia="zh-CN"/>
              </w:rPr>
              <w:t>备注</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7E3F2DCE">
            <w:pPr>
              <w:rPr>
                <w:sz w:val="22"/>
                <w:szCs w:val="22"/>
                <w:lang w:bidi="sa-IN"/>
              </w:rPr>
            </w:pPr>
            <w:r>
              <w:rPr>
                <w:rFonts w:hint="eastAsia"/>
                <w:lang w:eastAsia="zh-CN"/>
              </w:rPr>
              <w:t>现场评审指引</w:t>
            </w:r>
          </w:p>
        </w:tc>
      </w:tr>
      <w:tr w14:paraId="54B925BF">
        <w:tblPrEx>
          <w:tblCellMar>
            <w:top w:w="0" w:type="dxa"/>
            <w:left w:w="108" w:type="dxa"/>
            <w:bottom w:w="0" w:type="dxa"/>
            <w:right w:w="108" w:type="dxa"/>
          </w:tblCellMar>
        </w:tblPrEx>
        <w:trPr>
          <w:trHeight w:val="848" w:hRule="atLeast"/>
          <w:jc w:val="center"/>
        </w:trPr>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A60721">
            <w:pPr>
              <w:rPr>
                <w:lang w:bidi="sa-IN"/>
              </w:rPr>
            </w:pPr>
            <w:r>
              <w:rPr>
                <w:rFonts w:hint="eastAsia" w:ascii="宋体" w:hAnsi="宋体" w:eastAsia="宋体" w:cs="宋体"/>
                <w:lang w:bidi="sa-IN"/>
              </w:rPr>
              <w:t>空气净化系统</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219B9ECD">
            <w:pPr>
              <w:rPr>
                <w:lang w:bidi="sa-IN"/>
              </w:rPr>
            </w:pPr>
            <w:r>
              <w:rPr>
                <w:lang w:bidi="sa-IN"/>
              </w:rPr>
              <w:t>**3.14</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565A0A6B">
            <w:pPr>
              <w:rPr>
                <w:lang w:eastAsia="zh-CN" w:bidi="sa-IN"/>
              </w:rPr>
            </w:pPr>
            <w:r>
              <w:rPr>
                <w:lang w:eastAsia="zh-CN" w:bidi="sa-IN"/>
              </w:rPr>
              <w:t>企业应设置符合空气洁净度要求的空气净化系统，洁净区内空气洁净度应经具有合法资质的检测机构检测合格。</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A5FC049">
            <w:pPr>
              <w:rPr>
                <w:lang w:eastAsia="zh-CN" w:bidi="sa-IN"/>
              </w:rPr>
            </w:pPr>
            <w:r>
              <w:rPr>
                <w:rFonts w:hint="eastAsia"/>
                <w:lang w:eastAsia="zh-CN" w:bidi="sa-IN"/>
              </w:rPr>
              <w:t>若此项不符合要求，审查结论为直接判为不合格。　</w:t>
            </w:r>
          </w:p>
        </w:tc>
        <w:tc>
          <w:tcPr>
            <w:tcW w:w="17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C87BA9">
            <w:pPr>
              <w:rPr>
                <w:lang w:eastAsia="zh-CN" w:bidi="sa-IN"/>
              </w:rPr>
            </w:pPr>
            <w:r>
              <w:rPr>
                <w:sz w:val="22"/>
                <w:szCs w:val="22"/>
                <w:lang w:eastAsia="zh-CN" w:bidi="sa-IN"/>
              </w:rPr>
              <w:t>　</w:t>
            </w:r>
            <w:r>
              <w:rPr>
                <w:rFonts w:hint="eastAsia"/>
                <w:lang w:eastAsia="zh-CN" w:bidi="sa-IN"/>
              </w:rPr>
              <w:t>现场查看空气净化系统，空气的过滤系统是否正常运转，洁净区空气洁净度报告，企业是否有空气洁净度检测设备和技术人员，现场随机5个洁净车间压差表，查看压差、温度和相对湿度是否满足，干燥用空气、压缩空气是否经净化处理（有此工艺需要）。</w:t>
            </w:r>
          </w:p>
          <w:p w14:paraId="476F548B">
            <w:pPr>
              <w:rPr>
                <w:lang w:eastAsia="zh-CN" w:bidi="sa-IN"/>
              </w:rPr>
            </w:pPr>
            <w:r>
              <w:rPr>
                <w:lang w:eastAsia="zh-CN" w:bidi="sa-IN"/>
              </w:rPr>
              <w:t>　</w:t>
            </w:r>
          </w:p>
        </w:tc>
      </w:tr>
      <w:tr w14:paraId="350AF6B8">
        <w:tblPrEx>
          <w:tblCellMar>
            <w:top w:w="0" w:type="dxa"/>
            <w:left w:w="108" w:type="dxa"/>
            <w:bottom w:w="0" w:type="dxa"/>
            <w:right w:w="108" w:type="dxa"/>
          </w:tblCellMar>
        </w:tblPrEx>
        <w:trPr>
          <w:trHeight w:val="829" w:hRule="atLeast"/>
          <w:jc w:val="center"/>
        </w:trPr>
        <w:tc>
          <w:tcPr>
            <w:tcW w:w="1134" w:type="dxa"/>
            <w:vMerge w:val="continue"/>
            <w:tcBorders>
              <w:top w:val="single" w:color="auto" w:sz="4" w:space="0"/>
              <w:left w:val="single" w:color="auto" w:sz="4" w:space="0"/>
              <w:bottom w:val="single" w:color="auto" w:sz="4" w:space="0"/>
              <w:right w:val="single" w:color="auto" w:sz="4" w:space="0"/>
            </w:tcBorders>
            <w:vAlign w:val="center"/>
          </w:tcPr>
          <w:p w14:paraId="0BB2FE5D">
            <w:pPr>
              <w:rPr>
                <w:lang w:eastAsia="zh-CN" w:bidi="sa-IN"/>
              </w:rPr>
            </w:pP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78F84136">
            <w:pPr>
              <w:rPr>
                <w:lang w:bidi="sa-IN"/>
              </w:rPr>
            </w:pPr>
            <w:r>
              <w:rPr>
                <w:lang w:bidi="sa-IN"/>
              </w:rPr>
              <w:t>3.15</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12B5ADA7">
            <w:pPr>
              <w:rPr>
                <w:lang w:eastAsia="zh-CN" w:bidi="sa-IN"/>
              </w:rPr>
            </w:pPr>
            <w:r>
              <w:rPr>
                <w:lang w:eastAsia="zh-CN" w:bidi="sa-IN"/>
              </w:rPr>
              <w:t>企业应具有空气洁净度检测设备和技术人员，定期进行悬浮粒子、浮游菌、沉降菌等项目的检测。</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127916F3">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7A8F62">
            <w:pPr>
              <w:rPr>
                <w:lang w:eastAsia="zh-CN" w:bidi="sa-IN"/>
              </w:rPr>
            </w:pPr>
          </w:p>
        </w:tc>
      </w:tr>
      <w:tr w14:paraId="3F263531">
        <w:tblPrEx>
          <w:tblCellMar>
            <w:top w:w="0" w:type="dxa"/>
            <w:left w:w="108" w:type="dxa"/>
            <w:bottom w:w="0" w:type="dxa"/>
            <w:right w:w="108" w:type="dxa"/>
          </w:tblCellMar>
        </w:tblPrEx>
        <w:trPr>
          <w:trHeight w:val="915" w:hRule="atLeast"/>
          <w:jc w:val="center"/>
        </w:trPr>
        <w:tc>
          <w:tcPr>
            <w:tcW w:w="1134" w:type="dxa"/>
            <w:vMerge w:val="continue"/>
            <w:tcBorders>
              <w:top w:val="single" w:color="auto" w:sz="4" w:space="0"/>
              <w:left w:val="single" w:color="auto" w:sz="4" w:space="0"/>
              <w:bottom w:val="single" w:color="auto" w:sz="4" w:space="0"/>
              <w:right w:val="single" w:color="auto" w:sz="4" w:space="0"/>
            </w:tcBorders>
            <w:vAlign w:val="center"/>
          </w:tcPr>
          <w:p w14:paraId="3B983D89">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7AF0B636">
            <w:pPr>
              <w:rPr>
                <w:lang w:bidi="sa-IN"/>
              </w:rPr>
            </w:pPr>
            <w:r>
              <w:rPr>
                <w:lang w:bidi="sa-IN"/>
              </w:rPr>
              <w:t>*3.16</w:t>
            </w:r>
          </w:p>
        </w:tc>
        <w:tc>
          <w:tcPr>
            <w:tcW w:w="9660" w:type="dxa"/>
            <w:tcBorders>
              <w:top w:val="single" w:color="auto" w:sz="4" w:space="0"/>
              <w:left w:val="nil"/>
              <w:bottom w:val="single" w:color="auto" w:sz="4" w:space="0"/>
              <w:right w:val="single" w:color="auto" w:sz="4" w:space="0"/>
            </w:tcBorders>
            <w:shd w:val="clear" w:color="auto" w:fill="auto"/>
            <w:vAlign w:val="center"/>
          </w:tcPr>
          <w:p w14:paraId="2A587B24">
            <w:pPr>
              <w:rPr>
                <w:lang w:eastAsia="zh-CN" w:bidi="sa-IN"/>
              </w:rPr>
            </w:pPr>
            <w:r>
              <w:rPr>
                <w:lang w:eastAsia="zh-CN" w:bidi="sa-IN"/>
              </w:rPr>
              <w:t>洁净车间与室外大气的静压差应当不小于10帕，洁净级别不同的相邻洁净室之间的静压差一般不小于5帕，并配备压差指示装置。</w:t>
            </w:r>
          </w:p>
        </w:tc>
        <w:tc>
          <w:tcPr>
            <w:tcW w:w="968" w:type="dxa"/>
            <w:tcBorders>
              <w:top w:val="single" w:color="auto" w:sz="4" w:space="0"/>
              <w:left w:val="nil"/>
              <w:bottom w:val="single" w:color="auto" w:sz="4" w:space="0"/>
              <w:right w:val="single" w:color="auto" w:sz="4" w:space="0"/>
            </w:tcBorders>
            <w:shd w:val="clear" w:color="auto" w:fill="auto"/>
            <w:vAlign w:val="center"/>
          </w:tcPr>
          <w:p w14:paraId="70C7E7E1">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vAlign w:val="center"/>
          </w:tcPr>
          <w:p w14:paraId="19981616">
            <w:pPr>
              <w:rPr>
                <w:lang w:eastAsia="zh-CN" w:bidi="sa-IN"/>
              </w:rPr>
            </w:pPr>
          </w:p>
        </w:tc>
      </w:tr>
      <w:tr w14:paraId="2A78F658">
        <w:tblPrEx>
          <w:tblCellMar>
            <w:top w:w="0" w:type="dxa"/>
            <w:left w:w="108" w:type="dxa"/>
            <w:bottom w:w="0" w:type="dxa"/>
            <w:right w:w="108" w:type="dxa"/>
          </w:tblCellMar>
        </w:tblPrEx>
        <w:trPr>
          <w:trHeight w:val="900"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59AF1E6D">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03B57E5B">
            <w:pPr>
              <w:rPr>
                <w:lang w:bidi="sa-IN"/>
              </w:rPr>
            </w:pPr>
            <w:r>
              <w:rPr>
                <w:lang w:bidi="sa-IN"/>
              </w:rPr>
              <w:t>*3.17</w:t>
            </w:r>
          </w:p>
        </w:tc>
        <w:tc>
          <w:tcPr>
            <w:tcW w:w="9660" w:type="dxa"/>
            <w:tcBorders>
              <w:top w:val="nil"/>
              <w:left w:val="nil"/>
              <w:bottom w:val="single" w:color="auto" w:sz="4" w:space="0"/>
              <w:right w:val="single" w:color="auto" w:sz="4" w:space="0"/>
            </w:tcBorders>
            <w:shd w:val="clear" w:color="auto" w:fill="auto"/>
            <w:vAlign w:val="center"/>
          </w:tcPr>
          <w:p w14:paraId="26521026">
            <w:pPr>
              <w:rPr>
                <w:lang w:eastAsia="zh-CN" w:bidi="sa-IN"/>
              </w:rPr>
            </w:pPr>
            <w:r>
              <w:rPr>
                <w:lang w:eastAsia="zh-CN" w:bidi="sa-IN"/>
              </w:rPr>
              <w:t>洁净车间的温度和相对湿度</w:t>
            </w:r>
            <w:r>
              <w:rPr>
                <w:spacing w:val="-6"/>
                <w:lang w:eastAsia="zh-CN" w:bidi="sa-IN"/>
              </w:rPr>
              <w:t>应当与生产工艺要求相适应。无特殊要求时，温度应当控制在1</w:t>
            </w:r>
            <w:r>
              <w:rPr>
                <w:lang w:eastAsia="zh-CN" w:bidi="sa-IN"/>
              </w:rPr>
              <w:t>8</w:t>
            </w:r>
            <w:r>
              <w:rPr>
                <w:rFonts w:hint="eastAsia" w:ascii="宋体" w:hAnsi="宋体" w:cs="宋体"/>
                <w:lang w:eastAsia="zh-CN" w:bidi="sa-IN"/>
              </w:rPr>
              <w:t>℃</w:t>
            </w:r>
            <w:r>
              <w:rPr>
                <w:lang w:eastAsia="zh-CN" w:bidi="sa-IN"/>
              </w:rPr>
              <w:t>－26</w:t>
            </w:r>
            <w:r>
              <w:rPr>
                <w:rFonts w:hint="eastAsia" w:ascii="宋体" w:hAnsi="宋体" w:cs="宋体"/>
                <w:lang w:eastAsia="zh-CN" w:bidi="sa-IN"/>
              </w:rPr>
              <w:t>℃</w:t>
            </w:r>
            <w:r>
              <w:rPr>
                <w:lang w:eastAsia="zh-CN" w:bidi="sa-IN"/>
              </w:rPr>
              <w:t>，相对湿度控制在45%－65%。</w:t>
            </w:r>
          </w:p>
        </w:tc>
        <w:tc>
          <w:tcPr>
            <w:tcW w:w="968" w:type="dxa"/>
            <w:tcBorders>
              <w:top w:val="nil"/>
              <w:left w:val="nil"/>
              <w:bottom w:val="single" w:color="auto" w:sz="4" w:space="0"/>
              <w:right w:val="single" w:color="auto" w:sz="4" w:space="0"/>
            </w:tcBorders>
            <w:shd w:val="clear" w:color="auto" w:fill="auto"/>
            <w:vAlign w:val="center"/>
          </w:tcPr>
          <w:p w14:paraId="43061B54">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vAlign w:val="center"/>
          </w:tcPr>
          <w:p w14:paraId="7DD31FCF">
            <w:pPr>
              <w:rPr>
                <w:lang w:eastAsia="zh-CN" w:bidi="sa-IN"/>
              </w:rPr>
            </w:pPr>
          </w:p>
        </w:tc>
      </w:tr>
      <w:tr w14:paraId="4C972F95">
        <w:tblPrEx>
          <w:tblCellMar>
            <w:top w:w="0" w:type="dxa"/>
            <w:left w:w="108" w:type="dxa"/>
            <w:bottom w:w="0" w:type="dxa"/>
            <w:right w:w="108" w:type="dxa"/>
          </w:tblCellMar>
        </w:tblPrEx>
        <w:trPr>
          <w:trHeight w:val="762"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6BA67795">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3A4FF26A">
            <w:pPr>
              <w:rPr>
                <w:lang w:bidi="sa-IN"/>
              </w:rPr>
            </w:pPr>
            <w:r>
              <w:rPr>
                <w:lang w:bidi="sa-IN"/>
              </w:rPr>
              <w:t>3.18</w:t>
            </w:r>
          </w:p>
        </w:tc>
        <w:tc>
          <w:tcPr>
            <w:tcW w:w="9660" w:type="dxa"/>
            <w:tcBorders>
              <w:top w:val="nil"/>
              <w:left w:val="nil"/>
              <w:bottom w:val="single" w:color="auto" w:sz="4" w:space="0"/>
              <w:right w:val="single" w:color="auto" w:sz="4" w:space="0"/>
            </w:tcBorders>
            <w:shd w:val="clear" w:color="auto" w:fill="auto"/>
            <w:vAlign w:val="center"/>
          </w:tcPr>
          <w:p w14:paraId="26FF7433">
            <w:pPr>
              <w:rPr>
                <w:lang w:eastAsia="zh-CN" w:bidi="sa-IN"/>
              </w:rPr>
            </w:pPr>
            <w:r>
              <w:rPr>
                <w:lang w:eastAsia="zh-CN" w:bidi="sa-IN"/>
              </w:rPr>
              <w:t>直接接触</w:t>
            </w:r>
            <w:r>
              <w:rPr>
                <w:rFonts w:hint="eastAsia"/>
                <w:lang w:eastAsia="zh-CN" w:bidi="sa-IN"/>
              </w:rPr>
              <w:t>保健食品</w:t>
            </w:r>
            <w:r>
              <w:rPr>
                <w:lang w:eastAsia="zh-CN" w:bidi="sa-IN"/>
              </w:rPr>
              <w:t>的干燥用空气、压缩空气等应当经净化处理，符合生产要求。</w:t>
            </w:r>
          </w:p>
        </w:tc>
        <w:tc>
          <w:tcPr>
            <w:tcW w:w="968" w:type="dxa"/>
            <w:tcBorders>
              <w:top w:val="nil"/>
              <w:left w:val="nil"/>
              <w:bottom w:val="single" w:color="auto" w:sz="4" w:space="0"/>
              <w:right w:val="single" w:color="auto" w:sz="4" w:space="0"/>
            </w:tcBorders>
            <w:shd w:val="clear" w:color="auto" w:fill="auto"/>
            <w:vAlign w:val="center"/>
          </w:tcPr>
          <w:p w14:paraId="68962A82">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vAlign w:val="center"/>
          </w:tcPr>
          <w:p w14:paraId="6235DC01">
            <w:pPr>
              <w:rPr>
                <w:lang w:eastAsia="zh-CN" w:bidi="sa-IN"/>
              </w:rPr>
            </w:pPr>
          </w:p>
        </w:tc>
      </w:tr>
      <w:tr w14:paraId="242FFDFE">
        <w:tblPrEx>
          <w:tblCellMar>
            <w:top w:w="0" w:type="dxa"/>
            <w:left w:w="108" w:type="dxa"/>
            <w:bottom w:w="0" w:type="dxa"/>
            <w:right w:w="108" w:type="dxa"/>
          </w:tblCellMar>
        </w:tblPrEx>
        <w:trPr>
          <w:trHeight w:val="972" w:hRule="atLeast"/>
          <w:jc w:val="center"/>
        </w:trPr>
        <w:tc>
          <w:tcPr>
            <w:tcW w:w="1134" w:type="dxa"/>
            <w:vMerge w:val="restart"/>
            <w:tcBorders>
              <w:top w:val="nil"/>
              <w:left w:val="single" w:color="auto" w:sz="4" w:space="0"/>
              <w:bottom w:val="single" w:color="auto" w:sz="4" w:space="0"/>
              <w:right w:val="single" w:color="auto" w:sz="4" w:space="0"/>
            </w:tcBorders>
            <w:shd w:val="clear" w:color="auto" w:fill="auto"/>
            <w:vAlign w:val="center"/>
          </w:tcPr>
          <w:p w14:paraId="077315AF">
            <w:pPr>
              <w:rPr>
                <w:lang w:bidi="sa-IN"/>
              </w:rPr>
            </w:pPr>
            <w:r>
              <w:rPr>
                <w:rFonts w:hint="eastAsia" w:ascii="宋体" w:hAnsi="宋体" w:eastAsia="宋体" w:cs="宋体"/>
                <w:lang w:bidi="sa-IN"/>
              </w:rPr>
              <w:t>水处理系统</w:t>
            </w:r>
          </w:p>
        </w:tc>
        <w:tc>
          <w:tcPr>
            <w:tcW w:w="1056" w:type="dxa"/>
            <w:tcBorders>
              <w:top w:val="nil"/>
              <w:left w:val="nil"/>
              <w:bottom w:val="single" w:color="auto" w:sz="4" w:space="0"/>
              <w:right w:val="single" w:color="auto" w:sz="4" w:space="0"/>
            </w:tcBorders>
            <w:shd w:val="clear" w:color="auto" w:fill="auto"/>
            <w:vAlign w:val="center"/>
          </w:tcPr>
          <w:p w14:paraId="77925647">
            <w:pPr>
              <w:rPr>
                <w:lang w:bidi="sa-IN"/>
              </w:rPr>
            </w:pPr>
            <w:r>
              <w:rPr>
                <w:lang w:bidi="sa-IN"/>
              </w:rPr>
              <w:t>3.19</w:t>
            </w:r>
          </w:p>
        </w:tc>
        <w:tc>
          <w:tcPr>
            <w:tcW w:w="9660" w:type="dxa"/>
            <w:tcBorders>
              <w:top w:val="nil"/>
              <w:left w:val="nil"/>
              <w:bottom w:val="single" w:color="auto" w:sz="4" w:space="0"/>
              <w:right w:val="single" w:color="auto" w:sz="4" w:space="0"/>
            </w:tcBorders>
            <w:shd w:val="clear" w:color="auto" w:fill="auto"/>
            <w:vAlign w:val="center"/>
          </w:tcPr>
          <w:p w14:paraId="160CA2FB">
            <w:pPr>
              <w:rPr>
                <w:lang w:eastAsia="zh-CN" w:bidi="sa-IN"/>
              </w:rPr>
            </w:pPr>
            <w:r>
              <w:rPr>
                <w:rFonts w:hint="eastAsia"/>
                <w:lang w:eastAsia="zh-CN" w:bidi="sa-IN"/>
              </w:rPr>
              <w:t>保健食品</w:t>
            </w:r>
            <w:r>
              <w:rPr>
                <w:lang w:eastAsia="zh-CN" w:bidi="sa-IN"/>
              </w:rPr>
              <w:t>生产用水包括生活饮用水和纯化水，生产用水应当符合生产工艺及相关技术要求，清洗直接接触保健食品的生产设备内表面应当使用纯化水。</w:t>
            </w:r>
          </w:p>
        </w:tc>
        <w:tc>
          <w:tcPr>
            <w:tcW w:w="968" w:type="dxa"/>
            <w:tcBorders>
              <w:top w:val="nil"/>
              <w:left w:val="nil"/>
              <w:bottom w:val="single" w:color="auto" w:sz="4" w:space="0"/>
              <w:right w:val="single" w:color="auto" w:sz="4" w:space="0"/>
            </w:tcBorders>
            <w:shd w:val="clear" w:color="auto" w:fill="auto"/>
            <w:vAlign w:val="center"/>
          </w:tcPr>
          <w:p w14:paraId="3B6B3E43">
            <w:pPr>
              <w:rPr>
                <w:lang w:eastAsia="zh-CN" w:bidi="sa-IN"/>
              </w:rPr>
            </w:pPr>
            <w:r>
              <w:rPr>
                <w:lang w:eastAsia="zh-CN" w:bidi="sa-IN"/>
              </w:rPr>
              <w:t>　</w:t>
            </w:r>
          </w:p>
        </w:tc>
        <w:tc>
          <w:tcPr>
            <w:tcW w:w="1763" w:type="dxa"/>
            <w:vMerge w:val="restart"/>
            <w:tcBorders>
              <w:top w:val="nil"/>
              <w:left w:val="single" w:color="auto" w:sz="4" w:space="0"/>
              <w:bottom w:val="single" w:color="auto" w:sz="4" w:space="0"/>
              <w:right w:val="single" w:color="auto" w:sz="4" w:space="0"/>
            </w:tcBorders>
            <w:shd w:val="clear" w:color="auto" w:fill="auto"/>
            <w:vAlign w:val="center"/>
          </w:tcPr>
          <w:p w14:paraId="6D02AEDA">
            <w:pPr>
              <w:rPr>
                <w:sz w:val="22"/>
                <w:szCs w:val="22"/>
                <w:lang w:eastAsia="zh-CN" w:bidi="sa-IN"/>
              </w:rPr>
            </w:pPr>
            <w:r>
              <w:rPr>
                <w:sz w:val="22"/>
                <w:szCs w:val="22"/>
                <w:lang w:eastAsia="zh-CN" w:bidi="sa-IN"/>
              </w:rPr>
              <w:t>　</w:t>
            </w:r>
            <w:r>
              <w:rPr>
                <w:rFonts w:hint="eastAsia"/>
                <w:lang w:eastAsia="zh-CN" w:bidi="sa-IN"/>
              </w:rPr>
              <w:t>查水处理系统是否能运转查纯化水制水设备使用及维护记录，纯化水的检测记录，查生产用水的检测报告，检验项目是否漏项</w:t>
            </w:r>
          </w:p>
        </w:tc>
      </w:tr>
      <w:tr w14:paraId="51E9E769">
        <w:tblPrEx>
          <w:tblCellMar>
            <w:top w:w="0" w:type="dxa"/>
            <w:left w:w="108" w:type="dxa"/>
            <w:bottom w:w="0" w:type="dxa"/>
            <w:right w:w="108" w:type="dxa"/>
          </w:tblCellMar>
        </w:tblPrEx>
        <w:trPr>
          <w:trHeight w:val="660"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1F136E1F">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4A7F387D">
            <w:pPr>
              <w:rPr>
                <w:lang w:bidi="sa-IN"/>
              </w:rPr>
            </w:pPr>
            <w:r>
              <w:rPr>
                <w:lang w:bidi="sa-IN"/>
              </w:rPr>
              <w:t>*3.20</w:t>
            </w:r>
          </w:p>
        </w:tc>
        <w:tc>
          <w:tcPr>
            <w:tcW w:w="9660" w:type="dxa"/>
            <w:tcBorders>
              <w:top w:val="nil"/>
              <w:left w:val="nil"/>
              <w:bottom w:val="single" w:color="auto" w:sz="4" w:space="0"/>
              <w:right w:val="single" w:color="auto" w:sz="4" w:space="0"/>
            </w:tcBorders>
            <w:shd w:val="clear" w:color="auto" w:fill="auto"/>
            <w:vAlign w:val="center"/>
          </w:tcPr>
          <w:p w14:paraId="255BF1F4">
            <w:pPr>
              <w:rPr>
                <w:lang w:eastAsia="zh-CN" w:bidi="sa-IN"/>
              </w:rPr>
            </w:pPr>
            <w:r>
              <w:rPr>
                <w:lang w:eastAsia="zh-CN" w:bidi="sa-IN"/>
              </w:rPr>
              <w:t>企业应当具备纯化水制备和检测能力，并定期进行PH值、电导率等项目的检测。</w:t>
            </w:r>
          </w:p>
        </w:tc>
        <w:tc>
          <w:tcPr>
            <w:tcW w:w="968" w:type="dxa"/>
            <w:tcBorders>
              <w:top w:val="nil"/>
              <w:left w:val="nil"/>
              <w:bottom w:val="single" w:color="auto" w:sz="4" w:space="0"/>
              <w:right w:val="single" w:color="auto" w:sz="4" w:space="0"/>
            </w:tcBorders>
            <w:shd w:val="clear" w:color="auto" w:fill="auto"/>
            <w:vAlign w:val="center"/>
          </w:tcPr>
          <w:p w14:paraId="07638F19">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028C777C">
            <w:pPr>
              <w:rPr>
                <w:lang w:eastAsia="zh-CN" w:bidi="sa-IN"/>
              </w:rPr>
            </w:pPr>
          </w:p>
        </w:tc>
      </w:tr>
      <w:tr w14:paraId="60AAF09F">
        <w:tblPrEx>
          <w:tblCellMar>
            <w:top w:w="0" w:type="dxa"/>
            <w:left w:w="108" w:type="dxa"/>
            <w:bottom w:w="0" w:type="dxa"/>
            <w:right w:w="108" w:type="dxa"/>
          </w:tblCellMar>
        </w:tblPrEx>
        <w:trPr>
          <w:trHeight w:val="931"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7AAE1690">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16342D39">
            <w:pPr>
              <w:rPr>
                <w:lang w:bidi="sa-IN"/>
              </w:rPr>
            </w:pPr>
            <w:r>
              <w:rPr>
                <w:lang w:bidi="sa-IN"/>
              </w:rPr>
              <w:t>3.21</w:t>
            </w:r>
          </w:p>
        </w:tc>
        <w:tc>
          <w:tcPr>
            <w:tcW w:w="9660" w:type="dxa"/>
            <w:tcBorders>
              <w:top w:val="nil"/>
              <w:left w:val="nil"/>
              <w:bottom w:val="single" w:color="auto" w:sz="4" w:space="0"/>
              <w:right w:val="single" w:color="auto" w:sz="4" w:space="0"/>
            </w:tcBorders>
            <w:shd w:val="clear" w:color="auto" w:fill="auto"/>
            <w:vAlign w:val="center"/>
          </w:tcPr>
          <w:p w14:paraId="6DF7A195">
            <w:pPr>
              <w:rPr>
                <w:lang w:eastAsia="zh-CN" w:bidi="sa-IN"/>
              </w:rPr>
            </w:pPr>
            <w:r>
              <w:rPr>
                <w:lang w:eastAsia="zh-CN" w:bidi="sa-IN"/>
              </w:rPr>
              <w:t>生产用水的制备、储存和分配应当能防止微生物的滋生和污染,储罐和输送管道所用材料应当无毒、耐腐蚀，明确储罐和管道的清洗、灭菌周期及方法。</w:t>
            </w:r>
          </w:p>
        </w:tc>
        <w:tc>
          <w:tcPr>
            <w:tcW w:w="968" w:type="dxa"/>
            <w:tcBorders>
              <w:top w:val="nil"/>
              <w:left w:val="nil"/>
              <w:bottom w:val="single" w:color="auto" w:sz="4" w:space="0"/>
              <w:right w:val="single" w:color="auto" w:sz="4" w:space="0"/>
            </w:tcBorders>
            <w:shd w:val="clear" w:color="auto" w:fill="auto"/>
            <w:vAlign w:val="center"/>
          </w:tcPr>
          <w:p w14:paraId="726FDE40">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04A15C0E">
            <w:pPr>
              <w:rPr>
                <w:lang w:eastAsia="zh-CN" w:bidi="sa-IN"/>
              </w:rPr>
            </w:pPr>
          </w:p>
        </w:tc>
      </w:tr>
      <w:tr w14:paraId="01D943E7">
        <w:tblPrEx>
          <w:tblCellMar>
            <w:top w:w="0" w:type="dxa"/>
            <w:left w:w="108" w:type="dxa"/>
            <w:bottom w:w="0" w:type="dxa"/>
            <w:right w:w="108" w:type="dxa"/>
          </w:tblCellMar>
        </w:tblPrEx>
        <w:trPr>
          <w:trHeight w:val="1272"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20FA8952">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6142BD92">
            <w:pPr>
              <w:rPr>
                <w:lang w:bidi="sa-IN"/>
              </w:rPr>
            </w:pPr>
            <w:r>
              <w:rPr>
                <w:lang w:bidi="sa-IN"/>
              </w:rPr>
              <w:t>3.22</w:t>
            </w:r>
          </w:p>
        </w:tc>
        <w:tc>
          <w:tcPr>
            <w:tcW w:w="9660" w:type="dxa"/>
            <w:tcBorders>
              <w:top w:val="nil"/>
              <w:left w:val="nil"/>
              <w:bottom w:val="single" w:color="auto" w:sz="4" w:space="0"/>
              <w:right w:val="single" w:color="auto" w:sz="4" w:space="0"/>
            </w:tcBorders>
            <w:shd w:val="clear" w:color="auto" w:fill="auto"/>
            <w:vAlign w:val="center"/>
          </w:tcPr>
          <w:p w14:paraId="66D825B7">
            <w:pPr>
              <w:rPr>
                <w:lang w:eastAsia="zh-CN" w:bidi="sa-IN"/>
              </w:rPr>
            </w:pPr>
            <w:r>
              <w:rPr>
                <w:lang w:eastAsia="zh-CN" w:bidi="sa-IN"/>
              </w:rPr>
              <w:t>企业每年应当进行生产用水的全项检验，对不能检验的项目，可以委托具有合法资质的检验机构进行检验。</w:t>
            </w:r>
          </w:p>
        </w:tc>
        <w:tc>
          <w:tcPr>
            <w:tcW w:w="968" w:type="dxa"/>
            <w:tcBorders>
              <w:top w:val="nil"/>
              <w:left w:val="nil"/>
              <w:bottom w:val="single" w:color="auto" w:sz="4" w:space="0"/>
              <w:right w:val="single" w:color="auto" w:sz="4" w:space="0"/>
            </w:tcBorders>
            <w:shd w:val="clear" w:color="auto" w:fill="auto"/>
            <w:vAlign w:val="center"/>
          </w:tcPr>
          <w:p w14:paraId="4A435FCC">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136B551F">
            <w:pPr>
              <w:rPr>
                <w:lang w:eastAsia="zh-CN" w:bidi="sa-IN"/>
              </w:rPr>
            </w:pPr>
          </w:p>
        </w:tc>
      </w:tr>
      <w:tr w14:paraId="5AA2BD35">
        <w:tblPrEx>
          <w:tblCellMar>
            <w:top w:w="0" w:type="dxa"/>
            <w:left w:w="108" w:type="dxa"/>
            <w:bottom w:w="0" w:type="dxa"/>
            <w:right w:w="108" w:type="dxa"/>
          </w:tblCellMar>
        </w:tblPrEx>
        <w:trPr>
          <w:trHeight w:val="990" w:hRule="atLeast"/>
          <w:jc w:val="center"/>
        </w:trPr>
        <w:tc>
          <w:tcPr>
            <w:tcW w:w="145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C729806">
            <w:pPr>
              <w:rPr>
                <w:lang w:bidi="sa-IN"/>
              </w:rPr>
            </w:pPr>
            <w:r>
              <w:rPr>
                <w:rFonts w:hint="eastAsia" w:ascii="宋体" w:hAnsi="宋体" w:eastAsia="宋体" w:cs="宋体"/>
                <w:lang w:bidi="sa-IN"/>
              </w:rPr>
              <w:t>四、原辅料管理</w:t>
            </w:r>
          </w:p>
        </w:tc>
      </w:tr>
      <w:tr w14:paraId="6CF420D7">
        <w:tblPrEx>
          <w:tblCellMar>
            <w:top w:w="0" w:type="dxa"/>
            <w:left w:w="108" w:type="dxa"/>
            <w:bottom w:w="0" w:type="dxa"/>
            <w:right w:w="108" w:type="dxa"/>
          </w:tblCellMar>
        </w:tblPrEx>
        <w:trPr>
          <w:trHeight w:val="1057" w:hRule="atLeast"/>
          <w:jc w:val="center"/>
        </w:trPr>
        <w:tc>
          <w:tcPr>
            <w:tcW w:w="1134" w:type="dxa"/>
            <w:tcBorders>
              <w:top w:val="nil"/>
              <w:left w:val="single" w:color="auto" w:sz="4" w:space="0"/>
              <w:bottom w:val="single" w:color="auto" w:sz="4" w:space="0"/>
              <w:right w:val="single" w:color="auto" w:sz="4" w:space="0"/>
            </w:tcBorders>
            <w:shd w:val="clear" w:color="auto" w:fill="auto"/>
            <w:vAlign w:val="center"/>
          </w:tcPr>
          <w:p w14:paraId="24827169">
            <w:pPr>
              <w:rPr>
                <w:lang w:bidi="sa-IN"/>
              </w:rPr>
            </w:pPr>
            <w:r>
              <w:rPr>
                <w:rFonts w:hint="eastAsia" w:ascii="宋体" w:hAnsi="宋体" w:eastAsia="宋体" w:cs="宋体"/>
                <w:lang w:bidi="sa-IN"/>
              </w:rPr>
              <w:t>审查项目</w:t>
            </w:r>
          </w:p>
        </w:tc>
        <w:tc>
          <w:tcPr>
            <w:tcW w:w="1056" w:type="dxa"/>
            <w:tcBorders>
              <w:top w:val="nil"/>
              <w:left w:val="nil"/>
              <w:bottom w:val="single" w:color="auto" w:sz="4" w:space="0"/>
              <w:right w:val="single" w:color="auto" w:sz="4" w:space="0"/>
            </w:tcBorders>
            <w:shd w:val="clear" w:color="auto" w:fill="auto"/>
            <w:vAlign w:val="center"/>
          </w:tcPr>
          <w:p w14:paraId="1019D5EE">
            <w:pPr>
              <w:rPr>
                <w:lang w:bidi="sa-IN"/>
              </w:rPr>
            </w:pPr>
            <w:r>
              <w:rPr>
                <w:lang w:bidi="sa-IN"/>
              </w:rPr>
              <w:t>序号</w:t>
            </w:r>
          </w:p>
        </w:tc>
        <w:tc>
          <w:tcPr>
            <w:tcW w:w="9660" w:type="dxa"/>
            <w:tcBorders>
              <w:top w:val="nil"/>
              <w:left w:val="nil"/>
              <w:bottom w:val="single" w:color="auto" w:sz="4" w:space="0"/>
              <w:right w:val="single" w:color="auto" w:sz="4" w:space="0"/>
            </w:tcBorders>
            <w:shd w:val="clear" w:color="auto" w:fill="auto"/>
            <w:vAlign w:val="center"/>
          </w:tcPr>
          <w:p w14:paraId="1D87874B">
            <w:pPr>
              <w:rPr>
                <w:lang w:bidi="sa-IN"/>
              </w:rPr>
            </w:pPr>
            <w:r>
              <w:rPr>
                <w:lang w:bidi="sa-IN"/>
              </w:rPr>
              <w:t>审查内容</w:t>
            </w:r>
          </w:p>
        </w:tc>
        <w:tc>
          <w:tcPr>
            <w:tcW w:w="968" w:type="dxa"/>
            <w:tcBorders>
              <w:top w:val="nil"/>
              <w:left w:val="nil"/>
              <w:bottom w:val="single" w:color="auto" w:sz="4" w:space="0"/>
              <w:right w:val="single" w:color="auto" w:sz="4" w:space="0"/>
            </w:tcBorders>
            <w:shd w:val="clear" w:color="auto" w:fill="auto"/>
            <w:vAlign w:val="center"/>
          </w:tcPr>
          <w:p w14:paraId="2F5E2A33">
            <w:pPr>
              <w:rPr>
                <w:sz w:val="20"/>
                <w:szCs w:val="20"/>
                <w:lang w:bidi="sa-IN"/>
              </w:rPr>
            </w:pPr>
            <w:r>
              <w:rPr>
                <w:rFonts w:hint="eastAsia"/>
                <w:lang w:eastAsia="zh-CN"/>
              </w:rPr>
              <w:t>备注</w:t>
            </w:r>
          </w:p>
        </w:tc>
        <w:tc>
          <w:tcPr>
            <w:tcW w:w="1763" w:type="dxa"/>
            <w:tcBorders>
              <w:top w:val="nil"/>
              <w:left w:val="nil"/>
              <w:bottom w:val="single" w:color="auto" w:sz="4" w:space="0"/>
              <w:right w:val="single" w:color="auto" w:sz="4" w:space="0"/>
            </w:tcBorders>
            <w:shd w:val="clear" w:color="auto" w:fill="auto"/>
            <w:vAlign w:val="center"/>
          </w:tcPr>
          <w:p w14:paraId="38CC731F">
            <w:pPr>
              <w:rPr>
                <w:sz w:val="22"/>
                <w:szCs w:val="22"/>
                <w:lang w:bidi="sa-IN"/>
              </w:rPr>
            </w:pPr>
            <w:r>
              <w:rPr>
                <w:rFonts w:hint="eastAsia"/>
                <w:lang w:eastAsia="zh-CN"/>
              </w:rPr>
              <w:t>现场评审指引</w:t>
            </w:r>
          </w:p>
        </w:tc>
      </w:tr>
      <w:tr w14:paraId="77F8765D">
        <w:tblPrEx>
          <w:tblCellMar>
            <w:top w:w="0" w:type="dxa"/>
            <w:left w:w="108" w:type="dxa"/>
            <w:bottom w:w="0" w:type="dxa"/>
            <w:right w:w="108" w:type="dxa"/>
          </w:tblCellMar>
        </w:tblPrEx>
        <w:trPr>
          <w:trHeight w:val="1324" w:hRule="atLeast"/>
          <w:jc w:val="center"/>
        </w:trPr>
        <w:tc>
          <w:tcPr>
            <w:tcW w:w="1134" w:type="dxa"/>
            <w:vMerge w:val="restart"/>
            <w:tcBorders>
              <w:top w:val="nil"/>
              <w:left w:val="single" w:color="auto" w:sz="4" w:space="0"/>
              <w:bottom w:val="single" w:color="auto" w:sz="4" w:space="0"/>
              <w:right w:val="single" w:color="auto" w:sz="4" w:space="0"/>
            </w:tcBorders>
            <w:shd w:val="clear" w:color="auto" w:fill="auto"/>
            <w:vAlign w:val="center"/>
          </w:tcPr>
          <w:p w14:paraId="649E58D1">
            <w:pPr>
              <w:rPr>
                <w:lang w:bidi="sa-IN"/>
              </w:rPr>
            </w:pPr>
            <w:r>
              <w:rPr>
                <w:rFonts w:hint="eastAsia" w:ascii="宋体" w:hAnsi="宋体" w:eastAsia="宋体" w:cs="宋体"/>
                <w:lang w:bidi="sa-IN"/>
              </w:rPr>
              <w:t>原辅料管理</w:t>
            </w:r>
          </w:p>
        </w:tc>
        <w:tc>
          <w:tcPr>
            <w:tcW w:w="1056" w:type="dxa"/>
            <w:tcBorders>
              <w:top w:val="nil"/>
              <w:left w:val="nil"/>
              <w:bottom w:val="single" w:color="auto" w:sz="4" w:space="0"/>
              <w:right w:val="single" w:color="auto" w:sz="4" w:space="0"/>
            </w:tcBorders>
            <w:shd w:val="clear" w:color="auto" w:fill="auto"/>
            <w:vAlign w:val="center"/>
          </w:tcPr>
          <w:p w14:paraId="2384ED50">
            <w:pPr>
              <w:rPr>
                <w:lang w:bidi="sa-IN"/>
              </w:rPr>
            </w:pPr>
            <w:r>
              <w:rPr>
                <w:lang w:bidi="sa-IN"/>
              </w:rPr>
              <w:t>*4.1</w:t>
            </w:r>
          </w:p>
        </w:tc>
        <w:tc>
          <w:tcPr>
            <w:tcW w:w="9660" w:type="dxa"/>
            <w:tcBorders>
              <w:top w:val="nil"/>
              <w:left w:val="nil"/>
              <w:bottom w:val="single" w:color="auto" w:sz="4" w:space="0"/>
              <w:right w:val="single" w:color="auto" w:sz="4" w:space="0"/>
            </w:tcBorders>
            <w:shd w:val="clear" w:color="auto" w:fill="auto"/>
            <w:vAlign w:val="center"/>
          </w:tcPr>
          <w:p w14:paraId="4E24907D">
            <w:pPr>
              <w:rPr>
                <w:lang w:eastAsia="zh-CN" w:bidi="sa-IN"/>
              </w:rPr>
            </w:pPr>
            <w:r>
              <w:rPr>
                <w:lang w:eastAsia="zh-CN" w:bidi="sa-IN"/>
              </w:rPr>
              <w:t>企业应当建立并执行原辅料和包装材料的采购、验收、存储、领用、退库以及保质期管理制度，原辅料和包装材料应当符合相应食品安全标准、产品技术要求和企业标准。</w:t>
            </w:r>
          </w:p>
        </w:tc>
        <w:tc>
          <w:tcPr>
            <w:tcW w:w="968" w:type="dxa"/>
            <w:tcBorders>
              <w:top w:val="nil"/>
              <w:left w:val="nil"/>
              <w:bottom w:val="single" w:color="auto" w:sz="4" w:space="0"/>
              <w:right w:val="single" w:color="auto" w:sz="4" w:space="0"/>
            </w:tcBorders>
            <w:shd w:val="clear" w:color="auto" w:fill="auto"/>
            <w:vAlign w:val="center"/>
          </w:tcPr>
          <w:p w14:paraId="5F2C5009">
            <w:pPr>
              <w:rPr>
                <w:lang w:eastAsia="zh-CN" w:bidi="sa-IN"/>
              </w:rPr>
            </w:pPr>
            <w:r>
              <w:rPr>
                <w:lang w:eastAsia="zh-CN" w:bidi="sa-IN"/>
              </w:rPr>
              <w:t>　</w:t>
            </w:r>
          </w:p>
        </w:tc>
        <w:tc>
          <w:tcPr>
            <w:tcW w:w="1763" w:type="dxa"/>
            <w:vMerge w:val="restart"/>
            <w:tcBorders>
              <w:top w:val="nil"/>
              <w:left w:val="single" w:color="auto" w:sz="4" w:space="0"/>
              <w:bottom w:val="single" w:color="auto" w:sz="4" w:space="0"/>
              <w:right w:val="single" w:color="auto" w:sz="4" w:space="0"/>
            </w:tcBorders>
            <w:shd w:val="clear" w:color="auto" w:fill="auto"/>
            <w:vAlign w:val="center"/>
          </w:tcPr>
          <w:p w14:paraId="48517E5D">
            <w:pPr>
              <w:rPr>
                <w:bCs/>
                <w:sz w:val="22"/>
                <w:szCs w:val="22"/>
                <w:lang w:eastAsia="zh-CN" w:bidi="sa-IN"/>
              </w:rPr>
            </w:pPr>
            <w:r>
              <w:rPr>
                <w:bCs/>
                <w:sz w:val="22"/>
                <w:szCs w:val="22"/>
                <w:lang w:eastAsia="zh-CN" w:bidi="sa-IN"/>
              </w:rPr>
              <w:t>　</w:t>
            </w:r>
            <w:r>
              <w:rPr>
                <w:rFonts w:hint="eastAsia"/>
                <w:bCs/>
                <w:lang w:eastAsia="zh-CN" w:bidi="sa-IN"/>
              </w:rPr>
              <w:t>查原辅料管理制度、进货查验制度、</w:t>
            </w:r>
            <w:r>
              <w:rPr>
                <w:rFonts w:hint="eastAsia"/>
                <w:lang w:eastAsia="zh-CN" w:bidi="sa-IN"/>
              </w:rPr>
              <w:t>保质期管理制度、供应商审计制度、不合格品管理制度等制度，核查原料的质量标准与产品备案内容是否一致，查原辅料库设置是否合理，产品原料若使用采购菌丝体原料、益生菌类原料和藻类原料，需提供菌株或品种鉴定报告、稳定性报告等材料（只针对特殊产品适用）。</w:t>
            </w:r>
          </w:p>
        </w:tc>
      </w:tr>
      <w:tr w14:paraId="1E5B54FE">
        <w:tblPrEx>
          <w:tblCellMar>
            <w:top w:w="0" w:type="dxa"/>
            <w:left w:w="108" w:type="dxa"/>
            <w:bottom w:w="0" w:type="dxa"/>
            <w:right w:w="108" w:type="dxa"/>
          </w:tblCellMar>
        </w:tblPrEx>
        <w:trPr>
          <w:trHeight w:val="1122"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6671D539">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3BEC67FA">
            <w:pPr>
              <w:rPr>
                <w:lang w:bidi="sa-IN"/>
              </w:rPr>
            </w:pPr>
            <w:r>
              <w:rPr>
                <w:lang w:bidi="sa-IN"/>
              </w:rPr>
              <w:t>4.2</w:t>
            </w:r>
          </w:p>
        </w:tc>
        <w:tc>
          <w:tcPr>
            <w:tcW w:w="9660" w:type="dxa"/>
            <w:tcBorders>
              <w:top w:val="nil"/>
              <w:left w:val="nil"/>
              <w:bottom w:val="single" w:color="auto" w:sz="4" w:space="0"/>
              <w:right w:val="single" w:color="auto" w:sz="4" w:space="0"/>
            </w:tcBorders>
            <w:shd w:val="clear" w:color="auto" w:fill="auto"/>
            <w:vAlign w:val="center"/>
          </w:tcPr>
          <w:p w14:paraId="3D699C39">
            <w:pPr>
              <w:rPr>
                <w:lang w:eastAsia="zh-CN" w:bidi="sa-IN"/>
              </w:rPr>
            </w:pPr>
            <w:r>
              <w:rPr>
                <w:lang w:eastAsia="zh-CN" w:bidi="sa-IN"/>
              </w:rPr>
              <w:t>企业应当建立物料采购供应商审计制度，采购原辅料和包装材料应查验供应商的许可资质证明和产品合格证明；对无法提供合格证明的原料，应当按照食品安全标准检验合格。</w:t>
            </w:r>
          </w:p>
        </w:tc>
        <w:tc>
          <w:tcPr>
            <w:tcW w:w="968" w:type="dxa"/>
            <w:tcBorders>
              <w:top w:val="nil"/>
              <w:left w:val="nil"/>
              <w:bottom w:val="single" w:color="auto" w:sz="4" w:space="0"/>
              <w:right w:val="single" w:color="auto" w:sz="4" w:space="0"/>
            </w:tcBorders>
            <w:shd w:val="clear" w:color="auto" w:fill="auto"/>
            <w:vAlign w:val="center"/>
          </w:tcPr>
          <w:p w14:paraId="4EA617D5">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773F70AF">
            <w:pPr>
              <w:rPr>
                <w:lang w:eastAsia="zh-CN" w:bidi="sa-IN"/>
              </w:rPr>
            </w:pPr>
          </w:p>
        </w:tc>
      </w:tr>
      <w:tr w14:paraId="74A3D254">
        <w:tblPrEx>
          <w:tblCellMar>
            <w:top w:w="0" w:type="dxa"/>
            <w:left w:w="108" w:type="dxa"/>
            <w:bottom w:w="0" w:type="dxa"/>
            <w:right w:w="108" w:type="dxa"/>
          </w:tblCellMar>
        </w:tblPrEx>
        <w:trPr>
          <w:trHeight w:val="762"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25AFCA1F">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619AF842">
            <w:pPr>
              <w:rPr>
                <w:lang w:bidi="sa-IN"/>
              </w:rPr>
            </w:pPr>
            <w:r>
              <w:rPr>
                <w:lang w:bidi="sa-IN"/>
              </w:rPr>
              <w:t>4.3</w:t>
            </w:r>
          </w:p>
        </w:tc>
        <w:tc>
          <w:tcPr>
            <w:tcW w:w="9660" w:type="dxa"/>
            <w:tcBorders>
              <w:top w:val="nil"/>
              <w:left w:val="nil"/>
              <w:bottom w:val="single" w:color="auto" w:sz="4" w:space="0"/>
              <w:right w:val="single" w:color="auto" w:sz="4" w:space="0"/>
            </w:tcBorders>
            <w:shd w:val="clear" w:color="auto" w:fill="auto"/>
            <w:vAlign w:val="center"/>
          </w:tcPr>
          <w:p w14:paraId="6CF4F14E">
            <w:pPr>
              <w:rPr>
                <w:lang w:eastAsia="zh-CN" w:bidi="sa-IN"/>
              </w:rPr>
            </w:pPr>
            <w:r>
              <w:rPr>
                <w:lang w:eastAsia="zh-CN" w:bidi="sa-IN"/>
              </w:rPr>
              <w:t>原料的质量标准应与产品注册</w:t>
            </w:r>
            <w:r>
              <w:rPr>
                <w:rFonts w:hint="eastAsia"/>
                <w:lang w:eastAsia="zh-CN" w:bidi="sa-IN"/>
              </w:rPr>
              <w:t>批准</w:t>
            </w:r>
            <w:r>
              <w:rPr>
                <w:lang w:eastAsia="zh-CN" w:bidi="sa-IN"/>
              </w:rPr>
              <w:t>或备案</w:t>
            </w:r>
            <w:r>
              <w:rPr>
                <w:rFonts w:hint="eastAsia"/>
                <w:lang w:eastAsia="zh-CN" w:bidi="sa-IN"/>
              </w:rPr>
              <w:t>内容</w:t>
            </w:r>
            <w:r>
              <w:rPr>
                <w:lang w:eastAsia="zh-CN" w:bidi="sa-IN"/>
              </w:rPr>
              <w:t>相一致。</w:t>
            </w:r>
          </w:p>
        </w:tc>
        <w:tc>
          <w:tcPr>
            <w:tcW w:w="968" w:type="dxa"/>
            <w:tcBorders>
              <w:top w:val="nil"/>
              <w:left w:val="nil"/>
              <w:bottom w:val="single" w:color="auto" w:sz="4" w:space="0"/>
              <w:right w:val="single" w:color="auto" w:sz="4" w:space="0"/>
            </w:tcBorders>
            <w:shd w:val="clear" w:color="auto" w:fill="auto"/>
            <w:vAlign w:val="center"/>
          </w:tcPr>
          <w:p w14:paraId="48C1BBA1">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105C751F">
            <w:pPr>
              <w:rPr>
                <w:lang w:eastAsia="zh-CN" w:bidi="sa-IN"/>
              </w:rPr>
            </w:pPr>
          </w:p>
        </w:tc>
      </w:tr>
      <w:tr w14:paraId="3A06B69B">
        <w:tblPrEx>
          <w:tblCellMar>
            <w:top w:w="0" w:type="dxa"/>
            <w:left w:w="108" w:type="dxa"/>
            <w:bottom w:w="0" w:type="dxa"/>
            <w:right w:w="108" w:type="dxa"/>
          </w:tblCellMar>
        </w:tblPrEx>
        <w:trPr>
          <w:trHeight w:val="1206"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0C17C04F">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77275424">
            <w:pPr>
              <w:rPr>
                <w:lang w:bidi="sa-IN"/>
              </w:rPr>
            </w:pPr>
            <w:r>
              <w:rPr>
                <w:lang w:bidi="sa-IN"/>
              </w:rPr>
              <w:t>4.4</w:t>
            </w:r>
          </w:p>
        </w:tc>
        <w:tc>
          <w:tcPr>
            <w:tcW w:w="9660" w:type="dxa"/>
            <w:tcBorders>
              <w:top w:val="nil"/>
              <w:left w:val="nil"/>
              <w:bottom w:val="single" w:color="auto" w:sz="4" w:space="0"/>
              <w:right w:val="single" w:color="auto" w:sz="4" w:space="0"/>
            </w:tcBorders>
            <w:shd w:val="clear" w:color="auto" w:fill="auto"/>
            <w:vAlign w:val="center"/>
          </w:tcPr>
          <w:p w14:paraId="6FE2E44C">
            <w:pPr>
              <w:rPr>
                <w:lang w:eastAsia="zh-CN" w:bidi="sa-IN"/>
              </w:rPr>
            </w:pPr>
            <w:r>
              <w:rPr>
                <w:lang w:eastAsia="zh-CN" w:bidi="sa-IN"/>
              </w:rPr>
              <w:t>企业应设置专库或专区储存原辅料和包装材料，对验收不合格、退库、超过保质期的原辅料和包装材料，应按照相关规定进行处置。</w:t>
            </w:r>
          </w:p>
        </w:tc>
        <w:tc>
          <w:tcPr>
            <w:tcW w:w="968" w:type="dxa"/>
            <w:tcBorders>
              <w:top w:val="nil"/>
              <w:left w:val="nil"/>
              <w:bottom w:val="single" w:color="auto" w:sz="4" w:space="0"/>
              <w:right w:val="single" w:color="auto" w:sz="4" w:space="0"/>
            </w:tcBorders>
            <w:shd w:val="clear" w:color="auto" w:fill="auto"/>
            <w:vAlign w:val="center"/>
          </w:tcPr>
          <w:p w14:paraId="7283C2B7">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681E1792">
            <w:pPr>
              <w:rPr>
                <w:lang w:eastAsia="zh-CN" w:bidi="sa-IN"/>
              </w:rPr>
            </w:pPr>
          </w:p>
        </w:tc>
      </w:tr>
      <w:tr w14:paraId="6043E451">
        <w:tblPrEx>
          <w:tblCellMar>
            <w:top w:w="0" w:type="dxa"/>
            <w:left w:w="108" w:type="dxa"/>
            <w:bottom w:w="0" w:type="dxa"/>
            <w:right w:w="108" w:type="dxa"/>
          </w:tblCellMar>
        </w:tblPrEx>
        <w:trPr>
          <w:trHeight w:val="1689"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6F23CB4F">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0DF30476">
            <w:pPr>
              <w:rPr>
                <w:lang w:bidi="sa-IN"/>
              </w:rPr>
            </w:pPr>
            <w:r>
              <w:rPr>
                <w:lang w:bidi="sa-IN"/>
              </w:rPr>
              <w:t>*4.5</w:t>
            </w:r>
          </w:p>
        </w:tc>
        <w:tc>
          <w:tcPr>
            <w:tcW w:w="9660" w:type="dxa"/>
            <w:tcBorders>
              <w:top w:val="nil"/>
              <w:left w:val="nil"/>
              <w:bottom w:val="single" w:color="auto" w:sz="4" w:space="0"/>
              <w:right w:val="single" w:color="auto" w:sz="4" w:space="0"/>
            </w:tcBorders>
            <w:shd w:val="clear" w:color="auto" w:fill="auto"/>
            <w:vAlign w:val="center"/>
          </w:tcPr>
          <w:p w14:paraId="42EBA12A">
            <w:pPr>
              <w:rPr>
                <w:lang w:eastAsia="zh-CN" w:bidi="sa-IN"/>
              </w:rPr>
            </w:pPr>
            <w:r>
              <w:rPr>
                <w:lang w:eastAsia="zh-CN" w:bidi="sa-IN"/>
              </w:rPr>
              <w:t>采购菌丝体原料、益生菌类原料和藻类原料，应当索取菌株或品种鉴定报告、稳定性报告。采购动物或动物组织器官原料，应当索取检疫证明。使用经辐照的原料及其他特殊原料的，应当符合国家有关规定。生产菌丝体原料、益生菌类原料和藻类原料，应当按照相关要求建立生产管理体系。</w:t>
            </w:r>
          </w:p>
        </w:tc>
        <w:tc>
          <w:tcPr>
            <w:tcW w:w="968" w:type="dxa"/>
            <w:tcBorders>
              <w:top w:val="nil"/>
              <w:left w:val="nil"/>
              <w:bottom w:val="single" w:color="auto" w:sz="4" w:space="0"/>
              <w:right w:val="single" w:color="auto" w:sz="4" w:space="0"/>
            </w:tcBorders>
            <w:shd w:val="clear" w:color="auto" w:fill="auto"/>
            <w:vAlign w:val="center"/>
          </w:tcPr>
          <w:p w14:paraId="65C40756">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28CF8C63">
            <w:pPr>
              <w:rPr>
                <w:lang w:eastAsia="zh-CN" w:bidi="sa-IN"/>
              </w:rPr>
            </w:pPr>
          </w:p>
        </w:tc>
      </w:tr>
      <w:tr w14:paraId="2914215A">
        <w:tblPrEx>
          <w:tblCellMar>
            <w:top w:w="0" w:type="dxa"/>
            <w:left w:w="108" w:type="dxa"/>
            <w:bottom w:w="0" w:type="dxa"/>
            <w:right w:w="108" w:type="dxa"/>
          </w:tblCellMar>
        </w:tblPrEx>
        <w:trPr>
          <w:trHeight w:val="492" w:hRule="atLeast"/>
          <w:jc w:val="center"/>
        </w:trPr>
        <w:tc>
          <w:tcPr>
            <w:tcW w:w="1134" w:type="dxa"/>
            <w:tcBorders>
              <w:top w:val="single" w:color="auto" w:sz="4" w:space="0"/>
              <w:left w:val="single" w:color="auto" w:sz="4" w:space="0"/>
              <w:right w:val="single" w:color="auto" w:sz="4" w:space="0"/>
            </w:tcBorders>
            <w:shd w:val="clear" w:color="auto" w:fill="auto"/>
            <w:vAlign w:val="center"/>
          </w:tcPr>
          <w:p w14:paraId="3FA4B8CA">
            <w:pPr>
              <w:rPr>
                <w:lang w:bidi="sa-IN"/>
              </w:rPr>
            </w:pPr>
            <w:r>
              <w:rPr>
                <w:lang w:bidi="sa-IN"/>
              </w:rPr>
              <w:t>审查项目</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55624837">
            <w:pPr>
              <w:rPr>
                <w:lang w:bidi="sa-IN"/>
              </w:rPr>
            </w:pPr>
            <w:r>
              <w:rPr>
                <w:lang w:bidi="sa-IN"/>
              </w:rPr>
              <w:t>序号</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6FA746DD">
            <w:pPr>
              <w:rPr>
                <w:lang w:bidi="sa-IN"/>
              </w:rPr>
            </w:pPr>
            <w:r>
              <w:rPr>
                <w:lang w:bidi="sa-IN"/>
              </w:rPr>
              <w:t>审查内容</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48A06132">
            <w:pPr>
              <w:rPr>
                <w:sz w:val="22"/>
                <w:szCs w:val="22"/>
                <w:lang w:bidi="sa-IN"/>
              </w:rPr>
            </w:pPr>
            <w:r>
              <w:rPr>
                <w:rFonts w:hint="eastAsia"/>
                <w:lang w:eastAsia="zh-CN"/>
              </w:rPr>
              <w:t>备注</w:t>
            </w:r>
          </w:p>
        </w:tc>
        <w:tc>
          <w:tcPr>
            <w:tcW w:w="1763" w:type="dxa"/>
            <w:tcBorders>
              <w:top w:val="single" w:color="auto" w:sz="4" w:space="0"/>
              <w:left w:val="single" w:color="auto" w:sz="4" w:space="0"/>
              <w:right w:val="single" w:color="auto" w:sz="4" w:space="0"/>
            </w:tcBorders>
            <w:shd w:val="clear" w:color="auto" w:fill="auto"/>
            <w:vAlign w:val="center"/>
          </w:tcPr>
          <w:p w14:paraId="4D979D9C">
            <w:pPr>
              <w:rPr>
                <w:sz w:val="22"/>
                <w:szCs w:val="22"/>
                <w:lang w:bidi="sa-IN"/>
              </w:rPr>
            </w:pPr>
            <w:r>
              <w:rPr>
                <w:rFonts w:hint="eastAsia"/>
                <w:lang w:eastAsia="zh-CN"/>
              </w:rPr>
              <w:t>现场评审指引</w:t>
            </w:r>
          </w:p>
        </w:tc>
      </w:tr>
      <w:tr w14:paraId="730B0EFA">
        <w:tblPrEx>
          <w:tblCellMar>
            <w:top w:w="0" w:type="dxa"/>
            <w:left w:w="108" w:type="dxa"/>
            <w:bottom w:w="0" w:type="dxa"/>
            <w:right w:w="108" w:type="dxa"/>
          </w:tblCellMar>
        </w:tblPrEx>
        <w:trPr>
          <w:trHeight w:val="427" w:hRule="atLeast"/>
          <w:jc w:val="center"/>
        </w:trPr>
        <w:tc>
          <w:tcPr>
            <w:tcW w:w="1134" w:type="dxa"/>
            <w:vMerge w:val="restart"/>
            <w:tcBorders>
              <w:top w:val="single" w:color="auto" w:sz="4" w:space="0"/>
              <w:left w:val="single" w:color="auto" w:sz="4" w:space="0"/>
              <w:right w:val="single" w:color="auto" w:sz="4" w:space="0"/>
            </w:tcBorders>
            <w:shd w:val="clear" w:color="auto" w:fill="auto"/>
            <w:vAlign w:val="center"/>
          </w:tcPr>
          <w:p w14:paraId="0B057F02">
            <w:pPr>
              <w:rPr>
                <w:lang w:bidi="sa-IN"/>
              </w:rPr>
            </w:pPr>
            <w:r>
              <w:rPr>
                <w:rFonts w:hint="eastAsia" w:ascii="宋体" w:hAnsi="宋体" w:eastAsia="宋体" w:cs="宋体"/>
                <w:lang w:bidi="sa-IN"/>
              </w:rPr>
              <w:t>原料提取物</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407B5871">
            <w:pPr>
              <w:rPr>
                <w:lang w:bidi="sa-IN"/>
              </w:rPr>
            </w:pPr>
            <w:r>
              <w:rPr>
                <w:lang w:bidi="sa-IN"/>
              </w:rPr>
              <w:t>4.6</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7AFAF509">
            <w:pPr>
              <w:rPr>
                <w:lang w:eastAsia="zh-CN" w:bidi="sa-IN"/>
              </w:rPr>
            </w:pPr>
            <w:r>
              <w:rPr>
                <w:lang w:eastAsia="zh-CN" w:bidi="sa-IN"/>
              </w:rPr>
              <w:t>企业应当具有两名以上能够鉴别动植物等原料真伪优劣的专业技术人员。</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BC7E4EB">
            <w:pPr>
              <w:rPr>
                <w:lang w:eastAsia="zh-CN" w:bidi="sa-IN"/>
              </w:rPr>
            </w:pPr>
            <w:r>
              <w:rPr>
                <w:lang w:eastAsia="zh-CN" w:bidi="sa-IN"/>
              </w:rPr>
              <w:t>　</w:t>
            </w:r>
          </w:p>
        </w:tc>
        <w:tc>
          <w:tcPr>
            <w:tcW w:w="1763" w:type="dxa"/>
            <w:vMerge w:val="restart"/>
            <w:tcBorders>
              <w:top w:val="single" w:color="auto" w:sz="4" w:space="0"/>
              <w:left w:val="single" w:color="auto" w:sz="4" w:space="0"/>
              <w:right w:val="single" w:color="auto" w:sz="4" w:space="0"/>
            </w:tcBorders>
            <w:shd w:val="clear" w:color="auto" w:fill="auto"/>
            <w:vAlign w:val="center"/>
          </w:tcPr>
          <w:p w14:paraId="6F5F381D">
            <w:pPr>
              <w:rPr>
                <w:sz w:val="22"/>
                <w:szCs w:val="22"/>
                <w:lang w:eastAsia="zh-CN" w:bidi="sa-IN"/>
              </w:rPr>
            </w:pPr>
            <w:r>
              <w:rPr>
                <w:sz w:val="22"/>
                <w:szCs w:val="22"/>
                <w:lang w:eastAsia="zh-CN" w:bidi="sa-IN"/>
              </w:rPr>
              <w:t>　</w:t>
            </w:r>
            <w:r>
              <w:rPr>
                <w:rFonts w:hint="eastAsia"/>
                <w:lang w:eastAsia="zh-CN" w:bidi="sa-IN"/>
              </w:rPr>
              <w:t>查技术人员能力，生产设备设施是否满足生产工艺要求，原料前处理间的通风、除尘、除烟、降温等设施是否正常运行，人流物流是否交叉，查原料前处理工艺规程及原料提取生产记录制度，生产设备是否与洁净级别相适应，生产用水是否符合生产工艺要求，是否具备溶剂回收设施设备（根据工艺需要）。</w:t>
            </w:r>
          </w:p>
        </w:tc>
      </w:tr>
      <w:tr w14:paraId="43354A2A">
        <w:tblPrEx>
          <w:tblCellMar>
            <w:top w:w="0" w:type="dxa"/>
            <w:left w:w="108" w:type="dxa"/>
            <w:bottom w:w="0" w:type="dxa"/>
            <w:right w:w="108" w:type="dxa"/>
          </w:tblCellMar>
        </w:tblPrEx>
        <w:trPr>
          <w:trHeight w:val="780" w:hRule="atLeast"/>
          <w:jc w:val="center"/>
        </w:trPr>
        <w:tc>
          <w:tcPr>
            <w:tcW w:w="1134" w:type="dxa"/>
            <w:vMerge w:val="continue"/>
            <w:tcBorders>
              <w:left w:val="single" w:color="auto" w:sz="4" w:space="0"/>
              <w:right w:val="single" w:color="auto" w:sz="4" w:space="0"/>
            </w:tcBorders>
            <w:shd w:val="clear" w:color="auto" w:fill="auto"/>
            <w:vAlign w:val="center"/>
          </w:tcPr>
          <w:p w14:paraId="5F15E2D4">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7916BEEF">
            <w:pPr>
              <w:rPr>
                <w:lang w:bidi="sa-IN"/>
              </w:rPr>
            </w:pPr>
            <w:r>
              <w:rPr>
                <w:lang w:bidi="sa-IN"/>
              </w:rPr>
              <w:t>**4.7</w:t>
            </w:r>
          </w:p>
        </w:tc>
        <w:tc>
          <w:tcPr>
            <w:tcW w:w="9660" w:type="dxa"/>
            <w:tcBorders>
              <w:top w:val="single" w:color="auto" w:sz="4" w:space="0"/>
              <w:left w:val="nil"/>
              <w:bottom w:val="single" w:color="auto" w:sz="4" w:space="0"/>
              <w:right w:val="single" w:color="auto" w:sz="4" w:space="0"/>
            </w:tcBorders>
            <w:shd w:val="clear" w:color="auto" w:fill="auto"/>
            <w:vAlign w:val="center"/>
          </w:tcPr>
          <w:p w14:paraId="67DD92F2">
            <w:pPr>
              <w:rPr>
                <w:lang w:eastAsia="zh-CN" w:bidi="sa-IN"/>
              </w:rPr>
            </w:pPr>
            <w:r>
              <w:rPr>
                <w:lang w:eastAsia="zh-CN" w:bidi="sa-IN"/>
              </w:rPr>
              <w:t>保健食品生产工艺有原料提取、纯化等前处理工序的，需要具备与生产的品种、数量相适应的原料前处理设备或者设施。</w:t>
            </w:r>
          </w:p>
        </w:tc>
        <w:tc>
          <w:tcPr>
            <w:tcW w:w="968" w:type="dxa"/>
            <w:tcBorders>
              <w:top w:val="single" w:color="auto" w:sz="4" w:space="0"/>
              <w:left w:val="nil"/>
              <w:bottom w:val="single" w:color="auto" w:sz="4" w:space="0"/>
              <w:right w:val="single" w:color="auto" w:sz="4" w:space="0"/>
            </w:tcBorders>
            <w:shd w:val="clear" w:color="auto" w:fill="auto"/>
            <w:vAlign w:val="center"/>
          </w:tcPr>
          <w:p w14:paraId="0C88ED3A">
            <w:pPr>
              <w:rPr>
                <w:lang w:eastAsia="zh-CN" w:bidi="sa-IN"/>
              </w:rPr>
            </w:pPr>
            <w:r>
              <w:rPr>
                <w:rFonts w:hint="eastAsia"/>
                <w:lang w:eastAsia="zh-CN" w:bidi="sa-IN"/>
              </w:rPr>
              <w:t>若此项不符合要求，审查结论为直接判为不合格。　</w:t>
            </w:r>
          </w:p>
        </w:tc>
        <w:tc>
          <w:tcPr>
            <w:tcW w:w="1763" w:type="dxa"/>
            <w:vMerge w:val="continue"/>
            <w:tcBorders>
              <w:left w:val="single" w:color="auto" w:sz="4" w:space="0"/>
              <w:right w:val="single" w:color="auto" w:sz="4" w:space="0"/>
            </w:tcBorders>
            <w:shd w:val="clear" w:color="auto" w:fill="auto"/>
            <w:vAlign w:val="center"/>
          </w:tcPr>
          <w:p w14:paraId="55D5A3F7">
            <w:pPr>
              <w:rPr>
                <w:lang w:eastAsia="zh-CN" w:bidi="sa-IN"/>
              </w:rPr>
            </w:pPr>
          </w:p>
        </w:tc>
      </w:tr>
      <w:tr w14:paraId="24387415">
        <w:tblPrEx>
          <w:tblCellMar>
            <w:top w:w="0" w:type="dxa"/>
            <w:left w:w="108" w:type="dxa"/>
            <w:bottom w:w="0" w:type="dxa"/>
            <w:right w:w="108" w:type="dxa"/>
          </w:tblCellMar>
        </w:tblPrEx>
        <w:trPr>
          <w:trHeight w:val="675" w:hRule="atLeast"/>
          <w:jc w:val="center"/>
        </w:trPr>
        <w:tc>
          <w:tcPr>
            <w:tcW w:w="1134" w:type="dxa"/>
            <w:vMerge w:val="continue"/>
            <w:tcBorders>
              <w:left w:val="single" w:color="auto" w:sz="4" w:space="0"/>
              <w:right w:val="single" w:color="auto" w:sz="4" w:space="0"/>
            </w:tcBorders>
            <w:shd w:val="clear" w:color="auto" w:fill="auto"/>
            <w:vAlign w:val="center"/>
          </w:tcPr>
          <w:p w14:paraId="71C9ED0B">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04DD544A">
            <w:pPr>
              <w:rPr>
                <w:lang w:bidi="sa-IN"/>
              </w:rPr>
            </w:pPr>
            <w:r>
              <w:rPr>
                <w:lang w:bidi="sa-IN"/>
              </w:rPr>
              <w:t>4.8</w:t>
            </w:r>
          </w:p>
        </w:tc>
        <w:tc>
          <w:tcPr>
            <w:tcW w:w="9660" w:type="dxa"/>
            <w:tcBorders>
              <w:top w:val="nil"/>
              <w:left w:val="nil"/>
              <w:bottom w:val="single" w:color="auto" w:sz="4" w:space="0"/>
              <w:right w:val="single" w:color="auto" w:sz="4" w:space="0"/>
            </w:tcBorders>
            <w:shd w:val="clear" w:color="auto" w:fill="auto"/>
            <w:vAlign w:val="center"/>
          </w:tcPr>
          <w:p w14:paraId="39EDB046">
            <w:pPr>
              <w:rPr>
                <w:lang w:eastAsia="zh-CN" w:bidi="sa-IN"/>
              </w:rPr>
            </w:pPr>
            <w:r>
              <w:rPr>
                <w:lang w:eastAsia="zh-CN" w:bidi="sa-IN"/>
              </w:rPr>
              <w:t>原料的前处理车间应配备必要的通风、除尘、除烟、降温等设施并运行良好，应与其生产规模和工艺要求相适应。</w:t>
            </w:r>
          </w:p>
        </w:tc>
        <w:tc>
          <w:tcPr>
            <w:tcW w:w="968" w:type="dxa"/>
            <w:tcBorders>
              <w:top w:val="nil"/>
              <w:left w:val="nil"/>
              <w:bottom w:val="single" w:color="auto" w:sz="4" w:space="0"/>
              <w:right w:val="single" w:color="auto" w:sz="4" w:space="0"/>
            </w:tcBorders>
            <w:shd w:val="clear" w:color="auto" w:fill="auto"/>
            <w:vAlign w:val="center"/>
          </w:tcPr>
          <w:p w14:paraId="30F81EBF">
            <w:pPr>
              <w:rPr>
                <w:lang w:eastAsia="zh-CN" w:bidi="sa-IN"/>
              </w:rPr>
            </w:pPr>
            <w:r>
              <w:rPr>
                <w:lang w:eastAsia="zh-CN" w:bidi="sa-IN"/>
              </w:rPr>
              <w:t>　</w:t>
            </w:r>
          </w:p>
        </w:tc>
        <w:tc>
          <w:tcPr>
            <w:tcW w:w="1763" w:type="dxa"/>
            <w:vMerge w:val="continue"/>
            <w:tcBorders>
              <w:left w:val="single" w:color="auto" w:sz="4" w:space="0"/>
              <w:right w:val="single" w:color="auto" w:sz="4" w:space="0"/>
            </w:tcBorders>
            <w:shd w:val="clear" w:color="auto" w:fill="auto"/>
            <w:vAlign w:val="center"/>
          </w:tcPr>
          <w:p w14:paraId="795D2C65">
            <w:pPr>
              <w:rPr>
                <w:lang w:eastAsia="zh-CN" w:bidi="sa-IN"/>
              </w:rPr>
            </w:pPr>
          </w:p>
        </w:tc>
      </w:tr>
      <w:tr w14:paraId="1A7E2BC3">
        <w:tblPrEx>
          <w:tblCellMar>
            <w:top w:w="0" w:type="dxa"/>
            <w:left w:w="108" w:type="dxa"/>
            <w:bottom w:w="0" w:type="dxa"/>
            <w:right w:w="108" w:type="dxa"/>
          </w:tblCellMar>
        </w:tblPrEx>
        <w:trPr>
          <w:trHeight w:val="391" w:hRule="atLeast"/>
          <w:jc w:val="center"/>
        </w:trPr>
        <w:tc>
          <w:tcPr>
            <w:tcW w:w="1134" w:type="dxa"/>
            <w:vMerge w:val="continue"/>
            <w:tcBorders>
              <w:left w:val="single" w:color="auto" w:sz="4" w:space="0"/>
              <w:right w:val="single" w:color="auto" w:sz="4" w:space="0"/>
            </w:tcBorders>
            <w:shd w:val="clear" w:color="auto" w:fill="auto"/>
            <w:vAlign w:val="center"/>
          </w:tcPr>
          <w:p w14:paraId="7D8777AC">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53B77568">
            <w:pPr>
              <w:rPr>
                <w:lang w:bidi="sa-IN"/>
              </w:rPr>
            </w:pPr>
            <w:r>
              <w:rPr>
                <w:lang w:bidi="sa-IN"/>
              </w:rPr>
              <w:t>*4.9</w:t>
            </w:r>
          </w:p>
        </w:tc>
        <w:tc>
          <w:tcPr>
            <w:tcW w:w="9660" w:type="dxa"/>
            <w:tcBorders>
              <w:top w:val="nil"/>
              <w:left w:val="nil"/>
              <w:bottom w:val="single" w:color="auto" w:sz="4" w:space="0"/>
              <w:right w:val="single" w:color="auto" w:sz="4" w:space="0"/>
            </w:tcBorders>
            <w:shd w:val="clear" w:color="auto" w:fill="auto"/>
            <w:vAlign w:val="center"/>
          </w:tcPr>
          <w:p w14:paraId="379A3F76">
            <w:pPr>
              <w:rPr>
                <w:lang w:eastAsia="zh-CN" w:bidi="sa-IN"/>
              </w:rPr>
            </w:pPr>
            <w:r>
              <w:rPr>
                <w:lang w:eastAsia="zh-CN" w:bidi="sa-IN"/>
              </w:rPr>
              <w:t>原料的前处理车间应与成品生产车间分开，人流物流通道应与成品生产车间分设。</w:t>
            </w:r>
          </w:p>
        </w:tc>
        <w:tc>
          <w:tcPr>
            <w:tcW w:w="968" w:type="dxa"/>
            <w:tcBorders>
              <w:top w:val="nil"/>
              <w:left w:val="nil"/>
              <w:bottom w:val="single" w:color="auto" w:sz="4" w:space="0"/>
              <w:right w:val="single" w:color="auto" w:sz="4" w:space="0"/>
            </w:tcBorders>
            <w:shd w:val="clear" w:color="auto" w:fill="auto"/>
            <w:vAlign w:val="center"/>
          </w:tcPr>
          <w:p w14:paraId="70CA4438">
            <w:pPr>
              <w:rPr>
                <w:lang w:eastAsia="zh-CN" w:bidi="sa-IN"/>
              </w:rPr>
            </w:pPr>
            <w:r>
              <w:rPr>
                <w:lang w:eastAsia="zh-CN" w:bidi="sa-IN"/>
              </w:rPr>
              <w:t>　</w:t>
            </w:r>
          </w:p>
        </w:tc>
        <w:tc>
          <w:tcPr>
            <w:tcW w:w="1763" w:type="dxa"/>
            <w:vMerge w:val="continue"/>
            <w:tcBorders>
              <w:left w:val="single" w:color="auto" w:sz="4" w:space="0"/>
              <w:right w:val="single" w:color="auto" w:sz="4" w:space="0"/>
            </w:tcBorders>
            <w:shd w:val="clear" w:color="auto" w:fill="auto"/>
            <w:vAlign w:val="center"/>
          </w:tcPr>
          <w:p w14:paraId="011370E0">
            <w:pPr>
              <w:rPr>
                <w:lang w:eastAsia="zh-CN" w:bidi="sa-IN"/>
              </w:rPr>
            </w:pPr>
          </w:p>
        </w:tc>
      </w:tr>
      <w:tr w14:paraId="46553775">
        <w:tblPrEx>
          <w:tblCellMar>
            <w:top w:w="0" w:type="dxa"/>
            <w:left w:w="108" w:type="dxa"/>
            <w:bottom w:w="0" w:type="dxa"/>
            <w:right w:w="108" w:type="dxa"/>
          </w:tblCellMar>
        </w:tblPrEx>
        <w:trPr>
          <w:trHeight w:val="863" w:hRule="atLeast"/>
          <w:jc w:val="center"/>
        </w:trPr>
        <w:tc>
          <w:tcPr>
            <w:tcW w:w="1134" w:type="dxa"/>
            <w:vMerge w:val="continue"/>
            <w:tcBorders>
              <w:left w:val="single" w:color="auto" w:sz="4" w:space="0"/>
              <w:right w:val="single" w:color="auto" w:sz="4" w:space="0"/>
            </w:tcBorders>
            <w:shd w:val="clear" w:color="auto" w:fill="auto"/>
            <w:vAlign w:val="center"/>
          </w:tcPr>
          <w:p w14:paraId="5F1072D8">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6CFE3115">
            <w:pPr>
              <w:rPr>
                <w:lang w:bidi="sa-IN"/>
              </w:rPr>
            </w:pPr>
            <w:r>
              <w:rPr>
                <w:lang w:bidi="sa-IN"/>
              </w:rPr>
              <w:t>*4.10</w:t>
            </w:r>
          </w:p>
        </w:tc>
        <w:tc>
          <w:tcPr>
            <w:tcW w:w="9660" w:type="dxa"/>
            <w:tcBorders>
              <w:top w:val="nil"/>
              <w:left w:val="nil"/>
              <w:bottom w:val="single" w:color="auto" w:sz="4" w:space="0"/>
              <w:right w:val="single" w:color="auto" w:sz="4" w:space="0"/>
            </w:tcBorders>
            <w:shd w:val="clear" w:color="auto" w:fill="auto"/>
            <w:vAlign w:val="center"/>
          </w:tcPr>
          <w:p w14:paraId="54E5B65D">
            <w:pPr>
              <w:rPr>
                <w:lang w:bidi="sa-IN"/>
              </w:rPr>
            </w:pPr>
            <w:r>
              <w:rPr>
                <w:lang w:eastAsia="zh-CN" w:bidi="sa-IN"/>
              </w:rPr>
              <w:t>企业应按照生产工艺和质量标准要求，制定原料前处理工艺规程，建立原料提取生产记录制度，包括原料的称量、清洗、提取、浓缩、收膏、干燥、粉碎等生产过程和相应工艺参数。</w:t>
            </w:r>
            <w:r>
              <w:rPr>
                <w:lang w:bidi="sa-IN"/>
              </w:rPr>
              <w:t>每批次提取物应标注同一生产日期。</w:t>
            </w:r>
          </w:p>
        </w:tc>
        <w:tc>
          <w:tcPr>
            <w:tcW w:w="968" w:type="dxa"/>
            <w:tcBorders>
              <w:top w:val="nil"/>
              <w:left w:val="nil"/>
              <w:bottom w:val="single" w:color="auto" w:sz="4" w:space="0"/>
              <w:right w:val="single" w:color="auto" w:sz="4" w:space="0"/>
            </w:tcBorders>
            <w:shd w:val="clear" w:color="auto" w:fill="auto"/>
            <w:vAlign w:val="center"/>
          </w:tcPr>
          <w:p w14:paraId="1A088413">
            <w:pPr>
              <w:rPr>
                <w:lang w:bidi="sa-IN"/>
              </w:rPr>
            </w:pPr>
            <w:r>
              <w:rPr>
                <w:lang w:bidi="sa-IN"/>
              </w:rPr>
              <w:t>　</w:t>
            </w:r>
          </w:p>
        </w:tc>
        <w:tc>
          <w:tcPr>
            <w:tcW w:w="1763" w:type="dxa"/>
            <w:vMerge w:val="continue"/>
            <w:tcBorders>
              <w:left w:val="single" w:color="auto" w:sz="4" w:space="0"/>
              <w:right w:val="single" w:color="auto" w:sz="4" w:space="0"/>
            </w:tcBorders>
            <w:shd w:val="clear" w:color="auto" w:fill="auto"/>
            <w:vAlign w:val="center"/>
          </w:tcPr>
          <w:p w14:paraId="1F07431E">
            <w:pPr>
              <w:rPr>
                <w:lang w:bidi="sa-IN"/>
              </w:rPr>
            </w:pPr>
          </w:p>
        </w:tc>
      </w:tr>
      <w:tr w14:paraId="27112471">
        <w:tblPrEx>
          <w:tblCellMar>
            <w:top w:w="0" w:type="dxa"/>
            <w:left w:w="108" w:type="dxa"/>
            <w:bottom w:w="0" w:type="dxa"/>
            <w:right w:w="108" w:type="dxa"/>
          </w:tblCellMar>
        </w:tblPrEx>
        <w:trPr>
          <w:trHeight w:val="863" w:hRule="atLeast"/>
          <w:jc w:val="center"/>
        </w:trPr>
        <w:tc>
          <w:tcPr>
            <w:tcW w:w="1134" w:type="dxa"/>
            <w:vMerge w:val="continue"/>
            <w:tcBorders>
              <w:left w:val="single" w:color="auto" w:sz="4" w:space="0"/>
              <w:right w:val="single" w:color="auto" w:sz="4" w:space="0"/>
            </w:tcBorders>
            <w:shd w:val="clear" w:color="auto" w:fill="auto"/>
            <w:vAlign w:val="center"/>
          </w:tcPr>
          <w:p w14:paraId="128BB6DE">
            <w:pPr>
              <w:rPr>
                <w:lang w:bidi="sa-IN"/>
              </w:rPr>
            </w:pPr>
          </w:p>
        </w:tc>
        <w:tc>
          <w:tcPr>
            <w:tcW w:w="1056" w:type="dxa"/>
            <w:tcBorders>
              <w:top w:val="nil"/>
              <w:left w:val="nil"/>
              <w:bottom w:val="single" w:color="auto" w:sz="4" w:space="0"/>
              <w:right w:val="single" w:color="auto" w:sz="4" w:space="0"/>
            </w:tcBorders>
            <w:shd w:val="clear" w:color="auto" w:fill="auto"/>
            <w:vAlign w:val="center"/>
          </w:tcPr>
          <w:p w14:paraId="49B4C683">
            <w:pPr>
              <w:rPr>
                <w:lang w:bidi="sa-IN"/>
              </w:rPr>
            </w:pPr>
            <w:r>
              <w:rPr>
                <w:lang w:bidi="sa-IN"/>
              </w:rPr>
              <w:t>*4.11</w:t>
            </w:r>
          </w:p>
        </w:tc>
        <w:tc>
          <w:tcPr>
            <w:tcW w:w="9660" w:type="dxa"/>
            <w:tcBorders>
              <w:top w:val="nil"/>
              <w:left w:val="nil"/>
              <w:bottom w:val="single" w:color="auto" w:sz="4" w:space="0"/>
              <w:right w:val="single" w:color="auto" w:sz="4" w:space="0"/>
            </w:tcBorders>
            <w:shd w:val="clear" w:color="auto" w:fill="auto"/>
            <w:vAlign w:val="center"/>
          </w:tcPr>
          <w:p w14:paraId="2231D954">
            <w:pPr>
              <w:rPr>
                <w:lang w:eastAsia="zh-CN" w:bidi="sa-IN"/>
              </w:rPr>
            </w:pPr>
            <w:r>
              <w:rPr>
                <w:lang w:eastAsia="zh-CN" w:bidi="sa-IN"/>
              </w:rPr>
              <w:t>具有与原料前处理相适应的生产设备，提取、浓缩、收膏等工序应采用密闭系统进行操作，便于管道清洁，防止交叉污染。采用敞口方式进行收膏操作的，其操作环境应与保健食品生产的洁净级别相适应。</w:t>
            </w:r>
          </w:p>
        </w:tc>
        <w:tc>
          <w:tcPr>
            <w:tcW w:w="968" w:type="dxa"/>
            <w:tcBorders>
              <w:top w:val="nil"/>
              <w:left w:val="nil"/>
              <w:bottom w:val="single" w:color="auto" w:sz="4" w:space="0"/>
              <w:right w:val="single" w:color="auto" w:sz="4" w:space="0"/>
            </w:tcBorders>
            <w:shd w:val="clear" w:color="auto" w:fill="auto"/>
            <w:vAlign w:val="center"/>
          </w:tcPr>
          <w:p w14:paraId="6CC3692A">
            <w:pPr>
              <w:rPr>
                <w:lang w:eastAsia="zh-CN" w:bidi="sa-IN"/>
              </w:rPr>
            </w:pPr>
            <w:r>
              <w:rPr>
                <w:lang w:eastAsia="zh-CN" w:bidi="sa-IN"/>
              </w:rPr>
              <w:t>　</w:t>
            </w:r>
          </w:p>
        </w:tc>
        <w:tc>
          <w:tcPr>
            <w:tcW w:w="1763" w:type="dxa"/>
            <w:vMerge w:val="continue"/>
            <w:tcBorders>
              <w:left w:val="single" w:color="auto" w:sz="4" w:space="0"/>
              <w:right w:val="single" w:color="auto" w:sz="4" w:space="0"/>
            </w:tcBorders>
            <w:shd w:val="clear" w:color="auto" w:fill="auto"/>
            <w:vAlign w:val="center"/>
          </w:tcPr>
          <w:p w14:paraId="60A75C47">
            <w:pPr>
              <w:rPr>
                <w:lang w:eastAsia="zh-CN" w:bidi="sa-IN"/>
              </w:rPr>
            </w:pPr>
          </w:p>
        </w:tc>
      </w:tr>
      <w:tr w14:paraId="1CEE0E6C">
        <w:tblPrEx>
          <w:tblCellMar>
            <w:top w:w="0" w:type="dxa"/>
            <w:left w:w="108" w:type="dxa"/>
            <w:bottom w:w="0" w:type="dxa"/>
            <w:right w:w="108" w:type="dxa"/>
          </w:tblCellMar>
        </w:tblPrEx>
        <w:trPr>
          <w:trHeight w:val="507" w:hRule="atLeast"/>
          <w:jc w:val="center"/>
        </w:trPr>
        <w:tc>
          <w:tcPr>
            <w:tcW w:w="1134" w:type="dxa"/>
            <w:vMerge w:val="continue"/>
            <w:tcBorders>
              <w:left w:val="single" w:color="auto" w:sz="4" w:space="0"/>
              <w:right w:val="single" w:color="auto" w:sz="4" w:space="0"/>
            </w:tcBorders>
            <w:shd w:val="clear" w:color="auto" w:fill="auto"/>
            <w:vAlign w:val="center"/>
          </w:tcPr>
          <w:p w14:paraId="1E6D3FCA">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35CA6317">
            <w:pPr>
              <w:rPr>
                <w:lang w:bidi="sa-IN"/>
              </w:rPr>
            </w:pPr>
            <w:r>
              <w:rPr>
                <w:lang w:bidi="sa-IN"/>
              </w:rPr>
              <w:t>*4.12</w:t>
            </w:r>
          </w:p>
        </w:tc>
        <w:tc>
          <w:tcPr>
            <w:tcW w:w="9660" w:type="dxa"/>
            <w:tcBorders>
              <w:top w:val="nil"/>
              <w:left w:val="nil"/>
              <w:bottom w:val="single" w:color="auto" w:sz="4" w:space="0"/>
              <w:right w:val="single" w:color="auto" w:sz="4" w:space="0"/>
            </w:tcBorders>
            <w:shd w:val="clear" w:color="auto" w:fill="auto"/>
            <w:vAlign w:val="center"/>
          </w:tcPr>
          <w:p w14:paraId="1E027E53">
            <w:pPr>
              <w:rPr>
                <w:lang w:eastAsia="zh-CN" w:bidi="sa-IN"/>
              </w:rPr>
            </w:pPr>
            <w:r>
              <w:rPr>
                <w:lang w:eastAsia="zh-CN" w:bidi="sa-IN"/>
              </w:rPr>
              <w:t>提取物的干燥、粉碎、过筛、混合、内包装等工序，应在洁净车间内完成，洁净级别应与保健食品生产的洁净级别相适应。</w:t>
            </w:r>
          </w:p>
        </w:tc>
        <w:tc>
          <w:tcPr>
            <w:tcW w:w="968" w:type="dxa"/>
            <w:tcBorders>
              <w:top w:val="nil"/>
              <w:left w:val="nil"/>
              <w:bottom w:val="single" w:color="auto" w:sz="4" w:space="0"/>
              <w:right w:val="single" w:color="auto" w:sz="4" w:space="0"/>
            </w:tcBorders>
            <w:shd w:val="clear" w:color="auto" w:fill="auto"/>
            <w:vAlign w:val="center"/>
          </w:tcPr>
          <w:p w14:paraId="6904A45A">
            <w:pPr>
              <w:rPr>
                <w:lang w:eastAsia="zh-CN" w:bidi="sa-IN"/>
              </w:rPr>
            </w:pPr>
            <w:r>
              <w:rPr>
                <w:lang w:eastAsia="zh-CN" w:bidi="sa-IN"/>
              </w:rPr>
              <w:t>　</w:t>
            </w:r>
          </w:p>
        </w:tc>
        <w:tc>
          <w:tcPr>
            <w:tcW w:w="1763" w:type="dxa"/>
            <w:vMerge w:val="continue"/>
            <w:tcBorders>
              <w:left w:val="single" w:color="auto" w:sz="4" w:space="0"/>
              <w:right w:val="single" w:color="auto" w:sz="4" w:space="0"/>
            </w:tcBorders>
            <w:shd w:val="clear" w:color="auto" w:fill="auto"/>
            <w:vAlign w:val="center"/>
          </w:tcPr>
          <w:p w14:paraId="2A9F6F89">
            <w:pPr>
              <w:rPr>
                <w:lang w:eastAsia="zh-CN" w:bidi="sa-IN"/>
              </w:rPr>
            </w:pPr>
          </w:p>
        </w:tc>
      </w:tr>
      <w:tr w14:paraId="55F680EA">
        <w:tblPrEx>
          <w:tblCellMar>
            <w:top w:w="0" w:type="dxa"/>
            <w:left w:w="108" w:type="dxa"/>
            <w:bottom w:w="0" w:type="dxa"/>
            <w:right w:w="108" w:type="dxa"/>
          </w:tblCellMar>
        </w:tblPrEx>
        <w:trPr>
          <w:trHeight w:val="798" w:hRule="atLeast"/>
          <w:jc w:val="center"/>
        </w:trPr>
        <w:tc>
          <w:tcPr>
            <w:tcW w:w="1134" w:type="dxa"/>
            <w:vMerge w:val="continue"/>
            <w:tcBorders>
              <w:left w:val="single" w:color="auto" w:sz="4" w:space="0"/>
              <w:right w:val="single" w:color="auto" w:sz="4" w:space="0"/>
            </w:tcBorders>
            <w:shd w:val="clear" w:color="auto" w:fill="auto"/>
            <w:vAlign w:val="center"/>
          </w:tcPr>
          <w:p w14:paraId="0727136C">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611142F0">
            <w:pPr>
              <w:rPr>
                <w:lang w:bidi="sa-IN"/>
              </w:rPr>
            </w:pPr>
            <w:r>
              <w:rPr>
                <w:lang w:bidi="sa-IN"/>
              </w:rPr>
              <w:t>4.13</w:t>
            </w:r>
          </w:p>
        </w:tc>
        <w:tc>
          <w:tcPr>
            <w:tcW w:w="9660" w:type="dxa"/>
            <w:tcBorders>
              <w:top w:val="single" w:color="auto" w:sz="4" w:space="0"/>
              <w:left w:val="nil"/>
              <w:bottom w:val="single" w:color="auto" w:sz="4" w:space="0"/>
              <w:right w:val="single" w:color="auto" w:sz="4" w:space="0"/>
            </w:tcBorders>
            <w:shd w:val="clear" w:color="auto" w:fill="auto"/>
            <w:vAlign w:val="center"/>
          </w:tcPr>
          <w:p w14:paraId="2ACA8375">
            <w:pPr>
              <w:rPr>
                <w:lang w:eastAsia="zh-CN" w:bidi="sa-IN"/>
              </w:rPr>
            </w:pPr>
            <w:r>
              <w:rPr>
                <w:lang w:eastAsia="zh-CN" w:bidi="sa-IN"/>
              </w:rPr>
              <w:t>原料的清洗、浸润、提取用水应符合生产工艺要求，清洗提取设备或容器内表面应当使用纯化水。</w:t>
            </w:r>
          </w:p>
        </w:tc>
        <w:tc>
          <w:tcPr>
            <w:tcW w:w="968" w:type="dxa"/>
            <w:tcBorders>
              <w:top w:val="single" w:color="auto" w:sz="4" w:space="0"/>
              <w:left w:val="nil"/>
              <w:bottom w:val="single" w:color="auto" w:sz="4" w:space="0"/>
              <w:right w:val="single" w:color="auto" w:sz="4" w:space="0"/>
            </w:tcBorders>
            <w:shd w:val="clear" w:color="auto" w:fill="auto"/>
            <w:vAlign w:val="center"/>
          </w:tcPr>
          <w:p w14:paraId="35210E96">
            <w:pPr>
              <w:rPr>
                <w:lang w:eastAsia="zh-CN" w:bidi="sa-IN"/>
              </w:rPr>
            </w:pPr>
            <w:r>
              <w:rPr>
                <w:lang w:eastAsia="zh-CN" w:bidi="sa-IN"/>
              </w:rPr>
              <w:t>　</w:t>
            </w:r>
          </w:p>
        </w:tc>
        <w:tc>
          <w:tcPr>
            <w:tcW w:w="1763" w:type="dxa"/>
            <w:vMerge w:val="continue"/>
            <w:tcBorders>
              <w:left w:val="single" w:color="auto" w:sz="4" w:space="0"/>
              <w:bottom w:val="nil"/>
              <w:right w:val="single" w:color="auto" w:sz="4" w:space="0"/>
            </w:tcBorders>
            <w:shd w:val="clear" w:color="auto" w:fill="auto"/>
            <w:vAlign w:val="center"/>
          </w:tcPr>
          <w:p w14:paraId="21D2AEA5">
            <w:pPr>
              <w:rPr>
                <w:lang w:eastAsia="zh-CN" w:bidi="sa-IN"/>
              </w:rPr>
            </w:pPr>
          </w:p>
        </w:tc>
      </w:tr>
      <w:tr w14:paraId="65D7C422">
        <w:tblPrEx>
          <w:tblCellMar>
            <w:top w:w="0" w:type="dxa"/>
            <w:left w:w="108" w:type="dxa"/>
            <w:bottom w:w="0" w:type="dxa"/>
            <w:right w:w="108" w:type="dxa"/>
          </w:tblCellMar>
        </w:tblPrEx>
        <w:trPr>
          <w:trHeight w:val="690" w:hRule="atLeast"/>
          <w:jc w:val="center"/>
        </w:trPr>
        <w:tc>
          <w:tcPr>
            <w:tcW w:w="1134" w:type="dxa"/>
            <w:vMerge w:val="continue"/>
            <w:tcBorders>
              <w:left w:val="single" w:color="auto" w:sz="4" w:space="0"/>
              <w:bottom w:val="single" w:color="auto" w:sz="4" w:space="0"/>
              <w:right w:val="single" w:color="auto" w:sz="4" w:space="0"/>
            </w:tcBorders>
            <w:shd w:val="clear" w:color="auto" w:fill="auto"/>
            <w:vAlign w:val="center"/>
          </w:tcPr>
          <w:p w14:paraId="044D3ED9">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4B903AFC">
            <w:pPr>
              <w:rPr>
                <w:lang w:bidi="sa-IN"/>
              </w:rPr>
            </w:pPr>
            <w:r>
              <w:rPr>
                <w:lang w:bidi="sa-IN"/>
              </w:rPr>
              <w:t>*4.14</w:t>
            </w:r>
          </w:p>
        </w:tc>
        <w:tc>
          <w:tcPr>
            <w:tcW w:w="9660" w:type="dxa"/>
            <w:tcBorders>
              <w:top w:val="single" w:color="auto" w:sz="4" w:space="0"/>
              <w:left w:val="nil"/>
              <w:bottom w:val="single" w:color="auto" w:sz="4" w:space="0"/>
              <w:right w:val="single" w:color="auto" w:sz="4" w:space="0"/>
            </w:tcBorders>
            <w:shd w:val="clear" w:color="auto" w:fill="auto"/>
            <w:vAlign w:val="center"/>
          </w:tcPr>
          <w:p w14:paraId="36FDD1D4">
            <w:pPr>
              <w:rPr>
                <w:lang w:eastAsia="zh-CN" w:bidi="sa-IN"/>
              </w:rPr>
            </w:pPr>
            <w:r>
              <w:rPr>
                <w:lang w:eastAsia="zh-CN" w:bidi="sa-IN"/>
              </w:rPr>
              <w:t>提取用溶剂需回收的，应当具备溶剂回收设施设备；回收后溶剂的再使用不得对产品造成交叉污染，不得对产品的质量和安全性有不利影响。</w:t>
            </w:r>
          </w:p>
        </w:tc>
        <w:tc>
          <w:tcPr>
            <w:tcW w:w="968" w:type="dxa"/>
            <w:tcBorders>
              <w:top w:val="single" w:color="auto" w:sz="4" w:space="0"/>
              <w:left w:val="nil"/>
              <w:bottom w:val="single" w:color="auto" w:sz="4" w:space="0"/>
              <w:right w:val="single" w:color="auto" w:sz="4" w:space="0"/>
            </w:tcBorders>
            <w:shd w:val="clear" w:color="auto" w:fill="auto"/>
            <w:vAlign w:val="center"/>
          </w:tcPr>
          <w:p w14:paraId="79C530FD">
            <w:pPr>
              <w:rPr>
                <w:lang w:eastAsia="zh-CN" w:bidi="sa-IN"/>
              </w:rPr>
            </w:pPr>
            <w:r>
              <w:rPr>
                <w:lang w:eastAsia="zh-CN" w:bidi="sa-IN"/>
              </w:rPr>
              <w:t>　</w:t>
            </w:r>
          </w:p>
        </w:tc>
        <w:tc>
          <w:tcPr>
            <w:tcW w:w="1763" w:type="dxa"/>
            <w:vMerge w:val="continue"/>
            <w:tcBorders>
              <w:left w:val="single" w:color="auto" w:sz="4" w:space="0"/>
              <w:bottom w:val="single" w:color="auto" w:sz="4" w:space="0"/>
              <w:right w:val="single" w:color="auto" w:sz="4" w:space="0"/>
            </w:tcBorders>
            <w:shd w:val="clear" w:color="auto" w:fill="auto"/>
            <w:vAlign w:val="center"/>
          </w:tcPr>
          <w:p w14:paraId="16EB2E3F">
            <w:pPr>
              <w:rPr>
                <w:lang w:eastAsia="zh-CN" w:bidi="sa-IN"/>
              </w:rPr>
            </w:pPr>
          </w:p>
        </w:tc>
      </w:tr>
      <w:tr w14:paraId="391E76D7">
        <w:tblPrEx>
          <w:tblCellMar>
            <w:top w:w="0" w:type="dxa"/>
            <w:left w:w="108" w:type="dxa"/>
            <w:bottom w:w="0" w:type="dxa"/>
            <w:right w:w="108" w:type="dxa"/>
          </w:tblCellMar>
        </w:tblPrEx>
        <w:trPr>
          <w:trHeight w:val="492" w:hRule="atLeast"/>
          <w:jc w:val="center"/>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746EDD4">
            <w:pPr>
              <w:rPr>
                <w:lang w:bidi="sa-IN"/>
              </w:rPr>
            </w:pPr>
            <w:r>
              <w:rPr>
                <w:lang w:bidi="sa-IN"/>
              </w:rPr>
              <w:t>审查项目</w:t>
            </w:r>
          </w:p>
        </w:tc>
        <w:tc>
          <w:tcPr>
            <w:tcW w:w="1056" w:type="dxa"/>
            <w:tcBorders>
              <w:top w:val="single" w:color="auto" w:sz="4" w:space="0"/>
              <w:left w:val="nil"/>
              <w:bottom w:val="single" w:color="auto" w:sz="4" w:space="0"/>
              <w:right w:val="single" w:color="auto" w:sz="4" w:space="0"/>
            </w:tcBorders>
            <w:shd w:val="clear" w:color="auto" w:fill="auto"/>
            <w:vAlign w:val="center"/>
          </w:tcPr>
          <w:p w14:paraId="7B68E361">
            <w:pPr>
              <w:rPr>
                <w:lang w:bidi="sa-IN"/>
              </w:rPr>
            </w:pPr>
            <w:r>
              <w:rPr>
                <w:lang w:bidi="sa-IN"/>
              </w:rPr>
              <w:t>序号</w:t>
            </w:r>
          </w:p>
        </w:tc>
        <w:tc>
          <w:tcPr>
            <w:tcW w:w="9660" w:type="dxa"/>
            <w:tcBorders>
              <w:top w:val="single" w:color="auto" w:sz="4" w:space="0"/>
              <w:left w:val="nil"/>
              <w:bottom w:val="single" w:color="auto" w:sz="4" w:space="0"/>
              <w:right w:val="single" w:color="auto" w:sz="4" w:space="0"/>
            </w:tcBorders>
            <w:shd w:val="clear" w:color="auto" w:fill="auto"/>
            <w:vAlign w:val="center"/>
          </w:tcPr>
          <w:p w14:paraId="454121EB">
            <w:pPr>
              <w:rPr>
                <w:lang w:bidi="sa-IN"/>
              </w:rPr>
            </w:pPr>
            <w:r>
              <w:rPr>
                <w:lang w:bidi="sa-IN"/>
              </w:rPr>
              <w:t>审查内容</w:t>
            </w:r>
          </w:p>
        </w:tc>
        <w:tc>
          <w:tcPr>
            <w:tcW w:w="968" w:type="dxa"/>
            <w:tcBorders>
              <w:top w:val="single" w:color="auto" w:sz="4" w:space="0"/>
              <w:left w:val="nil"/>
              <w:bottom w:val="single" w:color="auto" w:sz="4" w:space="0"/>
              <w:right w:val="single" w:color="auto" w:sz="4" w:space="0"/>
            </w:tcBorders>
            <w:shd w:val="clear" w:color="auto" w:fill="auto"/>
            <w:vAlign w:val="center"/>
          </w:tcPr>
          <w:p w14:paraId="79C37A73">
            <w:pPr>
              <w:rPr>
                <w:sz w:val="22"/>
                <w:szCs w:val="22"/>
                <w:lang w:bidi="sa-IN"/>
              </w:rPr>
            </w:pPr>
            <w:r>
              <w:rPr>
                <w:rFonts w:hint="eastAsia"/>
                <w:lang w:eastAsia="zh-CN"/>
              </w:rPr>
              <w:t>备注</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40197FA6">
            <w:pPr>
              <w:rPr>
                <w:sz w:val="22"/>
                <w:szCs w:val="22"/>
                <w:lang w:bidi="sa-IN"/>
              </w:rPr>
            </w:pPr>
            <w:r>
              <w:rPr>
                <w:rFonts w:hint="eastAsia"/>
                <w:lang w:eastAsia="zh-CN"/>
              </w:rPr>
              <w:t>现场评审指引</w:t>
            </w:r>
          </w:p>
        </w:tc>
      </w:tr>
      <w:tr w14:paraId="7DDB4DB8">
        <w:tblPrEx>
          <w:tblCellMar>
            <w:top w:w="0" w:type="dxa"/>
            <w:left w:w="108" w:type="dxa"/>
            <w:bottom w:w="0" w:type="dxa"/>
            <w:right w:w="108" w:type="dxa"/>
          </w:tblCellMar>
        </w:tblPrEx>
        <w:trPr>
          <w:trHeight w:val="569" w:hRule="atLeast"/>
          <w:jc w:val="center"/>
        </w:trPr>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20531D">
            <w:pPr>
              <w:rPr>
                <w:lang w:bidi="sa-IN"/>
              </w:rPr>
            </w:pPr>
            <w:r>
              <w:rPr>
                <w:rFonts w:hint="eastAsia" w:ascii="宋体" w:hAnsi="宋体" w:eastAsia="宋体" w:cs="宋体"/>
                <w:lang w:bidi="sa-IN"/>
              </w:rPr>
              <w:t>原料提取物</w:t>
            </w:r>
          </w:p>
        </w:tc>
        <w:tc>
          <w:tcPr>
            <w:tcW w:w="1056" w:type="dxa"/>
            <w:tcBorders>
              <w:top w:val="single" w:color="auto" w:sz="4" w:space="0"/>
              <w:left w:val="nil"/>
              <w:bottom w:val="single" w:color="auto" w:sz="4" w:space="0"/>
              <w:right w:val="single" w:color="auto" w:sz="4" w:space="0"/>
            </w:tcBorders>
            <w:shd w:val="clear" w:color="auto" w:fill="auto"/>
            <w:vAlign w:val="center"/>
          </w:tcPr>
          <w:p w14:paraId="6AE6F3B3">
            <w:pPr>
              <w:rPr>
                <w:lang w:bidi="sa-IN"/>
              </w:rPr>
            </w:pPr>
            <w:r>
              <w:rPr>
                <w:lang w:bidi="sa-IN"/>
              </w:rPr>
              <w:t>4.15</w:t>
            </w:r>
          </w:p>
        </w:tc>
        <w:tc>
          <w:tcPr>
            <w:tcW w:w="9660" w:type="dxa"/>
            <w:tcBorders>
              <w:top w:val="single" w:color="auto" w:sz="4" w:space="0"/>
              <w:left w:val="nil"/>
              <w:bottom w:val="single" w:color="auto" w:sz="4" w:space="0"/>
              <w:right w:val="single" w:color="auto" w:sz="4" w:space="0"/>
            </w:tcBorders>
            <w:shd w:val="clear" w:color="auto" w:fill="auto"/>
            <w:vAlign w:val="center"/>
          </w:tcPr>
          <w:p w14:paraId="5F1F55B6">
            <w:pPr>
              <w:rPr>
                <w:lang w:eastAsia="zh-CN" w:bidi="sa-IN"/>
              </w:rPr>
            </w:pPr>
            <w:r>
              <w:rPr>
                <w:lang w:eastAsia="zh-CN" w:bidi="sa-IN"/>
              </w:rPr>
              <w:t>每批产品应当进行提取率检查，如有显著差异，必须查明原因，在确认无质量安全隐患后，方可按正常产品处理。</w:t>
            </w:r>
          </w:p>
        </w:tc>
        <w:tc>
          <w:tcPr>
            <w:tcW w:w="968" w:type="dxa"/>
            <w:tcBorders>
              <w:top w:val="single" w:color="auto" w:sz="4" w:space="0"/>
              <w:left w:val="nil"/>
              <w:bottom w:val="single" w:color="auto" w:sz="4" w:space="0"/>
              <w:right w:val="single" w:color="auto" w:sz="4" w:space="0"/>
            </w:tcBorders>
            <w:shd w:val="clear" w:color="auto" w:fill="auto"/>
            <w:vAlign w:val="center"/>
          </w:tcPr>
          <w:p w14:paraId="119346D4">
            <w:pPr>
              <w:rPr>
                <w:lang w:eastAsia="zh-CN" w:bidi="sa-IN"/>
              </w:rPr>
            </w:pPr>
            <w:r>
              <w:rPr>
                <w:lang w:eastAsia="zh-CN" w:bidi="sa-IN"/>
              </w:rPr>
              <w:t>　</w:t>
            </w:r>
          </w:p>
        </w:tc>
        <w:tc>
          <w:tcPr>
            <w:tcW w:w="17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3B2F51">
            <w:pPr>
              <w:rPr>
                <w:sz w:val="22"/>
                <w:szCs w:val="22"/>
                <w:lang w:eastAsia="zh-CN" w:bidi="sa-IN"/>
              </w:rPr>
            </w:pPr>
            <w:r>
              <w:rPr>
                <w:rFonts w:hint="eastAsia" w:eastAsiaTheme="minorEastAsia"/>
                <w:lang w:eastAsia="zh-CN" w:bidi="sa-IN"/>
              </w:rPr>
              <w:t>查企业是否</w:t>
            </w:r>
            <w:r>
              <w:rPr>
                <w:rFonts w:hint="eastAsia"/>
                <w:lang w:eastAsia="zh-CN" w:bidi="sa-IN"/>
              </w:rPr>
              <w:t>具备原料提取物的检验设备和检验能力，查原料提取物的生产记录、检验记录、销售记录等各项记录。</w:t>
            </w:r>
          </w:p>
        </w:tc>
      </w:tr>
      <w:tr w14:paraId="31395ADE">
        <w:tblPrEx>
          <w:tblCellMar>
            <w:top w:w="0" w:type="dxa"/>
            <w:left w:w="108" w:type="dxa"/>
            <w:bottom w:w="0" w:type="dxa"/>
            <w:right w:w="108" w:type="dxa"/>
          </w:tblCellMar>
        </w:tblPrEx>
        <w:trPr>
          <w:trHeight w:val="723" w:hRule="atLeast"/>
          <w:jc w:val="center"/>
        </w:trPr>
        <w:tc>
          <w:tcPr>
            <w:tcW w:w="1134" w:type="dxa"/>
            <w:vMerge w:val="continue"/>
            <w:tcBorders>
              <w:top w:val="single" w:color="auto" w:sz="4" w:space="0"/>
              <w:left w:val="single" w:color="auto" w:sz="4" w:space="0"/>
              <w:right w:val="single" w:color="auto" w:sz="4" w:space="0"/>
            </w:tcBorders>
            <w:shd w:val="clear" w:color="auto" w:fill="auto"/>
            <w:vAlign w:val="center"/>
          </w:tcPr>
          <w:p w14:paraId="0C0F6293">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603FAF25">
            <w:pPr>
              <w:rPr>
                <w:lang w:bidi="sa-IN"/>
              </w:rPr>
            </w:pPr>
            <w:r>
              <w:rPr>
                <w:lang w:bidi="sa-IN"/>
              </w:rPr>
              <w:t>*4.16</w:t>
            </w:r>
          </w:p>
        </w:tc>
        <w:tc>
          <w:tcPr>
            <w:tcW w:w="9660" w:type="dxa"/>
            <w:tcBorders>
              <w:top w:val="single" w:color="auto" w:sz="4" w:space="0"/>
              <w:left w:val="nil"/>
              <w:bottom w:val="single" w:color="auto" w:sz="4" w:space="0"/>
              <w:right w:val="single" w:color="auto" w:sz="4" w:space="0"/>
            </w:tcBorders>
            <w:shd w:val="clear" w:color="auto" w:fill="auto"/>
            <w:vAlign w:val="center"/>
          </w:tcPr>
          <w:p w14:paraId="130168BE">
            <w:pPr>
              <w:rPr>
                <w:lang w:eastAsia="zh-CN" w:bidi="sa-IN"/>
              </w:rPr>
            </w:pPr>
            <w:r>
              <w:rPr>
                <w:lang w:eastAsia="zh-CN" w:bidi="sa-IN"/>
              </w:rPr>
              <w:t>申请原料提取物生产许可的企业应当具备原料提取物的检验设备和检验能力，能够按照提取物质量标准或技术要求进行全项目检验，并按照全检量的要求进行提取物留样。</w:t>
            </w:r>
          </w:p>
        </w:tc>
        <w:tc>
          <w:tcPr>
            <w:tcW w:w="968" w:type="dxa"/>
            <w:tcBorders>
              <w:top w:val="single" w:color="auto" w:sz="4" w:space="0"/>
              <w:left w:val="nil"/>
              <w:bottom w:val="single" w:color="auto" w:sz="4" w:space="0"/>
              <w:right w:val="single" w:color="auto" w:sz="4" w:space="0"/>
            </w:tcBorders>
            <w:shd w:val="clear" w:color="auto" w:fill="auto"/>
            <w:vAlign w:val="center"/>
          </w:tcPr>
          <w:p w14:paraId="0D8B355B">
            <w:pPr>
              <w:rPr>
                <w:lang w:eastAsia="zh-CN" w:bidi="sa-IN"/>
              </w:rPr>
            </w:pPr>
            <w:r>
              <w:rPr>
                <w:lang w:eastAsia="zh-CN" w:bidi="sa-IN"/>
              </w:rPr>
              <w:t>　</w:t>
            </w:r>
          </w:p>
        </w:tc>
        <w:tc>
          <w:tcPr>
            <w:tcW w:w="1763" w:type="dxa"/>
            <w:vMerge w:val="continue"/>
            <w:tcBorders>
              <w:top w:val="single" w:color="auto" w:sz="4" w:space="0"/>
              <w:left w:val="single" w:color="auto" w:sz="4" w:space="0"/>
              <w:right w:val="single" w:color="auto" w:sz="4" w:space="0"/>
            </w:tcBorders>
            <w:shd w:val="clear" w:color="auto" w:fill="auto"/>
            <w:vAlign w:val="center"/>
          </w:tcPr>
          <w:p w14:paraId="3D79D703">
            <w:pPr>
              <w:rPr>
                <w:lang w:eastAsia="zh-CN" w:bidi="sa-IN"/>
              </w:rPr>
            </w:pPr>
          </w:p>
        </w:tc>
      </w:tr>
      <w:tr w14:paraId="1068F073">
        <w:tblPrEx>
          <w:tblCellMar>
            <w:top w:w="0" w:type="dxa"/>
            <w:left w:w="108" w:type="dxa"/>
            <w:bottom w:w="0" w:type="dxa"/>
            <w:right w:w="108" w:type="dxa"/>
          </w:tblCellMar>
        </w:tblPrEx>
        <w:trPr>
          <w:trHeight w:val="336" w:hRule="atLeast"/>
          <w:jc w:val="center"/>
        </w:trPr>
        <w:tc>
          <w:tcPr>
            <w:tcW w:w="1134" w:type="dxa"/>
            <w:vMerge w:val="continue"/>
            <w:tcBorders>
              <w:left w:val="single" w:color="auto" w:sz="4" w:space="0"/>
              <w:right w:val="single" w:color="auto" w:sz="4" w:space="0"/>
            </w:tcBorders>
            <w:shd w:val="clear" w:color="auto" w:fill="auto"/>
            <w:vAlign w:val="center"/>
          </w:tcPr>
          <w:p w14:paraId="4541237B">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602D8D3E">
            <w:pPr>
              <w:rPr>
                <w:lang w:bidi="sa-IN"/>
              </w:rPr>
            </w:pPr>
            <w:r>
              <w:rPr>
                <w:lang w:bidi="sa-IN"/>
              </w:rPr>
              <w:t>4.17</w:t>
            </w:r>
          </w:p>
        </w:tc>
        <w:tc>
          <w:tcPr>
            <w:tcW w:w="9660" w:type="dxa"/>
            <w:tcBorders>
              <w:top w:val="nil"/>
              <w:left w:val="nil"/>
              <w:bottom w:val="single" w:color="auto" w:sz="4" w:space="0"/>
              <w:right w:val="single" w:color="auto" w:sz="4" w:space="0"/>
            </w:tcBorders>
            <w:shd w:val="clear" w:color="auto" w:fill="auto"/>
            <w:vAlign w:val="center"/>
          </w:tcPr>
          <w:p w14:paraId="46EDAA27">
            <w:pPr>
              <w:rPr>
                <w:lang w:eastAsia="zh-CN" w:bidi="sa-IN"/>
              </w:rPr>
            </w:pPr>
            <w:r>
              <w:rPr>
                <w:lang w:eastAsia="zh-CN" w:bidi="sa-IN"/>
              </w:rPr>
              <w:t>企业应当对提取物进行稳定性考察，确定原料提取物有效期，有效期一般不超过两年。</w:t>
            </w:r>
          </w:p>
        </w:tc>
        <w:tc>
          <w:tcPr>
            <w:tcW w:w="968" w:type="dxa"/>
            <w:tcBorders>
              <w:top w:val="nil"/>
              <w:left w:val="nil"/>
              <w:bottom w:val="single" w:color="auto" w:sz="4" w:space="0"/>
              <w:right w:val="single" w:color="auto" w:sz="4" w:space="0"/>
            </w:tcBorders>
            <w:shd w:val="clear" w:color="auto" w:fill="auto"/>
            <w:vAlign w:val="center"/>
          </w:tcPr>
          <w:p w14:paraId="4BE3E2BD">
            <w:pPr>
              <w:rPr>
                <w:lang w:eastAsia="zh-CN" w:bidi="sa-IN"/>
              </w:rPr>
            </w:pPr>
            <w:r>
              <w:rPr>
                <w:lang w:eastAsia="zh-CN" w:bidi="sa-IN"/>
              </w:rPr>
              <w:t>　</w:t>
            </w:r>
          </w:p>
        </w:tc>
        <w:tc>
          <w:tcPr>
            <w:tcW w:w="1763" w:type="dxa"/>
            <w:vMerge w:val="continue"/>
            <w:tcBorders>
              <w:left w:val="single" w:color="auto" w:sz="4" w:space="0"/>
              <w:right w:val="single" w:color="auto" w:sz="4" w:space="0"/>
            </w:tcBorders>
            <w:shd w:val="clear" w:color="auto" w:fill="auto"/>
            <w:vAlign w:val="center"/>
          </w:tcPr>
          <w:p w14:paraId="19B996DB">
            <w:pPr>
              <w:rPr>
                <w:lang w:eastAsia="zh-CN" w:bidi="sa-IN"/>
              </w:rPr>
            </w:pPr>
          </w:p>
        </w:tc>
      </w:tr>
      <w:tr w14:paraId="418C1755">
        <w:tblPrEx>
          <w:tblCellMar>
            <w:top w:w="0" w:type="dxa"/>
            <w:left w:w="108" w:type="dxa"/>
            <w:bottom w:w="0" w:type="dxa"/>
            <w:right w:w="108" w:type="dxa"/>
          </w:tblCellMar>
        </w:tblPrEx>
        <w:trPr>
          <w:trHeight w:val="701" w:hRule="atLeast"/>
          <w:jc w:val="center"/>
        </w:trPr>
        <w:tc>
          <w:tcPr>
            <w:tcW w:w="1134" w:type="dxa"/>
            <w:vMerge w:val="continue"/>
            <w:tcBorders>
              <w:left w:val="single" w:color="auto" w:sz="4" w:space="0"/>
              <w:bottom w:val="single" w:color="auto" w:sz="4" w:space="0"/>
              <w:right w:val="single" w:color="auto" w:sz="4" w:space="0"/>
            </w:tcBorders>
            <w:shd w:val="clear" w:color="auto" w:fill="auto"/>
            <w:vAlign w:val="center"/>
          </w:tcPr>
          <w:p w14:paraId="437B16FB">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5212062F">
            <w:pPr>
              <w:rPr>
                <w:lang w:bidi="sa-IN"/>
              </w:rPr>
            </w:pPr>
            <w:r>
              <w:rPr>
                <w:lang w:bidi="sa-IN"/>
              </w:rPr>
              <w:t>4.18</w:t>
            </w:r>
          </w:p>
        </w:tc>
        <w:tc>
          <w:tcPr>
            <w:tcW w:w="9660" w:type="dxa"/>
            <w:tcBorders>
              <w:top w:val="nil"/>
              <w:left w:val="nil"/>
              <w:bottom w:val="single" w:color="auto" w:sz="4" w:space="0"/>
              <w:right w:val="single" w:color="auto" w:sz="4" w:space="0"/>
            </w:tcBorders>
            <w:shd w:val="clear" w:color="auto" w:fill="auto"/>
            <w:vAlign w:val="center"/>
          </w:tcPr>
          <w:p w14:paraId="428E7846">
            <w:pPr>
              <w:rPr>
                <w:lang w:eastAsia="zh-CN" w:bidi="sa-IN"/>
              </w:rPr>
            </w:pPr>
            <w:r>
              <w:rPr>
                <w:lang w:eastAsia="zh-CN" w:bidi="sa-IN"/>
              </w:rPr>
              <w:t>原料提取物的生产记录、检验记录、销售记录等各项记录的保存期限不得少于5年；提取物留样至少保存至保质期后一年，保存期限不得少于两年。</w:t>
            </w:r>
          </w:p>
        </w:tc>
        <w:tc>
          <w:tcPr>
            <w:tcW w:w="968" w:type="dxa"/>
            <w:tcBorders>
              <w:top w:val="nil"/>
              <w:left w:val="nil"/>
              <w:bottom w:val="single" w:color="auto" w:sz="4" w:space="0"/>
              <w:right w:val="single" w:color="auto" w:sz="4" w:space="0"/>
            </w:tcBorders>
            <w:shd w:val="clear" w:color="auto" w:fill="auto"/>
            <w:vAlign w:val="center"/>
          </w:tcPr>
          <w:p w14:paraId="0AA6688C">
            <w:pPr>
              <w:rPr>
                <w:lang w:eastAsia="zh-CN" w:bidi="sa-IN"/>
              </w:rPr>
            </w:pPr>
            <w:r>
              <w:rPr>
                <w:lang w:eastAsia="zh-CN" w:bidi="sa-IN"/>
              </w:rPr>
              <w:t>　</w:t>
            </w:r>
          </w:p>
        </w:tc>
        <w:tc>
          <w:tcPr>
            <w:tcW w:w="1763" w:type="dxa"/>
            <w:vMerge w:val="continue"/>
            <w:tcBorders>
              <w:left w:val="single" w:color="auto" w:sz="4" w:space="0"/>
              <w:bottom w:val="single" w:color="auto" w:sz="4" w:space="0"/>
              <w:right w:val="single" w:color="auto" w:sz="4" w:space="0"/>
            </w:tcBorders>
            <w:shd w:val="clear" w:color="auto" w:fill="auto"/>
            <w:vAlign w:val="center"/>
          </w:tcPr>
          <w:p w14:paraId="53951DBE">
            <w:pPr>
              <w:rPr>
                <w:lang w:eastAsia="zh-CN" w:bidi="sa-IN"/>
              </w:rPr>
            </w:pPr>
          </w:p>
        </w:tc>
      </w:tr>
      <w:tr w14:paraId="76E563E7">
        <w:tblPrEx>
          <w:tblCellMar>
            <w:top w:w="0" w:type="dxa"/>
            <w:left w:w="108" w:type="dxa"/>
            <w:bottom w:w="0" w:type="dxa"/>
            <w:right w:w="108" w:type="dxa"/>
          </w:tblCellMar>
        </w:tblPrEx>
        <w:trPr>
          <w:trHeight w:val="555" w:hRule="atLeast"/>
          <w:jc w:val="center"/>
        </w:trPr>
        <w:tc>
          <w:tcPr>
            <w:tcW w:w="1134" w:type="dxa"/>
            <w:vMerge w:val="restart"/>
            <w:tcBorders>
              <w:top w:val="nil"/>
              <w:left w:val="single" w:color="auto" w:sz="4" w:space="0"/>
              <w:right w:val="single" w:color="auto" w:sz="4" w:space="0"/>
            </w:tcBorders>
            <w:shd w:val="clear" w:color="auto" w:fill="auto"/>
            <w:vAlign w:val="center"/>
          </w:tcPr>
          <w:p w14:paraId="7E4481FC">
            <w:pPr>
              <w:rPr>
                <w:lang w:bidi="sa-IN"/>
              </w:rPr>
            </w:pPr>
            <w:r>
              <w:rPr>
                <w:rFonts w:hint="eastAsia" w:ascii="宋体" w:hAnsi="宋体" w:eastAsia="宋体" w:cs="宋体"/>
                <w:lang w:bidi="sa-IN"/>
              </w:rPr>
              <w:t>复配营养素</w:t>
            </w:r>
          </w:p>
        </w:tc>
        <w:tc>
          <w:tcPr>
            <w:tcW w:w="1056" w:type="dxa"/>
            <w:tcBorders>
              <w:top w:val="nil"/>
              <w:left w:val="nil"/>
              <w:bottom w:val="single" w:color="auto" w:sz="4" w:space="0"/>
              <w:right w:val="single" w:color="auto" w:sz="4" w:space="0"/>
            </w:tcBorders>
            <w:shd w:val="clear" w:color="auto" w:fill="auto"/>
            <w:vAlign w:val="center"/>
          </w:tcPr>
          <w:p w14:paraId="0EB1E54C">
            <w:pPr>
              <w:rPr>
                <w:lang w:bidi="sa-IN"/>
              </w:rPr>
            </w:pPr>
            <w:r>
              <w:rPr>
                <w:lang w:bidi="sa-IN"/>
              </w:rPr>
              <w:t>4.19</w:t>
            </w:r>
          </w:p>
        </w:tc>
        <w:tc>
          <w:tcPr>
            <w:tcW w:w="9660" w:type="dxa"/>
            <w:tcBorders>
              <w:top w:val="nil"/>
              <w:left w:val="nil"/>
              <w:bottom w:val="single" w:color="auto" w:sz="4" w:space="0"/>
              <w:right w:val="single" w:color="auto" w:sz="4" w:space="0"/>
            </w:tcBorders>
            <w:shd w:val="clear" w:color="auto" w:fill="auto"/>
            <w:vAlign w:val="center"/>
          </w:tcPr>
          <w:p w14:paraId="7713EA23">
            <w:pPr>
              <w:rPr>
                <w:lang w:eastAsia="zh-CN" w:bidi="sa-IN"/>
              </w:rPr>
            </w:pPr>
            <w:r>
              <w:rPr>
                <w:lang w:eastAsia="zh-CN" w:bidi="sa-IN"/>
              </w:rPr>
              <w:t>企业应按照生产工艺和质量标准的要求，制定复配营养素的产品技术标准、工艺操作规程以及各项质量管理制度。</w:t>
            </w:r>
          </w:p>
        </w:tc>
        <w:tc>
          <w:tcPr>
            <w:tcW w:w="968" w:type="dxa"/>
            <w:tcBorders>
              <w:top w:val="nil"/>
              <w:left w:val="nil"/>
              <w:bottom w:val="single" w:color="auto" w:sz="4" w:space="0"/>
              <w:right w:val="single" w:color="auto" w:sz="4" w:space="0"/>
            </w:tcBorders>
            <w:shd w:val="clear" w:color="auto" w:fill="auto"/>
            <w:vAlign w:val="center"/>
          </w:tcPr>
          <w:p w14:paraId="684C188C">
            <w:pPr>
              <w:rPr>
                <w:lang w:eastAsia="zh-CN" w:bidi="sa-IN"/>
              </w:rPr>
            </w:pPr>
            <w:r>
              <w:rPr>
                <w:lang w:eastAsia="zh-CN" w:bidi="sa-IN"/>
              </w:rPr>
              <w:t>　</w:t>
            </w:r>
          </w:p>
        </w:tc>
        <w:tc>
          <w:tcPr>
            <w:tcW w:w="1763" w:type="dxa"/>
            <w:vMerge w:val="restart"/>
            <w:tcBorders>
              <w:top w:val="nil"/>
              <w:left w:val="nil"/>
              <w:right w:val="single" w:color="auto" w:sz="4" w:space="0"/>
            </w:tcBorders>
            <w:shd w:val="clear" w:color="auto" w:fill="auto"/>
            <w:vAlign w:val="center"/>
          </w:tcPr>
          <w:p w14:paraId="6A5BBCDA">
            <w:pPr>
              <w:rPr>
                <w:lang w:eastAsia="zh-CN" w:bidi="sa-IN"/>
              </w:rPr>
            </w:pPr>
            <w:r>
              <w:rPr>
                <w:sz w:val="22"/>
                <w:szCs w:val="22"/>
                <w:lang w:eastAsia="zh-CN" w:bidi="sa-IN"/>
              </w:rPr>
              <w:t>　</w:t>
            </w:r>
            <w:r>
              <w:rPr>
                <w:rFonts w:hint="eastAsia"/>
                <w:lang w:eastAsia="zh-CN" w:bidi="sa-IN"/>
              </w:rPr>
              <w:t>查工艺流程及质量管理制度，产品配方是否合理，是否具备自动称量、自动投料、自动混合等生产设备，检测记录是否能在线追溯，查批生产记录制度。</w:t>
            </w:r>
          </w:p>
          <w:p w14:paraId="15523B36">
            <w:pPr>
              <w:rPr>
                <w:lang w:eastAsia="zh-CN" w:bidi="sa-IN"/>
              </w:rPr>
            </w:pPr>
          </w:p>
          <w:p w14:paraId="7DD1685F">
            <w:pPr>
              <w:rPr>
                <w:lang w:eastAsia="zh-CN" w:bidi="sa-IN"/>
              </w:rPr>
            </w:pPr>
            <w:r>
              <w:rPr>
                <w:lang w:eastAsia="zh-CN" w:bidi="sa-IN"/>
              </w:rPr>
              <w:t>　</w:t>
            </w:r>
          </w:p>
          <w:p w14:paraId="3963CEFD">
            <w:pPr>
              <w:rPr>
                <w:lang w:eastAsia="zh-CN" w:bidi="sa-IN"/>
              </w:rPr>
            </w:pPr>
            <w:r>
              <w:rPr>
                <w:lang w:eastAsia="zh-CN" w:bidi="sa-IN"/>
              </w:rPr>
              <w:t>　</w:t>
            </w:r>
          </w:p>
          <w:p w14:paraId="0EC083E1">
            <w:pPr>
              <w:rPr>
                <w:lang w:eastAsia="zh-CN" w:bidi="sa-IN"/>
              </w:rPr>
            </w:pPr>
            <w:r>
              <w:rPr>
                <w:lang w:eastAsia="zh-CN" w:bidi="sa-IN"/>
              </w:rPr>
              <w:t>　</w:t>
            </w:r>
          </w:p>
          <w:p w14:paraId="7EFE0494">
            <w:pPr>
              <w:rPr>
                <w:lang w:eastAsia="zh-CN" w:bidi="sa-IN"/>
              </w:rPr>
            </w:pPr>
            <w:r>
              <w:rPr>
                <w:lang w:eastAsia="zh-CN" w:bidi="sa-IN"/>
              </w:rPr>
              <w:t>　</w:t>
            </w:r>
          </w:p>
        </w:tc>
      </w:tr>
      <w:tr w14:paraId="26D1BBD3">
        <w:tblPrEx>
          <w:tblCellMar>
            <w:top w:w="0" w:type="dxa"/>
            <w:left w:w="108" w:type="dxa"/>
            <w:bottom w:w="0" w:type="dxa"/>
            <w:right w:w="108" w:type="dxa"/>
          </w:tblCellMar>
        </w:tblPrEx>
        <w:trPr>
          <w:trHeight w:val="974" w:hRule="atLeast"/>
          <w:jc w:val="center"/>
        </w:trPr>
        <w:tc>
          <w:tcPr>
            <w:tcW w:w="1134" w:type="dxa"/>
            <w:vMerge w:val="continue"/>
            <w:tcBorders>
              <w:left w:val="single" w:color="auto" w:sz="4" w:space="0"/>
              <w:right w:val="single" w:color="auto" w:sz="4" w:space="0"/>
            </w:tcBorders>
            <w:shd w:val="clear" w:color="auto" w:fill="auto"/>
            <w:vAlign w:val="center"/>
          </w:tcPr>
          <w:p w14:paraId="1D959A15">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606A2336">
            <w:pPr>
              <w:rPr>
                <w:lang w:bidi="sa-IN"/>
              </w:rPr>
            </w:pPr>
            <w:r>
              <w:rPr>
                <w:lang w:bidi="sa-IN"/>
              </w:rPr>
              <w:t>*4.20</w:t>
            </w:r>
          </w:p>
        </w:tc>
        <w:tc>
          <w:tcPr>
            <w:tcW w:w="9660" w:type="dxa"/>
            <w:tcBorders>
              <w:top w:val="nil"/>
              <w:left w:val="nil"/>
              <w:bottom w:val="single" w:color="auto" w:sz="4" w:space="0"/>
              <w:right w:val="single" w:color="auto" w:sz="4" w:space="0"/>
            </w:tcBorders>
            <w:shd w:val="clear" w:color="auto" w:fill="auto"/>
            <w:vAlign w:val="center"/>
          </w:tcPr>
          <w:p w14:paraId="344B63CE">
            <w:pPr>
              <w:rPr>
                <w:lang w:eastAsia="zh-CN" w:bidi="sa-IN"/>
              </w:rPr>
            </w:pPr>
            <w:r>
              <w:rPr>
                <w:lang w:eastAsia="zh-CN" w:bidi="sa-IN"/>
              </w:rPr>
              <w:t xml:space="preserve">企业应按照保健食品产品配方要求，采用物理方法将两种或两种以上单一维生素、矿物质营养素补充剂，通过添加或不添加辅料，经均匀混合制成复配营养素。复配营养素在生产过程中不应发生化学反应，不应产生新的化合物。 </w:t>
            </w:r>
          </w:p>
        </w:tc>
        <w:tc>
          <w:tcPr>
            <w:tcW w:w="968" w:type="dxa"/>
            <w:tcBorders>
              <w:top w:val="nil"/>
              <w:left w:val="nil"/>
              <w:bottom w:val="single" w:color="auto" w:sz="4" w:space="0"/>
              <w:right w:val="single" w:color="auto" w:sz="4" w:space="0"/>
            </w:tcBorders>
            <w:shd w:val="clear" w:color="auto" w:fill="auto"/>
            <w:vAlign w:val="center"/>
          </w:tcPr>
          <w:p w14:paraId="660A159C">
            <w:pPr>
              <w:rPr>
                <w:lang w:eastAsia="zh-CN" w:bidi="sa-IN"/>
              </w:rPr>
            </w:pPr>
            <w:r>
              <w:rPr>
                <w:lang w:eastAsia="zh-CN" w:bidi="sa-IN"/>
              </w:rPr>
              <w:t>　</w:t>
            </w:r>
          </w:p>
        </w:tc>
        <w:tc>
          <w:tcPr>
            <w:tcW w:w="1763" w:type="dxa"/>
            <w:vMerge w:val="continue"/>
            <w:tcBorders>
              <w:left w:val="nil"/>
              <w:right w:val="single" w:color="auto" w:sz="4" w:space="0"/>
            </w:tcBorders>
            <w:shd w:val="clear" w:color="auto" w:fill="auto"/>
            <w:vAlign w:val="center"/>
          </w:tcPr>
          <w:p w14:paraId="1F0D2DAB">
            <w:pPr>
              <w:rPr>
                <w:lang w:eastAsia="zh-CN" w:bidi="sa-IN"/>
              </w:rPr>
            </w:pPr>
          </w:p>
        </w:tc>
      </w:tr>
      <w:tr w14:paraId="515A62E5">
        <w:tblPrEx>
          <w:tblCellMar>
            <w:top w:w="0" w:type="dxa"/>
            <w:left w:w="108" w:type="dxa"/>
            <w:bottom w:w="0" w:type="dxa"/>
            <w:right w:w="108" w:type="dxa"/>
          </w:tblCellMar>
        </w:tblPrEx>
        <w:trPr>
          <w:trHeight w:val="2220" w:hRule="atLeast"/>
          <w:jc w:val="center"/>
        </w:trPr>
        <w:tc>
          <w:tcPr>
            <w:tcW w:w="1134" w:type="dxa"/>
            <w:vMerge w:val="continue"/>
            <w:tcBorders>
              <w:left w:val="single" w:color="auto" w:sz="4" w:space="0"/>
              <w:right w:val="single" w:color="auto" w:sz="4" w:space="0"/>
            </w:tcBorders>
            <w:shd w:val="clear" w:color="auto" w:fill="auto"/>
            <w:vAlign w:val="center"/>
          </w:tcPr>
          <w:p w14:paraId="7BE115D7">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30F3F555">
            <w:pPr>
              <w:rPr>
                <w:lang w:bidi="sa-IN"/>
              </w:rPr>
            </w:pPr>
            <w:r>
              <w:rPr>
                <w:lang w:bidi="sa-IN"/>
              </w:rPr>
              <w:t>**4.21</w:t>
            </w:r>
          </w:p>
        </w:tc>
        <w:tc>
          <w:tcPr>
            <w:tcW w:w="9660" w:type="dxa"/>
            <w:tcBorders>
              <w:top w:val="nil"/>
              <w:left w:val="nil"/>
              <w:bottom w:val="single" w:color="auto" w:sz="4" w:space="0"/>
              <w:right w:val="single" w:color="auto" w:sz="4" w:space="0"/>
            </w:tcBorders>
            <w:shd w:val="clear" w:color="auto" w:fill="auto"/>
            <w:vAlign w:val="center"/>
          </w:tcPr>
          <w:p w14:paraId="6B5809B8">
            <w:pPr>
              <w:rPr>
                <w:lang w:eastAsia="zh-CN" w:bidi="sa-IN"/>
              </w:rPr>
            </w:pPr>
            <w:r>
              <w:rPr>
                <w:lang w:eastAsia="zh-CN" w:bidi="sa-IN"/>
              </w:rPr>
              <w:t>企业应具备自动称量、自动投料、自动混合等生产设施设备，并能够进行实时检测和生产过程记录，保证产品的均匀混合和在线追溯。</w:t>
            </w:r>
          </w:p>
        </w:tc>
        <w:tc>
          <w:tcPr>
            <w:tcW w:w="968" w:type="dxa"/>
            <w:tcBorders>
              <w:top w:val="nil"/>
              <w:left w:val="nil"/>
              <w:bottom w:val="single" w:color="auto" w:sz="4" w:space="0"/>
              <w:right w:val="single" w:color="auto" w:sz="4" w:space="0"/>
            </w:tcBorders>
            <w:shd w:val="clear" w:color="auto" w:fill="auto"/>
            <w:vAlign w:val="center"/>
          </w:tcPr>
          <w:p w14:paraId="55ED3876">
            <w:pPr>
              <w:rPr>
                <w:lang w:eastAsia="zh-CN" w:bidi="sa-IN"/>
              </w:rPr>
            </w:pPr>
            <w:r>
              <w:rPr>
                <w:rFonts w:hint="eastAsia"/>
                <w:lang w:eastAsia="zh-CN" w:bidi="sa-IN"/>
              </w:rPr>
              <w:t>若此项不符合要求，审查结论为直接判为不合格。　</w:t>
            </w:r>
          </w:p>
        </w:tc>
        <w:tc>
          <w:tcPr>
            <w:tcW w:w="1763" w:type="dxa"/>
            <w:vMerge w:val="continue"/>
            <w:tcBorders>
              <w:left w:val="nil"/>
              <w:right w:val="single" w:color="auto" w:sz="4" w:space="0"/>
            </w:tcBorders>
            <w:shd w:val="clear" w:color="auto" w:fill="auto"/>
            <w:vAlign w:val="center"/>
          </w:tcPr>
          <w:p w14:paraId="0724B1F6">
            <w:pPr>
              <w:rPr>
                <w:lang w:eastAsia="zh-CN" w:bidi="sa-IN"/>
              </w:rPr>
            </w:pPr>
          </w:p>
        </w:tc>
      </w:tr>
      <w:tr w14:paraId="6B5B910C">
        <w:tblPrEx>
          <w:tblCellMar>
            <w:top w:w="0" w:type="dxa"/>
            <w:left w:w="108" w:type="dxa"/>
            <w:bottom w:w="0" w:type="dxa"/>
            <w:right w:w="108" w:type="dxa"/>
          </w:tblCellMar>
        </w:tblPrEx>
        <w:trPr>
          <w:trHeight w:val="1028" w:hRule="atLeast"/>
          <w:jc w:val="center"/>
        </w:trPr>
        <w:tc>
          <w:tcPr>
            <w:tcW w:w="1134" w:type="dxa"/>
            <w:vMerge w:val="continue"/>
            <w:tcBorders>
              <w:left w:val="single" w:color="auto" w:sz="4" w:space="0"/>
              <w:right w:val="single" w:color="auto" w:sz="4" w:space="0"/>
            </w:tcBorders>
            <w:shd w:val="clear" w:color="auto" w:fill="auto"/>
            <w:vAlign w:val="center"/>
          </w:tcPr>
          <w:p w14:paraId="69DFE1F2">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40F15F96">
            <w:pPr>
              <w:rPr>
                <w:lang w:bidi="sa-IN"/>
              </w:rPr>
            </w:pPr>
            <w:r>
              <w:rPr>
                <w:lang w:bidi="sa-IN"/>
              </w:rPr>
              <w:t>*4.22</w:t>
            </w:r>
          </w:p>
        </w:tc>
        <w:tc>
          <w:tcPr>
            <w:tcW w:w="9660" w:type="dxa"/>
            <w:tcBorders>
              <w:top w:val="single" w:color="auto" w:sz="4" w:space="0"/>
              <w:left w:val="nil"/>
              <w:bottom w:val="single" w:color="auto" w:sz="4" w:space="0"/>
              <w:right w:val="single" w:color="auto" w:sz="4" w:space="0"/>
            </w:tcBorders>
            <w:shd w:val="clear" w:color="auto" w:fill="auto"/>
            <w:vAlign w:val="center"/>
          </w:tcPr>
          <w:p w14:paraId="216A87A2">
            <w:pPr>
              <w:rPr>
                <w:lang w:eastAsia="zh-CN" w:bidi="sa-IN"/>
              </w:rPr>
            </w:pPr>
            <w:r>
              <w:rPr>
                <w:lang w:eastAsia="zh-CN" w:bidi="sa-IN"/>
              </w:rPr>
              <w:t>复配营养素的生产过程应在密闭设备内完成，并采用有效的防尘捕尘设备，生产环境洁净级别应与保健食品生产的洁净级别相适应。</w:t>
            </w:r>
          </w:p>
        </w:tc>
        <w:tc>
          <w:tcPr>
            <w:tcW w:w="968" w:type="dxa"/>
            <w:tcBorders>
              <w:top w:val="single" w:color="auto" w:sz="4" w:space="0"/>
              <w:left w:val="nil"/>
              <w:bottom w:val="single" w:color="auto" w:sz="4" w:space="0"/>
              <w:right w:val="single" w:color="auto" w:sz="4" w:space="0"/>
            </w:tcBorders>
            <w:shd w:val="clear" w:color="auto" w:fill="auto"/>
            <w:vAlign w:val="center"/>
          </w:tcPr>
          <w:p w14:paraId="2689FE87">
            <w:pPr>
              <w:rPr>
                <w:lang w:eastAsia="zh-CN" w:bidi="sa-IN"/>
              </w:rPr>
            </w:pPr>
            <w:r>
              <w:rPr>
                <w:lang w:eastAsia="zh-CN" w:bidi="sa-IN"/>
              </w:rPr>
              <w:t>　</w:t>
            </w:r>
          </w:p>
        </w:tc>
        <w:tc>
          <w:tcPr>
            <w:tcW w:w="1763" w:type="dxa"/>
            <w:vMerge w:val="continue"/>
            <w:tcBorders>
              <w:left w:val="nil"/>
              <w:bottom w:val="nil"/>
              <w:right w:val="single" w:color="auto" w:sz="4" w:space="0"/>
            </w:tcBorders>
            <w:shd w:val="clear" w:color="auto" w:fill="auto"/>
            <w:vAlign w:val="center"/>
          </w:tcPr>
          <w:p w14:paraId="74EBA405">
            <w:pPr>
              <w:rPr>
                <w:lang w:eastAsia="zh-CN" w:bidi="sa-IN"/>
              </w:rPr>
            </w:pPr>
          </w:p>
        </w:tc>
      </w:tr>
      <w:tr w14:paraId="7E85E94E">
        <w:tblPrEx>
          <w:tblCellMar>
            <w:top w:w="0" w:type="dxa"/>
            <w:left w:w="108" w:type="dxa"/>
            <w:bottom w:w="0" w:type="dxa"/>
            <w:right w:w="108" w:type="dxa"/>
          </w:tblCellMar>
        </w:tblPrEx>
        <w:trPr>
          <w:trHeight w:val="529" w:hRule="atLeast"/>
          <w:jc w:val="center"/>
        </w:trPr>
        <w:tc>
          <w:tcPr>
            <w:tcW w:w="1134" w:type="dxa"/>
            <w:vMerge w:val="continue"/>
            <w:tcBorders>
              <w:left w:val="single" w:color="auto" w:sz="4" w:space="0"/>
              <w:bottom w:val="single" w:color="auto" w:sz="4" w:space="0"/>
              <w:right w:val="single" w:color="auto" w:sz="4" w:space="0"/>
            </w:tcBorders>
            <w:shd w:val="clear" w:color="auto" w:fill="auto"/>
            <w:vAlign w:val="center"/>
          </w:tcPr>
          <w:p w14:paraId="45B9985F">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4A52C8C9">
            <w:pPr>
              <w:rPr>
                <w:lang w:bidi="sa-IN"/>
              </w:rPr>
            </w:pPr>
            <w:r>
              <w:rPr>
                <w:lang w:bidi="sa-IN"/>
              </w:rPr>
              <w:t>4.23</w:t>
            </w:r>
          </w:p>
        </w:tc>
        <w:tc>
          <w:tcPr>
            <w:tcW w:w="9660" w:type="dxa"/>
            <w:tcBorders>
              <w:top w:val="nil"/>
              <w:left w:val="nil"/>
              <w:bottom w:val="single" w:color="auto" w:sz="4" w:space="0"/>
              <w:right w:val="single" w:color="auto" w:sz="4" w:space="0"/>
            </w:tcBorders>
            <w:shd w:val="clear" w:color="auto" w:fill="auto"/>
            <w:vAlign w:val="center"/>
          </w:tcPr>
          <w:p w14:paraId="3E33CF9C">
            <w:pPr>
              <w:rPr>
                <w:lang w:eastAsia="zh-CN" w:bidi="sa-IN"/>
              </w:rPr>
            </w:pPr>
            <w:r>
              <w:rPr>
                <w:lang w:eastAsia="zh-CN" w:bidi="sa-IN"/>
              </w:rPr>
              <w:t>企业应建立复配营养素批生产记录制度，每批次复配营养素应标注同一生产日期。</w:t>
            </w:r>
          </w:p>
        </w:tc>
        <w:tc>
          <w:tcPr>
            <w:tcW w:w="968" w:type="dxa"/>
            <w:tcBorders>
              <w:top w:val="nil"/>
              <w:left w:val="nil"/>
              <w:bottom w:val="single" w:color="auto" w:sz="4" w:space="0"/>
              <w:right w:val="single" w:color="auto" w:sz="4" w:space="0"/>
            </w:tcBorders>
            <w:shd w:val="clear" w:color="auto" w:fill="auto"/>
            <w:vAlign w:val="center"/>
          </w:tcPr>
          <w:p w14:paraId="42514C55">
            <w:pPr>
              <w:rPr>
                <w:lang w:eastAsia="zh-CN" w:bidi="sa-IN"/>
              </w:rPr>
            </w:pPr>
            <w:r>
              <w:rPr>
                <w:lang w:eastAsia="zh-CN" w:bidi="sa-IN"/>
              </w:rPr>
              <w:t>　</w:t>
            </w:r>
          </w:p>
        </w:tc>
        <w:tc>
          <w:tcPr>
            <w:tcW w:w="1763" w:type="dxa"/>
            <w:vMerge w:val="continue"/>
            <w:tcBorders>
              <w:left w:val="nil"/>
              <w:bottom w:val="single" w:color="auto" w:sz="4" w:space="0"/>
              <w:right w:val="single" w:color="auto" w:sz="4" w:space="0"/>
            </w:tcBorders>
            <w:shd w:val="clear" w:color="auto" w:fill="auto"/>
            <w:vAlign w:val="center"/>
          </w:tcPr>
          <w:p w14:paraId="2EF03010">
            <w:pPr>
              <w:rPr>
                <w:lang w:eastAsia="zh-CN" w:bidi="sa-IN"/>
              </w:rPr>
            </w:pPr>
          </w:p>
        </w:tc>
      </w:tr>
      <w:tr w14:paraId="47F82779">
        <w:tblPrEx>
          <w:tblCellMar>
            <w:top w:w="0" w:type="dxa"/>
            <w:left w:w="108" w:type="dxa"/>
            <w:bottom w:w="0" w:type="dxa"/>
            <w:right w:w="108" w:type="dxa"/>
          </w:tblCellMar>
        </w:tblPrEx>
        <w:trPr>
          <w:trHeight w:val="492" w:hRule="atLeast"/>
          <w:jc w:val="center"/>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3793CDA">
            <w:pPr>
              <w:rPr>
                <w:lang w:bidi="sa-IN"/>
              </w:rPr>
            </w:pPr>
            <w:r>
              <w:rPr>
                <w:lang w:bidi="sa-IN"/>
              </w:rPr>
              <w:t>审查项目</w:t>
            </w:r>
          </w:p>
        </w:tc>
        <w:tc>
          <w:tcPr>
            <w:tcW w:w="1056" w:type="dxa"/>
            <w:tcBorders>
              <w:top w:val="single" w:color="auto" w:sz="4" w:space="0"/>
              <w:left w:val="nil"/>
              <w:bottom w:val="single" w:color="auto" w:sz="4" w:space="0"/>
              <w:right w:val="single" w:color="auto" w:sz="4" w:space="0"/>
            </w:tcBorders>
            <w:shd w:val="clear" w:color="auto" w:fill="auto"/>
            <w:vAlign w:val="center"/>
          </w:tcPr>
          <w:p w14:paraId="6AA09493">
            <w:pPr>
              <w:rPr>
                <w:lang w:bidi="sa-IN"/>
              </w:rPr>
            </w:pPr>
            <w:r>
              <w:rPr>
                <w:lang w:bidi="sa-IN"/>
              </w:rPr>
              <w:t>序号</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5E28CD40">
            <w:pPr>
              <w:rPr>
                <w:lang w:bidi="sa-IN"/>
              </w:rPr>
            </w:pPr>
            <w:r>
              <w:rPr>
                <w:lang w:bidi="sa-IN"/>
              </w:rPr>
              <w:t>审查内容</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2B66D5E2">
            <w:pPr>
              <w:rPr>
                <w:sz w:val="22"/>
                <w:szCs w:val="22"/>
                <w:lang w:bidi="sa-IN"/>
              </w:rPr>
            </w:pPr>
            <w:r>
              <w:rPr>
                <w:rFonts w:hint="eastAsia"/>
                <w:lang w:eastAsia="zh-CN"/>
              </w:rPr>
              <w:t>备注</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4E4C703D">
            <w:pPr>
              <w:rPr>
                <w:sz w:val="22"/>
                <w:szCs w:val="22"/>
                <w:lang w:bidi="sa-IN"/>
              </w:rPr>
            </w:pPr>
            <w:r>
              <w:rPr>
                <w:rFonts w:hint="eastAsia"/>
                <w:lang w:eastAsia="zh-CN"/>
              </w:rPr>
              <w:t>现场评审指引</w:t>
            </w:r>
          </w:p>
        </w:tc>
      </w:tr>
      <w:tr w14:paraId="4C3F88AF">
        <w:tblPrEx>
          <w:tblCellMar>
            <w:top w:w="0" w:type="dxa"/>
            <w:left w:w="108" w:type="dxa"/>
            <w:bottom w:w="0" w:type="dxa"/>
            <w:right w:w="108" w:type="dxa"/>
          </w:tblCellMar>
        </w:tblPrEx>
        <w:trPr>
          <w:trHeight w:val="852" w:hRule="atLeast"/>
          <w:jc w:val="center"/>
        </w:trPr>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D32E5E">
            <w:pPr>
              <w:rPr>
                <w:lang w:bidi="sa-IN"/>
              </w:rPr>
            </w:pPr>
            <w:r>
              <w:rPr>
                <w:rFonts w:hint="eastAsia" w:ascii="宋体" w:hAnsi="宋体" w:eastAsia="宋体" w:cs="宋体"/>
                <w:lang w:bidi="sa-IN"/>
              </w:rPr>
              <w:t>复配营养素</w:t>
            </w:r>
          </w:p>
        </w:tc>
        <w:tc>
          <w:tcPr>
            <w:tcW w:w="1056" w:type="dxa"/>
            <w:tcBorders>
              <w:top w:val="single" w:color="auto" w:sz="4" w:space="0"/>
              <w:left w:val="nil"/>
              <w:bottom w:val="single" w:color="auto" w:sz="4" w:space="0"/>
              <w:right w:val="single" w:color="auto" w:sz="4" w:space="0"/>
            </w:tcBorders>
            <w:shd w:val="clear" w:color="auto" w:fill="auto"/>
            <w:vAlign w:val="center"/>
          </w:tcPr>
          <w:p w14:paraId="013CB952">
            <w:pPr>
              <w:rPr>
                <w:lang w:bidi="sa-IN"/>
              </w:rPr>
            </w:pPr>
            <w:r>
              <w:rPr>
                <w:lang w:bidi="sa-IN"/>
              </w:rPr>
              <w:t>*4.24</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550BD57B">
            <w:pPr>
              <w:rPr>
                <w:lang w:eastAsia="zh-CN" w:bidi="sa-IN"/>
              </w:rPr>
            </w:pPr>
            <w:r>
              <w:rPr>
                <w:lang w:eastAsia="zh-CN" w:bidi="sa-IN"/>
              </w:rPr>
              <w:t>企业应具有复配营养素的检验设备和检验能力，每批产品均应按照相关要求开展感官、有害物质、致病性微生物以及维生素、矿物质、微量元素含量的检验。复配营养素的感官、有害物质、致病性微生物等项目，可参照《复配食品添加剂通则》（GB26687）的要求进行检验。</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48675773">
            <w:pPr>
              <w:rPr>
                <w:lang w:eastAsia="zh-CN" w:bidi="sa-IN"/>
              </w:rPr>
            </w:pPr>
            <w:r>
              <w:rPr>
                <w:lang w:eastAsia="zh-CN" w:bidi="sa-IN"/>
              </w:rPr>
              <w:t>　</w:t>
            </w:r>
          </w:p>
        </w:tc>
        <w:tc>
          <w:tcPr>
            <w:tcW w:w="17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022287">
            <w:pPr>
              <w:rPr>
                <w:rFonts w:eastAsiaTheme="minorEastAsia"/>
                <w:sz w:val="22"/>
                <w:szCs w:val="22"/>
                <w:lang w:eastAsia="zh-CN" w:bidi="sa-IN"/>
              </w:rPr>
            </w:pPr>
            <w:r>
              <w:rPr>
                <w:sz w:val="22"/>
                <w:szCs w:val="22"/>
                <w:lang w:eastAsia="zh-CN" w:bidi="sa-IN"/>
              </w:rPr>
              <w:t>　</w:t>
            </w:r>
            <w:r>
              <w:rPr>
                <w:rFonts w:hint="eastAsia"/>
                <w:lang w:eastAsia="zh-CN" w:bidi="sa-IN"/>
              </w:rPr>
              <w:t>查是否覆盖产品全项检验项目的检验能力，检验设备是否满足，查生产记录、检验记录、销售记录等各项记录</w:t>
            </w:r>
            <w:r>
              <w:rPr>
                <w:sz w:val="22"/>
                <w:szCs w:val="22"/>
                <w:lang w:eastAsia="zh-CN" w:bidi="sa-IN"/>
              </w:rPr>
              <w:t>　</w:t>
            </w:r>
          </w:p>
        </w:tc>
      </w:tr>
      <w:tr w14:paraId="7EE97A7B">
        <w:tblPrEx>
          <w:tblCellMar>
            <w:top w:w="0" w:type="dxa"/>
            <w:left w:w="108" w:type="dxa"/>
            <w:bottom w:w="0" w:type="dxa"/>
            <w:right w:w="108" w:type="dxa"/>
          </w:tblCellMar>
        </w:tblPrEx>
        <w:trPr>
          <w:trHeight w:val="398" w:hRule="atLeast"/>
          <w:jc w:val="center"/>
        </w:trPr>
        <w:tc>
          <w:tcPr>
            <w:tcW w:w="11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7D1804">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1CD2F127">
            <w:pPr>
              <w:rPr>
                <w:lang w:bidi="sa-IN"/>
              </w:rPr>
            </w:pPr>
            <w:r>
              <w:rPr>
                <w:lang w:bidi="sa-IN"/>
              </w:rPr>
              <w:t>4.25</w:t>
            </w:r>
          </w:p>
        </w:tc>
        <w:tc>
          <w:tcPr>
            <w:tcW w:w="9660" w:type="dxa"/>
            <w:tcBorders>
              <w:top w:val="single" w:color="auto" w:sz="4" w:space="0"/>
              <w:left w:val="nil"/>
              <w:bottom w:val="single" w:color="auto" w:sz="4" w:space="0"/>
              <w:right w:val="single" w:color="auto" w:sz="4" w:space="0"/>
            </w:tcBorders>
            <w:shd w:val="clear" w:color="auto" w:fill="auto"/>
            <w:vAlign w:val="center"/>
          </w:tcPr>
          <w:p w14:paraId="0CFC4AE5">
            <w:pPr>
              <w:rPr>
                <w:lang w:eastAsia="zh-CN" w:bidi="sa-IN"/>
              </w:rPr>
            </w:pPr>
            <w:r>
              <w:rPr>
                <w:lang w:eastAsia="zh-CN" w:bidi="sa-IN"/>
              </w:rPr>
              <w:t>企业按照全检量的要求做好产品留样，并对复配营养素进行稳定性考察，确定产品有效期，有效期一般不超过两年。</w:t>
            </w:r>
          </w:p>
        </w:tc>
        <w:tc>
          <w:tcPr>
            <w:tcW w:w="968" w:type="dxa"/>
            <w:tcBorders>
              <w:top w:val="single" w:color="auto" w:sz="4" w:space="0"/>
              <w:left w:val="nil"/>
              <w:bottom w:val="single" w:color="auto" w:sz="4" w:space="0"/>
              <w:right w:val="single" w:color="auto" w:sz="4" w:space="0"/>
            </w:tcBorders>
            <w:shd w:val="clear" w:color="auto" w:fill="auto"/>
            <w:vAlign w:val="center"/>
          </w:tcPr>
          <w:p w14:paraId="7AEE77E4">
            <w:pPr>
              <w:rPr>
                <w:lang w:eastAsia="zh-CN" w:bidi="sa-IN"/>
              </w:rPr>
            </w:pPr>
            <w:r>
              <w:rPr>
                <w:lang w:eastAsia="zh-CN" w:bidi="sa-IN"/>
              </w:rPr>
              <w:t>　</w:t>
            </w:r>
          </w:p>
        </w:tc>
        <w:tc>
          <w:tcPr>
            <w:tcW w:w="1763" w:type="dxa"/>
            <w:vMerge w:val="continue"/>
            <w:tcBorders>
              <w:top w:val="single" w:color="auto" w:sz="4" w:space="0"/>
              <w:left w:val="nil"/>
              <w:bottom w:val="single" w:color="auto" w:sz="4" w:space="0"/>
              <w:right w:val="single" w:color="auto" w:sz="4" w:space="0"/>
            </w:tcBorders>
            <w:shd w:val="clear" w:color="auto" w:fill="auto"/>
            <w:vAlign w:val="center"/>
          </w:tcPr>
          <w:p w14:paraId="46BCCD28">
            <w:pPr>
              <w:rPr>
                <w:lang w:eastAsia="zh-CN" w:bidi="sa-IN"/>
              </w:rPr>
            </w:pPr>
          </w:p>
        </w:tc>
      </w:tr>
      <w:tr w14:paraId="457C6300">
        <w:tblPrEx>
          <w:tblCellMar>
            <w:top w:w="0" w:type="dxa"/>
            <w:left w:w="108" w:type="dxa"/>
            <w:bottom w:w="0" w:type="dxa"/>
            <w:right w:w="108" w:type="dxa"/>
          </w:tblCellMar>
        </w:tblPrEx>
        <w:trPr>
          <w:trHeight w:val="560" w:hRule="atLeast"/>
          <w:jc w:val="center"/>
        </w:trPr>
        <w:tc>
          <w:tcPr>
            <w:tcW w:w="113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7D15B4">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4D1AE0ED">
            <w:pPr>
              <w:rPr>
                <w:lang w:bidi="sa-IN"/>
              </w:rPr>
            </w:pPr>
            <w:r>
              <w:rPr>
                <w:lang w:bidi="sa-IN"/>
              </w:rPr>
              <w:t>4.26</w:t>
            </w:r>
          </w:p>
        </w:tc>
        <w:tc>
          <w:tcPr>
            <w:tcW w:w="9660" w:type="dxa"/>
            <w:tcBorders>
              <w:top w:val="nil"/>
              <w:left w:val="nil"/>
              <w:bottom w:val="single" w:color="auto" w:sz="4" w:space="0"/>
              <w:right w:val="single" w:color="auto" w:sz="4" w:space="0"/>
            </w:tcBorders>
            <w:shd w:val="clear" w:color="auto" w:fill="auto"/>
            <w:vAlign w:val="center"/>
          </w:tcPr>
          <w:p w14:paraId="5A9A101D">
            <w:pPr>
              <w:rPr>
                <w:lang w:eastAsia="zh-CN" w:bidi="sa-IN"/>
              </w:rPr>
            </w:pPr>
            <w:r>
              <w:rPr>
                <w:lang w:eastAsia="zh-CN" w:bidi="sa-IN"/>
              </w:rPr>
              <w:t>复配营养素的生产记录、检验记录、销售记录等各项记录的保存期限不得少于5年；产品留样至少保存至保质期后一年，保存期限不得少于两年。</w:t>
            </w:r>
          </w:p>
        </w:tc>
        <w:tc>
          <w:tcPr>
            <w:tcW w:w="968" w:type="dxa"/>
            <w:tcBorders>
              <w:top w:val="nil"/>
              <w:left w:val="nil"/>
              <w:bottom w:val="single" w:color="auto" w:sz="4" w:space="0"/>
              <w:right w:val="single" w:color="auto" w:sz="4" w:space="0"/>
            </w:tcBorders>
            <w:shd w:val="clear" w:color="auto" w:fill="auto"/>
            <w:vAlign w:val="center"/>
          </w:tcPr>
          <w:p w14:paraId="5D327346">
            <w:pPr>
              <w:rPr>
                <w:lang w:eastAsia="zh-CN" w:bidi="sa-IN"/>
              </w:rPr>
            </w:pPr>
            <w:r>
              <w:rPr>
                <w:lang w:eastAsia="zh-CN" w:bidi="sa-IN"/>
              </w:rPr>
              <w:t>　</w:t>
            </w:r>
          </w:p>
        </w:tc>
        <w:tc>
          <w:tcPr>
            <w:tcW w:w="1763" w:type="dxa"/>
            <w:vMerge w:val="continue"/>
            <w:tcBorders>
              <w:top w:val="single" w:color="auto" w:sz="4" w:space="0"/>
              <w:left w:val="nil"/>
              <w:bottom w:val="single" w:color="auto" w:sz="4" w:space="0"/>
              <w:right w:val="single" w:color="auto" w:sz="4" w:space="0"/>
            </w:tcBorders>
            <w:shd w:val="clear" w:color="auto" w:fill="auto"/>
            <w:vAlign w:val="center"/>
          </w:tcPr>
          <w:p w14:paraId="11FA6192">
            <w:pPr>
              <w:rPr>
                <w:lang w:eastAsia="zh-CN" w:bidi="sa-IN"/>
              </w:rPr>
            </w:pPr>
          </w:p>
        </w:tc>
      </w:tr>
      <w:tr w14:paraId="15CAD1C9">
        <w:tblPrEx>
          <w:tblCellMar>
            <w:top w:w="0" w:type="dxa"/>
            <w:left w:w="108" w:type="dxa"/>
            <w:bottom w:w="0" w:type="dxa"/>
            <w:right w:w="108" w:type="dxa"/>
          </w:tblCellMar>
        </w:tblPrEx>
        <w:trPr>
          <w:trHeight w:val="360" w:hRule="atLeast"/>
          <w:jc w:val="center"/>
        </w:trPr>
        <w:tc>
          <w:tcPr>
            <w:tcW w:w="145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3A3D602C">
            <w:pPr>
              <w:rPr>
                <w:lang w:bidi="sa-IN"/>
              </w:rPr>
            </w:pPr>
            <w:r>
              <w:rPr>
                <w:rFonts w:hint="eastAsia" w:ascii="宋体" w:hAnsi="宋体" w:eastAsia="宋体" w:cs="宋体"/>
                <w:lang w:bidi="sa-IN"/>
              </w:rPr>
              <w:t>五、生产管理</w:t>
            </w:r>
          </w:p>
        </w:tc>
      </w:tr>
      <w:tr w14:paraId="23BFC132">
        <w:tblPrEx>
          <w:tblCellMar>
            <w:top w:w="0" w:type="dxa"/>
            <w:left w:w="108" w:type="dxa"/>
            <w:bottom w:w="0" w:type="dxa"/>
            <w:right w:w="108" w:type="dxa"/>
          </w:tblCellMar>
        </w:tblPrEx>
        <w:trPr>
          <w:trHeight w:val="408" w:hRule="atLeast"/>
          <w:jc w:val="center"/>
        </w:trPr>
        <w:tc>
          <w:tcPr>
            <w:tcW w:w="1134" w:type="dxa"/>
            <w:tcBorders>
              <w:top w:val="nil"/>
              <w:left w:val="single" w:color="auto" w:sz="4" w:space="0"/>
              <w:bottom w:val="single" w:color="auto" w:sz="4" w:space="0"/>
              <w:right w:val="single" w:color="auto" w:sz="4" w:space="0"/>
            </w:tcBorders>
            <w:shd w:val="clear" w:color="auto" w:fill="auto"/>
            <w:vAlign w:val="center"/>
          </w:tcPr>
          <w:p w14:paraId="7D05C016">
            <w:pPr>
              <w:rPr>
                <w:lang w:bidi="sa-IN"/>
              </w:rPr>
            </w:pPr>
            <w:r>
              <w:rPr>
                <w:rFonts w:hint="eastAsia" w:ascii="宋体" w:hAnsi="宋体" w:eastAsia="宋体" w:cs="宋体"/>
                <w:lang w:bidi="sa-IN"/>
              </w:rPr>
              <w:t>审查项目</w:t>
            </w:r>
          </w:p>
        </w:tc>
        <w:tc>
          <w:tcPr>
            <w:tcW w:w="1056" w:type="dxa"/>
            <w:tcBorders>
              <w:top w:val="nil"/>
              <w:left w:val="nil"/>
              <w:bottom w:val="single" w:color="auto" w:sz="4" w:space="0"/>
              <w:right w:val="single" w:color="auto" w:sz="4" w:space="0"/>
            </w:tcBorders>
            <w:shd w:val="clear" w:color="auto" w:fill="auto"/>
            <w:vAlign w:val="center"/>
          </w:tcPr>
          <w:p w14:paraId="65C44EB4">
            <w:pPr>
              <w:rPr>
                <w:lang w:bidi="sa-IN"/>
              </w:rPr>
            </w:pPr>
            <w:r>
              <w:rPr>
                <w:lang w:bidi="sa-IN"/>
              </w:rPr>
              <w:t>序号</w:t>
            </w:r>
          </w:p>
        </w:tc>
        <w:tc>
          <w:tcPr>
            <w:tcW w:w="9660" w:type="dxa"/>
            <w:tcBorders>
              <w:top w:val="nil"/>
              <w:left w:val="nil"/>
              <w:bottom w:val="single" w:color="auto" w:sz="4" w:space="0"/>
              <w:right w:val="single" w:color="auto" w:sz="4" w:space="0"/>
            </w:tcBorders>
            <w:shd w:val="clear" w:color="auto" w:fill="auto"/>
            <w:vAlign w:val="center"/>
          </w:tcPr>
          <w:p w14:paraId="254A1515">
            <w:pPr>
              <w:rPr>
                <w:lang w:bidi="sa-IN"/>
              </w:rPr>
            </w:pPr>
            <w:r>
              <w:rPr>
                <w:lang w:bidi="sa-IN"/>
              </w:rPr>
              <w:t>审查内容</w:t>
            </w:r>
          </w:p>
        </w:tc>
        <w:tc>
          <w:tcPr>
            <w:tcW w:w="968" w:type="dxa"/>
            <w:tcBorders>
              <w:top w:val="nil"/>
              <w:left w:val="nil"/>
              <w:bottom w:val="single" w:color="auto" w:sz="4" w:space="0"/>
              <w:right w:val="single" w:color="auto" w:sz="4" w:space="0"/>
            </w:tcBorders>
            <w:shd w:val="clear" w:color="auto" w:fill="auto"/>
            <w:vAlign w:val="center"/>
          </w:tcPr>
          <w:p w14:paraId="0B3D33BF">
            <w:pPr>
              <w:rPr>
                <w:sz w:val="20"/>
                <w:szCs w:val="20"/>
                <w:lang w:bidi="sa-IN"/>
              </w:rPr>
            </w:pPr>
            <w:r>
              <w:rPr>
                <w:rFonts w:hint="eastAsia"/>
                <w:lang w:eastAsia="zh-CN"/>
              </w:rPr>
              <w:t>备注</w:t>
            </w:r>
          </w:p>
        </w:tc>
        <w:tc>
          <w:tcPr>
            <w:tcW w:w="1763" w:type="dxa"/>
            <w:tcBorders>
              <w:top w:val="nil"/>
              <w:left w:val="nil"/>
              <w:bottom w:val="single" w:color="auto" w:sz="4" w:space="0"/>
              <w:right w:val="single" w:color="auto" w:sz="4" w:space="0"/>
            </w:tcBorders>
            <w:shd w:val="clear" w:color="auto" w:fill="auto"/>
            <w:vAlign w:val="center"/>
          </w:tcPr>
          <w:p w14:paraId="1F20439B">
            <w:pPr>
              <w:rPr>
                <w:sz w:val="22"/>
                <w:szCs w:val="22"/>
                <w:lang w:bidi="sa-IN"/>
              </w:rPr>
            </w:pPr>
            <w:r>
              <w:rPr>
                <w:rFonts w:hint="eastAsia"/>
                <w:lang w:eastAsia="zh-CN"/>
              </w:rPr>
              <w:t>现场评审指引</w:t>
            </w:r>
          </w:p>
        </w:tc>
      </w:tr>
      <w:tr w14:paraId="4803DAC8">
        <w:tblPrEx>
          <w:tblCellMar>
            <w:top w:w="0" w:type="dxa"/>
            <w:left w:w="108" w:type="dxa"/>
            <w:bottom w:w="0" w:type="dxa"/>
            <w:right w:w="108" w:type="dxa"/>
          </w:tblCellMar>
        </w:tblPrEx>
        <w:trPr>
          <w:trHeight w:val="715" w:hRule="atLeast"/>
          <w:jc w:val="center"/>
        </w:trPr>
        <w:tc>
          <w:tcPr>
            <w:tcW w:w="1134" w:type="dxa"/>
            <w:vMerge w:val="restart"/>
            <w:tcBorders>
              <w:top w:val="nil"/>
              <w:left w:val="single" w:color="auto" w:sz="4" w:space="0"/>
              <w:right w:val="single" w:color="auto" w:sz="4" w:space="0"/>
            </w:tcBorders>
            <w:shd w:val="clear" w:color="auto" w:fill="auto"/>
            <w:vAlign w:val="center"/>
          </w:tcPr>
          <w:p w14:paraId="3E19FD5A">
            <w:pPr>
              <w:rPr>
                <w:lang w:bidi="sa-IN"/>
              </w:rPr>
            </w:pPr>
            <w:r>
              <w:rPr>
                <w:rFonts w:hint="eastAsia" w:ascii="宋体" w:hAnsi="宋体" w:eastAsia="宋体" w:cs="宋体"/>
                <w:lang w:bidi="sa-IN"/>
              </w:rPr>
              <w:t>生产管理制度</w:t>
            </w:r>
          </w:p>
        </w:tc>
        <w:tc>
          <w:tcPr>
            <w:tcW w:w="1056" w:type="dxa"/>
            <w:tcBorders>
              <w:top w:val="nil"/>
              <w:left w:val="nil"/>
              <w:bottom w:val="single" w:color="auto" w:sz="4" w:space="0"/>
              <w:right w:val="single" w:color="auto" w:sz="4" w:space="0"/>
            </w:tcBorders>
            <w:shd w:val="clear" w:color="auto" w:fill="auto"/>
            <w:vAlign w:val="center"/>
          </w:tcPr>
          <w:p w14:paraId="62FEFCCC">
            <w:pPr>
              <w:rPr>
                <w:lang w:bidi="sa-IN"/>
              </w:rPr>
            </w:pPr>
            <w:r>
              <w:rPr>
                <w:lang w:bidi="sa-IN"/>
              </w:rPr>
              <w:t>**5.1</w:t>
            </w:r>
          </w:p>
        </w:tc>
        <w:tc>
          <w:tcPr>
            <w:tcW w:w="9660" w:type="dxa"/>
            <w:tcBorders>
              <w:top w:val="nil"/>
              <w:left w:val="nil"/>
              <w:bottom w:val="single" w:color="auto" w:sz="4" w:space="0"/>
              <w:right w:val="single" w:color="auto" w:sz="4" w:space="0"/>
            </w:tcBorders>
            <w:shd w:val="clear" w:color="auto" w:fill="auto"/>
            <w:vAlign w:val="center"/>
          </w:tcPr>
          <w:p w14:paraId="7574FF9A">
            <w:pPr>
              <w:rPr>
                <w:lang w:eastAsia="zh-CN" w:bidi="sa-IN"/>
              </w:rPr>
            </w:pPr>
            <w:r>
              <w:rPr>
                <w:lang w:eastAsia="zh-CN" w:bidi="sa-IN"/>
              </w:rPr>
              <w:t>企业应根据保健食品注册或备案的技术要求，制定生产工艺规程，并连续完成保健食品的全部生产过程，包括原料的前处理和成品的外包装。</w:t>
            </w:r>
          </w:p>
        </w:tc>
        <w:tc>
          <w:tcPr>
            <w:tcW w:w="968" w:type="dxa"/>
            <w:tcBorders>
              <w:top w:val="nil"/>
              <w:left w:val="nil"/>
              <w:bottom w:val="single" w:color="auto" w:sz="4" w:space="0"/>
              <w:right w:val="single" w:color="auto" w:sz="4" w:space="0"/>
            </w:tcBorders>
            <w:shd w:val="clear" w:color="auto" w:fill="auto"/>
            <w:vAlign w:val="center"/>
          </w:tcPr>
          <w:p w14:paraId="0E8DFB0C">
            <w:pPr>
              <w:rPr>
                <w:lang w:eastAsia="zh-CN" w:bidi="sa-IN"/>
              </w:rPr>
            </w:pPr>
            <w:r>
              <w:rPr>
                <w:rFonts w:hint="eastAsia"/>
                <w:lang w:eastAsia="zh-CN" w:bidi="sa-IN"/>
              </w:rPr>
              <w:t>若此项不符合要求，审查结论为直接判为不合格。　</w:t>
            </w:r>
            <w:r>
              <w:rPr>
                <w:lang w:eastAsia="zh-CN" w:bidi="sa-IN"/>
              </w:rPr>
              <w:t>　</w:t>
            </w:r>
          </w:p>
        </w:tc>
        <w:tc>
          <w:tcPr>
            <w:tcW w:w="1763" w:type="dxa"/>
            <w:vMerge w:val="restart"/>
            <w:tcBorders>
              <w:top w:val="nil"/>
              <w:left w:val="single" w:color="auto" w:sz="4" w:space="0"/>
              <w:right w:val="single" w:color="auto" w:sz="4" w:space="0"/>
            </w:tcBorders>
            <w:shd w:val="clear" w:color="auto" w:fill="auto"/>
            <w:vAlign w:val="center"/>
          </w:tcPr>
          <w:p w14:paraId="6C38D315">
            <w:pPr>
              <w:rPr>
                <w:sz w:val="22"/>
                <w:szCs w:val="22"/>
                <w:lang w:eastAsia="zh-CN" w:bidi="sa-IN"/>
              </w:rPr>
            </w:pPr>
            <w:r>
              <w:rPr>
                <w:sz w:val="22"/>
                <w:szCs w:val="22"/>
                <w:lang w:eastAsia="zh-CN" w:bidi="sa-IN"/>
              </w:rPr>
              <w:t>　</w:t>
            </w:r>
            <w:r>
              <w:rPr>
                <w:rFonts w:hint="eastAsia" w:eastAsiaTheme="minorEastAsia"/>
                <w:lang w:eastAsia="zh-CN" w:bidi="sa-IN"/>
              </w:rPr>
              <w:t>查</w:t>
            </w:r>
            <w:r>
              <w:rPr>
                <w:rFonts w:hint="eastAsia"/>
                <w:lang w:eastAsia="zh-CN" w:bidi="sa-IN"/>
              </w:rPr>
              <w:t>生产批次管理制度</w:t>
            </w:r>
            <w:r>
              <w:rPr>
                <w:rFonts w:hint="eastAsia" w:eastAsiaTheme="minorEastAsia"/>
                <w:lang w:eastAsia="zh-CN" w:bidi="sa-IN"/>
              </w:rPr>
              <w:t>、</w:t>
            </w:r>
            <w:r>
              <w:rPr>
                <w:rFonts w:hint="eastAsia"/>
                <w:lang w:eastAsia="zh-CN" w:bidi="sa-IN"/>
              </w:rPr>
              <w:t>批生产记录制度</w:t>
            </w:r>
            <w:r>
              <w:rPr>
                <w:rFonts w:hint="eastAsia" w:eastAsiaTheme="minorEastAsia"/>
                <w:lang w:eastAsia="zh-CN" w:bidi="sa-IN"/>
              </w:rPr>
              <w:t>等制度。</w:t>
            </w:r>
          </w:p>
        </w:tc>
      </w:tr>
      <w:tr w14:paraId="670D9A5B">
        <w:tblPrEx>
          <w:tblCellMar>
            <w:top w:w="0" w:type="dxa"/>
            <w:left w:w="108" w:type="dxa"/>
            <w:bottom w:w="0" w:type="dxa"/>
            <w:right w:w="108" w:type="dxa"/>
          </w:tblCellMar>
        </w:tblPrEx>
        <w:trPr>
          <w:trHeight w:val="785" w:hRule="atLeast"/>
          <w:jc w:val="center"/>
        </w:trPr>
        <w:tc>
          <w:tcPr>
            <w:tcW w:w="1134" w:type="dxa"/>
            <w:vMerge w:val="continue"/>
            <w:tcBorders>
              <w:left w:val="single" w:color="auto" w:sz="4" w:space="0"/>
              <w:right w:val="single" w:color="auto" w:sz="4" w:space="0"/>
            </w:tcBorders>
            <w:shd w:val="clear" w:color="auto" w:fill="auto"/>
            <w:vAlign w:val="center"/>
          </w:tcPr>
          <w:p w14:paraId="500DED90">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2D27B31B">
            <w:pPr>
              <w:rPr>
                <w:lang w:bidi="sa-IN"/>
              </w:rPr>
            </w:pPr>
            <w:r>
              <w:rPr>
                <w:lang w:bidi="sa-IN"/>
              </w:rPr>
              <w:t>*5.2</w:t>
            </w:r>
          </w:p>
        </w:tc>
        <w:tc>
          <w:tcPr>
            <w:tcW w:w="9660" w:type="dxa"/>
            <w:tcBorders>
              <w:top w:val="nil"/>
              <w:left w:val="nil"/>
              <w:bottom w:val="single" w:color="auto" w:sz="4" w:space="0"/>
              <w:right w:val="single" w:color="auto" w:sz="4" w:space="0"/>
            </w:tcBorders>
            <w:shd w:val="clear" w:color="auto" w:fill="auto"/>
            <w:vAlign w:val="center"/>
          </w:tcPr>
          <w:p w14:paraId="48B5867B">
            <w:pPr>
              <w:rPr>
                <w:lang w:eastAsia="zh-CN" w:bidi="sa-IN"/>
              </w:rPr>
            </w:pPr>
            <w:r>
              <w:rPr>
                <w:lang w:eastAsia="zh-CN" w:bidi="sa-IN"/>
              </w:rPr>
              <w:t>企业应建立生产批次管理制度，保健食品按照相同工艺组织生产，在成型或灌装前经同一设备一次混合所产生的均质产品，应当编制唯一生产批号。在同一生产周期内连续生产，能够确保产品均质的保健食品，可以编制同一生产批号。</w:t>
            </w:r>
          </w:p>
        </w:tc>
        <w:tc>
          <w:tcPr>
            <w:tcW w:w="968" w:type="dxa"/>
            <w:tcBorders>
              <w:top w:val="nil"/>
              <w:left w:val="nil"/>
              <w:bottom w:val="single" w:color="auto" w:sz="4" w:space="0"/>
              <w:right w:val="single" w:color="auto" w:sz="4" w:space="0"/>
            </w:tcBorders>
            <w:shd w:val="clear" w:color="auto" w:fill="auto"/>
            <w:vAlign w:val="center"/>
          </w:tcPr>
          <w:p w14:paraId="3DDF530E">
            <w:pPr>
              <w:rPr>
                <w:lang w:eastAsia="zh-CN" w:bidi="sa-IN"/>
              </w:rPr>
            </w:pPr>
            <w:r>
              <w:rPr>
                <w:lang w:eastAsia="zh-CN" w:bidi="sa-IN"/>
              </w:rPr>
              <w:t>　</w:t>
            </w:r>
          </w:p>
        </w:tc>
        <w:tc>
          <w:tcPr>
            <w:tcW w:w="1763" w:type="dxa"/>
            <w:vMerge w:val="continue"/>
            <w:tcBorders>
              <w:left w:val="single" w:color="auto" w:sz="4" w:space="0"/>
              <w:right w:val="single" w:color="auto" w:sz="4" w:space="0"/>
            </w:tcBorders>
            <w:vAlign w:val="center"/>
          </w:tcPr>
          <w:p w14:paraId="37C477B9">
            <w:pPr>
              <w:rPr>
                <w:lang w:eastAsia="zh-CN" w:bidi="sa-IN"/>
              </w:rPr>
            </w:pPr>
          </w:p>
        </w:tc>
      </w:tr>
      <w:tr w14:paraId="4E2EB5BD">
        <w:tblPrEx>
          <w:tblCellMar>
            <w:top w:w="0" w:type="dxa"/>
            <w:left w:w="108" w:type="dxa"/>
            <w:bottom w:w="0" w:type="dxa"/>
            <w:right w:w="108" w:type="dxa"/>
          </w:tblCellMar>
        </w:tblPrEx>
        <w:trPr>
          <w:jc w:val="center"/>
        </w:trPr>
        <w:tc>
          <w:tcPr>
            <w:tcW w:w="1134" w:type="dxa"/>
            <w:vMerge w:val="continue"/>
            <w:tcBorders>
              <w:left w:val="single" w:color="auto" w:sz="4" w:space="0"/>
              <w:right w:val="single" w:color="auto" w:sz="4" w:space="0"/>
            </w:tcBorders>
            <w:shd w:val="clear" w:color="auto" w:fill="auto"/>
            <w:vAlign w:val="center"/>
          </w:tcPr>
          <w:p w14:paraId="4AF254CC">
            <w:pPr>
              <w:rPr>
                <w:lang w:eastAsia="zh-CN" w:bidi="sa-IN"/>
              </w:rPr>
            </w:pPr>
          </w:p>
        </w:tc>
        <w:tc>
          <w:tcPr>
            <w:tcW w:w="1056" w:type="dxa"/>
            <w:tcBorders>
              <w:top w:val="single" w:color="auto" w:sz="4" w:space="0"/>
              <w:left w:val="nil"/>
              <w:right w:val="single" w:color="auto" w:sz="4" w:space="0"/>
            </w:tcBorders>
            <w:shd w:val="clear" w:color="auto" w:fill="auto"/>
            <w:vAlign w:val="center"/>
          </w:tcPr>
          <w:p w14:paraId="3F6F3596">
            <w:pPr>
              <w:rPr>
                <w:lang w:eastAsia="zh-CN" w:bidi="sa-IN"/>
              </w:rPr>
            </w:pPr>
          </w:p>
        </w:tc>
        <w:tc>
          <w:tcPr>
            <w:tcW w:w="9660" w:type="dxa"/>
            <w:tcBorders>
              <w:top w:val="single" w:color="auto" w:sz="4" w:space="0"/>
              <w:left w:val="nil"/>
              <w:right w:val="single" w:color="auto" w:sz="4" w:space="0"/>
            </w:tcBorders>
            <w:shd w:val="clear" w:color="auto" w:fill="auto"/>
            <w:vAlign w:val="center"/>
          </w:tcPr>
          <w:p w14:paraId="10E5BD50">
            <w:pPr>
              <w:rPr>
                <w:lang w:eastAsia="zh-CN" w:bidi="sa-IN"/>
              </w:rPr>
            </w:pPr>
          </w:p>
        </w:tc>
        <w:tc>
          <w:tcPr>
            <w:tcW w:w="968" w:type="dxa"/>
            <w:tcBorders>
              <w:top w:val="single" w:color="auto" w:sz="4" w:space="0"/>
              <w:left w:val="nil"/>
              <w:right w:val="single" w:color="auto" w:sz="4" w:space="0"/>
            </w:tcBorders>
            <w:shd w:val="clear" w:color="auto" w:fill="auto"/>
            <w:vAlign w:val="center"/>
          </w:tcPr>
          <w:p w14:paraId="20637F0C">
            <w:pPr>
              <w:rPr>
                <w:lang w:eastAsia="zh-CN" w:bidi="sa-IN"/>
              </w:rPr>
            </w:pPr>
          </w:p>
        </w:tc>
        <w:tc>
          <w:tcPr>
            <w:tcW w:w="1763" w:type="dxa"/>
            <w:vMerge w:val="continue"/>
            <w:tcBorders>
              <w:left w:val="single" w:color="auto" w:sz="4" w:space="0"/>
              <w:right w:val="single" w:color="auto" w:sz="4" w:space="0"/>
            </w:tcBorders>
            <w:vAlign w:val="center"/>
          </w:tcPr>
          <w:p w14:paraId="62289F81">
            <w:pPr>
              <w:rPr>
                <w:lang w:eastAsia="zh-CN" w:bidi="sa-IN"/>
              </w:rPr>
            </w:pPr>
          </w:p>
        </w:tc>
      </w:tr>
      <w:tr w14:paraId="47534E84">
        <w:tblPrEx>
          <w:tblCellMar>
            <w:top w:w="0" w:type="dxa"/>
            <w:left w:w="108" w:type="dxa"/>
            <w:bottom w:w="0" w:type="dxa"/>
            <w:right w:w="108" w:type="dxa"/>
          </w:tblCellMar>
        </w:tblPrEx>
        <w:trPr>
          <w:trHeight w:val="513" w:hRule="atLeast"/>
          <w:jc w:val="center"/>
        </w:trPr>
        <w:tc>
          <w:tcPr>
            <w:tcW w:w="1134" w:type="dxa"/>
            <w:vMerge w:val="continue"/>
            <w:tcBorders>
              <w:left w:val="single" w:color="auto" w:sz="4" w:space="0"/>
              <w:right w:val="single" w:color="auto" w:sz="4" w:space="0"/>
            </w:tcBorders>
            <w:shd w:val="clear" w:color="auto" w:fill="auto"/>
            <w:vAlign w:val="center"/>
          </w:tcPr>
          <w:p w14:paraId="48D38CB7">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19FE18F3">
            <w:pPr>
              <w:rPr>
                <w:lang w:bidi="sa-IN"/>
              </w:rPr>
            </w:pPr>
            <w:r>
              <w:rPr>
                <w:lang w:bidi="sa-IN"/>
              </w:rPr>
              <w:t>*5.3</w:t>
            </w:r>
          </w:p>
        </w:tc>
        <w:tc>
          <w:tcPr>
            <w:tcW w:w="9660" w:type="dxa"/>
            <w:tcBorders>
              <w:top w:val="nil"/>
              <w:left w:val="nil"/>
              <w:bottom w:val="single" w:color="auto" w:sz="4" w:space="0"/>
              <w:right w:val="single" w:color="auto" w:sz="4" w:space="0"/>
            </w:tcBorders>
            <w:shd w:val="clear" w:color="auto" w:fill="auto"/>
            <w:vAlign w:val="center"/>
          </w:tcPr>
          <w:p w14:paraId="7E9811EE">
            <w:pPr>
              <w:rPr>
                <w:lang w:eastAsia="zh-CN" w:bidi="sa-IN"/>
              </w:rPr>
            </w:pPr>
            <w:r>
              <w:rPr>
                <w:lang w:eastAsia="zh-CN" w:bidi="sa-IN"/>
              </w:rPr>
              <w:t>保健食品生产日期不得迟于完成产品内包装的日期，同一批次产品应当标注相同生产日期。批生产记录应当按批号归档，保存至产品保质期后一年，保存期限不得少于两年。</w:t>
            </w:r>
          </w:p>
        </w:tc>
        <w:tc>
          <w:tcPr>
            <w:tcW w:w="968" w:type="dxa"/>
            <w:tcBorders>
              <w:top w:val="nil"/>
              <w:left w:val="nil"/>
              <w:bottom w:val="single" w:color="auto" w:sz="4" w:space="0"/>
              <w:right w:val="single" w:color="auto" w:sz="4" w:space="0"/>
            </w:tcBorders>
            <w:shd w:val="clear" w:color="auto" w:fill="auto"/>
            <w:vAlign w:val="center"/>
          </w:tcPr>
          <w:p w14:paraId="56B32240">
            <w:pPr>
              <w:rPr>
                <w:lang w:eastAsia="zh-CN" w:bidi="sa-IN"/>
              </w:rPr>
            </w:pPr>
            <w:r>
              <w:rPr>
                <w:lang w:eastAsia="zh-CN" w:bidi="sa-IN"/>
              </w:rPr>
              <w:t>　</w:t>
            </w:r>
          </w:p>
        </w:tc>
        <w:tc>
          <w:tcPr>
            <w:tcW w:w="1763" w:type="dxa"/>
            <w:vMerge w:val="continue"/>
            <w:tcBorders>
              <w:left w:val="single" w:color="auto" w:sz="4" w:space="0"/>
              <w:right w:val="single" w:color="auto" w:sz="4" w:space="0"/>
            </w:tcBorders>
            <w:vAlign w:val="center"/>
          </w:tcPr>
          <w:p w14:paraId="2B5E3EC9">
            <w:pPr>
              <w:rPr>
                <w:lang w:eastAsia="zh-CN" w:bidi="sa-IN"/>
              </w:rPr>
            </w:pPr>
          </w:p>
        </w:tc>
      </w:tr>
      <w:tr w14:paraId="66C30FE5">
        <w:tblPrEx>
          <w:tblCellMar>
            <w:top w:w="0" w:type="dxa"/>
            <w:left w:w="108" w:type="dxa"/>
            <w:bottom w:w="0" w:type="dxa"/>
            <w:right w:w="108" w:type="dxa"/>
          </w:tblCellMar>
        </w:tblPrEx>
        <w:trPr>
          <w:trHeight w:val="545" w:hRule="atLeast"/>
          <w:jc w:val="center"/>
        </w:trPr>
        <w:tc>
          <w:tcPr>
            <w:tcW w:w="1134" w:type="dxa"/>
            <w:vMerge w:val="continue"/>
            <w:tcBorders>
              <w:left w:val="single" w:color="auto" w:sz="4" w:space="0"/>
              <w:bottom w:val="nil"/>
              <w:right w:val="single" w:color="auto" w:sz="4" w:space="0"/>
            </w:tcBorders>
            <w:shd w:val="clear" w:color="auto" w:fill="auto"/>
            <w:vAlign w:val="center"/>
          </w:tcPr>
          <w:p w14:paraId="06BCCD78">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79A7364C">
            <w:pPr>
              <w:rPr>
                <w:lang w:bidi="sa-IN"/>
              </w:rPr>
            </w:pPr>
            <w:r>
              <w:rPr>
                <w:lang w:bidi="sa-IN"/>
              </w:rPr>
              <w:t>*5.4</w:t>
            </w:r>
          </w:p>
        </w:tc>
        <w:tc>
          <w:tcPr>
            <w:tcW w:w="9660" w:type="dxa"/>
            <w:tcBorders>
              <w:top w:val="single" w:color="auto" w:sz="4" w:space="0"/>
              <w:left w:val="nil"/>
              <w:bottom w:val="single" w:color="auto" w:sz="4" w:space="0"/>
              <w:right w:val="single" w:color="auto" w:sz="4" w:space="0"/>
            </w:tcBorders>
            <w:shd w:val="clear" w:color="auto" w:fill="auto"/>
            <w:vAlign w:val="center"/>
          </w:tcPr>
          <w:p w14:paraId="54E80810">
            <w:pPr>
              <w:rPr>
                <w:lang w:eastAsia="zh-CN" w:bidi="sa-IN"/>
              </w:rPr>
            </w:pPr>
            <w:r>
              <w:rPr>
                <w:lang w:eastAsia="zh-CN" w:bidi="sa-IN"/>
              </w:rPr>
              <w:t>建立批生产记录制度，批生产记录至少应当包括：生产指令、各工序生产记录、工艺参数、中间产品和产品检验报告、清场记录、物料平衡记录、生产偏差处理以及最小销售包装的标签说明书等内容。</w:t>
            </w:r>
          </w:p>
        </w:tc>
        <w:tc>
          <w:tcPr>
            <w:tcW w:w="968" w:type="dxa"/>
            <w:tcBorders>
              <w:top w:val="single" w:color="auto" w:sz="4" w:space="0"/>
              <w:left w:val="nil"/>
              <w:bottom w:val="single" w:color="auto" w:sz="4" w:space="0"/>
              <w:right w:val="single" w:color="auto" w:sz="4" w:space="0"/>
            </w:tcBorders>
            <w:shd w:val="clear" w:color="auto" w:fill="auto"/>
            <w:vAlign w:val="center"/>
          </w:tcPr>
          <w:p w14:paraId="43EEE03F">
            <w:pPr>
              <w:rPr>
                <w:lang w:eastAsia="zh-CN" w:bidi="sa-IN"/>
              </w:rPr>
            </w:pPr>
            <w:r>
              <w:rPr>
                <w:lang w:eastAsia="zh-CN" w:bidi="sa-IN"/>
              </w:rPr>
              <w:t>　</w:t>
            </w:r>
          </w:p>
        </w:tc>
        <w:tc>
          <w:tcPr>
            <w:tcW w:w="1763" w:type="dxa"/>
            <w:vMerge w:val="continue"/>
            <w:tcBorders>
              <w:left w:val="single" w:color="auto" w:sz="4" w:space="0"/>
              <w:bottom w:val="nil"/>
              <w:right w:val="single" w:color="auto" w:sz="4" w:space="0"/>
            </w:tcBorders>
            <w:vAlign w:val="center"/>
          </w:tcPr>
          <w:p w14:paraId="7AF02619">
            <w:pPr>
              <w:rPr>
                <w:lang w:eastAsia="zh-CN" w:bidi="sa-IN"/>
              </w:rPr>
            </w:pPr>
          </w:p>
        </w:tc>
      </w:tr>
      <w:tr w14:paraId="125B9949">
        <w:tblPrEx>
          <w:tblCellMar>
            <w:top w:w="0" w:type="dxa"/>
            <w:left w:w="108" w:type="dxa"/>
            <w:bottom w:w="0" w:type="dxa"/>
            <w:right w:w="108" w:type="dxa"/>
          </w:tblCellMar>
        </w:tblPrEx>
        <w:trPr>
          <w:trHeight w:val="423" w:hRule="atLeast"/>
          <w:jc w:val="center"/>
        </w:trPr>
        <w:tc>
          <w:tcPr>
            <w:tcW w:w="1134" w:type="dxa"/>
            <w:vMerge w:val="continue"/>
            <w:tcBorders>
              <w:left w:val="single" w:color="auto" w:sz="4" w:space="0"/>
              <w:bottom w:val="single" w:color="auto" w:sz="4" w:space="0"/>
              <w:right w:val="single" w:color="auto" w:sz="4" w:space="0"/>
            </w:tcBorders>
            <w:shd w:val="clear" w:color="auto" w:fill="auto"/>
            <w:vAlign w:val="center"/>
          </w:tcPr>
          <w:p w14:paraId="4A8CB894">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07FD5808">
            <w:pPr>
              <w:rPr>
                <w:lang w:bidi="sa-IN"/>
              </w:rPr>
            </w:pPr>
            <w:r>
              <w:rPr>
                <w:lang w:bidi="sa-IN"/>
              </w:rPr>
              <w:t>5.5</w:t>
            </w:r>
          </w:p>
        </w:tc>
        <w:tc>
          <w:tcPr>
            <w:tcW w:w="9660" w:type="dxa"/>
            <w:tcBorders>
              <w:top w:val="nil"/>
              <w:left w:val="nil"/>
              <w:bottom w:val="single" w:color="auto" w:sz="4" w:space="0"/>
              <w:right w:val="single" w:color="auto" w:sz="4" w:space="0"/>
            </w:tcBorders>
            <w:shd w:val="clear" w:color="auto" w:fill="auto"/>
            <w:vAlign w:val="center"/>
          </w:tcPr>
          <w:p w14:paraId="358DD93E">
            <w:pPr>
              <w:rPr>
                <w:lang w:eastAsia="zh-CN" w:bidi="sa-IN"/>
              </w:rPr>
            </w:pPr>
            <w:r>
              <w:rPr>
                <w:lang w:eastAsia="zh-CN" w:bidi="sa-IN"/>
              </w:rPr>
              <w:t>根据注册或备案的产品技术要求，制定保健食品企业标准。</w:t>
            </w:r>
          </w:p>
        </w:tc>
        <w:tc>
          <w:tcPr>
            <w:tcW w:w="968" w:type="dxa"/>
            <w:tcBorders>
              <w:top w:val="nil"/>
              <w:left w:val="nil"/>
              <w:bottom w:val="single" w:color="auto" w:sz="4" w:space="0"/>
              <w:right w:val="single" w:color="auto" w:sz="4" w:space="0"/>
            </w:tcBorders>
            <w:shd w:val="clear" w:color="auto" w:fill="auto"/>
            <w:vAlign w:val="center"/>
          </w:tcPr>
          <w:p w14:paraId="6B64211C">
            <w:pPr>
              <w:rPr>
                <w:lang w:eastAsia="zh-CN" w:bidi="sa-IN"/>
              </w:rPr>
            </w:pPr>
            <w:r>
              <w:rPr>
                <w:lang w:eastAsia="zh-CN" w:bidi="sa-IN"/>
              </w:rPr>
              <w:t>　</w:t>
            </w:r>
          </w:p>
        </w:tc>
        <w:tc>
          <w:tcPr>
            <w:tcW w:w="1763" w:type="dxa"/>
            <w:vMerge w:val="continue"/>
            <w:tcBorders>
              <w:left w:val="single" w:color="auto" w:sz="4" w:space="0"/>
              <w:bottom w:val="single" w:color="auto" w:sz="4" w:space="0"/>
              <w:right w:val="single" w:color="auto" w:sz="4" w:space="0"/>
            </w:tcBorders>
            <w:vAlign w:val="center"/>
          </w:tcPr>
          <w:p w14:paraId="156278B4">
            <w:pPr>
              <w:rPr>
                <w:lang w:eastAsia="zh-CN" w:bidi="sa-IN"/>
              </w:rPr>
            </w:pPr>
          </w:p>
        </w:tc>
      </w:tr>
      <w:tr w14:paraId="78F61782">
        <w:tblPrEx>
          <w:tblCellMar>
            <w:top w:w="0" w:type="dxa"/>
            <w:left w:w="108" w:type="dxa"/>
            <w:bottom w:w="0" w:type="dxa"/>
            <w:right w:w="108" w:type="dxa"/>
          </w:tblCellMar>
        </w:tblPrEx>
        <w:trPr>
          <w:trHeight w:val="848" w:hRule="atLeast"/>
          <w:jc w:val="center"/>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4B88B81E">
            <w:pPr>
              <w:rPr>
                <w:lang w:bidi="sa-IN"/>
              </w:rPr>
            </w:pPr>
            <w:r>
              <w:rPr>
                <w:lang w:bidi="sa-IN"/>
              </w:rPr>
              <w:t>审查项目</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304A4A03">
            <w:pPr>
              <w:rPr>
                <w:lang w:bidi="sa-IN"/>
              </w:rPr>
            </w:pPr>
            <w:r>
              <w:rPr>
                <w:lang w:bidi="sa-IN"/>
              </w:rPr>
              <w:t>序号</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07BD0F0F">
            <w:pPr>
              <w:rPr>
                <w:lang w:bidi="sa-IN"/>
              </w:rPr>
            </w:pPr>
            <w:r>
              <w:rPr>
                <w:lang w:bidi="sa-IN"/>
              </w:rPr>
              <w:t>审查内容</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158C6649">
            <w:pPr>
              <w:rPr>
                <w:sz w:val="22"/>
                <w:szCs w:val="22"/>
                <w:lang w:bidi="sa-IN"/>
              </w:rPr>
            </w:pPr>
            <w:r>
              <w:rPr>
                <w:rFonts w:hint="eastAsia"/>
                <w:lang w:eastAsia="zh-CN"/>
              </w:rPr>
              <w:t>备注</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14C4383A">
            <w:pPr>
              <w:rPr>
                <w:sz w:val="22"/>
                <w:szCs w:val="22"/>
                <w:lang w:bidi="sa-IN"/>
              </w:rPr>
            </w:pPr>
            <w:r>
              <w:rPr>
                <w:rFonts w:hint="eastAsia"/>
                <w:lang w:eastAsia="zh-CN"/>
              </w:rPr>
              <w:t>现场评审指引</w:t>
            </w:r>
          </w:p>
        </w:tc>
      </w:tr>
      <w:tr w14:paraId="737EB0F2">
        <w:tblPrEx>
          <w:tblCellMar>
            <w:top w:w="0" w:type="dxa"/>
            <w:left w:w="108" w:type="dxa"/>
            <w:bottom w:w="0" w:type="dxa"/>
            <w:right w:w="108" w:type="dxa"/>
          </w:tblCellMar>
        </w:tblPrEx>
        <w:trPr>
          <w:trHeight w:val="817" w:hRule="atLeast"/>
          <w:jc w:val="center"/>
        </w:trPr>
        <w:tc>
          <w:tcPr>
            <w:tcW w:w="1134" w:type="dxa"/>
            <w:vMerge w:val="restart"/>
            <w:tcBorders>
              <w:top w:val="single" w:color="auto" w:sz="4" w:space="0"/>
              <w:left w:val="single" w:color="auto" w:sz="4" w:space="0"/>
              <w:right w:val="single" w:color="auto" w:sz="4" w:space="0"/>
            </w:tcBorders>
            <w:shd w:val="clear" w:color="auto" w:fill="auto"/>
            <w:vAlign w:val="center"/>
          </w:tcPr>
          <w:p w14:paraId="113A4BA3">
            <w:pPr>
              <w:rPr>
                <w:lang w:bidi="sa-IN"/>
              </w:rPr>
            </w:pPr>
            <w:r>
              <w:rPr>
                <w:rFonts w:hint="eastAsia" w:ascii="宋体" w:hAnsi="宋体" w:eastAsia="宋体" w:cs="宋体"/>
                <w:lang w:bidi="sa-IN"/>
              </w:rPr>
              <w:t>生产过程控制</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5B58D451">
            <w:pPr>
              <w:rPr>
                <w:lang w:bidi="sa-IN"/>
              </w:rPr>
            </w:pPr>
            <w:r>
              <w:rPr>
                <w:lang w:bidi="sa-IN"/>
              </w:rPr>
              <w:t>5.6</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1C955348">
            <w:pPr>
              <w:rPr>
                <w:lang w:eastAsia="zh-CN" w:bidi="sa-IN"/>
              </w:rPr>
            </w:pPr>
            <w:r>
              <w:rPr>
                <w:lang w:eastAsia="zh-CN" w:bidi="sa-IN"/>
              </w:rPr>
              <w:t>工作人员进入生产区，要按规定进行洗手、消毒和更衣，不得化妆和佩带饰物，头发藏于工作帽内或使用发网约束。</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39B6FE4D">
            <w:pPr>
              <w:rPr>
                <w:lang w:eastAsia="zh-CN" w:bidi="sa-IN"/>
              </w:rPr>
            </w:pPr>
            <w:r>
              <w:rPr>
                <w:lang w:eastAsia="zh-CN" w:bidi="sa-IN"/>
              </w:rPr>
              <w:t>　</w:t>
            </w:r>
          </w:p>
        </w:tc>
        <w:tc>
          <w:tcPr>
            <w:tcW w:w="17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DA71BA">
            <w:pPr>
              <w:rPr>
                <w:lang w:eastAsia="zh-CN" w:bidi="sa-IN"/>
              </w:rPr>
            </w:pPr>
            <w:r>
              <w:rPr>
                <w:rFonts w:hint="eastAsia"/>
                <w:lang w:eastAsia="zh-CN" w:bidi="sa-IN"/>
              </w:rPr>
              <w:t>查车间工作人员进入车间前，是否按要求洗手更衣，</w:t>
            </w:r>
            <w:r>
              <w:rPr>
                <w:lang w:eastAsia="zh-CN" w:bidi="sa-IN"/>
              </w:rPr>
              <w:t>洁净级别</w:t>
            </w:r>
            <w:r>
              <w:rPr>
                <w:rFonts w:hint="eastAsia"/>
                <w:lang w:eastAsia="zh-CN" w:bidi="sa-IN"/>
              </w:rPr>
              <w:t>不同</w:t>
            </w:r>
            <w:r>
              <w:rPr>
                <w:lang w:eastAsia="zh-CN" w:bidi="sa-IN"/>
              </w:rPr>
              <w:t>区域</w:t>
            </w:r>
            <w:r>
              <w:rPr>
                <w:rFonts w:hint="eastAsia"/>
                <w:lang w:eastAsia="zh-CN" w:bidi="sa-IN"/>
              </w:rPr>
              <w:t>，工作服样式有区分，查阅投料记录，物料消毒设施及消毒区域是否齐全，查产品的是否物料平衡等，查清场记录及设备的清洁标识。</w:t>
            </w:r>
          </w:p>
        </w:tc>
      </w:tr>
      <w:tr w14:paraId="6EA3329F">
        <w:tblPrEx>
          <w:tblCellMar>
            <w:top w:w="0" w:type="dxa"/>
            <w:left w:w="108" w:type="dxa"/>
            <w:bottom w:w="0" w:type="dxa"/>
            <w:right w:w="108" w:type="dxa"/>
          </w:tblCellMar>
        </w:tblPrEx>
        <w:trPr>
          <w:trHeight w:val="773" w:hRule="atLeast"/>
          <w:jc w:val="center"/>
        </w:trPr>
        <w:tc>
          <w:tcPr>
            <w:tcW w:w="1134" w:type="dxa"/>
            <w:vMerge w:val="continue"/>
            <w:tcBorders>
              <w:left w:val="single" w:color="auto" w:sz="4" w:space="0"/>
              <w:right w:val="single" w:color="auto" w:sz="4" w:space="0"/>
            </w:tcBorders>
            <w:vAlign w:val="center"/>
          </w:tcPr>
          <w:p w14:paraId="38425606">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51FA8180">
            <w:pPr>
              <w:rPr>
                <w:lang w:bidi="sa-IN"/>
              </w:rPr>
            </w:pPr>
            <w:r>
              <w:rPr>
                <w:lang w:bidi="sa-IN"/>
              </w:rPr>
              <w:t>5.7</w:t>
            </w:r>
          </w:p>
        </w:tc>
        <w:tc>
          <w:tcPr>
            <w:tcW w:w="9660" w:type="dxa"/>
            <w:tcBorders>
              <w:top w:val="single" w:color="auto" w:sz="4" w:space="0"/>
              <w:left w:val="nil"/>
              <w:bottom w:val="single" w:color="auto" w:sz="4" w:space="0"/>
              <w:right w:val="single" w:color="auto" w:sz="4" w:space="0"/>
            </w:tcBorders>
            <w:shd w:val="clear" w:color="auto" w:fill="auto"/>
            <w:vAlign w:val="center"/>
          </w:tcPr>
          <w:p w14:paraId="133FC2B1">
            <w:pPr>
              <w:rPr>
                <w:lang w:eastAsia="zh-CN" w:bidi="sa-IN"/>
              </w:rPr>
            </w:pPr>
            <w:r>
              <w:rPr>
                <w:lang w:eastAsia="zh-CN" w:bidi="sa-IN"/>
              </w:rPr>
              <w:t>工作服的选材、式样及穿戴方式应当与生产操作和空气洁净度级别要求相适应，不同洁净级别区域的工作服不得混用。</w:t>
            </w:r>
          </w:p>
        </w:tc>
        <w:tc>
          <w:tcPr>
            <w:tcW w:w="968" w:type="dxa"/>
            <w:tcBorders>
              <w:top w:val="single" w:color="auto" w:sz="4" w:space="0"/>
              <w:left w:val="nil"/>
              <w:bottom w:val="single" w:color="auto" w:sz="4" w:space="0"/>
              <w:right w:val="single" w:color="auto" w:sz="4" w:space="0"/>
            </w:tcBorders>
            <w:shd w:val="clear" w:color="auto" w:fill="auto"/>
            <w:vAlign w:val="center"/>
          </w:tcPr>
          <w:p w14:paraId="6996204F">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vAlign w:val="center"/>
          </w:tcPr>
          <w:p w14:paraId="5C678AD5">
            <w:pPr>
              <w:rPr>
                <w:lang w:eastAsia="zh-CN" w:bidi="sa-IN"/>
              </w:rPr>
            </w:pPr>
          </w:p>
        </w:tc>
      </w:tr>
      <w:tr w14:paraId="086DD7E3">
        <w:tblPrEx>
          <w:tblCellMar>
            <w:top w:w="0" w:type="dxa"/>
            <w:left w:w="108" w:type="dxa"/>
            <w:bottom w:w="0" w:type="dxa"/>
            <w:right w:w="108" w:type="dxa"/>
          </w:tblCellMar>
        </w:tblPrEx>
        <w:trPr>
          <w:trHeight w:val="756" w:hRule="atLeast"/>
          <w:jc w:val="center"/>
        </w:trPr>
        <w:tc>
          <w:tcPr>
            <w:tcW w:w="1134" w:type="dxa"/>
            <w:vMerge w:val="continue"/>
            <w:tcBorders>
              <w:left w:val="single" w:color="auto" w:sz="4" w:space="0"/>
              <w:right w:val="single" w:color="auto" w:sz="4" w:space="0"/>
            </w:tcBorders>
            <w:vAlign w:val="center"/>
          </w:tcPr>
          <w:p w14:paraId="50C4F03F">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253A1FAD">
            <w:pPr>
              <w:rPr>
                <w:lang w:bidi="sa-IN"/>
              </w:rPr>
            </w:pPr>
            <w:r>
              <w:rPr>
                <w:lang w:bidi="sa-IN"/>
              </w:rPr>
              <w:t>*5.8</w:t>
            </w:r>
          </w:p>
        </w:tc>
        <w:tc>
          <w:tcPr>
            <w:tcW w:w="9660" w:type="dxa"/>
            <w:tcBorders>
              <w:top w:val="nil"/>
              <w:left w:val="nil"/>
              <w:bottom w:val="single" w:color="auto" w:sz="4" w:space="0"/>
              <w:right w:val="single" w:color="auto" w:sz="4" w:space="0"/>
            </w:tcBorders>
            <w:shd w:val="clear" w:color="auto" w:fill="auto"/>
            <w:vAlign w:val="center"/>
          </w:tcPr>
          <w:p w14:paraId="2920756D">
            <w:pPr>
              <w:rPr>
                <w:lang w:eastAsia="zh-CN" w:bidi="sa-IN"/>
              </w:rPr>
            </w:pPr>
            <w:r>
              <w:rPr>
                <w:lang w:eastAsia="zh-CN" w:bidi="sa-IN"/>
              </w:rPr>
              <w:t>原辅料和包装材料的投料使用应当经过双人复核，确认其品名、规格、数量等内容与生产指令相符，并符合相应质量要求。</w:t>
            </w:r>
          </w:p>
        </w:tc>
        <w:tc>
          <w:tcPr>
            <w:tcW w:w="968" w:type="dxa"/>
            <w:tcBorders>
              <w:top w:val="nil"/>
              <w:left w:val="nil"/>
              <w:bottom w:val="single" w:color="auto" w:sz="4" w:space="0"/>
              <w:right w:val="single" w:color="auto" w:sz="4" w:space="0"/>
            </w:tcBorders>
            <w:shd w:val="clear" w:color="auto" w:fill="auto"/>
            <w:vAlign w:val="center"/>
          </w:tcPr>
          <w:p w14:paraId="605A6D1A">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391E2B09">
            <w:pPr>
              <w:rPr>
                <w:lang w:eastAsia="zh-CN" w:bidi="sa-IN"/>
              </w:rPr>
            </w:pPr>
          </w:p>
        </w:tc>
      </w:tr>
      <w:tr w14:paraId="64FA82DA">
        <w:tblPrEx>
          <w:tblCellMar>
            <w:top w:w="0" w:type="dxa"/>
            <w:left w:w="108" w:type="dxa"/>
            <w:bottom w:w="0" w:type="dxa"/>
            <w:right w:w="108" w:type="dxa"/>
          </w:tblCellMar>
        </w:tblPrEx>
        <w:trPr>
          <w:trHeight w:val="713" w:hRule="atLeast"/>
          <w:jc w:val="center"/>
        </w:trPr>
        <w:tc>
          <w:tcPr>
            <w:tcW w:w="1134" w:type="dxa"/>
            <w:vMerge w:val="continue"/>
            <w:tcBorders>
              <w:left w:val="single" w:color="auto" w:sz="4" w:space="0"/>
              <w:right w:val="single" w:color="auto" w:sz="4" w:space="0"/>
            </w:tcBorders>
            <w:shd w:val="clear" w:color="auto" w:fill="auto"/>
            <w:vAlign w:val="center"/>
          </w:tcPr>
          <w:p w14:paraId="6054F92A">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05985D49">
            <w:pPr>
              <w:rPr>
                <w:lang w:bidi="sa-IN"/>
              </w:rPr>
            </w:pPr>
            <w:r>
              <w:rPr>
                <w:lang w:bidi="sa-IN"/>
              </w:rPr>
              <w:t>5.9</w:t>
            </w:r>
          </w:p>
        </w:tc>
        <w:tc>
          <w:tcPr>
            <w:tcW w:w="9660" w:type="dxa"/>
            <w:tcBorders>
              <w:top w:val="nil"/>
              <w:left w:val="nil"/>
              <w:bottom w:val="single" w:color="auto" w:sz="4" w:space="0"/>
              <w:right w:val="single" w:color="auto" w:sz="4" w:space="0"/>
            </w:tcBorders>
            <w:shd w:val="clear" w:color="auto" w:fill="auto"/>
            <w:vAlign w:val="center"/>
          </w:tcPr>
          <w:p w14:paraId="07AD75D7">
            <w:pPr>
              <w:rPr>
                <w:lang w:eastAsia="zh-CN" w:bidi="sa-IN"/>
              </w:rPr>
            </w:pPr>
            <w:r>
              <w:rPr>
                <w:lang w:eastAsia="zh-CN" w:bidi="sa-IN"/>
              </w:rPr>
              <w:t>物料应当经过物流通道进入生产车间，进入洁净区的物料应当除去外包装，按照有关规定进行清洁消毒。</w:t>
            </w:r>
          </w:p>
        </w:tc>
        <w:tc>
          <w:tcPr>
            <w:tcW w:w="968" w:type="dxa"/>
            <w:tcBorders>
              <w:top w:val="nil"/>
              <w:left w:val="nil"/>
              <w:bottom w:val="single" w:color="auto" w:sz="4" w:space="0"/>
              <w:right w:val="single" w:color="auto" w:sz="4" w:space="0"/>
            </w:tcBorders>
            <w:shd w:val="clear" w:color="auto" w:fill="auto"/>
            <w:vAlign w:val="center"/>
          </w:tcPr>
          <w:p w14:paraId="064FB8F5">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4CB36D4F">
            <w:pPr>
              <w:rPr>
                <w:lang w:eastAsia="zh-CN" w:bidi="sa-IN"/>
              </w:rPr>
            </w:pPr>
          </w:p>
        </w:tc>
      </w:tr>
      <w:tr w14:paraId="4C63FB23">
        <w:tblPrEx>
          <w:tblCellMar>
            <w:top w:w="0" w:type="dxa"/>
            <w:left w:w="108" w:type="dxa"/>
            <w:bottom w:w="0" w:type="dxa"/>
            <w:right w:w="108" w:type="dxa"/>
          </w:tblCellMar>
        </w:tblPrEx>
        <w:trPr>
          <w:trHeight w:val="839" w:hRule="atLeast"/>
          <w:jc w:val="center"/>
        </w:trPr>
        <w:tc>
          <w:tcPr>
            <w:tcW w:w="1134" w:type="dxa"/>
            <w:vMerge w:val="continue"/>
            <w:tcBorders>
              <w:left w:val="single" w:color="auto" w:sz="4" w:space="0"/>
              <w:right w:val="single" w:color="auto" w:sz="4" w:space="0"/>
            </w:tcBorders>
            <w:vAlign w:val="center"/>
          </w:tcPr>
          <w:p w14:paraId="4CD52128">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64C7967B">
            <w:pPr>
              <w:rPr>
                <w:lang w:bidi="sa-IN"/>
              </w:rPr>
            </w:pPr>
            <w:r>
              <w:rPr>
                <w:lang w:bidi="sa-IN"/>
              </w:rPr>
              <w:t>5.10</w:t>
            </w:r>
          </w:p>
        </w:tc>
        <w:tc>
          <w:tcPr>
            <w:tcW w:w="9660" w:type="dxa"/>
            <w:tcBorders>
              <w:top w:val="nil"/>
              <w:left w:val="nil"/>
              <w:bottom w:val="single" w:color="auto" w:sz="4" w:space="0"/>
              <w:right w:val="single" w:color="auto" w:sz="4" w:space="0"/>
            </w:tcBorders>
            <w:shd w:val="clear" w:color="auto" w:fill="auto"/>
            <w:vAlign w:val="center"/>
          </w:tcPr>
          <w:p w14:paraId="64E51C64">
            <w:pPr>
              <w:rPr>
                <w:lang w:eastAsia="zh-CN" w:bidi="sa-IN"/>
              </w:rPr>
            </w:pPr>
            <w:r>
              <w:rPr>
                <w:lang w:eastAsia="zh-CN" w:bidi="sa-IN"/>
              </w:rPr>
              <w:t>中间产品应当标明名称、批号、数量和储存期限，按照储存期限和条件进行储存，并在规定的时间内完成生产。</w:t>
            </w:r>
          </w:p>
        </w:tc>
        <w:tc>
          <w:tcPr>
            <w:tcW w:w="968" w:type="dxa"/>
            <w:tcBorders>
              <w:top w:val="nil"/>
              <w:left w:val="nil"/>
              <w:bottom w:val="single" w:color="auto" w:sz="4" w:space="0"/>
              <w:right w:val="single" w:color="auto" w:sz="4" w:space="0"/>
            </w:tcBorders>
            <w:shd w:val="clear" w:color="auto" w:fill="auto"/>
            <w:vAlign w:val="center"/>
          </w:tcPr>
          <w:p w14:paraId="4D86A49C">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6F6DB317">
            <w:pPr>
              <w:rPr>
                <w:lang w:eastAsia="zh-CN" w:bidi="sa-IN"/>
              </w:rPr>
            </w:pPr>
          </w:p>
        </w:tc>
      </w:tr>
      <w:tr w14:paraId="0F7F7842">
        <w:tblPrEx>
          <w:tblCellMar>
            <w:top w:w="0" w:type="dxa"/>
            <w:left w:w="108" w:type="dxa"/>
            <w:bottom w:w="0" w:type="dxa"/>
            <w:right w:w="108" w:type="dxa"/>
          </w:tblCellMar>
        </w:tblPrEx>
        <w:trPr>
          <w:trHeight w:val="653" w:hRule="atLeast"/>
          <w:jc w:val="center"/>
        </w:trPr>
        <w:tc>
          <w:tcPr>
            <w:tcW w:w="1134" w:type="dxa"/>
            <w:vMerge w:val="continue"/>
            <w:tcBorders>
              <w:left w:val="single" w:color="auto" w:sz="4" w:space="0"/>
              <w:right w:val="single" w:color="auto" w:sz="4" w:space="0"/>
            </w:tcBorders>
            <w:vAlign w:val="center"/>
          </w:tcPr>
          <w:p w14:paraId="030F6A08">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33913A9E">
            <w:pPr>
              <w:rPr>
                <w:lang w:bidi="sa-IN"/>
              </w:rPr>
            </w:pPr>
            <w:r>
              <w:rPr>
                <w:lang w:bidi="sa-IN"/>
              </w:rPr>
              <w:t>*5.11</w:t>
            </w:r>
          </w:p>
        </w:tc>
        <w:tc>
          <w:tcPr>
            <w:tcW w:w="9660" w:type="dxa"/>
            <w:tcBorders>
              <w:top w:val="nil"/>
              <w:left w:val="nil"/>
              <w:bottom w:val="single" w:color="auto" w:sz="4" w:space="0"/>
              <w:right w:val="single" w:color="auto" w:sz="4" w:space="0"/>
            </w:tcBorders>
            <w:shd w:val="clear" w:color="auto" w:fill="auto"/>
            <w:vAlign w:val="center"/>
          </w:tcPr>
          <w:p w14:paraId="33B5B418">
            <w:pPr>
              <w:rPr>
                <w:lang w:eastAsia="zh-CN" w:bidi="sa-IN"/>
              </w:rPr>
            </w:pPr>
            <w:r>
              <w:rPr>
                <w:lang w:eastAsia="zh-CN" w:bidi="sa-IN"/>
              </w:rPr>
              <w:t>每批产品应当进行物料平衡检查，如有显著差异，必须查明原因，在确认无质量安全隐患后，方可按正常产品处理。</w:t>
            </w:r>
          </w:p>
        </w:tc>
        <w:tc>
          <w:tcPr>
            <w:tcW w:w="968" w:type="dxa"/>
            <w:tcBorders>
              <w:top w:val="nil"/>
              <w:left w:val="nil"/>
              <w:bottom w:val="single" w:color="auto" w:sz="4" w:space="0"/>
              <w:right w:val="single" w:color="auto" w:sz="4" w:space="0"/>
            </w:tcBorders>
            <w:shd w:val="clear" w:color="auto" w:fill="auto"/>
            <w:vAlign w:val="center"/>
          </w:tcPr>
          <w:p w14:paraId="31E8847E">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317B667A">
            <w:pPr>
              <w:rPr>
                <w:lang w:eastAsia="zh-CN" w:bidi="sa-IN"/>
              </w:rPr>
            </w:pPr>
          </w:p>
        </w:tc>
      </w:tr>
      <w:tr w14:paraId="221680BA">
        <w:tblPrEx>
          <w:tblCellMar>
            <w:top w:w="0" w:type="dxa"/>
            <w:left w:w="108" w:type="dxa"/>
            <w:bottom w:w="0" w:type="dxa"/>
            <w:right w:w="108" w:type="dxa"/>
          </w:tblCellMar>
        </w:tblPrEx>
        <w:trPr>
          <w:trHeight w:val="638" w:hRule="atLeast"/>
          <w:jc w:val="center"/>
        </w:trPr>
        <w:tc>
          <w:tcPr>
            <w:tcW w:w="1134" w:type="dxa"/>
            <w:vMerge w:val="continue"/>
            <w:tcBorders>
              <w:left w:val="single" w:color="auto" w:sz="4" w:space="0"/>
              <w:right w:val="single" w:color="auto" w:sz="4" w:space="0"/>
            </w:tcBorders>
            <w:vAlign w:val="center"/>
          </w:tcPr>
          <w:p w14:paraId="74A3D9B6">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34FF3505">
            <w:pPr>
              <w:rPr>
                <w:lang w:bidi="sa-IN"/>
              </w:rPr>
            </w:pPr>
            <w:r>
              <w:rPr>
                <w:lang w:bidi="sa-IN"/>
              </w:rPr>
              <w:t>5.12</w:t>
            </w:r>
          </w:p>
        </w:tc>
        <w:tc>
          <w:tcPr>
            <w:tcW w:w="9660" w:type="dxa"/>
            <w:tcBorders>
              <w:top w:val="nil"/>
              <w:left w:val="nil"/>
              <w:bottom w:val="single" w:color="auto" w:sz="4" w:space="0"/>
              <w:right w:val="single" w:color="auto" w:sz="4" w:space="0"/>
            </w:tcBorders>
            <w:shd w:val="clear" w:color="auto" w:fill="auto"/>
            <w:vAlign w:val="center"/>
          </w:tcPr>
          <w:p w14:paraId="18F7E90F">
            <w:pPr>
              <w:rPr>
                <w:lang w:eastAsia="zh-CN" w:bidi="sa-IN"/>
              </w:rPr>
            </w:pPr>
            <w:r>
              <w:rPr>
                <w:lang w:eastAsia="zh-CN" w:bidi="sa-IN"/>
              </w:rPr>
              <w:t>需要杀菌或灭菌的保健食品，应当按照生产工艺要求选择合适有效的杀菌或灭菌方法。</w:t>
            </w:r>
          </w:p>
        </w:tc>
        <w:tc>
          <w:tcPr>
            <w:tcW w:w="968" w:type="dxa"/>
            <w:tcBorders>
              <w:top w:val="nil"/>
              <w:left w:val="nil"/>
              <w:bottom w:val="single" w:color="auto" w:sz="4" w:space="0"/>
              <w:right w:val="single" w:color="auto" w:sz="4" w:space="0"/>
            </w:tcBorders>
            <w:shd w:val="clear" w:color="auto" w:fill="auto"/>
            <w:vAlign w:val="center"/>
          </w:tcPr>
          <w:p w14:paraId="47EDA4C5">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7F741108">
            <w:pPr>
              <w:rPr>
                <w:lang w:eastAsia="zh-CN" w:bidi="sa-IN"/>
              </w:rPr>
            </w:pPr>
          </w:p>
        </w:tc>
      </w:tr>
      <w:tr w14:paraId="0CD41158">
        <w:tblPrEx>
          <w:tblCellMar>
            <w:top w:w="0" w:type="dxa"/>
            <w:left w:w="108" w:type="dxa"/>
            <w:bottom w:w="0" w:type="dxa"/>
            <w:right w:w="108" w:type="dxa"/>
          </w:tblCellMar>
        </w:tblPrEx>
        <w:trPr>
          <w:trHeight w:val="1114" w:hRule="atLeast"/>
          <w:jc w:val="center"/>
        </w:trPr>
        <w:tc>
          <w:tcPr>
            <w:tcW w:w="1134" w:type="dxa"/>
            <w:vMerge w:val="continue"/>
            <w:tcBorders>
              <w:left w:val="single" w:color="auto" w:sz="4" w:space="0"/>
              <w:bottom w:val="single" w:color="auto" w:sz="4" w:space="0"/>
              <w:right w:val="single" w:color="auto" w:sz="4" w:space="0"/>
            </w:tcBorders>
            <w:vAlign w:val="center"/>
          </w:tcPr>
          <w:p w14:paraId="09443D5B">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7E99D07D">
            <w:pPr>
              <w:rPr>
                <w:lang w:bidi="sa-IN"/>
              </w:rPr>
            </w:pPr>
            <w:r>
              <w:rPr>
                <w:lang w:bidi="sa-IN"/>
              </w:rPr>
              <w:t>5.13</w:t>
            </w:r>
          </w:p>
        </w:tc>
        <w:tc>
          <w:tcPr>
            <w:tcW w:w="9660" w:type="dxa"/>
            <w:tcBorders>
              <w:top w:val="nil"/>
              <w:left w:val="nil"/>
              <w:bottom w:val="single" w:color="auto" w:sz="4" w:space="0"/>
              <w:right w:val="single" w:color="auto" w:sz="4" w:space="0"/>
            </w:tcBorders>
            <w:shd w:val="clear" w:color="auto" w:fill="auto"/>
            <w:vAlign w:val="center"/>
          </w:tcPr>
          <w:p w14:paraId="0C9423B4">
            <w:pPr>
              <w:rPr>
                <w:lang w:eastAsia="zh-CN" w:bidi="sa-IN"/>
              </w:rPr>
            </w:pPr>
            <w:r>
              <w:rPr>
                <w:lang w:eastAsia="zh-CN" w:bidi="sa-IN"/>
              </w:rPr>
              <w:t>每批产品生产结束应当按规定程序进行清场，生产用工具、容器、设备进行清洗清洁，生产操作间、生产设备和容器应当有清洁状态标识。</w:t>
            </w:r>
          </w:p>
        </w:tc>
        <w:tc>
          <w:tcPr>
            <w:tcW w:w="968" w:type="dxa"/>
            <w:tcBorders>
              <w:top w:val="nil"/>
              <w:left w:val="nil"/>
              <w:bottom w:val="single" w:color="auto" w:sz="4" w:space="0"/>
              <w:right w:val="single" w:color="auto" w:sz="4" w:space="0"/>
            </w:tcBorders>
            <w:shd w:val="clear" w:color="auto" w:fill="auto"/>
            <w:vAlign w:val="center"/>
          </w:tcPr>
          <w:p w14:paraId="5192018C">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635DB294">
            <w:pPr>
              <w:rPr>
                <w:lang w:eastAsia="zh-CN" w:bidi="sa-IN"/>
              </w:rPr>
            </w:pPr>
          </w:p>
        </w:tc>
      </w:tr>
      <w:tr w14:paraId="4AFE0D6C">
        <w:tblPrEx>
          <w:tblCellMar>
            <w:top w:w="0" w:type="dxa"/>
            <w:left w:w="108" w:type="dxa"/>
            <w:bottom w:w="0" w:type="dxa"/>
            <w:right w:w="108" w:type="dxa"/>
          </w:tblCellMar>
        </w:tblPrEx>
        <w:trPr>
          <w:trHeight w:val="990" w:hRule="atLeast"/>
          <w:jc w:val="center"/>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FB05CDB">
            <w:pPr>
              <w:rPr>
                <w:lang w:bidi="sa-IN"/>
              </w:rPr>
            </w:pPr>
            <w:r>
              <w:rPr>
                <w:lang w:bidi="sa-IN"/>
              </w:rPr>
              <w:t>审查项目</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41C723ED">
            <w:pPr>
              <w:rPr>
                <w:lang w:bidi="sa-IN"/>
              </w:rPr>
            </w:pPr>
            <w:r>
              <w:rPr>
                <w:lang w:bidi="sa-IN"/>
              </w:rPr>
              <w:t>序号</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4F60EC48">
            <w:pPr>
              <w:rPr>
                <w:lang w:bidi="sa-IN"/>
              </w:rPr>
            </w:pPr>
            <w:r>
              <w:rPr>
                <w:lang w:bidi="sa-IN"/>
              </w:rPr>
              <w:t>审查内容</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FB0456C">
            <w:pPr>
              <w:rPr>
                <w:sz w:val="22"/>
                <w:szCs w:val="22"/>
                <w:lang w:bidi="sa-IN"/>
              </w:rPr>
            </w:pPr>
            <w:r>
              <w:rPr>
                <w:rFonts w:hint="eastAsia"/>
                <w:lang w:eastAsia="zh-CN"/>
              </w:rPr>
              <w:t>备注</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6656A84B">
            <w:pPr>
              <w:rPr>
                <w:sz w:val="22"/>
                <w:szCs w:val="22"/>
                <w:lang w:bidi="sa-IN"/>
              </w:rPr>
            </w:pPr>
            <w:r>
              <w:rPr>
                <w:rFonts w:hint="eastAsia"/>
                <w:lang w:eastAsia="zh-CN"/>
              </w:rPr>
              <w:t>现场评审指引</w:t>
            </w:r>
          </w:p>
        </w:tc>
      </w:tr>
      <w:tr w14:paraId="0918C2C1">
        <w:tblPrEx>
          <w:tblCellMar>
            <w:top w:w="0" w:type="dxa"/>
            <w:left w:w="108" w:type="dxa"/>
            <w:bottom w:w="0" w:type="dxa"/>
            <w:right w:w="108" w:type="dxa"/>
          </w:tblCellMar>
        </w:tblPrEx>
        <w:trPr>
          <w:trHeight w:val="834" w:hRule="atLeast"/>
          <w:jc w:val="center"/>
        </w:trPr>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7872B6">
            <w:pPr>
              <w:rPr>
                <w:lang w:bidi="sa-IN"/>
              </w:rPr>
            </w:pPr>
            <w:r>
              <w:rPr>
                <w:rFonts w:hint="eastAsia" w:ascii="宋体" w:hAnsi="宋体" w:eastAsia="宋体" w:cs="宋体"/>
                <w:lang w:bidi="sa-IN"/>
              </w:rPr>
              <w:t>委托生产</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23BC3E88">
            <w:pPr>
              <w:rPr>
                <w:lang w:bidi="sa-IN"/>
              </w:rPr>
            </w:pPr>
            <w:r>
              <w:rPr>
                <w:lang w:bidi="sa-IN"/>
              </w:rPr>
              <w:t>**5.14</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3FB12AD9">
            <w:pPr>
              <w:rPr>
                <w:lang w:eastAsia="zh-CN" w:bidi="sa-IN"/>
              </w:rPr>
            </w:pPr>
            <w:r>
              <w:rPr>
                <w:lang w:eastAsia="zh-CN" w:bidi="sa-IN"/>
              </w:rPr>
              <w:t>委托方应是保健食品注册证书持有人，受托方应能够完成委托生产品种的全部生产过程。保健食品的原注册人可以对转备案保健食品进行委托生产。</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4E65ED5A">
            <w:pPr>
              <w:rPr>
                <w:lang w:eastAsia="zh-CN" w:bidi="sa-IN"/>
              </w:rPr>
            </w:pPr>
            <w:r>
              <w:rPr>
                <w:rFonts w:hint="eastAsia"/>
                <w:lang w:eastAsia="zh-CN" w:bidi="sa-IN"/>
              </w:rPr>
              <w:t>若此项不符合要求，审查结论为直接判为不合格。　</w:t>
            </w:r>
          </w:p>
        </w:tc>
        <w:tc>
          <w:tcPr>
            <w:tcW w:w="17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3B805B">
            <w:pPr>
              <w:rPr>
                <w:lang w:eastAsia="zh-CN" w:bidi="sa-IN"/>
              </w:rPr>
            </w:pPr>
            <w:r>
              <w:rPr>
                <w:lang w:eastAsia="zh-CN" w:bidi="sa-IN"/>
              </w:rPr>
              <w:t>　</w:t>
            </w:r>
            <w:r>
              <w:rPr>
                <w:rFonts w:hint="eastAsia"/>
                <w:lang w:eastAsia="zh-CN" w:bidi="sa-IN"/>
              </w:rPr>
              <w:t>调阅委托方</w:t>
            </w:r>
            <w:r>
              <w:rPr>
                <w:lang w:eastAsia="zh-CN" w:bidi="sa-IN"/>
              </w:rPr>
              <w:t>保健食品注册证书持有人</w:t>
            </w:r>
            <w:r>
              <w:rPr>
                <w:rFonts w:hint="eastAsia"/>
                <w:lang w:eastAsia="zh-CN" w:bidi="sa-IN"/>
              </w:rPr>
              <w:t>的证明材料，</w:t>
            </w:r>
            <w:r>
              <w:rPr>
                <w:lang w:eastAsia="zh-CN" w:bidi="sa-IN"/>
              </w:rPr>
              <w:t>委托双方</w:t>
            </w:r>
            <w:r>
              <w:rPr>
                <w:rFonts w:hint="eastAsia"/>
                <w:lang w:eastAsia="zh-CN" w:bidi="sa-IN"/>
              </w:rPr>
              <w:t>委托生产协议，查受委托生产产品的质量管理制度及受委托生产产品的生产记录。</w:t>
            </w:r>
          </w:p>
        </w:tc>
      </w:tr>
      <w:tr w14:paraId="008C5588">
        <w:tblPrEx>
          <w:tblCellMar>
            <w:top w:w="0" w:type="dxa"/>
            <w:left w:w="108" w:type="dxa"/>
            <w:bottom w:w="0" w:type="dxa"/>
            <w:right w:w="108" w:type="dxa"/>
          </w:tblCellMar>
        </w:tblPrEx>
        <w:trPr>
          <w:trHeight w:val="140" w:hRule="atLeast"/>
          <w:jc w:val="center"/>
        </w:trPr>
        <w:tc>
          <w:tcPr>
            <w:tcW w:w="1134" w:type="dxa"/>
            <w:vMerge w:val="continue"/>
            <w:tcBorders>
              <w:top w:val="single" w:color="auto" w:sz="4" w:space="0"/>
              <w:left w:val="single" w:color="auto" w:sz="4" w:space="0"/>
              <w:bottom w:val="single" w:color="auto" w:sz="4" w:space="0"/>
              <w:right w:val="single" w:color="auto" w:sz="4" w:space="0"/>
            </w:tcBorders>
            <w:vAlign w:val="center"/>
          </w:tcPr>
          <w:p w14:paraId="3A8E9287">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7862F036">
            <w:pPr>
              <w:rPr>
                <w:lang w:bidi="sa-IN"/>
              </w:rPr>
            </w:pPr>
            <w:r>
              <w:rPr>
                <w:lang w:bidi="sa-IN"/>
              </w:rPr>
              <w:t>5.15</w:t>
            </w:r>
          </w:p>
        </w:tc>
        <w:tc>
          <w:tcPr>
            <w:tcW w:w="9660" w:type="dxa"/>
            <w:tcBorders>
              <w:top w:val="single" w:color="auto" w:sz="4" w:space="0"/>
              <w:left w:val="nil"/>
              <w:bottom w:val="single" w:color="auto" w:sz="4" w:space="0"/>
              <w:right w:val="single" w:color="auto" w:sz="4" w:space="0"/>
            </w:tcBorders>
            <w:shd w:val="clear" w:color="auto" w:fill="auto"/>
            <w:vAlign w:val="center"/>
          </w:tcPr>
          <w:p w14:paraId="5B56BAF0">
            <w:pPr>
              <w:rPr>
                <w:lang w:eastAsia="zh-CN" w:bidi="sa-IN"/>
              </w:rPr>
            </w:pPr>
            <w:r>
              <w:rPr>
                <w:lang w:eastAsia="zh-CN" w:bidi="sa-IN"/>
              </w:rPr>
              <w:t>委托双方应当签订委托生产协议，明确双方的质量责任和权利义务。</w:t>
            </w:r>
          </w:p>
        </w:tc>
        <w:tc>
          <w:tcPr>
            <w:tcW w:w="968" w:type="dxa"/>
            <w:tcBorders>
              <w:top w:val="single" w:color="auto" w:sz="4" w:space="0"/>
              <w:left w:val="nil"/>
              <w:bottom w:val="single" w:color="auto" w:sz="4" w:space="0"/>
              <w:right w:val="single" w:color="auto" w:sz="4" w:space="0"/>
            </w:tcBorders>
            <w:shd w:val="clear" w:color="auto" w:fill="auto"/>
            <w:vAlign w:val="center"/>
          </w:tcPr>
          <w:p w14:paraId="47B7B338">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vAlign w:val="center"/>
          </w:tcPr>
          <w:p w14:paraId="74951A79">
            <w:pPr>
              <w:rPr>
                <w:lang w:eastAsia="zh-CN" w:bidi="sa-IN"/>
              </w:rPr>
            </w:pPr>
          </w:p>
        </w:tc>
      </w:tr>
      <w:tr w14:paraId="4E7BB71D">
        <w:tblPrEx>
          <w:tblCellMar>
            <w:top w:w="0" w:type="dxa"/>
            <w:left w:w="108" w:type="dxa"/>
            <w:bottom w:w="0" w:type="dxa"/>
            <w:right w:w="108" w:type="dxa"/>
          </w:tblCellMar>
        </w:tblPrEx>
        <w:trPr>
          <w:trHeight w:val="299"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4B0D6420">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11AFADFD">
            <w:pPr>
              <w:rPr>
                <w:lang w:bidi="sa-IN"/>
              </w:rPr>
            </w:pPr>
            <w:r>
              <w:rPr>
                <w:lang w:bidi="sa-IN"/>
              </w:rPr>
              <w:t>*5.16</w:t>
            </w:r>
          </w:p>
        </w:tc>
        <w:tc>
          <w:tcPr>
            <w:tcW w:w="9660" w:type="dxa"/>
            <w:tcBorders>
              <w:top w:val="nil"/>
              <w:left w:val="nil"/>
              <w:bottom w:val="single" w:color="auto" w:sz="4" w:space="0"/>
              <w:right w:val="single" w:color="auto" w:sz="4" w:space="0"/>
            </w:tcBorders>
            <w:shd w:val="clear" w:color="auto" w:fill="auto"/>
            <w:vAlign w:val="center"/>
          </w:tcPr>
          <w:p w14:paraId="5B8B5D9B">
            <w:pPr>
              <w:rPr>
                <w:lang w:eastAsia="zh-CN" w:bidi="sa-IN"/>
              </w:rPr>
            </w:pPr>
            <w:r>
              <w:rPr>
                <w:lang w:eastAsia="zh-CN" w:bidi="sa-IN"/>
              </w:rPr>
              <w:t>受托方应建立受委托生产产品的质量管理制度，承担受委托生产产品的质量责任。</w:t>
            </w:r>
          </w:p>
        </w:tc>
        <w:tc>
          <w:tcPr>
            <w:tcW w:w="968" w:type="dxa"/>
            <w:tcBorders>
              <w:top w:val="nil"/>
              <w:left w:val="nil"/>
              <w:bottom w:val="single" w:color="auto" w:sz="4" w:space="0"/>
              <w:right w:val="single" w:color="auto" w:sz="4" w:space="0"/>
            </w:tcBorders>
            <w:shd w:val="clear" w:color="auto" w:fill="auto"/>
            <w:vAlign w:val="center"/>
          </w:tcPr>
          <w:p w14:paraId="7169651A">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3A36E287">
            <w:pPr>
              <w:rPr>
                <w:lang w:eastAsia="zh-CN" w:bidi="sa-IN"/>
              </w:rPr>
            </w:pPr>
          </w:p>
        </w:tc>
      </w:tr>
      <w:tr w14:paraId="637B870A">
        <w:tblPrEx>
          <w:tblCellMar>
            <w:top w:w="0" w:type="dxa"/>
            <w:left w:w="108" w:type="dxa"/>
            <w:bottom w:w="0" w:type="dxa"/>
            <w:right w:w="108" w:type="dxa"/>
          </w:tblCellMar>
        </w:tblPrEx>
        <w:trPr>
          <w:trHeight w:val="275"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3D276469">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08E3353F">
            <w:pPr>
              <w:rPr>
                <w:lang w:bidi="sa-IN"/>
              </w:rPr>
            </w:pPr>
            <w:r>
              <w:rPr>
                <w:lang w:bidi="sa-IN"/>
              </w:rPr>
              <w:t>5.17</w:t>
            </w:r>
          </w:p>
        </w:tc>
        <w:tc>
          <w:tcPr>
            <w:tcW w:w="9660" w:type="dxa"/>
            <w:tcBorders>
              <w:top w:val="nil"/>
              <w:left w:val="nil"/>
              <w:bottom w:val="single" w:color="auto" w:sz="4" w:space="0"/>
              <w:right w:val="single" w:color="auto" w:sz="4" w:space="0"/>
            </w:tcBorders>
            <w:shd w:val="clear" w:color="auto" w:fill="auto"/>
            <w:vAlign w:val="center"/>
          </w:tcPr>
          <w:p w14:paraId="73DBE8C6">
            <w:pPr>
              <w:rPr>
                <w:lang w:eastAsia="zh-CN" w:bidi="sa-IN"/>
              </w:rPr>
            </w:pPr>
            <w:r>
              <w:rPr>
                <w:lang w:eastAsia="zh-CN" w:bidi="sa-IN"/>
              </w:rPr>
              <w:t>受托方应留存受委托生产产品的生产记录，并做好产品留样。</w:t>
            </w:r>
          </w:p>
        </w:tc>
        <w:tc>
          <w:tcPr>
            <w:tcW w:w="968" w:type="dxa"/>
            <w:tcBorders>
              <w:top w:val="nil"/>
              <w:left w:val="nil"/>
              <w:bottom w:val="single" w:color="auto" w:sz="4" w:space="0"/>
              <w:right w:val="single" w:color="auto" w:sz="4" w:space="0"/>
            </w:tcBorders>
            <w:shd w:val="clear" w:color="auto" w:fill="auto"/>
            <w:vAlign w:val="center"/>
          </w:tcPr>
          <w:p w14:paraId="424B4404">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632FDA6D">
            <w:pPr>
              <w:rPr>
                <w:lang w:eastAsia="zh-CN" w:bidi="sa-IN"/>
              </w:rPr>
            </w:pPr>
          </w:p>
        </w:tc>
      </w:tr>
      <w:tr w14:paraId="7FC72093">
        <w:tblPrEx>
          <w:tblCellMar>
            <w:top w:w="0" w:type="dxa"/>
            <w:left w:w="108" w:type="dxa"/>
            <w:bottom w:w="0" w:type="dxa"/>
            <w:right w:w="108" w:type="dxa"/>
          </w:tblCellMar>
        </w:tblPrEx>
        <w:trPr>
          <w:trHeight w:val="266" w:hRule="atLeast"/>
          <w:jc w:val="center"/>
        </w:trPr>
        <w:tc>
          <w:tcPr>
            <w:tcW w:w="145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7F41D934">
            <w:pPr>
              <w:rPr>
                <w:lang w:bidi="sa-IN"/>
              </w:rPr>
            </w:pPr>
            <w:r>
              <w:rPr>
                <w:rFonts w:hint="eastAsia" w:ascii="宋体" w:hAnsi="宋体" w:eastAsia="宋体" w:cs="宋体"/>
                <w:lang w:bidi="sa-IN"/>
              </w:rPr>
              <w:t>六、品质管理</w:t>
            </w:r>
          </w:p>
        </w:tc>
      </w:tr>
      <w:tr w14:paraId="3E242740">
        <w:tblPrEx>
          <w:tblCellMar>
            <w:top w:w="0" w:type="dxa"/>
            <w:left w:w="108" w:type="dxa"/>
            <w:bottom w:w="0" w:type="dxa"/>
            <w:right w:w="108" w:type="dxa"/>
          </w:tblCellMar>
        </w:tblPrEx>
        <w:trPr>
          <w:trHeight w:val="269" w:hRule="atLeast"/>
          <w:jc w:val="center"/>
        </w:trPr>
        <w:tc>
          <w:tcPr>
            <w:tcW w:w="1134" w:type="dxa"/>
            <w:tcBorders>
              <w:top w:val="nil"/>
              <w:left w:val="single" w:color="auto" w:sz="4" w:space="0"/>
              <w:bottom w:val="single" w:color="auto" w:sz="4" w:space="0"/>
              <w:right w:val="single" w:color="auto" w:sz="4" w:space="0"/>
            </w:tcBorders>
            <w:shd w:val="clear" w:color="auto" w:fill="auto"/>
            <w:vAlign w:val="center"/>
          </w:tcPr>
          <w:p w14:paraId="4BA29FD5">
            <w:pPr>
              <w:rPr>
                <w:lang w:bidi="sa-IN"/>
              </w:rPr>
            </w:pPr>
            <w:r>
              <w:rPr>
                <w:rFonts w:hint="eastAsia" w:ascii="宋体" w:hAnsi="宋体" w:eastAsia="宋体" w:cs="宋体"/>
                <w:lang w:bidi="sa-IN"/>
              </w:rPr>
              <w:t>审查项目</w:t>
            </w:r>
          </w:p>
        </w:tc>
        <w:tc>
          <w:tcPr>
            <w:tcW w:w="1056" w:type="dxa"/>
            <w:tcBorders>
              <w:top w:val="nil"/>
              <w:left w:val="nil"/>
              <w:bottom w:val="single" w:color="auto" w:sz="4" w:space="0"/>
              <w:right w:val="single" w:color="auto" w:sz="4" w:space="0"/>
            </w:tcBorders>
            <w:shd w:val="clear" w:color="auto" w:fill="auto"/>
            <w:vAlign w:val="center"/>
          </w:tcPr>
          <w:p w14:paraId="1CCAD9D7">
            <w:pPr>
              <w:rPr>
                <w:lang w:bidi="sa-IN"/>
              </w:rPr>
            </w:pPr>
            <w:r>
              <w:rPr>
                <w:lang w:bidi="sa-IN"/>
              </w:rPr>
              <w:t>序号</w:t>
            </w:r>
          </w:p>
        </w:tc>
        <w:tc>
          <w:tcPr>
            <w:tcW w:w="9660" w:type="dxa"/>
            <w:tcBorders>
              <w:top w:val="nil"/>
              <w:left w:val="nil"/>
              <w:bottom w:val="single" w:color="auto" w:sz="4" w:space="0"/>
              <w:right w:val="single" w:color="auto" w:sz="4" w:space="0"/>
            </w:tcBorders>
            <w:shd w:val="clear" w:color="auto" w:fill="auto"/>
            <w:vAlign w:val="center"/>
          </w:tcPr>
          <w:p w14:paraId="58AA047D">
            <w:pPr>
              <w:rPr>
                <w:lang w:bidi="sa-IN"/>
              </w:rPr>
            </w:pPr>
            <w:r>
              <w:rPr>
                <w:lang w:bidi="sa-IN"/>
              </w:rPr>
              <w:t>审查内容</w:t>
            </w:r>
          </w:p>
        </w:tc>
        <w:tc>
          <w:tcPr>
            <w:tcW w:w="968" w:type="dxa"/>
            <w:tcBorders>
              <w:top w:val="nil"/>
              <w:left w:val="nil"/>
              <w:bottom w:val="single" w:color="auto" w:sz="4" w:space="0"/>
              <w:right w:val="single" w:color="auto" w:sz="4" w:space="0"/>
            </w:tcBorders>
            <w:shd w:val="clear" w:color="auto" w:fill="auto"/>
            <w:vAlign w:val="center"/>
          </w:tcPr>
          <w:p w14:paraId="1B320930">
            <w:pPr>
              <w:rPr>
                <w:sz w:val="20"/>
                <w:szCs w:val="20"/>
                <w:lang w:bidi="sa-IN"/>
              </w:rPr>
            </w:pPr>
            <w:r>
              <w:rPr>
                <w:rFonts w:hint="eastAsia"/>
                <w:lang w:eastAsia="zh-CN"/>
              </w:rPr>
              <w:t>备注</w:t>
            </w:r>
          </w:p>
        </w:tc>
        <w:tc>
          <w:tcPr>
            <w:tcW w:w="1763" w:type="dxa"/>
            <w:tcBorders>
              <w:top w:val="nil"/>
              <w:left w:val="nil"/>
              <w:bottom w:val="single" w:color="auto" w:sz="4" w:space="0"/>
              <w:right w:val="single" w:color="auto" w:sz="4" w:space="0"/>
            </w:tcBorders>
            <w:shd w:val="clear" w:color="auto" w:fill="auto"/>
            <w:vAlign w:val="center"/>
          </w:tcPr>
          <w:p w14:paraId="2373236D">
            <w:pPr>
              <w:rPr>
                <w:sz w:val="22"/>
                <w:szCs w:val="22"/>
                <w:lang w:bidi="sa-IN"/>
              </w:rPr>
            </w:pPr>
            <w:r>
              <w:rPr>
                <w:rFonts w:hint="eastAsia"/>
                <w:lang w:eastAsia="zh-CN"/>
              </w:rPr>
              <w:t>现场评审指引</w:t>
            </w:r>
          </w:p>
        </w:tc>
      </w:tr>
      <w:tr w14:paraId="0D700DB1">
        <w:tblPrEx>
          <w:tblCellMar>
            <w:top w:w="0" w:type="dxa"/>
            <w:left w:w="108" w:type="dxa"/>
            <w:bottom w:w="0" w:type="dxa"/>
            <w:right w:w="108" w:type="dxa"/>
          </w:tblCellMar>
        </w:tblPrEx>
        <w:trPr>
          <w:trHeight w:val="634" w:hRule="atLeast"/>
          <w:jc w:val="center"/>
        </w:trPr>
        <w:tc>
          <w:tcPr>
            <w:tcW w:w="1134" w:type="dxa"/>
            <w:vMerge w:val="restart"/>
            <w:tcBorders>
              <w:top w:val="nil"/>
              <w:left w:val="single" w:color="auto" w:sz="4" w:space="0"/>
              <w:bottom w:val="single" w:color="auto" w:sz="4" w:space="0"/>
              <w:right w:val="single" w:color="auto" w:sz="4" w:space="0"/>
            </w:tcBorders>
            <w:shd w:val="clear" w:color="auto" w:fill="auto"/>
            <w:vAlign w:val="center"/>
          </w:tcPr>
          <w:p w14:paraId="7059DAC3">
            <w:pPr>
              <w:rPr>
                <w:lang w:bidi="sa-IN"/>
              </w:rPr>
            </w:pPr>
            <w:r>
              <w:rPr>
                <w:rFonts w:hint="eastAsia" w:ascii="宋体" w:hAnsi="宋体" w:eastAsia="宋体" w:cs="宋体"/>
                <w:lang w:bidi="sa-IN"/>
              </w:rPr>
              <w:t>质量管理制度</w:t>
            </w:r>
          </w:p>
        </w:tc>
        <w:tc>
          <w:tcPr>
            <w:tcW w:w="1056" w:type="dxa"/>
            <w:tcBorders>
              <w:top w:val="nil"/>
              <w:left w:val="nil"/>
              <w:bottom w:val="single" w:color="auto" w:sz="4" w:space="0"/>
              <w:right w:val="single" w:color="auto" w:sz="4" w:space="0"/>
            </w:tcBorders>
            <w:shd w:val="clear" w:color="auto" w:fill="auto"/>
            <w:vAlign w:val="center"/>
          </w:tcPr>
          <w:p w14:paraId="359F6166">
            <w:pPr>
              <w:rPr>
                <w:lang w:bidi="sa-IN"/>
              </w:rPr>
            </w:pPr>
            <w:r>
              <w:rPr>
                <w:lang w:bidi="sa-IN"/>
              </w:rPr>
              <w:t>*6.1</w:t>
            </w:r>
          </w:p>
        </w:tc>
        <w:tc>
          <w:tcPr>
            <w:tcW w:w="9660" w:type="dxa"/>
            <w:tcBorders>
              <w:top w:val="nil"/>
              <w:left w:val="nil"/>
              <w:bottom w:val="single" w:color="auto" w:sz="4" w:space="0"/>
              <w:right w:val="single" w:color="auto" w:sz="4" w:space="0"/>
            </w:tcBorders>
            <w:shd w:val="clear" w:color="auto" w:fill="auto"/>
            <w:vAlign w:val="center"/>
          </w:tcPr>
          <w:p w14:paraId="4F2428EE">
            <w:pPr>
              <w:rPr>
                <w:lang w:eastAsia="zh-CN" w:bidi="sa-IN"/>
              </w:rPr>
            </w:pPr>
            <w:r>
              <w:rPr>
                <w:lang w:eastAsia="zh-CN" w:bidi="sa-IN"/>
              </w:rPr>
              <w:t>企业应制定完善的质量管理制度，至少应包括以下内容：企业组织机构与部门质量管理职责；人员培训与健康管理制度；物料供应商管理制度；物料、中间产品和成品质量标准和放行制度；设施设备保养维修制度、仪器仪表检定校验制度；生产过程质量管理制度、贮存和运输管理制度、清场管理制度、验证管理制度、留样管理制度、稳定性考察制度、文件与记录管理制度、生产质量管理体系运行自查制度、不合格品管理制度、实验室管理制度、产品跟踪监测制度、不安全品召回制度以及安全事故处置制度等。</w:t>
            </w:r>
          </w:p>
        </w:tc>
        <w:tc>
          <w:tcPr>
            <w:tcW w:w="968" w:type="dxa"/>
            <w:tcBorders>
              <w:top w:val="nil"/>
              <w:left w:val="nil"/>
              <w:bottom w:val="single" w:color="auto" w:sz="4" w:space="0"/>
              <w:right w:val="single" w:color="auto" w:sz="4" w:space="0"/>
            </w:tcBorders>
            <w:shd w:val="clear" w:color="auto" w:fill="auto"/>
            <w:vAlign w:val="center"/>
          </w:tcPr>
          <w:p w14:paraId="41AE4B1F">
            <w:pPr>
              <w:rPr>
                <w:lang w:eastAsia="zh-CN" w:bidi="sa-IN"/>
              </w:rPr>
            </w:pPr>
            <w:r>
              <w:rPr>
                <w:lang w:eastAsia="zh-CN" w:bidi="sa-IN"/>
              </w:rPr>
              <w:t>　</w:t>
            </w:r>
          </w:p>
        </w:tc>
        <w:tc>
          <w:tcPr>
            <w:tcW w:w="1763" w:type="dxa"/>
            <w:vMerge w:val="restart"/>
            <w:tcBorders>
              <w:top w:val="nil"/>
              <w:left w:val="single" w:color="auto" w:sz="4" w:space="0"/>
              <w:bottom w:val="single" w:color="auto" w:sz="4" w:space="0"/>
              <w:right w:val="single" w:color="auto" w:sz="4" w:space="0"/>
            </w:tcBorders>
            <w:shd w:val="clear" w:color="auto" w:fill="auto"/>
            <w:vAlign w:val="center"/>
          </w:tcPr>
          <w:p w14:paraId="0B504884">
            <w:pPr>
              <w:rPr>
                <w:spacing w:val="-20"/>
                <w:lang w:eastAsia="zh-CN" w:bidi="sa-IN"/>
              </w:rPr>
            </w:pPr>
            <w:r>
              <w:rPr>
                <w:rFonts w:hint="eastAsia"/>
                <w:spacing w:val="-20"/>
                <w:lang w:eastAsia="zh-CN" w:bidi="sa-IN"/>
              </w:rPr>
              <w:t>查企业质量管理制度，是否包括管理职责、人员培训与健康管理制度；物料供应商管理制度；物料、中间产品和成品质量标准和放行制度；设施设备保养维修制度等制度内容，关键生产设备、空气净化系统、水处理系统的验证记录是否完整，</w:t>
            </w:r>
            <w:r>
              <w:rPr>
                <w:rFonts w:hint="eastAsia" w:ascii="宋体" w:hAnsi="宋体" w:eastAsia="宋体" w:cs="宋体"/>
                <w:spacing w:val="-20"/>
                <w:lang w:eastAsia="zh-CN" w:bidi="sa-IN"/>
              </w:rPr>
              <w:t>是否建立产品记录管理制度。</w:t>
            </w:r>
          </w:p>
        </w:tc>
      </w:tr>
      <w:tr w14:paraId="165E553A">
        <w:tblPrEx>
          <w:tblCellMar>
            <w:top w:w="0" w:type="dxa"/>
            <w:left w:w="108" w:type="dxa"/>
            <w:bottom w:w="0" w:type="dxa"/>
            <w:right w:w="108" w:type="dxa"/>
          </w:tblCellMar>
        </w:tblPrEx>
        <w:trPr>
          <w:trHeight w:val="563"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00D2EDBF">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709B7140">
            <w:pPr>
              <w:rPr>
                <w:lang w:bidi="sa-IN"/>
              </w:rPr>
            </w:pPr>
            <w:r>
              <w:rPr>
                <w:lang w:bidi="sa-IN"/>
              </w:rPr>
              <w:t>*6.2</w:t>
            </w:r>
          </w:p>
        </w:tc>
        <w:tc>
          <w:tcPr>
            <w:tcW w:w="9660" w:type="dxa"/>
            <w:tcBorders>
              <w:top w:val="nil"/>
              <w:left w:val="nil"/>
              <w:bottom w:val="single" w:color="auto" w:sz="4" w:space="0"/>
              <w:right w:val="single" w:color="auto" w:sz="4" w:space="0"/>
            </w:tcBorders>
            <w:shd w:val="clear" w:color="auto" w:fill="auto"/>
            <w:vAlign w:val="center"/>
          </w:tcPr>
          <w:p w14:paraId="2EFF67AE">
            <w:pPr>
              <w:rPr>
                <w:lang w:eastAsia="zh-CN" w:bidi="sa-IN"/>
              </w:rPr>
            </w:pPr>
            <w:r>
              <w:rPr>
                <w:lang w:eastAsia="zh-CN" w:bidi="sa-IN"/>
              </w:rPr>
              <w:t>企业应定期对工艺操作规程、关键生产设备、空气净化系统、水处理系统、杀菌或灭菌设备等进行验证，验证结果和结论应当有记录并留存。</w:t>
            </w:r>
          </w:p>
        </w:tc>
        <w:tc>
          <w:tcPr>
            <w:tcW w:w="968" w:type="dxa"/>
            <w:tcBorders>
              <w:top w:val="nil"/>
              <w:left w:val="nil"/>
              <w:bottom w:val="single" w:color="auto" w:sz="4" w:space="0"/>
              <w:right w:val="single" w:color="auto" w:sz="4" w:space="0"/>
            </w:tcBorders>
            <w:shd w:val="clear" w:color="auto" w:fill="auto"/>
            <w:vAlign w:val="center"/>
          </w:tcPr>
          <w:p w14:paraId="70CDFB2D">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72EE47E1">
            <w:pPr>
              <w:rPr>
                <w:lang w:eastAsia="zh-CN" w:bidi="sa-IN"/>
              </w:rPr>
            </w:pPr>
          </w:p>
        </w:tc>
      </w:tr>
      <w:tr w14:paraId="5AADDEF3">
        <w:tblPrEx>
          <w:tblCellMar>
            <w:top w:w="0" w:type="dxa"/>
            <w:left w:w="108" w:type="dxa"/>
            <w:bottom w:w="0" w:type="dxa"/>
            <w:right w:w="108" w:type="dxa"/>
          </w:tblCellMar>
        </w:tblPrEx>
        <w:trPr>
          <w:trHeight w:val="2162"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1C4131B9">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2CC1B16A">
            <w:pPr>
              <w:rPr>
                <w:lang w:bidi="sa-IN"/>
              </w:rPr>
            </w:pPr>
            <w:r>
              <w:rPr>
                <w:lang w:bidi="sa-IN"/>
              </w:rPr>
              <w:t>6.3</w:t>
            </w:r>
          </w:p>
        </w:tc>
        <w:tc>
          <w:tcPr>
            <w:tcW w:w="9660" w:type="dxa"/>
            <w:tcBorders>
              <w:top w:val="nil"/>
              <w:left w:val="nil"/>
              <w:bottom w:val="single" w:color="auto" w:sz="4" w:space="0"/>
              <w:right w:val="single" w:color="auto" w:sz="4" w:space="0"/>
            </w:tcBorders>
            <w:shd w:val="clear" w:color="auto" w:fill="auto"/>
            <w:vAlign w:val="center"/>
          </w:tcPr>
          <w:p w14:paraId="3ABDA832">
            <w:pPr>
              <w:rPr>
                <w:lang w:eastAsia="zh-CN" w:bidi="sa-IN"/>
              </w:rPr>
            </w:pPr>
            <w:r>
              <w:rPr>
                <w:lang w:eastAsia="zh-CN" w:bidi="sa-IN"/>
              </w:rPr>
              <w:t>建立产品记录管理制度，原料的采购、发放、投料以及产品的生产、检验、放行等记录要有专门机构负责管理，至少保存至保健食品保质期后一年，保存期限不得少于两年。</w:t>
            </w:r>
          </w:p>
        </w:tc>
        <w:tc>
          <w:tcPr>
            <w:tcW w:w="968" w:type="dxa"/>
            <w:tcBorders>
              <w:top w:val="nil"/>
              <w:left w:val="nil"/>
              <w:bottom w:val="single" w:color="auto" w:sz="4" w:space="0"/>
              <w:right w:val="single" w:color="auto" w:sz="4" w:space="0"/>
            </w:tcBorders>
            <w:shd w:val="clear" w:color="auto" w:fill="auto"/>
            <w:vAlign w:val="center"/>
          </w:tcPr>
          <w:p w14:paraId="7F2B974E">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3A5D5265">
            <w:pPr>
              <w:rPr>
                <w:lang w:eastAsia="zh-CN" w:bidi="sa-IN"/>
              </w:rPr>
            </w:pPr>
          </w:p>
        </w:tc>
      </w:tr>
      <w:tr w14:paraId="76489AC4">
        <w:tblPrEx>
          <w:tblCellMar>
            <w:top w:w="0" w:type="dxa"/>
            <w:left w:w="108" w:type="dxa"/>
            <w:bottom w:w="0" w:type="dxa"/>
            <w:right w:w="108" w:type="dxa"/>
          </w:tblCellMar>
        </w:tblPrEx>
        <w:trPr>
          <w:trHeight w:val="492" w:hRule="atLeast"/>
          <w:jc w:val="center"/>
        </w:trPr>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693A2BC0">
            <w:pPr>
              <w:rPr>
                <w:lang w:bidi="sa-IN"/>
              </w:rPr>
            </w:pPr>
            <w:r>
              <w:rPr>
                <w:lang w:bidi="sa-IN"/>
              </w:rPr>
              <w:t>审查项目</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38E72F1A">
            <w:pPr>
              <w:rPr>
                <w:lang w:bidi="sa-IN"/>
              </w:rPr>
            </w:pPr>
            <w:r>
              <w:rPr>
                <w:lang w:bidi="sa-IN"/>
              </w:rPr>
              <w:t>序号</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6CF3557B">
            <w:pPr>
              <w:rPr>
                <w:lang w:bidi="sa-IN"/>
              </w:rPr>
            </w:pPr>
            <w:r>
              <w:rPr>
                <w:lang w:bidi="sa-IN"/>
              </w:rPr>
              <w:t>审查内容</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77C2AF48">
            <w:pPr>
              <w:rPr>
                <w:sz w:val="22"/>
                <w:szCs w:val="22"/>
                <w:lang w:bidi="sa-IN"/>
              </w:rPr>
            </w:pPr>
            <w:r>
              <w:rPr>
                <w:rFonts w:hint="eastAsia"/>
                <w:lang w:eastAsia="zh-CN"/>
              </w:rPr>
              <w:t>备注</w:t>
            </w:r>
          </w:p>
        </w:tc>
        <w:tc>
          <w:tcPr>
            <w:tcW w:w="1763" w:type="dxa"/>
            <w:tcBorders>
              <w:top w:val="single" w:color="auto" w:sz="4" w:space="0"/>
              <w:left w:val="single" w:color="auto" w:sz="4" w:space="0"/>
              <w:bottom w:val="single" w:color="auto" w:sz="4" w:space="0"/>
              <w:right w:val="single" w:color="auto" w:sz="4" w:space="0"/>
            </w:tcBorders>
            <w:shd w:val="clear" w:color="auto" w:fill="auto"/>
            <w:vAlign w:val="center"/>
          </w:tcPr>
          <w:p w14:paraId="0FFBE1C2">
            <w:pPr>
              <w:rPr>
                <w:sz w:val="22"/>
                <w:szCs w:val="22"/>
                <w:lang w:bidi="sa-IN"/>
              </w:rPr>
            </w:pPr>
            <w:r>
              <w:rPr>
                <w:rFonts w:hint="eastAsia"/>
                <w:lang w:eastAsia="zh-CN"/>
              </w:rPr>
              <w:t>现场评审指引</w:t>
            </w:r>
          </w:p>
        </w:tc>
      </w:tr>
      <w:tr w14:paraId="72C2376A">
        <w:tblPrEx>
          <w:tblCellMar>
            <w:top w:w="0" w:type="dxa"/>
            <w:left w:w="108" w:type="dxa"/>
            <w:bottom w:w="0" w:type="dxa"/>
            <w:right w:w="108" w:type="dxa"/>
          </w:tblCellMar>
        </w:tblPrEx>
        <w:trPr>
          <w:trHeight w:val="534" w:hRule="atLeast"/>
          <w:jc w:val="center"/>
        </w:trPr>
        <w:tc>
          <w:tcPr>
            <w:tcW w:w="11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461B4E">
            <w:pPr>
              <w:rPr>
                <w:lang w:eastAsia="zh-CN" w:bidi="sa-IN"/>
              </w:rPr>
            </w:pPr>
            <w:r>
              <w:rPr>
                <w:rFonts w:hint="eastAsia" w:ascii="宋体" w:hAnsi="宋体" w:eastAsia="宋体" w:cs="宋体"/>
                <w:lang w:eastAsia="zh-CN" w:bidi="sa-IN"/>
              </w:rPr>
              <w:t>产品留样和标签标识管理</w:t>
            </w:r>
          </w:p>
        </w:tc>
        <w:tc>
          <w:tcPr>
            <w:tcW w:w="1056" w:type="dxa"/>
            <w:tcBorders>
              <w:top w:val="single" w:color="auto" w:sz="4" w:space="0"/>
              <w:left w:val="single" w:color="auto" w:sz="4" w:space="0"/>
              <w:bottom w:val="single" w:color="auto" w:sz="4" w:space="0"/>
              <w:right w:val="single" w:color="auto" w:sz="4" w:space="0"/>
            </w:tcBorders>
            <w:shd w:val="clear" w:color="auto" w:fill="auto"/>
            <w:vAlign w:val="center"/>
          </w:tcPr>
          <w:p w14:paraId="25D29682">
            <w:pPr>
              <w:rPr>
                <w:lang w:bidi="sa-IN"/>
              </w:rPr>
            </w:pPr>
            <w:r>
              <w:rPr>
                <w:lang w:bidi="sa-IN"/>
              </w:rPr>
              <w:t>6.4</w:t>
            </w:r>
          </w:p>
        </w:tc>
        <w:tc>
          <w:tcPr>
            <w:tcW w:w="9660" w:type="dxa"/>
            <w:tcBorders>
              <w:top w:val="single" w:color="auto" w:sz="4" w:space="0"/>
              <w:left w:val="single" w:color="auto" w:sz="4" w:space="0"/>
              <w:bottom w:val="single" w:color="auto" w:sz="4" w:space="0"/>
              <w:right w:val="single" w:color="auto" w:sz="4" w:space="0"/>
            </w:tcBorders>
            <w:shd w:val="clear" w:color="auto" w:fill="auto"/>
            <w:vAlign w:val="center"/>
          </w:tcPr>
          <w:p w14:paraId="57BF9E69">
            <w:pPr>
              <w:rPr>
                <w:lang w:eastAsia="zh-CN" w:bidi="sa-IN"/>
              </w:rPr>
            </w:pPr>
            <w:r>
              <w:rPr>
                <w:lang w:eastAsia="zh-CN" w:bidi="sa-IN"/>
              </w:rPr>
              <w:t>企业应当设立与保健食品生产规模相适应的留样室和原料标本室，具备与产品相适应的存储条件。</w:t>
            </w:r>
          </w:p>
        </w:tc>
        <w:tc>
          <w:tcPr>
            <w:tcW w:w="968" w:type="dxa"/>
            <w:tcBorders>
              <w:top w:val="single" w:color="auto" w:sz="4" w:space="0"/>
              <w:left w:val="single" w:color="auto" w:sz="4" w:space="0"/>
              <w:bottom w:val="single" w:color="auto" w:sz="4" w:space="0"/>
              <w:right w:val="single" w:color="auto" w:sz="4" w:space="0"/>
            </w:tcBorders>
            <w:shd w:val="clear" w:color="auto" w:fill="auto"/>
            <w:vAlign w:val="center"/>
          </w:tcPr>
          <w:p w14:paraId="01400F2F">
            <w:pPr>
              <w:rPr>
                <w:lang w:eastAsia="zh-CN" w:bidi="sa-IN"/>
              </w:rPr>
            </w:pPr>
            <w:r>
              <w:rPr>
                <w:lang w:eastAsia="zh-CN" w:bidi="sa-IN"/>
              </w:rPr>
              <w:t>　</w:t>
            </w:r>
          </w:p>
        </w:tc>
        <w:tc>
          <w:tcPr>
            <w:tcW w:w="176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E24A99">
            <w:pPr>
              <w:rPr>
                <w:rFonts w:eastAsiaTheme="minorEastAsia"/>
                <w:lang w:eastAsia="zh-CN" w:bidi="sa-IN"/>
              </w:rPr>
            </w:pPr>
            <w:r>
              <w:rPr>
                <w:rFonts w:hint="eastAsia"/>
                <w:lang w:eastAsia="zh-CN" w:bidi="sa-IN"/>
              </w:rPr>
              <w:t>　</w:t>
            </w:r>
            <w:r>
              <w:rPr>
                <w:rFonts w:hint="eastAsia" w:eastAsiaTheme="minorEastAsia"/>
                <w:lang w:eastAsia="zh-CN" w:bidi="sa-IN"/>
              </w:rPr>
              <w:t>是否按要求设立</w:t>
            </w:r>
            <w:r>
              <w:rPr>
                <w:rFonts w:hint="eastAsia"/>
                <w:lang w:eastAsia="zh-CN" w:bidi="sa-IN"/>
              </w:rPr>
              <w:t>留样室和原料标本室，留样记录是否与实物一致，原辅料及产品按生产指令发放。</w:t>
            </w:r>
          </w:p>
        </w:tc>
      </w:tr>
      <w:tr w14:paraId="1E7F2C1F">
        <w:tblPrEx>
          <w:tblCellMar>
            <w:top w:w="0" w:type="dxa"/>
            <w:left w:w="108" w:type="dxa"/>
            <w:bottom w:w="0" w:type="dxa"/>
            <w:right w:w="108" w:type="dxa"/>
          </w:tblCellMar>
        </w:tblPrEx>
        <w:trPr>
          <w:trHeight w:val="981" w:hRule="atLeast"/>
          <w:jc w:val="center"/>
        </w:trPr>
        <w:tc>
          <w:tcPr>
            <w:tcW w:w="1134" w:type="dxa"/>
            <w:vMerge w:val="continue"/>
            <w:tcBorders>
              <w:top w:val="single" w:color="auto" w:sz="4" w:space="0"/>
              <w:left w:val="single" w:color="auto" w:sz="4" w:space="0"/>
              <w:bottom w:val="single" w:color="auto" w:sz="4" w:space="0"/>
              <w:right w:val="single" w:color="auto" w:sz="4" w:space="0"/>
            </w:tcBorders>
            <w:vAlign w:val="center"/>
          </w:tcPr>
          <w:p w14:paraId="2C76727C">
            <w:pPr>
              <w:rPr>
                <w:lang w:eastAsia="zh-CN" w:bidi="sa-IN"/>
              </w:rPr>
            </w:pPr>
          </w:p>
        </w:tc>
        <w:tc>
          <w:tcPr>
            <w:tcW w:w="1056" w:type="dxa"/>
            <w:tcBorders>
              <w:top w:val="single" w:color="auto" w:sz="4" w:space="0"/>
              <w:left w:val="nil"/>
              <w:bottom w:val="single" w:color="auto" w:sz="4" w:space="0"/>
              <w:right w:val="single" w:color="auto" w:sz="4" w:space="0"/>
            </w:tcBorders>
            <w:shd w:val="clear" w:color="auto" w:fill="auto"/>
            <w:vAlign w:val="center"/>
          </w:tcPr>
          <w:p w14:paraId="00A12B0A">
            <w:pPr>
              <w:rPr>
                <w:lang w:bidi="sa-IN"/>
              </w:rPr>
            </w:pPr>
            <w:r>
              <w:rPr>
                <w:lang w:bidi="sa-IN"/>
              </w:rPr>
              <w:t>6.5</w:t>
            </w:r>
          </w:p>
        </w:tc>
        <w:tc>
          <w:tcPr>
            <w:tcW w:w="9660" w:type="dxa"/>
            <w:tcBorders>
              <w:top w:val="single" w:color="auto" w:sz="4" w:space="0"/>
              <w:left w:val="nil"/>
              <w:bottom w:val="single" w:color="auto" w:sz="4" w:space="0"/>
              <w:right w:val="single" w:color="auto" w:sz="4" w:space="0"/>
            </w:tcBorders>
            <w:shd w:val="clear" w:color="auto" w:fill="auto"/>
            <w:vAlign w:val="center"/>
          </w:tcPr>
          <w:p w14:paraId="231FE0E9">
            <w:pPr>
              <w:rPr>
                <w:lang w:eastAsia="zh-CN" w:bidi="sa-IN"/>
              </w:rPr>
            </w:pPr>
            <w:r>
              <w:rPr>
                <w:lang w:eastAsia="zh-CN" w:bidi="sa-IN"/>
              </w:rPr>
              <w:t>企业生产的每批保健食品都应留样，留样数量应满足产品质量追溯检验的要求，样品至少保存至保质期后一年，保存期限不得少于两年。</w:t>
            </w:r>
          </w:p>
        </w:tc>
        <w:tc>
          <w:tcPr>
            <w:tcW w:w="968" w:type="dxa"/>
            <w:tcBorders>
              <w:top w:val="single" w:color="auto" w:sz="4" w:space="0"/>
              <w:left w:val="nil"/>
              <w:bottom w:val="single" w:color="auto" w:sz="4" w:space="0"/>
              <w:right w:val="single" w:color="auto" w:sz="4" w:space="0"/>
            </w:tcBorders>
            <w:shd w:val="clear" w:color="auto" w:fill="auto"/>
            <w:vAlign w:val="center"/>
          </w:tcPr>
          <w:p w14:paraId="3151887D">
            <w:pPr>
              <w:rPr>
                <w:lang w:eastAsia="zh-CN" w:bidi="sa-IN"/>
              </w:rPr>
            </w:pPr>
            <w:r>
              <w:rPr>
                <w:lang w:eastAsia="zh-CN" w:bidi="sa-IN"/>
              </w:rPr>
              <w:t>　</w:t>
            </w:r>
          </w:p>
        </w:tc>
        <w:tc>
          <w:tcPr>
            <w:tcW w:w="1763" w:type="dxa"/>
            <w:vMerge w:val="continue"/>
            <w:tcBorders>
              <w:top w:val="single" w:color="auto" w:sz="4" w:space="0"/>
              <w:left w:val="single" w:color="auto" w:sz="4" w:space="0"/>
              <w:bottom w:val="single" w:color="auto" w:sz="4" w:space="0"/>
              <w:right w:val="single" w:color="auto" w:sz="4" w:space="0"/>
            </w:tcBorders>
            <w:vAlign w:val="center"/>
          </w:tcPr>
          <w:p w14:paraId="2EB41F63">
            <w:pPr>
              <w:rPr>
                <w:lang w:eastAsia="zh-CN" w:bidi="sa-IN"/>
              </w:rPr>
            </w:pPr>
          </w:p>
        </w:tc>
      </w:tr>
      <w:tr w14:paraId="59BE4C11">
        <w:tblPrEx>
          <w:tblCellMar>
            <w:top w:w="0" w:type="dxa"/>
            <w:left w:w="108" w:type="dxa"/>
            <w:bottom w:w="0" w:type="dxa"/>
            <w:right w:w="108" w:type="dxa"/>
          </w:tblCellMar>
        </w:tblPrEx>
        <w:trPr>
          <w:trHeight w:val="825"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4D6B42C6">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6ED2EDF0">
            <w:pPr>
              <w:rPr>
                <w:lang w:bidi="sa-IN"/>
              </w:rPr>
            </w:pPr>
            <w:r>
              <w:rPr>
                <w:lang w:bidi="sa-IN"/>
              </w:rPr>
              <w:t>6.6</w:t>
            </w:r>
          </w:p>
        </w:tc>
        <w:tc>
          <w:tcPr>
            <w:tcW w:w="9660" w:type="dxa"/>
            <w:tcBorders>
              <w:top w:val="nil"/>
              <w:left w:val="nil"/>
              <w:bottom w:val="single" w:color="auto" w:sz="4" w:space="0"/>
              <w:right w:val="single" w:color="auto" w:sz="4" w:space="0"/>
            </w:tcBorders>
            <w:shd w:val="clear" w:color="auto" w:fill="auto"/>
            <w:vAlign w:val="center"/>
          </w:tcPr>
          <w:p w14:paraId="183C2DDB">
            <w:pPr>
              <w:rPr>
                <w:lang w:eastAsia="zh-CN" w:bidi="sa-IN"/>
              </w:rPr>
            </w:pPr>
            <w:r>
              <w:rPr>
                <w:lang w:eastAsia="zh-CN" w:bidi="sa-IN"/>
              </w:rPr>
              <w:t>产品包装、标签和说明书应当符合保健食品管理的相关要求，企业应当设专库或专区按品种、规格分类存放，凭生产指令按需求发放使用。</w:t>
            </w:r>
          </w:p>
        </w:tc>
        <w:tc>
          <w:tcPr>
            <w:tcW w:w="968" w:type="dxa"/>
            <w:tcBorders>
              <w:top w:val="nil"/>
              <w:left w:val="nil"/>
              <w:bottom w:val="single" w:color="auto" w:sz="4" w:space="0"/>
              <w:right w:val="single" w:color="auto" w:sz="4" w:space="0"/>
            </w:tcBorders>
            <w:shd w:val="clear" w:color="auto" w:fill="auto"/>
            <w:vAlign w:val="center"/>
          </w:tcPr>
          <w:p w14:paraId="1C79E590">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07A23B78">
            <w:pPr>
              <w:rPr>
                <w:lang w:eastAsia="zh-CN" w:bidi="sa-IN"/>
              </w:rPr>
            </w:pPr>
          </w:p>
        </w:tc>
      </w:tr>
      <w:tr w14:paraId="08A67BF7">
        <w:tblPrEx>
          <w:tblCellMar>
            <w:top w:w="0" w:type="dxa"/>
            <w:left w:w="108" w:type="dxa"/>
            <w:bottom w:w="0" w:type="dxa"/>
            <w:right w:w="108" w:type="dxa"/>
          </w:tblCellMar>
        </w:tblPrEx>
        <w:trPr>
          <w:trHeight w:val="744" w:hRule="atLeast"/>
          <w:jc w:val="center"/>
        </w:trPr>
        <w:tc>
          <w:tcPr>
            <w:tcW w:w="1134" w:type="dxa"/>
            <w:vMerge w:val="restart"/>
            <w:tcBorders>
              <w:top w:val="nil"/>
              <w:left w:val="single" w:color="auto" w:sz="4" w:space="0"/>
              <w:bottom w:val="single" w:color="auto" w:sz="4" w:space="0"/>
              <w:right w:val="single" w:color="auto" w:sz="4" w:space="0"/>
            </w:tcBorders>
            <w:shd w:val="clear" w:color="auto" w:fill="auto"/>
            <w:vAlign w:val="center"/>
          </w:tcPr>
          <w:p w14:paraId="19AE92D9">
            <w:pPr>
              <w:rPr>
                <w:lang w:bidi="sa-IN"/>
              </w:rPr>
            </w:pPr>
            <w:r>
              <w:rPr>
                <w:rFonts w:hint="eastAsia" w:ascii="宋体" w:hAnsi="宋体" w:eastAsia="宋体" w:cs="宋体"/>
                <w:lang w:bidi="sa-IN"/>
              </w:rPr>
              <w:t>实验室设置</w:t>
            </w:r>
          </w:p>
        </w:tc>
        <w:tc>
          <w:tcPr>
            <w:tcW w:w="1056" w:type="dxa"/>
            <w:tcBorders>
              <w:top w:val="nil"/>
              <w:left w:val="nil"/>
              <w:bottom w:val="single" w:color="auto" w:sz="4" w:space="0"/>
              <w:right w:val="single" w:color="auto" w:sz="4" w:space="0"/>
            </w:tcBorders>
            <w:shd w:val="clear" w:color="auto" w:fill="auto"/>
            <w:vAlign w:val="center"/>
          </w:tcPr>
          <w:p w14:paraId="36A1CDCA">
            <w:pPr>
              <w:rPr>
                <w:lang w:bidi="sa-IN"/>
              </w:rPr>
            </w:pPr>
            <w:r>
              <w:rPr>
                <w:lang w:bidi="sa-IN"/>
              </w:rPr>
              <w:t>*6.7</w:t>
            </w:r>
          </w:p>
        </w:tc>
        <w:tc>
          <w:tcPr>
            <w:tcW w:w="9660" w:type="dxa"/>
            <w:tcBorders>
              <w:top w:val="nil"/>
              <w:left w:val="nil"/>
              <w:bottom w:val="single" w:color="auto" w:sz="4" w:space="0"/>
              <w:right w:val="single" w:color="auto" w:sz="4" w:space="0"/>
            </w:tcBorders>
            <w:shd w:val="clear" w:color="auto" w:fill="auto"/>
            <w:vAlign w:val="center"/>
          </w:tcPr>
          <w:p w14:paraId="658EFD41">
            <w:pPr>
              <w:rPr>
                <w:lang w:eastAsia="zh-CN" w:bidi="sa-IN"/>
              </w:rPr>
            </w:pPr>
            <w:r>
              <w:rPr>
                <w:lang w:eastAsia="zh-CN" w:bidi="sa-IN"/>
              </w:rPr>
              <w:t>自行检验的企业应当设置与生产品种和规模相适应的检验室，具备对原料、中间产品、成品进行检验所需的房间、仪器、设备及器材，并定期进行检定校准，使其经常处于良好状态。</w:t>
            </w:r>
          </w:p>
        </w:tc>
        <w:tc>
          <w:tcPr>
            <w:tcW w:w="968" w:type="dxa"/>
            <w:tcBorders>
              <w:top w:val="nil"/>
              <w:left w:val="nil"/>
              <w:bottom w:val="single" w:color="auto" w:sz="4" w:space="0"/>
              <w:right w:val="single" w:color="auto" w:sz="4" w:space="0"/>
            </w:tcBorders>
            <w:shd w:val="clear" w:color="auto" w:fill="auto"/>
            <w:vAlign w:val="center"/>
          </w:tcPr>
          <w:p w14:paraId="72CCBEC8">
            <w:pPr>
              <w:rPr>
                <w:lang w:eastAsia="zh-CN" w:bidi="sa-IN"/>
              </w:rPr>
            </w:pPr>
            <w:r>
              <w:rPr>
                <w:lang w:eastAsia="zh-CN" w:bidi="sa-IN"/>
              </w:rPr>
              <w:t>　</w:t>
            </w:r>
          </w:p>
        </w:tc>
        <w:tc>
          <w:tcPr>
            <w:tcW w:w="1763" w:type="dxa"/>
            <w:vMerge w:val="restart"/>
            <w:tcBorders>
              <w:top w:val="nil"/>
              <w:left w:val="single" w:color="auto" w:sz="4" w:space="0"/>
              <w:bottom w:val="single" w:color="auto" w:sz="4" w:space="0"/>
              <w:right w:val="single" w:color="auto" w:sz="4" w:space="0"/>
            </w:tcBorders>
            <w:shd w:val="clear" w:color="auto" w:fill="auto"/>
            <w:vAlign w:val="center"/>
          </w:tcPr>
          <w:p w14:paraId="21BF65C5">
            <w:pPr>
              <w:rPr>
                <w:lang w:eastAsia="zh-CN" w:bidi="sa-IN"/>
              </w:rPr>
            </w:pPr>
            <w:r>
              <w:rPr>
                <w:rFonts w:hint="eastAsia"/>
                <w:lang w:eastAsia="zh-CN" w:bidi="sa-IN"/>
              </w:rPr>
              <w:t>检验室布局是否设计合理，检测设备检定校准证书是否有效，查产品的出厂检验记录及型式检验报告，检验室与产品生产区应独立分开，是否有全项目检验报告。</w:t>
            </w:r>
          </w:p>
        </w:tc>
      </w:tr>
      <w:tr w14:paraId="1B2E127F">
        <w:tblPrEx>
          <w:tblCellMar>
            <w:top w:w="0" w:type="dxa"/>
            <w:left w:w="108" w:type="dxa"/>
            <w:bottom w:w="0" w:type="dxa"/>
            <w:right w:w="108" w:type="dxa"/>
          </w:tblCellMar>
        </w:tblPrEx>
        <w:trPr>
          <w:trHeight w:val="698"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3DF9170C">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43AC8B1D">
            <w:pPr>
              <w:rPr>
                <w:lang w:bidi="sa-IN"/>
              </w:rPr>
            </w:pPr>
            <w:r>
              <w:rPr>
                <w:lang w:bidi="sa-IN"/>
              </w:rPr>
              <w:t>*6.8</w:t>
            </w:r>
          </w:p>
        </w:tc>
        <w:tc>
          <w:tcPr>
            <w:tcW w:w="9660" w:type="dxa"/>
            <w:tcBorders>
              <w:top w:val="nil"/>
              <w:left w:val="nil"/>
              <w:bottom w:val="single" w:color="auto" w:sz="4" w:space="0"/>
              <w:right w:val="single" w:color="auto" w:sz="4" w:space="0"/>
            </w:tcBorders>
            <w:shd w:val="clear" w:color="auto" w:fill="auto"/>
            <w:vAlign w:val="center"/>
          </w:tcPr>
          <w:p w14:paraId="5D458568">
            <w:pPr>
              <w:rPr>
                <w:lang w:eastAsia="zh-CN" w:bidi="sa-IN"/>
              </w:rPr>
            </w:pPr>
            <w:r>
              <w:rPr>
                <w:lang w:eastAsia="zh-CN" w:bidi="sa-IN"/>
              </w:rPr>
              <w:t>每批保健食品要按照企业标准的要求进行出厂检验，每个品种每年要按照产品技术要求至少进行一次全项目</w:t>
            </w:r>
            <w:bookmarkStart w:id="53" w:name="_GoBack"/>
            <w:r>
              <w:rPr>
                <w:lang w:eastAsia="zh-CN" w:bidi="sa-IN"/>
              </w:rPr>
              <w:t>型式</w:t>
            </w:r>
            <w:bookmarkEnd w:id="53"/>
            <w:r>
              <w:rPr>
                <w:lang w:eastAsia="zh-CN" w:bidi="sa-IN"/>
              </w:rPr>
              <w:t>检验。</w:t>
            </w:r>
          </w:p>
        </w:tc>
        <w:tc>
          <w:tcPr>
            <w:tcW w:w="968" w:type="dxa"/>
            <w:tcBorders>
              <w:top w:val="nil"/>
              <w:left w:val="nil"/>
              <w:bottom w:val="single" w:color="auto" w:sz="4" w:space="0"/>
              <w:right w:val="single" w:color="auto" w:sz="4" w:space="0"/>
            </w:tcBorders>
            <w:shd w:val="clear" w:color="auto" w:fill="auto"/>
            <w:vAlign w:val="center"/>
          </w:tcPr>
          <w:p w14:paraId="05CA5AD1">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0B8C8001">
            <w:pPr>
              <w:rPr>
                <w:lang w:eastAsia="zh-CN" w:bidi="sa-IN"/>
              </w:rPr>
            </w:pPr>
          </w:p>
        </w:tc>
      </w:tr>
      <w:tr w14:paraId="74EF71AC">
        <w:tblPrEx>
          <w:tblCellMar>
            <w:top w:w="0" w:type="dxa"/>
            <w:left w:w="108" w:type="dxa"/>
            <w:bottom w:w="0" w:type="dxa"/>
            <w:right w:w="108" w:type="dxa"/>
          </w:tblCellMar>
        </w:tblPrEx>
        <w:trPr>
          <w:trHeight w:val="553"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65530D14">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4ADF8D93">
            <w:pPr>
              <w:rPr>
                <w:lang w:bidi="sa-IN"/>
              </w:rPr>
            </w:pPr>
            <w:r>
              <w:rPr>
                <w:lang w:bidi="sa-IN"/>
              </w:rPr>
              <w:t>6.9</w:t>
            </w:r>
          </w:p>
        </w:tc>
        <w:tc>
          <w:tcPr>
            <w:tcW w:w="9660" w:type="dxa"/>
            <w:tcBorders>
              <w:top w:val="nil"/>
              <w:left w:val="nil"/>
              <w:bottom w:val="single" w:color="auto" w:sz="4" w:space="0"/>
              <w:right w:val="single" w:color="auto" w:sz="4" w:space="0"/>
            </w:tcBorders>
            <w:shd w:val="clear" w:color="auto" w:fill="auto"/>
            <w:vAlign w:val="center"/>
          </w:tcPr>
          <w:p w14:paraId="2B36F862">
            <w:pPr>
              <w:rPr>
                <w:lang w:eastAsia="zh-CN" w:bidi="sa-IN"/>
              </w:rPr>
            </w:pPr>
            <w:r>
              <w:rPr>
                <w:lang w:eastAsia="zh-CN" w:bidi="sa-IN"/>
              </w:rPr>
              <w:t>对不能自行检验的项目，企业应委托具有合法资质的检验机构实施检验，并留存检验报告。</w:t>
            </w:r>
          </w:p>
        </w:tc>
        <w:tc>
          <w:tcPr>
            <w:tcW w:w="968" w:type="dxa"/>
            <w:tcBorders>
              <w:top w:val="nil"/>
              <w:left w:val="nil"/>
              <w:bottom w:val="single" w:color="auto" w:sz="4" w:space="0"/>
              <w:right w:val="single" w:color="auto" w:sz="4" w:space="0"/>
            </w:tcBorders>
            <w:shd w:val="clear" w:color="auto" w:fill="auto"/>
            <w:vAlign w:val="center"/>
          </w:tcPr>
          <w:p w14:paraId="28441976">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404E10B4">
            <w:pPr>
              <w:rPr>
                <w:lang w:eastAsia="zh-CN" w:bidi="sa-IN"/>
              </w:rPr>
            </w:pPr>
          </w:p>
        </w:tc>
      </w:tr>
      <w:tr w14:paraId="1DA0745A">
        <w:tblPrEx>
          <w:tblCellMar>
            <w:top w:w="0" w:type="dxa"/>
            <w:left w:w="108" w:type="dxa"/>
            <w:bottom w:w="0" w:type="dxa"/>
            <w:right w:w="108" w:type="dxa"/>
          </w:tblCellMar>
        </w:tblPrEx>
        <w:trPr>
          <w:trHeight w:val="845" w:hRule="atLeast"/>
          <w:jc w:val="center"/>
        </w:trPr>
        <w:tc>
          <w:tcPr>
            <w:tcW w:w="1134" w:type="dxa"/>
            <w:vMerge w:val="continue"/>
            <w:tcBorders>
              <w:top w:val="nil"/>
              <w:left w:val="single" w:color="auto" w:sz="4" w:space="0"/>
              <w:bottom w:val="single" w:color="auto" w:sz="4" w:space="0"/>
              <w:right w:val="single" w:color="auto" w:sz="4" w:space="0"/>
            </w:tcBorders>
            <w:vAlign w:val="center"/>
          </w:tcPr>
          <w:p w14:paraId="11CD5B6D">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18CDD6B0">
            <w:pPr>
              <w:rPr>
                <w:lang w:bidi="sa-IN"/>
              </w:rPr>
            </w:pPr>
            <w:r>
              <w:rPr>
                <w:lang w:bidi="sa-IN"/>
              </w:rPr>
              <w:t>6.10</w:t>
            </w:r>
          </w:p>
        </w:tc>
        <w:tc>
          <w:tcPr>
            <w:tcW w:w="9660" w:type="dxa"/>
            <w:tcBorders>
              <w:top w:val="nil"/>
              <w:left w:val="nil"/>
              <w:bottom w:val="single" w:color="auto" w:sz="4" w:space="0"/>
              <w:right w:val="single" w:color="auto" w:sz="4" w:space="0"/>
            </w:tcBorders>
            <w:shd w:val="clear" w:color="auto" w:fill="auto"/>
            <w:vAlign w:val="center"/>
          </w:tcPr>
          <w:p w14:paraId="176CC8E7">
            <w:pPr>
              <w:rPr>
                <w:lang w:eastAsia="zh-CN" w:bidi="sa-IN"/>
              </w:rPr>
            </w:pPr>
            <w:r>
              <w:rPr>
                <w:lang w:eastAsia="zh-CN" w:bidi="sa-IN"/>
              </w:rPr>
              <w:t>成品检验室应当与保健食品生产区分开，在洁净车间内进行的中间产品检验不得对保健食品生产过程造成影响。致病菌检测的阳性对照、微生物限度检定要分室进行，并采取有效措施，避免交叉污染。</w:t>
            </w:r>
          </w:p>
        </w:tc>
        <w:tc>
          <w:tcPr>
            <w:tcW w:w="968" w:type="dxa"/>
            <w:tcBorders>
              <w:top w:val="nil"/>
              <w:left w:val="nil"/>
              <w:bottom w:val="single" w:color="auto" w:sz="4" w:space="0"/>
              <w:right w:val="single" w:color="auto" w:sz="4" w:space="0"/>
            </w:tcBorders>
            <w:shd w:val="clear" w:color="auto" w:fill="auto"/>
            <w:vAlign w:val="center"/>
          </w:tcPr>
          <w:p w14:paraId="1BD825F1">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28F86E8B">
            <w:pPr>
              <w:rPr>
                <w:lang w:eastAsia="zh-CN" w:bidi="sa-IN"/>
              </w:rPr>
            </w:pPr>
          </w:p>
        </w:tc>
      </w:tr>
      <w:tr w14:paraId="71C46C4A">
        <w:tblPrEx>
          <w:tblCellMar>
            <w:top w:w="0" w:type="dxa"/>
            <w:left w:w="108" w:type="dxa"/>
            <w:bottom w:w="0" w:type="dxa"/>
            <w:right w:w="108" w:type="dxa"/>
          </w:tblCellMar>
        </w:tblPrEx>
        <w:trPr>
          <w:trHeight w:val="960" w:hRule="atLeast"/>
          <w:jc w:val="center"/>
        </w:trPr>
        <w:tc>
          <w:tcPr>
            <w:tcW w:w="1134" w:type="dxa"/>
            <w:tcBorders>
              <w:top w:val="nil"/>
              <w:left w:val="single" w:color="auto" w:sz="4" w:space="0"/>
              <w:bottom w:val="single" w:color="auto" w:sz="4" w:space="0"/>
              <w:right w:val="single" w:color="auto" w:sz="4" w:space="0"/>
            </w:tcBorders>
            <w:shd w:val="clear" w:color="auto" w:fill="auto"/>
            <w:vAlign w:val="center"/>
          </w:tcPr>
          <w:p w14:paraId="69EC1F8F">
            <w:pPr>
              <w:rPr>
                <w:lang w:bidi="sa-IN"/>
              </w:rPr>
            </w:pPr>
            <w:r>
              <w:rPr>
                <w:rFonts w:hint="eastAsia" w:ascii="宋体" w:hAnsi="宋体" w:eastAsia="宋体" w:cs="宋体"/>
                <w:lang w:bidi="sa-IN"/>
              </w:rPr>
              <w:t>检验报告</w:t>
            </w:r>
          </w:p>
        </w:tc>
        <w:tc>
          <w:tcPr>
            <w:tcW w:w="1056" w:type="dxa"/>
            <w:tcBorders>
              <w:top w:val="nil"/>
              <w:left w:val="nil"/>
              <w:bottom w:val="single" w:color="auto" w:sz="4" w:space="0"/>
              <w:right w:val="single" w:color="auto" w:sz="4" w:space="0"/>
            </w:tcBorders>
            <w:shd w:val="clear" w:color="auto" w:fill="auto"/>
            <w:vAlign w:val="center"/>
          </w:tcPr>
          <w:p w14:paraId="3A8E43C1">
            <w:pPr>
              <w:rPr>
                <w:lang w:bidi="sa-IN"/>
              </w:rPr>
            </w:pPr>
            <w:r>
              <w:rPr>
                <w:lang w:bidi="sa-IN"/>
              </w:rPr>
              <w:t>**6.11</w:t>
            </w:r>
          </w:p>
        </w:tc>
        <w:tc>
          <w:tcPr>
            <w:tcW w:w="9660" w:type="dxa"/>
            <w:tcBorders>
              <w:top w:val="nil"/>
              <w:left w:val="nil"/>
              <w:bottom w:val="single" w:color="auto" w:sz="4" w:space="0"/>
              <w:right w:val="single" w:color="auto" w:sz="4" w:space="0"/>
            </w:tcBorders>
            <w:shd w:val="clear" w:color="auto" w:fill="auto"/>
            <w:vAlign w:val="center"/>
          </w:tcPr>
          <w:p w14:paraId="00E3AA34">
            <w:pPr>
              <w:rPr>
                <w:lang w:eastAsia="zh-CN" w:bidi="sa-IN"/>
              </w:rPr>
            </w:pPr>
            <w:r>
              <w:rPr>
                <w:lang w:eastAsia="zh-CN" w:bidi="sa-IN"/>
              </w:rPr>
              <w:t>企业应提供一年内的保健食品全项目检验合格报告；不能自行检验的企业，应委托具有合法资质的检验机构进行检验，并出具检验报告。</w:t>
            </w:r>
          </w:p>
        </w:tc>
        <w:tc>
          <w:tcPr>
            <w:tcW w:w="968" w:type="dxa"/>
            <w:tcBorders>
              <w:top w:val="nil"/>
              <w:left w:val="nil"/>
              <w:bottom w:val="single" w:color="auto" w:sz="4" w:space="0"/>
              <w:right w:val="single" w:color="auto" w:sz="4" w:space="0"/>
            </w:tcBorders>
            <w:shd w:val="clear" w:color="auto" w:fill="auto"/>
            <w:vAlign w:val="center"/>
          </w:tcPr>
          <w:p w14:paraId="519DA05C">
            <w:pPr>
              <w:rPr>
                <w:lang w:eastAsia="zh-CN" w:bidi="sa-IN"/>
              </w:rPr>
            </w:pPr>
            <w:r>
              <w:rPr>
                <w:rFonts w:hint="eastAsia"/>
                <w:lang w:eastAsia="zh-CN" w:bidi="sa-IN"/>
              </w:rPr>
              <w:t>若此项不符合要求，审查结论为直接判为不合格。　</w:t>
            </w:r>
          </w:p>
        </w:tc>
        <w:tc>
          <w:tcPr>
            <w:tcW w:w="1763" w:type="dxa"/>
            <w:vMerge w:val="continue"/>
            <w:tcBorders>
              <w:top w:val="nil"/>
              <w:left w:val="single" w:color="auto" w:sz="4" w:space="0"/>
              <w:bottom w:val="single" w:color="auto" w:sz="4" w:space="0"/>
              <w:right w:val="single" w:color="auto" w:sz="4" w:space="0"/>
            </w:tcBorders>
            <w:vAlign w:val="center"/>
          </w:tcPr>
          <w:p w14:paraId="001634F8">
            <w:pPr>
              <w:rPr>
                <w:lang w:eastAsia="zh-CN" w:bidi="sa-IN"/>
              </w:rPr>
            </w:pPr>
          </w:p>
        </w:tc>
      </w:tr>
      <w:tr w14:paraId="64BB0176">
        <w:tblPrEx>
          <w:tblCellMar>
            <w:top w:w="0" w:type="dxa"/>
            <w:left w:w="108" w:type="dxa"/>
            <w:bottom w:w="0" w:type="dxa"/>
            <w:right w:w="108" w:type="dxa"/>
          </w:tblCellMar>
        </w:tblPrEx>
        <w:trPr>
          <w:trHeight w:val="634" w:hRule="atLeast"/>
          <w:jc w:val="center"/>
        </w:trPr>
        <w:tc>
          <w:tcPr>
            <w:tcW w:w="14581"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14:paraId="2AAB79E0">
            <w:pPr>
              <w:rPr>
                <w:lang w:bidi="sa-IN"/>
              </w:rPr>
            </w:pPr>
            <w:r>
              <w:rPr>
                <w:rFonts w:hint="eastAsia" w:ascii="宋体" w:hAnsi="宋体" w:eastAsia="宋体" w:cs="宋体"/>
                <w:lang w:bidi="sa-IN"/>
              </w:rPr>
              <w:t>七、库房管理</w:t>
            </w:r>
          </w:p>
        </w:tc>
      </w:tr>
      <w:tr w14:paraId="0B822AC7">
        <w:tblPrEx>
          <w:tblCellMar>
            <w:top w:w="0" w:type="dxa"/>
            <w:left w:w="108" w:type="dxa"/>
            <w:bottom w:w="0" w:type="dxa"/>
            <w:right w:w="108" w:type="dxa"/>
          </w:tblCellMar>
        </w:tblPrEx>
        <w:trPr>
          <w:trHeight w:val="699" w:hRule="atLeast"/>
          <w:jc w:val="center"/>
        </w:trPr>
        <w:tc>
          <w:tcPr>
            <w:tcW w:w="1134" w:type="dxa"/>
            <w:tcBorders>
              <w:top w:val="nil"/>
              <w:left w:val="single" w:color="auto" w:sz="4" w:space="0"/>
              <w:bottom w:val="single" w:color="auto" w:sz="4" w:space="0"/>
              <w:right w:val="single" w:color="auto" w:sz="4" w:space="0"/>
            </w:tcBorders>
            <w:shd w:val="clear" w:color="auto" w:fill="auto"/>
            <w:vAlign w:val="center"/>
          </w:tcPr>
          <w:p w14:paraId="25F12893">
            <w:pPr>
              <w:rPr>
                <w:lang w:bidi="sa-IN"/>
              </w:rPr>
            </w:pPr>
            <w:r>
              <w:rPr>
                <w:rFonts w:hint="eastAsia" w:ascii="宋体" w:hAnsi="宋体" w:eastAsia="宋体" w:cs="宋体"/>
                <w:lang w:bidi="sa-IN"/>
              </w:rPr>
              <w:t>审查项目</w:t>
            </w:r>
          </w:p>
        </w:tc>
        <w:tc>
          <w:tcPr>
            <w:tcW w:w="1056" w:type="dxa"/>
            <w:tcBorders>
              <w:top w:val="nil"/>
              <w:left w:val="nil"/>
              <w:bottom w:val="single" w:color="auto" w:sz="4" w:space="0"/>
              <w:right w:val="single" w:color="auto" w:sz="4" w:space="0"/>
            </w:tcBorders>
            <w:shd w:val="clear" w:color="auto" w:fill="auto"/>
            <w:vAlign w:val="center"/>
          </w:tcPr>
          <w:p w14:paraId="7E5DD641">
            <w:pPr>
              <w:rPr>
                <w:lang w:bidi="sa-IN"/>
              </w:rPr>
            </w:pPr>
            <w:r>
              <w:rPr>
                <w:lang w:bidi="sa-IN"/>
              </w:rPr>
              <w:t>序号</w:t>
            </w:r>
          </w:p>
        </w:tc>
        <w:tc>
          <w:tcPr>
            <w:tcW w:w="9660" w:type="dxa"/>
            <w:tcBorders>
              <w:top w:val="nil"/>
              <w:left w:val="nil"/>
              <w:bottom w:val="single" w:color="auto" w:sz="4" w:space="0"/>
              <w:right w:val="single" w:color="auto" w:sz="4" w:space="0"/>
            </w:tcBorders>
            <w:shd w:val="clear" w:color="auto" w:fill="auto"/>
            <w:vAlign w:val="center"/>
          </w:tcPr>
          <w:p w14:paraId="3D68E440">
            <w:pPr>
              <w:rPr>
                <w:lang w:bidi="sa-IN"/>
              </w:rPr>
            </w:pPr>
            <w:r>
              <w:rPr>
                <w:lang w:bidi="sa-IN"/>
              </w:rPr>
              <w:t>审查内容</w:t>
            </w:r>
          </w:p>
        </w:tc>
        <w:tc>
          <w:tcPr>
            <w:tcW w:w="968" w:type="dxa"/>
            <w:tcBorders>
              <w:top w:val="nil"/>
              <w:left w:val="nil"/>
              <w:bottom w:val="single" w:color="auto" w:sz="4" w:space="0"/>
              <w:right w:val="single" w:color="auto" w:sz="4" w:space="0"/>
            </w:tcBorders>
            <w:shd w:val="clear" w:color="auto" w:fill="auto"/>
            <w:vAlign w:val="center"/>
          </w:tcPr>
          <w:p w14:paraId="28246636">
            <w:pPr>
              <w:rPr>
                <w:sz w:val="20"/>
                <w:szCs w:val="20"/>
                <w:lang w:bidi="sa-IN"/>
              </w:rPr>
            </w:pPr>
            <w:r>
              <w:rPr>
                <w:rFonts w:hint="eastAsia"/>
                <w:lang w:eastAsia="zh-CN"/>
              </w:rPr>
              <w:t>备注</w:t>
            </w:r>
          </w:p>
        </w:tc>
        <w:tc>
          <w:tcPr>
            <w:tcW w:w="1763" w:type="dxa"/>
            <w:tcBorders>
              <w:top w:val="nil"/>
              <w:left w:val="nil"/>
              <w:bottom w:val="single" w:color="auto" w:sz="4" w:space="0"/>
              <w:right w:val="single" w:color="auto" w:sz="4" w:space="0"/>
            </w:tcBorders>
            <w:shd w:val="clear" w:color="auto" w:fill="auto"/>
            <w:vAlign w:val="center"/>
          </w:tcPr>
          <w:p w14:paraId="5471A23F">
            <w:pPr>
              <w:rPr>
                <w:sz w:val="22"/>
                <w:szCs w:val="22"/>
                <w:lang w:bidi="sa-IN"/>
              </w:rPr>
            </w:pPr>
            <w:r>
              <w:rPr>
                <w:rFonts w:hint="eastAsia"/>
                <w:lang w:eastAsia="zh-CN"/>
              </w:rPr>
              <w:t>现场评审指引</w:t>
            </w:r>
          </w:p>
        </w:tc>
      </w:tr>
      <w:tr w14:paraId="04C3EA4F">
        <w:tblPrEx>
          <w:tblCellMar>
            <w:top w:w="0" w:type="dxa"/>
            <w:left w:w="108" w:type="dxa"/>
            <w:bottom w:w="0" w:type="dxa"/>
            <w:right w:w="108" w:type="dxa"/>
          </w:tblCellMar>
        </w:tblPrEx>
        <w:trPr>
          <w:trHeight w:val="1020" w:hRule="atLeast"/>
          <w:jc w:val="center"/>
        </w:trPr>
        <w:tc>
          <w:tcPr>
            <w:tcW w:w="1134" w:type="dxa"/>
            <w:vMerge w:val="restart"/>
            <w:tcBorders>
              <w:top w:val="nil"/>
              <w:left w:val="single" w:color="auto" w:sz="4" w:space="0"/>
              <w:right w:val="single" w:color="auto" w:sz="4" w:space="0"/>
            </w:tcBorders>
            <w:shd w:val="clear" w:color="auto" w:fill="auto"/>
            <w:vAlign w:val="center"/>
          </w:tcPr>
          <w:p w14:paraId="30470896">
            <w:pPr>
              <w:rPr>
                <w:lang w:bidi="sa-IN"/>
              </w:rPr>
            </w:pPr>
            <w:r>
              <w:rPr>
                <w:rFonts w:hint="eastAsia" w:ascii="宋体" w:hAnsi="宋体" w:eastAsia="宋体" w:cs="宋体"/>
                <w:lang w:bidi="sa-IN"/>
              </w:rPr>
              <w:t>库房管理</w:t>
            </w:r>
          </w:p>
        </w:tc>
        <w:tc>
          <w:tcPr>
            <w:tcW w:w="1056" w:type="dxa"/>
            <w:tcBorders>
              <w:top w:val="nil"/>
              <w:left w:val="nil"/>
              <w:bottom w:val="single" w:color="auto" w:sz="4" w:space="0"/>
              <w:right w:val="single" w:color="auto" w:sz="4" w:space="0"/>
            </w:tcBorders>
            <w:shd w:val="clear" w:color="auto" w:fill="auto"/>
            <w:vAlign w:val="center"/>
          </w:tcPr>
          <w:p w14:paraId="76336B7F">
            <w:pPr>
              <w:rPr>
                <w:lang w:bidi="sa-IN"/>
              </w:rPr>
            </w:pPr>
            <w:r>
              <w:rPr>
                <w:lang w:bidi="sa-IN"/>
              </w:rPr>
              <w:t>7.1</w:t>
            </w:r>
          </w:p>
        </w:tc>
        <w:tc>
          <w:tcPr>
            <w:tcW w:w="9660" w:type="dxa"/>
            <w:tcBorders>
              <w:top w:val="nil"/>
              <w:left w:val="nil"/>
              <w:bottom w:val="single" w:color="auto" w:sz="4" w:space="0"/>
              <w:right w:val="single" w:color="auto" w:sz="4" w:space="0"/>
            </w:tcBorders>
            <w:shd w:val="clear" w:color="auto" w:fill="auto"/>
            <w:vAlign w:val="center"/>
          </w:tcPr>
          <w:p w14:paraId="7CB70C52">
            <w:pPr>
              <w:rPr>
                <w:lang w:eastAsia="zh-CN" w:bidi="sa-IN"/>
              </w:rPr>
            </w:pPr>
            <w:r>
              <w:rPr>
                <w:lang w:eastAsia="zh-CN" w:bidi="sa-IN"/>
              </w:rPr>
              <w:t>企业应当建立库房台账管理制度，入库存放的原辅料、包装材料以及成品，严格按照储存货位管理，确保物、卡、账一致，并与实际相符。企业使用信息化仓储管理系统进行管理的，应确保信息安全备份可追溯，系统信息与实际相符。</w:t>
            </w:r>
          </w:p>
        </w:tc>
        <w:tc>
          <w:tcPr>
            <w:tcW w:w="968" w:type="dxa"/>
            <w:tcBorders>
              <w:top w:val="nil"/>
              <w:left w:val="nil"/>
              <w:bottom w:val="single" w:color="auto" w:sz="4" w:space="0"/>
              <w:right w:val="single" w:color="auto" w:sz="4" w:space="0"/>
            </w:tcBorders>
            <w:shd w:val="clear" w:color="auto" w:fill="auto"/>
            <w:vAlign w:val="center"/>
          </w:tcPr>
          <w:p w14:paraId="201426AD">
            <w:pPr>
              <w:rPr>
                <w:lang w:eastAsia="zh-CN" w:bidi="sa-IN"/>
              </w:rPr>
            </w:pPr>
            <w:r>
              <w:rPr>
                <w:lang w:eastAsia="zh-CN" w:bidi="sa-IN"/>
              </w:rPr>
              <w:t>　</w:t>
            </w:r>
          </w:p>
        </w:tc>
        <w:tc>
          <w:tcPr>
            <w:tcW w:w="1763" w:type="dxa"/>
            <w:tcBorders>
              <w:top w:val="nil"/>
              <w:left w:val="nil"/>
              <w:bottom w:val="single" w:color="auto" w:sz="4" w:space="0"/>
              <w:right w:val="single" w:color="auto" w:sz="4" w:space="0"/>
            </w:tcBorders>
            <w:shd w:val="clear" w:color="auto" w:fill="auto"/>
            <w:vAlign w:val="center"/>
          </w:tcPr>
          <w:p w14:paraId="13580787">
            <w:pPr>
              <w:rPr>
                <w:lang w:eastAsia="zh-CN" w:bidi="sa-IN"/>
              </w:rPr>
            </w:pPr>
            <w:r>
              <w:rPr>
                <w:rFonts w:hint="eastAsia"/>
                <w:lang w:eastAsia="zh-CN" w:bidi="sa-IN"/>
              </w:rPr>
              <w:t>查库房台账管理制度，现场查看库房的防蝇、防虫、防鼠及温湿度控制等设施。</w:t>
            </w:r>
          </w:p>
        </w:tc>
      </w:tr>
      <w:tr w14:paraId="7DFDCB8F">
        <w:tblPrEx>
          <w:tblCellMar>
            <w:top w:w="0" w:type="dxa"/>
            <w:left w:w="108" w:type="dxa"/>
            <w:bottom w:w="0" w:type="dxa"/>
            <w:right w:w="108" w:type="dxa"/>
          </w:tblCellMar>
        </w:tblPrEx>
        <w:trPr>
          <w:trHeight w:val="762" w:hRule="atLeast"/>
          <w:jc w:val="center"/>
        </w:trPr>
        <w:tc>
          <w:tcPr>
            <w:tcW w:w="1134" w:type="dxa"/>
            <w:vMerge w:val="continue"/>
            <w:tcBorders>
              <w:left w:val="single" w:color="auto" w:sz="4" w:space="0"/>
              <w:right w:val="single" w:color="auto" w:sz="4" w:space="0"/>
            </w:tcBorders>
            <w:vAlign w:val="center"/>
          </w:tcPr>
          <w:p w14:paraId="66F73E75">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0C29A1C1">
            <w:pPr>
              <w:rPr>
                <w:lang w:bidi="sa-IN"/>
              </w:rPr>
            </w:pPr>
            <w:r>
              <w:rPr>
                <w:lang w:bidi="sa-IN"/>
              </w:rPr>
              <w:t>*7.2</w:t>
            </w:r>
          </w:p>
        </w:tc>
        <w:tc>
          <w:tcPr>
            <w:tcW w:w="9660" w:type="dxa"/>
            <w:tcBorders>
              <w:top w:val="nil"/>
              <w:left w:val="nil"/>
              <w:bottom w:val="single" w:color="auto" w:sz="4" w:space="0"/>
              <w:right w:val="single" w:color="auto" w:sz="4" w:space="0"/>
            </w:tcBorders>
            <w:shd w:val="clear" w:color="auto" w:fill="auto"/>
            <w:vAlign w:val="center"/>
          </w:tcPr>
          <w:p w14:paraId="3FA66C81">
            <w:pPr>
              <w:rPr>
                <w:lang w:eastAsia="zh-CN" w:bidi="sa-IN"/>
              </w:rPr>
            </w:pPr>
            <w:r>
              <w:rPr>
                <w:lang w:eastAsia="zh-CN" w:bidi="sa-IN"/>
              </w:rPr>
              <w:t>库房面积应当与所生产的品种、规模相适应，根据成品贮存条件要求设置防尘、防蝇、防虫、防鼠、照明、通风、避光以及温湿度控制设施。</w:t>
            </w:r>
          </w:p>
        </w:tc>
        <w:tc>
          <w:tcPr>
            <w:tcW w:w="968" w:type="dxa"/>
            <w:tcBorders>
              <w:top w:val="nil"/>
              <w:left w:val="nil"/>
              <w:bottom w:val="single" w:color="auto" w:sz="4" w:space="0"/>
              <w:right w:val="single" w:color="auto" w:sz="4" w:space="0"/>
            </w:tcBorders>
            <w:shd w:val="clear" w:color="auto" w:fill="auto"/>
            <w:vAlign w:val="center"/>
          </w:tcPr>
          <w:p w14:paraId="175AFA19">
            <w:pPr>
              <w:rPr>
                <w:lang w:eastAsia="zh-CN" w:bidi="sa-IN"/>
              </w:rPr>
            </w:pPr>
            <w:r>
              <w:rPr>
                <w:lang w:eastAsia="zh-CN" w:bidi="sa-IN"/>
              </w:rPr>
              <w:t>　</w:t>
            </w:r>
          </w:p>
        </w:tc>
        <w:tc>
          <w:tcPr>
            <w:tcW w:w="1763" w:type="dxa"/>
            <w:vMerge w:val="restart"/>
            <w:tcBorders>
              <w:top w:val="nil"/>
              <w:left w:val="single" w:color="auto" w:sz="4" w:space="0"/>
              <w:bottom w:val="single" w:color="auto" w:sz="4" w:space="0"/>
              <w:right w:val="single" w:color="auto" w:sz="4" w:space="0"/>
            </w:tcBorders>
            <w:shd w:val="clear" w:color="auto" w:fill="auto"/>
            <w:vAlign w:val="center"/>
          </w:tcPr>
          <w:p w14:paraId="06A62938">
            <w:pPr>
              <w:rPr>
                <w:lang w:eastAsia="zh-CN" w:bidi="sa-IN"/>
              </w:rPr>
            </w:pPr>
            <w:r>
              <w:rPr>
                <w:rFonts w:hint="eastAsia"/>
                <w:lang w:eastAsia="zh-CN" w:bidi="sa-IN"/>
              </w:rPr>
              <w:t>现场查看物料和成品是否设立专库或专区管理，不合格品的存放，固体和液体物料存放是否符合要求，物料是否按保质期贮存。</w:t>
            </w:r>
          </w:p>
        </w:tc>
      </w:tr>
      <w:tr w14:paraId="454A6291">
        <w:tblPrEx>
          <w:tblCellMar>
            <w:top w:w="0" w:type="dxa"/>
            <w:left w:w="108" w:type="dxa"/>
            <w:bottom w:w="0" w:type="dxa"/>
            <w:right w:w="108" w:type="dxa"/>
          </w:tblCellMar>
        </w:tblPrEx>
        <w:trPr>
          <w:trHeight w:val="762" w:hRule="atLeast"/>
          <w:jc w:val="center"/>
        </w:trPr>
        <w:tc>
          <w:tcPr>
            <w:tcW w:w="1134" w:type="dxa"/>
            <w:vMerge w:val="continue"/>
            <w:tcBorders>
              <w:left w:val="single" w:color="auto" w:sz="4" w:space="0"/>
              <w:right w:val="single" w:color="auto" w:sz="4" w:space="0"/>
            </w:tcBorders>
            <w:vAlign w:val="center"/>
          </w:tcPr>
          <w:p w14:paraId="645D247B">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59A898BC">
            <w:pPr>
              <w:rPr>
                <w:lang w:bidi="sa-IN"/>
              </w:rPr>
            </w:pPr>
            <w:r>
              <w:rPr>
                <w:lang w:bidi="sa-IN"/>
              </w:rPr>
              <w:t>7.3</w:t>
            </w:r>
          </w:p>
        </w:tc>
        <w:tc>
          <w:tcPr>
            <w:tcW w:w="9660" w:type="dxa"/>
            <w:tcBorders>
              <w:top w:val="nil"/>
              <w:left w:val="nil"/>
              <w:bottom w:val="single" w:color="auto" w:sz="4" w:space="0"/>
              <w:right w:val="single" w:color="auto" w:sz="4" w:space="0"/>
            </w:tcBorders>
            <w:shd w:val="clear" w:color="auto" w:fill="auto"/>
            <w:vAlign w:val="center"/>
          </w:tcPr>
          <w:p w14:paraId="0CCA0C58">
            <w:pPr>
              <w:rPr>
                <w:lang w:eastAsia="zh-CN" w:bidi="sa-IN"/>
              </w:rPr>
            </w:pPr>
            <w:r>
              <w:rPr>
                <w:lang w:eastAsia="zh-CN" w:bidi="sa-IN"/>
              </w:rPr>
              <w:t>物料和成品应当设立专库或专区管理，物料和成品应按待检、合格、不合格分批离墙离地存放。采用信息化管理的仓库，应在管理系统内进行电子标注或区分。</w:t>
            </w:r>
          </w:p>
        </w:tc>
        <w:tc>
          <w:tcPr>
            <w:tcW w:w="968" w:type="dxa"/>
            <w:tcBorders>
              <w:top w:val="nil"/>
              <w:left w:val="nil"/>
              <w:bottom w:val="single" w:color="auto" w:sz="4" w:space="0"/>
              <w:right w:val="single" w:color="auto" w:sz="4" w:space="0"/>
            </w:tcBorders>
            <w:shd w:val="clear" w:color="auto" w:fill="auto"/>
            <w:vAlign w:val="center"/>
          </w:tcPr>
          <w:p w14:paraId="697B5495">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741DFDA0">
            <w:pPr>
              <w:rPr>
                <w:lang w:eastAsia="zh-CN" w:bidi="sa-IN"/>
              </w:rPr>
            </w:pPr>
          </w:p>
        </w:tc>
      </w:tr>
      <w:tr w14:paraId="42FC91A7">
        <w:tblPrEx>
          <w:tblCellMar>
            <w:top w:w="0" w:type="dxa"/>
            <w:left w:w="108" w:type="dxa"/>
            <w:bottom w:w="0" w:type="dxa"/>
            <w:right w:w="108" w:type="dxa"/>
          </w:tblCellMar>
        </w:tblPrEx>
        <w:trPr>
          <w:trHeight w:val="762" w:hRule="atLeast"/>
          <w:jc w:val="center"/>
        </w:trPr>
        <w:tc>
          <w:tcPr>
            <w:tcW w:w="1134" w:type="dxa"/>
            <w:vMerge w:val="continue"/>
            <w:tcBorders>
              <w:left w:val="single" w:color="auto" w:sz="4" w:space="0"/>
              <w:right w:val="single" w:color="auto" w:sz="4" w:space="0"/>
            </w:tcBorders>
            <w:shd w:val="clear" w:color="auto" w:fill="auto"/>
            <w:vAlign w:val="center"/>
          </w:tcPr>
          <w:p w14:paraId="3CB2B48C">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3EF2E708">
            <w:pPr>
              <w:rPr>
                <w:lang w:bidi="sa-IN"/>
              </w:rPr>
            </w:pPr>
            <w:r>
              <w:rPr>
                <w:lang w:bidi="sa-IN"/>
              </w:rPr>
              <w:t>*7.4</w:t>
            </w:r>
          </w:p>
        </w:tc>
        <w:tc>
          <w:tcPr>
            <w:tcW w:w="9660" w:type="dxa"/>
            <w:tcBorders>
              <w:top w:val="nil"/>
              <w:left w:val="nil"/>
              <w:bottom w:val="single" w:color="auto" w:sz="4" w:space="0"/>
              <w:right w:val="single" w:color="auto" w:sz="4" w:space="0"/>
            </w:tcBorders>
            <w:shd w:val="clear" w:color="auto" w:fill="auto"/>
            <w:vAlign w:val="center"/>
          </w:tcPr>
          <w:p w14:paraId="4FADBF38">
            <w:pPr>
              <w:rPr>
                <w:lang w:eastAsia="zh-CN" w:bidi="sa-IN"/>
              </w:rPr>
            </w:pPr>
            <w:r>
              <w:rPr>
                <w:lang w:eastAsia="zh-CN" w:bidi="sa-IN"/>
              </w:rPr>
              <w:t>不合格的物料和成品要单独存放，并及时按规定进行处置。</w:t>
            </w:r>
          </w:p>
        </w:tc>
        <w:tc>
          <w:tcPr>
            <w:tcW w:w="968" w:type="dxa"/>
            <w:tcBorders>
              <w:top w:val="nil"/>
              <w:left w:val="nil"/>
              <w:bottom w:val="single" w:color="auto" w:sz="4" w:space="0"/>
              <w:right w:val="single" w:color="auto" w:sz="4" w:space="0"/>
            </w:tcBorders>
            <w:shd w:val="clear" w:color="auto" w:fill="auto"/>
            <w:vAlign w:val="center"/>
          </w:tcPr>
          <w:p w14:paraId="6112A4CB">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3C2BDCCC">
            <w:pPr>
              <w:rPr>
                <w:lang w:eastAsia="zh-CN" w:bidi="sa-IN"/>
              </w:rPr>
            </w:pPr>
          </w:p>
        </w:tc>
      </w:tr>
      <w:tr w14:paraId="2BA18F8D">
        <w:tblPrEx>
          <w:tblCellMar>
            <w:top w:w="0" w:type="dxa"/>
            <w:left w:w="108" w:type="dxa"/>
            <w:bottom w:w="0" w:type="dxa"/>
            <w:right w:w="108" w:type="dxa"/>
          </w:tblCellMar>
        </w:tblPrEx>
        <w:trPr>
          <w:trHeight w:val="762" w:hRule="atLeast"/>
          <w:jc w:val="center"/>
        </w:trPr>
        <w:tc>
          <w:tcPr>
            <w:tcW w:w="1134" w:type="dxa"/>
            <w:vMerge w:val="continue"/>
            <w:tcBorders>
              <w:left w:val="single" w:color="auto" w:sz="4" w:space="0"/>
              <w:right w:val="single" w:color="auto" w:sz="4" w:space="0"/>
            </w:tcBorders>
            <w:vAlign w:val="center"/>
          </w:tcPr>
          <w:p w14:paraId="0B3FFEE7">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651F4EDA">
            <w:pPr>
              <w:rPr>
                <w:lang w:bidi="sa-IN"/>
              </w:rPr>
            </w:pPr>
            <w:r>
              <w:rPr>
                <w:lang w:bidi="sa-IN"/>
              </w:rPr>
              <w:t>7.5</w:t>
            </w:r>
          </w:p>
        </w:tc>
        <w:tc>
          <w:tcPr>
            <w:tcW w:w="9660" w:type="dxa"/>
            <w:tcBorders>
              <w:top w:val="nil"/>
              <w:left w:val="nil"/>
              <w:bottom w:val="single" w:color="auto" w:sz="4" w:space="0"/>
              <w:right w:val="single" w:color="auto" w:sz="4" w:space="0"/>
            </w:tcBorders>
            <w:shd w:val="clear" w:color="auto" w:fill="auto"/>
            <w:vAlign w:val="center"/>
          </w:tcPr>
          <w:p w14:paraId="66756AA5">
            <w:pPr>
              <w:rPr>
                <w:lang w:eastAsia="zh-CN" w:bidi="sa-IN"/>
              </w:rPr>
            </w:pPr>
            <w:r>
              <w:rPr>
                <w:lang w:eastAsia="zh-CN" w:bidi="sa-IN"/>
              </w:rPr>
              <w:t>固体和液体物料应当分开存放，挥发性物料应当避免污染其</w:t>
            </w:r>
            <w:r>
              <w:rPr>
                <w:rFonts w:hint="eastAsia"/>
                <w:lang w:eastAsia="zh-CN" w:bidi="sa-IN"/>
              </w:rPr>
              <w:t>他</w:t>
            </w:r>
            <w:r>
              <w:rPr>
                <w:lang w:eastAsia="zh-CN" w:bidi="sa-IN"/>
              </w:rPr>
              <w:t>物料，相互影响风味的物料应密闭存放。</w:t>
            </w:r>
          </w:p>
        </w:tc>
        <w:tc>
          <w:tcPr>
            <w:tcW w:w="968" w:type="dxa"/>
            <w:tcBorders>
              <w:top w:val="nil"/>
              <w:left w:val="nil"/>
              <w:bottom w:val="single" w:color="auto" w:sz="4" w:space="0"/>
              <w:right w:val="single" w:color="auto" w:sz="4" w:space="0"/>
            </w:tcBorders>
            <w:shd w:val="clear" w:color="auto" w:fill="auto"/>
            <w:vAlign w:val="center"/>
          </w:tcPr>
          <w:p w14:paraId="088946A0">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1B09BCB1">
            <w:pPr>
              <w:rPr>
                <w:lang w:eastAsia="zh-CN" w:bidi="sa-IN"/>
              </w:rPr>
            </w:pPr>
          </w:p>
        </w:tc>
      </w:tr>
      <w:tr w14:paraId="7F5735B2">
        <w:tblPrEx>
          <w:tblCellMar>
            <w:top w:w="0" w:type="dxa"/>
            <w:left w:w="108" w:type="dxa"/>
            <w:bottom w:w="0" w:type="dxa"/>
            <w:right w:w="108" w:type="dxa"/>
          </w:tblCellMar>
        </w:tblPrEx>
        <w:trPr>
          <w:trHeight w:val="649" w:hRule="atLeast"/>
          <w:jc w:val="center"/>
        </w:trPr>
        <w:tc>
          <w:tcPr>
            <w:tcW w:w="1134" w:type="dxa"/>
            <w:vMerge w:val="continue"/>
            <w:tcBorders>
              <w:left w:val="single" w:color="auto" w:sz="4" w:space="0"/>
              <w:right w:val="single" w:color="auto" w:sz="4" w:space="0"/>
            </w:tcBorders>
            <w:vAlign w:val="center"/>
          </w:tcPr>
          <w:p w14:paraId="08DA310E">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3E08BA1C">
            <w:pPr>
              <w:rPr>
                <w:lang w:bidi="sa-IN"/>
              </w:rPr>
            </w:pPr>
            <w:r>
              <w:rPr>
                <w:lang w:bidi="sa-IN"/>
              </w:rPr>
              <w:t>7.6</w:t>
            </w:r>
          </w:p>
        </w:tc>
        <w:tc>
          <w:tcPr>
            <w:tcW w:w="9660" w:type="dxa"/>
            <w:tcBorders>
              <w:top w:val="nil"/>
              <w:left w:val="nil"/>
              <w:bottom w:val="single" w:color="auto" w:sz="4" w:space="0"/>
              <w:right w:val="single" w:color="auto" w:sz="4" w:space="0"/>
            </w:tcBorders>
            <w:shd w:val="clear" w:color="auto" w:fill="auto"/>
            <w:vAlign w:val="center"/>
          </w:tcPr>
          <w:p w14:paraId="4DD4D99D">
            <w:pPr>
              <w:rPr>
                <w:lang w:eastAsia="zh-CN" w:bidi="sa-IN"/>
              </w:rPr>
            </w:pPr>
            <w:r>
              <w:rPr>
                <w:lang w:eastAsia="zh-CN" w:bidi="sa-IN"/>
              </w:rPr>
              <w:t>物料应当按规定的保质期贮存，无规定保质期的，企业需根据贮存条件、稳定性等情况确定其贮存期限。</w:t>
            </w:r>
          </w:p>
        </w:tc>
        <w:tc>
          <w:tcPr>
            <w:tcW w:w="968" w:type="dxa"/>
            <w:tcBorders>
              <w:top w:val="nil"/>
              <w:left w:val="nil"/>
              <w:bottom w:val="single" w:color="auto" w:sz="4" w:space="0"/>
              <w:right w:val="single" w:color="auto" w:sz="4" w:space="0"/>
            </w:tcBorders>
            <w:shd w:val="clear" w:color="auto" w:fill="auto"/>
            <w:vAlign w:val="center"/>
          </w:tcPr>
          <w:p w14:paraId="345F30F7">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79D94598">
            <w:pPr>
              <w:rPr>
                <w:lang w:eastAsia="zh-CN" w:bidi="sa-IN"/>
              </w:rPr>
            </w:pPr>
          </w:p>
        </w:tc>
      </w:tr>
      <w:tr w14:paraId="47184E1C">
        <w:tblPrEx>
          <w:tblCellMar>
            <w:top w:w="0" w:type="dxa"/>
            <w:left w:w="108" w:type="dxa"/>
            <w:bottom w:w="0" w:type="dxa"/>
            <w:right w:w="108" w:type="dxa"/>
          </w:tblCellMar>
        </w:tblPrEx>
        <w:trPr>
          <w:trHeight w:val="762" w:hRule="atLeast"/>
          <w:jc w:val="center"/>
        </w:trPr>
        <w:tc>
          <w:tcPr>
            <w:tcW w:w="1134" w:type="dxa"/>
            <w:vMerge w:val="continue"/>
            <w:tcBorders>
              <w:left w:val="single" w:color="auto" w:sz="4" w:space="0"/>
              <w:bottom w:val="single" w:color="auto" w:sz="4" w:space="0"/>
              <w:right w:val="single" w:color="auto" w:sz="4" w:space="0"/>
            </w:tcBorders>
            <w:vAlign w:val="center"/>
          </w:tcPr>
          <w:p w14:paraId="503D3734">
            <w:pPr>
              <w:rPr>
                <w:lang w:eastAsia="zh-CN" w:bidi="sa-IN"/>
              </w:rPr>
            </w:pPr>
          </w:p>
        </w:tc>
        <w:tc>
          <w:tcPr>
            <w:tcW w:w="1056" w:type="dxa"/>
            <w:tcBorders>
              <w:top w:val="nil"/>
              <w:left w:val="nil"/>
              <w:bottom w:val="single" w:color="auto" w:sz="4" w:space="0"/>
              <w:right w:val="single" w:color="auto" w:sz="4" w:space="0"/>
            </w:tcBorders>
            <w:shd w:val="clear" w:color="auto" w:fill="auto"/>
            <w:vAlign w:val="center"/>
          </w:tcPr>
          <w:p w14:paraId="517D54EB">
            <w:pPr>
              <w:rPr>
                <w:lang w:bidi="sa-IN"/>
              </w:rPr>
            </w:pPr>
            <w:r>
              <w:rPr>
                <w:lang w:bidi="sa-IN"/>
              </w:rPr>
              <w:t>7.7</w:t>
            </w:r>
          </w:p>
        </w:tc>
        <w:tc>
          <w:tcPr>
            <w:tcW w:w="9660" w:type="dxa"/>
            <w:tcBorders>
              <w:top w:val="nil"/>
              <w:left w:val="nil"/>
              <w:bottom w:val="single" w:color="auto" w:sz="4" w:space="0"/>
              <w:right w:val="single" w:color="auto" w:sz="4" w:space="0"/>
            </w:tcBorders>
            <w:shd w:val="clear" w:color="auto" w:fill="auto"/>
            <w:vAlign w:val="center"/>
          </w:tcPr>
          <w:p w14:paraId="3687E81B">
            <w:pPr>
              <w:rPr>
                <w:lang w:eastAsia="zh-CN" w:bidi="sa-IN"/>
              </w:rPr>
            </w:pPr>
            <w:r>
              <w:rPr>
                <w:lang w:eastAsia="zh-CN" w:bidi="sa-IN"/>
              </w:rPr>
              <w:t>物料和成品应当采用近有效期先发、先进先出的原则出库，贮存期内如有特殊情况应当及时复验。</w:t>
            </w:r>
          </w:p>
        </w:tc>
        <w:tc>
          <w:tcPr>
            <w:tcW w:w="968" w:type="dxa"/>
            <w:tcBorders>
              <w:top w:val="nil"/>
              <w:left w:val="nil"/>
              <w:bottom w:val="single" w:color="auto" w:sz="4" w:space="0"/>
              <w:right w:val="single" w:color="auto" w:sz="4" w:space="0"/>
            </w:tcBorders>
            <w:shd w:val="clear" w:color="auto" w:fill="auto"/>
            <w:vAlign w:val="center"/>
          </w:tcPr>
          <w:p w14:paraId="4230E8A6">
            <w:pPr>
              <w:rPr>
                <w:lang w:eastAsia="zh-CN" w:bidi="sa-IN"/>
              </w:rPr>
            </w:pPr>
            <w:r>
              <w:rPr>
                <w:lang w:eastAsia="zh-CN" w:bidi="sa-IN"/>
              </w:rPr>
              <w:t>　</w:t>
            </w:r>
          </w:p>
        </w:tc>
        <w:tc>
          <w:tcPr>
            <w:tcW w:w="1763" w:type="dxa"/>
            <w:vMerge w:val="continue"/>
            <w:tcBorders>
              <w:top w:val="nil"/>
              <w:left w:val="single" w:color="auto" w:sz="4" w:space="0"/>
              <w:bottom w:val="single" w:color="auto" w:sz="4" w:space="0"/>
              <w:right w:val="single" w:color="auto" w:sz="4" w:space="0"/>
            </w:tcBorders>
            <w:vAlign w:val="center"/>
          </w:tcPr>
          <w:p w14:paraId="1EA83513">
            <w:pPr>
              <w:rPr>
                <w:lang w:eastAsia="zh-CN" w:bidi="sa-IN"/>
              </w:rPr>
            </w:pPr>
          </w:p>
        </w:tc>
      </w:tr>
    </w:tbl>
    <w:p w14:paraId="165252AA">
      <w:pPr>
        <w:pStyle w:val="2"/>
        <w:rPr>
          <w:lang w:eastAsia="zh-CN"/>
        </w:rPr>
      </w:pPr>
    </w:p>
    <w:p w14:paraId="2F03D68D">
      <w:pPr>
        <w:pStyle w:val="2"/>
        <w:rPr>
          <w:lang w:eastAsia="zh-CN"/>
        </w:rPr>
      </w:pPr>
      <w:bookmarkStart w:id="52" w:name="BookMark8"/>
      <w:r>
        <w:rPr>
          <w:rFonts w:hint="eastAsia"/>
          <w:lang w:eastAsia="zh-CN"/>
        </w:rPr>
        <w:drawing>
          <wp:inline distT="0" distB="0" distL="0" distR="0">
            <wp:extent cx="1485900" cy="317500"/>
            <wp:effectExtent l="0" t="0" r="0" b="6350"/>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2"/>
    </w:p>
    <w:sectPr>
      <w:pgSz w:w="16840" w:h="11905" w:orient="landscape"/>
      <w:pgMar w:top="1140" w:right="400" w:bottom="1417" w:left="1314" w:header="1417" w:footer="1134" w:gutter="0"/>
      <w:cols w:space="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8E98A">
    <w:pPr>
      <w:pStyle w:val="4"/>
    </w:pPr>
    <w:r>
      <w:fldChar w:fldCharType="begin"/>
    </w:r>
    <w:r>
      <w:instrText xml:space="preserve">PAGE   \* MERGEFORMAT</w:instrText>
    </w:r>
    <w:r>
      <w:fldChar w:fldCharType="separate"/>
    </w:r>
    <w:r>
      <w:rPr>
        <w:lang w:val="zh-CN"/>
      </w:rPr>
      <w:t>2</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4651E">
    <w:pPr>
      <w:pStyle w:val="4"/>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E373">
    <w:pPr>
      <w:pStyle w:val="4"/>
    </w:pPr>
  </w:p>
  <w:p w14:paraId="0D9C0212">
    <w:pPr>
      <w:rPr>
        <w:lang w:eastAsia="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36124"/>
      <w:docPartObj>
        <w:docPartGallery w:val="AutoText"/>
      </w:docPartObj>
    </w:sdtPr>
    <w:sdtContent>
      <w:p w14:paraId="252E3168">
        <w:pPr>
          <w:pStyle w:val="4"/>
          <w:jc w:val="right"/>
        </w:pPr>
        <w:r>
          <w:fldChar w:fldCharType="begin"/>
        </w:r>
        <w:r>
          <w:instrText xml:space="preserve"> PAGE   \* MERGEFORMAT </w:instrText>
        </w:r>
        <w:r>
          <w:fldChar w:fldCharType="separate"/>
        </w:r>
        <w:r>
          <w:rPr>
            <w:lang w:val="zh-CN"/>
          </w:rPr>
          <w:t>24</w:t>
        </w:r>
        <w:r>
          <w:rPr>
            <w:lang w:val="zh-CN"/>
          </w:rPr>
          <w:fldChar w:fldCharType="end"/>
        </w:r>
      </w:p>
    </w:sdtContent>
  </w:sdt>
  <w:p w14:paraId="5D14FF3E"/>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62D3E">
    <w:pPr>
      <w:pStyle w:val="5"/>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81165">
    <w:pPr>
      <w:pStyle w:val="5"/>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9E532">
    <w:pPr>
      <w:pStyle w:val="48"/>
    </w:pPr>
    <w:r>
      <w:fldChar w:fldCharType="begin"/>
    </w:r>
    <w:r>
      <w:instrText xml:space="preserve"> STYLEREF  标准文件_文件编号  \* MERGEFORMAT </w:instrText>
    </w:r>
    <w:r>
      <w:fldChar w:fldCharType="separate"/>
    </w:r>
    <w:r>
      <w:t>DB34/TXXXX—XXXX</w:t>
    </w:r>
    <w:r>
      <w:fldChar w:fldCharType="end"/>
    </w:r>
  </w:p>
  <w:p w14:paraId="7D705C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50"/>
      <w:lvlText w:val="%1"/>
      <w:lvlJc w:val="left"/>
      <w:pPr>
        <w:ind w:left="425" w:hanging="425"/>
      </w:pPr>
      <w:rPr>
        <w:rFonts w:hint="eastAsia"/>
      </w:rPr>
    </w:lvl>
    <w:lvl w:ilvl="1" w:tentative="0">
      <w:start w:val="1"/>
      <w:numFmt w:val="decimal"/>
      <w:pStyle w:val="55"/>
      <w:suff w:val="nothing"/>
      <w:lvlText w:val="%10.%2 "/>
      <w:lvlJc w:val="left"/>
      <w:pPr>
        <w:ind w:left="0" w:firstLine="0"/>
      </w:pPr>
      <w:rPr>
        <w:rFonts w:hint="eastAsia" w:ascii="黑体" w:eastAsia="黑体" w:hAnsiTheme="minorHAnsi"/>
        <w:b w:val="0"/>
        <w:i w:val="0"/>
        <w:sz w:val="21"/>
      </w:rPr>
    </w:lvl>
    <w:lvl w:ilvl="2" w:tentative="0">
      <w:start w:val="1"/>
      <w:numFmt w:val="decimal"/>
      <w:pStyle w:val="56"/>
      <w:suff w:val="nothing"/>
      <w:lvlText w:val="%10.%2.%3 "/>
      <w:lvlJc w:val="left"/>
      <w:pPr>
        <w:ind w:left="0" w:firstLine="0"/>
      </w:pPr>
      <w:rPr>
        <w:rFonts w:hint="eastAsia" w:ascii="黑体" w:eastAsia="黑体" w:hAnsiTheme="minorHAnsi"/>
        <w:b w:val="0"/>
        <w:i w:val="0"/>
        <w:sz w:val="21"/>
      </w:rPr>
    </w:lvl>
    <w:lvl w:ilvl="3" w:tentative="0">
      <w:start w:val="1"/>
      <w:numFmt w:val="decimal"/>
      <w:pStyle w:val="57"/>
      <w:suff w:val="nothing"/>
      <w:lvlText w:val="%10.%2.%3.%4 "/>
      <w:lvlJc w:val="left"/>
      <w:pPr>
        <w:ind w:left="0" w:firstLine="0"/>
      </w:pPr>
      <w:rPr>
        <w:rFonts w:hint="eastAsia" w:ascii="黑体" w:eastAsia="黑体" w:hAnsiTheme="minorHAnsi"/>
        <w:b w:val="0"/>
        <w:i w:val="0"/>
        <w:sz w:val="21"/>
      </w:rPr>
    </w:lvl>
    <w:lvl w:ilvl="4" w:tentative="0">
      <w:start w:val="1"/>
      <w:numFmt w:val="decimal"/>
      <w:pStyle w:val="58"/>
      <w:suff w:val="nothing"/>
      <w:lvlText w:val="%10.%2.%3.%4.%5 "/>
      <w:lvlJc w:val="left"/>
      <w:pPr>
        <w:ind w:left="0" w:firstLine="0"/>
      </w:pPr>
      <w:rPr>
        <w:rFonts w:hint="eastAsia" w:ascii="黑体" w:eastAsia="黑体" w:hAnsiTheme="minorHAnsi"/>
        <w:b w:val="0"/>
        <w:i w:val="0"/>
        <w:sz w:val="21"/>
      </w:rPr>
    </w:lvl>
    <w:lvl w:ilvl="5" w:tentative="0">
      <w:start w:val="1"/>
      <w:numFmt w:val="decimal"/>
      <w:pStyle w:val="5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0DC5642E"/>
    <w:multiLevelType w:val="multilevel"/>
    <w:tmpl w:val="0DC5642E"/>
    <w:lvl w:ilvl="0" w:tentative="0">
      <w:start w:val="1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C5917C3"/>
    <w:multiLevelType w:val="multilevel"/>
    <w:tmpl w:val="2C5917C3"/>
    <w:lvl w:ilvl="0" w:tentative="0">
      <w:start w:val="1"/>
      <w:numFmt w:val="none"/>
      <w:pStyle w:val="24"/>
      <w:lvlText w:val="%1——"/>
      <w:lvlJc w:val="left"/>
      <w:pPr>
        <w:tabs>
          <w:tab w:val="left" w:pos="851"/>
        </w:tabs>
        <w:ind w:left="846" w:hanging="426"/>
      </w:pPr>
      <w:rPr>
        <w:rFonts w:hint="eastAsia" w:ascii="宋体" w:hAnsi="Times New Roman" w:eastAsia="宋体"/>
        <w:b w:val="0"/>
        <w:i w:val="0"/>
        <w:sz w:val="21"/>
        <w:lang w:val="en-US"/>
      </w:rPr>
    </w:lvl>
    <w:lvl w:ilvl="1" w:tentative="0">
      <w:start w:val="1"/>
      <w:numFmt w:val="none"/>
      <w:pStyle w:val="26"/>
      <w:lvlText w:val=""/>
      <w:lvlJc w:val="left"/>
      <w:pPr>
        <w:ind w:left="846" w:hanging="431"/>
      </w:pPr>
      <w:rPr>
        <w:rFonts w:hint="default" w:ascii="Symbol" w:hAnsi="Symbol"/>
        <w:sz w:val="21"/>
      </w:rPr>
    </w:lvl>
    <w:lvl w:ilvl="2" w:tentative="0">
      <w:start w:val="1"/>
      <w:numFmt w:val="bullet"/>
      <w:pStyle w:val="25"/>
      <w:lvlText w:val=""/>
      <w:lvlJc w:val="left"/>
      <w:pPr>
        <w:ind w:left="846" w:hanging="426"/>
      </w:pPr>
      <w:rPr>
        <w:rFonts w:hint="default" w:ascii="Wingdings" w:hAnsi="Wingdings"/>
        <w:sz w:val="21"/>
      </w:rPr>
    </w:lvl>
    <w:lvl w:ilvl="3" w:tentative="0">
      <w:start w:val="1"/>
      <w:numFmt w:val="decimal"/>
      <w:lvlText w:val="%4."/>
      <w:lvlJc w:val="left"/>
      <w:pPr>
        <w:tabs>
          <w:tab w:val="left" w:pos="2071"/>
        </w:tabs>
        <w:ind w:left="1879" w:hanging="528"/>
      </w:pPr>
      <w:rPr>
        <w:rFonts w:hint="eastAsia"/>
      </w:rPr>
    </w:lvl>
    <w:lvl w:ilvl="4" w:tentative="0">
      <w:start w:val="1"/>
      <w:numFmt w:val="lowerLetter"/>
      <w:lvlText w:val="%5)"/>
      <w:lvlJc w:val="left"/>
      <w:pPr>
        <w:tabs>
          <w:tab w:val="left" w:pos="2383"/>
        </w:tabs>
        <w:ind w:left="2191" w:hanging="528"/>
      </w:pPr>
      <w:rPr>
        <w:rFonts w:hint="eastAsia"/>
      </w:rPr>
    </w:lvl>
    <w:lvl w:ilvl="5" w:tentative="0">
      <w:start w:val="1"/>
      <w:numFmt w:val="lowerRoman"/>
      <w:lvlText w:val="%6."/>
      <w:lvlJc w:val="right"/>
      <w:pPr>
        <w:tabs>
          <w:tab w:val="left" w:pos="2695"/>
        </w:tabs>
        <w:ind w:left="2503" w:hanging="528"/>
      </w:pPr>
      <w:rPr>
        <w:rFonts w:hint="eastAsia"/>
      </w:rPr>
    </w:lvl>
    <w:lvl w:ilvl="6" w:tentative="0">
      <w:start w:val="1"/>
      <w:numFmt w:val="decimal"/>
      <w:lvlText w:val="%7."/>
      <w:lvlJc w:val="left"/>
      <w:pPr>
        <w:tabs>
          <w:tab w:val="left" w:pos="3007"/>
        </w:tabs>
        <w:ind w:left="2815" w:hanging="528"/>
      </w:pPr>
      <w:rPr>
        <w:rFonts w:hint="eastAsia"/>
      </w:rPr>
    </w:lvl>
    <w:lvl w:ilvl="7" w:tentative="0">
      <w:start w:val="1"/>
      <w:numFmt w:val="lowerLetter"/>
      <w:lvlText w:val="%8)"/>
      <w:lvlJc w:val="left"/>
      <w:pPr>
        <w:tabs>
          <w:tab w:val="left" w:pos="3319"/>
        </w:tabs>
        <w:ind w:left="3127" w:hanging="528"/>
      </w:pPr>
      <w:rPr>
        <w:rFonts w:hint="eastAsia"/>
      </w:rPr>
    </w:lvl>
    <w:lvl w:ilvl="8" w:tentative="0">
      <w:start w:val="1"/>
      <w:numFmt w:val="lowerRoman"/>
      <w:lvlText w:val="%9."/>
      <w:lvlJc w:val="right"/>
      <w:pPr>
        <w:tabs>
          <w:tab w:val="left" w:pos="3631"/>
        </w:tabs>
        <w:ind w:left="3439" w:hanging="528"/>
      </w:pPr>
      <w:rPr>
        <w:rFonts w:hint="eastAsia"/>
      </w:rPr>
    </w:lvl>
  </w:abstractNum>
  <w:abstractNum w:abstractNumId="3">
    <w:nsid w:val="40500101"/>
    <w:multiLevelType w:val="multilevel"/>
    <w:tmpl w:val="40500101"/>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8802D1C"/>
    <w:multiLevelType w:val="multilevel"/>
    <w:tmpl w:val="48802D1C"/>
    <w:lvl w:ilvl="0" w:tentative="0">
      <w:start w:val="1"/>
      <w:numFmt w:val="upperLetter"/>
      <w:pStyle w:val="41"/>
      <w:lvlText w:val="%1"/>
      <w:lvlJc w:val="left"/>
      <w:pPr>
        <w:ind w:left="420" w:hanging="420"/>
      </w:pPr>
      <w:rPr>
        <w:rFonts w:hint="eastAsia"/>
      </w:rPr>
    </w:lvl>
    <w:lvl w:ilvl="1" w:tentative="0">
      <w:start w:val="1"/>
      <w:numFmt w:val="decimal"/>
      <w:pStyle w:val="3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5603797C"/>
    <w:multiLevelType w:val="multilevel"/>
    <w:tmpl w:val="5603797C"/>
    <w:lvl w:ilvl="0" w:tentative="0">
      <w:start w:val="1"/>
      <w:numFmt w:val="upperLetter"/>
      <w:pStyle w:val="42"/>
      <w:suff w:val="space"/>
      <w:lvlText w:val="%1"/>
      <w:lvlJc w:val="left"/>
      <w:pPr>
        <w:ind w:left="425" w:hanging="425"/>
      </w:pPr>
      <w:rPr>
        <w:rFonts w:hint="eastAsia"/>
      </w:rPr>
    </w:lvl>
    <w:lvl w:ilvl="1" w:tentative="0">
      <w:start w:val="1"/>
      <w:numFmt w:val="decimal"/>
      <w:pStyle w:val="3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657D3FBC"/>
    <w:multiLevelType w:val="multilevel"/>
    <w:tmpl w:val="657D3FBC"/>
    <w:lvl w:ilvl="0" w:tentative="0">
      <w:start w:val="1"/>
      <w:numFmt w:val="upperLetter"/>
      <w:pStyle w:val="32"/>
      <w:suff w:val="nothing"/>
      <w:lvlText w:val="附录%1"/>
      <w:lvlJc w:val="left"/>
      <w:pPr>
        <w:ind w:left="0" w:firstLine="0"/>
      </w:pPr>
      <w:rPr>
        <w:rFonts w:hint="eastAsia"/>
        <w:spacing w:val="100"/>
      </w:rPr>
    </w:lvl>
    <w:lvl w:ilvl="1" w:tentative="0">
      <w:start w:val="1"/>
      <w:numFmt w:val="decimal"/>
      <w:pStyle w:val="34"/>
      <w:suff w:val="nothing"/>
      <w:lvlText w:val="%1.%2　"/>
      <w:lvlJc w:val="left"/>
      <w:pPr>
        <w:ind w:left="0" w:firstLine="0"/>
      </w:pPr>
      <w:rPr>
        <w:rFonts w:hint="eastAsia" w:ascii="黑体" w:eastAsia="黑体"/>
        <w:b w:val="0"/>
        <w:i w:val="0"/>
        <w:sz w:val="21"/>
      </w:rPr>
    </w:lvl>
    <w:lvl w:ilvl="2" w:tentative="0">
      <w:start w:val="1"/>
      <w:numFmt w:val="decimal"/>
      <w:pStyle w:val="35"/>
      <w:suff w:val="nothing"/>
      <w:lvlText w:val="%1.%2.%3　"/>
      <w:lvlJc w:val="left"/>
      <w:pPr>
        <w:ind w:left="0" w:firstLine="0"/>
      </w:pPr>
      <w:rPr>
        <w:rFonts w:hint="eastAsia" w:ascii="黑体" w:eastAsia="黑体"/>
        <w:b w:val="0"/>
        <w:i w:val="0"/>
        <w:sz w:val="21"/>
      </w:rPr>
    </w:lvl>
    <w:lvl w:ilvl="3" w:tentative="0">
      <w:start w:val="1"/>
      <w:numFmt w:val="decimal"/>
      <w:pStyle w:val="36"/>
      <w:suff w:val="nothing"/>
      <w:lvlText w:val="%1.%2.%3.%4　"/>
      <w:lvlJc w:val="left"/>
      <w:pPr>
        <w:ind w:left="0" w:firstLine="0"/>
      </w:pPr>
      <w:rPr>
        <w:rFonts w:hint="eastAsia" w:ascii="黑体" w:eastAsia="黑体"/>
        <w:b w:val="0"/>
        <w:i w:val="0"/>
        <w:sz w:val="21"/>
      </w:rPr>
    </w:lvl>
    <w:lvl w:ilvl="4" w:tentative="0">
      <w:start w:val="1"/>
      <w:numFmt w:val="decimal"/>
      <w:pStyle w:val="37"/>
      <w:suff w:val="nothing"/>
      <w:lvlText w:val="%1.%2.%3.%4.%5　"/>
      <w:lvlJc w:val="left"/>
      <w:pPr>
        <w:ind w:left="0" w:firstLine="0"/>
      </w:pPr>
      <w:rPr>
        <w:rFonts w:hint="eastAsia" w:ascii="黑体" w:eastAsia="黑体"/>
        <w:b w:val="0"/>
        <w:i w:val="0"/>
        <w:sz w:val="21"/>
      </w:rPr>
    </w:lvl>
    <w:lvl w:ilvl="5" w:tentative="0">
      <w:start w:val="1"/>
      <w:numFmt w:val="decimal"/>
      <w:pStyle w:val="3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6CEA2025"/>
    <w:multiLevelType w:val="multilevel"/>
    <w:tmpl w:val="6CEA2025"/>
    <w:lvl w:ilvl="0" w:tentative="0">
      <w:start w:val="1"/>
      <w:numFmt w:val="none"/>
      <w:pStyle w:val="21"/>
      <w:suff w:val="nothing"/>
      <w:lvlText w:val="%1"/>
      <w:lvlJc w:val="left"/>
      <w:pPr>
        <w:ind w:left="0" w:firstLine="0"/>
      </w:pPr>
      <w:rPr>
        <w:rFonts w:hint="eastAsia"/>
      </w:rPr>
    </w:lvl>
    <w:lvl w:ilvl="1" w:tentative="0">
      <w:start w:val="1"/>
      <w:numFmt w:val="decimal"/>
      <w:pStyle w:val="19"/>
      <w:suff w:val="nothing"/>
      <w:lvlText w:val="%1%2　"/>
      <w:lvlJc w:val="left"/>
      <w:pPr>
        <w:ind w:left="0" w:firstLine="0"/>
      </w:pPr>
      <w:rPr>
        <w:rFonts w:hint="eastAsia" w:ascii="黑体" w:eastAsia="黑体"/>
        <w:b w:val="0"/>
        <w:i w:val="0"/>
        <w:sz w:val="21"/>
      </w:rPr>
    </w:lvl>
    <w:lvl w:ilvl="2" w:tentative="0">
      <w:start w:val="1"/>
      <w:numFmt w:val="decimal"/>
      <w:pStyle w:val="20"/>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5"/>
      <w:suff w:val="nothing"/>
      <w:lvlText w:val="%1%2.%3.%4　"/>
      <w:lvlJc w:val="left"/>
      <w:pPr>
        <w:ind w:left="0" w:firstLine="0"/>
      </w:pPr>
      <w:rPr>
        <w:rFonts w:hint="eastAsia" w:ascii="黑体" w:eastAsia="黑体"/>
        <w:b w:val="0"/>
        <w:i w:val="0"/>
        <w:sz w:val="21"/>
      </w:rPr>
    </w:lvl>
    <w:lvl w:ilvl="4" w:tentative="0">
      <w:start w:val="1"/>
      <w:numFmt w:val="decimal"/>
      <w:pStyle w:val="16"/>
      <w:suff w:val="nothing"/>
      <w:lvlText w:val="%1%2.%3.%4.%5　"/>
      <w:lvlJc w:val="left"/>
      <w:pPr>
        <w:ind w:left="0" w:firstLine="0"/>
      </w:pPr>
      <w:rPr>
        <w:rFonts w:hint="eastAsia" w:ascii="黑体" w:eastAsia="黑体"/>
        <w:b w:val="0"/>
        <w:i w:val="0"/>
        <w:sz w:val="21"/>
      </w:rPr>
    </w:lvl>
    <w:lvl w:ilvl="5" w:tentative="0">
      <w:start w:val="1"/>
      <w:numFmt w:val="decimal"/>
      <w:pStyle w:val="17"/>
      <w:suff w:val="nothing"/>
      <w:lvlText w:val="%1%2.%3.%4.%5.%6　"/>
      <w:lvlJc w:val="left"/>
      <w:pPr>
        <w:ind w:left="0" w:firstLine="0"/>
      </w:pPr>
      <w:rPr>
        <w:rFonts w:hint="eastAsia" w:ascii="黑体" w:eastAsia="黑体"/>
        <w:b w:val="0"/>
        <w:i w:val="0"/>
        <w:sz w:val="21"/>
      </w:rPr>
    </w:lvl>
    <w:lvl w:ilvl="6" w:tentative="0">
      <w:start w:val="1"/>
      <w:numFmt w:val="decimal"/>
      <w:pStyle w:val="1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2"/>
  </w:num>
  <w:num w:numId="3">
    <w:abstractNumId w:val="6"/>
  </w:num>
  <w:num w:numId="4">
    <w:abstractNumId w:val="5"/>
  </w:num>
  <w:num w:numId="5">
    <w:abstractNumId w:val="4"/>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isplayHorizontalDrawingGridEvery w:val="2"/>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2"/>
  </w:compat>
  <w:docVars>
    <w:docVar w:name="commondata" w:val="eyJoZGlkIjoiOThmMTA1YjkxYTNlNDIxOWE5MjM3ZjhjZGNjODUwNzAifQ=="/>
  </w:docVars>
  <w:rsids>
    <w:rsidRoot w:val="00027D97"/>
    <w:rsid w:val="00013F6F"/>
    <w:rsid w:val="00014983"/>
    <w:rsid w:val="00026557"/>
    <w:rsid w:val="00027D97"/>
    <w:rsid w:val="000402E4"/>
    <w:rsid w:val="0004324A"/>
    <w:rsid w:val="00052908"/>
    <w:rsid w:val="000705A2"/>
    <w:rsid w:val="00073D19"/>
    <w:rsid w:val="00077DDD"/>
    <w:rsid w:val="00081F6F"/>
    <w:rsid w:val="00083896"/>
    <w:rsid w:val="00092966"/>
    <w:rsid w:val="000929E3"/>
    <w:rsid w:val="00093616"/>
    <w:rsid w:val="000A5349"/>
    <w:rsid w:val="000C2EDE"/>
    <w:rsid w:val="000D1042"/>
    <w:rsid w:val="000D5795"/>
    <w:rsid w:val="000D66B9"/>
    <w:rsid w:val="000E14D9"/>
    <w:rsid w:val="000E7528"/>
    <w:rsid w:val="000F5339"/>
    <w:rsid w:val="000F5D64"/>
    <w:rsid w:val="000F62E2"/>
    <w:rsid w:val="001028C8"/>
    <w:rsid w:val="00106D43"/>
    <w:rsid w:val="00115382"/>
    <w:rsid w:val="0011702E"/>
    <w:rsid w:val="00134D5E"/>
    <w:rsid w:val="00144473"/>
    <w:rsid w:val="00156F8B"/>
    <w:rsid w:val="00161426"/>
    <w:rsid w:val="001750B5"/>
    <w:rsid w:val="00180449"/>
    <w:rsid w:val="00180820"/>
    <w:rsid w:val="00187331"/>
    <w:rsid w:val="00196920"/>
    <w:rsid w:val="001970A9"/>
    <w:rsid w:val="001A7B13"/>
    <w:rsid w:val="001B322D"/>
    <w:rsid w:val="001C19AD"/>
    <w:rsid w:val="001C7927"/>
    <w:rsid w:val="001D2723"/>
    <w:rsid w:val="001E0713"/>
    <w:rsid w:val="001E1150"/>
    <w:rsid w:val="001E6382"/>
    <w:rsid w:val="001F044A"/>
    <w:rsid w:val="001F2ED6"/>
    <w:rsid w:val="001F76DD"/>
    <w:rsid w:val="00200D35"/>
    <w:rsid w:val="00203EF7"/>
    <w:rsid w:val="00204D7E"/>
    <w:rsid w:val="002203CC"/>
    <w:rsid w:val="00232ADD"/>
    <w:rsid w:val="002363F4"/>
    <w:rsid w:val="0025003B"/>
    <w:rsid w:val="00253E1A"/>
    <w:rsid w:val="002648E8"/>
    <w:rsid w:val="002878D3"/>
    <w:rsid w:val="00291F95"/>
    <w:rsid w:val="002A14CC"/>
    <w:rsid w:val="002B17CC"/>
    <w:rsid w:val="002B21FB"/>
    <w:rsid w:val="002B611A"/>
    <w:rsid w:val="002C007B"/>
    <w:rsid w:val="002C3067"/>
    <w:rsid w:val="002C3589"/>
    <w:rsid w:val="002D177B"/>
    <w:rsid w:val="002F2D2C"/>
    <w:rsid w:val="00305B52"/>
    <w:rsid w:val="003065FB"/>
    <w:rsid w:val="003310F5"/>
    <w:rsid w:val="003340DD"/>
    <w:rsid w:val="00335B73"/>
    <w:rsid w:val="00335E43"/>
    <w:rsid w:val="0035036F"/>
    <w:rsid w:val="00351B59"/>
    <w:rsid w:val="00352865"/>
    <w:rsid w:val="003531E8"/>
    <w:rsid w:val="00360C25"/>
    <w:rsid w:val="003646D1"/>
    <w:rsid w:val="00366186"/>
    <w:rsid w:val="00374C7C"/>
    <w:rsid w:val="00375170"/>
    <w:rsid w:val="00390A67"/>
    <w:rsid w:val="00392E0A"/>
    <w:rsid w:val="003947EA"/>
    <w:rsid w:val="00394F1F"/>
    <w:rsid w:val="003A0822"/>
    <w:rsid w:val="003A30E5"/>
    <w:rsid w:val="003A400C"/>
    <w:rsid w:val="003B1D7E"/>
    <w:rsid w:val="003B30E1"/>
    <w:rsid w:val="003C11D8"/>
    <w:rsid w:val="003C7606"/>
    <w:rsid w:val="003E0644"/>
    <w:rsid w:val="003E1B22"/>
    <w:rsid w:val="003F18BC"/>
    <w:rsid w:val="003F26EA"/>
    <w:rsid w:val="003F6450"/>
    <w:rsid w:val="00401C78"/>
    <w:rsid w:val="004144B3"/>
    <w:rsid w:val="0041648B"/>
    <w:rsid w:val="00417446"/>
    <w:rsid w:val="00435CD3"/>
    <w:rsid w:val="00440745"/>
    <w:rsid w:val="0046625C"/>
    <w:rsid w:val="0047045D"/>
    <w:rsid w:val="00477201"/>
    <w:rsid w:val="004777D7"/>
    <w:rsid w:val="00477E0F"/>
    <w:rsid w:val="0048073D"/>
    <w:rsid w:val="0049112F"/>
    <w:rsid w:val="004953FC"/>
    <w:rsid w:val="004A37D8"/>
    <w:rsid w:val="004A3BCD"/>
    <w:rsid w:val="004A4A29"/>
    <w:rsid w:val="004A66EE"/>
    <w:rsid w:val="004B6C8E"/>
    <w:rsid w:val="004C17DC"/>
    <w:rsid w:val="004C47DC"/>
    <w:rsid w:val="004C56DA"/>
    <w:rsid w:val="004D6F79"/>
    <w:rsid w:val="00503405"/>
    <w:rsid w:val="00504AA3"/>
    <w:rsid w:val="00516AF2"/>
    <w:rsid w:val="005203D4"/>
    <w:rsid w:val="005235BB"/>
    <w:rsid w:val="0052602E"/>
    <w:rsid w:val="00530890"/>
    <w:rsid w:val="0053089D"/>
    <w:rsid w:val="005356E9"/>
    <w:rsid w:val="00552D2F"/>
    <w:rsid w:val="005543BF"/>
    <w:rsid w:val="00554C40"/>
    <w:rsid w:val="00555639"/>
    <w:rsid w:val="00564C7F"/>
    <w:rsid w:val="00566E51"/>
    <w:rsid w:val="005774D0"/>
    <w:rsid w:val="00582302"/>
    <w:rsid w:val="005839C8"/>
    <w:rsid w:val="00585916"/>
    <w:rsid w:val="00594815"/>
    <w:rsid w:val="005A4A28"/>
    <w:rsid w:val="005A52C3"/>
    <w:rsid w:val="005B08B4"/>
    <w:rsid w:val="005B1CB7"/>
    <w:rsid w:val="005B43E5"/>
    <w:rsid w:val="005B5DA5"/>
    <w:rsid w:val="005C1A40"/>
    <w:rsid w:val="005C2B9B"/>
    <w:rsid w:val="005C4429"/>
    <w:rsid w:val="005D0D58"/>
    <w:rsid w:val="005E54C5"/>
    <w:rsid w:val="005F68E9"/>
    <w:rsid w:val="00602AA7"/>
    <w:rsid w:val="00603ED2"/>
    <w:rsid w:val="0060453F"/>
    <w:rsid w:val="00617829"/>
    <w:rsid w:val="00617AA1"/>
    <w:rsid w:val="006332BA"/>
    <w:rsid w:val="00634696"/>
    <w:rsid w:val="0064238F"/>
    <w:rsid w:val="00643C71"/>
    <w:rsid w:val="00644695"/>
    <w:rsid w:val="00650289"/>
    <w:rsid w:val="00655021"/>
    <w:rsid w:val="00662D52"/>
    <w:rsid w:val="006758DA"/>
    <w:rsid w:val="006909AC"/>
    <w:rsid w:val="00694878"/>
    <w:rsid w:val="006C04F2"/>
    <w:rsid w:val="006C1567"/>
    <w:rsid w:val="006C301A"/>
    <w:rsid w:val="006C30C1"/>
    <w:rsid w:val="006C4C0E"/>
    <w:rsid w:val="006D450C"/>
    <w:rsid w:val="006E1C79"/>
    <w:rsid w:val="006F031B"/>
    <w:rsid w:val="006F2601"/>
    <w:rsid w:val="00725743"/>
    <w:rsid w:val="00727F32"/>
    <w:rsid w:val="00736F18"/>
    <w:rsid w:val="00737348"/>
    <w:rsid w:val="00740143"/>
    <w:rsid w:val="0075192E"/>
    <w:rsid w:val="007540FB"/>
    <w:rsid w:val="0075429C"/>
    <w:rsid w:val="00761152"/>
    <w:rsid w:val="00763FD9"/>
    <w:rsid w:val="0076519B"/>
    <w:rsid w:val="00766268"/>
    <w:rsid w:val="007736F9"/>
    <w:rsid w:val="00790EC1"/>
    <w:rsid w:val="00791E45"/>
    <w:rsid w:val="00795563"/>
    <w:rsid w:val="007A79BA"/>
    <w:rsid w:val="007B3B67"/>
    <w:rsid w:val="007B73F1"/>
    <w:rsid w:val="007F4E68"/>
    <w:rsid w:val="00800632"/>
    <w:rsid w:val="00801692"/>
    <w:rsid w:val="00801A9C"/>
    <w:rsid w:val="008039C1"/>
    <w:rsid w:val="00805403"/>
    <w:rsid w:val="0080775B"/>
    <w:rsid w:val="008260C8"/>
    <w:rsid w:val="0082615A"/>
    <w:rsid w:val="008317B1"/>
    <w:rsid w:val="008355C6"/>
    <w:rsid w:val="008417C1"/>
    <w:rsid w:val="0085248F"/>
    <w:rsid w:val="00870109"/>
    <w:rsid w:val="00870D72"/>
    <w:rsid w:val="00871748"/>
    <w:rsid w:val="00872737"/>
    <w:rsid w:val="00872CC5"/>
    <w:rsid w:val="008752D3"/>
    <w:rsid w:val="008757D8"/>
    <w:rsid w:val="00876A95"/>
    <w:rsid w:val="00876B40"/>
    <w:rsid w:val="008772E6"/>
    <w:rsid w:val="00883323"/>
    <w:rsid w:val="00883BDD"/>
    <w:rsid w:val="00886807"/>
    <w:rsid w:val="00897B81"/>
    <w:rsid w:val="008A2CB4"/>
    <w:rsid w:val="008B6431"/>
    <w:rsid w:val="008C007B"/>
    <w:rsid w:val="008D1413"/>
    <w:rsid w:val="008E6149"/>
    <w:rsid w:val="008F14B6"/>
    <w:rsid w:val="008F47D1"/>
    <w:rsid w:val="008F4E42"/>
    <w:rsid w:val="008F6269"/>
    <w:rsid w:val="008F6D87"/>
    <w:rsid w:val="009023EF"/>
    <w:rsid w:val="00923535"/>
    <w:rsid w:val="009267D8"/>
    <w:rsid w:val="00927715"/>
    <w:rsid w:val="00932CA8"/>
    <w:rsid w:val="00937DBC"/>
    <w:rsid w:val="009413AF"/>
    <w:rsid w:val="009422B4"/>
    <w:rsid w:val="0094767A"/>
    <w:rsid w:val="009531DC"/>
    <w:rsid w:val="00955CBF"/>
    <w:rsid w:val="00966E8C"/>
    <w:rsid w:val="00975C81"/>
    <w:rsid w:val="00976EEF"/>
    <w:rsid w:val="00985F01"/>
    <w:rsid w:val="009C264D"/>
    <w:rsid w:val="009C3A3A"/>
    <w:rsid w:val="009C5BD9"/>
    <w:rsid w:val="009C77C8"/>
    <w:rsid w:val="009C7F77"/>
    <w:rsid w:val="009D295A"/>
    <w:rsid w:val="009D2C20"/>
    <w:rsid w:val="009D2FC9"/>
    <w:rsid w:val="009D3DF2"/>
    <w:rsid w:val="009E20A0"/>
    <w:rsid w:val="009E2C6D"/>
    <w:rsid w:val="009E4BE0"/>
    <w:rsid w:val="009E5017"/>
    <w:rsid w:val="00A00199"/>
    <w:rsid w:val="00A07B99"/>
    <w:rsid w:val="00A2562D"/>
    <w:rsid w:val="00A27576"/>
    <w:rsid w:val="00A32491"/>
    <w:rsid w:val="00A33BC4"/>
    <w:rsid w:val="00A50659"/>
    <w:rsid w:val="00A603D6"/>
    <w:rsid w:val="00A7461B"/>
    <w:rsid w:val="00A7649F"/>
    <w:rsid w:val="00A802A6"/>
    <w:rsid w:val="00A83C98"/>
    <w:rsid w:val="00A914E9"/>
    <w:rsid w:val="00AA1B47"/>
    <w:rsid w:val="00AB69A0"/>
    <w:rsid w:val="00AD723E"/>
    <w:rsid w:val="00AE2E98"/>
    <w:rsid w:val="00AE6ACA"/>
    <w:rsid w:val="00B038C7"/>
    <w:rsid w:val="00B05F01"/>
    <w:rsid w:val="00B10B74"/>
    <w:rsid w:val="00B2579E"/>
    <w:rsid w:val="00B40A08"/>
    <w:rsid w:val="00B43F19"/>
    <w:rsid w:val="00B45116"/>
    <w:rsid w:val="00B5642E"/>
    <w:rsid w:val="00B60847"/>
    <w:rsid w:val="00B962E7"/>
    <w:rsid w:val="00BA2467"/>
    <w:rsid w:val="00BB3211"/>
    <w:rsid w:val="00BB6DD0"/>
    <w:rsid w:val="00BC0412"/>
    <w:rsid w:val="00BC28E6"/>
    <w:rsid w:val="00BD3EC6"/>
    <w:rsid w:val="00BE162D"/>
    <w:rsid w:val="00BE600C"/>
    <w:rsid w:val="00BF105F"/>
    <w:rsid w:val="00BF31A2"/>
    <w:rsid w:val="00BF3FF8"/>
    <w:rsid w:val="00BF4E79"/>
    <w:rsid w:val="00BF78CC"/>
    <w:rsid w:val="00C0211C"/>
    <w:rsid w:val="00C033C4"/>
    <w:rsid w:val="00C05153"/>
    <w:rsid w:val="00C2408F"/>
    <w:rsid w:val="00C400F7"/>
    <w:rsid w:val="00C42554"/>
    <w:rsid w:val="00C5485B"/>
    <w:rsid w:val="00C60B13"/>
    <w:rsid w:val="00C63A42"/>
    <w:rsid w:val="00C829EE"/>
    <w:rsid w:val="00C848CF"/>
    <w:rsid w:val="00C8547B"/>
    <w:rsid w:val="00C90C88"/>
    <w:rsid w:val="00CA3660"/>
    <w:rsid w:val="00CB6DFE"/>
    <w:rsid w:val="00CC2A22"/>
    <w:rsid w:val="00CC5F47"/>
    <w:rsid w:val="00CD2E6B"/>
    <w:rsid w:val="00CD74BB"/>
    <w:rsid w:val="00CE120E"/>
    <w:rsid w:val="00CE3321"/>
    <w:rsid w:val="00CE6BF5"/>
    <w:rsid w:val="00CF27A1"/>
    <w:rsid w:val="00D0371F"/>
    <w:rsid w:val="00D126B7"/>
    <w:rsid w:val="00D20ADD"/>
    <w:rsid w:val="00D23BDF"/>
    <w:rsid w:val="00D41798"/>
    <w:rsid w:val="00D439FC"/>
    <w:rsid w:val="00D51137"/>
    <w:rsid w:val="00D55423"/>
    <w:rsid w:val="00D6272C"/>
    <w:rsid w:val="00D65BA5"/>
    <w:rsid w:val="00D67806"/>
    <w:rsid w:val="00D71197"/>
    <w:rsid w:val="00D7197A"/>
    <w:rsid w:val="00D71A03"/>
    <w:rsid w:val="00D741C1"/>
    <w:rsid w:val="00D7570A"/>
    <w:rsid w:val="00D77A71"/>
    <w:rsid w:val="00D933DF"/>
    <w:rsid w:val="00D93DB4"/>
    <w:rsid w:val="00D96BE9"/>
    <w:rsid w:val="00DA4F40"/>
    <w:rsid w:val="00DB0408"/>
    <w:rsid w:val="00DB0AB8"/>
    <w:rsid w:val="00DB1C40"/>
    <w:rsid w:val="00DD1837"/>
    <w:rsid w:val="00DD377B"/>
    <w:rsid w:val="00DD6E0B"/>
    <w:rsid w:val="00DD781A"/>
    <w:rsid w:val="00DE45D6"/>
    <w:rsid w:val="00DE5AF0"/>
    <w:rsid w:val="00DF289B"/>
    <w:rsid w:val="00E0330B"/>
    <w:rsid w:val="00E1211B"/>
    <w:rsid w:val="00E208C4"/>
    <w:rsid w:val="00E21879"/>
    <w:rsid w:val="00E21C17"/>
    <w:rsid w:val="00E2253E"/>
    <w:rsid w:val="00E30BC8"/>
    <w:rsid w:val="00E36879"/>
    <w:rsid w:val="00E4109A"/>
    <w:rsid w:val="00E626CF"/>
    <w:rsid w:val="00E6481B"/>
    <w:rsid w:val="00E6793B"/>
    <w:rsid w:val="00E679D5"/>
    <w:rsid w:val="00E73E81"/>
    <w:rsid w:val="00E74053"/>
    <w:rsid w:val="00E75183"/>
    <w:rsid w:val="00E912EB"/>
    <w:rsid w:val="00EA2549"/>
    <w:rsid w:val="00EA5E6D"/>
    <w:rsid w:val="00EB34A3"/>
    <w:rsid w:val="00EB74B6"/>
    <w:rsid w:val="00EC070C"/>
    <w:rsid w:val="00EC1227"/>
    <w:rsid w:val="00ED5C6D"/>
    <w:rsid w:val="00EE3E66"/>
    <w:rsid w:val="00EE6A2C"/>
    <w:rsid w:val="00EF43A1"/>
    <w:rsid w:val="00EF70D6"/>
    <w:rsid w:val="00F02C2A"/>
    <w:rsid w:val="00F05A2C"/>
    <w:rsid w:val="00F26EB3"/>
    <w:rsid w:val="00F31A9E"/>
    <w:rsid w:val="00F37100"/>
    <w:rsid w:val="00F436AC"/>
    <w:rsid w:val="00F45B70"/>
    <w:rsid w:val="00F45F0E"/>
    <w:rsid w:val="00F5537A"/>
    <w:rsid w:val="00F56251"/>
    <w:rsid w:val="00F57804"/>
    <w:rsid w:val="00F6009D"/>
    <w:rsid w:val="00F6420A"/>
    <w:rsid w:val="00F72D05"/>
    <w:rsid w:val="00F731C1"/>
    <w:rsid w:val="00F76C6A"/>
    <w:rsid w:val="00F85D54"/>
    <w:rsid w:val="00F95B4C"/>
    <w:rsid w:val="00FA023A"/>
    <w:rsid w:val="00FA1F7F"/>
    <w:rsid w:val="00FA644A"/>
    <w:rsid w:val="00FB7F50"/>
    <w:rsid w:val="00FC1200"/>
    <w:rsid w:val="00FC3D28"/>
    <w:rsid w:val="00FD05CE"/>
    <w:rsid w:val="00FE73AC"/>
    <w:rsid w:val="00FF1E1A"/>
    <w:rsid w:val="00FF21A3"/>
    <w:rsid w:val="00FF2ADF"/>
    <w:rsid w:val="03800D34"/>
    <w:rsid w:val="060E63FC"/>
    <w:rsid w:val="06257970"/>
    <w:rsid w:val="0FB75ADD"/>
    <w:rsid w:val="0FEE34C9"/>
    <w:rsid w:val="1119245F"/>
    <w:rsid w:val="12B75DF4"/>
    <w:rsid w:val="12EA7AE7"/>
    <w:rsid w:val="133E02C4"/>
    <w:rsid w:val="14681A9C"/>
    <w:rsid w:val="17410382"/>
    <w:rsid w:val="18ED6A14"/>
    <w:rsid w:val="1ADB1696"/>
    <w:rsid w:val="216605EF"/>
    <w:rsid w:val="2217240B"/>
    <w:rsid w:val="244C0D50"/>
    <w:rsid w:val="265956E8"/>
    <w:rsid w:val="28E05B40"/>
    <w:rsid w:val="2BB60EE7"/>
    <w:rsid w:val="2BD10CEF"/>
    <w:rsid w:val="2CA174A1"/>
    <w:rsid w:val="2DA95058"/>
    <w:rsid w:val="31AA6DF8"/>
    <w:rsid w:val="328C0BF4"/>
    <w:rsid w:val="32F61F4F"/>
    <w:rsid w:val="34AE2A9C"/>
    <w:rsid w:val="363870C8"/>
    <w:rsid w:val="366D3A16"/>
    <w:rsid w:val="3A125E82"/>
    <w:rsid w:val="40C63523"/>
    <w:rsid w:val="43291C63"/>
    <w:rsid w:val="495F1A08"/>
    <w:rsid w:val="4CB608EF"/>
    <w:rsid w:val="4CFA203D"/>
    <w:rsid w:val="4E8D5680"/>
    <w:rsid w:val="4F3D0E54"/>
    <w:rsid w:val="50593A6B"/>
    <w:rsid w:val="53446C55"/>
    <w:rsid w:val="5AAC3332"/>
    <w:rsid w:val="5B1E422F"/>
    <w:rsid w:val="5C3E620B"/>
    <w:rsid w:val="5EA70098"/>
    <w:rsid w:val="5EB826D2"/>
    <w:rsid w:val="5ED54C05"/>
    <w:rsid w:val="680E2F36"/>
    <w:rsid w:val="68E32614"/>
    <w:rsid w:val="6A411797"/>
    <w:rsid w:val="6AF9360B"/>
    <w:rsid w:val="6C661592"/>
    <w:rsid w:val="702951B3"/>
    <w:rsid w:val="745F3497"/>
    <w:rsid w:val="76481D09"/>
    <w:rsid w:val="77A61681"/>
    <w:rsid w:val="7DAC7021"/>
    <w:rsid w:val="7DCE650A"/>
    <w:rsid w:val="7E7538B7"/>
    <w:rsid w:val="7FE65E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jc w:val="center"/>
    </w:pPr>
    <w:rPr>
      <w:rFonts w:ascii="Arial" w:hAnsi="Arial" w:eastAsia="Arial" w:cs="Arial"/>
      <w:snapToGrid w:val="0"/>
      <w:color w:val="000000"/>
      <w:sz w:val="21"/>
      <w:szCs w:val="21"/>
      <w:lang w:val="en-US" w:eastAsia="en-US"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黑体" w:hAnsi="黑体" w:eastAsia="黑体" w:cs="黑体"/>
      <w:sz w:val="27"/>
      <w:szCs w:val="27"/>
    </w:rPr>
  </w:style>
  <w:style w:type="paragraph" w:styleId="3">
    <w:name w:val="Balloon Text"/>
    <w:basedOn w:val="1"/>
    <w:link w:val="13"/>
    <w:qFormat/>
    <w:uiPriority w:val="0"/>
    <w:rPr>
      <w:sz w:val="18"/>
      <w:szCs w:val="18"/>
    </w:rPr>
  </w:style>
  <w:style w:type="paragraph" w:styleId="4">
    <w:name w:val="footer"/>
    <w:basedOn w:val="1"/>
    <w:link w:val="47"/>
    <w:autoRedefine/>
    <w:qFormat/>
    <w:uiPriority w:val="99"/>
    <w:pPr>
      <w:tabs>
        <w:tab w:val="center" w:pos="4153"/>
        <w:tab w:val="right" w:pos="8306"/>
      </w:tabs>
    </w:pPr>
    <w:rPr>
      <w:sz w:val="18"/>
    </w:rPr>
  </w:style>
  <w:style w:type="paragraph" w:styleId="5">
    <w:name w:val="header"/>
    <w:basedOn w:val="1"/>
    <w:link w:val="46"/>
    <w:autoRedefine/>
    <w:qFormat/>
    <w:uiPriority w:val="99"/>
    <w:pPr>
      <w:pBdr>
        <w:bottom w:val="single" w:color="auto" w:sz="6" w:space="1"/>
      </w:pBdr>
      <w:tabs>
        <w:tab w:val="center" w:pos="4153"/>
        <w:tab w:val="right" w:pos="8306"/>
      </w:tabs>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autoRedefine/>
    <w:qFormat/>
    <w:uiPriority w:val="0"/>
  </w:style>
  <w:style w:type="character" w:styleId="10">
    <w:name w:val="Hyperlink"/>
    <w:autoRedefine/>
    <w:qFormat/>
    <w:uiPriority w:val="0"/>
    <w:rPr>
      <w:color w:val="0000FF"/>
      <w:u w:val="single"/>
    </w:rPr>
  </w:style>
  <w:style w:type="table" w:customStyle="1" w:styleId="11">
    <w:name w:val="Table Normal"/>
    <w:autoRedefine/>
    <w:semiHidden/>
    <w:unhideWhenUsed/>
    <w:qFormat/>
    <w:uiPriority w:val="0"/>
    <w:tblPr>
      <w:tblCellMar>
        <w:top w:w="0" w:type="dxa"/>
        <w:left w:w="0" w:type="dxa"/>
        <w:bottom w:w="0" w:type="dxa"/>
        <w:right w:w="0" w:type="dxa"/>
      </w:tblCellMar>
    </w:tblPr>
  </w:style>
  <w:style w:type="paragraph" w:customStyle="1" w:styleId="12">
    <w:name w:val="Table Text"/>
    <w:basedOn w:val="1"/>
    <w:autoRedefine/>
    <w:semiHidden/>
    <w:qFormat/>
    <w:uiPriority w:val="0"/>
    <w:rPr>
      <w:rFonts w:ascii="宋体" w:hAnsi="宋体" w:eastAsia="宋体" w:cs="宋体"/>
    </w:rPr>
  </w:style>
  <w:style w:type="character" w:customStyle="1" w:styleId="13">
    <w:name w:val="批注框文本 Char"/>
    <w:basedOn w:val="8"/>
    <w:link w:val="3"/>
    <w:uiPriority w:val="0"/>
    <w:rPr>
      <w:rFonts w:ascii="Arial" w:hAnsi="Arial" w:eastAsia="Arial" w:cs="Arial"/>
      <w:snapToGrid w:val="0"/>
      <w:color w:val="000000"/>
      <w:sz w:val="18"/>
      <w:szCs w:val="18"/>
      <w:lang w:eastAsia="en-US"/>
    </w:rPr>
  </w:style>
  <w:style w:type="paragraph" w:customStyle="1" w:styleId="1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5">
    <w:name w:val="标准文件_二级条标题"/>
    <w:next w:val="1"/>
    <w:qFormat/>
    <w:uiPriority w:val="0"/>
    <w:pPr>
      <w:widowControl w:val="0"/>
      <w:numPr>
        <w:ilvl w:val="3"/>
        <w:numId w:val="1"/>
      </w:numPr>
      <w:spacing w:beforeLines="50" w:afterLines="50"/>
      <w:jc w:val="both"/>
      <w:outlineLvl w:val="2"/>
    </w:pPr>
    <w:rPr>
      <w:rFonts w:ascii="黑体" w:hAnsi="Times New Roman" w:eastAsia="黑体" w:cs="Times New Roman"/>
      <w:sz w:val="21"/>
      <w:lang w:val="en-US" w:eastAsia="zh-CN" w:bidi="ar-SA"/>
    </w:rPr>
  </w:style>
  <w:style w:type="paragraph" w:customStyle="1" w:styleId="16">
    <w:name w:val="标准文件_三级条标题"/>
    <w:basedOn w:val="15"/>
    <w:next w:val="1"/>
    <w:qFormat/>
    <w:uiPriority w:val="0"/>
    <w:pPr>
      <w:widowControl/>
      <w:numPr>
        <w:ilvl w:val="4"/>
      </w:numPr>
      <w:outlineLvl w:val="3"/>
    </w:pPr>
  </w:style>
  <w:style w:type="paragraph" w:customStyle="1" w:styleId="17">
    <w:name w:val="标准文件_四级条标题"/>
    <w:next w:val="1"/>
    <w:qFormat/>
    <w:uiPriority w:val="0"/>
    <w:pPr>
      <w:widowControl w:val="0"/>
      <w:numPr>
        <w:ilvl w:val="5"/>
        <w:numId w:val="1"/>
      </w:numPr>
      <w:spacing w:beforeLines="50" w:afterLines="50"/>
      <w:jc w:val="both"/>
      <w:outlineLvl w:val="4"/>
    </w:pPr>
    <w:rPr>
      <w:rFonts w:ascii="黑体" w:hAnsi="Times New Roman" w:eastAsia="黑体" w:cs="Times New Roman"/>
      <w:sz w:val="21"/>
      <w:lang w:val="en-US" w:eastAsia="zh-CN" w:bidi="ar-SA"/>
    </w:rPr>
  </w:style>
  <w:style w:type="paragraph" w:customStyle="1" w:styleId="18">
    <w:name w:val="标准文件_五级条标题"/>
    <w:next w:val="1"/>
    <w:qFormat/>
    <w:uiPriority w:val="0"/>
    <w:pPr>
      <w:widowControl w:val="0"/>
      <w:numPr>
        <w:ilvl w:val="6"/>
        <w:numId w:val="1"/>
      </w:numPr>
      <w:spacing w:beforeLines="50" w:afterLines="50"/>
      <w:jc w:val="both"/>
      <w:outlineLvl w:val="5"/>
    </w:pPr>
    <w:rPr>
      <w:rFonts w:ascii="黑体" w:hAnsi="Times New Roman" w:eastAsia="黑体" w:cs="Times New Roman"/>
      <w:sz w:val="21"/>
      <w:lang w:val="en-US" w:eastAsia="zh-CN" w:bidi="ar-SA"/>
    </w:rPr>
  </w:style>
  <w:style w:type="paragraph" w:customStyle="1" w:styleId="19">
    <w:name w:val="标准文件_章标题"/>
    <w:next w:val="1"/>
    <w:qFormat/>
    <w:uiPriority w:val="0"/>
    <w:pPr>
      <w:numPr>
        <w:ilvl w:val="1"/>
        <w:numId w:val="1"/>
      </w:numPr>
      <w:spacing w:beforeLines="100" w:afterLines="100"/>
      <w:jc w:val="both"/>
      <w:outlineLvl w:val="0"/>
    </w:pPr>
    <w:rPr>
      <w:rFonts w:ascii="黑体" w:hAnsi="Times New Roman" w:eastAsia="黑体" w:cs="Times New Roman"/>
      <w:sz w:val="21"/>
      <w:lang w:val="en-US" w:eastAsia="zh-CN" w:bidi="ar-SA"/>
    </w:rPr>
  </w:style>
  <w:style w:type="paragraph" w:customStyle="1" w:styleId="20">
    <w:name w:val="标准文件_一级条标题"/>
    <w:basedOn w:val="19"/>
    <w:next w:val="1"/>
    <w:qFormat/>
    <w:uiPriority w:val="0"/>
    <w:pPr>
      <w:numPr>
        <w:ilvl w:val="2"/>
      </w:numPr>
      <w:spacing w:beforeLines="50" w:afterLines="50"/>
      <w:ind w:left="567"/>
      <w:outlineLvl w:val="1"/>
    </w:pPr>
  </w:style>
  <w:style w:type="paragraph" w:customStyle="1" w:styleId="21">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2">
    <w:name w:val="标准文件_一级无标题"/>
    <w:basedOn w:val="20"/>
    <w:qFormat/>
    <w:uiPriority w:val="0"/>
    <w:pPr>
      <w:spacing w:beforeLines="0" w:afterLines="0"/>
      <w:ind w:left="284"/>
      <w:outlineLvl w:val="9"/>
    </w:pPr>
    <w:rPr>
      <w:rFonts w:ascii="宋体" w:eastAsia="宋体"/>
    </w:rPr>
  </w:style>
  <w:style w:type="paragraph" w:styleId="23">
    <w:name w:val="List Paragraph"/>
    <w:basedOn w:val="1"/>
    <w:unhideWhenUsed/>
    <w:qFormat/>
    <w:uiPriority w:val="99"/>
    <w:pPr>
      <w:ind w:firstLine="420" w:firstLineChars="200"/>
    </w:pPr>
  </w:style>
  <w:style w:type="paragraph" w:customStyle="1" w:styleId="24">
    <w:name w:val="标准文件_一级项"/>
    <w:qFormat/>
    <w:uiPriority w:val="0"/>
    <w:pPr>
      <w:numPr>
        <w:ilvl w:val="0"/>
        <w:numId w:val="2"/>
      </w:numPr>
    </w:pPr>
    <w:rPr>
      <w:rFonts w:ascii="宋体" w:hAnsi="Times New Roman" w:eastAsia="宋体" w:cs="Times New Roman"/>
      <w:sz w:val="21"/>
      <w:lang w:val="en-US" w:eastAsia="zh-CN" w:bidi="ar-SA"/>
    </w:rPr>
  </w:style>
  <w:style w:type="paragraph" w:customStyle="1" w:styleId="25">
    <w:name w:val="标准文件_三级项"/>
    <w:basedOn w:val="1"/>
    <w:qFormat/>
    <w:uiPriority w:val="0"/>
    <w:pPr>
      <w:widowControl w:val="0"/>
      <w:numPr>
        <w:ilvl w:val="2"/>
        <w:numId w:val="2"/>
      </w:numPr>
      <w:spacing w:line="536870612" w:lineRule="auto"/>
    </w:pPr>
    <w:rPr>
      <w:rFonts w:ascii="Times New Roman" w:hAnsi="Times New Roman" w:eastAsia="宋体" w:cs="Times New Roman"/>
      <w:snapToGrid/>
      <w:color w:val="auto"/>
      <w:kern w:val="2"/>
      <w:lang w:eastAsia="zh-CN"/>
    </w:rPr>
  </w:style>
  <w:style w:type="paragraph" w:customStyle="1" w:styleId="26">
    <w:name w:val="标准文件_二级项2"/>
    <w:basedOn w:val="1"/>
    <w:qFormat/>
    <w:uiPriority w:val="0"/>
    <w:pPr>
      <w:numPr>
        <w:ilvl w:val="1"/>
        <w:numId w:val="2"/>
      </w:numPr>
      <w:ind w:firstLine="0"/>
    </w:pPr>
    <w:rPr>
      <w:rFonts w:ascii="宋体" w:hAnsi="Times New Roman" w:eastAsia="宋体" w:cs="Times New Roman"/>
      <w:snapToGrid/>
      <w:color w:val="auto"/>
      <w:szCs w:val="20"/>
      <w:lang w:eastAsia="zh-CN"/>
    </w:rPr>
  </w:style>
  <w:style w:type="paragraph" w:customStyle="1" w:styleId="27">
    <w:name w:val="标准文件_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8">
    <w:name w:val="标准文件_段 Char"/>
    <w:link w:val="27"/>
    <w:qFormat/>
    <w:uiPriority w:val="0"/>
    <w:rPr>
      <w:rFonts w:ascii="宋体"/>
      <w:sz w:val="21"/>
    </w:rPr>
  </w:style>
  <w:style w:type="paragraph" w:customStyle="1" w:styleId="29">
    <w:name w:val="段"/>
    <w:link w:val="31"/>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3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character" w:customStyle="1" w:styleId="31">
    <w:name w:val="段 Char Char"/>
    <w:link w:val="29"/>
    <w:qFormat/>
    <w:uiPriority w:val="0"/>
    <w:rPr>
      <w:rFonts w:ascii="宋体" w:hAnsi="Calibri"/>
      <w:sz w:val="21"/>
    </w:rPr>
  </w:style>
  <w:style w:type="paragraph" w:customStyle="1" w:styleId="32">
    <w:name w:val="标准文件_附录标识"/>
    <w:next w:val="27"/>
    <w:qFormat/>
    <w:uiPriority w:val="0"/>
    <w:pPr>
      <w:numPr>
        <w:ilvl w:val="0"/>
        <w:numId w:val="3"/>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33">
    <w:name w:val="标准文件_附录表标题"/>
    <w:next w:val="27"/>
    <w:qFormat/>
    <w:uiPriority w:val="0"/>
    <w:pPr>
      <w:numPr>
        <w:ilvl w:val="1"/>
        <w:numId w:val="4"/>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34">
    <w:name w:val="标准文件_附录一级条标题"/>
    <w:next w:val="27"/>
    <w:qFormat/>
    <w:uiPriority w:val="0"/>
    <w:pPr>
      <w:widowControl w:val="0"/>
      <w:numPr>
        <w:ilvl w:val="1"/>
        <w:numId w:val="3"/>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35">
    <w:name w:val="标准文件_附录二级条标题"/>
    <w:basedOn w:val="34"/>
    <w:next w:val="27"/>
    <w:qFormat/>
    <w:uiPriority w:val="0"/>
    <w:pPr>
      <w:widowControl/>
      <w:numPr>
        <w:ilvl w:val="2"/>
      </w:numPr>
      <w:wordWrap w:val="0"/>
      <w:overflowPunct w:val="0"/>
      <w:autoSpaceDE w:val="0"/>
      <w:autoSpaceDN w:val="0"/>
      <w:textAlignment w:val="baseline"/>
      <w:outlineLvl w:val="3"/>
    </w:pPr>
  </w:style>
  <w:style w:type="paragraph" w:customStyle="1" w:styleId="36">
    <w:name w:val="标准文件_附录三级条标题"/>
    <w:next w:val="27"/>
    <w:qFormat/>
    <w:uiPriority w:val="0"/>
    <w:pPr>
      <w:widowControl w:val="0"/>
      <w:numPr>
        <w:ilvl w:val="3"/>
        <w:numId w:val="3"/>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37">
    <w:name w:val="标准文件_附录四级条标题"/>
    <w:next w:val="27"/>
    <w:qFormat/>
    <w:uiPriority w:val="0"/>
    <w:pPr>
      <w:widowControl w:val="0"/>
      <w:numPr>
        <w:ilvl w:val="4"/>
        <w:numId w:val="3"/>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38">
    <w:name w:val="标准文件_附录图标题"/>
    <w:next w:val="27"/>
    <w:qFormat/>
    <w:uiPriority w:val="0"/>
    <w:pPr>
      <w:numPr>
        <w:ilvl w:val="1"/>
        <w:numId w:val="5"/>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39">
    <w:name w:val="标准文件_附录五级条标题"/>
    <w:next w:val="27"/>
    <w:qFormat/>
    <w:uiPriority w:val="0"/>
    <w:pPr>
      <w:widowControl w:val="0"/>
      <w:numPr>
        <w:ilvl w:val="5"/>
        <w:numId w:val="3"/>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40">
    <w:name w:val="标准文件_表格"/>
    <w:basedOn w:val="27"/>
    <w:qFormat/>
    <w:uiPriority w:val="0"/>
    <w:pPr>
      <w:ind w:firstLine="0" w:firstLineChars="0"/>
      <w:jc w:val="center"/>
    </w:pPr>
    <w:rPr>
      <w:sz w:val="18"/>
    </w:rPr>
  </w:style>
  <w:style w:type="paragraph" w:customStyle="1" w:styleId="41">
    <w:name w:val="标准文件_附录图标号"/>
    <w:basedOn w:val="27"/>
    <w:next w:val="27"/>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42">
    <w:name w:val="标准文件_附录表标号"/>
    <w:basedOn w:val="27"/>
    <w:next w:val="27"/>
    <w:qFormat/>
    <w:uiPriority w:val="0"/>
    <w:pPr>
      <w:numPr>
        <w:ilvl w:val="0"/>
        <w:numId w:val="4"/>
      </w:numPr>
      <w:spacing w:line="14" w:lineRule="exact"/>
      <w:ind w:firstLine="0" w:firstLineChars="0"/>
      <w:jc w:val="center"/>
    </w:pPr>
    <w:rPr>
      <w:rFonts w:eastAsia="黑体"/>
      <w:vanish/>
      <w:sz w:val="2"/>
    </w:rPr>
  </w:style>
  <w:style w:type="paragraph" w:customStyle="1" w:styleId="43">
    <w:name w:val="标准文件_文件编号"/>
    <w:basedOn w:val="2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44">
    <w:name w:val="其他发布日期"/>
    <w:basedOn w:val="1"/>
    <w:qFormat/>
    <w:uiPriority w:val="0"/>
    <w:pPr>
      <w:framePr w:w="3997" w:h="471" w:hRule="exact" w:vSpace="181" w:wrap="around" w:vAnchor="page" w:hAnchor="page" w:x="1419" w:y="14097" w:anchorLock="1"/>
      <w:jc w:val="left"/>
    </w:pPr>
    <w:rPr>
      <w:rFonts w:ascii="Times New Roman" w:hAnsi="Times New Roman" w:eastAsia="黑体" w:cs="Times New Roman"/>
      <w:snapToGrid/>
      <w:color w:val="auto"/>
      <w:sz w:val="28"/>
      <w:szCs w:val="20"/>
      <w:lang w:eastAsia="zh-CN"/>
    </w:rPr>
  </w:style>
  <w:style w:type="paragraph" w:customStyle="1" w:styleId="45">
    <w:name w:val="其他实施日期"/>
    <w:basedOn w:val="1"/>
    <w:qFormat/>
    <w:uiPriority w:val="0"/>
    <w:pPr>
      <w:framePr w:w="3997" w:h="471" w:hRule="exact" w:vSpace="181" w:wrap="around" w:vAnchor="page" w:hAnchor="page" w:x="7089" w:y="14097" w:anchorLock="1"/>
      <w:jc w:val="right"/>
    </w:pPr>
    <w:rPr>
      <w:rFonts w:ascii="Times New Roman" w:hAnsi="Times New Roman" w:eastAsia="黑体" w:cs="Times New Roman"/>
      <w:snapToGrid/>
      <w:color w:val="auto"/>
      <w:sz w:val="28"/>
      <w:szCs w:val="20"/>
      <w:lang w:eastAsia="zh-CN"/>
    </w:rPr>
  </w:style>
  <w:style w:type="character" w:customStyle="1" w:styleId="46">
    <w:name w:val="页眉 Char"/>
    <w:basedOn w:val="8"/>
    <w:link w:val="5"/>
    <w:qFormat/>
    <w:uiPriority w:val="99"/>
    <w:rPr>
      <w:rFonts w:ascii="Arial" w:hAnsi="Arial" w:eastAsia="Arial" w:cs="Arial"/>
      <w:snapToGrid w:val="0"/>
      <w:color w:val="000000"/>
      <w:sz w:val="18"/>
      <w:szCs w:val="18"/>
      <w:lang w:eastAsia="en-US"/>
    </w:rPr>
  </w:style>
  <w:style w:type="character" w:customStyle="1" w:styleId="47">
    <w:name w:val="页脚 Char"/>
    <w:basedOn w:val="8"/>
    <w:link w:val="4"/>
    <w:qFormat/>
    <w:uiPriority w:val="99"/>
    <w:rPr>
      <w:rFonts w:ascii="Arial" w:hAnsi="Arial" w:eastAsia="Arial" w:cs="Arial"/>
      <w:snapToGrid w:val="0"/>
      <w:color w:val="000000"/>
      <w:sz w:val="18"/>
      <w:szCs w:val="21"/>
      <w:lang w:eastAsia="en-US"/>
    </w:rPr>
  </w:style>
  <w:style w:type="paragraph" w:customStyle="1" w:styleId="4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文件_前言、引言标题"/>
    <w:next w:val="1"/>
    <w:qFormat/>
    <w:uiPriority w:val="0"/>
    <w:pPr>
      <w:numPr>
        <w:ilvl w:val="0"/>
        <w:numId w:val="6"/>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51">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52">
    <w:name w:val="其他发布部门"/>
    <w:basedOn w:val="1"/>
    <w:qFormat/>
    <w:uiPriority w:val="0"/>
    <w:pPr>
      <w:framePr w:w="7433" w:h="585" w:hRule="exact" w:hSpace="180" w:vSpace="180" w:wrap="around" w:vAnchor="margin" w:hAnchor="margin" w:xAlign="center" w:y="14401" w:anchorLock="1"/>
      <w:spacing w:line="0" w:lineRule="atLeast"/>
    </w:pPr>
    <w:rPr>
      <w:rFonts w:ascii="黑体" w:hAnsi="Times New Roman" w:eastAsia="黑体" w:cs="Times New Roman"/>
      <w:snapToGrid/>
      <w:color w:val="auto"/>
      <w:w w:val="135"/>
      <w:sz w:val="36"/>
      <w:szCs w:val="20"/>
      <w:lang w:eastAsia="zh-CN"/>
    </w:rPr>
  </w:style>
  <w:style w:type="paragraph" w:customStyle="1" w:styleId="53">
    <w:name w:val="标准文件_替换文件编号"/>
    <w:basedOn w:val="43"/>
    <w:qFormat/>
    <w:uiPriority w:val="0"/>
    <w:pPr>
      <w:framePr/>
      <w:spacing w:before="57"/>
    </w:pPr>
    <w:rPr>
      <w:sz w:val="21"/>
    </w:rPr>
  </w:style>
  <w:style w:type="paragraph" w:customStyle="1" w:styleId="54">
    <w:name w:val="标准文件_文件名称"/>
    <w:basedOn w:val="27"/>
    <w:next w:val="2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55">
    <w:name w:val="标准文件_引言一级条标题"/>
    <w:basedOn w:val="27"/>
    <w:next w:val="27"/>
    <w:qFormat/>
    <w:uiPriority w:val="0"/>
    <w:pPr>
      <w:numPr>
        <w:ilvl w:val="1"/>
        <w:numId w:val="6"/>
      </w:numPr>
      <w:spacing w:beforeLines="50" w:afterLines="50"/>
      <w:ind w:firstLineChars="0"/>
    </w:pPr>
    <w:rPr>
      <w:rFonts w:ascii="黑体" w:eastAsia="黑体"/>
    </w:rPr>
  </w:style>
  <w:style w:type="paragraph" w:customStyle="1" w:styleId="56">
    <w:name w:val="标准文件_引言二级条标题"/>
    <w:basedOn w:val="27"/>
    <w:next w:val="27"/>
    <w:qFormat/>
    <w:uiPriority w:val="0"/>
    <w:pPr>
      <w:numPr>
        <w:ilvl w:val="2"/>
        <w:numId w:val="6"/>
      </w:numPr>
      <w:spacing w:beforeLines="50" w:afterLines="50"/>
      <w:ind w:firstLineChars="0"/>
    </w:pPr>
    <w:rPr>
      <w:rFonts w:ascii="黑体" w:eastAsia="黑体"/>
    </w:rPr>
  </w:style>
  <w:style w:type="paragraph" w:customStyle="1" w:styleId="57">
    <w:name w:val="标准文件_引言三级条标题"/>
    <w:basedOn w:val="27"/>
    <w:next w:val="27"/>
    <w:qFormat/>
    <w:uiPriority w:val="0"/>
    <w:pPr>
      <w:numPr>
        <w:ilvl w:val="3"/>
        <w:numId w:val="6"/>
      </w:numPr>
      <w:spacing w:beforeLines="50" w:afterLines="50"/>
      <w:ind w:firstLineChars="0"/>
    </w:pPr>
    <w:rPr>
      <w:rFonts w:ascii="黑体" w:eastAsia="黑体"/>
    </w:rPr>
  </w:style>
  <w:style w:type="paragraph" w:customStyle="1" w:styleId="58">
    <w:name w:val="标准文件_引言四级条标题"/>
    <w:basedOn w:val="27"/>
    <w:next w:val="27"/>
    <w:qFormat/>
    <w:uiPriority w:val="0"/>
    <w:pPr>
      <w:numPr>
        <w:ilvl w:val="4"/>
        <w:numId w:val="6"/>
      </w:numPr>
      <w:spacing w:beforeLines="50" w:afterLines="50"/>
      <w:ind w:firstLineChars="0"/>
    </w:pPr>
    <w:rPr>
      <w:rFonts w:ascii="黑体" w:eastAsia="黑体"/>
    </w:rPr>
  </w:style>
  <w:style w:type="paragraph" w:customStyle="1" w:styleId="59">
    <w:name w:val="标准文件_引言五级条标题"/>
    <w:basedOn w:val="27"/>
    <w:next w:val="27"/>
    <w:qFormat/>
    <w:uiPriority w:val="0"/>
    <w:pPr>
      <w:numPr>
        <w:ilvl w:val="5"/>
        <w:numId w:val="6"/>
      </w:numPr>
      <w:spacing w:beforeLines="50" w:afterLines="50"/>
      <w:ind w:firstLineChars="0"/>
    </w:pPr>
    <w:rPr>
      <w:rFonts w:ascii="黑体" w:eastAsia="黑体"/>
    </w:rPr>
  </w:style>
  <w:style w:type="character" w:customStyle="1" w:styleId="60">
    <w:name w:val="发布"/>
    <w:basedOn w:val="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2.jpeg"/><Relationship Id="rId16" Type="http://schemas.microsoft.com/office/2007/relationships/diagramDrawing" Target="diagrams/drawing1.xml"/><Relationship Id="rId15" Type="http://schemas.openxmlformats.org/officeDocument/2006/relationships/diagramColors" Target="diagrams/colors1.xml"/><Relationship Id="rId14" Type="http://schemas.openxmlformats.org/officeDocument/2006/relationships/diagramQuickStyle" Target="diagrams/quickStyle1.xml"/><Relationship Id="rId13" Type="http://schemas.openxmlformats.org/officeDocument/2006/relationships/diagramLayout" Target="diagrams/layout1.xml"/><Relationship Id="rId12" Type="http://schemas.openxmlformats.org/officeDocument/2006/relationships/diagramData" Target="diagrams/data1.xml"/><Relationship Id="rId11" Type="http://schemas.openxmlformats.org/officeDocument/2006/relationships/image" Target="media/image1.tiff"/><Relationship Id="rId10" Type="http://schemas.openxmlformats.org/officeDocument/2006/relationships/theme" Target="theme/theme1.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62CA203-024D-4143-8FE4-6C926BB112E2}" type="doc">
      <dgm:prSet loTypeId="urn:microsoft.com/office/officeart/2005/8/layout/process2" loCatId="process" qsTypeId="urn:microsoft.com/office/officeart/2005/8/quickstyle/simple3" qsCatId="simple" csTypeId="urn:microsoft.com/office/officeart/2005/8/colors/accent1_2" csCatId="accent1" phldr="1"/>
      <dgm:spPr/>
    </dgm:pt>
    <dgm:pt modelId="{0D2C4E8C-F378-48C7-9915-999F3F5E4A03}">
      <dgm:prSet phldrT="[文本]"/>
      <dgm:spPr/>
      <dgm:t>
        <a:bodyPr/>
        <a:p>
          <a:r>
            <a:rPr lang="zh-CN" altLang="en-US"/>
            <a:t>任务下达</a:t>
          </a:r>
        </a:p>
      </dgm:t>
    </dgm:pt>
    <dgm:pt modelId="{65850E8B-EBB8-4CE3-A3F7-AD1FBDB8BC98}" cxnId="{E0995658-62BE-47EA-9218-C65BD86D28DC}" type="parTrans">
      <dgm:prSet/>
      <dgm:spPr/>
      <dgm:t>
        <a:bodyPr/>
        <a:p>
          <a:endParaRPr lang="zh-CN" altLang="en-US"/>
        </a:p>
      </dgm:t>
    </dgm:pt>
    <dgm:pt modelId="{EE21898E-2375-4A52-BCC2-A06B1B3E2F9A}" cxnId="{E0995658-62BE-47EA-9218-C65BD86D28DC}" type="sibTrans">
      <dgm:prSet/>
      <dgm:spPr/>
      <dgm:t>
        <a:bodyPr/>
        <a:p>
          <a:endParaRPr lang="zh-CN" altLang="en-US"/>
        </a:p>
      </dgm:t>
    </dgm:pt>
    <dgm:pt modelId="{69C88A0B-FC27-48A0-B442-F2F1848AD70D}">
      <dgm:prSet phldrT="[文本]"/>
      <dgm:spPr/>
      <dgm:t>
        <a:bodyPr/>
        <a:p>
          <a:r>
            <a:rPr lang="zh-CN" altLang="en-US"/>
            <a:t>分配任务</a:t>
          </a:r>
        </a:p>
      </dgm:t>
    </dgm:pt>
    <dgm:pt modelId="{DCFCF14B-E870-4B46-8DAD-227B25B72BA2}" cxnId="{F587DB7F-7E7C-40EA-A711-29C476EDCD32}" type="parTrans">
      <dgm:prSet/>
      <dgm:spPr/>
      <dgm:t>
        <a:bodyPr/>
        <a:p>
          <a:endParaRPr lang="zh-CN" altLang="en-US"/>
        </a:p>
      </dgm:t>
    </dgm:pt>
    <dgm:pt modelId="{84D16A34-093B-4E4D-B281-D64D1FE5AB13}" cxnId="{F587DB7F-7E7C-40EA-A711-29C476EDCD32}" type="sibTrans">
      <dgm:prSet/>
      <dgm:spPr/>
      <dgm:t>
        <a:bodyPr/>
        <a:p>
          <a:endParaRPr lang="zh-CN" altLang="en-US"/>
        </a:p>
      </dgm:t>
    </dgm:pt>
    <dgm:pt modelId="{2014704F-ADF9-4413-9E29-455CCE245EB8}">
      <dgm:prSet phldrT="[文本]"/>
      <dgm:spPr/>
      <dgm:t>
        <a:bodyPr/>
        <a:p>
          <a:r>
            <a:rPr lang="zh-CN" altLang="en-US"/>
            <a:t>签到</a:t>
          </a:r>
        </a:p>
      </dgm:t>
    </dgm:pt>
    <dgm:pt modelId="{E607B05B-1F5F-44E9-A7F8-B5F81F1C469F}" cxnId="{C36EEDE5-1FF3-4E41-B4C6-487025DB51C1}" type="parTrans">
      <dgm:prSet/>
      <dgm:spPr/>
      <dgm:t>
        <a:bodyPr/>
        <a:p>
          <a:endParaRPr lang="zh-CN" altLang="en-US"/>
        </a:p>
      </dgm:t>
    </dgm:pt>
    <dgm:pt modelId="{3DCDDD01-1383-43E7-B37E-D069C58FD116}" cxnId="{C36EEDE5-1FF3-4E41-B4C6-487025DB51C1}" type="sibTrans">
      <dgm:prSet/>
      <dgm:spPr/>
      <dgm:t>
        <a:bodyPr/>
        <a:p>
          <a:endParaRPr lang="zh-CN" altLang="en-US"/>
        </a:p>
      </dgm:t>
    </dgm:pt>
    <dgm:pt modelId="{BBF04CE9-354A-4CA0-ADB1-363D00BE3975}">
      <dgm:prSet/>
      <dgm:spPr/>
      <dgm:t>
        <a:bodyPr/>
        <a:p>
          <a:r>
            <a:rPr lang="zh-CN" altLang="en-US"/>
            <a:t>首次会议</a:t>
          </a:r>
        </a:p>
      </dgm:t>
    </dgm:pt>
    <dgm:pt modelId="{41B50ADB-568D-4DA3-99E0-ADAEC60164B9}" cxnId="{BD01A562-5B38-42C8-8229-80819B2618B3}" type="parTrans">
      <dgm:prSet/>
      <dgm:spPr/>
      <dgm:t>
        <a:bodyPr/>
        <a:p>
          <a:endParaRPr lang="zh-CN" altLang="en-US"/>
        </a:p>
      </dgm:t>
    </dgm:pt>
    <dgm:pt modelId="{360BF0CA-345D-401B-A2CF-407430552D1D}" cxnId="{BD01A562-5B38-42C8-8229-80819B2618B3}" type="sibTrans">
      <dgm:prSet/>
      <dgm:spPr/>
      <dgm:t>
        <a:bodyPr/>
        <a:p>
          <a:endParaRPr lang="zh-CN" altLang="en-US"/>
        </a:p>
      </dgm:t>
    </dgm:pt>
    <dgm:pt modelId="{075CCD7C-B030-4B69-912A-448E4C15D547}">
      <dgm:prSet/>
      <dgm:spPr/>
      <dgm:t>
        <a:bodyPr/>
        <a:p>
          <a:r>
            <a:rPr lang="zh-CN" altLang="en-US"/>
            <a:t>现场核查</a:t>
          </a:r>
        </a:p>
      </dgm:t>
    </dgm:pt>
    <dgm:pt modelId="{A2857038-2A66-4BB6-86B3-F8E56561A84D}" cxnId="{05922D23-6AC2-4E2E-AB01-0C709A20A336}" type="parTrans">
      <dgm:prSet/>
      <dgm:spPr/>
      <dgm:t>
        <a:bodyPr/>
        <a:p>
          <a:endParaRPr lang="zh-CN" altLang="en-US"/>
        </a:p>
      </dgm:t>
    </dgm:pt>
    <dgm:pt modelId="{EE586AD3-2912-4503-A5B3-9C0D5AC364AD}" cxnId="{05922D23-6AC2-4E2E-AB01-0C709A20A336}" type="sibTrans">
      <dgm:prSet/>
      <dgm:spPr/>
      <dgm:t>
        <a:bodyPr/>
        <a:p>
          <a:endParaRPr lang="zh-CN" altLang="en-US"/>
        </a:p>
      </dgm:t>
    </dgm:pt>
    <dgm:pt modelId="{FB51A2EC-0FE1-47CC-9DC9-1F4DF79FBAC6}">
      <dgm:prSet/>
      <dgm:spPr/>
      <dgm:t>
        <a:bodyPr/>
        <a:p>
          <a:r>
            <a:rPr lang="zh-CN" altLang="en-US"/>
            <a:t>核查结论</a:t>
          </a:r>
        </a:p>
      </dgm:t>
    </dgm:pt>
    <dgm:pt modelId="{99CF9E06-E449-4F28-855F-35603567AE35}" cxnId="{BEAA3FB0-EF6B-404D-B592-95AADC7C2047}" type="parTrans">
      <dgm:prSet/>
      <dgm:spPr/>
      <dgm:t>
        <a:bodyPr/>
        <a:p>
          <a:endParaRPr lang="zh-CN" altLang="en-US"/>
        </a:p>
      </dgm:t>
    </dgm:pt>
    <dgm:pt modelId="{95C77914-5FE4-4F1A-B182-7B079766D8E5}" cxnId="{BEAA3FB0-EF6B-404D-B592-95AADC7C2047}" type="sibTrans">
      <dgm:prSet/>
      <dgm:spPr/>
      <dgm:t>
        <a:bodyPr/>
        <a:p>
          <a:endParaRPr lang="zh-CN" altLang="en-US"/>
        </a:p>
      </dgm:t>
    </dgm:pt>
    <dgm:pt modelId="{66EB9849-BE34-4E19-BB02-C0B9623489DD}">
      <dgm:prSet/>
      <dgm:spPr/>
      <dgm:t>
        <a:bodyPr/>
        <a:p>
          <a:r>
            <a:rPr lang="zh-CN" altLang="en-US"/>
            <a:t>末次会议</a:t>
          </a:r>
        </a:p>
      </dgm:t>
    </dgm:pt>
    <dgm:pt modelId="{EE85E075-639F-4B60-971B-B997419A04A6}" cxnId="{CFA7C5E6-603D-45C6-9C4E-68E70BFD6963}" type="parTrans">
      <dgm:prSet/>
      <dgm:spPr/>
      <dgm:t>
        <a:bodyPr/>
        <a:p>
          <a:endParaRPr lang="zh-CN" altLang="en-US"/>
        </a:p>
      </dgm:t>
    </dgm:pt>
    <dgm:pt modelId="{DB42DAC1-4323-49DA-864C-F3AE22697CC4}" cxnId="{CFA7C5E6-603D-45C6-9C4E-68E70BFD6963}" type="sibTrans">
      <dgm:prSet/>
      <dgm:spPr/>
      <dgm:t>
        <a:bodyPr/>
        <a:p>
          <a:endParaRPr lang="zh-CN" altLang="en-US"/>
        </a:p>
      </dgm:t>
    </dgm:pt>
    <dgm:pt modelId="{DF9D86EC-744E-4FA1-8856-F8BD1C5EA0B9}">
      <dgm:prSet/>
      <dgm:spPr/>
      <dgm:t>
        <a:bodyPr/>
        <a:p>
          <a:r>
            <a:rPr lang="zh-CN" altLang="en-US"/>
            <a:t>提交结论</a:t>
          </a:r>
        </a:p>
      </dgm:t>
    </dgm:pt>
    <dgm:pt modelId="{E7385F77-2AC1-401B-B5D4-43EE22D4B37B}" cxnId="{D6AE4BEA-8CDA-4CAE-B6D6-17445FCDEEBF}" type="parTrans">
      <dgm:prSet/>
      <dgm:spPr/>
      <dgm:t>
        <a:bodyPr/>
        <a:p>
          <a:endParaRPr lang="zh-CN" altLang="en-US"/>
        </a:p>
      </dgm:t>
    </dgm:pt>
    <dgm:pt modelId="{030C22F7-50F7-46AD-A8D9-B5691C0493E6}" cxnId="{D6AE4BEA-8CDA-4CAE-B6D6-17445FCDEEBF}" type="sibTrans">
      <dgm:prSet/>
      <dgm:spPr/>
      <dgm:t>
        <a:bodyPr/>
        <a:p>
          <a:endParaRPr lang="zh-CN" altLang="en-US"/>
        </a:p>
      </dgm:t>
    </dgm:pt>
    <dgm:pt modelId="{0EE418A1-69EA-4308-87D6-FC4E398FDFAD}" type="pres">
      <dgm:prSet presAssocID="{C62CA203-024D-4143-8FE4-6C926BB112E2}" presName="linearFlow" presStyleCnt="0">
        <dgm:presLayoutVars>
          <dgm:resizeHandles val="exact"/>
        </dgm:presLayoutVars>
      </dgm:prSet>
      <dgm:spPr/>
    </dgm:pt>
    <dgm:pt modelId="{8989320C-DDE3-47AE-837D-8D54FA1C20C8}" type="pres">
      <dgm:prSet presAssocID="{0D2C4E8C-F378-48C7-9915-999F3F5E4A03}" presName="node" presStyleLbl="node1" presStyleIdx="0" presStyleCnt="8">
        <dgm:presLayoutVars>
          <dgm:bulletEnabled val="1"/>
        </dgm:presLayoutVars>
      </dgm:prSet>
      <dgm:spPr/>
      <dgm:t>
        <a:bodyPr/>
        <a:p>
          <a:endParaRPr lang="zh-CN" altLang="en-US"/>
        </a:p>
      </dgm:t>
    </dgm:pt>
    <dgm:pt modelId="{7CB2F023-51F2-420F-A289-D04258221578}" type="pres">
      <dgm:prSet presAssocID="{EE21898E-2375-4A52-BCC2-A06B1B3E2F9A}" presName="sibTrans" presStyleLbl="sibTrans2D1" presStyleIdx="0" presStyleCnt="7"/>
      <dgm:spPr/>
      <dgm:t>
        <a:bodyPr/>
        <a:p>
          <a:endParaRPr lang="zh-CN" altLang="en-US"/>
        </a:p>
      </dgm:t>
    </dgm:pt>
    <dgm:pt modelId="{49874A28-E1CC-4083-9182-FEF5923B0F23}" type="pres">
      <dgm:prSet presAssocID="{EE21898E-2375-4A52-BCC2-A06B1B3E2F9A}" presName="connectorText" presStyleLbl="sibTrans2D1" presStyleIdx="0" presStyleCnt="7"/>
      <dgm:spPr/>
      <dgm:t>
        <a:bodyPr/>
        <a:p>
          <a:endParaRPr lang="zh-CN" altLang="en-US"/>
        </a:p>
      </dgm:t>
    </dgm:pt>
    <dgm:pt modelId="{38E35E08-871C-4485-96C7-BA1D66B4F42E}" type="pres">
      <dgm:prSet presAssocID="{69C88A0B-FC27-48A0-B442-F2F1848AD70D}" presName="node" presStyleLbl="node1" presStyleIdx="1" presStyleCnt="8">
        <dgm:presLayoutVars>
          <dgm:bulletEnabled val="1"/>
        </dgm:presLayoutVars>
      </dgm:prSet>
      <dgm:spPr/>
      <dgm:t>
        <a:bodyPr/>
        <a:p>
          <a:endParaRPr lang="zh-CN" altLang="en-US"/>
        </a:p>
      </dgm:t>
    </dgm:pt>
    <dgm:pt modelId="{0A04E737-9851-4066-8876-3855B4EDE96E}" type="pres">
      <dgm:prSet presAssocID="{84D16A34-093B-4E4D-B281-D64D1FE5AB13}" presName="sibTrans" presStyleLbl="sibTrans2D1" presStyleIdx="1" presStyleCnt="7"/>
      <dgm:spPr/>
      <dgm:t>
        <a:bodyPr/>
        <a:p>
          <a:endParaRPr lang="zh-CN" altLang="en-US"/>
        </a:p>
      </dgm:t>
    </dgm:pt>
    <dgm:pt modelId="{A00571F8-B609-4C7E-95FA-DC4CDED2ACC9}" type="pres">
      <dgm:prSet presAssocID="{84D16A34-093B-4E4D-B281-D64D1FE5AB13}" presName="connectorText" presStyleLbl="sibTrans2D1" presStyleIdx="1" presStyleCnt="7"/>
      <dgm:spPr/>
      <dgm:t>
        <a:bodyPr/>
        <a:p>
          <a:endParaRPr lang="zh-CN" altLang="en-US"/>
        </a:p>
      </dgm:t>
    </dgm:pt>
    <dgm:pt modelId="{46B00AD6-C8CB-49F2-AB5B-1ACB9D714617}" type="pres">
      <dgm:prSet presAssocID="{2014704F-ADF9-4413-9E29-455CCE245EB8}" presName="node" presStyleLbl="node1" presStyleIdx="2" presStyleCnt="8">
        <dgm:presLayoutVars>
          <dgm:bulletEnabled val="1"/>
        </dgm:presLayoutVars>
      </dgm:prSet>
      <dgm:spPr/>
      <dgm:t>
        <a:bodyPr/>
        <a:p>
          <a:endParaRPr lang="zh-CN" altLang="en-US"/>
        </a:p>
      </dgm:t>
    </dgm:pt>
    <dgm:pt modelId="{25B3EE2B-4129-47B4-97CD-A37F24FB7257}" type="pres">
      <dgm:prSet presAssocID="{3DCDDD01-1383-43E7-B37E-D069C58FD116}" presName="sibTrans" presStyleLbl="sibTrans2D1" presStyleIdx="2" presStyleCnt="7"/>
      <dgm:spPr/>
      <dgm:t>
        <a:bodyPr/>
        <a:p>
          <a:endParaRPr lang="zh-CN" altLang="en-US"/>
        </a:p>
      </dgm:t>
    </dgm:pt>
    <dgm:pt modelId="{E24570A4-805A-43EA-9C92-263AD7FE248B}" type="pres">
      <dgm:prSet presAssocID="{3DCDDD01-1383-43E7-B37E-D069C58FD116}" presName="connectorText" presStyleLbl="sibTrans2D1" presStyleIdx="2" presStyleCnt="7"/>
      <dgm:spPr/>
      <dgm:t>
        <a:bodyPr/>
        <a:p>
          <a:endParaRPr lang="zh-CN" altLang="en-US"/>
        </a:p>
      </dgm:t>
    </dgm:pt>
    <dgm:pt modelId="{FEDF85F3-9310-4148-8A72-F2C7CEEF1B31}" type="pres">
      <dgm:prSet presAssocID="{BBF04CE9-354A-4CA0-ADB1-363D00BE3975}" presName="node" presStyleLbl="node1" presStyleIdx="3" presStyleCnt="8">
        <dgm:presLayoutVars>
          <dgm:bulletEnabled val="1"/>
        </dgm:presLayoutVars>
      </dgm:prSet>
      <dgm:spPr/>
      <dgm:t>
        <a:bodyPr/>
        <a:p>
          <a:endParaRPr lang="zh-CN" altLang="en-US"/>
        </a:p>
      </dgm:t>
    </dgm:pt>
    <dgm:pt modelId="{2C5CC5B4-9AF9-458E-95B6-969A4E2EB606}" type="pres">
      <dgm:prSet presAssocID="{360BF0CA-345D-401B-A2CF-407430552D1D}" presName="sibTrans" presStyleLbl="sibTrans2D1" presStyleIdx="3" presStyleCnt="7"/>
      <dgm:spPr/>
      <dgm:t>
        <a:bodyPr/>
        <a:p>
          <a:endParaRPr lang="zh-CN" altLang="en-US"/>
        </a:p>
      </dgm:t>
    </dgm:pt>
    <dgm:pt modelId="{CFF6C146-CBA1-4A5B-A5AC-00945EA7485E}" type="pres">
      <dgm:prSet presAssocID="{360BF0CA-345D-401B-A2CF-407430552D1D}" presName="connectorText" presStyleLbl="sibTrans2D1" presStyleIdx="3" presStyleCnt="7"/>
      <dgm:spPr/>
      <dgm:t>
        <a:bodyPr/>
        <a:p>
          <a:endParaRPr lang="zh-CN" altLang="en-US"/>
        </a:p>
      </dgm:t>
    </dgm:pt>
    <dgm:pt modelId="{9B8C3512-757C-4CB8-AA49-DA5F811EA707}" type="pres">
      <dgm:prSet presAssocID="{075CCD7C-B030-4B69-912A-448E4C15D547}" presName="node" presStyleLbl="node1" presStyleIdx="4" presStyleCnt="8">
        <dgm:presLayoutVars>
          <dgm:bulletEnabled val="1"/>
        </dgm:presLayoutVars>
      </dgm:prSet>
      <dgm:spPr/>
      <dgm:t>
        <a:bodyPr/>
        <a:p>
          <a:endParaRPr lang="zh-CN" altLang="en-US"/>
        </a:p>
      </dgm:t>
    </dgm:pt>
    <dgm:pt modelId="{C71FF545-9143-4A8C-824C-AEC5852BE910}" type="pres">
      <dgm:prSet presAssocID="{EE586AD3-2912-4503-A5B3-9C0D5AC364AD}" presName="sibTrans" presStyleLbl="sibTrans2D1" presStyleIdx="4" presStyleCnt="7"/>
      <dgm:spPr/>
      <dgm:t>
        <a:bodyPr/>
        <a:p>
          <a:endParaRPr lang="zh-CN" altLang="en-US"/>
        </a:p>
      </dgm:t>
    </dgm:pt>
    <dgm:pt modelId="{EE9DBF72-093A-4F95-90AB-54B1C8E8AA43}" type="pres">
      <dgm:prSet presAssocID="{EE586AD3-2912-4503-A5B3-9C0D5AC364AD}" presName="connectorText" presStyleLbl="sibTrans2D1" presStyleIdx="4" presStyleCnt="7"/>
      <dgm:spPr/>
      <dgm:t>
        <a:bodyPr/>
        <a:p>
          <a:endParaRPr lang="zh-CN" altLang="en-US"/>
        </a:p>
      </dgm:t>
    </dgm:pt>
    <dgm:pt modelId="{98AA3241-0FFB-41F4-B6C3-A2379D870E39}" type="pres">
      <dgm:prSet presAssocID="{FB51A2EC-0FE1-47CC-9DC9-1F4DF79FBAC6}" presName="node" presStyleLbl="node1" presStyleIdx="5" presStyleCnt="8">
        <dgm:presLayoutVars>
          <dgm:bulletEnabled val="1"/>
        </dgm:presLayoutVars>
      </dgm:prSet>
      <dgm:spPr/>
      <dgm:t>
        <a:bodyPr/>
        <a:p>
          <a:endParaRPr lang="zh-CN" altLang="en-US"/>
        </a:p>
      </dgm:t>
    </dgm:pt>
    <dgm:pt modelId="{15E4001A-C8FF-4B09-83A8-CFF8DD10E193}" type="pres">
      <dgm:prSet presAssocID="{95C77914-5FE4-4F1A-B182-7B079766D8E5}" presName="sibTrans" presStyleLbl="sibTrans2D1" presStyleIdx="5" presStyleCnt="7"/>
      <dgm:spPr/>
      <dgm:t>
        <a:bodyPr/>
        <a:p>
          <a:endParaRPr lang="zh-CN" altLang="en-US"/>
        </a:p>
      </dgm:t>
    </dgm:pt>
    <dgm:pt modelId="{156D435E-8AE2-47F4-A9C5-E0796AE67C3C}" type="pres">
      <dgm:prSet presAssocID="{95C77914-5FE4-4F1A-B182-7B079766D8E5}" presName="connectorText" presStyleLbl="sibTrans2D1" presStyleIdx="5" presStyleCnt="7"/>
      <dgm:spPr/>
      <dgm:t>
        <a:bodyPr/>
        <a:p>
          <a:endParaRPr lang="zh-CN" altLang="en-US"/>
        </a:p>
      </dgm:t>
    </dgm:pt>
    <dgm:pt modelId="{7D00811A-5DEA-4B5B-9665-16F74B3FF179}" type="pres">
      <dgm:prSet presAssocID="{66EB9849-BE34-4E19-BB02-C0B9623489DD}" presName="node" presStyleLbl="node1" presStyleIdx="6" presStyleCnt="8">
        <dgm:presLayoutVars>
          <dgm:bulletEnabled val="1"/>
        </dgm:presLayoutVars>
      </dgm:prSet>
      <dgm:spPr/>
      <dgm:t>
        <a:bodyPr/>
        <a:p>
          <a:endParaRPr lang="zh-CN" altLang="en-US"/>
        </a:p>
      </dgm:t>
    </dgm:pt>
    <dgm:pt modelId="{9E9CF19B-37E1-4EAE-8D18-9C58302C4975}" type="pres">
      <dgm:prSet presAssocID="{DB42DAC1-4323-49DA-864C-F3AE22697CC4}" presName="sibTrans" presStyleLbl="sibTrans2D1" presStyleIdx="6" presStyleCnt="7"/>
      <dgm:spPr/>
      <dgm:t>
        <a:bodyPr/>
        <a:p>
          <a:endParaRPr lang="zh-CN" altLang="en-US"/>
        </a:p>
      </dgm:t>
    </dgm:pt>
    <dgm:pt modelId="{BEAA830F-098B-4400-9F66-E8091DB12354}" type="pres">
      <dgm:prSet presAssocID="{DB42DAC1-4323-49DA-864C-F3AE22697CC4}" presName="connectorText" presStyleLbl="sibTrans2D1" presStyleIdx="6" presStyleCnt="7"/>
      <dgm:spPr/>
      <dgm:t>
        <a:bodyPr/>
        <a:p>
          <a:endParaRPr lang="zh-CN" altLang="en-US"/>
        </a:p>
      </dgm:t>
    </dgm:pt>
    <dgm:pt modelId="{A6FC17B9-4B20-42E3-8282-30BC75F9D010}" type="pres">
      <dgm:prSet presAssocID="{DF9D86EC-744E-4FA1-8856-F8BD1C5EA0B9}" presName="node" presStyleLbl="node1" presStyleIdx="7" presStyleCnt="8">
        <dgm:presLayoutVars>
          <dgm:bulletEnabled val="1"/>
        </dgm:presLayoutVars>
      </dgm:prSet>
      <dgm:spPr/>
      <dgm:t>
        <a:bodyPr/>
        <a:p>
          <a:endParaRPr lang="zh-CN" altLang="en-US"/>
        </a:p>
      </dgm:t>
    </dgm:pt>
  </dgm:ptLst>
  <dgm:cxnLst>
    <dgm:cxn modelId="{D6AE4BEA-8CDA-4CAE-B6D6-17445FCDEEBF}" srcId="{C62CA203-024D-4143-8FE4-6C926BB112E2}" destId="{DF9D86EC-744E-4FA1-8856-F8BD1C5EA0B9}" srcOrd="7" destOrd="0" parTransId="{E7385F77-2AC1-401B-B5D4-43EE22D4B37B}" sibTransId="{030C22F7-50F7-46AD-A8D9-B5691C0493E6}"/>
    <dgm:cxn modelId="{1F8C8304-7EAD-4864-9047-A17FA2ACB1B2}" type="presOf" srcId="{0D2C4E8C-F378-48C7-9915-999F3F5E4A03}" destId="{8989320C-DDE3-47AE-837D-8D54FA1C20C8}" srcOrd="0" destOrd="0" presId="urn:microsoft.com/office/officeart/2005/8/layout/process2"/>
    <dgm:cxn modelId="{608AE485-DAB5-4FC8-A99C-719802C0A881}" type="presOf" srcId="{EE21898E-2375-4A52-BCC2-A06B1B3E2F9A}" destId="{7CB2F023-51F2-420F-A289-D04258221578}" srcOrd="0" destOrd="0" presId="urn:microsoft.com/office/officeart/2005/8/layout/process2"/>
    <dgm:cxn modelId="{D790FD23-12CA-4571-9D02-0C5EB062499E}" type="presOf" srcId="{075CCD7C-B030-4B69-912A-448E4C15D547}" destId="{9B8C3512-757C-4CB8-AA49-DA5F811EA707}" srcOrd="0" destOrd="0" presId="urn:microsoft.com/office/officeart/2005/8/layout/process2"/>
    <dgm:cxn modelId="{803F7557-5944-4BF3-BD32-B8E8F750D30D}" type="presOf" srcId="{DB42DAC1-4323-49DA-864C-F3AE22697CC4}" destId="{9E9CF19B-37E1-4EAE-8D18-9C58302C4975}" srcOrd="0" destOrd="0" presId="urn:microsoft.com/office/officeart/2005/8/layout/process2"/>
    <dgm:cxn modelId="{72610D95-07F3-4CAC-9A0E-68FDBD1CF791}" type="presOf" srcId="{C62CA203-024D-4143-8FE4-6C926BB112E2}" destId="{0EE418A1-69EA-4308-87D6-FC4E398FDFAD}" srcOrd="0" destOrd="0" presId="urn:microsoft.com/office/officeart/2005/8/layout/process2"/>
    <dgm:cxn modelId="{7926826B-CF69-4DAD-82EA-55795FFF1341}" type="presOf" srcId="{FB51A2EC-0FE1-47CC-9DC9-1F4DF79FBAC6}" destId="{98AA3241-0FFB-41F4-B6C3-A2379D870E39}" srcOrd="0" destOrd="0" presId="urn:microsoft.com/office/officeart/2005/8/layout/process2"/>
    <dgm:cxn modelId="{D71677FD-BEE5-4D61-A548-03C3FECE2D8C}" type="presOf" srcId="{95C77914-5FE4-4F1A-B182-7B079766D8E5}" destId="{15E4001A-C8FF-4B09-83A8-CFF8DD10E193}" srcOrd="0" destOrd="0" presId="urn:microsoft.com/office/officeart/2005/8/layout/process2"/>
    <dgm:cxn modelId="{D108396B-C0B2-4EC3-A4C6-0520ABFECC42}" type="presOf" srcId="{2014704F-ADF9-4413-9E29-455CCE245EB8}" destId="{46B00AD6-C8CB-49F2-AB5B-1ACB9D714617}" srcOrd="0" destOrd="0" presId="urn:microsoft.com/office/officeart/2005/8/layout/process2"/>
    <dgm:cxn modelId="{42CA159F-CA59-4884-A895-5A011E55F207}" type="presOf" srcId="{360BF0CA-345D-401B-A2CF-407430552D1D}" destId="{2C5CC5B4-9AF9-458E-95B6-969A4E2EB606}" srcOrd="0" destOrd="0" presId="urn:microsoft.com/office/officeart/2005/8/layout/process2"/>
    <dgm:cxn modelId="{91FB6CBB-2C23-4589-A618-2509C0795469}" type="presOf" srcId="{EE586AD3-2912-4503-A5B3-9C0D5AC364AD}" destId="{C71FF545-9143-4A8C-824C-AEC5852BE910}" srcOrd="0" destOrd="0" presId="urn:microsoft.com/office/officeart/2005/8/layout/process2"/>
    <dgm:cxn modelId="{BD01A562-5B38-42C8-8229-80819B2618B3}" srcId="{C62CA203-024D-4143-8FE4-6C926BB112E2}" destId="{BBF04CE9-354A-4CA0-ADB1-363D00BE3975}" srcOrd="3" destOrd="0" parTransId="{41B50ADB-568D-4DA3-99E0-ADAEC60164B9}" sibTransId="{360BF0CA-345D-401B-A2CF-407430552D1D}"/>
    <dgm:cxn modelId="{8B730B62-3D5A-4B82-82F6-CAF5ACB6F9BE}" type="presOf" srcId="{3DCDDD01-1383-43E7-B37E-D069C58FD116}" destId="{25B3EE2B-4129-47B4-97CD-A37F24FB7257}" srcOrd="0" destOrd="0" presId="urn:microsoft.com/office/officeart/2005/8/layout/process2"/>
    <dgm:cxn modelId="{7924FCC0-6B63-477F-ADF7-01753DA5F876}" type="presOf" srcId="{DF9D86EC-744E-4FA1-8856-F8BD1C5EA0B9}" destId="{A6FC17B9-4B20-42E3-8282-30BC75F9D010}" srcOrd="0" destOrd="0" presId="urn:microsoft.com/office/officeart/2005/8/layout/process2"/>
    <dgm:cxn modelId="{E06E1707-59B7-4821-AB96-ADFF705C1888}" type="presOf" srcId="{69C88A0B-FC27-48A0-B442-F2F1848AD70D}" destId="{38E35E08-871C-4485-96C7-BA1D66B4F42E}" srcOrd="0" destOrd="0" presId="urn:microsoft.com/office/officeart/2005/8/layout/process2"/>
    <dgm:cxn modelId="{534F419F-2965-42D7-8AF3-86E168A1B972}" type="presOf" srcId="{EE586AD3-2912-4503-A5B3-9C0D5AC364AD}" destId="{EE9DBF72-093A-4F95-90AB-54B1C8E8AA43}" srcOrd="1" destOrd="0" presId="urn:microsoft.com/office/officeart/2005/8/layout/process2"/>
    <dgm:cxn modelId="{F39FFFB3-AAB2-4A21-A19D-DC0787D80E50}" type="presOf" srcId="{360BF0CA-345D-401B-A2CF-407430552D1D}" destId="{CFF6C146-CBA1-4A5B-A5AC-00945EA7485E}" srcOrd="1" destOrd="0" presId="urn:microsoft.com/office/officeart/2005/8/layout/process2"/>
    <dgm:cxn modelId="{BEAA3FB0-EF6B-404D-B592-95AADC7C2047}" srcId="{C62CA203-024D-4143-8FE4-6C926BB112E2}" destId="{FB51A2EC-0FE1-47CC-9DC9-1F4DF79FBAC6}" srcOrd="5" destOrd="0" parTransId="{99CF9E06-E449-4F28-855F-35603567AE35}" sibTransId="{95C77914-5FE4-4F1A-B182-7B079766D8E5}"/>
    <dgm:cxn modelId="{05922D23-6AC2-4E2E-AB01-0C709A20A336}" srcId="{C62CA203-024D-4143-8FE4-6C926BB112E2}" destId="{075CCD7C-B030-4B69-912A-448E4C15D547}" srcOrd="4" destOrd="0" parTransId="{A2857038-2A66-4BB6-86B3-F8E56561A84D}" sibTransId="{EE586AD3-2912-4503-A5B3-9C0D5AC364AD}"/>
    <dgm:cxn modelId="{C36EEDE5-1FF3-4E41-B4C6-487025DB51C1}" srcId="{C62CA203-024D-4143-8FE4-6C926BB112E2}" destId="{2014704F-ADF9-4413-9E29-455CCE245EB8}" srcOrd="2" destOrd="0" parTransId="{E607B05B-1F5F-44E9-A7F8-B5F81F1C469F}" sibTransId="{3DCDDD01-1383-43E7-B37E-D069C58FD116}"/>
    <dgm:cxn modelId="{51DF65D0-113E-4B2F-82BF-6C3D7BB1CD09}" type="presOf" srcId="{95C77914-5FE4-4F1A-B182-7B079766D8E5}" destId="{156D435E-8AE2-47F4-A9C5-E0796AE67C3C}" srcOrd="1" destOrd="0" presId="urn:microsoft.com/office/officeart/2005/8/layout/process2"/>
    <dgm:cxn modelId="{00D92AFB-8DF9-4177-AC79-3032FD8937B7}" type="presOf" srcId="{66EB9849-BE34-4E19-BB02-C0B9623489DD}" destId="{7D00811A-5DEA-4B5B-9665-16F74B3FF179}" srcOrd="0" destOrd="0" presId="urn:microsoft.com/office/officeart/2005/8/layout/process2"/>
    <dgm:cxn modelId="{CFA7C5E6-603D-45C6-9C4E-68E70BFD6963}" srcId="{C62CA203-024D-4143-8FE4-6C926BB112E2}" destId="{66EB9849-BE34-4E19-BB02-C0B9623489DD}" srcOrd="6" destOrd="0" parTransId="{EE85E075-639F-4B60-971B-B997419A04A6}" sibTransId="{DB42DAC1-4323-49DA-864C-F3AE22697CC4}"/>
    <dgm:cxn modelId="{51313AA3-040B-4EE9-ACF8-9F062B36C820}" type="presOf" srcId="{EE21898E-2375-4A52-BCC2-A06B1B3E2F9A}" destId="{49874A28-E1CC-4083-9182-FEF5923B0F23}" srcOrd="1" destOrd="0" presId="urn:microsoft.com/office/officeart/2005/8/layout/process2"/>
    <dgm:cxn modelId="{4861A2CF-70AB-4821-BA37-2FBC8078ECA6}" type="presOf" srcId="{3DCDDD01-1383-43E7-B37E-D069C58FD116}" destId="{E24570A4-805A-43EA-9C92-263AD7FE248B}" srcOrd="1" destOrd="0" presId="urn:microsoft.com/office/officeart/2005/8/layout/process2"/>
    <dgm:cxn modelId="{E0995658-62BE-47EA-9218-C65BD86D28DC}" srcId="{C62CA203-024D-4143-8FE4-6C926BB112E2}" destId="{0D2C4E8C-F378-48C7-9915-999F3F5E4A03}" srcOrd="0" destOrd="0" parTransId="{65850E8B-EBB8-4CE3-A3F7-AD1FBDB8BC98}" sibTransId="{EE21898E-2375-4A52-BCC2-A06B1B3E2F9A}"/>
    <dgm:cxn modelId="{608D7288-0011-4CC1-81FE-16ADBFAB7AD9}" type="presOf" srcId="{84D16A34-093B-4E4D-B281-D64D1FE5AB13}" destId="{A00571F8-B609-4C7E-95FA-DC4CDED2ACC9}" srcOrd="1" destOrd="0" presId="urn:microsoft.com/office/officeart/2005/8/layout/process2"/>
    <dgm:cxn modelId="{1F83E829-C0B8-481A-88BC-FFB0CC421DB8}" type="presOf" srcId="{84D16A34-093B-4E4D-B281-D64D1FE5AB13}" destId="{0A04E737-9851-4066-8876-3855B4EDE96E}" srcOrd="0" destOrd="0" presId="urn:microsoft.com/office/officeart/2005/8/layout/process2"/>
    <dgm:cxn modelId="{D454B002-A438-4545-9376-8FB41F44E618}" type="presOf" srcId="{BBF04CE9-354A-4CA0-ADB1-363D00BE3975}" destId="{FEDF85F3-9310-4148-8A72-F2C7CEEF1B31}" srcOrd="0" destOrd="0" presId="urn:microsoft.com/office/officeart/2005/8/layout/process2"/>
    <dgm:cxn modelId="{9338033F-FFDA-4158-8A17-19BE25F832C1}" type="presOf" srcId="{DB42DAC1-4323-49DA-864C-F3AE22697CC4}" destId="{BEAA830F-098B-4400-9F66-E8091DB12354}" srcOrd="1" destOrd="0" presId="urn:microsoft.com/office/officeart/2005/8/layout/process2"/>
    <dgm:cxn modelId="{F587DB7F-7E7C-40EA-A711-29C476EDCD32}" srcId="{C62CA203-024D-4143-8FE4-6C926BB112E2}" destId="{69C88A0B-FC27-48A0-B442-F2F1848AD70D}" srcOrd="1" destOrd="0" parTransId="{DCFCF14B-E870-4B46-8DAD-227B25B72BA2}" sibTransId="{84D16A34-093B-4E4D-B281-D64D1FE5AB13}"/>
    <dgm:cxn modelId="{F3381968-422C-4FE0-833E-5E3D82AB89D5}" type="presParOf" srcId="{0EE418A1-69EA-4308-87D6-FC4E398FDFAD}" destId="{8989320C-DDE3-47AE-837D-8D54FA1C20C8}" srcOrd="0" destOrd="0" presId="urn:microsoft.com/office/officeart/2005/8/layout/process2"/>
    <dgm:cxn modelId="{67AE6A26-C3A1-439B-805B-2E473A3C63A5}" type="presParOf" srcId="{0EE418A1-69EA-4308-87D6-FC4E398FDFAD}" destId="{7CB2F023-51F2-420F-A289-D04258221578}" srcOrd="1" destOrd="0" presId="urn:microsoft.com/office/officeart/2005/8/layout/process2"/>
    <dgm:cxn modelId="{90D375CB-A772-407B-A49F-297E03835FC8}" type="presParOf" srcId="{7CB2F023-51F2-420F-A289-D04258221578}" destId="{49874A28-E1CC-4083-9182-FEF5923B0F23}" srcOrd="0" destOrd="0" presId="urn:microsoft.com/office/officeart/2005/8/layout/process2"/>
    <dgm:cxn modelId="{0068A5E3-E157-4569-ADEE-D35AE4FECEC3}" type="presParOf" srcId="{0EE418A1-69EA-4308-87D6-FC4E398FDFAD}" destId="{38E35E08-871C-4485-96C7-BA1D66B4F42E}" srcOrd="2" destOrd="0" presId="urn:microsoft.com/office/officeart/2005/8/layout/process2"/>
    <dgm:cxn modelId="{A7A94D18-1EA4-4891-9731-7E33D7457973}" type="presParOf" srcId="{0EE418A1-69EA-4308-87D6-FC4E398FDFAD}" destId="{0A04E737-9851-4066-8876-3855B4EDE96E}" srcOrd="3" destOrd="0" presId="urn:microsoft.com/office/officeart/2005/8/layout/process2"/>
    <dgm:cxn modelId="{1A3002E5-8E21-4E8D-80A3-DD04C0E0DE40}" type="presParOf" srcId="{0A04E737-9851-4066-8876-3855B4EDE96E}" destId="{A00571F8-B609-4C7E-95FA-DC4CDED2ACC9}" srcOrd="0" destOrd="0" presId="urn:microsoft.com/office/officeart/2005/8/layout/process2"/>
    <dgm:cxn modelId="{6EEB8A08-0872-4592-9E9D-67FDB88EC2FB}" type="presParOf" srcId="{0EE418A1-69EA-4308-87D6-FC4E398FDFAD}" destId="{46B00AD6-C8CB-49F2-AB5B-1ACB9D714617}" srcOrd="4" destOrd="0" presId="urn:microsoft.com/office/officeart/2005/8/layout/process2"/>
    <dgm:cxn modelId="{E13300C4-C973-4165-976D-0A3F10554A02}" type="presParOf" srcId="{0EE418A1-69EA-4308-87D6-FC4E398FDFAD}" destId="{25B3EE2B-4129-47B4-97CD-A37F24FB7257}" srcOrd="5" destOrd="0" presId="urn:microsoft.com/office/officeart/2005/8/layout/process2"/>
    <dgm:cxn modelId="{88EA4A8A-6976-47E6-8139-72D6F346FDED}" type="presParOf" srcId="{25B3EE2B-4129-47B4-97CD-A37F24FB7257}" destId="{E24570A4-805A-43EA-9C92-263AD7FE248B}" srcOrd="0" destOrd="0" presId="urn:microsoft.com/office/officeart/2005/8/layout/process2"/>
    <dgm:cxn modelId="{6BA3C2DD-2DD0-4D12-B16B-7B9638D7768B}" type="presParOf" srcId="{0EE418A1-69EA-4308-87D6-FC4E398FDFAD}" destId="{FEDF85F3-9310-4148-8A72-F2C7CEEF1B31}" srcOrd="6" destOrd="0" presId="urn:microsoft.com/office/officeart/2005/8/layout/process2"/>
    <dgm:cxn modelId="{B94A153C-4890-403E-89E9-81A6203833EF}" type="presParOf" srcId="{0EE418A1-69EA-4308-87D6-FC4E398FDFAD}" destId="{2C5CC5B4-9AF9-458E-95B6-969A4E2EB606}" srcOrd="7" destOrd="0" presId="urn:microsoft.com/office/officeart/2005/8/layout/process2"/>
    <dgm:cxn modelId="{33CE4AEA-32F6-49CD-991C-ECB626E3C073}" type="presParOf" srcId="{2C5CC5B4-9AF9-458E-95B6-969A4E2EB606}" destId="{CFF6C146-CBA1-4A5B-A5AC-00945EA7485E}" srcOrd="0" destOrd="0" presId="urn:microsoft.com/office/officeart/2005/8/layout/process2"/>
    <dgm:cxn modelId="{1E17B08A-EF86-4C1E-9CE3-D6BA60A5DA64}" type="presParOf" srcId="{0EE418A1-69EA-4308-87D6-FC4E398FDFAD}" destId="{9B8C3512-757C-4CB8-AA49-DA5F811EA707}" srcOrd="8" destOrd="0" presId="urn:microsoft.com/office/officeart/2005/8/layout/process2"/>
    <dgm:cxn modelId="{3BA33D70-7D85-4903-9E20-A1EC0D320D52}" type="presParOf" srcId="{0EE418A1-69EA-4308-87D6-FC4E398FDFAD}" destId="{C71FF545-9143-4A8C-824C-AEC5852BE910}" srcOrd="9" destOrd="0" presId="urn:microsoft.com/office/officeart/2005/8/layout/process2"/>
    <dgm:cxn modelId="{5F2DB313-4B36-4BDC-B428-8B188D1C62E4}" type="presParOf" srcId="{C71FF545-9143-4A8C-824C-AEC5852BE910}" destId="{EE9DBF72-093A-4F95-90AB-54B1C8E8AA43}" srcOrd="0" destOrd="0" presId="urn:microsoft.com/office/officeart/2005/8/layout/process2"/>
    <dgm:cxn modelId="{1B45A8AD-C4A5-4983-A6DC-26DC1DA6891B}" type="presParOf" srcId="{0EE418A1-69EA-4308-87D6-FC4E398FDFAD}" destId="{98AA3241-0FFB-41F4-B6C3-A2379D870E39}" srcOrd="10" destOrd="0" presId="urn:microsoft.com/office/officeart/2005/8/layout/process2"/>
    <dgm:cxn modelId="{B6AEB7E5-AD3C-46D8-96CB-00DA9B0BAE65}" type="presParOf" srcId="{0EE418A1-69EA-4308-87D6-FC4E398FDFAD}" destId="{15E4001A-C8FF-4B09-83A8-CFF8DD10E193}" srcOrd="11" destOrd="0" presId="urn:microsoft.com/office/officeart/2005/8/layout/process2"/>
    <dgm:cxn modelId="{3B175E12-6042-459F-9472-547E6D8D9DE0}" type="presParOf" srcId="{15E4001A-C8FF-4B09-83A8-CFF8DD10E193}" destId="{156D435E-8AE2-47F4-A9C5-E0796AE67C3C}" srcOrd="0" destOrd="0" presId="urn:microsoft.com/office/officeart/2005/8/layout/process2"/>
    <dgm:cxn modelId="{EC42FCA9-657D-405E-96A9-E222E5A47025}" type="presParOf" srcId="{0EE418A1-69EA-4308-87D6-FC4E398FDFAD}" destId="{7D00811A-5DEA-4B5B-9665-16F74B3FF179}" srcOrd="12" destOrd="0" presId="urn:microsoft.com/office/officeart/2005/8/layout/process2"/>
    <dgm:cxn modelId="{22A7C8B9-1E39-459C-8049-A2E2C367969A}" type="presParOf" srcId="{0EE418A1-69EA-4308-87D6-FC4E398FDFAD}" destId="{9E9CF19B-37E1-4EAE-8D18-9C58302C4975}" srcOrd="13" destOrd="0" presId="urn:microsoft.com/office/officeart/2005/8/layout/process2"/>
    <dgm:cxn modelId="{9F2C05BE-7FDA-4F4F-801A-4A64FF2218D0}" type="presParOf" srcId="{9E9CF19B-37E1-4EAE-8D18-9C58302C4975}" destId="{BEAA830F-098B-4400-9F66-E8091DB12354}" srcOrd="0" destOrd="0" presId="urn:microsoft.com/office/officeart/2005/8/layout/process2"/>
    <dgm:cxn modelId="{DDF31C2B-A140-48D4-A871-5C938CDFA492}" type="presParOf" srcId="{0EE418A1-69EA-4308-87D6-FC4E398FDFAD}" destId="{A6FC17B9-4B20-42E3-8282-30BC75F9D010}" srcOrd="14" destOrd="0" presId="urn:microsoft.com/office/officeart/2005/8/layout/process2"/>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989320C-DDE3-47AE-837D-8D54FA1C20C8}">
      <dsp:nvSpPr>
        <dsp:cNvPr id="0" name=""/>
        <dsp:cNvSpPr/>
      </dsp:nvSpPr>
      <dsp:spPr>
        <a:xfrm>
          <a:off x="2663975" y="781"/>
          <a:ext cx="672798" cy="27815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zh-CN" altLang="en-US" sz="1100" kern="1200"/>
            <a:t>任务下达</a:t>
          </a:r>
        </a:p>
      </dsp:txBody>
      <dsp:txXfrm>
        <a:off x="2663975" y="781"/>
        <a:ext cx="672798" cy="278159"/>
      </dsp:txXfrm>
    </dsp:sp>
    <dsp:sp modelId="{7CB2F023-51F2-420F-A289-D04258221578}">
      <dsp:nvSpPr>
        <dsp:cNvPr id="0" name=""/>
        <dsp:cNvSpPr/>
      </dsp:nvSpPr>
      <dsp:spPr>
        <a:xfrm rot="5400000">
          <a:off x="2948220" y="285895"/>
          <a:ext cx="104309" cy="125171"/>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rot="5400000">
        <a:off x="2948220" y="285895"/>
        <a:ext cx="104309" cy="125171"/>
      </dsp:txXfrm>
    </dsp:sp>
    <dsp:sp modelId="{38E35E08-871C-4485-96C7-BA1D66B4F42E}">
      <dsp:nvSpPr>
        <dsp:cNvPr id="0" name=""/>
        <dsp:cNvSpPr/>
      </dsp:nvSpPr>
      <dsp:spPr>
        <a:xfrm>
          <a:off x="2663975" y="418020"/>
          <a:ext cx="672798" cy="27815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zh-CN" altLang="en-US" sz="1100" kern="1200"/>
            <a:t>分配任务</a:t>
          </a:r>
        </a:p>
      </dsp:txBody>
      <dsp:txXfrm>
        <a:off x="2663975" y="418020"/>
        <a:ext cx="672798" cy="278159"/>
      </dsp:txXfrm>
    </dsp:sp>
    <dsp:sp modelId="{0A04E737-9851-4066-8876-3855B4EDE96E}">
      <dsp:nvSpPr>
        <dsp:cNvPr id="0" name=""/>
        <dsp:cNvSpPr/>
      </dsp:nvSpPr>
      <dsp:spPr>
        <a:xfrm rot="5400000">
          <a:off x="2948220" y="703134"/>
          <a:ext cx="104309" cy="125171"/>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rot="5400000">
        <a:off x="2948220" y="703134"/>
        <a:ext cx="104309" cy="125171"/>
      </dsp:txXfrm>
    </dsp:sp>
    <dsp:sp modelId="{46B00AD6-C8CB-49F2-AB5B-1ACB9D714617}">
      <dsp:nvSpPr>
        <dsp:cNvPr id="0" name=""/>
        <dsp:cNvSpPr/>
      </dsp:nvSpPr>
      <dsp:spPr>
        <a:xfrm>
          <a:off x="2663975" y="835260"/>
          <a:ext cx="672798" cy="27815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zh-CN" altLang="en-US" sz="1100" kern="1200"/>
            <a:t>签到</a:t>
          </a:r>
        </a:p>
      </dsp:txBody>
      <dsp:txXfrm>
        <a:off x="2663975" y="835260"/>
        <a:ext cx="672798" cy="278159"/>
      </dsp:txXfrm>
    </dsp:sp>
    <dsp:sp modelId="{25B3EE2B-4129-47B4-97CD-A37F24FB7257}">
      <dsp:nvSpPr>
        <dsp:cNvPr id="0" name=""/>
        <dsp:cNvSpPr/>
      </dsp:nvSpPr>
      <dsp:spPr>
        <a:xfrm rot="5400000">
          <a:off x="2948220" y="1120374"/>
          <a:ext cx="104309" cy="125171"/>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rot="5400000">
        <a:off x="2948220" y="1120374"/>
        <a:ext cx="104309" cy="125171"/>
      </dsp:txXfrm>
    </dsp:sp>
    <dsp:sp modelId="{FEDF85F3-9310-4148-8A72-F2C7CEEF1B31}">
      <dsp:nvSpPr>
        <dsp:cNvPr id="0" name=""/>
        <dsp:cNvSpPr/>
      </dsp:nvSpPr>
      <dsp:spPr>
        <a:xfrm>
          <a:off x="2663975" y="1252500"/>
          <a:ext cx="672798" cy="27815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zh-CN" altLang="en-US" sz="1100" kern="1200"/>
            <a:t>首次会议</a:t>
          </a:r>
        </a:p>
      </dsp:txBody>
      <dsp:txXfrm>
        <a:off x="2663975" y="1252500"/>
        <a:ext cx="672798" cy="278159"/>
      </dsp:txXfrm>
    </dsp:sp>
    <dsp:sp modelId="{2C5CC5B4-9AF9-458E-95B6-969A4E2EB606}">
      <dsp:nvSpPr>
        <dsp:cNvPr id="0" name=""/>
        <dsp:cNvSpPr/>
      </dsp:nvSpPr>
      <dsp:spPr>
        <a:xfrm rot="5400000">
          <a:off x="2948220" y="1537614"/>
          <a:ext cx="104309" cy="125171"/>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rot="5400000">
        <a:off x="2948220" y="1537614"/>
        <a:ext cx="104309" cy="125171"/>
      </dsp:txXfrm>
    </dsp:sp>
    <dsp:sp modelId="{9B8C3512-757C-4CB8-AA49-DA5F811EA707}">
      <dsp:nvSpPr>
        <dsp:cNvPr id="0" name=""/>
        <dsp:cNvSpPr/>
      </dsp:nvSpPr>
      <dsp:spPr>
        <a:xfrm>
          <a:off x="2663975" y="1669739"/>
          <a:ext cx="672798" cy="27815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zh-CN" altLang="en-US" sz="1100" kern="1200"/>
            <a:t>现场核查</a:t>
          </a:r>
        </a:p>
      </dsp:txBody>
      <dsp:txXfrm>
        <a:off x="2663975" y="1669739"/>
        <a:ext cx="672798" cy="278159"/>
      </dsp:txXfrm>
    </dsp:sp>
    <dsp:sp modelId="{C71FF545-9143-4A8C-824C-AEC5852BE910}">
      <dsp:nvSpPr>
        <dsp:cNvPr id="0" name=""/>
        <dsp:cNvSpPr/>
      </dsp:nvSpPr>
      <dsp:spPr>
        <a:xfrm rot="5400000">
          <a:off x="2948220" y="1954853"/>
          <a:ext cx="104309" cy="125171"/>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rot="5400000">
        <a:off x="2948220" y="1954853"/>
        <a:ext cx="104309" cy="125171"/>
      </dsp:txXfrm>
    </dsp:sp>
    <dsp:sp modelId="{98AA3241-0FFB-41F4-B6C3-A2379D870E39}">
      <dsp:nvSpPr>
        <dsp:cNvPr id="0" name=""/>
        <dsp:cNvSpPr/>
      </dsp:nvSpPr>
      <dsp:spPr>
        <a:xfrm>
          <a:off x="2663975" y="2086979"/>
          <a:ext cx="672798" cy="27815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zh-CN" altLang="en-US" sz="1100" kern="1200"/>
            <a:t>核查结论</a:t>
          </a:r>
        </a:p>
      </dsp:txBody>
      <dsp:txXfrm>
        <a:off x="2663975" y="2086979"/>
        <a:ext cx="672798" cy="278159"/>
      </dsp:txXfrm>
    </dsp:sp>
    <dsp:sp modelId="{15E4001A-C8FF-4B09-83A8-CFF8DD10E193}">
      <dsp:nvSpPr>
        <dsp:cNvPr id="0" name=""/>
        <dsp:cNvSpPr/>
      </dsp:nvSpPr>
      <dsp:spPr>
        <a:xfrm rot="5400000">
          <a:off x="2948220" y="2372093"/>
          <a:ext cx="104309" cy="125171"/>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rot="5400000">
        <a:off x="2948220" y="2372093"/>
        <a:ext cx="104309" cy="125171"/>
      </dsp:txXfrm>
    </dsp:sp>
    <dsp:sp modelId="{7D00811A-5DEA-4B5B-9665-16F74B3FF179}">
      <dsp:nvSpPr>
        <dsp:cNvPr id="0" name=""/>
        <dsp:cNvSpPr/>
      </dsp:nvSpPr>
      <dsp:spPr>
        <a:xfrm>
          <a:off x="2663975" y="2504219"/>
          <a:ext cx="672798" cy="27815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zh-CN" altLang="en-US" sz="1100" kern="1200"/>
            <a:t>末次会议</a:t>
          </a:r>
        </a:p>
      </dsp:txBody>
      <dsp:txXfrm>
        <a:off x="2663975" y="2504219"/>
        <a:ext cx="672798" cy="278159"/>
      </dsp:txXfrm>
    </dsp:sp>
    <dsp:sp modelId="{9E9CF19B-37E1-4EAE-8D18-9C58302C4975}">
      <dsp:nvSpPr>
        <dsp:cNvPr id="0" name=""/>
        <dsp:cNvSpPr/>
      </dsp:nvSpPr>
      <dsp:spPr>
        <a:xfrm rot="5400000">
          <a:off x="2948220" y="2789332"/>
          <a:ext cx="104309" cy="125171"/>
        </a:xfrm>
        <a:prstGeom prst="rightArrow">
          <a:avLst>
            <a:gd name="adj1" fmla="val 60000"/>
            <a:gd name="adj2" fmla="val 50000"/>
          </a:avLst>
        </a:prstGeom>
        <a:gradFill rotWithShape="0">
          <a:gsLst>
            <a:gs pos="0">
              <a:schemeClr val="accent1">
                <a:tint val="60000"/>
                <a:hueOff val="0"/>
                <a:satOff val="0"/>
                <a:lumOff val="0"/>
                <a:alphaOff val="0"/>
                <a:tint val="50000"/>
                <a:satMod val="300000"/>
              </a:schemeClr>
            </a:gs>
            <a:gs pos="35000">
              <a:schemeClr val="accent1">
                <a:tint val="60000"/>
                <a:hueOff val="0"/>
                <a:satOff val="0"/>
                <a:lumOff val="0"/>
                <a:alphaOff val="0"/>
                <a:tint val="37000"/>
                <a:satMod val="300000"/>
              </a:schemeClr>
            </a:gs>
            <a:gs pos="100000">
              <a:schemeClr val="accent1">
                <a:tint val="60000"/>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zh-CN" altLang="en-US" sz="500" kern="1200"/>
        </a:p>
      </dsp:txBody>
      <dsp:txXfrm rot="5400000">
        <a:off x="2948220" y="2789332"/>
        <a:ext cx="104309" cy="125171"/>
      </dsp:txXfrm>
    </dsp:sp>
    <dsp:sp modelId="{A6FC17B9-4B20-42E3-8282-30BC75F9D010}">
      <dsp:nvSpPr>
        <dsp:cNvPr id="0" name=""/>
        <dsp:cNvSpPr/>
      </dsp:nvSpPr>
      <dsp:spPr>
        <a:xfrm>
          <a:off x="2663975" y="2921458"/>
          <a:ext cx="672798" cy="278159"/>
        </a:xfrm>
        <a:prstGeom prst="roundRect">
          <a:avLst>
            <a:gd name="adj" fmla="val 10000"/>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zh-CN" altLang="en-US" sz="1100" kern="1200"/>
            <a:t>提交结论</a:t>
          </a:r>
        </a:p>
      </dsp:txBody>
      <dsp:txXfrm>
        <a:off x="2663975" y="2921458"/>
        <a:ext cx="672798" cy="27815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1">
        <a:scrgbClr r="0" g="0" b="0"/>
      </a:lnRef>
      <a:fillRef idx="1">
        <a:scrgbClr r="0" g="0" b="0"/>
      </a:fillRef>
      <a:effectRef idx="1">
        <a:scrgbClr r="0" g="0" b="0"/>
      </a:effectRef>
      <a:fontRef idx="minor"/>
    </dgm:style>
  </dgm:styleLbl>
  <dgm:styleLbl name="alignNode1">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1">
        <a:scrgbClr r="0" g="0" b="0"/>
      </a:lnRef>
      <a:fillRef idx="1">
        <a:scrgbClr r="0" g="0" b="0"/>
      </a:fillRef>
      <a:effectRef idx="1">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1">
        <a:scrgbClr r="0" g="0" b="0"/>
      </a:effectRef>
      <a:fontRef idx="minor"/>
    </dgm:style>
  </dgm:styleLbl>
  <dgm:styleLbl name="bgSibTrans2D1">
    <dgm:scene3d>
      <a:camera prst="orthographicFront"/>
      <a:lightRig rig="threePt" dir="t"/>
    </dgm:scene3d>
    <dgm:txPr/>
    <dgm:style>
      <a:lnRef idx="0">
        <a:scrgbClr r="0" g="0" b="0"/>
      </a:lnRef>
      <a:fillRef idx="2">
        <a:scrgbClr r="0" g="0" b="0"/>
      </a:fillRef>
      <a:effectRef idx="1">
        <a:scrgbClr r="0" g="0" b="0"/>
      </a:effectRef>
      <a:fontRef idx="minor">
        <a:schemeClr val="dk1"/>
      </a:fontRef>
    </dgm:style>
  </dgm:styleLbl>
  <dgm:styleLbl name="callout">
    <dgm:scene3d>
      <a:camera prst="orthographicFront"/>
      <a:lightRig rig="threePt" dir="t"/>
    </dgm:scene3d>
    <dgm:txPr/>
    <dgm:style>
      <a:lnRef idx="1">
        <a:scrgbClr r="0" g="0" b="0"/>
      </a:lnRef>
      <a:fillRef idx="2">
        <a:scrgbClr r="0" g="0" b="0"/>
      </a:fillRef>
      <a:effectRef idx="1">
        <a:scrgbClr r="0" g="0" b="0"/>
      </a:effectRef>
      <a:fontRef idx="minor"/>
    </dgm:style>
  </dgm:styleLbl>
  <dgm:styleLbl name="con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1">
        <a:scrgbClr r="0" g="0" b="0"/>
      </a:effectRef>
      <a:fontRef idx="minor"/>
    </dgm:style>
  </dgm:styleLbl>
  <dgm:styleLbl name="fgAcc0">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1">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1">
        <a:scrgbClr r="0" g="0" b="0"/>
      </a:lnRef>
      <a:fillRef idx="1">
        <a:scrgbClr r="0" g="0" b="0"/>
      </a:fillRef>
      <a:effectRef idx="1">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fgSibTrans2D1">
    <dgm:scene3d>
      <a:camera prst="orthographicFront"/>
      <a:lightRig rig="threePt" dir="t"/>
    </dgm:scene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txPr/>
    <dgm:style>
      <a:lnRef idx="1">
        <a:scrgbClr r="0" g="0" b="0"/>
      </a:lnRef>
      <a:fillRef idx="2">
        <a:scrgbClr r="0" g="0" b="0"/>
      </a:fillRef>
      <a:effectRef idx="1">
        <a:scrgbClr r="0" g="0" b="0"/>
      </a:effectRef>
      <a:fontRef idx="minor">
        <a:schemeClr val="dk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2">
        <a:scrgbClr r="0" g="0" b="0"/>
      </a:fillRef>
      <a:effectRef idx="1">
        <a:scrgbClr r="0" g="0" b="0"/>
      </a:effectRef>
      <a:fontRef idx="minor">
        <a:schemeClr val="dk1"/>
      </a:fontRef>
    </dgm:style>
  </dgm:styleLbl>
  <dgm:styleLbl name="solid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1">
        <a:scrgbClr r="0" g="0" b="0"/>
      </a:lnRef>
      <a:fillRef idx="2">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32"/>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6D0467-8466-40E8-9F27-03711E7840F7}">
  <ds:schemaRefs/>
</ds:datastoreItem>
</file>

<file path=docProps/app.xml><?xml version="1.0" encoding="utf-8"?>
<Properties xmlns="http://schemas.openxmlformats.org/officeDocument/2006/extended-properties" xmlns:vt="http://schemas.openxmlformats.org/officeDocument/2006/docPropsVTypes">
  <Template>Normal</Template>
  <Pages>27</Pages>
  <Words>3798</Words>
  <Characters>4178</Characters>
  <Lines>118</Lines>
  <Paragraphs>33</Paragraphs>
  <TotalTime>1102</TotalTime>
  <ScaleCrop>false</ScaleCrop>
  <LinksUpToDate>false</LinksUpToDate>
  <CharactersWithSpaces>4402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2024-12-04T02:32:00Z</dcterms:created>
  <dc:creator>chengyao</dc:creator>
  <cp:lastModifiedBy>忐忑</cp:lastModifiedBy>
  <cp:lastPrinted>2024-08-16T05:38:00Z</cp:lastPrinted>
  <dcterms:modified xsi:type="dcterms:W3CDTF">2025-07-13T01:48:15Z</dcterms:modified>
  <dc:title>Microsoft Word - 4688.1-2024.docx</dc:title>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2024-05-22T11:36:37Z</vt:filetime>
  </property>
  <property fmtid="{D5CDD505-2E9C-101B-9397-08002B2CF9AE}" pid="4" name="KSOProductBuildVer">
    <vt:lpwstr>2052-12.1.0.21915</vt:lpwstr>
  </property>
  <property fmtid="{D5CDD505-2E9C-101B-9397-08002B2CF9AE}" pid="5" name="ICV">
    <vt:lpwstr>FB55146FA5BD47679E5ACE3C8AB2155A_13</vt:lpwstr>
  </property>
  <property fmtid="{D5CDD505-2E9C-101B-9397-08002B2CF9AE}" pid="6" name="KSOTemplateDocerSaveRecord">
    <vt:lpwstr>eyJoZGlkIjoiMjE1MGZmOTRhZjllMGExZDlkZTMzYmYzNTljMTkwODUiLCJ1c2VySWQiOiI0MzYwMTU0NjQifQ==</vt:lpwstr>
  </property>
</Properties>
</file>