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58EC0">
      <w:pPr>
        <w:pStyle w:val="13"/>
        <w:keepNext w:val="0"/>
        <w:keepLines w:val="0"/>
        <w:widowControl w:val="0"/>
        <w:jc w:val="left"/>
        <w:rPr>
          <w:rFonts w:hint="eastAsia" w:ascii="黑体" w:hAnsi="黑体" w:eastAsia="黑体"/>
          <w:color w:val="auto"/>
          <w:sz w:val="32"/>
          <w:szCs w:val="32"/>
          <w:lang w:val="en-US" w:eastAsia="zh-CN"/>
        </w:rPr>
      </w:pPr>
      <w:bookmarkStart w:id="0" w:name="_GoBack"/>
      <w:bookmarkEnd w:id="0"/>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p>
    <w:p w14:paraId="3C8D840C">
      <w:pPr>
        <w:pStyle w:val="13"/>
        <w:keepNext w:val="0"/>
        <w:keepLines w:val="0"/>
        <w:widowControl w:val="0"/>
        <w:rPr>
          <w:color w:val="auto"/>
        </w:rPr>
      </w:pPr>
      <w:r>
        <w:rPr>
          <w:rFonts w:hint="eastAsia"/>
          <w:color w:val="auto"/>
        </w:rPr>
        <w:t xml:space="preserve">山东省地方标准制修订项目表 </w:t>
      </w:r>
    </w:p>
    <w:tbl>
      <w:tblPr>
        <w:tblStyle w:val="7"/>
        <w:tblpPr w:leftFromText="180" w:rightFromText="180" w:vertAnchor="text" w:horzAnchor="page" w:tblpX="2098" w:tblpY="609"/>
        <w:tblOverlap w:val="never"/>
        <w:tblW w:w="12954" w:type="dxa"/>
        <w:tblInd w:w="0" w:type="dxa"/>
        <w:tblLayout w:type="fixed"/>
        <w:tblCellMar>
          <w:top w:w="0" w:type="dxa"/>
          <w:left w:w="108" w:type="dxa"/>
          <w:bottom w:w="0" w:type="dxa"/>
          <w:right w:w="108" w:type="dxa"/>
        </w:tblCellMar>
      </w:tblPr>
      <w:tblGrid>
        <w:gridCol w:w="712"/>
        <w:gridCol w:w="4285"/>
        <w:gridCol w:w="1110"/>
        <w:gridCol w:w="2951"/>
        <w:gridCol w:w="3896"/>
      </w:tblGrid>
      <w:tr w14:paraId="72491F60">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6A6ED321">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序号</w:t>
            </w:r>
          </w:p>
        </w:tc>
        <w:tc>
          <w:tcPr>
            <w:tcW w:w="4285" w:type="dxa"/>
            <w:tcBorders>
              <w:top w:val="single" w:color="auto" w:sz="4" w:space="0"/>
              <w:left w:val="nil"/>
              <w:bottom w:val="single" w:color="auto" w:sz="4" w:space="0"/>
              <w:right w:val="single" w:color="auto" w:sz="4" w:space="0"/>
            </w:tcBorders>
            <w:shd w:val="clear" w:color="auto" w:fill="auto"/>
            <w:vAlign w:val="center"/>
          </w:tcPr>
          <w:p w14:paraId="239024B4">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标准名称</w:t>
            </w:r>
          </w:p>
        </w:tc>
        <w:tc>
          <w:tcPr>
            <w:tcW w:w="1110" w:type="dxa"/>
            <w:tcBorders>
              <w:top w:val="single" w:color="auto" w:sz="4" w:space="0"/>
              <w:left w:val="nil"/>
              <w:bottom w:val="single" w:color="auto" w:sz="4" w:space="0"/>
              <w:right w:val="single" w:color="auto" w:sz="4" w:space="0"/>
            </w:tcBorders>
            <w:shd w:val="clear" w:color="auto" w:fill="auto"/>
            <w:vAlign w:val="center"/>
          </w:tcPr>
          <w:p w14:paraId="268F381B">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hint="eastAsia" w:ascii="黑体" w:hAnsi="黑体" w:eastAsia="黑体"/>
                <w:color w:val="auto"/>
                <w:sz w:val="24"/>
                <w:szCs w:val="24"/>
              </w:rPr>
            </w:pPr>
            <w:r>
              <w:rPr>
                <w:rFonts w:hint="eastAsia" w:ascii="黑体" w:hAnsi="黑体" w:eastAsia="黑体"/>
                <w:color w:val="auto"/>
                <w:sz w:val="24"/>
                <w:szCs w:val="24"/>
              </w:rPr>
              <w:t>制定/</w:t>
            </w:r>
          </w:p>
          <w:p w14:paraId="1D50F8BC">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修订</w:t>
            </w:r>
          </w:p>
        </w:tc>
        <w:tc>
          <w:tcPr>
            <w:tcW w:w="2951" w:type="dxa"/>
            <w:tcBorders>
              <w:top w:val="single" w:color="auto" w:sz="4" w:space="0"/>
              <w:left w:val="nil"/>
              <w:bottom w:val="single" w:color="auto" w:sz="4" w:space="0"/>
              <w:right w:val="single" w:color="auto" w:sz="4" w:space="0"/>
            </w:tcBorders>
            <w:shd w:val="clear" w:color="auto" w:fill="auto"/>
            <w:vAlign w:val="center"/>
          </w:tcPr>
          <w:p w14:paraId="0EB44E42">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提出部门</w:t>
            </w:r>
          </w:p>
        </w:tc>
        <w:tc>
          <w:tcPr>
            <w:tcW w:w="3896" w:type="dxa"/>
            <w:tcBorders>
              <w:top w:val="single" w:color="auto" w:sz="4" w:space="0"/>
              <w:left w:val="nil"/>
              <w:bottom w:val="single" w:color="auto" w:sz="4" w:space="0"/>
              <w:right w:val="single" w:color="auto" w:sz="4" w:space="0"/>
            </w:tcBorders>
            <w:shd w:val="clear" w:color="auto" w:fill="auto"/>
            <w:vAlign w:val="center"/>
          </w:tcPr>
          <w:p w14:paraId="49175E43">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主要承担单位</w:t>
            </w:r>
          </w:p>
        </w:tc>
      </w:tr>
      <w:tr w14:paraId="38DAD01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82625">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kern w:val="0"/>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2394CA6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桩基固定式海洋光伏工程施工规范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9877A69">
            <w:pPr>
              <w:keepNext w:val="0"/>
              <w:keepLines w:val="0"/>
              <w:pageBreakBefore w:val="0"/>
              <w:widowControl/>
              <w:suppressLineNumbers w:val="0"/>
              <w:tabs>
                <w:tab w:val="left" w:pos="960"/>
              </w:tabs>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374D2DC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山东省能源局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46FD07E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中建八局第一建设有限公司</w:t>
            </w:r>
          </w:p>
        </w:tc>
      </w:tr>
      <w:tr w14:paraId="0D43FBAA">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64295">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kern w:val="0"/>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563AE87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yellow"/>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再生水管道监测规范  瑞利散射光学法</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56CDF3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5A9C2C8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山东省住房和城乡建设厅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5332E78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山东省科学院激光研究所</w:t>
            </w:r>
          </w:p>
        </w:tc>
      </w:tr>
      <w:tr w14:paraId="11798E5E">
        <w:tblPrEx>
          <w:tblCellMar>
            <w:top w:w="0" w:type="dxa"/>
            <w:left w:w="108" w:type="dxa"/>
            <w:bottom w:w="0" w:type="dxa"/>
            <w:right w:w="108" w:type="dxa"/>
          </w:tblCellMar>
        </w:tblPrEx>
        <w:trPr>
          <w:cantSplit/>
          <w:trHeight w:val="869"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5C44C">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6DE7D8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河湖生态价值核算技术规范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B1DA9E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91C7D0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山东省水利厅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265A884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山东省水利厅、山东省环科院股份有限公司</w:t>
            </w:r>
          </w:p>
        </w:tc>
      </w:tr>
      <w:tr w14:paraId="245AB4AD">
        <w:tblPrEx>
          <w:tblCellMar>
            <w:top w:w="0" w:type="dxa"/>
            <w:left w:w="108" w:type="dxa"/>
            <w:bottom w:w="0" w:type="dxa"/>
            <w:right w:w="108" w:type="dxa"/>
          </w:tblCellMar>
        </w:tblPrEx>
        <w:trPr>
          <w:cantSplit/>
          <w:trHeight w:val="949"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E2A33">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4BC89AA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民用建筑消防安全应急箱配备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693E6A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修订</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0B2650E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山东省消防救援总队</w:t>
            </w:r>
          </w:p>
        </w:tc>
        <w:tc>
          <w:tcPr>
            <w:tcW w:w="3896" w:type="dxa"/>
            <w:tcBorders>
              <w:top w:val="single" w:color="auto" w:sz="4" w:space="0"/>
              <w:left w:val="nil"/>
              <w:bottom w:val="single" w:color="auto" w:sz="4" w:space="0"/>
              <w:right w:val="single" w:color="auto" w:sz="4" w:space="0"/>
            </w:tcBorders>
            <w:shd w:val="clear" w:color="auto" w:fill="auto"/>
            <w:vAlign w:val="center"/>
          </w:tcPr>
          <w:p w14:paraId="7A87344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山东省消防救援总队</w:t>
            </w:r>
          </w:p>
        </w:tc>
      </w:tr>
      <w:tr w14:paraId="41FDF8F7">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E9C9">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620C3BA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消防控制室远程控制管理规范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DF3F2C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085737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山东省消防救援总队</w:t>
            </w:r>
          </w:p>
        </w:tc>
        <w:tc>
          <w:tcPr>
            <w:tcW w:w="3896" w:type="dxa"/>
            <w:tcBorders>
              <w:top w:val="single" w:color="auto" w:sz="4" w:space="0"/>
              <w:left w:val="nil"/>
              <w:bottom w:val="single" w:color="auto" w:sz="4" w:space="0"/>
              <w:right w:val="single" w:color="auto" w:sz="4" w:space="0"/>
            </w:tcBorders>
            <w:shd w:val="clear" w:color="auto" w:fill="auto"/>
            <w:vAlign w:val="center"/>
          </w:tcPr>
          <w:p w14:paraId="756D992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山东省消防救援总队</w:t>
            </w:r>
          </w:p>
        </w:tc>
      </w:tr>
      <w:tr w14:paraId="4FE41D8C">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FF7F">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6830E21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7岁～18岁超重和肥胖人群运动干预指南</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0EE97B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1FFBFFA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山东省体育局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5D83F15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济南市中心医院</w:t>
            </w:r>
          </w:p>
        </w:tc>
      </w:tr>
      <w:tr w14:paraId="2766DA05">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0AA8D">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73CD9D4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yellow"/>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高校学籍档案利用服务规范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B7C07A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01C7CD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山东省教育厅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4531AB8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山东第二医科大学</w:t>
            </w:r>
          </w:p>
        </w:tc>
      </w:tr>
      <w:tr w14:paraId="764A6123">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83231">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BBE7DF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yellow"/>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老年友好型城市建设导则</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C47727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765870D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山东省民政厅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00EFCAD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山东省养老服务指导中心、威海市民政局、山东商业职业技术学院、威海市社会福利中心、威海市产品质量标准计量检验研究院</w:t>
            </w:r>
          </w:p>
        </w:tc>
      </w:tr>
      <w:tr w14:paraId="1F6EF5F1">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77710">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5678691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非煤矿山企业安全风险分级管控和隐患排查治理双重预防机制建设基本规范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74C7F4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修订</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61973DF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327D7D4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r>
      <w:tr w14:paraId="07B21DFF">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320EB">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b w:val="0"/>
                <w:bCs w:val="0"/>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0AFA11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第3部分：高处作业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D74C6D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514EBF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5D2EC62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22BCBDFC">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60EE7">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7E7A2F3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第4部分：危险化学品安全作业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C3C562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43CA8E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0C7CA77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679F2928">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20680">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26AC050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第5部分：制冷与空调作业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1BA95B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5A694EE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79EBC59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3A00A754">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C63C7">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3147F16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第6部分：金属非金属矿山安全作业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F44C30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1BCCFBD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5E2D560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1327560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B6273">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67B3240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第7部分：石油天然气安全作业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ACE92C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369E22A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4DB17DA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2415DEA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6FC0B">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33E73F5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第8部分：冶金（有色）生产安全作业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770DCF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57BFEDD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042BAF1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43AB723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F0E3C">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29F0927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特种作业人员能力要求  第9部分：烟花爆竹储存作业</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8F3B2E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37D71DE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山东省应急管理厅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0D2AD96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山东省安全生产技术服务中心</w:t>
            </w:r>
          </w:p>
        </w:tc>
      </w:tr>
      <w:tr w14:paraId="27F967EA">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FD632">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5F184B4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医疗卫生机构安全生产标准化规范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2F07E8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867D7B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山东省卫生健康委员会</w:t>
            </w:r>
          </w:p>
        </w:tc>
        <w:tc>
          <w:tcPr>
            <w:tcW w:w="3896" w:type="dxa"/>
            <w:tcBorders>
              <w:top w:val="single" w:color="auto" w:sz="4" w:space="0"/>
              <w:left w:val="nil"/>
              <w:bottom w:val="single" w:color="auto" w:sz="4" w:space="0"/>
              <w:right w:val="single" w:color="auto" w:sz="4" w:space="0"/>
            </w:tcBorders>
            <w:shd w:val="clear" w:color="auto" w:fill="auto"/>
            <w:vAlign w:val="center"/>
          </w:tcPr>
          <w:p w14:paraId="43CE164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滨州市中医医院</w:t>
            </w:r>
          </w:p>
        </w:tc>
      </w:tr>
      <w:tr w14:paraId="0A7310A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CB0C1">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3A6042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采供血机构运行服务能力指标体系</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34FFC8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77AEB99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山东省卫生健康委员会</w:t>
            </w:r>
          </w:p>
        </w:tc>
        <w:tc>
          <w:tcPr>
            <w:tcW w:w="3896" w:type="dxa"/>
            <w:tcBorders>
              <w:top w:val="single" w:color="auto" w:sz="4" w:space="0"/>
              <w:left w:val="nil"/>
              <w:bottom w:val="single" w:color="auto" w:sz="4" w:space="0"/>
              <w:right w:val="single" w:color="auto" w:sz="4" w:space="0"/>
            </w:tcBorders>
            <w:shd w:val="clear" w:color="auto" w:fill="auto"/>
            <w:vAlign w:val="center"/>
          </w:tcPr>
          <w:p w14:paraId="61202BD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山东省血液中心</w:t>
            </w:r>
          </w:p>
        </w:tc>
      </w:tr>
      <w:tr w14:paraId="6FD53B8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8AEED">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00E6024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特种设备双重预防机制实施指南</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CFD711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修订</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526042E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山东省市场监督管理局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28DB08E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山东省特种设备协会</w:t>
            </w:r>
          </w:p>
        </w:tc>
      </w:tr>
      <w:tr w14:paraId="66642C2E">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B039E">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785563A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车用压缩氢气碳纤维全缠绕气瓶CT层析安全评价导则</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933740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1407C72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山东省市场监督管理局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1750F13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14:ligatures w14:val="none"/>
              </w:rPr>
              <w:t>济南市特种设备检验研究院、山东大学、山东省特种设备检验研究院集团有限公司、中国特种设备检测研究院、淄博市特种设备检验研究院、日照市特种设备检验研究院、山东科捷工程检测有限公司、济南东泰科技发展有限公司</w:t>
            </w:r>
          </w:p>
        </w:tc>
      </w:tr>
      <w:tr w14:paraId="459BB1BD">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A3EF3">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31ABC2E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yellow"/>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公共资源交易服务规范 场所</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40DBAA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6DB710E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山东省公共资源交易中心</w:t>
            </w:r>
          </w:p>
        </w:tc>
        <w:tc>
          <w:tcPr>
            <w:tcW w:w="3896" w:type="dxa"/>
            <w:tcBorders>
              <w:top w:val="single" w:color="auto" w:sz="4" w:space="0"/>
              <w:left w:val="nil"/>
              <w:bottom w:val="single" w:color="auto" w:sz="4" w:space="0"/>
              <w:right w:val="single" w:color="auto" w:sz="4" w:space="0"/>
            </w:tcBorders>
            <w:shd w:val="clear" w:color="auto" w:fill="auto"/>
            <w:vAlign w:val="center"/>
          </w:tcPr>
          <w:p w14:paraId="633A119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烟台市公共资源交易中心</w:t>
            </w:r>
          </w:p>
        </w:tc>
      </w:tr>
      <w:tr w14:paraId="316DE9C7">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9A6FE">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406F426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公共资源交易服务安全与应急管理指南</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02E0D5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01F9941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山东省公共资源交易中心</w:t>
            </w:r>
          </w:p>
        </w:tc>
        <w:tc>
          <w:tcPr>
            <w:tcW w:w="3896" w:type="dxa"/>
            <w:tcBorders>
              <w:top w:val="single" w:color="auto" w:sz="4" w:space="0"/>
              <w:left w:val="nil"/>
              <w:bottom w:val="single" w:color="auto" w:sz="4" w:space="0"/>
              <w:right w:val="single" w:color="auto" w:sz="4" w:space="0"/>
            </w:tcBorders>
            <w:shd w:val="clear" w:color="auto" w:fill="auto"/>
            <w:vAlign w:val="center"/>
          </w:tcPr>
          <w:p w14:paraId="057B37B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潍坊市公共资源交易中心（潍坊市政府采购中心）</w:t>
            </w:r>
          </w:p>
        </w:tc>
      </w:tr>
      <w:tr w14:paraId="2ED75A70">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EF26A">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B101F7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公共资源交易服务规范 建设用地使用权和矿业权交易</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6BCC4E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02883BF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山东省公共资源交易中心</w:t>
            </w:r>
          </w:p>
        </w:tc>
        <w:tc>
          <w:tcPr>
            <w:tcW w:w="3896" w:type="dxa"/>
            <w:tcBorders>
              <w:top w:val="single" w:color="auto" w:sz="4" w:space="0"/>
              <w:left w:val="nil"/>
              <w:bottom w:val="single" w:color="auto" w:sz="4" w:space="0"/>
              <w:right w:val="single" w:color="auto" w:sz="4" w:space="0"/>
            </w:tcBorders>
            <w:shd w:val="clear" w:color="auto" w:fill="auto"/>
            <w:vAlign w:val="center"/>
          </w:tcPr>
          <w:p w14:paraId="52AAFCA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泰安市公共资源交易中心（泰安市政府集中采购中心）</w:t>
            </w:r>
          </w:p>
        </w:tc>
      </w:tr>
      <w:tr w14:paraId="4AF95692">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706C">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CA5820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公共资源交易服务规范 电子竞价</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73CF56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7F395EA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山东省公共资源交易中心</w:t>
            </w:r>
          </w:p>
        </w:tc>
        <w:tc>
          <w:tcPr>
            <w:tcW w:w="3896" w:type="dxa"/>
            <w:tcBorders>
              <w:top w:val="single" w:color="auto" w:sz="4" w:space="0"/>
              <w:left w:val="nil"/>
              <w:bottom w:val="single" w:color="auto" w:sz="4" w:space="0"/>
              <w:right w:val="single" w:color="auto" w:sz="4" w:space="0"/>
            </w:tcBorders>
            <w:shd w:val="clear" w:color="auto" w:fill="auto"/>
            <w:vAlign w:val="center"/>
          </w:tcPr>
          <w:p w14:paraId="2DE17F8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淄博市公共资源交易中心</w:t>
            </w:r>
          </w:p>
        </w:tc>
      </w:tr>
      <w:tr w14:paraId="7C723B42">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471E">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110DC31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农村人居环境整治提升技术规范</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46FEA2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0678A40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山东省农业农村厅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1C33CEB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山东省城乡规划设计研究院有限公司</w:t>
            </w:r>
          </w:p>
        </w:tc>
      </w:tr>
      <w:tr w14:paraId="2A1A0980">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81F0F">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6451E6A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小麦条锈病低空遥感监测技术规程</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E6A2BD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16FAF1B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山东省农业农村厅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4AA6F23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山东深蓝智谱数字科技有限公司</w:t>
            </w:r>
          </w:p>
        </w:tc>
      </w:tr>
      <w:tr w14:paraId="48E98F7A">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79B18">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460285C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石榴全产业链数字应用场景通用要求</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4CFE9E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3DEE395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山东省农业农村厅</w:t>
            </w:r>
          </w:p>
        </w:tc>
        <w:tc>
          <w:tcPr>
            <w:tcW w:w="3896" w:type="dxa"/>
            <w:tcBorders>
              <w:top w:val="single" w:color="auto" w:sz="4" w:space="0"/>
              <w:left w:val="nil"/>
              <w:bottom w:val="single" w:color="auto" w:sz="4" w:space="0"/>
              <w:right w:val="single" w:color="auto" w:sz="4" w:space="0"/>
            </w:tcBorders>
            <w:shd w:val="clear" w:color="auto" w:fill="auto"/>
            <w:vAlign w:val="center"/>
          </w:tcPr>
          <w:p w14:paraId="180988E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枣庄市农业农村事业发展中心</w:t>
            </w:r>
          </w:p>
        </w:tc>
      </w:tr>
      <w:tr w14:paraId="6AFFFD88">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BCA4B">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39416E6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畜禽地方品种  第19部分：莱芜黑鸡</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59AD1F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624E8B9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山东省畜牧兽医局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5053C79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山东省农业科学院家禽研究所</w:t>
            </w:r>
          </w:p>
        </w:tc>
      </w:tr>
      <w:tr w14:paraId="27175563">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F7023">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3F1B7D9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畜禽地方品种  第21部分：文登黑鸭</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B832F2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C1A906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山东省畜牧兽医局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045160C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青岛农业大学</w:t>
            </w:r>
          </w:p>
        </w:tc>
      </w:tr>
      <w:tr w14:paraId="5204C80D">
        <w:tblPrEx>
          <w:tblCellMar>
            <w:top w:w="0" w:type="dxa"/>
            <w:left w:w="108" w:type="dxa"/>
            <w:bottom w:w="0" w:type="dxa"/>
            <w:right w:w="108" w:type="dxa"/>
          </w:tblCellMar>
        </w:tblPrEx>
        <w:trPr>
          <w:cantSplit/>
          <w:trHeight w:val="62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B7B3E">
            <w:pPr>
              <w:keepNext w:val="0"/>
              <w:keepLines w:val="0"/>
              <w:pageBreakBefore w:val="0"/>
              <w:numPr>
                <w:ilvl w:val="0"/>
                <w:numId w:val="1"/>
              </w:numPr>
              <w:tabs>
                <w:tab w:val="clear" w:pos="0"/>
              </w:tabs>
              <w:kinsoku/>
              <w:wordWrap/>
              <w:overflowPunct/>
              <w:topLinePunct w:val="0"/>
              <w:autoSpaceDE/>
              <w:autoSpaceDN/>
              <w:bidi w:val="0"/>
              <w:adjustRightInd/>
              <w:snapToGrid/>
              <w:spacing w:line="240" w:lineRule="atLeast"/>
              <w:ind w:left="0" w:leftChars="0" w:firstLine="0" w:firstLineChars="0"/>
              <w:jc w:val="center"/>
              <w:textAlignment w:val="auto"/>
              <w:rPr>
                <w:rFonts w:hAnsi="等线"/>
                <w:color w:val="auto"/>
                <w:sz w:val="24"/>
                <w:szCs w:val="24"/>
              </w:rPr>
            </w:pPr>
          </w:p>
        </w:tc>
        <w:tc>
          <w:tcPr>
            <w:tcW w:w="4285" w:type="dxa"/>
            <w:tcBorders>
              <w:top w:val="single" w:color="auto" w:sz="4" w:space="0"/>
              <w:left w:val="nil"/>
              <w:bottom w:val="single" w:color="auto" w:sz="4" w:space="0"/>
              <w:right w:val="single" w:color="auto" w:sz="4" w:space="0"/>
            </w:tcBorders>
            <w:shd w:val="clear" w:color="auto" w:fill="auto"/>
            <w:vAlign w:val="center"/>
          </w:tcPr>
          <w:p w14:paraId="2DDC1A3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畜禽地方品种  第23部分：梁山黑猪</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9225B7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制定</w:t>
            </w:r>
          </w:p>
        </w:tc>
        <w:tc>
          <w:tcPr>
            <w:tcW w:w="2951" w:type="dxa"/>
            <w:tcBorders>
              <w:top w:val="single" w:color="auto" w:sz="4" w:space="0"/>
              <w:left w:val="nil"/>
              <w:bottom w:val="single" w:color="auto" w:sz="4" w:space="0"/>
              <w:right w:val="single" w:color="auto" w:sz="4" w:space="0"/>
            </w:tcBorders>
            <w:shd w:val="clear" w:color="auto" w:fill="auto"/>
            <w:noWrap/>
            <w:vAlign w:val="center"/>
          </w:tcPr>
          <w:p w14:paraId="2C1CCD4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山东省畜牧兽医局</w:t>
            </w:r>
          </w:p>
        </w:tc>
        <w:tc>
          <w:tcPr>
            <w:tcW w:w="3896" w:type="dxa"/>
            <w:tcBorders>
              <w:top w:val="single" w:color="auto" w:sz="4" w:space="0"/>
              <w:left w:val="nil"/>
              <w:bottom w:val="single" w:color="auto" w:sz="4" w:space="0"/>
              <w:right w:val="single" w:color="auto" w:sz="4" w:space="0"/>
            </w:tcBorders>
            <w:shd w:val="clear" w:color="auto" w:fill="auto"/>
            <w:vAlign w:val="center"/>
          </w:tcPr>
          <w:p w14:paraId="5DA6ED4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仿宋_GB2312" w:eastAsia="仿宋_GB2312" w:cs="仿宋_GB2312"/>
                <w:i w:val="0"/>
                <w:iCs w:val="0"/>
                <w:color w:val="auto"/>
                <w:kern w:val="0"/>
                <w:sz w:val="24"/>
                <w:szCs w:val="24"/>
                <w:u w:val="none"/>
                <w:lang w:val="en-US" w:eastAsia="zh-CN" w:bidi="ar"/>
                <w14:ligatures w14:val="none"/>
              </w:rPr>
              <w:t>山东省农业科学院畜牧兽医研究所</w:t>
            </w:r>
          </w:p>
        </w:tc>
      </w:tr>
    </w:tbl>
    <w:p w14:paraId="0094EE52">
      <w:pPr>
        <w:spacing w:line="20" w:lineRule="exact"/>
        <w:ind w:firstLine="0" w:firstLineChars="0"/>
        <w:rPr>
          <w:color w:val="auto"/>
        </w:rPr>
      </w:pPr>
    </w:p>
    <w:p w14:paraId="03430713">
      <w:pPr>
        <w:rPr>
          <w:lang w:val="en-US" w:eastAsia="zh-CN"/>
        </w:rPr>
      </w:pPr>
      <w:r>
        <w:rPr>
          <w:lang w:val="en-US" w:eastAsia="zh-CN"/>
        </w:rPr>
        <w:br w:type="page"/>
      </w:r>
    </w:p>
    <w:p w14:paraId="5CE81F24">
      <w:pPr>
        <w:pStyle w:val="13"/>
        <w:keepNext w:val="0"/>
        <w:keepLines w:val="0"/>
        <w:widowControl w:val="0"/>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14:paraId="187A9983">
      <w:pPr>
        <w:pStyle w:val="13"/>
        <w:keepNext w:val="0"/>
        <w:keepLines w:val="0"/>
        <w:widowControl w:val="0"/>
        <w:rPr>
          <w:color w:val="auto"/>
        </w:rPr>
      </w:pPr>
      <w:r>
        <w:rPr>
          <w:rFonts w:hint="eastAsia"/>
          <w:color w:val="auto"/>
        </w:rPr>
        <w:t xml:space="preserve">山东省地方标准“揭榜挂帅”项目表 </w:t>
      </w:r>
    </w:p>
    <w:tbl>
      <w:tblPr>
        <w:tblStyle w:val="7"/>
        <w:tblpPr w:leftFromText="180" w:rightFromText="180" w:vertAnchor="text" w:horzAnchor="page" w:tblpXSpec="center" w:tblpY="609"/>
        <w:tblOverlap w:val="never"/>
        <w:tblW w:w="12944" w:type="dxa"/>
        <w:jc w:val="center"/>
        <w:tblLayout w:type="fixed"/>
        <w:tblCellMar>
          <w:top w:w="0" w:type="dxa"/>
          <w:left w:w="108" w:type="dxa"/>
          <w:bottom w:w="0" w:type="dxa"/>
          <w:right w:w="108" w:type="dxa"/>
        </w:tblCellMar>
      </w:tblPr>
      <w:tblGrid>
        <w:gridCol w:w="812"/>
        <w:gridCol w:w="3355"/>
        <w:gridCol w:w="2730"/>
        <w:gridCol w:w="2870"/>
        <w:gridCol w:w="3177"/>
      </w:tblGrid>
      <w:tr w14:paraId="619A5962">
        <w:tblPrEx>
          <w:tblCellMar>
            <w:top w:w="0" w:type="dxa"/>
            <w:left w:w="108" w:type="dxa"/>
            <w:bottom w:w="0" w:type="dxa"/>
            <w:right w:w="108" w:type="dxa"/>
          </w:tblCellMar>
        </w:tblPrEx>
        <w:trPr>
          <w:cantSplit/>
          <w:trHeight w:val="623" w:hRule="atLeast"/>
          <w:tblHeader/>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69B574E">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序号</w:t>
            </w:r>
          </w:p>
        </w:tc>
        <w:tc>
          <w:tcPr>
            <w:tcW w:w="3355" w:type="dxa"/>
            <w:tcBorders>
              <w:top w:val="single" w:color="auto" w:sz="4" w:space="0"/>
              <w:left w:val="nil"/>
              <w:bottom w:val="single" w:color="auto" w:sz="4" w:space="0"/>
              <w:right w:val="single" w:color="auto" w:sz="4" w:space="0"/>
            </w:tcBorders>
            <w:shd w:val="clear" w:color="auto" w:fill="auto"/>
            <w:vAlign w:val="center"/>
          </w:tcPr>
          <w:p w14:paraId="2B85A2E8">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lang w:val="en-US" w:eastAsia="zh-CN"/>
              </w:rPr>
              <w:t>项目</w:t>
            </w:r>
            <w:r>
              <w:rPr>
                <w:rFonts w:hint="eastAsia" w:ascii="黑体" w:hAnsi="黑体" w:eastAsia="黑体"/>
                <w:color w:val="auto"/>
                <w:sz w:val="24"/>
                <w:szCs w:val="24"/>
              </w:rPr>
              <w:t>名称</w:t>
            </w:r>
          </w:p>
        </w:tc>
        <w:tc>
          <w:tcPr>
            <w:tcW w:w="2730" w:type="dxa"/>
            <w:tcBorders>
              <w:top w:val="single" w:color="auto" w:sz="4" w:space="0"/>
              <w:left w:val="nil"/>
              <w:bottom w:val="single" w:color="auto" w:sz="4" w:space="0"/>
              <w:right w:val="single" w:color="auto" w:sz="4" w:space="0"/>
            </w:tcBorders>
            <w:shd w:val="clear" w:color="auto" w:fill="auto"/>
            <w:vAlign w:val="center"/>
          </w:tcPr>
          <w:p w14:paraId="4E8395EC">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lang w:val="en-US" w:eastAsia="zh-CN"/>
              </w:rPr>
              <w:t>归口</w:t>
            </w:r>
            <w:r>
              <w:rPr>
                <w:rFonts w:hint="eastAsia" w:ascii="黑体" w:hAnsi="黑体" w:eastAsia="黑体"/>
                <w:color w:val="auto"/>
                <w:sz w:val="24"/>
                <w:szCs w:val="24"/>
              </w:rPr>
              <w:t>部门</w:t>
            </w:r>
          </w:p>
        </w:tc>
        <w:tc>
          <w:tcPr>
            <w:tcW w:w="2870" w:type="dxa"/>
            <w:tcBorders>
              <w:top w:val="single" w:color="auto" w:sz="4" w:space="0"/>
              <w:left w:val="nil"/>
              <w:bottom w:val="single" w:color="auto" w:sz="4" w:space="0"/>
              <w:right w:val="single" w:color="auto" w:sz="4" w:space="0"/>
            </w:tcBorders>
            <w:shd w:val="clear" w:color="auto" w:fill="auto"/>
            <w:vAlign w:val="center"/>
          </w:tcPr>
          <w:p w14:paraId="29006A68">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ascii="黑体" w:hAnsi="黑体" w:eastAsia="黑体"/>
                <w:color w:val="auto"/>
                <w:sz w:val="24"/>
                <w:szCs w:val="24"/>
              </w:rPr>
            </w:pPr>
            <w:r>
              <w:rPr>
                <w:rFonts w:hint="eastAsia" w:ascii="黑体" w:hAnsi="黑体" w:eastAsia="黑体"/>
                <w:color w:val="auto"/>
                <w:sz w:val="24"/>
                <w:szCs w:val="24"/>
              </w:rPr>
              <w:t>主要承担单位</w:t>
            </w:r>
          </w:p>
        </w:tc>
        <w:tc>
          <w:tcPr>
            <w:tcW w:w="3177" w:type="dxa"/>
            <w:tcBorders>
              <w:top w:val="single" w:color="auto" w:sz="4" w:space="0"/>
              <w:left w:val="nil"/>
              <w:bottom w:val="single" w:color="auto" w:sz="4" w:space="0"/>
              <w:right w:val="single" w:color="auto" w:sz="4" w:space="0"/>
            </w:tcBorders>
            <w:shd w:val="clear" w:color="auto" w:fill="auto"/>
            <w:vAlign w:val="center"/>
          </w:tcPr>
          <w:p w14:paraId="30953B10">
            <w:pPr>
              <w:keepNext w:val="0"/>
              <w:keepLines w:val="0"/>
              <w:pageBreakBefore w:val="0"/>
              <w:kinsoku/>
              <w:wordWrap/>
              <w:overflowPunct/>
              <w:topLinePunct w:val="0"/>
              <w:autoSpaceDE/>
              <w:autoSpaceDN/>
              <w:bidi w:val="0"/>
              <w:adjustRightInd/>
              <w:snapToGrid w:val="0"/>
              <w:spacing w:line="240" w:lineRule="atLeast"/>
              <w:ind w:left="0" w:firstLine="0" w:firstLineChars="0"/>
              <w:jc w:val="center"/>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参与单位</w:t>
            </w:r>
          </w:p>
        </w:tc>
      </w:tr>
      <w:tr w14:paraId="6BBEC229">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F5C4C">
            <w:pPr>
              <w:keepNext w:val="0"/>
              <w:keepLines w:val="0"/>
              <w:pageBreakBefore w:val="0"/>
              <w:widowControl/>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kern w:val="0"/>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0DE8C86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鲁锦织造技术规范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07CFDCA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省工业和信息化厅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4B6C35B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山东乡韵鲁锦纺织品股份有限公司</w:t>
            </w:r>
          </w:p>
        </w:tc>
        <w:tc>
          <w:tcPr>
            <w:tcW w:w="3177" w:type="dxa"/>
            <w:tcBorders>
              <w:top w:val="single" w:color="auto" w:sz="4" w:space="0"/>
              <w:left w:val="nil"/>
              <w:bottom w:val="single" w:color="auto" w:sz="4" w:space="0"/>
              <w:right w:val="single" w:color="auto" w:sz="4" w:space="0"/>
            </w:tcBorders>
            <w:shd w:val="clear" w:color="auto" w:fill="auto"/>
            <w:vAlign w:val="center"/>
          </w:tcPr>
          <w:p w14:paraId="6FDB754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菏泽市纺织纤维检验所</w:t>
            </w:r>
          </w:p>
        </w:tc>
      </w:tr>
      <w:tr w14:paraId="4520BED5">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C3102">
            <w:pPr>
              <w:keepNext w:val="0"/>
              <w:keepLines w:val="0"/>
              <w:pageBreakBefore w:val="0"/>
              <w:widowControl/>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kern w:val="0"/>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6A1EEE3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yellow"/>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行业大模型建设指南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6DC5797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省工业和信息化厅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24A2F29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highlight w:val="yellow"/>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山东省计算中心(国家超级计算济南中心)</w:t>
            </w:r>
          </w:p>
        </w:tc>
        <w:tc>
          <w:tcPr>
            <w:tcW w:w="3177" w:type="dxa"/>
            <w:tcBorders>
              <w:top w:val="single" w:color="auto" w:sz="4" w:space="0"/>
              <w:left w:val="nil"/>
              <w:bottom w:val="single" w:color="auto" w:sz="4" w:space="0"/>
              <w:right w:val="single" w:color="auto" w:sz="4" w:space="0"/>
            </w:tcBorders>
            <w:shd w:val="clear" w:color="auto" w:fill="auto"/>
            <w:vAlign w:val="center"/>
          </w:tcPr>
          <w:p w14:paraId="614BB383">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6E6E714F">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6800A">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4B091BA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晨星工厂数智化应用指南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1DB2D3D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省工业和信息化厅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6C0C04E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山东新一代标准化研究院有限公司</w:t>
            </w:r>
          </w:p>
        </w:tc>
        <w:tc>
          <w:tcPr>
            <w:tcW w:w="3177" w:type="dxa"/>
            <w:tcBorders>
              <w:top w:val="single" w:color="auto" w:sz="4" w:space="0"/>
              <w:left w:val="nil"/>
              <w:bottom w:val="single" w:color="auto" w:sz="4" w:space="0"/>
              <w:right w:val="single" w:color="auto" w:sz="4" w:space="0"/>
            </w:tcBorders>
            <w:shd w:val="clear" w:color="auto" w:fill="auto"/>
            <w:vAlign w:val="center"/>
          </w:tcPr>
          <w:p w14:paraId="27B29C7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潍柴动力股份有限公司</w:t>
            </w:r>
          </w:p>
        </w:tc>
      </w:tr>
      <w:tr w14:paraId="3159C025">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2FDF9">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61C002D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城镇区域控制性详细规划技术规范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794C611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省自然资源厅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5D67224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山东省国土空间规划院</w:t>
            </w:r>
          </w:p>
        </w:tc>
        <w:tc>
          <w:tcPr>
            <w:tcW w:w="3177" w:type="dxa"/>
            <w:tcBorders>
              <w:top w:val="single" w:color="auto" w:sz="4" w:space="0"/>
              <w:left w:val="nil"/>
              <w:bottom w:val="single" w:color="auto" w:sz="4" w:space="0"/>
              <w:right w:val="single" w:color="auto" w:sz="4" w:space="0"/>
            </w:tcBorders>
            <w:shd w:val="clear" w:color="auto" w:fill="auto"/>
            <w:vAlign w:val="center"/>
          </w:tcPr>
          <w:p w14:paraId="693EEC0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山东省城乡规划设计研究院有限公司、泰安市自然资源和规划局、潍坊市自然资源和规划局</w:t>
            </w:r>
          </w:p>
        </w:tc>
      </w:tr>
      <w:tr w14:paraId="34C0A855">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9E301">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244B5F1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内河电池动力新能源船舶改造技术规范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6F76070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省交通运输厅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01F4751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济宁市标准信息技术中心</w:t>
            </w:r>
          </w:p>
        </w:tc>
        <w:tc>
          <w:tcPr>
            <w:tcW w:w="3177" w:type="dxa"/>
            <w:tcBorders>
              <w:top w:val="single" w:color="auto" w:sz="4" w:space="0"/>
              <w:left w:val="nil"/>
              <w:bottom w:val="single" w:color="auto" w:sz="4" w:space="0"/>
              <w:right w:val="single" w:color="auto" w:sz="4" w:space="0"/>
            </w:tcBorders>
            <w:shd w:val="clear" w:color="auto" w:fill="auto"/>
            <w:vAlign w:val="center"/>
          </w:tcPr>
          <w:p w14:paraId="391F975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济宁能源发展集团、山东新能船舶技术有限公司、山东新能船业有限公司、山东融汇时代船舶科技有限公司、山东国家标准技术审评中心</w:t>
            </w:r>
          </w:p>
        </w:tc>
      </w:tr>
      <w:tr w14:paraId="2DDB939E">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6EFC">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260F924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赤泥基路用胶凝材料设计施工技术规范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161FF18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省交通运输厅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7269AA0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山东高速集团有限公司</w:t>
            </w:r>
          </w:p>
        </w:tc>
        <w:tc>
          <w:tcPr>
            <w:tcW w:w="3177" w:type="dxa"/>
            <w:tcBorders>
              <w:top w:val="single" w:color="auto" w:sz="4" w:space="0"/>
              <w:left w:val="nil"/>
              <w:bottom w:val="single" w:color="auto" w:sz="4" w:space="0"/>
              <w:right w:val="single" w:color="auto" w:sz="4" w:space="0"/>
            </w:tcBorders>
            <w:shd w:val="clear" w:color="auto" w:fill="auto"/>
            <w:vAlign w:val="center"/>
          </w:tcPr>
          <w:p w14:paraId="392C1F3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山东大学、山东高速基础设施建设有限公司、山东高速新材料集团有限公司、山东省交通科学研究院、山东高速工程检测有限公司、山东省交通规划设计院集团有限公司、山东高速环保建材有限公司</w:t>
            </w:r>
          </w:p>
        </w:tc>
      </w:tr>
      <w:tr w14:paraId="58D42D45">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00459">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7CD77BC">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公路隧道泥水盾构施工技术指南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4B1B778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省交通运输厅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713D42A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中铁十四局集团有限公司</w:t>
            </w:r>
          </w:p>
        </w:tc>
        <w:tc>
          <w:tcPr>
            <w:tcW w:w="3177" w:type="dxa"/>
            <w:tcBorders>
              <w:top w:val="single" w:color="auto" w:sz="4" w:space="0"/>
              <w:left w:val="nil"/>
              <w:bottom w:val="single" w:color="auto" w:sz="4" w:space="0"/>
              <w:right w:val="single" w:color="auto" w:sz="4" w:space="0"/>
            </w:tcBorders>
            <w:shd w:val="clear" w:color="auto" w:fill="auto"/>
            <w:vAlign w:val="center"/>
          </w:tcPr>
          <w:p w14:paraId="71B8E51F">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7AB02CDD">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FD142">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2042394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地热取水建设项目水资源论证技术导则</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6366515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省水利厅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01B9748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山东省水利科学研究院</w:t>
            </w:r>
          </w:p>
        </w:tc>
        <w:tc>
          <w:tcPr>
            <w:tcW w:w="3177" w:type="dxa"/>
            <w:tcBorders>
              <w:top w:val="single" w:color="auto" w:sz="4" w:space="0"/>
              <w:left w:val="nil"/>
              <w:bottom w:val="single" w:color="auto" w:sz="4" w:space="0"/>
              <w:right w:val="single" w:color="auto" w:sz="4" w:space="0"/>
            </w:tcBorders>
            <w:shd w:val="clear" w:color="auto" w:fill="auto"/>
            <w:vAlign w:val="center"/>
          </w:tcPr>
          <w:p w14:paraId="6E0B3CC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山东华翼绿色生态发展有限公司</w:t>
            </w:r>
          </w:p>
        </w:tc>
      </w:tr>
      <w:tr w14:paraId="2A3DAFB7">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A6692">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3F87BA4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丘陵山区农机化适宜性改造技术规程</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302C8C8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省农业农村厅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1E2229D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山东国家标准技术审评中心</w:t>
            </w:r>
          </w:p>
        </w:tc>
        <w:tc>
          <w:tcPr>
            <w:tcW w:w="3177" w:type="dxa"/>
            <w:tcBorders>
              <w:top w:val="single" w:color="auto" w:sz="4" w:space="0"/>
              <w:left w:val="nil"/>
              <w:bottom w:val="single" w:color="auto" w:sz="4" w:space="0"/>
              <w:right w:val="single" w:color="auto" w:sz="4" w:space="0"/>
            </w:tcBorders>
            <w:shd w:val="clear" w:color="auto" w:fill="auto"/>
            <w:vAlign w:val="center"/>
          </w:tcPr>
          <w:p w14:paraId="5B647AC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山东省农业机械科学研究院、潍柴雷沃重工股份有限公司</w:t>
            </w:r>
          </w:p>
        </w:tc>
      </w:tr>
      <w:tr w14:paraId="4B52A65F">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0181C">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2F59330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鲁绣工艺技术规范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1096857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省文化和旅游厅</w:t>
            </w:r>
          </w:p>
        </w:tc>
        <w:tc>
          <w:tcPr>
            <w:tcW w:w="2870" w:type="dxa"/>
            <w:tcBorders>
              <w:top w:val="single" w:color="auto" w:sz="4" w:space="0"/>
              <w:left w:val="nil"/>
              <w:bottom w:val="single" w:color="auto" w:sz="4" w:space="0"/>
              <w:right w:val="single" w:color="auto" w:sz="4" w:space="0"/>
            </w:tcBorders>
            <w:shd w:val="clear" w:color="auto" w:fill="auto"/>
            <w:vAlign w:val="center"/>
          </w:tcPr>
          <w:p w14:paraId="1153E82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山东博物馆</w:t>
            </w:r>
          </w:p>
        </w:tc>
        <w:tc>
          <w:tcPr>
            <w:tcW w:w="3177" w:type="dxa"/>
            <w:tcBorders>
              <w:top w:val="single" w:color="auto" w:sz="4" w:space="0"/>
              <w:left w:val="nil"/>
              <w:bottom w:val="single" w:color="auto" w:sz="4" w:space="0"/>
              <w:right w:val="single" w:color="auto" w:sz="4" w:space="0"/>
            </w:tcBorders>
            <w:shd w:val="clear" w:color="auto" w:fill="auto"/>
            <w:vAlign w:val="center"/>
          </w:tcPr>
          <w:p w14:paraId="2C55A39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科技职业学院、山东中康国创检测中心有限公司、齐鲁工业大学、泰安市食品药品检验检测研究院(泰安市纤维检验所)、济南鲁绣刺绣有限公司、山东中康国创先进印染技术研究院有限公司、山东纺织工程学会、威海众达信息科技有限公司</w:t>
            </w:r>
          </w:p>
        </w:tc>
      </w:tr>
      <w:tr w14:paraId="7CEB6B31">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DB65D">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1AC6A6A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医疗机构免陪照护服务规范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518C4D7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省卫生健康委员会</w:t>
            </w:r>
          </w:p>
        </w:tc>
        <w:tc>
          <w:tcPr>
            <w:tcW w:w="2870" w:type="dxa"/>
            <w:tcBorders>
              <w:top w:val="single" w:color="auto" w:sz="4" w:space="0"/>
              <w:left w:val="nil"/>
              <w:bottom w:val="single" w:color="auto" w:sz="4" w:space="0"/>
              <w:right w:val="single" w:color="auto" w:sz="4" w:space="0"/>
            </w:tcBorders>
            <w:shd w:val="clear" w:color="auto" w:fill="auto"/>
            <w:vAlign w:val="center"/>
          </w:tcPr>
          <w:p w14:paraId="29DDB4C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山东省省立医院</w:t>
            </w:r>
          </w:p>
        </w:tc>
        <w:tc>
          <w:tcPr>
            <w:tcW w:w="3177" w:type="dxa"/>
            <w:tcBorders>
              <w:top w:val="single" w:color="auto" w:sz="4" w:space="0"/>
              <w:left w:val="nil"/>
              <w:bottom w:val="single" w:color="auto" w:sz="4" w:space="0"/>
              <w:right w:val="single" w:color="auto" w:sz="4" w:space="0"/>
            </w:tcBorders>
            <w:shd w:val="clear" w:color="auto" w:fill="auto"/>
            <w:vAlign w:val="center"/>
          </w:tcPr>
          <w:p w14:paraId="6A4EE50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临沂市人民医院、山东省药物研究院、枣庄市精神卫生中心（枣庄市立第二医院、枣庄市老年病医院、枣庄市康复医院）、滨州市医疗保障局</w:t>
            </w:r>
          </w:p>
        </w:tc>
      </w:tr>
      <w:tr w14:paraId="2E24E34E">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5582">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9C087EF">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概念验证中心建设与服务指南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321DED8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省市场监督管理局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50966EB9">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山东省标准化研究院</w:t>
            </w:r>
          </w:p>
        </w:tc>
        <w:tc>
          <w:tcPr>
            <w:tcW w:w="3177" w:type="dxa"/>
            <w:tcBorders>
              <w:top w:val="single" w:color="auto" w:sz="4" w:space="0"/>
              <w:left w:val="nil"/>
              <w:bottom w:val="single" w:color="auto" w:sz="4" w:space="0"/>
              <w:right w:val="single" w:color="auto" w:sz="4" w:space="0"/>
            </w:tcBorders>
            <w:shd w:val="clear" w:color="auto" w:fill="auto"/>
            <w:vAlign w:val="center"/>
          </w:tcPr>
          <w:p w14:paraId="50B2DAA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山东省企业科技创新协会、齐鲁工业大学(山东省科学院)、山东省科创集团有限公司、济南大学、山东领潮科技服务有限公司</w:t>
            </w:r>
          </w:p>
        </w:tc>
      </w:tr>
      <w:tr w14:paraId="77C5D6A8">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2AC17">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2D21CE9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网络直播带货监测指南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63B929A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省市场监督管理局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5E87961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山东省市场监管监测中心</w:t>
            </w:r>
          </w:p>
        </w:tc>
        <w:tc>
          <w:tcPr>
            <w:tcW w:w="3177" w:type="dxa"/>
            <w:tcBorders>
              <w:top w:val="single" w:color="auto" w:sz="4" w:space="0"/>
              <w:left w:val="nil"/>
              <w:bottom w:val="single" w:color="auto" w:sz="4" w:space="0"/>
              <w:right w:val="single" w:color="auto" w:sz="4" w:space="0"/>
            </w:tcBorders>
            <w:shd w:val="clear" w:color="auto" w:fill="auto"/>
            <w:vAlign w:val="center"/>
          </w:tcPr>
          <w:p w14:paraId="00090DE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山东省标准化研究院</w:t>
            </w:r>
          </w:p>
        </w:tc>
      </w:tr>
      <w:tr w14:paraId="1B7624D8">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6A2E8">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E66277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公共数据 “一人一档”“一企一档”数据规范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02A60AC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省大数据局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62615AC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山东省大数据局</w:t>
            </w:r>
          </w:p>
        </w:tc>
        <w:tc>
          <w:tcPr>
            <w:tcW w:w="3177" w:type="dxa"/>
            <w:tcBorders>
              <w:top w:val="single" w:color="auto" w:sz="4" w:space="0"/>
              <w:left w:val="nil"/>
              <w:bottom w:val="single" w:color="auto" w:sz="4" w:space="0"/>
              <w:right w:val="single" w:color="auto" w:sz="4" w:space="0"/>
            </w:tcBorders>
            <w:shd w:val="clear" w:color="auto" w:fill="auto"/>
            <w:vAlign w:val="center"/>
          </w:tcPr>
          <w:p w14:paraId="6DD47D4E">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山东新一代标准化研究院有限公司、枣庄市大数据局</w:t>
            </w:r>
          </w:p>
        </w:tc>
      </w:tr>
      <w:tr w14:paraId="5ABAF302">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F0291">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60E729F0">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高压天然气场站余压发电建设和管理规范</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6BA2B9F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省能源局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10EE3A46">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国家石油天然气管网集团有限公司山东分公司</w:t>
            </w:r>
          </w:p>
        </w:tc>
        <w:tc>
          <w:tcPr>
            <w:tcW w:w="3177" w:type="dxa"/>
            <w:tcBorders>
              <w:top w:val="single" w:color="auto" w:sz="4" w:space="0"/>
              <w:left w:val="nil"/>
              <w:bottom w:val="single" w:color="auto" w:sz="4" w:space="0"/>
              <w:right w:val="single" w:color="auto" w:sz="4" w:space="0"/>
            </w:tcBorders>
            <w:shd w:val="clear" w:color="auto" w:fill="auto"/>
            <w:vAlign w:val="center"/>
          </w:tcPr>
          <w:p w14:paraId="7FAA152F">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361260D9">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9704E">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3BA1AAE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输变电智能巡视大模型技术应用指南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50E2531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省能源局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4F3286E3">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国网山东省电力公司电力科学研究院</w:t>
            </w:r>
          </w:p>
        </w:tc>
        <w:tc>
          <w:tcPr>
            <w:tcW w:w="3177" w:type="dxa"/>
            <w:tcBorders>
              <w:top w:val="single" w:color="auto" w:sz="4" w:space="0"/>
              <w:left w:val="nil"/>
              <w:bottom w:val="single" w:color="auto" w:sz="4" w:space="0"/>
              <w:right w:val="single" w:color="auto" w:sz="4" w:space="0"/>
            </w:tcBorders>
            <w:shd w:val="clear" w:color="auto" w:fill="auto"/>
            <w:vAlign w:val="center"/>
          </w:tcPr>
          <w:p w14:paraId="64F3F83B">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2AFD7D68">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84D83">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963FB7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废弃矿井改建抽水蓄能电站</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51F08B0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省能源局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2559EE3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山东科技大学</w:t>
            </w:r>
          </w:p>
        </w:tc>
        <w:tc>
          <w:tcPr>
            <w:tcW w:w="3177" w:type="dxa"/>
            <w:tcBorders>
              <w:top w:val="single" w:color="auto" w:sz="4" w:space="0"/>
              <w:left w:val="nil"/>
              <w:bottom w:val="single" w:color="auto" w:sz="4" w:space="0"/>
              <w:right w:val="single" w:color="auto" w:sz="4" w:space="0"/>
            </w:tcBorders>
            <w:shd w:val="clear" w:color="auto" w:fill="auto"/>
            <w:vAlign w:val="center"/>
          </w:tcPr>
          <w:p w14:paraId="4C332E36">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7D7A2F79">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3056">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6B02D7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海洋牧场综合体建设指南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47D1F32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省海洋局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2A7A21C5">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长岛综合试验区市场监督管理局</w:t>
            </w:r>
          </w:p>
        </w:tc>
        <w:tc>
          <w:tcPr>
            <w:tcW w:w="3177" w:type="dxa"/>
            <w:tcBorders>
              <w:top w:val="single" w:color="auto" w:sz="4" w:space="0"/>
              <w:left w:val="nil"/>
              <w:bottom w:val="single" w:color="auto" w:sz="4" w:space="0"/>
              <w:right w:val="single" w:color="auto" w:sz="4" w:space="0"/>
            </w:tcBorders>
            <w:shd w:val="clear" w:color="auto" w:fill="auto"/>
            <w:vAlign w:val="center"/>
          </w:tcPr>
          <w:p w14:paraId="4BD8B5B6">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r w14:paraId="357EFDEF">
        <w:tblPrEx>
          <w:tblCellMar>
            <w:top w:w="0" w:type="dxa"/>
            <w:left w:w="108" w:type="dxa"/>
            <w:bottom w:w="0" w:type="dxa"/>
            <w:right w:w="108" w:type="dxa"/>
          </w:tblCellMar>
        </w:tblPrEx>
        <w:trPr>
          <w:cantSplit/>
          <w:trHeight w:val="6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3B25B">
            <w:pPr>
              <w:keepNext w:val="0"/>
              <w:keepLines w:val="0"/>
              <w:pageBreakBefore w:val="0"/>
              <w:numPr>
                <w:ilvl w:val="0"/>
                <w:numId w:val="2"/>
              </w:numPr>
              <w:tabs>
                <w:tab w:val="clear" w:pos="0"/>
              </w:tabs>
              <w:kinsoku/>
              <w:wordWrap/>
              <w:overflowPunct/>
              <w:topLinePunct w:val="0"/>
              <w:autoSpaceDE/>
              <w:autoSpaceDN/>
              <w:bidi w:val="0"/>
              <w:adjustRightInd/>
              <w:snapToGrid/>
              <w:spacing w:line="240" w:lineRule="atLeast"/>
              <w:ind w:left="317" w:leftChars="0" w:hanging="317" w:firstLineChars="0"/>
              <w:jc w:val="center"/>
              <w:textAlignment w:val="auto"/>
              <w:rPr>
                <w:rFonts w:hAnsi="等线"/>
                <w:b w:val="0"/>
                <w:bCs w:val="0"/>
                <w:color w:val="auto"/>
                <w:sz w:val="24"/>
                <w:szCs w:val="24"/>
              </w:rPr>
            </w:pPr>
          </w:p>
        </w:tc>
        <w:tc>
          <w:tcPr>
            <w:tcW w:w="3355" w:type="dxa"/>
            <w:tcBorders>
              <w:top w:val="single" w:color="auto" w:sz="4" w:space="0"/>
              <w:left w:val="nil"/>
              <w:bottom w:val="single" w:color="auto" w:sz="4" w:space="0"/>
              <w:right w:val="single" w:color="auto" w:sz="4" w:space="0"/>
            </w:tcBorders>
            <w:shd w:val="clear" w:color="auto" w:fill="auto"/>
            <w:vAlign w:val="center"/>
          </w:tcPr>
          <w:p w14:paraId="5097CE17">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14:ligatures w14:val="none"/>
              </w:rPr>
              <w:t>休闲海钓渔船营运工作指南</w:t>
            </w:r>
          </w:p>
        </w:tc>
        <w:tc>
          <w:tcPr>
            <w:tcW w:w="2730" w:type="dxa"/>
            <w:tcBorders>
              <w:top w:val="single" w:color="auto" w:sz="4" w:space="0"/>
              <w:left w:val="nil"/>
              <w:bottom w:val="single" w:color="auto" w:sz="4" w:space="0"/>
              <w:right w:val="single" w:color="auto" w:sz="4" w:space="0"/>
            </w:tcBorders>
            <w:shd w:val="clear" w:color="auto" w:fill="auto"/>
            <w:noWrap/>
            <w:vAlign w:val="center"/>
          </w:tcPr>
          <w:p w14:paraId="0A6BB54A">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hAnsi="宋体" w:cs="仿宋_GB2312"/>
                <w:i w:val="0"/>
                <w:iCs w:val="0"/>
                <w:color w:val="000000"/>
                <w:kern w:val="0"/>
                <w:sz w:val="24"/>
                <w:szCs w:val="24"/>
                <w:u w:val="none"/>
                <w:lang w:val="en-US" w:eastAsia="zh-CN" w:bidi="ar"/>
                <w14:ligatures w14:val="none"/>
              </w:rPr>
              <w:t>山东</w:t>
            </w:r>
            <w:r>
              <w:rPr>
                <w:rFonts w:hint="eastAsia" w:ascii="仿宋_GB2312" w:hAnsi="宋体" w:eastAsia="仿宋_GB2312" w:cs="仿宋_GB2312"/>
                <w:i w:val="0"/>
                <w:iCs w:val="0"/>
                <w:color w:val="000000"/>
                <w:kern w:val="0"/>
                <w:sz w:val="24"/>
                <w:szCs w:val="24"/>
                <w:u w:val="none"/>
                <w:lang w:val="en-US" w:eastAsia="zh-CN" w:bidi="ar"/>
                <w14:ligatures w14:val="none"/>
              </w:rPr>
              <w:t>省海洋局</w:t>
            </w:r>
          </w:p>
        </w:tc>
        <w:tc>
          <w:tcPr>
            <w:tcW w:w="2870" w:type="dxa"/>
            <w:tcBorders>
              <w:top w:val="single" w:color="auto" w:sz="4" w:space="0"/>
              <w:left w:val="nil"/>
              <w:bottom w:val="single" w:color="auto" w:sz="4" w:space="0"/>
              <w:right w:val="single" w:color="auto" w:sz="4" w:space="0"/>
            </w:tcBorders>
            <w:shd w:val="clear" w:color="auto" w:fill="auto"/>
            <w:vAlign w:val="center"/>
          </w:tcPr>
          <w:p w14:paraId="45D5A122">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14:ligatures w14:val="none"/>
              </w:rPr>
            </w:pPr>
            <w:r>
              <w:rPr>
                <w:rFonts w:hint="eastAsia" w:ascii="仿宋_GB2312" w:hAnsi="宋体" w:eastAsia="仿宋_GB2312" w:cs="仿宋_GB2312"/>
                <w:i w:val="0"/>
                <w:iCs w:val="0"/>
                <w:color w:val="000000"/>
                <w:kern w:val="0"/>
                <w:sz w:val="24"/>
                <w:szCs w:val="24"/>
                <w:u w:val="none"/>
                <w:lang w:val="en-US" w:eastAsia="zh-CN" w:bidi="ar"/>
                <w14:ligatures w14:val="none"/>
              </w:rPr>
              <w:t>日照市海洋发展局</w:t>
            </w:r>
          </w:p>
        </w:tc>
        <w:tc>
          <w:tcPr>
            <w:tcW w:w="3177" w:type="dxa"/>
            <w:tcBorders>
              <w:top w:val="single" w:color="auto" w:sz="4" w:space="0"/>
              <w:left w:val="nil"/>
              <w:bottom w:val="single" w:color="auto" w:sz="4" w:space="0"/>
              <w:right w:val="single" w:color="auto" w:sz="4" w:space="0"/>
            </w:tcBorders>
            <w:shd w:val="clear" w:color="auto" w:fill="auto"/>
            <w:vAlign w:val="center"/>
          </w:tcPr>
          <w:p w14:paraId="76CCE72D">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eastAsia" w:ascii="仿宋_GB2312" w:hAnsi="宋体" w:eastAsia="仿宋_GB2312" w:cs="仿宋_GB2312"/>
                <w:i w:val="0"/>
                <w:iCs w:val="0"/>
                <w:color w:val="000000"/>
                <w:kern w:val="0"/>
                <w:sz w:val="24"/>
                <w:szCs w:val="24"/>
                <w:u w:val="none"/>
                <w:lang w:val="en-US" w:eastAsia="zh-CN" w:bidi="ar"/>
                <w14:ligatures w14:val="none"/>
              </w:rPr>
            </w:pPr>
          </w:p>
        </w:tc>
      </w:tr>
    </w:tbl>
    <w:p w14:paraId="40E6EFF4">
      <w:pPr>
        <w:spacing w:line="20" w:lineRule="exact"/>
        <w:ind w:firstLine="0" w:firstLineChars="0"/>
        <w:rPr>
          <w:color w:val="auto"/>
        </w:rPr>
      </w:pPr>
    </w:p>
    <w:p w14:paraId="48DCAF37">
      <w:pPr>
        <w:bidi w:val="0"/>
        <w:rPr>
          <w:rFonts w:ascii="仿宋_GB2312" w:eastAsia="仿宋_GB2312" w:hAnsiTheme="minorHAnsi" w:cstheme="minorBidi"/>
          <w:kern w:val="2"/>
          <w:sz w:val="32"/>
          <w:szCs w:val="24"/>
          <w:lang w:val="en-US" w:eastAsia="zh-CN" w:bidi="ar-SA"/>
          <w14:ligatures w14:val="none"/>
        </w:rPr>
      </w:pPr>
    </w:p>
    <w:p w14:paraId="21D86C3B">
      <w:pPr>
        <w:tabs>
          <w:tab w:val="left" w:pos="1526"/>
        </w:tabs>
        <w:bidi w:val="0"/>
        <w:jc w:val="left"/>
        <w:rPr>
          <w:rFonts w:hint="eastAsia"/>
          <w:lang w:val="en-US" w:eastAsia="zh-CN"/>
        </w:rPr>
      </w:pPr>
      <w:r>
        <w:rPr>
          <w:rFonts w:hint="eastAsia"/>
          <w:lang w:val="en-US" w:eastAsia="zh-CN"/>
        </w:rPr>
        <w:tab/>
      </w:r>
    </w:p>
    <w:p w14:paraId="470CFD67">
      <w:pPr>
        <w:ind w:left="0" w:leftChars="0" w:firstLine="0" w:firstLineChars="0"/>
        <w:rPr>
          <w:lang w:val="en-US" w:eastAsia="zh-CN"/>
        </w:rPr>
      </w:pPr>
    </w:p>
    <w:sectPr>
      <w:headerReference r:id="rId5" w:type="default"/>
      <w:footerReference r:id="rId6" w:type="default"/>
      <w:pgSz w:w="16838" w:h="11906" w:orient="landscape"/>
      <w:pgMar w:top="1474" w:right="1985" w:bottom="1588" w:left="2098"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601464"/>
      <w:docPartObj>
        <w:docPartGallery w:val="autotext"/>
      </w:docPartObj>
    </w:sdtPr>
    <w:sdtContent>
      <w:p w14:paraId="3C06DB5A">
        <w:pPr>
          <w:pStyle w:val="5"/>
          <w:ind w:firstLine="640"/>
          <w:jc w:val="cente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w:t>
        </w:r>
        <w:r>
          <w:rPr>
            <w:rFonts w:ascii="仿宋_GB2312" w:hAnsi="Times New Roman" w:eastAsia="仿宋_GB2312" w:cs="Times New Roman"/>
            <w:sz w:val="28"/>
            <w:szCs w:val="28"/>
          </w:rPr>
          <w:t xml:space="preserve"> 2 -</w:t>
        </w:r>
        <w:r>
          <w:rPr>
            <w:rFonts w:hint="eastAsia" w:ascii="仿宋_GB2312" w:hAnsi="Times New Roman" w:eastAsia="仿宋_GB2312"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960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11527"/>
    <w:multiLevelType w:val="singleLevel"/>
    <w:tmpl w:val="C9A11527"/>
    <w:lvl w:ilvl="0" w:tentative="0">
      <w:start w:val="1"/>
      <w:numFmt w:val="decimal"/>
      <w:suff w:val="nothing"/>
      <w:lvlText w:val="%1"/>
      <w:lvlJc w:val="left"/>
      <w:pPr>
        <w:tabs>
          <w:tab w:val="left" w:pos="0"/>
        </w:tabs>
        <w:ind w:left="425" w:hanging="425"/>
      </w:pPr>
      <w:rPr>
        <w:rFonts w:hint="default"/>
      </w:rPr>
    </w:lvl>
  </w:abstractNum>
  <w:abstractNum w:abstractNumId="1">
    <w:nsid w:val="E0662BD9"/>
    <w:multiLevelType w:val="singleLevel"/>
    <w:tmpl w:val="E0662BD9"/>
    <w:lvl w:ilvl="0" w:tentative="0">
      <w:start w:val="1"/>
      <w:numFmt w:val="decimal"/>
      <w:suff w:val="nothing"/>
      <w:lvlText w:val="%1"/>
      <w:lvlJc w:val="left"/>
      <w:pPr>
        <w:tabs>
          <w:tab w:val="left" w:pos="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NTlhZWQzYmI4MTMyZjc5ZDBiNGFhZjQyMDE4ZTcifQ=="/>
  </w:docVars>
  <w:rsids>
    <w:rsidRoot w:val="002E6E06"/>
    <w:rsid w:val="00043642"/>
    <w:rsid w:val="000640BE"/>
    <w:rsid w:val="00072A76"/>
    <w:rsid w:val="000A207A"/>
    <w:rsid w:val="001207B9"/>
    <w:rsid w:val="00133B05"/>
    <w:rsid w:val="001457FB"/>
    <w:rsid w:val="001F041D"/>
    <w:rsid w:val="001F7C2E"/>
    <w:rsid w:val="0020623B"/>
    <w:rsid w:val="00222770"/>
    <w:rsid w:val="00275395"/>
    <w:rsid w:val="0028130C"/>
    <w:rsid w:val="002B06D1"/>
    <w:rsid w:val="002D715A"/>
    <w:rsid w:val="002E6E06"/>
    <w:rsid w:val="0032547B"/>
    <w:rsid w:val="003D396B"/>
    <w:rsid w:val="003D7C9F"/>
    <w:rsid w:val="0044093C"/>
    <w:rsid w:val="00442E29"/>
    <w:rsid w:val="004B3253"/>
    <w:rsid w:val="004F02D6"/>
    <w:rsid w:val="004F21EF"/>
    <w:rsid w:val="005D4FEE"/>
    <w:rsid w:val="00604F62"/>
    <w:rsid w:val="0061630C"/>
    <w:rsid w:val="006B0D7D"/>
    <w:rsid w:val="007D4283"/>
    <w:rsid w:val="007F0385"/>
    <w:rsid w:val="0082137C"/>
    <w:rsid w:val="008501FC"/>
    <w:rsid w:val="008C56B8"/>
    <w:rsid w:val="00912B78"/>
    <w:rsid w:val="00957885"/>
    <w:rsid w:val="00965C86"/>
    <w:rsid w:val="00A85F1C"/>
    <w:rsid w:val="00B25A56"/>
    <w:rsid w:val="00C71656"/>
    <w:rsid w:val="00E4343D"/>
    <w:rsid w:val="00F51F44"/>
    <w:rsid w:val="00FA67F7"/>
    <w:rsid w:val="01C74429"/>
    <w:rsid w:val="01FA1C53"/>
    <w:rsid w:val="023C675D"/>
    <w:rsid w:val="043A5387"/>
    <w:rsid w:val="06A314AC"/>
    <w:rsid w:val="091F0FEF"/>
    <w:rsid w:val="0AEE2A27"/>
    <w:rsid w:val="0BB04180"/>
    <w:rsid w:val="0D0D4A3B"/>
    <w:rsid w:val="0FED60AD"/>
    <w:rsid w:val="123A6769"/>
    <w:rsid w:val="129E4D32"/>
    <w:rsid w:val="12AD1419"/>
    <w:rsid w:val="12EA441C"/>
    <w:rsid w:val="14CF5440"/>
    <w:rsid w:val="160953DA"/>
    <w:rsid w:val="166B5873"/>
    <w:rsid w:val="180B10BC"/>
    <w:rsid w:val="181F6915"/>
    <w:rsid w:val="190F0738"/>
    <w:rsid w:val="19526877"/>
    <w:rsid w:val="1ADA02D8"/>
    <w:rsid w:val="1D2642A2"/>
    <w:rsid w:val="1D565D80"/>
    <w:rsid w:val="1DC33E26"/>
    <w:rsid w:val="1F5C3FAB"/>
    <w:rsid w:val="20DD55C0"/>
    <w:rsid w:val="21742EE2"/>
    <w:rsid w:val="222F3BF9"/>
    <w:rsid w:val="223760C2"/>
    <w:rsid w:val="224F429B"/>
    <w:rsid w:val="22665141"/>
    <w:rsid w:val="22B365D8"/>
    <w:rsid w:val="23527D81"/>
    <w:rsid w:val="238824E9"/>
    <w:rsid w:val="23897339"/>
    <w:rsid w:val="243C084F"/>
    <w:rsid w:val="259B3353"/>
    <w:rsid w:val="268F110A"/>
    <w:rsid w:val="27F05BD9"/>
    <w:rsid w:val="296072FA"/>
    <w:rsid w:val="2A8A2314"/>
    <w:rsid w:val="2B250618"/>
    <w:rsid w:val="2CA23219"/>
    <w:rsid w:val="2DD9710F"/>
    <w:rsid w:val="2F6A112F"/>
    <w:rsid w:val="2FE83639"/>
    <w:rsid w:val="31464ABB"/>
    <w:rsid w:val="31E32D86"/>
    <w:rsid w:val="324B3F89"/>
    <w:rsid w:val="32AE7F7C"/>
    <w:rsid w:val="33E12879"/>
    <w:rsid w:val="35C81F43"/>
    <w:rsid w:val="35F25212"/>
    <w:rsid w:val="369167D9"/>
    <w:rsid w:val="38060B00"/>
    <w:rsid w:val="385201EA"/>
    <w:rsid w:val="387C0DC3"/>
    <w:rsid w:val="389B1DC8"/>
    <w:rsid w:val="395D6E46"/>
    <w:rsid w:val="39F257E0"/>
    <w:rsid w:val="3A2F07E2"/>
    <w:rsid w:val="3A545A5F"/>
    <w:rsid w:val="3A5F274A"/>
    <w:rsid w:val="3AAF36D1"/>
    <w:rsid w:val="3C4E0CC8"/>
    <w:rsid w:val="3F650802"/>
    <w:rsid w:val="408B5716"/>
    <w:rsid w:val="40EF0187"/>
    <w:rsid w:val="41F65539"/>
    <w:rsid w:val="41FF0A9A"/>
    <w:rsid w:val="421925DC"/>
    <w:rsid w:val="423D1B28"/>
    <w:rsid w:val="425A6618"/>
    <w:rsid w:val="42957651"/>
    <w:rsid w:val="42EE3B2F"/>
    <w:rsid w:val="430755E4"/>
    <w:rsid w:val="44F52628"/>
    <w:rsid w:val="45372C41"/>
    <w:rsid w:val="45D97854"/>
    <w:rsid w:val="464A2500"/>
    <w:rsid w:val="47E26E94"/>
    <w:rsid w:val="481E4FF0"/>
    <w:rsid w:val="48C36A60"/>
    <w:rsid w:val="49D2118A"/>
    <w:rsid w:val="4A0B31A3"/>
    <w:rsid w:val="4BC47A92"/>
    <w:rsid w:val="4BDF193C"/>
    <w:rsid w:val="4C3103EA"/>
    <w:rsid w:val="500E459E"/>
    <w:rsid w:val="501E0C85"/>
    <w:rsid w:val="508129B2"/>
    <w:rsid w:val="51D51818"/>
    <w:rsid w:val="544467E1"/>
    <w:rsid w:val="554271C4"/>
    <w:rsid w:val="5544622E"/>
    <w:rsid w:val="55AC6D33"/>
    <w:rsid w:val="56665134"/>
    <w:rsid w:val="59604F87"/>
    <w:rsid w:val="59A246D5"/>
    <w:rsid w:val="5B7C71A8"/>
    <w:rsid w:val="5CFB5EAA"/>
    <w:rsid w:val="5D210FF0"/>
    <w:rsid w:val="5D427FDF"/>
    <w:rsid w:val="5DF70D68"/>
    <w:rsid w:val="5EB4461C"/>
    <w:rsid w:val="607B5C80"/>
    <w:rsid w:val="60E1629F"/>
    <w:rsid w:val="61005AF5"/>
    <w:rsid w:val="6211064A"/>
    <w:rsid w:val="632717A7"/>
    <w:rsid w:val="63275C4B"/>
    <w:rsid w:val="65627770"/>
    <w:rsid w:val="658D4E98"/>
    <w:rsid w:val="66C57C55"/>
    <w:rsid w:val="67BF400C"/>
    <w:rsid w:val="68183DB4"/>
    <w:rsid w:val="699B2EEF"/>
    <w:rsid w:val="6B3A7AA9"/>
    <w:rsid w:val="6C2E4AE2"/>
    <w:rsid w:val="6CB71DEE"/>
    <w:rsid w:val="6D3E42BD"/>
    <w:rsid w:val="6DAF6F69"/>
    <w:rsid w:val="6DCF3167"/>
    <w:rsid w:val="6E535B46"/>
    <w:rsid w:val="6E9F2B3A"/>
    <w:rsid w:val="6EDA6267"/>
    <w:rsid w:val="717746CD"/>
    <w:rsid w:val="7190079B"/>
    <w:rsid w:val="727A5D97"/>
    <w:rsid w:val="73890DD4"/>
    <w:rsid w:val="73B057E9"/>
    <w:rsid w:val="746C5BB4"/>
    <w:rsid w:val="75B55338"/>
    <w:rsid w:val="76472434"/>
    <w:rsid w:val="76B33626"/>
    <w:rsid w:val="7B38234C"/>
    <w:rsid w:val="7D900074"/>
    <w:rsid w:val="7EA133CC"/>
    <w:rsid w:val="7ED56104"/>
    <w:rsid w:val="7F72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eastAsia="仿宋_GB2312" w:hAnsiTheme="minorHAnsi" w:cstheme="minorBidi"/>
      <w:kern w:val="2"/>
      <w:sz w:val="32"/>
      <w:szCs w:val="24"/>
      <w:lang w:val="en-US" w:eastAsia="zh-CN" w:bidi="ar-SA"/>
      <w14:ligatures w14:val="none"/>
    </w:rPr>
  </w:style>
  <w:style w:type="paragraph" w:styleId="3">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12"/>
    <w:unhideWhenUsed/>
    <w:qFormat/>
    <w:uiPriority w:val="0"/>
    <w:pPr>
      <w:keepNext/>
      <w:keepLines/>
      <w:outlineLvl w:val="1"/>
    </w:pPr>
    <w:rPr>
      <w:rFonts w:ascii="楷体_GB2312" w:eastAsia="楷体_GB2312" w:hAnsiTheme="majorHAnsi" w:cstheme="majorBidi"/>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footer"/>
    <w:basedOn w:val="1"/>
    <w:link w:val="11"/>
    <w:unhideWhenUsed/>
    <w:qFormat/>
    <w:uiPriority w:val="99"/>
    <w:pPr>
      <w:tabs>
        <w:tab w:val="center" w:pos="4153"/>
        <w:tab w:val="right" w:pos="8306"/>
      </w:tabs>
      <w:snapToGrid w:val="0"/>
      <w:spacing w:line="240" w:lineRule="auto"/>
      <w:ind w:firstLine="0" w:firstLineChars="0"/>
      <w:jc w:val="left"/>
    </w:pPr>
    <w:rPr>
      <w:rFonts w:asciiTheme="minorHAnsi" w:eastAsiaTheme="minorEastAsia"/>
      <w:sz w:val="18"/>
      <w:szCs w:val="18"/>
      <w14:ligatures w14:val="standardContextual"/>
    </w:rPr>
  </w:style>
  <w:style w:type="paragraph" w:styleId="6">
    <w:name w:val="header"/>
    <w:basedOn w:val="1"/>
    <w:link w:val="10"/>
    <w:unhideWhenUsed/>
    <w:qFormat/>
    <w:uiPriority w:val="99"/>
    <w:pPr>
      <w:tabs>
        <w:tab w:val="center" w:pos="4153"/>
        <w:tab w:val="right" w:pos="8306"/>
      </w:tabs>
      <w:snapToGrid w:val="0"/>
      <w:spacing w:line="240" w:lineRule="auto"/>
      <w:ind w:firstLine="0" w:firstLineChars="0"/>
      <w:jc w:val="center"/>
    </w:pPr>
    <w:rPr>
      <w:rFonts w:asciiTheme="minorHAnsi" w:eastAsiaTheme="minorEastAsia"/>
      <w:sz w:val="18"/>
      <w:szCs w:val="18"/>
      <w14:ligatures w14:val="standardContextual"/>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4"/>
    <w:qFormat/>
    <w:uiPriority w:val="0"/>
    <w:rPr>
      <w:rFonts w:ascii="楷体_GB2312" w:eastAsia="楷体_GB2312" w:hAnsiTheme="majorHAnsi" w:cstheme="majorBidi"/>
      <w:b/>
      <w:bCs/>
      <w:sz w:val="32"/>
      <w:szCs w:val="32"/>
      <w14:ligatures w14:val="none"/>
    </w:rPr>
  </w:style>
  <w:style w:type="paragraph" w:customStyle="1" w:styleId="13">
    <w:name w:val="章节标题"/>
    <w:basedOn w:val="3"/>
    <w:qFormat/>
    <w:uiPriority w:val="0"/>
    <w:pPr>
      <w:widowControl/>
      <w:suppressAutoHyphens/>
      <w:adjustRightInd w:val="0"/>
      <w:snapToGrid w:val="0"/>
      <w:spacing w:before="0" w:after="0" w:line="560" w:lineRule="exact"/>
      <w:ind w:firstLine="0" w:firstLineChars="0"/>
      <w:jc w:val="center"/>
    </w:pPr>
    <w:rPr>
      <w:rFonts w:ascii="方正小标宋简体" w:hAnsi="仿宋_GB2312" w:eastAsia="方正小标宋简体" w:cs="Times New Roman"/>
      <w:b w:val="0"/>
    </w:rPr>
  </w:style>
  <w:style w:type="character" w:customStyle="1" w:styleId="14">
    <w:name w:val="标题 1 字符"/>
    <w:basedOn w:val="9"/>
    <w:link w:val="3"/>
    <w:qFormat/>
    <w:uiPriority w:val="9"/>
    <w:rPr>
      <w:rFonts w:ascii="仿宋_GB2312" w:eastAsia="仿宋_GB2312"/>
      <w:b/>
      <w:bCs/>
      <w:kern w:val="44"/>
      <w:sz w:val="44"/>
      <w:szCs w:val="4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2889</Words>
  <Characters>2945</Characters>
  <Lines>9</Lines>
  <Paragraphs>2</Paragraphs>
  <TotalTime>32</TotalTime>
  <ScaleCrop>false</ScaleCrop>
  <LinksUpToDate>false</LinksUpToDate>
  <CharactersWithSpaces>2976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2023-11-14T01:37:00Z</dcterms:created>
  <dc:creator>yibaowang2021@163.com</dc:creator>
  <cp:lastModifiedBy>LHT</cp:lastModifiedBy>
  <cp:lastPrinted>2025-05-19T06:22:00Z</cp:lastPrinted>
  <dcterms:modified xsi:type="dcterms:W3CDTF">2025-07-24T02:46:17Z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D87E0B4B25C94328B5068D8A89460518_13</vt:lpwstr>
  </property>
  <property fmtid="{D5CDD505-2E9C-101B-9397-08002B2CF9AE}" pid="4" name="KSOTemplateDocerSaveRecord">
    <vt:lpwstr>eyJoZGlkIjoiOTU1MTBkMTFmNDU3Mzc2MDBmOGJkODk1MmI2M2M3MmYiLCJ1c2VySWQiOiIxNjE3NDI3MDYyIn0=</vt:lpwstr>
  </property>
</Properties>
</file>