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E4434">
      <w:pPr>
        <w:spacing w:after="312" w:afterLines="100" w:line="480" w:lineRule="auto"/>
        <w:jc w:val="center"/>
        <w:rPr>
          <w:b/>
          <w:bCs/>
          <w:sz w:val="36"/>
          <w:szCs w:val="36"/>
        </w:rPr>
      </w:pPr>
    </w:p>
    <w:p w14:paraId="7A404B33">
      <w:pPr>
        <w:spacing w:after="312" w:afterLines="100" w:line="480" w:lineRule="auto"/>
        <w:jc w:val="center"/>
        <w:rPr>
          <w:b/>
          <w:bCs/>
          <w:sz w:val="36"/>
          <w:szCs w:val="36"/>
        </w:rPr>
      </w:pPr>
    </w:p>
    <w:p w14:paraId="0565AF7E">
      <w:pPr>
        <w:spacing w:after="312" w:afterLines="100" w:line="480" w:lineRule="auto"/>
        <w:jc w:val="center"/>
        <w:rPr>
          <w:b/>
          <w:bCs/>
          <w:sz w:val="48"/>
          <w:szCs w:val="48"/>
        </w:rPr>
      </w:pPr>
    </w:p>
    <w:p w14:paraId="40A19BBD">
      <w:pPr>
        <w:spacing w:after="312" w:afterLines="100" w:line="480" w:lineRule="auto"/>
        <w:jc w:val="center"/>
        <w:rPr>
          <w:b/>
          <w:bCs/>
          <w:sz w:val="48"/>
          <w:szCs w:val="48"/>
        </w:rPr>
      </w:pPr>
      <w:r>
        <w:rPr>
          <w:b/>
          <w:bCs/>
          <w:sz w:val="48"/>
          <w:szCs w:val="48"/>
        </w:rPr>
        <w:t>《</w:t>
      </w:r>
      <w:r>
        <w:rPr>
          <w:rFonts w:hint="eastAsia"/>
          <w:b/>
          <w:bCs/>
          <w:sz w:val="48"/>
          <w:szCs w:val="48"/>
        </w:rPr>
        <w:t>红花质量分级</w:t>
      </w:r>
      <w:r>
        <w:rPr>
          <w:b/>
          <w:bCs/>
          <w:sz w:val="48"/>
          <w:szCs w:val="48"/>
        </w:rPr>
        <w:t>》</w:t>
      </w:r>
    </w:p>
    <w:p w14:paraId="3DC3AE7F">
      <w:pPr>
        <w:spacing w:after="312" w:afterLines="100" w:line="480" w:lineRule="auto"/>
        <w:jc w:val="center"/>
        <w:rPr>
          <w:b/>
          <w:bCs/>
          <w:sz w:val="36"/>
          <w:szCs w:val="36"/>
        </w:rPr>
      </w:pPr>
      <w:r>
        <w:rPr>
          <w:b/>
          <w:bCs/>
          <w:sz w:val="36"/>
          <w:szCs w:val="36"/>
        </w:rPr>
        <w:t>编制说明</w:t>
      </w:r>
    </w:p>
    <w:p w14:paraId="67B442AA">
      <w:pPr>
        <w:spacing w:after="312" w:afterLines="100" w:line="480" w:lineRule="auto"/>
        <w:jc w:val="center"/>
        <w:rPr>
          <w:b/>
          <w:bCs/>
          <w:sz w:val="36"/>
          <w:szCs w:val="36"/>
        </w:rPr>
      </w:pPr>
      <w:r>
        <w:rPr>
          <w:b/>
          <w:bCs/>
          <w:sz w:val="36"/>
          <w:szCs w:val="36"/>
        </w:rPr>
        <w:t>（</w:t>
      </w:r>
      <w:r>
        <w:rPr>
          <w:rFonts w:hint="eastAsia"/>
          <w:b/>
          <w:bCs/>
          <w:sz w:val="36"/>
          <w:szCs w:val="36"/>
          <w:lang w:val="en-US" w:eastAsia="zh-CN"/>
        </w:rPr>
        <w:t>标准复审修改征求意见稿</w:t>
      </w:r>
      <w:bookmarkStart w:id="34" w:name="_GoBack"/>
      <w:bookmarkEnd w:id="34"/>
      <w:r>
        <w:rPr>
          <w:b/>
          <w:bCs/>
          <w:sz w:val="36"/>
          <w:szCs w:val="36"/>
        </w:rPr>
        <w:t>）</w:t>
      </w:r>
    </w:p>
    <w:p w14:paraId="364EF4F9">
      <w:pPr>
        <w:spacing w:after="312" w:afterLines="100" w:line="520" w:lineRule="exact"/>
        <w:jc w:val="center"/>
        <w:rPr>
          <w:b/>
          <w:bCs/>
          <w:sz w:val="28"/>
          <w:szCs w:val="28"/>
        </w:rPr>
      </w:pPr>
    </w:p>
    <w:p w14:paraId="7D2318E5">
      <w:pPr>
        <w:spacing w:after="312" w:afterLines="100" w:line="520" w:lineRule="exact"/>
        <w:jc w:val="center"/>
        <w:rPr>
          <w:b/>
          <w:bCs/>
          <w:sz w:val="28"/>
          <w:szCs w:val="28"/>
        </w:rPr>
      </w:pPr>
    </w:p>
    <w:p w14:paraId="33A3F4BE">
      <w:pPr>
        <w:spacing w:after="312" w:afterLines="100" w:line="520" w:lineRule="exact"/>
        <w:jc w:val="center"/>
        <w:rPr>
          <w:b/>
          <w:bCs/>
          <w:sz w:val="28"/>
          <w:szCs w:val="28"/>
        </w:rPr>
      </w:pPr>
    </w:p>
    <w:p w14:paraId="2D983AB0">
      <w:pPr>
        <w:spacing w:after="312" w:afterLines="100" w:line="520" w:lineRule="exact"/>
        <w:jc w:val="center"/>
        <w:rPr>
          <w:b/>
          <w:bCs/>
          <w:sz w:val="28"/>
          <w:szCs w:val="28"/>
        </w:rPr>
      </w:pPr>
    </w:p>
    <w:p w14:paraId="0CA3023E">
      <w:pPr>
        <w:spacing w:after="312" w:afterLines="100" w:line="520" w:lineRule="exact"/>
        <w:jc w:val="center"/>
        <w:rPr>
          <w:b/>
          <w:bCs/>
          <w:sz w:val="28"/>
          <w:szCs w:val="28"/>
        </w:rPr>
      </w:pPr>
    </w:p>
    <w:p w14:paraId="2E127D6C">
      <w:pPr>
        <w:spacing w:after="312" w:afterLines="100" w:line="520" w:lineRule="exact"/>
        <w:jc w:val="center"/>
        <w:rPr>
          <w:b/>
          <w:bCs/>
          <w:sz w:val="28"/>
          <w:szCs w:val="28"/>
        </w:rPr>
      </w:pPr>
    </w:p>
    <w:p w14:paraId="570528DD">
      <w:pPr>
        <w:spacing w:after="312" w:afterLines="100" w:line="520" w:lineRule="exact"/>
        <w:jc w:val="center"/>
        <w:rPr>
          <w:b/>
          <w:bCs/>
          <w:sz w:val="28"/>
          <w:szCs w:val="28"/>
        </w:rPr>
      </w:pPr>
    </w:p>
    <w:p w14:paraId="4250EBBC">
      <w:pPr>
        <w:spacing w:after="312" w:afterLines="100" w:line="520" w:lineRule="exact"/>
        <w:jc w:val="center"/>
        <w:rPr>
          <w:b/>
          <w:bCs/>
          <w:sz w:val="28"/>
          <w:szCs w:val="28"/>
        </w:rPr>
      </w:pPr>
    </w:p>
    <w:p w14:paraId="31C9D223">
      <w:pPr>
        <w:spacing w:after="312" w:afterLines="100" w:line="520" w:lineRule="exact"/>
        <w:jc w:val="center"/>
        <w:rPr>
          <w:b/>
          <w:bCs/>
          <w:sz w:val="28"/>
          <w:szCs w:val="28"/>
        </w:rPr>
      </w:pPr>
    </w:p>
    <w:sdt>
      <w:sdtPr>
        <w:rPr>
          <w:rFonts w:ascii="宋体" w:hAnsi="宋体" w:eastAsia="宋体" w:cs="Times New Roman"/>
          <w:color w:val="auto"/>
          <w:kern w:val="2"/>
          <w:sz w:val="21"/>
          <w:szCs w:val="24"/>
          <w:lang w:eastAsia="zh-CN"/>
        </w:rPr>
        <w:id w:val="-47607777"/>
        <w:docPartObj>
          <w:docPartGallery w:val="Table of Contents"/>
          <w:docPartUnique/>
        </w:docPartObj>
      </w:sdtPr>
      <w:sdtEndPr>
        <w:rPr>
          <w:rFonts w:ascii="Times New Roman" w:hAnsi="Times New Roman" w:eastAsia="宋体" w:cs="Times New Roman"/>
          <w:b/>
          <w:bCs/>
          <w:color w:val="auto"/>
          <w:kern w:val="2"/>
          <w:sz w:val="21"/>
          <w:szCs w:val="24"/>
          <w:lang w:eastAsia="zh-CN"/>
        </w:rPr>
      </w:sdtEndPr>
      <w:sdtContent>
        <w:p w14:paraId="323FFAE5">
          <w:pPr>
            <w:pStyle w:val="35"/>
            <w:jc w:val="center"/>
            <w:rPr>
              <w:rFonts w:ascii="宋体" w:hAnsi="宋体" w:eastAsia="宋体" w:cs="Times New Roman"/>
              <w:color w:val="auto"/>
            </w:rPr>
          </w:pPr>
          <w:r>
            <w:rPr>
              <w:rFonts w:ascii="宋体" w:hAnsi="宋体" w:eastAsia="宋体" w:cs="Times New Roman"/>
              <w:color w:val="auto"/>
              <w:lang w:eastAsia="zh-CN"/>
            </w:rPr>
            <w:t>目</w:t>
          </w:r>
          <w:r>
            <w:rPr>
              <w:rFonts w:hint="eastAsia" w:ascii="宋体" w:hAnsi="宋体" w:eastAsia="宋体" w:cs="Times New Roman"/>
              <w:color w:val="auto"/>
              <w:lang w:eastAsia="zh-CN"/>
            </w:rPr>
            <w:t xml:space="preserve"> </w:t>
          </w:r>
          <w:r>
            <w:rPr>
              <w:rFonts w:ascii="宋体" w:hAnsi="宋体" w:eastAsia="宋体" w:cs="Times New Roman"/>
              <w:color w:val="auto"/>
              <w:lang w:eastAsia="zh-CN"/>
            </w:rPr>
            <w:t xml:space="preserve"> 录</w:t>
          </w:r>
        </w:p>
        <w:p w14:paraId="74D0ADA7">
          <w:pPr>
            <w:pStyle w:val="12"/>
            <w:tabs>
              <w:tab w:val="right" w:leader="dot" w:pos="8720"/>
            </w:tabs>
            <w:rPr>
              <w:rFonts w:asciiTheme="minorHAnsi" w:hAnsiTheme="minorHAnsi" w:eastAsiaTheme="minorEastAsia" w:cstheme="minorBidi"/>
              <w:szCs w:val="22"/>
            </w:rPr>
          </w:pPr>
          <w:r>
            <w:rPr>
              <w:rFonts w:ascii="宋体" w:hAnsi="宋体"/>
            </w:rPr>
            <w:fldChar w:fldCharType="begin"/>
          </w:r>
          <w:r>
            <w:rPr>
              <w:rFonts w:ascii="宋体" w:hAnsi="宋体"/>
            </w:rPr>
            <w:instrText xml:space="preserve"> TOC \o "1-3" \h \z \u </w:instrText>
          </w:r>
          <w:r>
            <w:rPr>
              <w:rFonts w:ascii="宋体" w:hAnsi="宋体"/>
            </w:rPr>
            <w:fldChar w:fldCharType="separate"/>
          </w:r>
          <w:r>
            <w:fldChar w:fldCharType="begin"/>
          </w:r>
          <w:r>
            <w:instrText xml:space="preserve"> HYPERLINK \l "_Toc117955397" </w:instrText>
          </w:r>
          <w:r>
            <w:fldChar w:fldCharType="separate"/>
          </w:r>
          <w:r>
            <w:rPr>
              <w:rStyle w:val="17"/>
              <w:rFonts w:hint="eastAsia"/>
              <w:bCs/>
            </w:rPr>
            <w:t>一、工作简况</w:t>
          </w:r>
          <w:r>
            <w:tab/>
          </w:r>
          <w:r>
            <w:fldChar w:fldCharType="begin"/>
          </w:r>
          <w:r>
            <w:instrText xml:space="preserve"> PAGEREF _Toc117955397 \h </w:instrText>
          </w:r>
          <w:r>
            <w:fldChar w:fldCharType="separate"/>
          </w:r>
          <w:r>
            <w:t>3</w:t>
          </w:r>
          <w:r>
            <w:fldChar w:fldCharType="end"/>
          </w:r>
          <w:r>
            <w:fldChar w:fldCharType="end"/>
          </w:r>
        </w:p>
        <w:p w14:paraId="6C9546F8">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"_Toc117955398" </w:instrText>
          </w:r>
          <w:r>
            <w:fldChar w:fldCharType="separate"/>
          </w:r>
          <w:r>
            <w:rPr>
              <w:rStyle w:val="17"/>
              <w:bCs/>
            </w:rPr>
            <w:t xml:space="preserve">1. </w:t>
          </w:r>
          <w:r>
            <w:rPr>
              <w:rStyle w:val="17"/>
              <w:rFonts w:hint="eastAsia"/>
              <w:bCs/>
            </w:rPr>
            <w:t>任务来源</w:t>
          </w:r>
          <w:r>
            <w:tab/>
          </w:r>
          <w:r>
            <w:fldChar w:fldCharType="begin"/>
          </w:r>
          <w:r>
            <w:instrText xml:space="preserve"> PAGEREF _Toc117955398 \h </w:instrText>
          </w:r>
          <w:r>
            <w:fldChar w:fldCharType="separate"/>
          </w:r>
          <w:r>
            <w:t>3</w:t>
          </w:r>
          <w:r>
            <w:fldChar w:fldCharType="end"/>
          </w:r>
          <w:r>
            <w:fldChar w:fldCharType="end"/>
          </w:r>
        </w:p>
        <w:p w14:paraId="01DEE627">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"_Toc117955399" </w:instrText>
          </w:r>
          <w:r>
            <w:fldChar w:fldCharType="separate"/>
          </w:r>
          <w:r>
            <w:rPr>
              <w:rStyle w:val="17"/>
              <w:bCs/>
            </w:rPr>
            <w:t xml:space="preserve">2. </w:t>
          </w:r>
          <w:r>
            <w:rPr>
              <w:rStyle w:val="17"/>
              <w:rFonts w:hint="eastAsia"/>
              <w:bCs/>
            </w:rPr>
            <w:t>主要工作过程</w:t>
          </w:r>
          <w:r>
            <w:tab/>
          </w:r>
          <w:r>
            <w:fldChar w:fldCharType="begin"/>
          </w:r>
          <w:r>
            <w:instrText xml:space="preserve"> PAGEREF _Toc117955399 \h </w:instrText>
          </w:r>
          <w:r>
            <w:fldChar w:fldCharType="separate"/>
          </w:r>
          <w:r>
            <w:t>3</w:t>
          </w:r>
          <w:r>
            <w:fldChar w:fldCharType="end"/>
          </w:r>
          <w:r>
            <w:fldChar w:fldCharType="end"/>
          </w:r>
        </w:p>
        <w:p w14:paraId="23136473">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"_Toc117955400" </w:instrText>
          </w:r>
          <w:r>
            <w:fldChar w:fldCharType="separate"/>
          </w:r>
          <w:r>
            <w:rPr>
              <w:rStyle w:val="17"/>
              <w:bCs/>
            </w:rPr>
            <w:t xml:space="preserve">3. </w:t>
          </w:r>
          <w:r>
            <w:rPr>
              <w:rStyle w:val="17"/>
              <w:rFonts w:hint="eastAsia"/>
              <w:bCs/>
            </w:rPr>
            <w:t>主要参加单位和工作组成员及其所做的工作</w:t>
          </w:r>
          <w:r>
            <w:tab/>
          </w:r>
          <w:r>
            <w:fldChar w:fldCharType="begin"/>
          </w:r>
          <w:r>
            <w:instrText xml:space="preserve"> PAGEREF _Toc117955400 \h </w:instrText>
          </w:r>
          <w:r>
            <w:fldChar w:fldCharType="separate"/>
          </w:r>
          <w:r>
            <w:t>5</w:t>
          </w:r>
          <w:r>
            <w:fldChar w:fldCharType="end"/>
          </w:r>
          <w:r>
            <w:fldChar w:fldCharType="end"/>
          </w:r>
        </w:p>
        <w:p w14:paraId="107DA6C1">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"_Toc117955401" </w:instrText>
          </w:r>
          <w:r>
            <w:fldChar w:fldCharType="separate"/>
          </w:r>
          <w:r>
            <w:rPr>
              <w:rStyle w:val="17"/>
              <w:rFonts w:hint="eastAsia"/>
              <w:bCs/>
            </w:rPr>
            <w:t>二、质量分级的必要性和意义</w:t>
          </w:r>
          <w:r>
            <w:tab/>
          </w:r>
          <w:r>
            <w:fldChar w:fldCharType="begin"/>
          </w:r>
          <w:r>
            <w:instrText xml:space="preserve"> PAGEREF _Toc117955401 \h </w:instrText>
          </w:r>
          <w:r>
            <w:fldChar w:fldCharType="separate"/>
          </w:r>
          <w:r>
            <w:t>5</w:t>
          </w:r>
          <w:r>
            <w:fldChar w:fldCharType="end"/>
          </w:r>
          <w:r>
            <w:fldChar w:fldCharType="end"/>
          </w:r>
        </w:p>
        <w:p w14:paraId="3C4529C7">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"_Toc117955402" </w:instrText>
          </w:r>
          <w:r>
            <w:fldChar w:fldCharType="separate"/>
          </w:r>
          <w:r>
            <w:rPr>
              <w:rStyle w:val="17"/>
              <w:rFonts w:hint="eastAsia"/>
              <w:bCs/>
            </w:rPr>
            <w:t>三、标准编制原则和主要内容</w:t>
          </w:r>
          <w:r>
            <w:tab/>
          </w:r>
          <w:r>
            <w:fldChar w:fldCharType="begin"/>
          </w:r>
          <w:r>
            <w:instrText xml:space="preserve"> PAGEREF _Toc117955402 \h </w:instrText>
          </w:r>
          <w:r>
            <w:fldChar w:fldCharType="separate"/>
          </w:r>
          <w:r>
            <w:t>6</w:t>
          </w:r>
          <w:r>
            <w:fldChar w:fldCharType="end"/>
          </w:r>
          <w:r>
            <w:fldChar w:fldCharType="end"/>
          </w:r>
        </w:p>
        <w:p w14:paraId="158A05E5">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"_Toc117955403" </w:instrText>
          </w:r>
          <w:r>
            <w:fldChar w:fldCharType="separate"/>
          </w:r>
          <w:r>
            <w:rPr>
              <w:rStyle w:val="17"/>
              <w:bCs/>
            </w:rPr>
            <w:t xml:space="preserve">1. </w:t>
          </w:r>
          <w:r>
            <w:rPr>
              <w:rStyle w:val="17"/>
              <w:rFonts w:hint="eastAsia"/>
              <w:bCs/>
            </w:rPr>
            <w:t>编制原则</w:t>
          </w:r>
          <w:r>
            <w:tab/>
          </w:r>
          <w:r>
            <w:fldChar w:fldCharType="begin"/>
          </w:r>
          <w:r>
            <w:instrText xml:space="preserve"> PAGEREF _Toc117955403 \h </w:instrText>
          </w:r>
          <w:r>
            <w:fldChar w:fldCharType="separate"/>
          </w:r>
          <w:r>
            <w:t>6</w:t>
          </w:r>
          <w:r>
            <w:fldChar w:fldCharType="end"/>
          </w:r>
          <w:r>
            <w:fldChar w:fldCharType="end"/>
          </w:r>
        </w:p>
        <w:p w14:paraId="71AA5D3C">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"_Toc117955404" </w:instrText>
          </w:r>
          <w:r>
            <w:fldChar w:fldCharType="separate"/>
          </w:r>
          <w:r>
            <w:rPr>
              <w:rStyle w:val="17"/>
              <w:bCs/>
            </w:rPr>
            <w:t xml:space="preserve">2. </w:t>
          </w:r>
          <w:r>
            <w:rPr>
              <w:rStyle w:val="17"/>
              <w:rFonts w:hint="eastAsia"/>
              <w:bCs/>
            </w:rPr>
            <w:t>主要内容</w:t>
          </w:r>
          <w:r>
            <w:tab/>
          </w:r>
          <w:r>
            <w:fldChar w:fldCharType="begin"/>
          </w:r>
          <w:r>
            <w:instrText xml:space="preserve"> PAGEREF _Toc117955404 \h </w:instrText>
          </w:r>
          <w:r>
            <w:fldChar w:fldCharType="separate"/>
          </w:r>
          <w:r>
            <w:t>6</w:t>
          </w:r>
          <w:r>
            <w:fldChar w:fldCharType="end"/>
          </w:r>
          <w:r>
            <w:fldChar w:fldCharType="end"/>
          </w:r>
        </w:p>
        <w:p w14:paraId="4EFA0911">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"_Toc117955405" </w:instrText>
          </w:r>
          <w:r>
            <w:fldChar w:fldCharType="separate"/>
          </w:r>
          <w:r>
            <w:rPr>
              <w:rStyle w:val="17"/>
              <w:rFonts w:hint="eastAsia"/>
              <w:bCs/>
            </w:rPr>
            <w:t>四、主要试验内容</w:t>
          </w:r>
          <w:r>
            <w:tab/>
          </w:r>
          <w:r>
            <w:fldChar w:fldCharType="begin"/>
          </w:r>
          <w:r>
            <w:instrText xml:space="preserve"> PAGEREF _Toc117955405 \h </w:instrText>
          </w:r>
          <w:r>
            <w:fldChar w:fldCharType="separate"/>
          </w:r>
          <w:r>
            <w:t>6</w:t>
          </w:r>
          <w:r>
            <w:fldChar w:fldCharType="end"/>
          </w:r>
          <w:r>
            <w:fldChar w:fldCharType="end"/>
          </w:r>
        </w:p>
        <w:p w14:paraId="1FA0617E">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"_Toc117955406" </w:instrText>
          </w:r>
          <w:r>
            <w:fldChar w:fldCharType="separate"/>
          </w:r>
          <w:r>
            <w:rPr>
              <w:rStyle w:val="17"/>
              <w:rFonts w:hint="eastAsia"/>
              <w:bCs/>
            </w:rPr>
            <w:t>五、标准中涉及到的专利和知识产权的说明</w:t>
          </w:r>
          <w:r>
            <w:tab/>
          </w:r>
          <w:r>
            <w:fldChar w:fldCharType="begin"/>
          </w:r>
          <w:r>
            <w:instrText xml:space="preserve"> PAGEREF _Toc117955406 \h </w:instrText>
          </w:r>
          <w:r>
            <w:fldChar w:fldCharType="separate"/>
          </w:r>
          <w:r>
            <w:t>10</w:t>
          </w:r>
          <w:r>
            <w:fldChar w:fldCharType="end"/>
          </w:r>
          <w:r>
            <w:fldChar w:fldCharType="end"/>
          </w:r>
        </w:p>
        <w:p w14:paraId="7409D59C">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"_Toc117955407" </w:instrText>
          </w:r>
          <w:r>
            <w:fldChar w:fldCharType="separate"/>
          </w:r>
          <w:r>
            <w:rPr>
              <w:rStyle w:val="17"/>
              <w:rFonts w:hint="eastAsia"/>
              <w:bCs/>
            </w:rPr>
            <w:t>六、产业化情况和推广应用论证</w:t>
          </w:r>
          <w:r>
            <w:tab/>
          </w:r>
          <w:r>
            <w:fldChar w:fldCharType="begin"/>
          </w:r>
          <w:r>
            <w:instrText xml:space="preserve"> PAGEREF _Toc117955407 \h </w:instrText>
          </w:r>
          <w:r>
            <w:fldChar w:fldCharType="separate"/>
          </w:r>
          <w:r>
            <w:t>10</w:t>
          </w:r>
          <w:r>
            <w:fldChar w:fldCharType="end"/>
          </w:r>
          <w:r>
            <w:fldChar w:fldCharType="end"/>
          </w:r>
        </w:p>
        <w:p w14:paraId="229436B5">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"_Toc117955408" </w:instrText>
          </w:r>
          <w:r>
            <w:fldChar w:fldCharType="separate"/>
          </w:r>
          <w:r>
            <w:rPr>
              <w:rStyle w:val="17"/>
              <w:rFonts w:hint="eastAsia"/>
              <w:bCs/>
            </w:rPr>
            <w:t>七、与国际、国外对比情况</w:t>
          </w:r>
          <w:r>
            <w:tab/>
          </w:r>
          <w:r>
            <w:fldChar w:fldCharType="begin"/>
          </w:r>
          <w:r>
            <w:instrText xml:space="preserve"> PAGEREF _Toc117955408 \h </w:instrText>
          </w:r>
          <w:r>
            <w:fldChar w:fldCharType="separate"/>
          </w:r>
          <w:r>
            <w:t>11</w:t>
          </w:r>
          <w:r>
            <w:fldChar w:fldCharType="end"/>
          </w:r>
          <w:r>
            <w:fldChar w:fldCharType="end"/>
          </w:r>
        </w:p>
        <w:p w14:paraId="68E57E57">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"_Toc117955409" </w:instrText>
          </w:r>
          <w:r>
            <w:fldChar w:fldCharType="separate"/>
          </w:r>
          <w:r>
            <w:rPr>
              <w:rStyle w:val="17"/>
              <w:rFonts w:hint="eastAsia"/>
              <w:bCs/>
            </w:rPr>
            <w:t>八、与现行相关法律、法规、规章及相关标准，特别是强制性标准的协调性</w:t>
          </w:r>
          <w:r>
            <w:tab/>
          </w:r>
          <w:r>
            <w:fldChar w:fldCharType="begin"/>
          </w:r>
          <w:r>
            <w:instrText xml:space="preserve"> PAGEREF _Toc117955409 \h </w:instrText>
          </w:r>
          <w:r>
            <w:fldChar w:fldCharType="separate"/>
          </w:r>
          <w:r>
            <w:t>12</w:t>
          </w:r>
          <w:r>
            <w:fldChar w:fldCharType="end"/>
          </w:r>
          <w:r>
            <w:fldChar w:fldCharType="end"/>
          </w:r>
        </w:p>
        <w:p w14:paraId="6DD1AA12">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"_Toc117955410" </w:instrText>
          </w:r>
          <w:r>
            <w:fldChar w:fldCharType="separate"/>
          </w:r>
          <w:r>
            <w:rPr>
              <w:rStyle w:val="17"/>
              <w:rFonts w:hint="eastAsia"/>
              <w:bCs/>
            </w:rPr>
            <w:t>九、重大意见分歧的处理经过和依据</w:t>
          </w:r>
          <w:r>
            <w:tab/>
          </w:r>
          <w:r>
            <w:fldChar w:fldCharType="begin"/>
          </w:r>
          <w:r>
            <w:instrText xml:space="preserve"> PAGEREF _Toc117955410 \h </w:instrText>
          </w:r>
          <w:r>
            <w:fldChar w:fldCharType="separate"/>
          </w:r>
          <w:r>
            <w:t>12</w:t>
          </w:r>
          <w:r>
            <w:fldChar w:fldCharType="end"/>
          </w:r>
          <w:r>
            <w:fldChar w:fldCharType="end"/>
          </w:r>
        </w:p>
        <w:p w14:paraId="73965697">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"_Toc117955411" </w:instrText>
          </w:r>
          <w:r>
            <w:fldChar w:fldCharType="separate"/>
          </w:r>
          <w:r>
            <w:rPr>
              <w:rStyle w:val="17"/>
              <w:rFonts w:hint="eastAsia"/>
              <w:bCs/>
            </w:rPr>
            <w:t>十、贯彻标准的要求和措施建议</w:t>
          </w:r>
          <w:r>
            <w:tab/>
          </w:r>
          <w:r>
            <w:fldChar w:fldCharType="begin"/>
          </w:r>
          <w:r>
            <w:instrText xml:space="preserve"> PAGEREF _Toc117955411 \h </w:instrText>
          </w:r>
          <w:r>
            <w:fldChar w:fldCharType="separate"/>
          </w:r>
          <w:r>
            <w:t>12</w:t>
          </w:r>
          <w:r>
            <w:fldChar w:fldCharType="end"/>
          </w:r>
          <w:r>
            <w:fldChar w:fldCharType="end"/>
          </w:r>
        </w:p>
        <w:p w14:paraId="023807F9">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"_Toc117955412" </w:instrText>
          </w:r>
          <w:r>
            <w:fldChar w:fldCharType="separate"/>
          </w:r>
          <w:r>
            <w:rPr>
              <w:rStyle w:val="17"/>
              <w:rFonts w:hint="eastAsia"/>
              <w:bCs/>
            </w:rPr>
            <w:t>十一、废止现行相关标准的建议</w:t>
          </w:r>
          <w:r>
            <w:tab/>
          </w:r>
          <w:r>
            <w:fldChar w:fldCharType="begin"/>
          </w:r>
          <w:r>
            <w:instrText xml:space="preserve"> PAGEREF _Toc117955412 \h </w:instrText>
          </w:r>
          <w:r>
            <w:fldChar w:fldCharType="separate"/>
          </w:r>
          <w:r>
            <w:t>12</w:t>
          </w:r>
          <w:r>
            <w:fldChar w:fldCharType="end"/>
          </w:r>
          <w:r>
            <w:fldChar w:fldCharType="end"/>
          </w:r>
        </w:p>
        <w:p w14:paraId="1A268FF7">
          <w:pPr>
            <w:pStyle w:val="12"/>
            <w:tabs>
              <w:tab w:val="right" w:leader="dot" w:pos="8720"/>
            </w:tabs>
            <w:rPr>
              <w:rFonts w:asciiTheme="minorHAnsi" w:hAnsiTheme="minorHAnsi" w:eastAsiaTheme="minorEastAsia" w:cstheme="minorBidi"/>
              <w:szCs w:val="22"/>
            </w:rPr>
          </w:pPr>
          <w:r>
            <w:fldChar w:fldCharType="begin"/>
          </w:r>
          <w:r>
            <w:instrText xml:space="preserve"> HYPERLINK \l "_Toc117955413" </w:instrText>
          </w:r>
          <w:r>
            <w:fldChar w:fldCharType="separate"/>
          </w:r>
          <w:r>
            <w:rPr>
              <w:rStyle w:val="17"/>
              <w:rFonts w:hint="eastAsia"/>
              <w:bCs/>
            </w:rPr>
            <w:t>十二、其他应予说明的事项</w:t>
          </w:r>
          <w:r>
            <w:tab/>
          </w:r>
          <w:r>
            <w:fldChar w:fldCharType="begin"/>
          </w:r>
          <w:r>
            <w:instrText xml:space="preserve"> PAGEREF _Toc117955413 \h </w:instrText>
          </w:r>
          <w:r>
            <w:fldChar w:fldCharType="separate"/>
          </w:r>
          <w:r>
            <w:t>12</w:t>
          </w:r>
          <w:r>
            <w:fldChar w:fldCharType="end"/>
          </w:r>
          <w:r>
            <w:fldChar w:fldCharType="end"/>
          </w:r>
        </w:p>
        <w:p w14:paraId="670A8CD3">
          <w:r>
            <w:rPr>
              <w:rFonts w:ascii="宋体" w:hAnsi="宋体"/>
              <w:b/>
              <w:bCs/>
            </w:rPr>
            <w:fldChar w:fldCharType="end"/>
          </w:r>
        </w:p>
      </w:sdtContent>
    </w:sdt>
    <w:p w14:paraId="10416FE1">
      <w:pPr>
        <w:widowControl/>
        <w:jc w:val="left"/>
        <w:rPr>
          <w:b/>
          <w:bCs/>
          <w:sz w:val="28"/>
          <w:szCs w:val="28"/>
        </w:rPr>
      </w:pPr>
      <w:r>
        <w:rPr>
          <w:b/>
          <w:bCs/>
          <w:sz w:val="28"/>
          <w:szCs w:val="28"/>
        </w:rPr>
        <w:br w:type="page"/>
      </w:r>
    </w:p>
    <w:p w14:paraId="187F8D6D">
      <w:pPr>
        <w:pStyle w:val="26"/>
        <w:spacing w:line="360" w:lineRule="auto"/>
        <w:ind w:firstLine="0" w:firstLineChars="0"/>
        <w:outlineLvl w:val="0"/>
        <w:rPr>
          <w:rFonts w:ascii="Times New Roman"/>
          <w:b/>
          <w:bCs/>
          <w:kern w:val="2"/>
          <w:szCs w:val="21"/>
        </w:rPr>
      </w:pPr>
      <w:bookmarkStart w:id="0" w:name="_Toc117955397"/>
      <w:bookmarkStart w:id="1" w:name="_Toc117950054"/>
      <w:r>
        <w:rPr>
          <w:rFonts w:ascii="Times New Roman"/>
          <w:b/>
          <w:bCs/>
          <w:kern w:val="2"/>
          <w:szCs w:val="21"/>
        </w:rPr>
        <w:t>一、工作简况</w:t>
      </w:r>
      <w:bookmarkEnd w:id="0"/>
      <w:bookmarkEnd w:id="1"/>
    </w:p>
    <w:p w14:paraId="5A4D515C">
      <w:pPr>
        <w:pStyle w:val="26"/>
        <w:spacing w:line="360" w:lineRule="auto"/>
        <w:ind w:firstLine="0" w:firstLineChars="0"/>
        <w:outlineLvl w:val="0"/>
        <w:rPr>
          <w:rFonts w:ascii="Times New Roman"/>
          <w:b/>
          <w:bCs/>
          <w:kern w:val="2"/>
          <w:szCs w:val="21"/>
        </w:rPr>
      </w:pPr>
      <w:bookmarkStart w:id="2" w:name="_Toc117950055"/>
      <w:bookmarkStart w:id="3" w:name="_Toc117955398"/>
      <w:r>
        <w:rPr>
          <w:rFonts w:ascii="Times New Roman"/>
          <w:b/>
          <w:bCs/>
          <w:kern w:val="2"/>
          <w:szCs w:val="21"/>
        </w:rPr>
        <w:t>1. 任务来源</w:t>
      </w:r>
      <w:bookmarkEnd w:id="2"/>
      <w:bookmarkEnd w:id="3"/>
    </w:p>
    <w:p w14:paraId="1869B968">
      <w:pPr>
        <w:pStyle w:val="5"/>
        <w:spacing w:before="160" w:line="364" w:lineRule="auto"/>
        <w:ind w:right="345" w:firstLine="424"/>
        <w:rPr>
          <w:szCs w:val="21"/>
        </w:rPr>
      </w:pPr>
      <w:r>
        <w:rPr>
          <w:szCs w:val="21"/>
        </w:rPr>
        <w:t>本文件由中国出入境检验检疫协会</w:t>
      </w:r>
      <w:r>
        <w:rPr>
          <w:rFonts w:hint="eastAsia"/>
          <w:szCs w:val="21"/>
          <w:lang w:val="en-US" w:eastAsia="zh-CN"/>
        </w:rPr>
        <w:t>进出口中药材标准化技术委员会（CIO/TC14）</w:t>
      </w:r>
      <w:r>
        <w:rPr>
          <w:szCs w:val="21"/>
        </w:rPr>
        <w:t>提出并归口，</w:t>
      </w:r>
      <w:r>
        <w:t>中国中医科学院中药研究所</w:t>
      </w:r>
      <w:r>
        <w:rPr>
          <w:szCs w:val="21"/>
        </w:rPr>
        <w:t>作为本文件组织协调单位。根据中国出入境检验检疫协会</w:t>
      </w:r>
      <w:r>
        <w:rPr>
          <w:rFonts w:hint="eastAsia"/>
          <w:szCs w:val="21"/>
          <w:lang w:val="en-US" w:eastAsia="zh-CN"/>
        </w:rPr>
        <w:t>关于《红花质量分级》团体标准立项的批复（P/QIQA-112-2022)</w:t>
      </w:r>
      <w:r>
        <w:rPr>
          <w:szCs w:val="21"/>
        </w:rPr>
        <w:t>，由</w:t>
      </w:r>
      <w:r>
        <w:t>悦康药业集团股份有限公司、中国中医科学院中药研究所、北京明阳华夏科技有限公司</w:t>
      </w:r>
      <w:r>
        <w:rPr>
          <w:szCs w:val="21"/>
        </w:rPr>
        <w:t>计划于2022年底前完成该标准的制定工作。</w:t>
      </w:r>
    </w:p>
    <w:p w14:paraId="50699186">
      <w:pPr>
        <w:pStyle w:val="26"/>
        <w:spacing w:line="360" w:lineRule="auto"/>
        <w:ind w:firstLine="0" w:firstLineChars="0"/>
        <w:outlineLvl w:val="0"/>
        <w:rPr>
          <w:rFonts w:ascii="Times New Roman"/>
          <w:b/>
          <w:bCs/>
          <w:kern w:val="2"/>
          <w:szCs w:val="21"/>
        </w:rPr>
      </w:pPr>
      <w:bookmarkStart w:id="4" w:name="_Toc117955399"/>
      <w:bookmarkStart w:id="5" w:name="_Toc117950056"/>
      <w:r>
        <w:rPr>
          <w:rFonts w:ascii="Times New Roman"/>
          <w:b/>
          <w:bCs/>
          <w:kern w:val="2"/>
          <w:szCs w:val="21"/>
        </w:rPr>
        <w:t>2. 主要工作过程</w:t>
      </w:r>
      <w:bookmarkEnd w:id="4"/>
      <w:bookmarkEnd w:id="5"/>
    </w:p>
    <w:p w14:paraId="1256989B">
      <w:pPr>
        <w:spacing w:line="360" w:lineRule="auto"/>
        <w:ind w:firstLine="420" w:firstLineChars="200"/>
      </w:pPr>
      <w:r>
        <w:rPr>
          <w:rFonts w:hint="eastAsia"/>
        </w:rPr>
        <w:t>（1）标准</w:t>
      </w:r>
      <w:r>
        <w:rPr>
          <w:rFonts w:hint="eastAsia"/>
          <w:lang w:val="en-US" w:eastAsia="zh-CN"/>
        </w:rPr>
        <w:t>起草</w:t>
      </w:r>
      <w:r>
        <w:rPr>
          <w:rFonts w:hint="eastAsia"/>
        </w:rPr>
        <w:t>阶段</w:t>
      </w:r>
    </w:p>
    <w:p w14:paraId="11137B5F">
      <w:pPr>
        <w:spacing w:line="360" w:lineRule="auto"/>
        <w:ind w:firstLine="420" w:firstLineChars="200"/>
      </w:pPr>
      <w:r>
        <w:rPr>
          <w:rFonts w:hint="eastAsia"/>
        </w:rPr>
        <w:t>a 成立标准起草小组</w:t>
      </w:r>
    </w:p>
    <w:p w14:paraId="6616E5D7">
      <w:pPr>
        <w:spacing w:line="360" w:lineRule="auto"/>
        <w:ind w:firstLine="420" w:firstLineChars="200"/>
      </w:pPr>
      <w:r>
        <w:rPr>
          <w:rFonts w:hint="eastAsia"/>
        </w:rPr>
        <w:t>202</w:t>
      </w:r>
      <w:r>
        <w:t>2</w:t>
      </w:r>
      <w:r>
        <w:rPr>
          <w:rFonts w:hint="eastAsia"/>
        </w:rPr>
        <w:t>年</w:t>
      </w:r>
      <w:r>
        <w:t>3</w:t>
      </w:r>
      <w:r>
        <w:rPr>
          <w:rFonts w:hint="eastAsia"/>
        </w:rPr>
        <w:t>月，标准制定计划下达后，中国中医科学院中药研究所立即成立了标准起草工作组，启动了标准的编写工作，明确了工作组成员任务分工，确定了标准编制原则，制定了相应的编制计划。</w:t>
      </w:r>
    </w:p>
    <w:p w14:paraId="15681750">
      <w:pPr>
        <w:spacing w:line="360" w:lineRule="auto"/>
        <w:ind w:firstLine="420" w:firstLineChars="200"/>
      </w:pPr>
      <w:r>
        <w:rPr>
          <w:rFonts w:hint="eastAsia"/>
        </w:rPr>
        <w:t>b 收集整理相关资料</w:t>
      </w:r>
    </w:p>
    <w:p w14:paraId="3877AD23">
      <w:pPr>
        <w:spacing w:line="360" w:lineRule="auto"/>
        <w:ind w:firstLine="420" w:firstLineChars="200"/>
      </w:pPr>
      <w:r>
        <w:rPr>
          <w:rFonts w:hint="eastAsia"/>
        </w:rPr>
        <w:t>202</w:t>
      </w:r>
      <w:r>
        <w:t>2</w:t>
      </w:r>
      <w:r>
        <w:rPr>
          <w:rFonts w:hint="eastAsia"/>
        </w:rPr>
        <w:t>年</w:t>
      </w:r>
      <w:r>
        <w:t>4</w:t>
      </w:r>
      <w:r>
        <w:rPr>
          <w:rFonts w:hint="eastAsia"/>
        </w:rPr>
        <w:t>月，起草工作组收集、整理了有关红花质量标准研究、红花药用历史、红花资源评估的相关文献，并查阅《中华人民共和国药典》（以下简称《中国药典》）2</w:t>
      </w:r>
      <w:r>
        <w:t>020版中红花的</w:t>
      </w:r>
      <w:r>
        <w:rPr>
          <w:rFonts w:hint="eastAsia"/>
        </w:rPr>
        <w:t>相关内容，明确红花质量分级需要研究的实验内容。</w:t>
      </w:r>
    </w:p>
    <w:p w14:paraId="4BA0AC06">
      <w:pPr>
        <w:spacing w:line="360" w:lineRule="auto"/>
        <w:ind w:firstLine="420" w:firstLineChars="200"/>
      </w:pPr>
      <w:r>
        <w:rPr>
          <w:rFonts w:hint="eastAsia"/>
        </w:rPr>
        <w:t>c 开展红花质量分级的研究</w:t>
      </w:r>
    </w:p>
    <w:p w14:paraId="1DB882AE">
      <w:pPr>
        <w:spacing w:line="360" w:lineRule="auto"/>
        <w:ind w:firstLine="420" w:firstLineChars="200"/>
      </w:pPr>
      <w:r>
        <w:rPr>
          <w:rFonts w:hint="eastAsia"/>
        </w:rPr>
        <w:t>2022年</w:t>
      </w:r>
      <w:r>
        <w:t>5</w:t>
      </w:r>
      <w:r>
        <w:rPr>
          <w:rFonts w:hint="eastAsia"/>
        </w:rPr>
        <w:t>月-9月，起草小组收集了新疆、云南、河南、四川、山东5个不同产地的2</w:t>
      </w:r>
      <w:r>
        <w:t>5</w:t>
      </w:r>
      <w:r>
        <w:rPr>
          <w:rFonts w:hint="eastAsia"/>
        </w:rPr>
        <w:t>批红花，其中新疆产区的红花1</w:t>
      </w:r>
      <w:r>
        <w:t>4</w:t>
      </w:r>
      <w:r>
        <w:rPr>
          <w:rFonts w:hint="eastAsia"/>
        </w:rPr>
        <w:t>批含裕民县2个红花规范化种植基地的2批次红花，并对2</w:t>
      </w:r>
      <w:r>
        <w:t>5批红花</w:t>
      </w:r>
      <w:r>
        <w:rPr>
          <w:rFonts w:hint="eastAsia"/>
        </w:rPr>
        <w:t>进行质量评价研究。对2</w:t>
      </w:r>
      <w:r>
        <w:t>5</w:t>
      </w:r>
      <w:r>
        <w:rPr>
          <w:rFonts w:hint="eastAsia"/>
        </w:rPr>
        <w:t>批次红花分别进行基原、性状、外观、重金属、农药残留、黄曲霉素以及薄层鉴别的检测，实验结果显示除第23批外，其余2</w:t>
      </w:r>
      <w:r>
        <w:t>4</w:t>
      </w:r>
      <w:r>
        <w:rPr>
          <w:rFonts w:hint="eastAsia"/>
        </w:rPr>
        <w:t>批样本均为菊科红花属，且同源性大于99%，2</w:t>
      </w:r>
      <w:r>
        <w:t>4</w:t>
      </w:r>
      <w:r>
        <w:rPr>
          <w:rFonts w:hint="eastAsia"/>
        </w:rPr>
        <w:t>批次红花的重金属、农药残留以及黄曲霉素含量均符合《中国药典》2020版的限量规定；另对2</w:t>
      </w:r>
      <w:r>
        <w:t>4</w:t>
      </w:r>
      <w:r>
        <w:rPr>
          <w:rFonts w:hint="eastAsia"/>
        </w:rPr>
        <w:t>批次红花按照《中国药典》2020版中有关红花的检查项要求进行检测，实验结果显示2</w:t>
      </w:r>
      <w:r>
        <w:t>4</w:t>
      </w:r>
      <w:r>
        <w:rPr>
          <w:rFonts w:hint="eastAsia"/>
        </w:rPr>
        <w:t>批红花的杂质为0.1%~0.3%、水分为6.0%~13.0%、浸出物为31.7%~40.6%、吸光度为0.22~0.57、酸不溶性灰分为0.45%~5.0%、总灰分为6.1%~14.9%；起草小组利用高效液相色谱法对2</w:t>
      </w:r>
      <w:r>
        <w:t>4</w:t>
      </w:r>
      <w:r>
        <w:rPr>
          <w:rFonts w:hint="eastAsia"/>
        </w:rPr>
        <w:t>批次红花有效成分羟基红花黄色素A、山柰酚进行了含量测定，实验结果显示羟基红花黄色素A含量为1.6%~3.8%，山柰酚含量为0.054%~0.090%。</w:t>
      </w:r>
    </w:p>
    <w:p w14:paraId="26ADF7FD">
      <w:pPr>
        <w:spacing w:line="360" w:lineRule="auto"/>
        <w:ind w:firstLine="420" w:firstLineChars="200"/>
      </w:pPr>
      <w:r>
        <w:rPr>
          <w:rFonts w:hint="eastAsia"/>
        </w:rPr>
        <w:t>d 形成标准草案</w:t>
      </w:r>
    </w:p>
    <w:p w14:paraId="3F5810ED">
      <w:pPr>
        <w:spacing w:line="360" w:lineRule="auto"/>
        <w:ind w:firstLine="420" w:firstLineChars="200"/>
      </w:pPr>
      <w:r>
        <w:rPr>
          <w:rFonts w:hint="eastAsia"/>
        </w:rPr>
        <w:t>2022年10月，起草工作组基于相关标准和资料，结合前期红花质量分级研究收集的数据，经过多次内部讨论，拟定了标准“编制说明”编写大纲，初步形成了标准草案。</w:t>
      </w:r>
    </w:p>
    <w:p w14:paraId="729EF622">
      <w:pPr>
        <w:spacing w:line="360" w:lineRule="auto"/>
        <w:ind w:firstLine="420" w:firstLineChars="200"/>
      </w:pPr>
      <w:r>
        <w:rPr>
          <w:rFonts w:hint="eastAsia"/>
        </w:rPr>
        <w:t>e 召开第一次标准研讨会，形成标准征求意见稿</w:t>
      </w:r>
    </w:p>
    <w:p w14:paraId="05D860CD">
      <w:pPr>
        <w:spacing w:line="360" w:lineRule="auto"/>
        <w:ind w:firstLine="420" w:firstLineChars="200"/>
      </w:pPr>
      <w:r>
        <w:rPr>
          <w:rFonts w:hint="eastAsia"/>
        </w:rPr>
        <w:t>2022年10月，起草工作组在京召开了标准专家研讨会，标准起草工作组成员参加了会议，会上逐条讨论标准条文的技术内容，会后起草组经过进一步修改完善，形成了标准征求意见稿。</w:t>
      </w:r>
    </w:p>
    <w:p w14:paraId="3E9D2D8C">
      <w:pPr>
        <w:spacing w:line="360" w:lineRule="auto"/>
        <w:ind w:firstLine="420" w:firstLineChars="200"/>
      </w:pPr>
      <w:r>
        <w:rPr>
          <w:rFonts w:hint="eastAsia"/>
        </w:rPr>
        <w:t>（2）标准征求意见阶段</w:t>
      </w:r>
    </w:p>
    <w:p w14:paraId="2697D453">
      <w:pPr>
        <w:spacing w:line="360" w:lineRule="auto"/>
        <w:ind w:firstLine="420" w:firstLineChars="200"/>
      </w:pPr>
      <w:r>
        <w:rPr>
          <w:rFonts w:hint="eastAsia"/>
        </w:rPr>
        <w:t>a 标准征求意见稿第一轮面向社会征求意见</w:t>
      </w:r>
    </w:p>
    <w:p w14:paraId="37B40F61">
      <w:pPr>
        <w:spacing w:line="360" w:lineRule="auto"/>
        <w:ind w:firstLine="420" w:firstLineChars="200"/>
      </w:pPr>
      <w:r>
        <w:rPr>
          <w:rFonts w:hint="eastAsia"/>
        </w:rPr>
        <w:t>2022年11月，本标准开始面向全社会公开征求意见，同时召开了《新疆红花种植与采集技术规范》征求意见会，当面征求部分专家意见，共收到35条意见，其中采纳25条，不采纳10条。</w:t>
      </w:r>
    </w:p>
    <w:p w14:paraId="6B6676F0">
      <w:pPr>
        <w:spacing w:line="360" w:lineRule="auto"/>
        <w:ind w:firstLine="420" w:firstLineChars="200"/>
      </w:pPr>
      <w:r>
        <w:rPr>
          <w:rFonts w:hint="eastAsia"/>
        </w:rPr>
        <w:t>b 召开第二次标准研讨会</w:t>
      </w:r>
    </w:p>
    <w:p w14:paraId="5B30FC4C">
      <w:pPr>
        <w:spacing w:line="360" w:lineRule="auto"/>
        <w:ind w:firstLine="420" w:firstLineChars="200"/>
      </w:pPr>
      <w:r>
        <w:rPr>
          <w:rFonts w:hint="eastAsia"/>
        </w:rPr>
        <w:t>2022年12月7日，标准起草组召开了第二次《新疆红花质量分级》标准研讨会。邀请了有关专家和起草组成员参加研讨。会上对《新疆红花质量分级》（征求意见稿）征求意见情况和标准相关内容进行了研究讨论，会上专家提出建议将标准题目调整为“红花质量分级”，将文中新疆二字删除；建议将“标准要求”修改为“本标准指标要求”；建议在“表 7-1 红花检查指标要求及有效成分含量要求”下方补充“其中，本标准中理化指标杂质、吸光度以及浸出物的要求均高于《中国药典》的标准要求；主要成分羟基红花黄色素 A 以及山柰酚的含量要求分别为大于等于1.</w:t>
      </w:r>
      <w:r>
        <w:rPr>
          <w:rFonts w:hint="eastAsia"/>
          <w:lang w:val="en-US" w:eastAsia="zh-CN"/>
        </w:rPr>
        <w:t>5</w:t>
      </w:r>
      <w:r>
        <w:rPr>
          <w:rFonts w:hint="eastAsia"/>
        </w:rPr>
        <w:t>%、大于等于0.055%均高于《中国药典》的标准要求。”；建议将“根据新疆红花的有效成分含量、杂质、水分含量、花丝长度划分规格等级”修改为“按照红花的有效成分、杂质、水分、花丝长度划分规格等级”；建议第3章术语和定义内容不上目次，只保留章号即可；建议第6章保留二级目录即可等。起草组在会后对文件进行了修改，形成标准征求意见第二稿。</w:t>
      </w:r>
    </w:p>
    <w:p w14:paraId="050CB19E">
      <w:pPr>
        <w:spacing w:line="360" w:lineRule="auto"/>
        <w:ind w:firstLine="420" w:firstLineChars="200"/>
      </w:pPr>
      <w:r>
        <w:rPr>
          <w:rFonts w:hint="eastAsia"/>
        </w:rPr>
        <w:t>c召开第三次标准研讨会</w:t>
      </w:r>
    </w:p>
    <w:p w14:paraId="0FA64CBB">
      <w:pPr>
        <w:spacing w:line="360" w:lineRule="auto"/>
        <w:ind w:firstLine="420" w:firstLineChars="200"/>
      </w:pPr>
      <w:r>
        <w:rPr>
          <w:rFonts w:hint="eastAsia"/>
        </w:rPr>
        <w:t>2022年12月9日，标准起草组召开了第三次《红花质量分级》标准研讨会。邀请了有关专家和起草组成员参加研讨。会上对《红花质量分级》（征求意见五稿）标准内容进行了进一步研究讨论。起草组在会后对文件进行了修改，形成标准征求意见第三稿。</w:t>
      </w:r>
    </w:p>
    <w:p w14:paraId="5425D01C">
      <w:pPr>
        <w:spacing w:line="360" w:lineRule="auto"/>
        <w:ind w:firstLine="420" w:firstLineChars="200"/>
      </w:pPr>
      <w:r>
        <w:rPr>
          <w:rFonts w:hint="eastAsia"/>
        </w:rPr>
        <w:t>（3）标准</w:t>
      </w:r>
      <w:r>
        <w:rPr>
          <w:rFonts w:hint="eastAsia"/>
          <w:lang w:val="en-US" w:eastAsia="zh-CN"/>
        </w:rPr>
        <w:t>技术审查</w:t>
      </w:r>
      <w:r>
        <w:rPr>
          <w:rFonts w:hint="eastAsia"/>
        </w:rPr>
        <w:t>阶段</w:t>
      </w:r>
    </w:p>
    <w:p w14:paraId="6BAE83B4">
      <w:pPr>
        <w:spacing w:line="360" w:lineRule="auto"/>
        <w:ind w:firstLine="420" w:firstLineChars="200"/>
      </w:pPr>
      <w:r>
        <w:rPr>
          <w:rFonts w:hint="eastAsia"/>
        </w:rPr>
        <w:t>2022年12月：公开征求意见，对征求到的意见进行分类采纳处理，形成“标准送审稿”；</w:t>
      </w:r>
    </w:p>
    <w:p w14:paraId="252C8A30">
      <w:pPr>
        <w:spacing w:line="360" w:lineRule="auto"/>
        <w:ind w:firstLine="420" w:firstLineChars="200"/>
        <w:rPr>
          <w:rFonts w:hint="eastAsia"/>
          <w:lang w:eastAsia="zh-CN"/>
        </w:rPr>
      </w:pPr>
      <w:r>
        <w:rPr>
          <w:rFonts w:hint="eastAsia"/>
        </w:rPr>
        <w:t>2022年12月：召开标准审定会，根据与会专家的意见，对标准送审稿进行修改完善，形成标准报批稿，将标准报批稿和标准说明一并上报中国出入境检验检疫协会审批</w:t>
      </w:r>
      <w:r>
        <w:rPr>
          <w:rFonts w:hint="eastAsia"/>
          <w:lang w:eastAsia="zh-CN"/>
        </w:rPr>
        <w:t>。</w:t>
      </w:r>
    </w:p>
    <w:p w14:paraId="24D8ADC5">
      <w:pPr>
        <w:numPr>
          <w:ilvl w:val="0"/>
          <w:numId w:val="1"/>
        </w:numPr>
        <w:spacing w:line="360" w:lineRule="auto"/>
        <w:ind w:firstLine="420" w:firstLineChars="200"/>
        <w:rPr>
          <w:rFonts w:hint="eastAsia"/>
          <w:lang w:val="en-US" w:eastAsia="zh-CN"/>
        </w:rPr>
      </w:pPr>
      <w:r>
        <w:rPr>
          <w:rFonts w:hint="eastAsia"/>
          <w:lang w:val="en-US" w:eastAsia="zh-CN"/>
        </w:rPr>
        <w:t>标准复审修订阶段</w:t>
      </w:r>
    </w:p>
    <w:p w14:paraId="2E222518">
      <w:pPr>
        <w:numPr>
          <w:ilvl w:val="0"/>
          <w:numId w:val="0"/>
        </w:numPr>
        <w:spacing w:line="360" w:lineRule="auto"/>
        <w:ind w:left="0" w:leftChars="0" w:firstLine="420" w:firstLineChars="200"/>
        <w:rPr>
          <w:rFonts w:hint="eastAsia"/>
          <w:lang w:val="en-US" w:eastAsia="zh-CN"/>
        </w:rPr>
      </w:pPr>
      <w:r>
        <w:rPr>
          <w:rFonts w:hint="eastAsia"/>
          <w:lang w:val="en-US" w:eastAsia="zh-CN"/>
        </w:rPr>
        <w:t>在《红花质量分级》标准应用过程中，原标准中未对写明对红花标准品的要求，经TC14专家们讨论并一致同意，对该标准进行第一次修订。</w:t>
      </w:r>
    </w:p>
    <w:p w14:paraId="65AA0E41">
      <w:pPr>
        <w:numPr>
          <w:ilvl w:val="0"/>
          <w:numId w:val="0"/>
        </w:numPr>
        <w:spacing w:line="360" w:lineRule="auto"/>
        <w:ind w:left="0" w:leftChars="0" w:firstLine="420" w:firstLineChars="200"/>
        <w:rPr>
          <w:rFonts w:hint="eastAsia"/>
          <w:lang w:val="en-US" w:eastAsia="zh-CN"/>
        </w:rPr>
      </w:pPr>
      <w:r>
        <w:rPr>
          <w:rFonts w:hint="eastAsia"/>
          <w:lang w:val="en-US" w:eastAsia="zh-CN"/>
        </w:rPr>
        <w:t>修订项：（1）修正了中国标准分类号（CCS),改为CCS C23；</w:t>
      </w:r>
    </w:p>
    <w:p w14:paraId="14F92983">
      <w:pPr>
        <w:numPr>
          <w:ilvl w:val="0"/>
          <w:numId w:val="2"/>
        </w:numPr>
        <w:spacing w:line="360" w:lineRule="auto"/>
        <w:ind w:left="1176" w:leftChars="560" w:firstLine="0" w:firstLineChars="0"/>
        <w:rPr>
          <w:rFonts w:hint="eastAsia"/>
          <w:lang w:val="en-US" w:eastAsia="zh-CN"/>
        </w:rPr>
      </w:pPr>
      <w:r>
        <w:rPr>
          <w:rFonts w:hint="eastAsia"/>
          <w:lang w:val="en-US" w:eastAsia="zh-CN"/>
        </w:rPr>
        <w:t>2规范性引用文件与正文6.3.1和7中药典写法修正；</w:t>
      </w:r>
    </w:p>
    <w:p w14:paraId="45ABE98D">
      <w:pPr>
        <w:numPr>
          <w:ilvl w:val="0"/>
          <w:numId w:val="2"/>
        </w:numPr>
        <w:spacing w:line="360" w:lineRule="auto"/>
        <w:ind w:left="1176" w:leftChars="560" w:firstLine="0" w:firstLineChars="0"/>
        <w:rPr>
          <w:rFonts w:hint="eastAsia"/>
          <w:lang w:val="en-US" w:eastAsia="zh-CN"/>
        </w:rPr>
      </w:pPr>
      <w:r>
        <w:rPr>
          <w:rFonts w:hint="eastAsia"/>
          <w:lang w:val="en-US" w:eastAsia="zh-CN"/>
        </w:rPr>
        <w:t>删除3中的术语和定义，改为“本文件没有需要界定的术语和定义。”；</w:t>
      </w:r>
    </w:p>
    <w:p w14:paraId="14CFDFD1">
      <w:pPr>
        <w:numPr>
          <w:ilvl w:val="0"/>
          <w:numId w:val="2"/>
        </w:numPr>
        <w:spacing w:line="360" w:lineRule="auto"/>
        <w:ind w:left="1176" w:leftChars="560" w:firstLine="0" w:firstLineChars="0"/>
        <w:rPr>
          <w:rFonts w:hint="eastAsia"/>
          <w:lang w:val="en-US" w:eastAsia="zh-CN"/>
        </w:rPr>
      </w:pPr>
      <w:r>
        <w:rPr>
          <w:rFonts w:hint="eastAsia"/>
          <w:lang w:val="en-US" w:eastAsia="zh-CN"/>
        </w:rPr>
        <w:t>6.3.1中两处实验改为试验；</w:t>
      </w:r>
    </w:p>
    <w:p w14:paraId="66CA0E1C">
      <w:pPr>
        <w:numPr>
          <w:ilvl w:val="0"/>
          <w:numId w:val="0"/>
        </w:numPr>
        <w:spacing w:line="360" w:lineRule="auto"/>
        <w:ind w:left="1176" w:leftChars="560" w:firstLine="0" w:firstLineChars="0"/>
        <w:rPr>
          <w:rFonts w:hint="default"/>
          <w:lang w:val="en-US" w:eastAsia="zh-CN"/>
        </w:rPr>
      </w:pPr>
      <w:r>
        <w:rPr>
          <w:rFonts w:hint="eastAsia"/>
          <w:lang w:val="en-US" w:eastAsia="zh-CN"/>
        </w:rPr>
        <w:t>（4）7检查和要求中，参照药典指标要求改为按照；</w:t>
      </w:r>
    </w:p>
    <w:p w14:paraId="7362AB14">
      <w:pPr>
        <w:numPr>
          <w:ilvl w:val="0"/>
          <w:numId w:val="0"/>
        </w:numPr>
        <w:spacing w:line="360" w:lineRule="auto"/>
        <w:ind w:left="0" w:leftChars="0" w:firstLine="420" w:firstLineChars="200"/>
        <w:rPr>
          <w:rFonts w:hint="eastAsia"/>
          <w:lang w:val="en-US" w:eastAsia="zh-CN"/>
        </w:rPr>
      </w:pPr>
      <w:r>
        <w:rPr>
          <w:rFonts w:hint="eastAsia"/>
          <w:lang w:val="en-US" w:eastAsia="zh-CN"/>
        </w:rPr>
        <w:t xml:space="preserve">       （5）8.2中添加对红花标准品的要求；</w:t>
      </w:r>
    </w:p>
    <w:p w14:paraId="1FACE1BE">
      <w:pPr>
        <w:numPr>
          <w:ilvl w:val="0"/>
          <w:numId w:val="0"/>
        </w:numPr>
        <w:spacing w:line="360" w:lineRule="auto"/>
        <w:ind w:leftChars="541"/>
        <w:rPr>
          <w:rFonts w:hint="default"/>
          <w:lang w:val="en-US" w:eastAsia="zh-CN"/>
        </w:rPr>
      </w:pPr>
      <w:r>
        <w:rPr>
          <w:rFonts w:hint="eastAsia"/>
          <w:lang w:val="en-US" w:eastAsia="zh-CN"/>
        </w:rPr>
        <w:t>（6）删除参考文献[2]中的“附件”。</w:t>
      </w:r>
    </w:p>
    <w:p w14:paraId="640F9DB1">
      <w:pPr>
        <w:numPr>
          <w:ilvl w:val="0"/>
          <w:numId w:val="0"/>
        </w:numPr>
        <w:spacing w:line="360" w:lineRule="auto"/>
        <w:ind w:left="0" w:leftChars="0" w:firstLine="420" w:firstLineChars="200"/>
        <w:rPr>
          <w:rFonts w:hint="eastAsia"/>
          <w:lang w:val="en-US" w:eastAsia="zh-CN"/>
        </w:rPr>
      </w:pPr>
      <w:r>
        <w:rPr>
          <w:rFonts w:hint="eastAsia"/>
          <w:lang w:val="en-US" w:eastAsia="zh-CN"/>
        </w:rPr>
        <w:t>2024年2月1日，召开标准复审技术审查会，对标准修订送审稿进行审定。经专家审查，一致同意《红花质量分级》团体标准修订稿通过复审技术审查。</w:t>
      </w:r>
    </w:p>
    <w:p w14:paraId="67F1D5C7">
      <w:pPr>
        <w:numPr>
          <w:ilvl w:val="0"/>
          <w:numId w:val="1"/>
        </w:numPr>
        <w:spacing w:line="360" w:lineRule="auto"/>
        <w:ind w:firstLine="420" w:firstLineChars="200"/>
        <w:rPr>
          <w:rFonts w:hint="eastAsia"/>
          <w:lang w:val="en-US" w:eastAsia="zh-CN"/>
        </w:rPr>
      </w:pPr>
      <w:r>
        <w:rPr>
          <w:rFonts w:hint="eastAsia"/>
          <w:lang w:val="en-US" w:eastAsia="zh-CN"/>
        </w:rPr>
        <w:t>标准复审修订阶段</w:t>
      </w:r>
    </w:p>
    <w:p w14:paraId="4E167FF6">
      <w:pPr>
        <w:numPr>
          <w:ilvl w:val="0"/>
          <w:numId w:val="0"/>
        </w:numPr>
        <w:spacing w:line="360" w:lineRule="auto"/>
        <w:ind w:left="0" w:leftChars="0" w:firstLine="420" w:firstLineChars="200"/>
        <w:rPr>
          <w:rFonts w:hint="eastAsia"/>
          <w:lang w:val="en-US" w:eastAsia="zh-CN"/>
        </w:rPr>
      </w:pPr>
      <w:r>
        <w:rPr>
          <w:rFonts w:hint="eastAsia"/>
          <w:lang w:val="en-US" w:eastAsia="zh-CN"/>
        </w:rPr>
        <w:t>在《红花质量分级》标准应用过程中，因明确标样以中检院提供的标准品为准，决定删除8.2红花标准品要求，并修正表4中羟基红花黄色素A%含量参数，经TC14专家们讨论并一致同意，对该标准进行第二次修订。</w:t>
      </w:r>
    </w:p>
    <w:p w14:paraId="7F16CB09">
      <w:pPr>
        <w:spacing w:before="39" w:line="204" w:lineRule="auto"/>
        <w:jc w:val="left"/>
        <w:rPr>
          <w:rFonts w:hint="eastAsia"/>
          <w:lang w:val="en-US" w:eastAsia="zh-CN"/>
        </w:rPr>
      </w:pPr>
      <w:r>
        <w:rPr>
          <w:rFonts w:hint="eastAsia"/>
          <w:lang w:val="en-US" w:eastAsia="zh-CN"/>
        </w:rPr>
        <w:t>修订项：（1）</w:t>
      </w:r>
    </w:p>
    <w:p w14:paraId="72153CA0">
      <w:pPr>
        <w:spacing w:before="39" w:line="204" w:lineRule="auto"/>
        <w:jc w:val="center"/>
        <w:rPr>
          <w:rFonts w:ascii="黑体" w:hAnsi="黑体" w:eastAsia="黑体" w:cs="黑体"/>
        </w:rPr>
      </w:pPr>
      <w:r>
        <w:rPr>
          <w:rFonts w:ascii="黑体" w:hAnsi="黑体" w:eastAsia="黑体" w:cs="黑体"/>
          <w:spacing w:val="-2"/>
        </w:rPr>
        <w:t>表</w:t>
      </w:r>
      <w:r>
        <w:rPr>
          <w:rFonts w:hint="eastAsia" w:ascii="黑体" w:hAnsi="黑体" w:eastAsia="黑体" w:cs="黑体"/>
          <w:spacing w:val="-2"/>
        </w:rPr>
        <w:t xml:space="preserve"> </w:t>
      </w:r>
      <w:r>
        <w:rPr>
          <w:rFonts w:ascii="黑体" w:hAnsi="黑体" w:eastAsia="黑体" w:cs="黑体"/>
          <w:spacing w:val="-2"/>
        </w:rPr>
        <w:t xml:space="preserve">4 </w:t>
      </w:r>
      <w:r>
        <w:rPr>
          <w:rFonts w:hint="eastAsia" w:ascii="黑体" w:hAnsi="黑体" w:eastAsia="黑体" w:cs="黑体"/>
          <w:spacing w:val="-2"/>
        </w:rPr>
        <w:t xml:space="preserve"> </w:t>
      </w:r>
      <w:r>
        <w:rPr>
          <w:rFonts w:ascii="黑体" w:hAnsi="黑体" w:eastAsia="黑体" w:cs="黑体"/>
          <w:spacing w:val="-2"/>
        </w:rPr>
        <w:t>红花</w:t>
      </w:r>
      <w:r>
        <w:rPr>
          <w:rFonts w:hint="eastAsia" w:ascii="黑体" w:hAnsi="黑体" w:eastAsia="黑体" w:cs="黑体"/>
          <w:spacing w:val="-2"/>
        </w:rPr>
        <w:t>质量分级</w:t>
      </w:r>
      <w:r>
        <w:rPr>
          <w:rFonts w:ascii="黑体" w:hAnsi="黑体" w:eastAsia="黑体" w:cs="黑体"/>
          <w:spacing w:val="-2"/>
        </w:rPr>
        <w:t>标准</w:t>
      </w:r>
    </w:p>
    <w:p w14:paraId="44537649">
      <w:pPr>
        <w:spacing w:line="168" w:lineRule="exact"/>
      </w:pPr>
    </w:p>
    <w:tbl>
      <w:tblPr>
        <w:tblStyle w:val="36"/>
        <w:tblW w:w="97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1"/>
        <w:gridCol w:w="1983"/>
        <w:gridCol w:w="2126"/>
        <w:gridCol w:w="1985"/>
        <w:gridCol w:w="1559"/>
        <w:gridCol w:w="1091"/>
      </w:tblGrid>
      <w:tr w14:paraId="5D218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jc w:val="center"/>
        </w:trPr>
        <w:tc>
          <w:tcPr>
            <w:tcW w:w="992" w:type="dxa"/>
            <w:tcBorders>
              <w:top w:val="single" w:color="000000" w:sz="8" w:space="0"/>
              <w:left w:val="single" w:color="000000" w:sz="8" w:space="0"/>
              <w:bottom w:val="single" w:color="000000" w:sz="8" w:space="0"/>
              <w:right w:val="single" w:color="000000" w:sz="8" w:space="0"/>
            </w:tcBorders>
            <w:vAlign w:val="center"/>
          </w:tcPr>
          <w:p w14:paraId="6B686681">
            <w:pPr>
              <w:jc w:val="center"/>
              <w:rPr>
                <w:rFonts w:ascii="宋体" w:hAnsi="宋体" w:cs="宋体"/>
                <w:snapToGrid w:val="0"/>
                <w:color w:val="auto"/>
                <w:sz w:val="18"/>
                <w:szCs w:val="18"/>
              </w:rPr>
            </w:pPr>
            <w:r>
              <w:rPr>
                <w:rFonts w:hint="eastAsia"/>
                <w:snapToGrid w:val="0"/>
                <w:color w:val="auto"/>
                <w:sz w:val="18"/>
                <w:szCs w:val="18"/>
              </w:rPr>
              <w:t>质量分级</w:t>
            </w:r>
          </w:p>
        </w:tc>
        <w:tc>
          <w:tcPr>
            <w:tcW w:w="992" w:type="dxa"/>
            <w:gridSpan w:val="5"/>
            <w:tcBorders>
              <w:top w:val="single" w:color="000000" w:sz="8" w:space="0"/>
              <w:left w:val="single" w:color="000000" w:sz="8" w:space="0"/>
              <w:bottom w:val="single" w:color="000000" w:sz="8" w:space="0"/>
              <w:right w:val="single" w:color="000000" w:sz="8" w:space="0"/>
            </w:tcBorders>
            <w:vAlign w:val="center"/>
          </w:tcPr>
          <w:p w14:paraId="2FD39841">
            <w:pPr>
              <w:jc w:val="center"/>
              <w:rPr>
                <w:strike/>
                <w:snapToGrid w:val="0"/>
                <w:color w:val="auto"/>
                <w:sz w:val="18"/>
                <w:szCs w:val="18"/>
              </w:rPr>
            </w:pPr>
            <w:r>
              <w:rPr>
                <w:snapToGrid w:val="0"/>
                <w:color w:val="auto"/>
                <w:sz w:val="18"/>
                <w:szCs w:val="18"/>
              </w:rPr>
              <w:t>指</w:t>
            </w:r>
            <w:r>
              <w:rPr>
                <w:rFonts w:hint="eastAsia"/>
                <w:snapToGrid w:val="0"/>
                <w:color w:val="auto"/>
                <w:sz w:val="18"/>
                <w:szCs w:val="18"/>
              </w:rPr>
              <w:t xml:space="preserve">    </w:t>
            </w:r>
            <w:r>
              <w:rPr>
                <w:snapToGrid w:val="0"/>
                <w:color w:val="auto"/>
                <w:sz w:val="18"/>
                <w:szCs w:val="18"/>
              </w:rPr>
              <w:t>标</w:t>
            </w:r>
          </w:p>
        </w:tc>
      </w:tr>
      <w:tr w14:paraId="7DAFD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jc w:val="center"/>
        </w:trPr>
        <w:tc>
          <w:tcPr>
            <w:tcW w:w="990" w:type="dxa"/>
            <w:tcBorders>
              <w:top w:val="single" w:color="000000" w:sz="8" w:space="0"/>
              <w:left w:val="single" w:color="000000" w:sz="8" w:space="0"/>
            </w:tcBorders>
            <w:vAlign w:val="center"/>
          </w:tcPr>
          <w:p w14:paraId="2BF7C0DC">
            <w:pPr>
              <w:jc w:val="center"/>
              <w:rPr>
                <w:snapToGrid w:val="0"/>
                <w:color w:val="000000"/>
                <w:sz w:val="18"/>
                <w:szCs w:val="18"/>
              </w:rPr>
            </w:pPr>
            <w:r>
              <w:rPr>
                <w:rFonts w:ascii="宋体" w:hAnsi="宋体" w:cs="宋体"/>
                <w:snapToGrid w:val="0"/>
                <w:color w:val="000000"/>
                <w:spacing w:val="-2"/>
                <w:sz w:val="18"/>
                <w:szCs w:val="18"/>
              </w:rPr>
              <w:t>等级</w:t>
            </w:r>
          </w:p>
        </w:tc>
        <w:tc>
          <w:tcPr>
            <w:tcW w:w="1984" w:type="dxa"/>
            <w:tcBorders>
              <w:top w:val="single" w:color="000000" w:sz="8" w:space="0"/>
            </w:tcBorders>
            <w:vAlign w:val="center"/>
          </w:tcPr>
          <w:p w14:paraId="703D2598">
            <w:pPr>
              <w:jc w:val="center"/>
              <w:rPr>
                <w:rFonts w:ascii="宋体" w:hAnsi="宋体" w:cs="宋体"/>
                <w:snapToGrid w:val="0"/>
                <w:color w:val="000000"/>
                <w:sz w:val="18"/>
                <w:szCs w:val="18"/>
              </w:rPr>
            </w:pPr>
            <w:r>
              <w:rPr>
                <w:rFonts w:ascii="宋体" w:hAnsi="宋体" w:cs="宋体"/>
                <w:snapToGrid w:val="0"/>
                <w:color w:val="000000"/>
                <w:sz w:val="18"/>
                <w:szCs w:val="18"/>
              </w:rPr>
              <w:t>羟基红花黄色素</w:t>
            </w:r>
            <w:r>
              <w:rPr>
                <w:rFonts w:hint="eastAsia" w:ascii="宋体" w:hAnsi="宋体" w:cs="宋体"/>
                <w:snapToGrid w:val="0"/>
                <w:color w:val="000000"/>
                <w:sz w:val="18"/>
                <w:szCs w:val="18"/>
              </w:rPr>
              <w:t>A%</w:t>
            </w:r>
          </w:p>
        </w:tc>
        <w:tc>
          <w:tcPr>
            <w:tcW w:w="2126" w:type="dxa"/>
            <w:tcBorders>
              <w:top w:val="single" w:color="000000" w:sz="8" w:space="0"/>
            </w:tcBorders>
            <w:vAlign w:val="center"/>
          </w:tcPr>
          <w:p w14:paraId="0CD9B1E3">
            <w:pPr>
              <w:jc w:val="center"/>
              <w:rPr>
                <w:rFonts w:ascii="宋体" w:hAnsi="宋体" w:cs="宋体"/>
                <w:snapToGrid w:val="0"/>
                <w:color w:val="000000"/>
                <w:sz w:val="18"/>
                <w:szCs w:val="18"/>
              </w:rPr>
            </w:pPr>
            <w:r>
              <w:rPr>
                <w:rFonts w:ascii="宋体" w:hAnsi="宋体" w:cs="宋体"/>
                <w:snapToGrid w:val="0"/>
                <w:color w:val="000000"/>
                <w:sz w:val="18"/>
                <w:szCs w:val="18"/>
              </w:rPr>
              <w:t>山柰酚</w:t>
            </w:r>
            <w:r>
              <w:rPr>
                <w:rFonts w:hint="eastAsia" w:ascii="宋体" w:hAnsi="宋体" w:cs="宋体"/>
                <w:snapToGrid w:val="0"/>
                <w:color w:val="000000"/>
                <w:sz w:val="18"/>
                <w:szCs w:val="18"/>
              </w:rPr>
              <w:t>%</w:t>
            </w:r>
          </w:p>
        </w:tc>
        <w:tc>
          <w:tcPr>
            <w:tcW w:w="1985" w:type="dxa"/>
            <w:tcBorders>
              <w:top w:val="single" w:color="000000" w:sz="8" w:space="0"/>
            </w:tcBorders>
            <w:vAlign w:val="center"/>
          </w:tcPr>
          <w:p w14:paraId="7AC3A61A">
            <w:pPr>
              <w:jc w:val="center"/>
              <w:rPr>
                <w:rFonts w:ascii="宋体" w:hAnsi="宋体" w:cs="宋体"/>
                <w:snapToGrid w:val="0"/>
                <w:color w:val="000000"/>
                <w:spacing w:val="-2"/>
                <w:sz w:val="18"/>
                <w:szCs w:val="18"/>
              </w:rPr>
            </w:pPr>
            <w:r>
              <w:rPr>
                <w:rFonts w:ascii="宋体" w:hAnsi="宋体" w:cs="宋体"/>
                <w:snapToGrid w:val="0"/>
                <w:color w:val="000000"/>
                <w:spacing w:val="-2"/>
                <w:sz w:val="18"/>
                <w:szCs w:val="18"/>
              </w:rPr>
              <w:t>水分</w:t>
            </w:r>
            <w:r>
              <w:rPr>
                <w:rFonts w:hint="eastAsia" w:ascii="宋体" w:hAnsi="宋体" w:cs="宋体"/>
                <w:snapToGrid w:val="0"/>
                <w:color w:val="000000"/>
                <w:spacing w:val="-2"/>
                <w:sz w:val="18"/>
                <w:szCs w:val="18"/>
              </w:rPr>
              <w:t>%</w:t>
            </w:r>
          </w:p>
        </w:tc>
        <w:tc>
          <w:tcPr>
            <w:tcW w:w="1559" w:type="dxa"/>
            <w:tcBorders>
              <w:top w:val="single" w:color="000000" w:sz="8" w:space="0"/>
            </w:tcBorders>
            <w:vAlign w:val="center"/>
          </w:tcPr>
          <w:p w14:paraId="48B2D577">
            <w:pPr>
              <w:jc w:val="center"/>
              <w:rPr>
                <w:rFonts w:ascii="宋体" w:hAnsi="宋体" w:cs="宋体"/>
                <w:snapToGrid w:val="0"/>
                <w:color w:val="000000"/>
                <w:spacing w:val="-2"/>
                <w:sz w:val="18"/>
                <w:szCs w:val="18"/>
              </w:rPr>
            </w:pPr>
            <w:r>
              <w:rPr>
                <w:rFonts w:ascii="宋体" w:hAnsi="宋体" w:cs="宋体"/>
                <w:snapToGrid w:val="0"/>
                <w:color w:val="000000"/>
                <w:spacing w:val="-2"/>
                <w:sz w:val="18"/>
                <w:szCs w:val="18"/>
              </w:rPr>
              <w:t>杂质</w:t>
            </w:r>
            <w:r>
              <w:rPr>
                <w:rFonts w:hint="eastAsia" w:ascii="宋体" w:hAnsi="宋体" w:cs="宋体"/>
                <w:snapToGrid w:val="0"/>
                <w:color w:val="000000"/>
                <w:spacing w:val="-2"/>
                <w:sz w:val="18"/>
                <w:szCs w:val="18"/>
              </w:rPr>
              <w:t>%</w:t>
            </w:r>
          </w:p>
        </w:tc>
        <w:tc>
          <w:tcPr>
            <w:tcW w:w="1091" w:type="dxa"/>
            <w:tcBorders>
              <w:top w:val="single" w:color="000000" w:sz="8" w:space="0"/>
              <w:right w:val="single" w:color="000000" w:sz="8" w:space="0"/>
            </w:tcBorders>
            <w:vAlign w:val="center"/>
          </w:tcPr>
          <w:p w14:paraId="497E5A79">
            <w:pPr>
              <w:jc w:val="center"/>
              <w:rPr>
                <w:rFonts w:ascii="宋体" w:hAnsi="宋体" w:cs="宋体"/>
                <w:snapToGrid w:val="0"/>
                <w:color w:val="000000"/>
                <w:spacing w:val="-2"/>
                <w:sz w:val="18"/>
                <w:szCs w:val="18"/>
              </w:rPr>
            </w:pPr>
            <w:r>
              <w:rPr>
                <w:rFonts w:ascii="宋体" w:hAnsi="宋体" w:cs="宋体"/>
                <w:snapToGrid w:val="0"/>
                <w:color w:val="000000"/>
                <w:spacing w:val="-2"/>
                <w:sz w:val="18"/>
                <w:szCs w:val="18"/>
              </w:rPr>
              <w:t>花丝长度</w:t>
            </w:r>
          </w:p>
        </w:tc>
      </w:tr>
      <w:tr w14:paraId="07F1F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990" w:type="dxa"/>
            <w:tcBorders>
              <w:left w:val="single" w:color="000000" w:sz="8" w:space="0"/>
            </w:tcBorders>
            <w:vAlign w:val="center"/>
          </w:tcPr>
          <w:p w14:paraId="5C4BA3A9">
            <w:pPr>
              <w:jc w:val="center"/>
              <w:rPr>
                <w:rFonts w:ascii="宋体" w:hAnsi="宋体" w:cs="宋体"/>
                <w:snapToGrid w:val="0"/>
                <w:color w:val="000000"/>
                <w:sz w:val="18"/>
                <w:szCs w:val="18"/>
              </w:rPr>
            </w:pPr>
            <w:r>
              <w:rPr>
                <w:rFonts w:hint="eastAsia" w:ascii="宋体" w:hAnsi="宋体" w:cs="宋体"/>
                <w:snapToGrid w:val="0"/>
                <w:color w:val="000000"/>
                <w:spacing w:val="-2"/>
                <w:sz w:val="18"/>
                <w:szCs w:val="18"/>
              </w:rPr>
              <w:t>一等</w:t>
            </w:r>
          </w:p>
        </w:tc>
        <w:tc>
          <w:tcPr>
            <w:tcW w:w="1984" w:type="dxa"/>
            <w:vAlign w:val="center"/>
          </w:tcPr>
          <w:p w14:paraId="626B56C6">
            <w:pPr>
              <w:jc w:val="center"/>
              <w:rPr>
                <w:rFonts w:hint="default" w:ascii="宋体" w:hAnsi="宋体" w:eastAsia="宋体" w:cs="宋体"/>
                <w:snapToGrid w:val="0"/>
                <w:color w:val="auto"/>
                <w:sz w:val="18"/>
                <w:szCs w:val="18"/>
                <w:lang w:val="en-US" w:eastAsia="zh-CN"/>
              </w:rPr>
            </w:pPr>
            <w:r>
              <w:rPr>
                <w:rFonts w:hint="eastAsia" w:ascii="宋体" w:hAnsi="宋体" w:cs="宋体"/>
                <w:snapToGrid w:val="0"/>
                <w:color w:val="auto"/>
                <w:sz w:val="18"/>
                <w:szCs w:val="18"/>
              </w:rPr>
              <w:t>≥</w:t>
            </w:r>
            <w:r>
              <w:rPr>
                <w:rFonts w:hint="eastAsia" w:ascii="宋体" w:hAnsi="宋体" w:cs="宋体"/>
                <w:snapToGrid w:val="0"/>
                <w:color w:val="auto"/>
                <w:sz w:val="18"/>
                <w:szCs w:val="18"/>
                <w:lang w:val="en-US" w:eastAsia="zh-CN"/>
              </w:rPr>
              <w:t>1.95</w:t>
            </w:r>
          </w:p>
        </w:tc>
        <w:tc>
          <w:tcPr>
            <w:tcW w:w="2126" w:type="dxa"/>
            <w:vAlign w:val="center"/>
          </w:tcPr>
          <w:p w14:paraId="09B7F10B">
            <w:pPr>
              <w:jc w:val="center"/>
              <w:rPr>
                <w:rFonts w:ascii="宋体" w:hAnsi="宋体" w:cs="宋体"/>
                <w:snapToGrid w:val="0"/>
                <w:color w:val="auto"/>
                <w:sz w:val="18"/>
                <w:szCs w:val="18"/>
              </w:rPr>
            </w:pPr>
            <w:r>
              <w:rPr>
                <w:rFonts w:hint="eastAsia" w:ascii="宋体" w:hAnsi="宋体" w:cs="宋体"/>
                <w:snapToGrid w:val="0"/>
                <w:color w:val="auto"/>
                <w:sz w:val="18"/>
                <w:szCs w:val="18"/>
              </w:rPr>
              <w:t>≥0</w:t>
            </w:r>
            <w:r>
              <w:rPr>
                <w:rFonts w:ascii="宋体" w:hAnsi="宋体" w:cs="宋体"/>
                <w:snapToGrid w:val="0"/>
                <w:color w:val="auto"/>
                <w:sz w:val="18"/>
                <w:szCs w:val="18"/>
              </w:rPr>
              <w:t>.06</w:t>
            </w:r>
          </w:p>
        </w:tc>
        <w:tc>
          <w:tcPr>
            <w:tcW w:w="1985" w:type="dxa"/>
            <w:vAlign w:val="center"/>
          </w:tcPr>
          <w:p w14:paraId="1521F33C">
            <w:pPr>
              <w:jc w:val="center"/>
              <w:rPr>
                <w:rFonts w:ascii="宋体" w:hAnsi="宋体" w:cs="宋体"/>
                <w:snapToGrid w:val="0"/>
                <w:color w:val="auto"/>
                <w:spacing w:val="-6"/>
                <w:sz w:val="18"/>
                <w:szCs w:val="18"/>
              </w:rPr>
            </w:pPr>
            <w:r>
              <w:rPr>
                <w:rFonts w:hint="eastAsia" w:ascii="宋体" w:hAnsi="宋体" w:cs="宋体"/>
                <w:snapToGrid w:val="0"/>
                <w:color w:val="auto"/>
                <w:spacing w:val="-4"/>
                <w:sz w:val="18"/>
                <w:szCs w:val="18"/>
              </w:rPr>
              <w:t>≤</w:t>
            </w:r>
            <w:r>
              <w:rPr>
                <w:rFonts w:ascii="宋体" w:hAnsi="宋体" w:cs="宋体"/>
                <w:snapToGrid w:val="0"/>
                <w:color w:val="auto"/>
                <w:spacing w:val="-1"/>
                <w:sz w:val="18"/>
                <w:szCs w:val="18"/>
              </w:rPr>
              <w:t>10</w:t>
            </w:r>
          </w:p>
        </w:tc>
        <w:tc>
          <w:tcPr>
            <w:tcW w:w="1559" w:type="dxa"/>
            <w:vAlign w:val="center"/>
          </w:tcPr>
          <w:p w14:paraId="1E3C7980">
            <w:pPr>
              <w:jc w:val="center"/>
              <w:rPr>
                <w:rFonts w:ascii="宋体" w:hAnsi="宋体" w:cs="宋体"/>
                <w:snapToGrid w:val="0"/>
                <w:color w:val="auto"/>
                <w:spacing w:val="-6"/>
                <w:sz w:val="18"/>
                <w:szCs w:val="18"/>
              </w:rPr>
            </w:pPr>
            <w:r>
              <w:rPr>
                <w:rFonts w:hint="eastAsia" w:ascii="宋体" w:hAnsi="宋体" w:cs="宋体"/>
                <w:snapToGrid w:val="0"/>
                <w:color w:val="auto"/>
                <w:spacing w:val="-4"/>
                <w:sz w:val="18"/>
                <w:szCs w:val="18"/>
              </w:rPr>
              <w:t>≤</w:t>
            </w:r>
            <w:r>
              <w:rPr>
                <w:rFonts w:ascii="宋体" w:hAnsi="宋体" w:cs="宋体"/>
                <w:snapToGrid w:val="0"/>
                <w:color w:val="auto"/>
                <w:spacing w:val="-1"/>
                <w:sz w:val="18"/>
                <w:szCs w:val="18"/>
              </w:rPr>
              <w:t>0.5</w:t>
            </w:r>
          </w:p>
        </w:tc>
        <w:tc>
          <w:tcPr>
            <w:tcW w:w="1091" w:type="dxa"/>
            <w:tcBorders>
              <w:right w:val="single" w:color="000000" w:sz="8" w:space="0"/>
            </w:tcBorders>
            <w:vAlign w:val="center"/>
          </w:tcPr>
          <w:p w14:paraId="2A1EFFA6">
            <w:pPr>
              <w:jc w:val="center"/>
              <w:rPr>
                <w:rFonts w:ascii="宋体" w:hAnsi="宋体" w:cs="宋体"/>
                <w:snapToGrid w:val="0"/>
                <w:color w:val="000000"/>
                <w:spacing w:val="-6"/>
                <w:sz w:val="18"/>
                <w:szCs w:val="18"/>
              </w:rPr>
            </w:pPr>
            <w:r>
              <w:rPr>
                <w:rFonts w:ascii="宋体" w:hAnsi="宋体" w:cs="宋体"/>
                <w:snapToGrid w:val="0"/>
                <w:color w:val="000000"/>
                <w:spacing w:val="-6"/>
                <w:sz w:val="18"/>
                <w:szCs w:val="18"/>
              </w:rPr>
              <w:t>长度均匀</w:t>
            </w:r>
          </w:p>
        </w:tc>
      </w:tr>
      <w:tr w14:paraId="7E5A4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jc w:val="center"/>
        </w:trPr>
        <w:tc>
          <w:tcPr>
            <w:tcW w:w="990" w:type="dxa"/>
            <w:tcBorders>
              <w:left w:val="single" w:color="000000" w:sz="8" w:space="0"/>
            </w:tcBorders>
            <w:vAlign w:val="center"/>
          </w:tcPr>
          <w:p w14:paraId="56F23134">
            <w:pPr>
              <w:jc w:val="center"/>
              <w:rPr>
                <w:rFonts w:ascii="宋体" w:hAnsi="宋体" w:cs="宋体"/>
                <w:snapToGrid w:val="0"/>
                <w:color w:val="000000"/>
                <w:sz w:val="18"/>
                <w:szCs w:val="18"/>
              </w:rPr>
            </w:pPr>
            <w:r>
              <w:rPr>
                <w:rFonts w:hint="eastAsia" w:ascii="宋体" w:hAnsi="宋体" w:cs="宋体"/>
                <w:snapToGrid w:val="0"/>
                <w:color w:val="000000"/>
                <w:spacing w:val="-2"/>
                <w:sz w:val="18"/>
                <w:szCs w:val="18"/>
              </w:rPr>
              <w:t>二等</w:t>
            </w:r>
          </w:p>
        </w:tc>
        <w:tc>
          <w:tcPr>
            <w:tcW w:w="1984" w:type="dxa"/>
            <w:vAlign w:val="center"/>
          </w:tcPr>
          <w:p w14:paraId="31CFB047">
            <w:pPr>
              <w:jc w:val="center"/>
              <w:rPr>
                <w:rFonts w:ascii="宋体" w:hAnsi="宋体" w:cs="宋体"/>
                <w:snapToGrid w:val="0"/>
                <w:color w:val="FF0000"/>
                <w:sz w:val="18"/>
                <w:szCs w:val="18"/>
              </w:rPr>
            </w:pPr>
            <w:r>
              <w:rPr>
                <w:rFonts w:ascii="宋体" w:hAnsi="宋体" w:cs="宋体"/>
                <w:snapToGrid w:val="0"/>
                <w:color w:val="auto"/>
                <w:sz w:val="18"/>
                <w:szCs w:val="18"/>
              </w:rPr>
              <w:t>1.</w:t>
            </w:r>
            <w:r>
              <w:rPr>
                <w:rFonts w:hint="eastAsia" w:ascii="宋体" w:hAnsi="宋体" w:cs="宋体"/>
                <w:snapToGrid w:val="0"/>
                <w:color w:val="auto"/>
                <w:sz w:val="18"/>
                <w:szCs w:val="18"/>
                <w:lang w:val="en-US" w:eastAsia="zh-CN"/>
              </w:rPr>
              <w:t>5</w:t>
            </w:r>
            <w:r>
              <w:rPr>
                <w:rFonts w:ascii="宋体" w:hAnsi="宋体" w:cs="宋体"/>
                <w:snapToGrid w:val="0"/>
                <w:color w:val="auto"/>
                <w:sz w:val="18"/>
                <w:szCs w:val="18"/>
              </w:rPr>
              <w:t>～</w:t>
            </w:r>
            <w:r>
              <w:rPr>
                <w:rFonts w:hint="eastAsia" w:ascii="宋体" w:hAnsi="宋体" w:cs="宋体"/>
                <w:snapToGrid w:val="0"/>
                <w:color w:val="auto"/>
                <w:sz w:val="18"/>
                <w:szCs w:val="18"/>
                <w:lang w:val="en-US" w:eastAsia="zh-CN"/>
              </w:rPr>
              <w:t>1.95</w:t>
            </w:r>
            <w:r>
              <w:rPr>
                <w:rFonts w:hint="eastAsia" w:ascii="宋体" w:hAnsi="宋体" w:cs="宋体"/>
                <w:snapToGrid w:val="0"/>
                <w:color w:val="auto"/>
                <w:sz w:val="18"/>
                <w:szCs w:val="18"/>
              </w:rPr>
              <w:t>（不含）</w:t>
            </w:r>
          </w:p>
        </w:tc>
        <w:tc>
          <w:tcPr>
            <w:tcW w:w="2126" w:type="dxa"/>
            <w:vAlign w:val="center"/>
          </w:tcPr>
          <w:p w14:paraId="655A16C1">
            <w:pPr>
              <w:jc w:val="center"/>
              <w:rPr>
                <w:rFonts w:ascii="宋体" w:hAnsi="宋体" w:cs="宋体"/>
                <w:snapToGrid w:val="0"/>
                <w:color w:val="FF0000"/>
                <w:sz w:val="18"/>
                <w:szCs w:val="18"/>
              </w:rPr>
            </w:pPr>
            <w:r>
              <w:rPr>
                <w:rFonts w:hint="eastAsia" w:ascii="宋体" w:hAnsi="宋体" w:cs="宋体"/>
                <w:snapToGrid w:val="0"/>
                <w:color w:val="auto"/>
                <w:sz w:val="18"/>
                <w:szCs w:val="18"/>
              </w:rPr>
              <w:t>0</w:t>
            </w:r>
            <w:r>
              <w:rPr>
                <w:rFonts w:ascii="宋体" w:hAnsi="宋体" w:cs="宋体"/>
                <w:snapToGrid w:val="0"/>
                <w:color w:val="auto"/>
                <w:sz w:val="18"/>
                <w:szCs w:val="18"/>
              </w:rPr>
              <w:t>.055～</w:t>
            </w:r>
            <w:r>
              <w:rPr>
                <w:rFonts w:hint="eastAsia" w:ascii="宋体" w:hAnsi="宋体" w:cs="宋体"/>
                <w:snapToGrid w:val="0"/>
                <w:color w:val="auto"/>
                <w:sz w:val="18"/>
                <w:szCs w:val="18"/>
              </w:rPr>
              <w:t>0</w:t>
            </w:r>
            <w:r>
              <w:rPr>
                <w:rFonts w:ascii="宋体" w:hAnsi="宋体" w:cs="宋体"/>
                <w:snapToGrid w:val="0"/>
                <w:color w:val="auto"/>
                <w:sz w:val="18"/>
                <w:szCs w:val="18"/>
              </w:rPr>
              <w:t>.06</w:t>
            </w:r>
            <w:r>
              <w:rPr>
                <w:rFonts w:hint="eastAsia" w:ascii="宋体" w:hAnsi="宋体" w:cs="宋体"/>
                <w:snapToGrid w:val="0"/>
                <w:color w:val="auto"/>
                <w:sz w:val="18"/>
                <w:szCs w:val="18"/>
              </w:rPr>
              <w:t>（不含）</w:t>
            </w:r>
          </w:p>
        </w:tc>
        <w:tc>
          <w:tcPr>
            <w:tcW w:w="1985" w:type="dxa"/>
            <w:vAlign w:val="center"/>
          </w:tcPr>
          <w:p w14:paraId="299DD7CE">
            <w:pPr>
              <w:jc w:val="center"/>
              <w:rPr>
                <w:rFonts w:ascii="宋体" w:hAnsi="宋体" w:cs="宋体"/>
                <w:snapToGrid w:val="0"/>
                <w:color w:val="auto"/>
                <w:spacing w:val="-6"/>
                <w:sz w:val="18"/>
                <w:szCs w:val="18"/>
              </w:rPr>
            </w:pPr>
            <w:r>
              <w:rPr>
                <w:rFonts w:ascii="宋体" w:hAnsi="宋体" w:cs="宋体"/>
                <w:snapToGrid w:val="0"/>
                <w:color w:val="auto"/>
                <w:sz w:val="18"/>
                <w:szCs w:val="18"/>
              </w:rPr>
              <w:t>10</w:t>
            </w:r>
            <w:r>
              <w:rPr>
                <w:rFonts w:hint="eastAsia" w:ascii="宋体" w:hAnsi="宋体" w:cs="宋体"/>
                <w:snapToGrid w:val="0"/>
                <w:color w:val="auto"/>
                <w:sz w:val="18"/>
                <w:szCs w:val="18"/>
              </w:rPr>
              <w:t>（不含）</w:t>
            </w:r>
            <w:r>
              <w:rPr>
                <w:rFonts w:ascii="宋体" w:hAnsi="宋体" w:cs="宋体"/>
                <w:snapToGrid w:val="0"/>
                <w:color w:val="auto"/>
                <w:sz w:val="18"/>
                <w:szCs w:val="18"/>
              </w:rPr>
              <w:t>～12</w:t>
            </w:r>
          </w:p>
        </w:tc>
        <w:tc>
          <w:tcPr>
            <w:tcW w:w="1559" w:type="dxa"/>
            <w:vAlign w:val="center"/>
          </w:tcPr>
          <w:p w14:paraId="412B7E4D">
            <w:pPr>
              <w:jc w:val="center"/>
              <w:rPr>
                <w:rFonts w:ascii="宋体" w:hAnsi="宋体" w:cs="宋体"/>
                <w:snapToGrid w:val="0"/>
                <w:color w:val="auto"/>
                <w:spacing w:val="-6"/>
                <w:sz w:val="18"/>
                <w:szCs w:val="18"/>
              </w:rPr>
            </w:pPr>
            <w:r>
              <w:rPr>
                <w:rFonts w:ascii="宋体" w:hAnsi="宋体" w:cs="宋体"/>
                <w:snapToGrid w:val="0"/>
                <w:color w:val="auto"/>
                <w:sz w:val="18"/>
                <w:szCs w:val="18"/>
              </w:rPr>
              <w:t>0.5</w:t>
            </w:r>
            <w:r>
              <w:rPr>
                <w:rFonts w:hint="eastAsia" w:ascii="宋体" w:hAnsi="宋体" w:cs="宋体"/>
                <w:snapToGrid w:val="0"/>
                <w:color w:val="auto"/>
                <w:sz w:val="18"/>
                <w:szCs w:val="18"/>
              </w:rPr>
              <w:t>（不含）</w:t>
            </w:r>
            <w:r>
              <w:rPr>
                <w:rFonts w:ascii="宋体" w:hAnsi="宋体" w:cs="宋体"/>
                <w:snapToGrid w:val="0"/>
                <w:color w:val="auto"/>
                <w:sz w:val="18"/>
                <w:szCs w:val="18"/>
              </w:rPr>
              <w:t>～1.0</w:t>
            </w:r>
          </w:p>
        </w:tc>
        <w:tc>
          <w:tcPr>
            <w:tcW w:w="1091" w:type="dxa"/>
            <w:tcBorders>
              <w:right w:val="single" w:color="000000" w:sz="8" w:space="0"/>
            </w:tcBorders>
            <w:vAlign w:val="center"/>
          </w:tcPr>
          <w:p w14:paraId="1F7B4C31">
            <w:pPr>
              <w:jc w:val="center"/>
              <w:rPr>
                <w:rFonts w:ascii="宋体" w:hAnsi="宋体" w:cs="宋体"/>
                <w:snapToGrid w:val="0"/>
                <w:color w:val="000000"/>
                <w:spacing w:val="-6"/>
                <w:sz w:val="18"/>
                <w:szCs w:val="18"/>
              </w:rPr>
            </w:pPr>
            <w:r>
              <w:rPr>
                <w:rFonts w:ascii="宋体" w:hAnsi="宋体" w:cs="宋体"/>
                <w:snapToGrid w:val="0"/>
                <w:color w:val="000000"/>
                <w:spacing w:val="-6"/>
                <w:sz w:val="18"/>
                <w:szCs w:val="18"/>
              </w:rPr>
              <w:t>长度均匀</w:t>
            </w:r>
          </w:p>
        </w:tc>
      </w:tr>
      <w:tr w14:paraId="4D09A8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990" w:type="dxa"/>
            <w:tcBorders>
              <w:left w:val="single" w:color="000000" w:sz="8" w:space="0"/>
              <w:bottom w:val="single" w:color="000000" w:sz="8" w:space="0"/>
            </w:tcBorders>
            <w:vAlign w:val="center"/>
          </w:tcPr>
          <w:p w14:paraId="6F3C1E4C">
            <w:pPr>
              <w:jc w:val="center"/>
              <w:rPr>
                <w:rFonts w:ascii="宋体" w:hAnsi="宋体" w:cs="宋体"/>
                <w:snapToGrid w:val="0"/>
                <w:color w:val="000000"/>
                <w:sz w:val="18"/>
                <w:szCs w:val="18"/>
              </w:rPr>
            </w:pPr>
            <w:r>
              <w:rPr>
                <w:rFonts w:hint="eastAsia" w:ascii="宋体" w:hAnsi="宋体" w:cs="宋体"/>
                <w:snapToGrid w:val="0"/>
                <w:color w:val="auto"/>
                <w:spacing w:val="-2"/>
                <w:sz w:val="18"/>
                <w:szCs w:val="18"/>
              </w:rPr>
              <w:t>三等</w:t>
            </w:r>
          </w:p>
        </w:tc>
        <w:tc>
          <w:tcPr>
            <w:tcW w:w="1984" w:type="dxa"/>
            <w:tcBorders>
              <w:bottom w:val="single" w:color="000000" w:sz="8" w:space="0"/>
            </w:tcBorders>
            <w:vAlign w:val="center"/>
          </w:tcPr>
          <w:p w14:paraId="38A68C25">
            <w:pPr>
              <w:jc w:val="center"/>
              <w:rPr>
                <w:rFonts w:ascii="宋体" w:hAnsi="宋体" w:cs="宋体"/>
                <w:snapToGrid w:val="0"/>
                <w:color w:val="FF0000"/>
                <w:sz w:val="18"/>
                <w:szCs w:val="18"/>
              </w:rPr>
            </w:pPr>
            <w:r>
              <w:rPr>
                <w:rFonts w:ascii="宋体" w:hAnsi="宋体" w:cs="宋体"/>
                <w:snapToGrid w:val="0"/>
                <w:color w:val="auto"/>
                <w:sz w:val="18"/>
                <w:szCs w:val="18"/>
              </w:rPr>
              <w:t>1.0～1.</w:t>
            </w:r>
            <w:r>
              <w:rPr>
                <w:rFonts w:hint="eastAsia" w:ascii="宋体" w:hAnsi="宋体" w:cs="宋体"/>
                <w:snapToGrid w:val="0"/>
                <w:color w:val="auto"/>
                <w:sz w:val="18"/>
                <w:szCs w:val="18"/>
                <w:lang w:val="en-US" w:eastAsia="zh-CN"/>
              </w:rPr>
              <w:t>5</w:t>
            </w:r>
            <w:r>
              <w:rPr>
                <w:rFonts w:hint="eastAsia" w:ascii="宋体" w:hAnsi="宋体" w:cs="宋体"/>
                <w:snapToGrid w:val="0"/>
                <w:color w:val="auto"/>
                <w:sz w:val="18"/>
                <w:szCs w:val="18"/>
              </w:rPr>
              <w:t>（不含）</w:t>
            </w:r>
          </w:p>
        </w:tc>
        <w:tc>
          <w:tcPr>
            <w:tcW w:w="2126" w:type="dxa"/>
            <w:tcBorders>
              <w:bottom w:val="single" w:color="000000" w:sz="8" w:space="0"/>
            </w:tcBorders>
            <w:vAlign w:val="center"/>
          </w:tcPr>
          <w:p w14:paraId="281A2E90">
            <w:pPr>
              <w:jc w:val="center"/>
              <w:rPr>
                <w:rFonts w:ascii="宋体" w:hAnsi="宋体" w:cs="宋体"/>
                <w:snapToGrid w:val="0"/>
                <w:color w:val="FF0000"/>
                <w:sz w:val="18"/>
                <w:szCs w:val="18"/>
              </w:rPr>
            </w:pPr>
            <w:r>
              <w:rPr>
                <w:rFonts w:hint="eastAsia" w:ascii="宋体" w:hAnsi="宋体" w:cs="宋体"/>
                <w:snapToGrid w:val="0"/>
                <w:color w:val="auto"/>
                <w:sz w:val="18"/>
                <w:szCs w:val="18"/>
              </w:rPr>
              <w:t>0</w:t>
            </w:r>
            <w:r>
              <w:rPr>
                <w:rFonts w:ascii="宋体" w:hAnsi="宋体" w:cs="宋体"/>
                <w:snapToGrid w:val="0"/>
                <w:color w:val="auto"/>
                <w:sz w:val="18"/>
                <w:szCs w:val="18"/>
              </w:rPr>
              <w:t>.050～</w:t>
            </w:r>
            <w:r>
              <w:rPr>
                <w:rFonts w:hint="eastAsia" w:ascii="宋体" w:hAnsi="宋体" w:cs="宋体"/>
                <w:snapToGrid w:val="0"/>
                <w:color w:val="auto"/>
                <w:sz w:val="18"/>
                <w:szCs w:val="18"/>
              </w:rPr>
              <w:t>0</w:t>
            </w:r>
            <w:r>
              <w:rPr>
                <w:rFonts w:ascii="宋体" w:hAnsi="宋体" w:cs="宋体"/>
                <w:snapToGrid w:val="0"/>
                <w:color w:val="auto"/>
                <w:sz w:val="18"/>
                <w:szCs w:val="18"/>
              </w:rPr>
              <w:t>.055</w:t>
            </w:r>
            <w:r>
              <w:rPr>
                <w:rFonts w:hint="eastAsia" w:ascii="宋体" w:hAnsi="宋体" w:cs="宋体"/>
                <w:snapToGrid w:val="0"/>
                <w:color w:val="auto"/>
                <w:sz w:val="18"/>
                <w:szCs w:val="18"/>
              </w:rPr>
              <w:t>（不含）</w:t>
            </w:r>
          </w:p>
        </w:tc>
        <w:tc>
          <w:tcPr>
            <w:tcW w:w="1985" w:type="dxa"/>
            <w:tcBorders>
              <w:bottom w:val="single" w:color="000000" w:sz="8" w:space="0"/>
            </w:tcBorders>
            <w:vAlign w:val="center"/>
          </w:tcPr>
          <w:p w14:paraId="5F7C9232">
            <w:pPr>
              <w:jc w:val="center"/>
              <w:rPr>
                <w:rFonts w:ascii="宋体" w:hAnsi="宋体" w:cs="宋体"/>
                <w:snapToGrid w:val="0"/>
                <w:color w:val="auto"/>
                <w:spacing w:val="-6"/>
                <w:sz w:val="18"/>
                <w:szCs w:val="18"/>
              </w:rPr>
            </w:pPr>
            <w:r>
              <w:rPr>
                <w:rFonts w:ascii="宋体" w:hAnsi="宋体" w:cs="宋体"/>
                <w:snapToGrid w:val="0"/>
                <w:color w:val="auto"/>
                <w:sz w:val="18"/>
                <w:szCs w:val="18"/>
              </w:rPr>
              <w:t>12</w:t>
            </w:r>
            <w:r>
              <w:rPr>
                <w:rFonts w:hint="eastAsia" w:ascii="宋体" w:hAnsi="宋体" w:cs="宋体"/>
                <w:snapToGrid w:val="0"/>
                <w:color w:val="auto"/>
                <w:sz w:val="18"/>
                <w:szCs w:val="18"/>
              </w:rPr>
              <w:t>（不含）</w:t>
            </w:r>
            <w:r>
              <w:rPr>
                <w:rFonts w:ascii="宋体" w:hAnsi="宋体" w:cs="宋体"/>
                <w:snapToGrid w:val="0"/>
                <w:color w:val="auto"/>
                <w:sz w:val="18"/>
                <w:szCs w:val="18"/>
              </w:rPr>
              <w:t>～13</w:t>
            </w:r>
          </w:p>
        </w:tc>
        <w:tc>
          <w:tcPr>
            <w:tcW w:w="1559" w:type="dxa"/>
            <w:tcBorders>
              <w:bottom w:val="single" w:color="000000" w:sz="8" w:space="0"/>
            </w:tcBorders>
            <w:vAlign w:val="center"/>
          </w:tcPr>
          <w:p w14:paraId="6CF7E029">
            <w:pPr>
              <w:jc w:val="center"/>
              <w:rPr>
                <w:rFonts w:ascii="宋体" w:hAnsi="宋体" w:cs="宋体"/>
                <w:snapToGrid w:val="0"/>
                <w:color w:val="auto"/>
                <w:spacing w:val="-6"/>
                <w:sz w:val="18"/>
                <w:szCs w:val="18"/>
              </w:rPr>
            </w:pPr>
            <w:r>
              <w:rPr>
                <w:rFonts w:ascii="宋体" w:hAnsi="宋体" w:cs="宋体"/>
                <w:snapToGrid w:val="0"/>
                <w:color w:val="auto"/>
                <w:sz w:val="18"/>
                <w:szCs w:val="18"/>
              </w:rPr>
              <w:t>1.0</w:t>
            </w:r>
            <w:r>
              <w:rPr>
                <w:rFonts w:hint="eastAsia" w:ascii="宋体" w:hAnsi="宋体" w:cs="宋体"/>
                <w:snapToGrid w:val="0"/>
                <w:color w:val="auto"/>
                <w:sz w:val="18"/>
                <w:szCs w:val="18"/>
              </w:rPr>
              <w:t>（不含）</w:t>
            </w:r>
            <w:r>
              <w:rPr>
                <w:rFonts w:ascii="宋体" w:hAnsi="宋体" w:cs="宋体"/>
                <w:snapToGrid w:val="0"/>
                <w:color w:val="auto"/>
                <w:sz w:val="18"/>
                <w:szCs w:val="18"/>
              </w:rPr>
              <w:t>～2.0</w:t>
            </w:r>
          </w:p>
        </w:tc>
        <w:tc>
          <w:tcPr>
            <w:tcW w:w="1091" w:type="dxa"/>
            <w:tcBorders>
              <w:bottom w:val="single" w:color="000000" w:sz="8" w:space="0"/>
              <w:right w:val="single" w:color="000000" w:sz="8" w:space="0"/>
            </w:tcBorders>
            <w:vAlign w:val="center"/>
          </w:tcPr>
          <w:p w14:paraId="3120C2D7">
            <w:pPr>
              <w:jc w:val="center"/>
              <w:rPr>
                <w:rFonts w:ascii="宋体" w:hAnsi="宋体" w:cs="宋体"/>
                <w:snapToGrid w:val="0"/>
                <w:color w:val="000000"/>
                <w:spacing w:val="-6"/>
                <w:sz w:val="18"/>
                <w:szCs w:val="18"/>
              </w:rPr>
            </w:pPr>
            <w:r>
              <w:rPr>
                <w:rFonts w:hint="eastAsia" w:ascii="宋体" w:hAnsi="宋体" w:cs="宋体"/>
                <w:snapToGrid w:val="0"/>
                <w:color w:val="000000"/>
                <w:spacing w:val="-6"/>
                <w:sz w:val="18"/>
                <w:szCs w:val="18"/>
              </w:rPr>
              <w:t>长度不均</w:t>
            </w:r>
          </w:p>
        </w:tc>
      </w:tr>
    </w:tbl>
    <w:p w14:paraId="3E8B3A59">
      <w:pPr>
        <w:numPr>
          <w:ilvl w:val="0"/>
          <w:numId w:val="0"/>
        </w:numPr>
        <w:spacing w:line="360" w:lineRule="auto"/>
        <w:ind w:left="0" w:leftChars="0" w:firstLine="420" w:firstLineChars="200"/>
        <w:rPr>
          <w:rFonts w:hint="default"/>
          <w:lang w:val="en-US" w:eastAsia="zh-CN"/>
        </w:rPr>
      </w:pPr>
      <w:r>
        <w:rPr>
          <w:rFonts w:hint="eastAsia"/>
          <w:lang w:val="en-US" w:eastAsia="zh-CN"/>
        </w:rPr>
        <w:t>（2）删除对红花标准品的要求。</w:t>
      </w:r>
    </w:p>
    <w:p w14:paraId="3A0E924F">
      <w:pPr>
        <w:pStyle w:val="26"/>
        <w:spacing w:line="360" w:lineRule="auto"/>
        <w:ind w:firstLine="0" w:firstLineChars="0"/>
        <w:outlineLvl w:val="0"/>
        <w:rPr>
          <w:rFonts w:ascii="Times New Roman"/>
          <w:b/>
          <w:bCs/>
          <w:kern w:val="2"/>
          <w:szCs w:val="21"/>
        </w:rPr>
      </w:pPr>
      <w:bookmarkStart w:id="6" w:name="_Toc117950057"/>
      <w:bookmarkStart w:id="7" w:name="_Toc117955400"/>
      <w:r>
        <w:rPr>
          <w:rFonts w:ascii="Times New Roman"/>
          <w:b/>
          <w:bCs/>
          <w:kern w:val="2"/>
          <w:szCs w:val="21"/>
        </w:rPr>
        <w:t>3. 主要参加单位和工作组成员</w:t>
      </w:r>
      <w:bookmarkEnd w:id="6"/>
      <w:bookmarkEnd w:id="7"/>
    </w:p>
    <w:p w14:paraId="5C1AD41F">
      <w:pPr>
        <w:spacing w:line="360" w:lineRule="auto"/>
        <w:ind w:firstLine="420"/>
      </w:pPr>
      <w:r>
        <w:t>项目责任单位：悦康药业集团股份有限公司。</w:t>
      </w:r>
    </w:p>
    <w:p w14:paraId="346ACD7B">
      <w:pPr>
        <w:spacing w:line="360" w:lineRule="auto"/>
        <w:ind w:firstLine="420"/>
      </w:pPr>
      <w:r>
        <w:t>项目参与单位：悦康药业集团股份有限公司、中国中医科学院中药研究所、北京明阳华夏科技有限公司。</w:t>
      </w:r>
    </w:p>
    <w:p w14:paraId="09B2EA04">
      <w:pPr>
        <w:spacing w:line="360" w:lineRule="auto"/>
        <w:ind w:firstLine="420" w:firstLineChars="200"/>
      </w:pPr>
      <w:r>
        <w:t>本标准主要起草人：</w:t>
      </w:r>
      <w:r>
        <w:rPr>
          <w:rFonts w:hint="eastAsia"/>
        </w:rPr>
        <w:t>谭余庆、马海、杨磊、段胜男、袁飞、秦华、赵庆贺、杨米一、刘丽、张天军、郗军、蔡仲德、徐宝欣、徐静雅、秦东升、张斌</w:t>
      </w:r>
      <w:r>
        <w:t>。</w:t>
      </w:r>
    </w:p>
    <w:p w14:paraId="0049974D">
      <w:pPr>
        <w:pStyle w:val="26"/>
        <w:spacing w:line="360" w:lineRule="auto"/>
        <w:ind w:firstLine="0" w:firstLineChars="0"/>
        <w:outlineLvl w:val="0"/>
        <w:rPr>
          <w:rFonts w:ascii="Times New Roman"/>
          <w:b/>
          <w:bCs/>
          <w:kern w:val="2"/>
          <w:szCs w:val="21"/>
        </w:rPr>
      </w:pPr>
      <w:bookmarkStart w:id="8" w:name="_Toc117955401"/>
      <w:bookmarkStart w:id="9" w:name="_Toc117950058"/>
      <w:r>
        <w:rPr>
          <w:rFonts w:ascii="Times New Roman"/>
          <w:b/>
          <w:bCs/>
          <w:kern w:val="2"/>
          <w:szCs w:val="21"/>
        </w:rPr>
        <w:t>二、</w:t>
      </w:r>
      <w:r>
        <w:rPr>
          <w:rFonts w:hint="eastAsia" w:ascii="Times New Roman"/>
          <w:b/>
          <w:bCs/>
          <w:kern w:val="2"/>
          <w:szCs w:val="21"/>
        </w:rPr>
        <w:t>质量分级</w:t>
      </w:r>
      <w:r>
        <w:rPr>
          <w:rFonts w:ascii="Times New Roman"/>
          <w:b/>
          <w:bCs/>
          <w:kern w:val="2"/>
          <w:szCs w:val="21"/>
        </w:rPr>
        <w:t>的必要性和意义</w:t>
      </w:r>
      <w:bookmarkEnd w:id="8"/>
      <w:bookmarkEnd w:id="9"/>
    </w:p>
    <w:p w14:paraId="5B41F104">
      <w:pPr>
        <w:spacing w:line="360" w:lineRule="auto"/>
        <w:ind w:firstLine="420" w:firstLineChars="200"/>
      </w:pPr>
      <w:r>
        <w:rPr>
          <w:rFonts w:hint="eastAsia"/>
        </w:rPr>
        <w:t>中药饮片在中药行业中具有举足轻重的地位，质量仍是核心。中药饮片等级划分最终表现的是中药饮片质量优劣问题。因此，饮片等级划分呼应了中药饮片行业、中医大夫及患者对饮片质量控制的心声。毋庸置疑，好质量的饮片产生好的临床疗效，如有研究表明，不同等级的羌活，其产生的镇痛、抗炎效果有差异。但是，中药饮片等级的划分对于行业来说是难点，对于研究者是挑战。因其中药饮片规格等级本身形成的复杂性、多样性。尽管如此，有关中药饮片行业的专家也极力建议饮片分级管理和实现优质优价政策，那么该如何科学、合理、有效的划分中药饮片等级一直都是中药饮片行业不断探讨的问题。如今，药材大部分来源于家种，化肥、农药等施与，仅靠传统的辨、状、论、质理论来判别饮片的质量优劣是值得商榷的。现代学者的评级的一致思路为将饮片内在质量（有效成分（组或群））与外观性状（大小、断面、颜色等）相结合来综合评价饮片等级。这种思路的特点是内外兼顾，力求综合整体评价，是较好的饮片等级评价思路。但如何将内在质量与外观性状有效的结合、内在指标该如何的选择等等，这些依然是难点。如丹参，若以丹参酮ⅡA为内在指标，会发现与直径大小呈负相关；若以丹酚酸B为内在指标，则与直径、质地、颜色呈正相关。如黄芪，黄芪甲苷与直径大小呈负相关。如款冬花，传统方法分级的款冬花与芦丁含量不相关。这些足以说明内在指标选择的重要性，我们尽可能选择关联药效的多指标成分，进而以某种方式与外观性状巧妙结合，尽量得出一个具体量化的数值来划分饮片等级。值得注意的是，饮片涉及切制工艺，因此，饮片等级的划分必须将切制工艺考虑在内（公众号：开发培育联盟）。</w:t>
      </w:r>
    </w:p>
    <w:p w14:paraId="55B7DB4F">
      <w:pPr>
        <w:spacing w:line="360" w:lineRule="auto"/>
        <w:ind w:firstLine="420" w:firstLineChars="200"/>
      </w:pPr>
      <w:r>
        <w:rPr>
          <w:rFonts w:hint="eastAsia"/>
        </w:rPr>
        <w:t>当前，中药饮片等级划分也没有一种很好的通用的方法划分所有饮片等级，仍处于研究、探索阶段。在这样的背景下，急需科研人员不断努力、创新，寻找出符合中药饮片特点的方法解决行业饮片等级划分的难题，以此建立科学的评级标准，提高企业生产优质饮片的积极性，促使更多的优质饮片流通市场，保障中药行业健康永续发展。</w:t>
      </w:r>
    </w:p>
    <w:p w14:paraId="7B396F89">
      <w:pPr>
        <w:pStyle w:val="26"/>
        <w:spacing w:line="360" w:lineRule="auto"/>
        <w:ind w:firstLine="0" w:firstLineChars="0"/>
        <w:outlineLvl w:val="0"/>
        <w:rPr>
          <w:rFonts w:ascii="Times New Roman"/>
          <w:b/>
          <w:bCs/>
          <w:kern w:val="2"/>
          <w:szCs w:val="21"/>
        </w:rPr>
      </w:pPr>
      <w:bookmarkStart w:id="10" w:name="_Toc117950059"/>
      <w:bookmarkStart w:id="11" w:name="_Toc117955402"/>
      <w:r>
        <w:rPr>
          <w:rFonts w:ascii="Times New Roman"/>
          <w:b/>
          <w:bCs/>
          <w:kern w:val="2"/>
          <w:szCs w:val="21"/>
        </w:rPr>
        <w:t>三、标准编制原则和主要内容</w:t>
      </w:r>
      <w:bookmarkEnd w:id="10"/>
      <w:bookmarkEnd w:id="11"/>
    </w:p>
    <w:p w14:paraId="382B80DE">
      <w:pPr>
        <w:pStyle w:val="26"/>
        <w:spacing w:line="360" w:lineRule="auto"/>
        <w:ind w:firstLine="0" w:firstLineChars="0"/>
        <w:outlineLvl w:val="0"/>
        <w:rPr>
          <w:rFonts w:ascii="Times New Roman"/>
          <w:b/>
          <w:bCs/>
          <w:kern w:val="2"/>
          <w:szCs w:val="21"/>
        </w:rPr>
      </w:pPr>
      <w:bookmarkStart w:id="12" w:name="_Toc117950060"/>
      <w:bookmarkStart w:id="13" w:name="_Toc117955403"/>
      <w:r>
        <w:rPr>
          <w:rFonts w:ascii="Times New Roman"/>
          <w:b/>
          <w:bCs/>
          <w:kern w:val="2"/>
          <w:szCs w:val="21"/>
        </w:rPr>
        <w:t>1. 编制原则</w:t>
      </w:r>
      <w:bookmarkEnd w:id="12"/>
      <w:bookmarkEnd w:id="13"/>
    </w:p>
    <w:p w14:paraId="6D9ABE3F">
      <w:pPr>
        <w:spacing w:line="360" w:lineRule="auto"/>
        <w:ind w:firstLine="420" w:firstLineChars="200"/>
        <w:rPr>
          <w:kern w:val="0"/>
          <w:szCs w:val="21"/>
        </w:rPr>
      </w:pPr>
      <w:r>
        <w:rPr>
          <w:kern w:val="0"/>
          <w:szCs w:val="21"/>
        </w:rPr>
        <w:t>全国人大常委会在2017年11月4日审议通过新修订的《标准化法》，该法第二条规定：“标准包括国家标准、行业标准、地方标准和团体标准、企业标准。”从法律上进一步明确了团体标准地位。我国现行的法规体系中，国家标准、行业标准、地方标准属于政府标准，由政府主导制定；团体标准和企业标准属于市场标准，由市场自主制定。政府标准与市场标准协同发展、协调配套。市场标准除了快速反应市场需求外，其承载的一个重要功能就是创新。</w:t>
      </w:r>
    </w:p>
    <w:p w14:paraId="16577380">
      <w:pPr>
        <w:spacing w:line="360" w:lineRule="auto"/>
        <w:ind w:firstLine="420" w:firstLineChars="200"/>
        <w:rPr>
          <w:kern w:val="0"/>
          <w:szCs w:val="21"/>
        </w:rPr>
      </w:pPr>
      <w:r>
        <w:rPr>
          <w:kern w:val="0"/>
          <w:szCs w:val="21"/>
        </w:rPr>
        <w:t>本标准编制符合国家现行法律法规及相关规定及要求，并基于GB/T 1.1－2020 《标准化工作导则 第1部分：标准的结构和编写》、GB/T 20000《标准化工作指南》等系列标准的要求，以企业相关项目试验测试的相关试验数据和调研的数据为依据，结合专家和行业意见建议进行本标准的编制起草。</w:t>
      </w:r>
    </w:p>
    <w:p w14:paraId="0E81BF8F">
      <w:pPr>
        <w:pStyle w:val="26"/>
        <w:spacing w:line="360" w:lineRule="auto"/>
        <w:ind w:firstLine="0" w:firstLineChars="0"/>
        <w:outlineLvl w:val="0"/>
        <w:rPr>
          <w:rFonts w:ascii="Times New Roman"/>
          <w:b/>
          <w:bCs/>
          <w:kern w:val="2"/>
          <w:szCs w:val="21"/>
        </w:rPr>
      </w:pPr>
      <w:bookmarkStart w:id="14" w:name="_Toc117950061"/>
      <w:bookmarkStart w:id="15" w:name="_Toc117955404"/>
      <w:r>
        <w:rPr>
          <w:rFonts w:ascii="Times New Roman"/>
          <w:b/>
          <w:bCs/>
          <w:kern w:val="2"/>
          <w:szCs w:val="21"/>
        </w:rPr>
        <w:t>2. 主要内容</w:t>
      </w:r>
      <w:bookmarkEnd w:id="14"/>
      <w:bookmarkEnd w:id="15"/>
    </w:p>
    <w:p w14:paraId="6A51F733">
      <w:pPr>
        <w:spacing w:line="360" w:lineRule="auto"/>
        <w:ind w:firstLine="420" w:firstLineChars="200"/>
        <w:rPr>
          <w:kern w:val="0"/>
          <w:szCs w:val="21"/>
        </w:rPr>
      </w:pPr>
      <w:r>
        <w:rPr>
          <w:rFonts w:hint="eastAsia"/>
          <w:kern w:val="0"/>
          <w:szCs w:val="21"/>
        </w:rPr>
        <w:t>为了保证红花的质量，解决红花产业中存在的一些问题，如掺假（有喷洒盐水、红糖水，喷洒橙色、红色染色剂），市场调查中，主要质量问题为掺沙现象，应加强和控制原料药材红花的质量</w:t>
      </w:r>
      <w:r>
        <w:rPr>
          <w:kern w:val="0"/>
          <w:szCs w:val="21"/>
        </w:rPr>
        <w:t>，制订本文件。本文件规定了</w:t>
      </w:r>
      <w:r>
        <w:rPr>
          <w:rFonts w:hint="eastAsia"/>
          <w:kern w:val="0"/>
          <w:szCs w:val="21"/>
        </w:rPr>
        <w:t>红花的来源、性状、鉴别、检查及规格等级等方面的要求</w:t>
      </w:r>
      <w:r>
        <w:rPr>
          <w:kern w:val="0"/>
          <w:szCs w:val="21"/>
        </w:rPr>
        <w:t>。</w:t>
      </w:r>
    </w:p>
    <w:p w14:paraId="61E18605">
      <w:pPr>
        <w:spacing w:line="360" w:lineRule="auto"/>
        <w:ind w:firstLine="420" w:firstLineChars="200"/>
        <w:jc w:val="left"/>
        <w:rPr>
          <w:kern w:val="0"/>
          <w:szCs w:val="21"/>
        </w:rPr>
      </w:pPr>
      <w:r>
        <w:rPr>
          <w:kern w:val="0"/>
          <w:szCs w:val="21"/>
        </w:rPr>
        <w:t>本</w:t>
      </w:r>
      <w:r>
        <w:rPr>
          <w:rFonts w:hint="eastAsia"/>
          <w:kern w:val="0"/>
          <w:szCs w:val="21"/>
        </w:rPr>
        <w:t>文件</w:t>
      </w:r>
      <w:r>
        <w:rPr>
          <w:kern w:val="0"/>
          <w:szCs w:val="21"/>
        </w:rPr>
        <w:t>适用于</w:t>
      </w:r>
      <w:r>
        <w:rPr>
          <w:rFonts w:hint="eastAsia"/>
          <w:kern w:val="0"/>
          <w:szCs w:val="21"/>
        </w:rPr>
        <w:t>红花的生产、流通以及使用过程中的红花质量评价</w:t>
      </w:r>
      <w:r>
        <w:rPr>
          <w:kern w:val="0"/>
          <w:szCs w:val="21"/>
        </w:rPr>
        <w:t>。</w:t>
      </w:r>
    </w:p>
    <w:p w14:paraId="4D3B1D44">
      <w:pPr>
        <w:spacing w:line="360" w:lineRule="auto"/>
        <w:ind w:firstLine="420" w:firstLineChars="200"/>
        <w:jc w:val="left"/>
        <w:rPr>
          <w:kern w:val="0"/>
          <w:szCs w:val="21"/>
        </w:rPr>
      </w:pPr>
      <w:r>
        <w:rPr>
          <w:kern w:val="0"/>
          <w:szCs w:val="21"/>
        </w:rPr>
        <w:t>本</w:t>
      </w:r>
      <w:r>
        <w:rPr>
          <w:rFonts w:hint="eastAsia"/>
          <w:kern w:val="0"/>
          <w:szCs w:val="21"/>
        </w:rPr>
        <w:t>文件</w:t>
      </w:r>
      <w:r>
        <w:rPr>
          <w:kern w:val="0"/>
          <w:szCs w:val="21"/>
        </w:rPr>
        <w:t>的主要内容有：范围、规范性文件、术语和定义以及</w:t>
      </w:r>
      <w:bookmarkStart w:id="16" w:name="_Toc117950062"/>
      <w:r>
        <w:rPr>
          <w:kern w:val="0"/>
          <w:szCs w:val="21"/>
        </w:rPr>
        <w:t>红花的</w:t>
      </w:r>
      <w:r>
        <w:rPr>
          <w:rFonts w:hint="eastAsia"/>
          <w:kern w:val="0"/>
          <w:szCs w:val="21"/>
        </w:rPr>
        <w:t>来源、性状、鉴别、检查及规格等级。</w:t>
      </w:r>
    </w:p>
    <w:p w14:paraId="63BD07AF">
      <w:pPr>
        <w:pStyle w:val="26"/>
        <w:spacing w:line="360" w:lineRule="auto"/>
        <w:ind w:firstLine="0" w:firstLineChars="0"/>
        <w:outlineLvl w:val="0"/>
        <w:rPr>
          <w:rFonts w:ascii="Times New Roman"/>
          <w:b/>
          <w:bCs/>
          <w:kern w:val="2"/>
          <w:szCs w:val="21"/>
        </w:rPr>
      </w:pPr>
      <w:bookmarkStart w:id="17" w:name="_Toc117955405"/>
      <w:r>
        <w:rPr>
          <w:rFonts w:ascii="Times New Roman"/>
          <w:b/>
          <w:bCs/>
          <w:kern w:val="2"/>
          <w:szCs w:val="21"/>
        </w:rPr>
        <w:t>四、主要试验内容</w:t>
      </w:r>
      <w:bookmarkEnd w:id="16"/>
      <w:bookmarkEnd w:id="17"/>
    </w:p>
    <w:p w14:paraId="1BD2C86C">
      <w:pPr>
        <w:autoSpaceDE w:val="0"/>
        <w:autoSpaceDN w:val="0"/>
        <w:spacing w:line="360" w:lineRule="auto"/>
        <w:ind w:firstLine="420" w:firstLineChars="200"/>
        <w:rPr>
          <w:szCs w:val="21"/>
        </w:rPr>
      </w:pPr>
      <w:r>
        <w:rPr>
          <w:szCs w:val="21"/>
        </w:rPr>
        <w:t>红花检验是保证红花质量的重要环节，包括性状、杂质（通则2301）、水分（通则0832第二法）、灰分（通则2302）、浸出物（通则2201项下的冷浸法）、酸不溶性灰分（通则2302）、吸光度（通则0401）、农药残留（标准要求如表1所示）、重金属（标准要求如表2所示）及微生物限度（标准要求如表3所示）等均需满足《中华人民共和国药典》2020</w:t>
      </w:r>
      <w:r>
        <w:rPr>
          <w:rFonts w:hint="eastAsia"/>
          <w:szCs w:val="21"/>
        </w:rPr>
        <w:t>年</w:t>
      </w:r>
      <w:r>
        <w:rPr>
          <w:szCs w:val="21"/>
        </w:rPr>
        <w:t>版中对红花的要求，检测方法见《中华人民共和国药典》2020</w:t>
      </w:r>
      <w:r>
        <w:rPr>
          <w:rFonts w:hint="eastAsia"/>
          <w:szCs w:val="21"/>
        </w:rPr>
        <w:t>年</w:t>
      </w:r>
      <w:r>
        <w:rPr>
          <w:szCs w:val="21"/>
        </w:rPr>
        <w:t>版。</w:t>
      </w:r>
    </w:p>
    <w:p w14:paraId="70E969EF">
      <w:pPr>
        <w:autoSpaceDE w:val="0"/>
        <w:autoSpaceDN w:val="0"/>
        <w:spacing w:line="360" w:lineRule="auto"/>
        <w:jc w:val="center"/>
        <w:rPr>
          <w:szCs w:val="21"/>
        </w:rPr>
      </w:pPr>
      <w:r>
        <w:rPr>
          <w:szCs w:val="21"/>
        </w:rPr>
        <w:t>表1 药材污染风险筛选值（重金属）</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057"/>
        <w:gridCol w:w="3472"/>
        <w:gridCol w:w="1417"/>
        <w:gridCol w:w="1360"/>
      </w:tblGrid>
      <w:tr w14:paraId="1DB1780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top w:val="single" w:color="auto" w:sz="8" w:space="0"/>
              <w:bottom w:val="single" w:color="auto" w:sz="8" w:space="0"/>
            </w:tcBorders>
            <w:vAlign w:val="center"/>
          </w:tcPr>
          <w:p w14:paraId="6D786452">
            <w:pPr>
              <w:autoSpaceDE w:val="0"/>
              <w:autoSpaceDN w:val="0"/>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检测项目</w:t>
            </w:r>
          </w:p>
        </w:tc>
        <w:tc>
          <w:tcPr>
            <w:tcW w:w="3472" w:type="dxa"/>
            <w:tcBorders>
              <w:top w:val="single" w:color="auto" w:sz="8" w:space="0"/>
              <w:bottom w:val="single" w:color="auto" w:sz="8" w:space="0"/>
            </w:tcBorders>
            <w:vAlign w:val="center"/>
          </w:tcPr>
          <w:p w14:paraId="0675996A">
            <w:pPr>
              <w:autoSpaceDE w:val="0"/>
              <w:autoSpaceDN w:val="0"/>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检测方法</w:t>
            </w:r>
          </w:p>
        </w:tc>
        <w:tc>
          <w:tcPr>
            <w:tcW w:w="1417" w:type="dxa"/>
            <w:tcBorders>
              <w:top w:val="single" w:color="auto" w:sz="8" w:space="0"/>
              <w:bottom w:val="single" w:color="auto" w:sz="8" w:space="0"/>
            </w:tcBorders>
            <w:vAlign w:val="center"/>
          </w:tcPr>
          <w:p w14:paraId="664D0DD4">
            <w:pPr>
              <w:autoSpaceDE w:val="0"/>
              <w:autoSpaceDN w:val="0"/>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标准要求</w:t>
            </w:r>
          </w:p>
        </w:tc>
        <w:tc>
          <w:tcPr>
            <w:tcW w:w="1360" w:type="dxa"/>
            <w:tcBorders>
              <w:top w:val="single" w:color="auto" w:sz="8" w:space="0"/>
              <w:bottom w:val="single" w:color="auto" w:sz="8" w:space="0"/>
            </w:tcBorders>
            <w:vAlign w:val="center"/>
          </w:tcPr>
          <w:p w14:paraId="65EEC5B8">
            <w:pPr>
              <w:autoSpaceDE w:val="0"/>
              <w:autoSpaceDN w:val="0"/>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单位</w:t>
            </w:r>
          </w:p>
        </w:tc>
      </w:tr>
      <w:tr w14:paraId="34145BF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top w:val="single" w:color="auto" w:sz="8" w:space="0"/>
            </w:tcBorders>
            <w:vAlign w:val="center"/>
          </w:tcPr>
          <w:p w14:paraId="39F9ACCA">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镉</w:t>
            </w:r>
          </w:p>
        </w:tc>
        <w:tc>
          <w:tcPr>
            <w:tcW w:w="3472" w:type="dxa"/>
            <w:tcBorders>
              <w:top w:val="single" w:color="auto" w:sz="8" w:space="0"/>
            </w:tcBorders>
            <w:vAlign w:val="center"/>
          </w:tcPr>
          <w:p w14:paraId="2398FE32">
            <w:pPr>
              <w:autoSpaceDE w:val="0"/>
              <w:autoSpaceDN w:val="0"/>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《中国药典》2020年版 第四部</w:t>
            </w:r>
          </w:p>
        </w:tc>
        <w:tc>
          <w:tcPr>
            <w:tcW w:w="1417" w:type="dxa"/>
            <w:tcBorders>
              <w:top w:val="single" w:color="auto" w:sz="8" w:space="0"/>
            </w:tcBorders>
            <w:vAlign w:val="center"/>
          </w:tcPr>
          <w:p w14:paraId="41FEDE3B">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1.0</w:t>
            </w:r>
          </w:p>
        </w:tc>
        <w:tc>
          <w:tcPr>
            <w:tcW w:w="1360" w:type="dxa"/>
            <w:tcBorders>
              <w:top w:val="single" w:color="auto" w:sz="8" w:space="0"/>
            </w:tcBorders>
            <w:vAlign w:val="center"/>
          </w:tcPr>
          <w:p w14:paraId="52AA25A2">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mg/kg</w:t>
            </w:r>
          </w:p>
        </w:tc>
      </w:tr>
      <w:tr w14:paraId="152F533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16469EAB">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汞</w:t>
            </w:r>
          </w:p>
        </w:tc>
        <w:tc>
          <w:tcPr>
            <w:tcW w:w="3472" w:type="dxa"/>
            <w:vAlign w:val="center"/>
          </w:tcPr>
          <w:p w14:paraId="0E3439E0">
            <w:pPr>
              <w:autoSpaceDE w:val="0"/>
              <w:autoSpaceDN w:val="0"/>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《中国药典》2020年版 第四部</w:t>
            </w:r>
          </w:p>
        </w:tc>
        <w:tc>
          <w:tcPr>
            <w:tcW w:w="1417" w:type="dxa"/>
            <w:vAlign w:val="center"/>
          </w:tcPr>
          <w:p w14:paraId="2FE39FF2">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≤0.2</w:t>
            </w:r>
          </w:p>
        </w:tc>
        <w:tc>
          <w:tcPr>
            <w:tcW w:w="1360" w:type="dxa"/>
            <w:vAlign w:val="center"/>
          </w:tcPr>
          <w:p w14:paraId="17325E19">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mg/kg</w:t>
            </w:r>
          </w:p>
        </w:tc>
      </w:tr>
      <w:tr w14:paraId="7C71624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37C5218F">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砷</w:t>
            </w:r>
          </w:p>
        </w:tc>
        <w:tc>
          <w:tcPr>
            <w:tcW w:w="3472" w:type="dxa"/>
            <w:vAlign w:val="center"/>
          </w:tcPr>
          <w:p w14:paraId="1BDE355C">
            <w:pPr>
              <w:autoSpaceDE w:val="0"/>
              <w:autoSpaceDN w:val="0"/>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《中国药典》2020年版 第四部</w:t>
            </w:r>
          </w:p>
        </w:tc>
        <w:tc>
          <w:tcPr>
            <w:tcW w:w="1417" w:type="dxa"/>
            <w:vAlign w:val="center"/>
          </w:tcPr>
          <w:p w14:paraId="2F212FC1">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.0</w:t>
            </w:r>
          </w:p>
        </w:tc>
        <w:tc>
          <w:tcPr>
            <w:tcW w:w="1360" w:type="dxa"/>
            <w:vAlign w:val="center"/>
          </w:tcPr>
          <w:p w14:paraId="68DE84AC">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mg/kg</w:t>
            </w:r>
          </w:p>
        </w:tc>
      </w:tr>
      <w:tr w14:paraId="305120C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bottom w:val="single" w:color="auto" w:sz="4" w:space="0"/>
            </w:tcBorders>
            <w:vAlign w:val="center"/>
          </w:tcPr>
          <w:p w14:paraId="07CE778B">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铅</w:t>
            </w:r>
          </w:p>
        </w:tc>
        <w:tc>
          <w:tcPr>
            <w:tcW w:w="3472" w:type="dxa"/>
            <w:tcBorders>
              <w:bottom w:val="single" w:color="auto" w:sz="4" w:space="0"/>
            </w:tcBorders>
            <w:vAlign w:val="center"/>
          </w:tcPr>
          <w:p w14:paraId="1D129F4B">
            <w:pPr>
              <w:autoSpaceDE w:val="0"/>
              <w:autoSpaceDN w:val="0"/>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《中国药典》2020年版 第四部</w:t>
            </w:r>
          </w:p>
        </w:tc>
        <w:tc>
          <w:tcPr>
            <w:tcW w:w="1417" w:type="dxa"/>
            <w:tcBorders>
              <w:bottom w:val="single" w:color="auto" w:sz="4" w:space="0"/>
            </w:tcBorders>
            <w:vAlign w:val="center"/>
          </w:tcPr>
          <w:p w14:paraId="37FCEAF3">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.0</w:t>
            </w:r>
          </w:p>
        </w:tc>
        <w:tc>
          <w:tcPr>
            <w:tcW w:w="1360" w:type="dxa"/>
            <w:tcBorders>
              <w:bottom w:val="single" w:color="auto" w:sz="4" w:space="0"/>
            </w:tcBorders>
            <w:vAlign w:val="center"/>
          </w:tcPr>
          <w:p w14:paraId="0BAE0010">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mg/kg</w:t>
            </w:r>
          </w:p>
        </w:tc>
      </w:tr>
      <w:tr w14:paraId="312C78F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bottom w:val="single" w:color="auto" w:sz="8" w:space="0"/>
            </w:tcBorders>
            <w:vAlign w:val="center"/>
          </w:tcPr>
          <w:p w14:paraId="31E867F4">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铜</w:t>
            </w:r>
          </w:p>
        </w:tc>
        <w:tc>
          <w:tcPr>
            <w:tcW w:w="3472" w:type="dxa"/>
            <w:tcBorders>
              <w:bottom w:val="single" w:color="auto" w:sz="8" w:space="0"/>
            </w:tcBorders>
            <w:vAlign w:val="center"/>
          </w:tcPr>
          <w:p w14:paraId="2F00F6EE">
            <w:pPr>
              <w:autoSpaceDE w:val="0"/>
              <w:autoSpaceDN w:val="0"/>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《中国药典》2020年版 第四部</w:t>
            </w:r>
          </w:p>
        </w:tc>
        <w:tc>
          <w:tcPr>
            <w:tcW w:w="1417" w:type="dxa"/>
            <w:tcBorders>
              <w:bottom w:val="single" w:color="auto" w:sz="8" w:space="0"/>
            </w:tcBorders>
            <w:vAlign w:val="center"/>
          </w:tcPr>
          <w:p w14:paraId="26A5B4C5">
            <w:pPr>
              <w:autoSpaceDE w:val="0"/>
              <w:autoSpaceDN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r>
              <w:rPr>
                <w:rFonts w:hint="eastAsia"/>
                <w:color w:val="000000" w:themeColor="text1"/>
                <w:szCs w:val="21"/>
                <w14:textFill>
                  <w14:solidFill>
                    <w14:schemeClr w14:val="tx1"/>
                  </w14:solidFill>
                </w14:textFill>
              </w:rPr>
              <w:t>.0</w:t>
            </w:r>
          </w:p>
        </w:tc>
        <w:tc>
          <w:tcPr>
            <w:tcW w:w="1360" w:type="dxa"/>
            <w:tcBorders>
              <w:bottom w:val="single" w:color="auto" w:sz="8" w:space="0"/>
            </w:tcBorders>
            <w:vAlign w:val="center"/>
          </w:tcPr>
          <w:p w14:paraId="6B50A066">
            <w:pPr>
              <w:autoSpaceDE w:val="0"/>
              <w:autoSpaceDN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mg/kg</w:t>
            </w:r>
          </w:p>
        </w:tc>
      </w:tr>
    </w:tbl>
    <w:p w14:paraId="160D58B0">
      <w:pPr>
        <w:autoSpaceDE w:val="0"/>
        <w:autoSpaceDN w:val="0"/>
        <w:spacing w:before="312" w:beforeLines="100" w:line="360" w:lineRule="auto"/>
        <w:jc w:val="center"/>
        <w:rPr>
          <w:szCs w:val="21"/>
        </w:rPr>
      </w:pPr>
      <w:r>
        <w:rPr>
          <w:szCs w:val="21"/>
        </w:rPr>
        <w:t>表2 药材污染风险筛选值（农药残留）</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057"/>
        <w:gridCol w:w="3472"/>
        <w:gridCol w:w="1417"/>
        <w:gridCol w:w="1360"/>
      </w:tblGrid>
      <w:tr w14:paraId="474448D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top w:val="single" w:color="auto" w:sz="8" w:space="0"/>
              <w:bottom w:val="single" w:color="auto" w:sz="8" w:space="0"/>
            </w:tcBorders>
            <w:vAlign w:val="center"/>
          </w:tcPr>
          <w:p w14:paraId="2F5D76BC">
            <w:pPr>
              <w:autoSpaceDE w:val="0"/>
              <w:autoSpaceDN w:val="0"/>
              <w:spacing w:line="360" w:lineRule="auto"/>
              <w:jc w:val="center"/>
              <w:rPr>
                <w:b/>
                <w:szCs w:val="21"/>
              </w:rPr>
            </w:pPr>
            <w:r>
              <w:rPr>
                <w:b/>
                <w:szCs w:val="21"/>
              </w:rPr>
              <w:t>检测项目</w:t>
            </w:r>
          </w:p>
        </w:tc>
        <w:tc>
          <w:tcPr>
            <w:tcW w:w="3472" w:type="dxa"/>
            <w:tcBorders>
              <w:top w:val="single" w:color="auto" w:sz="8" w:space="0"/>
              <w:bottom w:val="single" w:color="auto" w:sz="8" w:space="0"/>
            </w:tcBorders>
            <w:vAlign w:val="center"/>
          </w:tcPr>
          <w:p w14:paraId="798170F4">
            <w:pPr>
              <w:autoSpaceDE w:val="0"/>
              <w:autoSpaceDN w:val="0"/>
              <w:spacing w:line="360" w:lineRule="auto"/>
              <w:jc w:val="center"/>
              <w:rPr>
                <w:b/>
                <w:szCs w:val="21"/>
              </w:rPr>
            </w:pPr>
            <w:r>
              <w:rPr>
                <w:b/>
                <w:szCs w:val="21"/>
              </w:rPr>
              <w:t>检测方法</w:t>
            </w:r>
          </w:p>
        </w:tc>
        <w:tc>
          <w:tcPr>
            <w:tcW w:w="1417" w:type="dxa"/>
            <w:tcBorders>
              <w:top w:val="single" w:color="auto" w:sz="8" w:space="0"/>
              <w:bottom w:val="single" w:color="auto" w:sz="8" w:space="0"/>
            </w:tcBorders>
            <w:vAlign w:val="center"/>
          </w:tcPr>
          <w:p w14:paraId="463569AA">
            <w:pPr>
              <w:autoSpaceDE w:val="0"/>
              <w:autoSpaceDN w:val="0"/>
              <w:spacing w:line="360" w:lineRule="auto"/>
              <w:jc w:val="center"/>
              <w:rPr>
                <w:b/>
                <w:szCs w:val="21"/>
              </w:rPr>
            </w:pPr>
            <w:r>
              <w:rPr>
                <w:b/>
                <w:szCs w:val="21"/>
              </w:rPr>
              <w:t>标准要求</w:t>
            </w:r>
          </w:p>
        </w:tc>
        <w:tc>
          <w:tcPr>
            <w:tcW w:w="1360" w:type="dxa"/>
            <w:tcBorders>
              <w:top w:val="single" w:color="auto" w:sz="8" w:space="0"/>
              <w:bottom w:val="single" w:color="auto" w:sz="8" w:space="0"/>
            </w:tcBorders>
            <w:vAlign w:val="center"/>
          </w:tcPr>
          <w:p w14:paraId="124F6A4B">
            <w:pPr>
              <w:autoSpaceDE w:val="0"/>
              <w:autoSpaceDN w:val="0"/>
              <w:spacing w:line="360" w:lineRule="auto"/>
              <w:jc w:val="center"/>
              <w:rPr>
                <w:b/>
                <w:szCs w:val="21"/>
              </w:rPr>
            </w:pPr>
            <w:r>
              <w:rPr>
                <w:b/>
                <w:szCs w:val="21"/>
              </w:rPr>
              <w:t>单位</w:t>
            </w:r>
          </w:p>
        </w:tc>
      </w:tr>
      <w:tr w14:paraId="619AB37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top w:val="single" w:color="auto" w:sz="8" w:space="0"/>
            </w:tcBorders>
            <w:vAlign w:val="center"/>
          </w:tcPr>
          <w:p w14:paraId="5F9899AB">
            <w:pPr>
              <w:autoSpaceDE w:val="0"/>
              <w:autoSpaceDN w:val="0"/>
              <w:spacing w:line="360" w:lineRule="auto"/>
              <w:jc w:val="center"/>
              <w:rPr>
                <w:szCs w:val="21"/>
              </w:rPr>
            </w:pPr>
            <w:r>
              <w:rPr>
                <w:szCs w:val="21"/>
              </w:rPr>
              <w:t>甲胺磷</w:t>
            </w:r>
          </w:p>
        </w:tc>
        <w:tc>
          <w:tcPr>
            <w:tcW w:w="3472" w:type="dxa"/>
            <w:tcBorders>
              <w:top w:val="single" w:color="auto" w:sz="8" w:space="0"/>
            </w:tcBorders>
            <w:vAlign w:val="center"/>
          </w:tcPr>
          <w:p w14:paraId="7B8DB522">
            <w:pPr>
              <w:autoSpaceDE w:val="0"/>
              <w:autoSpaceDN w:val="0"/>
              <w:spacing w:line="360" w:lineRule="auto"/>
              <w:rPr>
                <w:szCs w:val="21"/>
              </w:rPr>
            </w:pPr>
            <w:r>
              <w:rPr>
                <w:szCs w:val="21"/>
              </w:rPr>
              <w:t>《中国药典》2020年版 第四部</w:t>
            </w:r>
          </w:p>
        </w:tc>
        <w:tc>
          <w:tcPr>
            <w:tcW w:w="1417" w:type="dxa"/>
            <w:tcBorders>
              <w:top w:val="single" w:color="auto" w:sz="8" w:space="0"/>
            </w:tcBorders>
            <w:vAlign w:val="center"/>
          </w:tcPr>
          <w:p w14:paraId="501EE4F6">
            <w:pPr>
              <w:autoSpaceDE w:val="0"/>
              <w:autoSpaceDN w:val="0"/>
              <w:spacing w:line="360" w:lineRule="auto"/>
              <w:jc w:val="center"/>
              <w:rPr>
                <w:szCs w:val="21"/>
              </w:rPr>
            </w:pPr>
            <w:r>
              <w:rPr>
                <w:szCs w:val="21"/>
              </w:rPr>
              <w:t>不得检出</w:t>
            </w:r>
          </w:p>
        </w:tc>
        <w:tc>
          <w:tcPr>
            <w:tcW w:w="1360" w:type="dxa"/>
            <w:tcBorders>
              <w:top w:val="single" w:color="auto" w:sz="8" w:space="0"/>
            </w:tcBorders>
            <w:vAlign w:val="center"/>
          </w:tcPr>
          <w:p w14:paraId="515FB3BC">
            <w:pPr>
              <w:autoSpaceDE w:val="0"/>
              <w:autoSpaceDN w:val="0"/>
              <w:spacing w:line="360" w:lineRule="auto"/>
              <w:jc w:val="center"/>
              <w:rPr>
                <w:szCs w:val="21"/>
              </w:rPr>
            </w:pPr>
            <w:r>
              <w:rPr>
                <w:szCs w:val="21"/>
              </w:rPr>
              <w:t>mg/kg</w:t>
            </w:r>
          </w:p>
        </w:tc>
      </w:tr>
      <w:tr w14:paraId="214CE7A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2501111C">
            <w:pPr>
              <w:autoSpaceDE w:val="0"/>
              <w:autoSpaceDN w:val="0"/>
              <w:spacing w:line="360" w:lineRule="auto"/>
              <w:jc w:val="center"/>
              <w:rPr>
                <w:szCs w:val="21"/>
              </w:rPr>
            </w:pPr>
            <w:r>
              <w:rPr>
                <w:szCs w:val="21"/>
              </w:rPr>
              <w:t>甲基对硫磷</w:t>
            </w:r>
          </w:p>
        </w:tc>
        <w:tc>
          <w:tcPr>
            <w:tcW w:w="3472" w:type="dxa"/>
            <w:vAlign w:val="center"/>
          </w:tcPr>
          <w:p w14:paraId="0C806E0C">
            <w:pPr>
              <w:autoSpaceDE w:val="0"/>
              <w:autoSpaceDN w:val="0"/>
              <w:spacing w:line="360" w:lineRule="auto"/>
              <w:rPr>
                <w:szCs w:val="21"/>
              </w:rPr>
            </w:pPr>
            <w:r>
              <w:rPr>
                <w:szCs w:val="21"/>
              </w:rPr>
              <w:t>《中国药典》2020年版 第四部</w:t>
            </w:r>
          </w:p>
        </w:tc>
        <w:tc>
          <w:tcPr>
            <w:tcW w:w="1417" w:type="dxa"/>
            <w:vAlign w:val="center"/>
          </w:tcPr>
          <w:p w14:paraId="72F9340B">
            <w:pPr>
              <w:autoSpaceDE w:val="0"/>
              <w:autoSpaceDN w:val="0"/>
              <w:jc w:val="center"/>
              <w:rPr>
                <w:szCs w:val="21"/>
              </w:rPr>
            </w:pPr>
            <w:r>
              <w:rPr>
                <w:szCs w:val="21"/>
              </w:rPr>
              <w:t>不得检出</w:t>
            </w:r>
          </w:p>
        </w:tc>
        <w:tc>
          <w:tcPr>
            <w:tcW w:w="1360" w:type="dxa"/>
            <w:vAlign w:val="center"/>
          </w:tcPr>
          <w:p w14:paraId="236F050C">
            <w:pPr>
              <w:autoSpaceDE w:val="0"/>
              <w:autoSpaceDN w:val="0"/>
              <w:spacing w:line="360" w:lineRule="auto"/>
              <w:jc w:val="center"/>
              <w:rPr>
                <w:szCs w:val="21"/>
              </w:rPr>
            </w:pPr>
            <w:r>
              <w:rPr>
                <w:szCs w:val="21"/>
              </w:rPr>
              <w:t>mg/kg</w:t>
            </w:r>
          </w:p>
        </w:tc>
      </w:tr>
      <w:tr w14:paraId="0F40ABB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14ABA49F">
            <w:pPr>
              <w:autoSpaceDE w:val="0"/>
              <w:autoSpaceDN w:val="0"/>
              <w:spacing w:line="360" w:lineRule="auto"/>
              <w:jc w:val="center"/>
              <w:rPr>
                <w:szCs w:val="21"/>
              </w:rPr>
            </w:pPr>
            <w:r>
              <w:rPr>
                <w:szCs w:val="21"/>
              </w:rPr>
              <w:t>对硫磷</w:t>
            </w:r>
          </w:p>
        </w:tc>
        <w:tc>
          <w:tcPr>
            <w:tcW w:w="3472" w:type="dxa"/>
            <w:vAlign w:val="center"/>
          </w:tcPr>
          <w:p w14:paraId="29EA6992">
            <w:pPr>
              <w:autoSpaceDE w:val="0"/>
              <w:autoSpaceDN w:val="0"/>
              <w:spacing w:line="360" w:lineRule="auto"/>
              <w:rPr>
                <w:szCs w:val="21"/>
              </w:rPr>
            </w:pPr>
            <w:r>
              <w:rPr>
                <w:szCs w:val="21"/>
              </w:rPr>
              <w:t>《中国药典》2020年版 第四部</w:t>
            </w:r>
          </w:p>
        </w:tc>
        <w:tc>
          <w:tcPr>
            <w:tcW w:w="1417" w:type="dxa"/>
            <w:vAlign w:val="center"/>
          </w:tcPr>
          <w:p w14:paraId="0C5BC81D">
            <w:pPr>
              <w:autoSpaceDE w:val="0"/>
              <w:autoSpaceDN w:val="0"/>
              <w:jc w:val="center"/>
              <w:rPr>
                <w:szCs w:val="21"/>
              </w:rPr>
            </w:pPr>
            <w:r>
              <w:rPr>
                <w:szCs w:val="21"/>
              </w:rPr>
              <w:t>不得检出</w:t>
            </w:r>
          </w:p>
        </w:tc>
        <w:tc>
          <w:tcPr>
            <w:tcW w:w="1360" w:type="dxa"/>
            <w:vAlign w:val="center"/>
          </w:tcPr>
          <w:p w14:paraId="6463EE42">
            <w:pPr>
              <w:autoSpaceDE w:val="0"/>
              <w:autoSpaceDN w:val="0"/>
              <w:spacing w:line="360" w:lineRule="auto"/>
              <w:jc w:val="center"/>
              <w:rPr>
                <w:szCs w:val="21"/>
              </w:rPr>
            </w:pPr>
            <w:r>
              <w:rPr>
                <w:szCs w:val="21"/>
              </w:rPr>
              <w:t>mg/kg</w:t>
            </w:r>
          </w:p>
        </w:tc>
      </w:tr>
      <w:tr w14:paraId="1B0FDB4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bottom w:val="single" w:color="auto" w:sz="4" w:space="0"/>
            </w:tcBorders>
            <w:vAlign w:val="center"/>
          </w:tcPr>
          <w:p w14:paraId="688B586B">
            <w:pPr>
              <w:autoSpaceDE w:val="0"/>
              <w:autoSpaceDN w:val="0"/>
              <w:spacing w:line="360" w:lineRule="auto"/>
              <w:jc w:val="center"/>
              <w:rPr>
                <w:szCs w:val="21"/>
              </w:rPr>
            </w:pPr>
            <w:r>
              <w:rPr>
                <w:szCs w:val="21"/>
              </w:rPr>
              <w:t>久效磷</w:t>
            </w:r>
          </w:p>
        </w:tc>
        <w:tc>
          <w:tcPr>
            <w:tcW w:w="3472" w:type="dxa"/>
            <w:tcBorders>
              <w:bottom w:val="single" w:color="auto" w:sz="4" w:space="0"/>
            </w:tcBorders>
            <w:vAlign w:val="center"/>
          </w:tcPr>
          <w:p w14:paraId="33A933FA">
            <w:pPr>
              <w:autoSpaceDE w:val="0"/>
              <w:autoSpaceDN w:val="0"/>
              <w:spacing w:line="360" w:lineRule="auto"/>
              <w:rPr>
                <w:szCs w:val="21"/>
              </w:rPr>
            </w:pPr>
            <w:r>
              <w:rPr>
                <w:szCs w:val="21"/>
              </w:rPr>
              <w:t>《中国药典》2020年版 第四部</w:t>
            </w:r>
          </w:p>
        </w:tc>
        <w:tc>
          <w:tcPr>
            <w:tcW w:w="1417" w:type="dxa"/>
            <w:tcBorders>
              <w:bottom w:val="single" w:color="auto" w:sz="4" w:space="0"/>
            </w:tcBorders>
            <w:vAlign w:val="center"/>
          </w:tcPr>
          <w:p w14:paraId="2CAE2436">
            <w:pPr>
              <w:autoSpaceDE w:val="0"/>
              <w:autoSpaceDN w:val="0"/>
              <w:jc w:val="center"/>
              <w:rPr>
                <w:szCs w:val="21"/>
              </w:rPr>
            </w:pPr>
            <w:r>
              <w:rPr>
                <w:szCs w:val="21"/>
              </w:rPr>
              <w:t>不得检出</w:t>
            </w:r>
          </w:p>
        </w:tc>
        <w:tc>
          <w:tcPr>
            <w:tcW w:w="1360" w:type="dxa"/>
            <w:tcBorders>
              <w:bottom w:val="single" w:color="auto" w:sz="4" w:space="0"/>
            </w:tcBorders>
            <w:vAlign w:val="center"/>
          </w:tcPr>
          <w:p w14:paraId="26814ED8">
            <w:pPr>
              <w:autoSpaceDE w:val="0"/>
              <w:autoSpaceDN w:val="0"/>
              <w:spacing w:line="360" w:lineRule="auto"/>
              <w:jc w:val="center"/>
              <w:rPr>
                <w:szCs w:val="21"/>
              </w:rPr>
            </w:pPr>
            <w:r>
              <w:rPr>
                <w:szCs w:val="21"/>
              </w:rPr>
              <w:t>mg/kg</w:t>
            </w:r>
          </w:p>
        </w:tc>
      </w:tr>
      <w:tr w14:paraId="38CA0EC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7441A6CD">
            <w:pPr>
              <w:autoSpaceDE w:val="0"/>
              <w:autoSpaceDN w:val="0"/>
              <w:spacing w:line="360" w:lineRule="auto"/>
              <w:jc w:val="center"/>
              <w:rPr>
                <w:szCs w:val="21"/>
              </w:rPr>
            </w:pPr>
            <w:r>
              <w:rPr>
                <w:szCs w:val="21"/>
              </w:rPr>
              <w:t>磷铵</w:t>
            </w:r>
          </w:p>
        </w:tc>
        <w:tc>
          <w:tcPr>
            <w:tcW w:w="3472" w:type="dxa"/>
            <w:vAlign w:val="center"/>
          </w:tcPr>
          <w:p w14:paraId="687EF592">
            <w:pPr>
              <w:autoSpaceDE w:val="0"/>
              <w:autoSpaceDN w:val="0"/>
              <w:spacing w:line="360" w:lineRule="auto"/>
              <w:rPr>
                <w:szCs w:val="21"/>
              </w:rPr>
            </w:pPr>
            <w:r>
              <w:rPr>
                <w:szCs w:val="21"/>
              </w:rPr>
              <w:t>《中国药典》2020年版 第四部</w:t>
            </w:r>
          </w:p>
        </w:tc>
        <w:tc>
          <w:tcPr>
            <w:tcW w:w="1417" w:type="dxa"/>
            <w:vAlign w:val="center"/>
          </w:tcPr>
          <w:p w14:paraId="13107B72">
            <w:pPr>
              <w:autoSpaceDE w:val="0"/>
              <w:autoSpaceDN w:val="0"/>
              <w:jc w:val="center"/>
              <w:rPr>
                <w:szCs w:val="21"/>
              </w:rPr>
            </w:pPr>
            <w:r>
              <w:rPr>
                <w:szCs w:val="21"/>
              </w:rPr>
              <w:t>不得检出</w:t>
            </w:r>
          </w:p>
        </w:tc>
        <w:tc>
          <w:tcPr>
            <w:tcW w:w="1360" w:type="dxa"/>
            <w:vAlign w:val="center"/>
          </w:tcPr>
          <w:p w14:paraId="0171BA13">
            <w:pPr>
              <w:autoSpaceDE w:val="0"/>
              <w:autoSpaceDN w:val="0"/>
              <w:spacing w:line="360" w:lineRule="auto"/>
              <w:jc w:val="center"/>
              <w:rPr>
                <w:szCs w:val="21"/>
              </w:rPr>
            </w:pPr>
            <w:r>
              <w:rPr>
                <w:szCs w:val="21"/>
              </w:rPr>
              <w:t>mg/kg</w:t>
            </w:r>
          </w:p>
        </w:tc>
      </w:tr>
      <w:tr w14:paraId="714CEB1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089ED5F2">
            <w:pPr>
              <w:autoSpaceDE w:val="0"/>
              <w:autoSpaceDN w:val="0"/>
              <w:spacing w:line="360" w:lineRule="auto"/>
              <w:jc w:val="center"/>
              <w:rPr>
                <w:szCs w:val="21"/>
              </w:rPr>
            </w:pPr>
            <w:r>
              <w:rPr>
                <w:szCs w:val="21"/>
              </w:rPr>
              <w:t>六六六</w:t>
            </w:r>
          </w:p>
        </w:tc>
        <w:tc>
          <w:tcPr>
            <w:tcW w:w="3472" w:type="dxa"/>
            <w:vAlign w:val="center"/>
          </w:tcPr>
          <w:p w14:paraId="1078BF1F">
            <w:pPr>
              <w:autoSpaceDE w:val="0"/>
              <w:autoSpaceDN w:val="0"/>
              <w:spacing w:line="360" w:lineRule="auto"/>
              <w:rPr>
                <w:szCs w:val="21"/>
              </w:rPr>
            </w:pPr>
            <w:r>
              <w:rPr>
                <w:szCs w:val="21"/>
              </w:rPr>
              <w:t>《中国药典》2020年版 第四部</w:t>
            </w:r>
          </w:p>
        </w:tc>
        <w:tc>
          <w:tcPr>
            <w:tcW w:w="1417" w:type="dxa"/>
            <w:vAlign w:val="center"/>
          </w:tcPr>
          <w:p w14:paraId="40C20DE8">
            <w:pPr>
              <w:autoSpaceDE w:val="0"/>
              <w:autoSpaceDN w:val="0"/>
              <w:jc w:val="center"/>
              <w:rPr>
                <w:szCs w:val="21"/>
              </w:rPr>
            </w:pPr>
            <w:r>
              <w:rPr>
                <w:szCs w:val="21"/>
              </w:rPr>
              <w:t>不得检出</w:t>
            </w:r>
          </w:p>
        </w:tc>
        <w:tc>
          <w:tcPr>
            <w:tcW w:w="1360" w:type="dxa"/>
            <w:vAlign w:val="center"/>
          </w:tcPr>
          <w:p w14:paraId="014B6328">
            <w:pPr>
              <w:autoSpaceDE w:val="0"/>
              <w:autoSpaceDN w:val="0"/>
              <w:spacing w:line="360" w:lineRule="auto"/>
              <w:jc w:val="center"/>
              <w:rPr>
                <w:szCs w:val="21"/>
              </w:rPr>
            </w:pPr>
            <w:r>
              <w:rPr>
                <w:szCs w:val="21"/>
              </w:rPr>
              <w:t>mg/kg</w:t>
            </w:r>
          </w:p>
        </w:tc>
      </w:tr>
      <w:tr w14:paraId="291F87D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212337F8">
            <w:pPr>
              <w:autoSpaceDE w:val="0"/>
              <w:autoSpaceDN w:val="0"/>
              <w:spacing w:line="360" w:lineRule="auto"/>
              <w:jc w:val="center"/>
              <w:rPr>
                <w:szCs w:val="21"/>
              </w:rPr>
            </w:pPr>
            <w:r>
              <w:rPr>
                <w:szCs w:val="21"/>
              </w:rPr>
              <w:t>滴滴涕</w:t>
            </w:r>
          </w:p>
        </w:tc>
        <w:tc>
          <w:tcPr>
            <w:tcW w:w="3472" w:type="dxa"/>
            <w:vAlign w:val="center"/>
          </w:tcPr>
          <w:p w14:paraId="16EDE627">
            <w:pPr>
              <w:autoSpaceDE w:val="0"/>
              <w:autoSpaceDN w:val="0"/>
              <w:spacing w:line="360" w:lineRule="auto"/>
              <w:rPr>
                <w:szCs w:val="21"/>
              </w:rPr>
            </w:pPr>
            <w:r>
              <w:rPr>
                <w:szCs w:val="21"/>
              </w:rPr>
              <w:t>《中国药典》2020年版 第四部</w:t>
            </w:r>
          </w:p>
        </w:tc>
        <w:tc>
          <w:tcPr>
            <w:tcW w:w="1417" w:type="dxa"/>
            <w:vAlign w:val="center"/>
          </w:tcPr>
          <w:p w14:paraId="53EAAB2A">
            <w:pPr>
              <w:autoSpaceDE w:val="0"/>
              <w:autoSpaceDN w:val="0"/>
              <w:jc w:val="center"/>
              <w:rPr>
                <w:szCs w:val="21"/>
              </w:rPr>
            </w:pPr>
            <w:r>
              <w:rPr>
                <w:szCs w:val="21"/>
              </w:rPr>
              <w:t>不得检出</w:t>
            </w:r>
          </w:p>
        </w:tc>
        <w:tc>
          <w:tcPr>
            <w:tcW w:w="1360" w:type="dxa"/>
            <w:vAlign w:val="center"/>
          </w:tcPr>
          <w:p w14:paraId="7457A2E2">
            <w:pPr>
              <w:autoSpaceDE w:val="0"/>
              <w:autoSpaceDN w:val="0"/>
              <w:spacing w:line="360" w:lineRule="auto"/>
              <w:jc w:val="center"/>
              <w:rPr>
                <w:szCs w:val="21"/>
              </w:rPr>
            </w:pPr>
            <w:r>
              <w:rPr>
                <w:szCs w:val="21"/>
              </w:rPr>
              <w:t>mg/kg</w:t>
            </w:r>
          </w:p>
        </w:tc>
      </w:tr>
      <w:tr w14:paraId="5B42998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61CC2DFF">
            <w:pPr>
              <w:autoSpaceDE w:val="0"/>
              <w:autoSpaceDN w:val="0"/>
              <w:spacing w:line="360" w:lineRule="auto"/>
              <w:jc w:val="center"/>
              <w:rPr>
                <w:szCs w:val="21"/>
              </w:rPr>
            </w:pPr>
            <w:r>
              <w:rPr>
                <w:szCs w:val="21"/>
              </w:rPr>
              <w:t>杀虫脒</w:t>
            </w:r>
          </w:p>
        </w:tc>
        <w:tc>
          <w:tcPr>
            <w:tcW w:w="3472" w:type="dxa"/>
            <w:vAlign w:val="center"/>
          </w:tcPr>
          <w:p w14:paraId="7450C569">
            <w:pPr>
              <w:autoSpaceDE w:val="0"/>
              <w:autoSpaceDN w:val="0"/>
              <w:spacing w:line="360" w:lineRule="auto"/>
              <w:rPr>
                <w:szCs w:val="21"/>
              </w:rPr>
            </w:pPr>
            <w:r>
              <w:rPr>
                <w:szCs w:val="21"/>
              </w:rPr>
              <w:t>《中国药典》2020年版 第四部</w:t>
            </w:r>
          </w:p>
        </w:tc>
        <w:tc>
          <w:tcPr>
            <w:tcW w:w="1417" w:type="dxa"/>
            <w:vAlign w:val="center"/>
          </w:tcPr>
          <w:p w14:paraId="7BD82BCC">
            <w:pPr>
              <w:autoSpaceDE w:val="0"/>
              <w:autoSpaceDN w:val="0"/>
              <w:jc w:val="center"/>
              <w:rPr>
                <w:szCs w:val="21"/>
              </w:rPr>
            </w:pPr>
            <w:r>
              <w:rPr>
                <w:szCs w:val="21"/>
              </w:rPr>
              <w:t>不得检出</w:t>
            </w:r>
          </w:p>
        </w:tc>
        <w:tc>
          <w:tcPr>
            <w:tcW w:w="1360" w:type="dxa"/>
            <w:vAlign w:val="center"/>
          </w:tcPr>
          <w:p w14:paraId="6214086A">
            <w:pPr>
              <w:autoSpaceDE w:val="0"/>
              <w:autoSpaceDN w:val="0"/>
              <w:spacing w:line="360" w:lineRule="auto"/>
              <w:jc w:val="center"/>
              <w:rPr>
                <w:szCs w:val="21"/>
              </w:rPr>
            </w:pPr>
            <w:r>
              <w:rPr>
                <w:szCs w:val="21"/>
              </w:rPr>
              <w:t>mg/kg</w:t>
            </w:r>
          </w:p>
        </w:tc>
      </w:tr>
      <w:tr w14:paraId="54F06E6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384454B9">
            <w:pPr>
              <w:autoSpaceDE w:val="0"/>
              <w:autoSpaceDN w:val="0"/>
              <w:spacing w:line="360" w:lineRule="auto"/>
              <w:jc w:val="center"/>
              <w:rPr>
                <w:szCs w:val="21"/>
              </w:rPr>
            </w:pPr>
            <w:r>
              <w:rPr>
                <w:szCs w:val="21"/>
              </w:rPr>
              <w:t>除草醚</w:t>
            </w:r>
          </w:p>
        </w:tc>
        <w:tc>
          <w:tcPr>
            <w:tcW w:w="3472" w:type="dxa"/>
            <w:vAlign w:val="center"/>
          </w:tcPr>
          <w:p w14:paraId="173268FB">
            <w:pPr>
              <w:autoSpaceDE w:val="0"/>
              <w:autoSpaceDN w:val="0"/>
              <w:spacing w:line="360" w:lineRule="auto"/>
              <w:rPr>
                <w:szCs w:val="21"/>
              </w:rPr>
            </w:pPr>
            <w:r>
              <w:rPr>
                <w:szCs w:val="21"/>
              </w:rPr>
              <w:t>《中国药典》2020年版 第四部</w:t>
            </w:r>
          </w:p>
        </w:tc>
        <w:tc>
          <w:tcPr>
            <w:tcW w:w="1417" w:type="dxa"/>
            <w:vAlign w:val="center"/>
          </w:tcPr>
          <w:p w14:paraId="767858BD">
            <w:pPr>
              <w:autoSpaceDE w:val="0"/>
              <w:autoSpaceDN w:val="0"/>
              <w:jc w:val="center"/>
              <w:rPr>
                <w:szCs w:val="21"/>
              </w:rPr>
            </w:pPr>
            <w:r>
              <w:rPr>
                <w:szCs w:val="21"/>
              </w:rPr>
              <w:t>不得检出</w:t>
            </w:r>
          </w:p>
        </w:tc>
        <w:tc>
          <w:tcPr>
            <w:tcW w:w="1360" w:type="dxa"/>
            <w:vAlign w:val="center"/>
          </w:tcPr>
          <w:p w14:paraId="0C1AB86C">
            <w:pPr>
              <w:autoSpaceDE w:val="0"/>
              <w:autoSpaceDN w:val="0"/>
              <w:spacing w:line="360" w:lineRule="auto"/>
              <w:jc w:val="center"/>
              <w:rPr>
                <w:szCs w:val="21"/>
              </w:rPr>
            </w:pPr>
            <w:r>
              <w:rPr>
                <w:szCs w:val="21"/>
              </w:rPr>
              <w:t>mg/kg</w:t>
            </w:r>
          </w:p>
        </w:tc>
      </w:tr>
      <w:tr w14:paraId="720B6B5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69010362">
            <w:pPr>
              <w:autoSpaceDE w:val="0"/>
              <w:autoSpaceDN w:val="0"/>
              <w:spacing w:line="360" w:lineRule="auto"/>
              <w:jc w:val="center"/>
              <w:rPr>
                <w:szCs w:val="21"/>
              </w:rPr>
            </w:pPr>
            <w:r>
              <w:rPr>
                <w:szCs w:val="21"/>
              </w:rPr>
              <w:t>艾氏剂</w:t>
            </w:r>
          </w:p>
        </w:tc>
        <w:tc>
          <w:tcPr>
            <w:tcW w:w="3472" w:type="dxa"/>
            <w:vAlign w:val="center"/>
          </w:tcPr>
          <w:p w14:paraId="1819F34C">
            <w:pPr>
              <w:autoSpaceDE w:val="0"/>
              <w:autoSpaceDN w:val="0"/>
              <w:spacing w:line="360" w:lineRule="auto"/>
              <w:rPr>
                <w:szCs w:val="21"/>
              </w:rPr>
            </w:pPr>
            <w:r>
              <w:rPr>
                <w:szCs w:val="21"/>
              </w:rPr>
              <w:t>《中国药典》2020年版 第四部</w:t>
            </w:r>
          </w:p>
        </w:tc>
        <w:tc>
          <w:tcPr>
            <w:tcW w:w="1417" w:type="dxa"/>
            <w:vAlign w:val="center"/>
          </w:tcPr>
          <w:p w14:paraId="68455725">
            <w:pPr>
              <w:autoSpaceDE w:val="0"/>
              <w:autoSpaceDN w:val="0"/>
              <w:jc w:val="center"/>
              <w:rPr>
                <w:szCs w:val="21"/>
              </w:rPr>
            </w:pPr>
            <w:r>
              <w:rPr>
                <w:szCs w:val="21"/>
              </w:rPr>
              <w:t>不得检出</w:t>
            </w:r>
          </w:p>
        </w:tc>
        <w:tc>
          <w:tcPr>
            <w:tcW w:w="1360" w:type="dxa"/>
            <w:vAlign w:val="center"/>
          </w:tcPr>
          <w:p w14:paraId="2CA3ACD6">
            <w:pPr>
              <w:autoSpaceDE w:val="0"/>
              <w:autoSpaceDN w:val="0"/>
              <w:spacing w:line="360" w:lineRule="auto"/>
              <w:jc w:val="center"/>
              <w:rPr>
                <w:szCs w:val="21"/>
              </w:rPr>
            </w:pPr>
            <w:r>
              <w:rPr>
                <w:szCs w:val="21"/>
              </w:rPr>
              <w:t>mg/kg</w:t>
            </w:r>
          </w:p>
        </w:tc>
      </w:tr>
      <w:tr w14:paraId="2D7BAB1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0533B00C">
            <w:pPr>
              <w:autoSpaceDE w:val="0"/>
              <w:autoSpaceDN w:val="0"/>
              <w:spacing w:line="360" w:lineRule="auto"/>
              <w:jc w:val="center"/>
              <w:rPr>
                <w:szCs w:val="21"/>
              </w:rPr>
            </w:pPr>
            <w:r>
              <w:rPr>
                <w:szCs w:val="21"/>
              </w:rPr>
              <w:t>狄氏剂</w:t>
            </w:r>
          </w:p>
        </w:tc>
        <w:tc>
          <w:tcPr>
            <w:tcW w:w="3472" w:type="dxa"/>
            <w:vAlign w:val="center"/>
          </w:tcPr>
          <w:p w14:paraId="666F89AE">
            <w:pPr>
              <w:autoSpaceDE w:val="0"/>
              <w:autoSpaceDN w:val="0"/>
              <w:rPr>
                <w:szCs w:val="21"/>
              </w:rPr>
            </w:pPr>
            <w:r>
              <w:rPr>
                <w:szCs w:val="21"/>
              </w:rPr>
              <w:t>《中国药典》2020年版 第四部</w:t>
            </w:r>
          </w:p>
        </w:tc>
        <w:tc>
          <w:tcPr>
            <w:tcW w:w="1417" w:type="dxa"/>
            <w:vAlign w:val="center"/>
          </w:tcPr>
          <w:p w14:paraId="2FF9C074">
            <w:pPr>
              <w:autoSpaceDE w:val="0"/>
              <w:autoSpaceDN w:val="0"/>
              <w:jc w:val="center"/>
              <w:rPr>
                <w:szCs w:val="21"/>
              </w:rPr>
            </w:pPr>
            <w:r>
              <w:rPr>
                <w:szCs w:val="21"/>
              </w:rPr>
              <w:t>不得检出</w:t>
            </w:r>
          </w:p>
        </w:tc>
        <w:tc>
          <w:tcPr>
            <w:tcW w:w="1360" w:type="dxa"/>
            <w:vAlign w:val="center"/>
          </w:tcPr>
          <w:p w14:paraId="6EC2BE44">
            <w:pPr>
              <w:autoSpaceDE w:val="0"/>
              <w:autoSpaceDN w:val="0"/>
              <w:spacing w:line="360" w:lineRule="auto"/>
              <w:jc w:val="center"/>
              <w:rPr>
                <w:szCs w:val="21"/>
              </w:rPr>
            </w:pPr>
            <w:r>
              <w:rPr>
                <w:szCs w:val="21"/>
              </w:rPr>
              <w:t>mg/kg</w:t>
            </w:r>
          </w:p>
        </w:tc>
      </w:tr>
      <w:tr w14:paraId="46BBE5F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5B626B5B">
            <w:pPr>
              <w:autoSpaceDE w:val="0"/>
              <w:autoSpaceDN w:val="0"/>
              <w:spacing w:line="360" w:lineRule="auto"/>
              <w:jc w:val="center"/>
              <w:rPr>
                <w:szCs w:val="21"/>
              </w:rPr>
            </w:pPr>
            <w:r>
              <w:rPr>
                <w:szCs w:val="21"/>
              </w:rPr>
              <w:t>苯线磷</w:t>
            </w:r>
          </w:p>
        </w:tc>
        <w:tc>
          <w:tcPr>
            <w:tcW w:w="3472" w:type="dxa"/>
            <w:vAlign w:val="center"/>
          </w:tcPr>
          <w:p w14:paraId="77EC45AC">
            <w:pPr>
              <w:autoSpaceDE w:val="0"/>
              <w:autoSpaceDN w:val="0"/>
              <w:rPr>
                <w:szCs w:val="21"/>
              </w:rPr>
            </w:pPr>
            <w:r>
              <w:rPr>
                <w:szCs w:val="21"/>
              </w:rPr>
              <w:t>《中国药典》2020年版 第四部</w:t>
            </w:r>
          </w:p>
        </w:tc>
        <w:tc>
          <w:tcPr>
            <w:tcW w:w="1417" w:type="dxa"/>
            <w:vAlign w:val="center"/>
          </w:tcPr>
          <w:p w14:paraId="2ADC17E1">
            <w:pPr>
              <w:autoSpaceDE w:val="0"/>
              <w:autoSpaceDN w:val="0"/>
              <w:jc w:val="center"/>
              <w:rPr>
                <w:szCs w:val="21"/>
              </w:rPr>
            </w:pPr>
            <w:r>
              <w:rPr>
                <w:szCs w:val="21"/>
              </w:rPr>
              <w:t>不得检出</w:t>
            </w:r>
          </w:p>
        </w:tc>
        <w:tc>
          <w:tcPr>
            <w:tcW w:w="1360" w:type="dxa"/>
            <w:vAlign w:val="center"/>
          </w:tcPr>
          <w:p w14:paraId="09A02FFE">
            <w:pPr>
              <w:autoSpaceDE w:val="0"/>
              <w:autoSpaceDN w:val="0"/>
              <w:spacing w:line="360" w:lineRule="auto"/>
              <w:jc w:val="center"/>
              <w:rPr>
                <w:szCs w:val="21"/>
              </w:rPr>
            </w:pPr>
            <w:r>
              <w:rPr>
                <w:szCs w:val="21"/>
              </w:rPr>
              <w:t>mg/kg</w:t>
            </w:r>
          </w:p>
        </w:tc>
      </w:tr>
      <w:tr w14:paraId="5AB2BBB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0B740108">
            <w:pPr>
              <w:autoSpaceDE w:val="0"/>
              <w:autoSpaceDN w:val="0"/>
              <w:spacing w:line="360" w:lineRule="auto"/>
              <w:jc w:val="center"/>
              <w:rPr>
                <w:szCs w:val="21"/>
              </w:rPr>
            </w:pPr>
            <w:r>
              <w:rPr>
                <w:szCs w:val="21"/>
              </w:rPr>
              <w:t>地虫硫磷</w:t>
            </w:r>
          </w:p>
        </w:tc>
        <w:tc>
          <w:tcPr>
            <w:tcW w:w="3472" w:type="dxa"/>
            <w:vAlign w:val="center"/>
          </w:tcPr>
          <w:p w14:paraId="65BF527B">
            <w:pPr>
              <w:autoSpaceDE w:val="0"/>
              <w:autoSpaceDN w:val="0"/>
              <w:rPr>
                <w:szCs w:val="21"/>
              </w:rPr>
            </w:pPr>
            <w:r>
              <w:rPr>
                <w:szCs w:val="21"/>
              </w:rPr>
              <w:t>《中国药典》2020年版 第四部</w:t>
            </w:r>
          </w:p>
        </w:tc>
        <w:tc>
          <w:tcPr>
            <w:tcW w:w="1417" w:type="dxa"/>
            <w:vAlign w:val="center"/>
          </w:tcPr>
          <w:p w14:paraId="3D55493A">
            <w:pPr>
              <w:autoSpaceDE w:val="0"/>
              <w:autoSpaceDN w:val="0"/>
              <w:jc w:val="center"/>
              <w:rPr>
                <w:szCs w:val="21"/>
              </w:rPr>
            </w:pPr>
            <w:r>
              <w:rPr>
                <w:szCs w:val="21"/>
              </w:rPr>
              <w:t>不得检出</w:t>
            </w:r>
          </w:p>
        </w:tc>
        <w:tc>
          <w:tcPr>
            <w:tcW w:w="1360" w:type="dxa"/>
            <w:vAlign w:val="center"/>
          </w:tcPr>
          <w:p w14:paraId="4E202A59">
            <w:pPr>
              <w:autoSpaceDE w:val="0"/>
              <w:autoSpaceDN w:val="0"/>
              <w:spacing w:line="360" w:lineRule="auto"/>
              <w:jc w:val="center"/>
              <w:rPr>
                <w:szCs w:val="21"/>
              </w:rPr>
            </w:pPr>
            <w:r>
              <w:rPr>
                <w:szCs w:val="21"/>
              </w:rPr>
              <w:t>mg/kg</w:t>
            </w:r>
          </w:p>
        </w:tc>
      </w:tr>
      <w:tr w14:paraId="1776B6D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79A6B75A">
            <w:pPr>
              <w:autoSpaceDE w:val="0"/>
              <w:autoSpaceDN w:val="0"/>
              <w:spacing w:line="360" w:lineRule="auto"/>
              <w:jc w:val="center"/>
              <w:rPr>
                <w:szCs w:val="21"/>
              </w:rPr>
            </w:pPr>
            <w:r>
              <w:rPr>
                <w:szCs w:val="21"/>
              </w:rPr>
              <w:t>硫线磷</w:t>
            </w:r>
          </w:p>
        </w:tc>
        <w:tc>
          <w:tcPr>
            <w:tcW w:w="3472" w:type="dxa"/>
            <w:vAlign w:val="center"/>
          </w:tcPr>
          <w:p w14:paraId="5F701934">
            <w:pPr>
              <w:autoSpaceDE w:val="0"/>
              <w:autoSpaceDN w:val="0"/>
              <w:rPr>
                <w:szCs w:val="21"/>
              </w:rPr>
            </w:pPr>
            <w:r>
              <w:rPr>
                <w:szCs w:val="21"/>
              </w:rPr>
              <w:t>《中国药典》2020年版 第四部</w:t>
            </w:r>
          </w:p>
        </w:tc>
        <w:tc>
          <w:tcPr>
            <w:tcW w:w="1417" w:type="dxa"/>
            <w:vAlign w:val="center"/>
          </w:tcPr>
          <w:p w14:paraId="72B64A74">
            <w:pPr>
              <w:autoSpaceDE w:val="0"/>
              <w:autoSpaceDN w:val="0"/>
              <w:jc w:val="center"/>
              <w:rPr>
                <w:szCs w:val="21"/>
              </w:rPr>
            </w:pPr>
            <w:r>
              <w:rPr>
                <w:szCs w:val="21"/>
              </w:rPr>
              <w:t>不得检出</w:t>
            </w:r>
          </w:p>
        </w:tc>
        <w:tc>
          <w:tcPr>
            <w:tcW w:w="1360" w:type="dxa"/>
            <w:vAlign w:val="center"/>
          </w:tcPr>
          <w:p w14:paraId="279DC181">
            <w:pPr>
              <w:autoSpaceDE w:val="0"/>
              <w:autoSpaceDN w:val="0"/>
              <w:spacing w:line="360" w:lineRule="auto"/>
              <w:jc w:val="center"/>
              <w:rPr>
                <w:szCs w:val="21"/>
              </w:rPr>
            </w:pPr>
            <w:r>
              <w:rPr>
                <w:szCs w:val="21"/>
              </w:rPr>
              <w:t>mg/kg</w:t>
            </w:r>
          </w:p>
        </w:tc>
      </w:tr>
      <w:tr w14:paraId="570A044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0150BA72">
            <w:pPr>
              <w:autoSpaceDE w:val="0"/>
              <w:autoSpaceDN w:val="0"/>
              <w:spacing w:line="360" w:lineRule="auto"/>
              <w:jc w:val="center"/>
              <w:rPr>
                <w:szCs w:val="21"/>
              </w:rPr>
            </w:pPr>
            <w:r>
              <w:rPr>
                <w:szCs w:val="21"/>
              </w:rPr>
              <w:t>蝇毒磷</w:t>
            </w:r>
          </w:p>
        </w:tc>
        <w:tc>
          <w:tcPr>
            <w:tcW w:w="3472" w:type="dxa"/>
            <w:vAlign w:val="center"/>
          </w:tcPr>
          <w:p w14:paraId="44F7EC86">
            <w:pPr>
              <w:autoSpaceDE w:val="0"/>
              <w:autoSpaceDN w:val="0"/>
              <w:rPr>
                <w:szCs w:val="21"/>
              </w:rPr>
            </w:pPr>
            <w:r>
              <w:rPr>
                <w:szCs w:val="21"/>
              </w:rPr>
              <w:t>《中国药典》2020年版 第四部</w:t>
            </w:r>
          </w:p>
        </w:tc>
        <w:tc>
          <w:tcPr>
            <w:tcW w:w="1417" w:type="dxa"/>
            <w:vAlign w:val="center"/>
          </w:tcPr>
          <w:p w14:paraId="400F171A">
            <w:pPr>
              <w:autoSpaceDE w:val="0"/>
              <w:autoSpaceDN w:val="0"/>
              <w:jc w:val="center"/>
              <w:rPr>
                <w:szCs w:val="21"/>
              </w:rPr>
            </w:pPr>
            <w:r>
              <w:rPr>
                <w:szCs w:val="21"/>
              </w:rPr>
              <w:t>不得检出</w:t>
            </w:r>
          </w:p>
        </w:tc>
        <w:tc>
          <w:tcPr>
            <w:tcW w:w="1360" w:type="dxa"/>
            <w:vAlign w:val="center"/>
          </w:tcPr>
          <w:p w14:paraId="7AB39F58">
            <w:pPr>
              <w:autoSpaceDE w:val="0"/>
              <w:autoSpaceDN w:val="0"/>
              <w:spacing w:line="360" w:lineRule="auto"/>
              <w:jc w:val="center"/>
              <w:rPr>
                <w:szCs w:val="21"/>
              </w:rPr>
            </w:pPr>
            <w:r>
              <w:rPr>
                <w:szCs w:val="21"/>
              </w:rPr>
              <w:t>mg/kg</w:t>
            </w:r>
          </w:p>
        </w:tc>
      </w:tr>
      <w:tr w14:paraId="4A48340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41D97F09">
            <w:pPr>
              <w:autoSpaceDE w:val="0"/>
              <w:autoSpaceDN w:val="0"/>
              <w:spacing w:line="360" w:lineRule="auto"/>
              <w:jc w:val="center"/>
              <w:rPr>
                <w:szCs w:val="21"/>
              </w:rPr>
            </w:pPr>
            <w:r>
              <w:rPr>
                <w:szCs w:val="21"/>
              </w:rPr>
              <w:t>治螟磷</w:t>
            </w:r>
          </w:p>
        </w:tc>
        <w:tc>
          <w:tcPr>
            <w:tcW w:w="3472" w:type="dxa"/>
            <w:vAlign w:val="center"/>
          </w:tcPr>
          <w:p w14:paraId="72F91E62">
            <w:pPr>
              <w:autoSpaceDE w:val="0"/>
              <w:autoSpaceDN w:val="0"/>
              <w:rPr>
                <w:szCs w:val="21"/>
              </w:rPr>
            </w:pPr>
            <w:r>
              <w:rPr>
                <w:szCs w:val="21"/>
              </w:rPr>
              <w:t>《中国药典》2020年版 第四部</w:t>
            </w:r>
          </w:p>
        </w:tc>
        <w:tc>
          <w:tcPr>
            <w:tcW w:w="1417" w:type="dxa"/>
            <w:vAlign w:val="center"/>
          </w:tcPr>
          <w:p w14:paraId="5678D940">
            <w:pPr>
              <w:autoSpaceDE w:val="0"/>
              <w:autoSpaceDN w:val="0"/>
              <w:jc w:val="center"/>
              <w:rPr>
                <w:szCs w:val="21"/>
              </w:rPr>
            </w:pPr>
            <w:r>
              <w:rPr>
                <w:szCs w:val="21"/>
              </w:rPr>
              <w:t>不得检出</w:t>
            </w:r>
          </w:p>
        </w:tc>
        <w:tc>
          <w:tcPr>
            <w:tcW w:w="1360" w:type="dxa"/>
            <w:vAlign w:val="center"/>
          </w:tcPr>
          <w:p w14:paraId="5F322CC9">
            <w:pPr>
              <w:autoSpaceDE w:val="0"/>
              <w:autoSpaceDN w:val="0"/>
              <w:spacing w:line="360" w:lineRule="auto"/>
              <w:jc w:val="center"/>
              <w:rPr>
                <w:szCs w:val="21"/>
              </w:rPr>
            </w:pPr>
            <w:r>
              <w:rPr>
                <w:szCs w:val="21"/>
              </w:rPr>
              <w:t>mg/kg</w:t>
            </w:r>
          </w:p>
        </w:tc>
      </w:tr>
      <w:tr w14:paraId="17249FF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79651B0F">
            <w:pPr>
              <w:autoSpaceDE w:val="0"/>
              <w:autoSpaceDN w:val="0"/>
              <w:spacing w:line="360" w:lineRule="auto"/>
              <w:jc w:val="center"/>
              <w:rPr>
                <w:szCs w:val="21"/>
              </w:rPr>
            </w:pPr>
            <w:r>
              <w:rPr>
                <w:szCs w:val="21"/>
              </w:rPr>
              <w:t>特丁硫磷</w:t>
            </w:r>
          </w:p>
        </w:tc>
        <w:tc>
          <w:tcPr>
            <w:tcW w:w="3472" w:type="dxa"/>
            <w:vAlign w:val="center"/>
          </w:tcPr>
          <w:p w14:paraId="48898293">
            <w:pPr>
              <w:autoSpaceDE w:val="0"/>
              <w:autoSpaceDN w:val="0"/>
              <w:rPr>
                <w:szCs w:val="21"/>
              </w:rPr>
            </w:pPr>
            <w:r>
              <w:rPr>
                <w:szCs w:val="21"/>
              </w:rPr>
              <w:t>《中国药典》2020年版 第四部</w:t>
            </w:r>
          </w:p>
        </w:tc>
        <w:tc>
          <w:tcPr>
            <w:tcW w:w="1417" w:type="dxa"/>
            <w:vAlign w:val="center"/>
          </w:tcPr>
          <w:p w14:paraId="7E597D9A">
            <w:pPr>
              <w:autoSpaceDE w:val="0"/>
              <w:autoSpaceDN w:val="0"/>
              <w:jc w:val="center"/>
              <w:rPr>
                <w:szCs w:val="21"/>
              </w:rPr>
            </w:pPr>
            <w:r>
              <w:rPr>
                <w:szCs w:val="21"/>
              </w:rPr>
              <w:t>不得检出</w:t>
            </w:r>
          </w:p>
        </w:tc>
        <w:tc>
          <w:tcPr>
            <w:tcW w:w="1360" w:type="dxa"/>
            <w:vAlign w:val="center"/>
          </w:tcPr>
          <w:p w14:paraId="0687AF8D">
            <w:pPr>
              <w:autoSpaceDE w:val="0"/>
              <w:autoSpaceDN w:val="0"/>
              <w:spacing w:line="360" w:lineRule="auto"/>
              <w:jc w:val="center"/>
              <w:rPr>
                <w:szCs w:val="21"/>
              </w:rPr>
            </w:pPr>
            <w:r>
              <w:rPr>
                <w:szCs w:val="21"/>
              </w:rPr>
              <w:t>mg/kg</w:t>
            </w:r>
          </w:p>
        </w:tc>
      </w:tr>
      <w:tr w14:paraId="524AF51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2F414BFB">
            <w:pPr>
              <w:autoSpaceDE w:val="0"/>
              <w:autoSpaceDN w:val="0"/>
              <w:spacing w:line="360" w:lineRule="auto"/>
              <w:jc w:val="center"/>
              <w:rPr>
                <w:szCs w:val="21"/>
              </w:rPr>
            </w:pPr>
            <w:r>
              <w:rPr>
                <w:szCs w:val="21"/>
              </w:rPr>
              <w:t>氯磺隆</w:t>
            </w:r>
          </w:p>
        </w:tc>
        <w:tc>
          <w:tcPr>
            <w:tcW w:w="3472" w:type="dxa"/>
            <w:vAlign w:val="center"/>
          </w:tcPr>
          <w:p w14:paraId="6580A872">
            <w:pPr>
              <w:autoSpaceDE w:val="0"/>
              <w:autoSpaceDN w:val="0"/>
              <w:rPr>
                <w:szCs w:val="21"/>
              </w:rPr>
            </w:pPr>
            <w:r>
              <w:rPr>
                <w:szCs w:val="21"/>
              </w:rPr>
              <w:t>《中国药典》2020年版 第四部</w:t>
            </w:r>
          </w:p>
        </w:tc>
        <w:tc>
          <w:tcPr>
            <w:tcW w:w="1417" w:type="dxa"/>
            <w:vAlign w:val="center"/>
          </w:tcPr>
          <w:p w14:paraId="0E501F1F">
            <w:pPr>
              <w:autoSpaceDE w:val="0"/>
              <w:autoSpaceDN w:val="0"/>
              <w:jc w:val="center"/>
              <w:rPr>
                <w:szCs w:val="21"/>
              </w:rPr>
            </w:pPr>
            <w:r>
              <w:rPr>
                <w:szCs w:val="21"/>
              </w:rPr>
              <w:t>不得检出</w:t>
            </w:r>
          </w:p>
        </w:tc>
        <w:tc>
          <w:tcPr>
            <w:tcW w:w="1360" w:type="dxa"/>
            <w:vAlign w:val="center"/>
          </w:tcPr>
          <w:p w14:paraId="16AB4DEC">
            <w:pPr>
              <w:autoSpaceDE w:val="0"/>
              <w:autoSpaceDN w:val="0"/>
              <w:spacing w:line="360" w:lineRule="auto"/>
              <w:jc w:val="center"/>
              <w:rPr>
                <w:szCs w:val="21"/>
              </w:rPr>
            </w:pPr>
            <w:r>
              <w:rPr>
                <w:szCs w:val="21"/>
              </w:rPr>
              <w:t>mg/kg</w:t>
            </w:r>
          </w:p>
        </w:tc>
      </w:tr>
      <w:tr w14:paraId="0CE3C5A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0F976725">
            <w:pPr>
              <w:autoSpaceDE w:val="0"/>
              <w:autoSpaceDN w:val="0"/>
              <w:spacing w:line="360" w:lineRule="auto"/>
              <w:jc w:val="center"/>
              <w:rPr>
                <w:szCs w:val="21"/>
              </w:rPr>
            </w:pPr>
            <w:r>
              <w:rPr>
                <w:szCs w:val="21"/>
              </w:rPr>
              <w:t>胺苯磺隆</w:t>
            </w:r>
          </w:p>
        </w:tc>
        <w:tc>
          <w:tcPr>
            <w:tcW w:w="3472" w:type="dxa"/>
            <w:vAlign w:val="center"/>
          </w:tcPr>
          <w:p w14:paraId="1F3D8DB7">
            <w:pPr>
              <w:autoSpaceDE w:val="0"/>
              <w:autoSpaceDN w:val="0"/>
              <w:rPr>
                <w:szCs w:val="21"/>
              </w:rPr>
            </w:pPr>
            <w:r>
              <w:rPr>
                <w:szCs w:val="21"/>
              </w:rPr>
              <w:t>《中国药典》2020年版 第四部</w:t>
            </w:r>
          </w:p>
        </w:tc>
        <w:tc>
          <w:tcPr>
            <w:tcW w:w="1417" w:type="dxa"/>
            <w:vAlign w:val="center"/>
          </w:tcPr>
          <w:p w14:paraId="28EF64DF">
            <w:pPr>
              <w:autoSpaceDE w:val="0"/>
              <w:autoSpaceDN w:val="0"/>
              <w:jc w:val="center"/>
              <w:rPr>
                <w:szCs w:val="21"/>
              </w:rPr>
            </w:pPr>
            <w:r>
              <w:rPr>
                <w:szCs w:val="21"/>
              </w:rPr>
              <w:t>不得检出</w:t>
            </w:r>
          </w:p>
        </w:tc>
        <w:tc>
          <w:tcPr>
            <w:tcW w:w="1360" w:type="dxa"/>
            <w:vAlign w:val="center"/>
          </w:tcPr>
          <w:p w14:paraId="3F6BEFFA">
            <w:pPr>
              <w:autoSpaceDE w:val="0"/>
              <w:autoSpaceDN w:val="0"/>
              <w:spacing w:line="360" w:lineRule="auto"/>
              <w:jc w:val="center"/>
              <w:rPr>
                <w:szCs w:val="21"/>
              </w:rPr>
            </w:pPr>
            <w:r>
              <w:rPr>
                <w:szCs w:val="21"/>
              </w:rPr>
              <w:t>mg/kg</w:t>
            </w:r>
          </w:p>
        </w:tc>
      </w:tr>
      <w:tr w14:paraId="13EDA6F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1FB87E05">
            <w:pPr>
              <w:autoSpaceDE w:val="0"/>
              <w:autoSpaceDN w:val="0"/>
              <w:spacing w:line="360" w:lineRule="auto"/>
              <w:jc w:val="center"/>
              <w:rPr>
                <w:szCs w:val="21"/>
              </w:rPr>
            </w:pPr>
            <w:r>
              <w:rPr>
                <w:szCs w:val="21"/>
              </w:rPr>
              <w:t>甲磺隆</w:t>
            </w:r>
          </w:p>
        </w:tc>
        <w:tc>
          <w:tcPr>
            <w:tcW w:w="3472" w:type="dxa"/>
            <w:vAlign w:val="center"/>
          </w:tcPr>
          <w:p w14:paraId="5AD75D06">
            <w:pPr>
              <w:autoSpaceDE w:val="0"/>
              <w:autoSpaceDN w:val="0"/>
              <w:rPr>
                <w:szCs w:val="21"/>
              </w:rPr>
            </w:pPr>
            <w:r>
              <w:rPr>
                <w:szCs w:val="21"/>
              </w:rPr>
              <w:t>《中国药典》2020年版 第四部</w:t>
            </w:r>
          </w:p>
        </w:tc>
        <w:tc>
          <w:tcPr>
            <w:tcW w:w="1417" w:type="dxa"/>
            <w:vAlign w:val="center"/>
          </w:tcPr>
          <w:p w14:paraId="19358F8A">
            <w:pPr>
              <w:autoSpaceDE w:val="0"/>
              <w:autoSpaceDN w:val="0"/>
              <w:jc w:val="center"/>
              <w:rPr>
                <w:szCs w:val="21"/>
              </w:rPr>
            </w:pPr>
            <w:r>
              <w:rPr>
                <w:szCs w:val="21"/>
              </w:rPr>
              <w:t>不得检出</w:t>
            </w:r>
          </w:p>
        </w:tc>
        <w:tc>
          <w:tcPr>
            <w:tcW w:w="1360" w:type="dxa"/>
            <w:vAlign w:val="center"/>
          </w:tcPr>
          <w:p w14:paraId="1797D687">
            <w:pPr>
              <w:autoSpaceDE w:val="0"/>
              <w:autoSpaceDN w:val="0"/>
              <w:spacing w:line="360" w:lineRule="auto"/>
              <w:jc w:val="center"/>
              <w:rPr>
                <w:szCs w:val="21"/>
              </w:rPr>
            </w:pPr>
            <w:r>
              <w:rPr>
                <w:szCs w:val="21"/>
              </w:rPr>
              <w:t>mg/kg</w:t>
            </w:r>
          </w:p>
        </w:tc>
      </w:tr>
      <w:tr w14:paraId="2707D97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169FCA16">
            <w:pPr>
              <w:autoSpaceDE w:val="0"/>
              <w:autoSpaceDN w:val="0"/>
              <w:spacing w:line="360" w:lineRule="auto"/>
              <w:jc w:val="center"/>
              <w:rPr>
                <w:szCs w:val="21"/>
              </w:rPr>
            </w:pPr>
            <w:r>
              <w:rPr>
                <w:szCs w:val="21"/>
              </w:rPr>
              <w:t>甲拌磷</w:t>
            </w:r>
          </w:p>
        </w:tc>
        <w:tc>
          <w:tcPr>
            <w:tcW w:w="3472" w:type="dxa"/>
            <w:vAlign w:val="center"/>
          </w:tcPr>
          <w:p w14:paraId="05C6C0C8">
            <w:pPr>
              <w:autoSpaceDE w:val="0"/>
              <w:autoSpaceDN w:val="0"/>
              <w:rPr>
                <w:szCs w:val="21"/>
              </w:rPr>
            </w:pPr>
            <w:r>
              <w:rPr>
                <w:szCs w:val="21"/>
              </w:rPr>
              <w:t>《中国药典》2020年版 第四部</w:t>
            </w:r>
          </w:p>
        </w:tc>
        <w:tc>
          <w:tcPr>
            <w:tcW w:w="1417" w:type="dxa"/>
            <w:vAlign w:val="center"/>
          </w:tcPr>
          <w:p w14:paraId="4F76A168">
            <w:pPr>
              <w:autoSpaceDE w:val="0"/>
              <w:autoSpaceDN w:val="0"/>
              <w:jc w:val="center"/>
              <w:rPr>
                <w:szCs w:val="21"/>
              </w:rPr>
            </w:pPr>
            <w:r>
              <w:rPr>
                <w:szCs w:val="21"/>
              </w:rPr>
              <w:t>不得检出</w:t>
            </w:r>
          </w:p>
        </w:tc>
        <w:tc>
          <w:tcPr>
            <w:tcW w:w="1360" w:type="dxa"/>
            <w:vAlign w:val="center"/>
          </w:tcPr>
          <w:p w14:paraId="7D7D090A">
            <w:pPr>
              <w:autoSpaceDE w:val="0"/>
              <w:autoSpaceDN w:val="0"/>
              <w:spacing w:line="360" w:lineRule="auto"/>
              <w:jc w:val="center"/>
              <w:rPr>
                <w:szCs w:val="21"/>
              </w:rPr>
            </w:pPr>
            <w:r>
              <w:rPr>
                <w:szCs w:val="21"/>
              </w:rPr>
              <w:t>mg/kg</w:t>
            </w:r>
          </w:p>
        </w:tc>
      </w:tr>
      <w:tr w14:paraId="1FF1859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4F8C6EF2">
            <w:pPr>
              <w:autoSpaceDE w:val="0"/>
              <w:autoSpaceDN w:val="0"/>
              <w:spacing w:line="360" w:lineRule="auto"/>
              <w:jc w:val="center"/>
              <w:rPr>
                <w:szCs w:val="21"/>
              </w:rPr>
            </w:pPr>
            <w:r>
              <w:rPr>
                <w:szCs w:val="21"/>
              </w:rPr>
              <w:t>甲基异柳磷</w:t>
            </w:r>
          </w:p>
        </w:tc>
        <w:tc>
          <w:tcPr>
            <w:tcW w:w="3472" w:type="dxa"/>
            <w:vAlign w:val="center"/>
          </w:tcPr>
          <w:p w14:paraId="61DF6493">
            <w:pPr>
              <w:autoSpaceDE w:val="0"/>
              <w:autoSpaceDN w:val="0"/>
              <w:rPr>
                <w:szCs w:val="21"/>
              </w:rPr>
            </w:pPr>
            <w:r>
              <w:rPr>
                <w:szCs w:val="21"/>
              </w:rPr>
              <w:t>《中国药典》2020年版 第四部</w:t>
            </w:r>
          </w:p>
        </w:tc>
        <w:tc>
          <w:tcPr>
            <w:tcW w:w="1417" w:type="dxa"/>
            <w:vAlign w:val="center"/>
          </w:tcPr>
          <w:p w14:paraId="42957818">
            <w:pPr>
              <w:autoSpaceDE w:val="0"/>
              <w:autoSpaceDN w:val="0"/>
              <w:jc w:val="center"/>
              <w:rPr>
                <w:szCs w:val="21"/>
              </w:rPr>
            </w:pPr>
            <w:r>
              <w:rPr>
                <w:szCs w:val="21"/>
              </w:rPr>
              <w:t>不得检出</w:t>
            </w:r>
          </w:p>
        </w:tc>
        <w:tc>
          <w:tcPr>
            <w:tcW w:w="1360" w:type="dxa"/>
            <w:vAlign w:val="center"/>
          </w:tcPr>
          <w:p w14:paraId="3305946F">
            <w:pPr>
              <w:autoSpaceDE w:val="0"/>
              <w:autoSpaceDN w:val="0"/>
              <w:spacing w:line="360" w:lineRule="auto"/>
              <w:jc w:val="center"/>
              <w:rPr>
                <w:szCs w:val="21"/>
              </w:rPr>
            </w:pPr>
            <w:r>
              <w:rPr>
                <w:szCs w:val="21"/>
              </w:rPr>
              <w:t>mg/kg</w:t>
            </w:r>
          </w:p>
        </w:tc>
      </w:tr>
      <w:tr w14:paraId="45EB438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1DC9A949">
            <w:pPr>
              <w:autoSpaceDE w:val="0"/>
              <w:autoSpaceDN w:val="0"/>
              <w:spacing w:line="360" w:lineRule="auto"/>
              <w:jc w:val="center"/>
              <w:rPr>
                <w:szCs w:val="21"/>
              </w:rPr>
            </w:pPr>
            <w:r>
              <w:rPr>
                <w:szCs w:val="21"/>
              </w:rPr>
              <w:t>内吸磷</w:t>
            </w:r>
          </w:p>
        </w:tc>
        <w:tc>
          <w:tcPr>
            <w:tcW w:w="3472" w:type="dxa"/>
            <w:vAlign w:val="center"/>
          </w:tcPr>
          <w:p w14:paraId="2D96904D">
            <w:pPr>
              <w:autoSpaceDE w:val="0"/>
              <w:autoSpaceDN w:val="0"/>
              <w:rPr>
                <w:szCs w:val="21"/>
              </w:rPr>
            </w:pPr>
            <w:r>
              <w:rPr>
                <w:szCs w:val="21"/>
              </w:rPr>
              <w:t>《中国药典》2020年版 第四部</w:t>
            </w:r>
          </w:p>
        </w:tc>
        <w:tc>
          <w:tcPr>
            <w:tcW w:w="1417" w:type="dxa"/>
            <w:vAlign w:val="center"/>
          </w:tcPr>
          <w:p w14:paraId="046090E4">
            <w:pPr>
              <w:autoSpaceDE w:val="0"/>
              <w:autoSpaceDN w:val="0"/>
              <w:jc w:val="center"/>
              <w:rPr>
                <w:szCs w:val="21"/>
              </w:rPr>
            </w:pPr>
            <w:r>
              <w:rPr>
                <w:szCs w:val="21"/>
              </w:rPr>
              <w:t>不得检出</w:t>
            </w:r>
          </w:p>
        </w:tc>
        <w:tc>
          <w:tcPr>
            <w:tcW w:w="1360" w:type="dxa"/>
            <w:vAlign w:val="center"/>
          </w:tcPr>
          <w:p w14:paraId="3E48063A">
            <w:pPr>
              <w:autoSpaceDE w:val="0"/>
              <w:autoSpaceDN w:val="0"/>
              <w:spacing w:line="360" w:lineRule="auto"/>
              <w:jc w:val="center"/>
              <w:rPr>
                <w:szCs w:val="21"/>
              </w:rPr>
            </w:pPr>
            <w:r>
              <w:rPr>
                <w:szCs w:val="21"/>
              </w:rPr>
              <w:t>mg/kg</w:t>
            </w:r>
          </w:p>
        </w:tc>
      </w:tr>
      <w:tr w14:paraId="2F43AD9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10080C66">
            <w:pPr>
              <w:autoSpaceDE w:val="0"/>
              <w:autoSpaceDN w:val="0"/>
              <w:spacing w:line="360" w:lineRule="auto"/>
              <w:jc w:val="center"/>
              <w:rPr>
                <w:szCs w:val="21"/>
              </w:rPr>
            </w:pPr>
            <w:r>
              <w:rPr>
                <w:szCs w:val="21"/>
              </w:rPr>
              <w:t>克百威</w:t>
            </w:r>
          </w:p>
        </w:tc>
        <w:tc>
          <w:tcPr>
            <w:tcW w:w="3472" w:type="dxa"/>
            <w:vAlign w:val="center"/>
          </w:tcPr>
          <w:p w14:paraId="5411F3B8">
            <w:pPr>
              <w:autoSpaceDE w:val="0"/>
              <w:autoSpaceDN w:val="0"/>
              <w:rPr>
                <w:szCs w:val="21"/>
              </w:rPr>
            </w:pPr>
            <w:r>
              <w:rPr>
                <w:szCs w:val="21"/>
              </w:rPr>
              <w:t>《中国药典》2020年版 第四部</w:t>
            </w:r>
          </w:p>
        </w:tc>
        <w:tc>
          <w:tcPr>
            <w:tcW w:w="1417" w:type="dxa"/>
            <w:vAlign w:val="center"/>
          </w:tcPr>
          <w:p w14:paraId="6AA639E6">
            <w:pPr>
              <w:autoSpaceDE w:val="0"/>
              <w:autoSpaceDN w:val="0"/>
              <w:jc w:val="center"/>
              <w:rPr>
                <w:szCs w:val="21"/>
              </w:rPr>
            </w:pPr>
            <w:r>
              <w:rPr>
                <w:szCs w:val="21"/>
              </w:rPr>
              <w:t>不得检出</w:t>
            </w:r>
          </w:p>
        </w:tc>
        <w:tc>
          <w:tcPr>
            <w:tcW w:w="1360" w:type="dxa"/>
            <w:vAlign w:val="center"/>
          </w:tcPr>
          <w:p w14:paraId="34F9A2B8">
            <w:pPr>
              <w:autoSpaceDE w:val="0"/>
              <w:autoSpaceDN w:val="0"/>
              <w:spacing w:line="360" w:lineRule="auto"/>
              <w:jc w:val="center"/>
              <w:rPr>
                <w:szCs w:val="21"/>
              </w:rPr>
            </w:pPr>
            <w:r>
              <w:rPr>
                <w:szCs w:val="21"/>
              </w:rPr>
              <w:t>mg/kg</w:t>
            </w:r>
          </w:p>
        </w:tc>
      </w:tr>
      <w:tr w14:paraId="7756F37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6A4FD14C">
            <w:pPr>
              <w:autoSpaceDE w:val="0"/>
              <w:autoSpaceDN w:val="0"/>
              <w:spacing w:line="360" w:lineRule="auto"/>
              <w:jc w:val="center"/>
              <w:rPr>
                <w:szCs w:val="21"/>
              </w:rPr>
            </w:pPr>
            <w:r>
              <w:rPr>
                <w:szCs w:val="21"/>
              </w:rPr>
              <w:t>涕灭威</w:t>
            </w:r>
          </w:p>
        </w:tc>
        <w:tc>
          <w:tcPr>
            <w:tcW w:w="3472" w:type="dxa"/>
            <w:vAlign w:val="center"/>
          </w:tcPr>
          <w:p w14:paraId="51F067D0">
            <w:pPr>
              <w:autoSpaceDE w:val="0"/>
              <w:autoSpaceDN w:val="0"/>
              <w:rPr>
                <w:szCs w:val="21"/>
              </w:rPr>
            </w:pPr>
            <w:r>
              <w:rPr>
                <w:szCs w:val="21"/>
              </w:rPr>
              <w:t>《中国药典》2020年版 第四部</w:t>
            </w:r>
          </w:p>
        </w:tc>
        <w:tc>
          <w:tcPr>
            <w:tcW w:w="1417" w:type="dxa"/>
            <w:vAlign w:val="center"/>
          </w:tcPr>
          <w:p w14:paraId="55DAF322">
            <w:pPr>
              <w:autoSpaceDE w:val="0"/>
              <w:autoSpaceDN w:val="0"/>
              <w:jc w:val="center"/>
              <w:rPr>
                <w:szCs w:val="21"/>
              </w:rPr>
            </w:pPr>
            <w:r>
              <w:rPr>
                <w:szCs w:val="21"/>
              </w:rPr>
              <w:t>不得检出</w:t>
            </w:r>
          </w:p>
        </w:tc>
        <w:tc>
          <w:tcPr>
            <w:tcW w:w="1360" w:type="dxa"/>
            <w:vAlign w:val="center"/>
          </w:tcPr>
          <w:p w14:paraId="17397CDE">
            <w:pPr>
              <w:autoSpaceDE w:val="0"/>
              <w:autoSpaceDN w:val="0"/>
              <w:spacing w:line="360" w:lineRule="auto"/>
              <w:jc w:val="center"/>
              <w:rPr>
                <w:szCs w:val="21"/>
              </w:rPr>
            </w:pPr>
            <w:r>
              <w:rPr>
                <w:szCs w:val="21"/>
              </w:rPr>
              <w:t>mg/kg</w:t>
            </w:r>
          </w:p>
        </w:tc>
      </w:tr>
      <w:tr w14:paraId="4A72BA6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2FB1F40D">
            <w:pPr>
              <w:autoSpaceDE w:val="0"/>
              <w:autoSpaceDN w:val="0"/>
              <w:spacing w:line="360" w:lineRule="auto"/>
              <w:jc w:val="center"/>
              <w:rPr>
                <w:szCs w:val="21"/>
              </w:rPr>
            </w:pPr>
            <w:r>
              <w:rPr>
                <w:szCs w:val="21"/>
              </w:rPr>
              <w:t>灭线磷</w:t>
            </w:r>
          </w:p>
        </w:tc>
        <w:tc>
          <w:tcPr>
            <w:tcW w:w="3472" w:type="dxa"/>
            <w:vAlign w:val="center"/>
          </w:tcPr>
          <w:p w14:paraId="1EF94537">
            <w:pPr>
              <w:autoSpaceDE w:val="0"/>
              <w:autoSpaceDN w:val="0"/>
              <w:rPr>
                <w:szCs w:val="21"/>
              </w:rPr>
            </w:pPr>
            <w:r>
              <w:rPr>
                <w:szCs w:val="21"/>
              </w:rPr>
              <w:t>《中国药典》2020年版 第四部</w:t>
            </w:r>
          </w:p>
        </w:tc>
        <w:tc>
          <w:tcPr>
            <w:tcW w:w="1417" w:type="dxa"/>
            <w:vAlign w:val="center"/>
          </w:tcPr>
          <w:p w14:paraId="40E1B021">
            <w:pPr>
              <w:autoSpaceDE w:val="0"/>
              <w:autoSpaceDN w:val="0"/>
              <w:jc w:val="center"/>
              <w:rPr>
                <w:szCs w:val="21"/>
              </w:rPr>
            </w:pPr>
            <w:r>
              <w:rPr>
                <w:szCs w:val="21"/>
              </w:rPr>
              <w:t>不得检出</w:t>
            </w:r>
          </w:p>
        </w:tc>
        <w:tc>
          <w:tcPr>
            <w:tcW w:w="1360" w:type="dxa"/>
            <w:vAlign w:val="center"/>
          </w:tcPr>
          <w:p w14:paraId="5DAE03EB">
            <w:pPr>
              <w:autoSpaceDE w:val="0"/>
              <w:autoSpaceDN w:val="0"/>
              <w:spacing w:line="360" w:lineRule="auto"/>
              <w:jc w:val="center"/>
              <w:rPr>
                <w:szCs w:val="21"/>
              </w:rPr>
            </w:pPr>
            <w:r>
              <w:rPr>
                <w:szCs w:val="21"/>
              </w:rPr>
              <w:t>mg/kg</w:t>
            </w:r>
          </w:p>
        </w:tc>
      </w:tr>
      <w:tr w14:paraId="5369662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6CC2DE49">
            <w:pPr>
              <w:autoSpaceDE w:val="0"/>
              <w:autoSpaceDN w:val="0"/>
              <w:spacing w:line="360" w:lineRule="auto"/>
              <w:jc w:val="center"/>
              <w:rPr>
                <w:szCs w:val="21"/>
              </w:rPr>
            </w:pPr>
            <w:r>
              <w:rPr>
                <w:szCs w:val="21"/>
              </w:rPr>
              <w:t>氯唑磷</w:t>
            </w:r>
          </w:p>
        </w:tc>
        <w:tc>
          <w:tcPr>
            <w:tcW w:w="3472" w:type="dxa"/>
            <w:vAlign w:val="center"/>
          </w:tcPr>
          <w:p w14:paraId="0484AF12">
            <w:pPr>
              <w:autoSpaceDE w:val="0"/>
              <w:autoSpaceDN w:val="0"/>
              <w:rPr>
                <w:szCs w:val="21"/>
              </w:rPr>
            </w:pPr>
            <w:r>
              <w:rPr>
                <w:szCs w:val="21"/>
              </w:rPr>
              <w:t>《中国药典》2020年版 第四部</w:t>
            </w:r>
          </w:p>
        </w:tc>
        <w:tc>
          <w:tcPr>
            <w:tcW w:w="1417" w:type="dxa"/>
            <w:vAlign w:val="center"/>
          </w:tcPr>
          <w:p w14:paraId="6E0B686B">
            <w:pPr>
              <w:autoSpaceDE w:val="0"/>
              <w:autoSpaceDN w:val="0"/>
              <w:jc w:val="center"/>
              <w:rPr>
                <w:szCs w:val="21"/>
              </w:rPr>
            </w:pPr>
            <w:r>
              <w:rPr>
                <w:szCs w:val="21"/>
              </w:rPr>
              <w:t>不得检出</w:t>
            </w:r>
          </w:p>
        </w:tc>
        <w:tc>
          <w:tcPr>
            <w:tcW w:w="1360" w:type="dxa"/>
            <w:vAlign w:val="center"/>
          </w:tcPr>
          <w:p w14:paraId="34E448CE">
            <w:pPr>
              <w:autoSpaceDE w:val="0"/>
              <w:autoSpaceDN w:val="0"/>
              <w:spacing w:line="360" w:lineRule="auto"/>
              <w:jc w:val="center"/>
              <w:rPr>
                <w:szCs w:val="21"/>
              </w:rPr>
            </w:pPr>
            <w:r>
              <w:rPr>
                <w:szCs w:val="21"/>
              </w:rPr>
              <w:t>mg/kg</w:t>
            </w:r>
          </w:p>
        </w:tc>
      </w:tr>
      <w:tr w14:paraId="66F1CF2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3F832FD8">
            <w:pPr>
              <w:autoSpaceDE w:val="0"/>
              <w:autoSpaceDN w:val="0"/>
              <w:spacing w:line="360" w:lineRule="auto"/>
              <w:jc w:val="center"/>
              <w:rPr>
                <w:szCs w:val="21"/>
              </w:rPr>
            </w:pPr>
            <w:r>
              <w:rPr>
                <w:szCs w:val="21"/>
              </w:rPr>
              <w:t>水胺硫磷</w:t>
            </w:r>
          </w:p>
        </w:tc>
        <w:tc>
          <w:tcPr>
            <w:tcW w:w="3472" w:type="dxa"/>
            <w:vAlign w:val="center"/>
          </w:tcPr>
          <w:p w14:paraId="5D6A29EA">
            <w:pPr>
              <w:autoSpaceDE w:val="0"/>
              <w:autoSpaceDN w:val="0"/>
              <w:rPr>
                <w:szCs w:val="21"/>
              </w:rPr>
            </w:pPr>
            <w:r>
              <w:rPr>
                <w:szCs w:val="21"/>
              </w:rPr>
              <w:t>《中国药典》2020年版 第四部</w:t>
            </w:r>
          </w:p>
        </w:tc>
        <w:tc>
          <w:tcPr>
            <w:tcW w:w="1417" w:type="dxa"/>
            <w:vAlign w:val="center"/>
          </w:tcPr>
          <w:p w14:paraId="24978A1F">
            <w:pPr>
              <w:autoSpaceDE w:val="0"/>
              <w:autoSpaceDN w:val="0"/>
              <w:jc w:val="center"/>
              <w:rPr>
                <w:szCs w:val="21"/>
              </w:rPr>
            </w:pPr>
            <w:r>
              <w:rPr>
                <w:szCs w:val="21"/>
              </w:rPr>
              <w:t>不得检出</w:t>
            </w:r>
          </w:p>
        </w:tc>
        <w:tc>
          <w:tcPr>
            <w:tcW w:w="1360" w:type="dxa"/>
            <w:vAlign w:val="center"/>
          </w:tcPr>
          <w:p w14:paraId="57D40CDC">
            <w:pPr>
              <w:autoSpaceDE w:val="0"/>
              <w:autoSpaceDN w:val="0"/>
              <w:spacing w:line="360" w:lineRule="auto"/>
              <w:jc w:val="center"/>
              <w:rPr>
                <w:szCs w:val="21"/>
              </w:rPr>
            </w:pPr>
            <w:r>
              <w:rPr>
                <w:szCs w:val="21"/>
              </w:rPr>
              <w:t>mg/kg</w:t>
            </w:r>
          </w:p>
        </w:tc>
      </w:tr>
      <w:tr w14:paraId="2E4C983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5E039FDE">
            <w:pPr>
              <w:autoSpaceDE w:val="0"/>
              <w:autoSpaceDN w:val="0"/>
              <w:spacing w:line="360" w:lineRule="auto"/>
              <w:jc w:val="center"/>
              <w:rPr>
                <w:szCs w:val="21"/>
              </w:rPr>
            </w:pPr>
            <w:r>
              <w:rPr>
                <w:szCs w:val="21"/>
              </w:rPr>
              <w:t>硫丹</w:t>
            </w:r>
          </w:p>
        </w:tc>
        <w:tc>
          <w:tcPr>
            <w:tcW w:w="3472" w:type="dxa"/>
            <w:vAlign w:val="center"/>
          </w:tcPr>
          <w:p w14:paraId="0CEBF87A">
            <w:pPr>
              <w:autoSpaceDE w:val="0"/>
              <w:autoSpaceDN w:val="0"/>
              <w:rPr>
                <w:szCs w:val="21"/>
              </w:rPr>
            </w:pPr>
            <w:r>
              <w:rPr>
                <w:szCs w:val="21"/>
              </w:rPr>
              <w:t>《中国药典》2020年版 第四部</w:t>
            </w:r>
          </w:p>
        </w:tc>
        <w:tc>
          <w:tcPr>
            <w:tcW w:w="1417" w:type="dxa"/>
            <w:vAlign w:val="center"/>
          </w:tcPr>
          <w:p w14:paraId="369919FA">
            <w:pPr>
              <w:autoSpaceDE w:val="0"/>
              <w:autoSpaceDN w:val="0"/>
              <w:jc w:val="center"/>
              <w:rPr>
                <w:szCs w:val="21"/>
              </w:rPr>
            </w:pPr>
            <w:r>
              <w:rPr>
                <w:szCs w:val="21"/>
              </w:rPr>
              <w:t>不得检出</w:t>
            </w:r>
          </w:p>
        </w:tc>
        <w:tc>
          <w:tcPr>
            <w:tcW w:w="1360" w:type="dxa"/>
            <w:vAlign w:val="center"/>
          </w:tcPr>
          <w:p w14:paraId="321CE672">
            <w:pPr>
              <w:autoSpaceDE w:val="0"/>
              <w:autoSpaceDN w:val="0"/>
              <w:spacing w:line="360" w:lineRule="auto"/>
              <w:jc w:val="center"/>
              <w:rPr>
                <w:szCs w:val="21"/>
              </w:rPr>
            </w:pPr>
            <w:r>
              <w:rPr>
                <w:szCs w:val="21"/>
              </w:rPr>
              <w:t>mg/kg</w:t>
            </w:r>
          </w:p>
        </w:tc>
      </w:tr>
      <w:tr w14:paraId="39A1854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059CD564">
            <w:pPr>
              <w:autoSpaceDE w:val="0"/>
              <w:autoSpaceDN w:val="0"/>
              <w:spacing w:line="360" w:lineRule="auto"/>
              <w:jc w:val="center"/>
              <w:rPr>
                <w:szCs w:val="21"/>
              </w:rPr>
            </w:pPr>
            <w:r>
              <w:rPr>
                <w:szCs w:val="21"/>
              </w:rPr>
              <w:t>氟虫腈</w:t>
            </w:r>
          </w:p>
        </w:tc>
        <w:tc>
          <w:tcPr>
            <w:tcW w:w="3472" w:type="dxa"/>
            <w:vAlign w:val="center"/>
          </w:tcPr>
          <w:p w14:paraId="511E1E25">
            <w:pPr>
              <w:autoSpaceDE w:val="0"/>
              <w:autoSpaceDN w:val="0"/>
              <w:rPr>
                <w:szCs w:val="21"/>
              </w:rPr>
            </w:pPr>
            <w:r>
              <w:rPr>
                <w:szCs w:val="21"/>
              </w:rPr>
              <w:t>《中国药典》2020年版 第四部</w:t>
            </w:r>
          </w:p>
        </w:tc>
        <w:tc>
          <w:tcPr>
            <w:tcW w:w="1417" w:type="dxa"/>
            <w:vAlign w:val="center"/>
          </w:tcPr>
          <w:p w14:paraId="1938EAFA">
            <w:pPr>
              <w:autoSpaceDE w:val="0"/>
              <w:autoSpaceDN w:val="0"/>
              <w:jc w:val="center"/>
              <w:rPr>
                <w:szCs w:val="21"/>
              </w:rPr>
            </w:pPr>
            <w:r>
              <w:rPr>
                <w:szCs w:val="21"/>
              </w:rPr>
              <w:t>不得检出</w:t>
            </w:r>
          </w:p>
        </w:tc>
        <w:tc>
          <w:tcPr>
            <w:tcW w:w="1360" w:type="dxa"/>
            <w:vAlign w:val="center"/>
          </w:tcPr>
          <w:p w14:paraId="157D38E9">
            <w:pPr>
              <w:autoSpaceDE w:val="0"/>
              <w:autoSpaceDN w:val="0"/>
              <w:spacing w:line="360" w:lineRule="auto"/>
              <w:jc w:val="center"/>
              <w:rPr>
                <w:szCs w:val="21"/>
              </w:rPr>
            </w:pPr>
            <w:r>
              <w:rPr>
                <w:szCs w:val="21"/>
              </w:rPr>
              <w:t>mg/kg</w:t>
            </w:r>
          </w:p>
        </w:tc>
      </w:tr>
      <w:tr w14:paraId="0ECD095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093364C9">
            <w:pPr>
              <w:autoSpaceDE w:val="0"/>
              <w:autoSpaceDN w:val="0"/>
              <w:spacing w:line="360" w:lineRule="auto"/>
              <w:jc w:val="center"/>
              <w:rPr>
                <w:szCs w:val="21"/>
              </w:rPr>
            </w:pPr>
            <w:r>
              <w:rPr>
                <w:szCs w:val="21"/>
              </w:rPr>
              <w:t>三氯杀螨醇</w:t>
            </w:r>
          </w:p>
        </w:tc>
        <w:tc>
          <w:tcPr>
            <w:tcW w:w="3472" w:type="dxa"/>
            <w:vAlign w:val="center"/>
          </w:tcPr>
          <w:p w14:paraId="7E7A2A59">
            <w:pPr>
              <w:autoSpaceDE w:val="0"/>
              <w:autoSpaceDN w:val="0"/>
              <w:rPr>
                <w:szCs w:val="21"/>
              </w:rPr>
            </w:pPr>
            <w:r>
              <w:rPr>
                <w:szCs w:val="21"/>
              </w:rPr>
              <w:t>《中国药典》2020年版 第四部</w:t>
            </w:r>
          </w:p>
        </w:tc>
        <w:tc>
          <w:tcPr>
            <w:tcW w:w="1417" w:type="dxa"/>
            <w:vAlign w:val="center"/>
          </w:tcPr>
          <w:p w14:paraId="2EE21002">
            <w:pPr>
              <w:autoSpaceDE w:val="0"/>
              <w:autoSpaceDN w:val="0"/>
              <w:jc w:val="center"/>
              <w:rPr>
                <w:szCs w:val="21"/>
              </w:rPr>
            </w:pPr>
            <w:r>
              <w:rPr>
                <w:szCs w:val="21"/>
              </w:rPr>
              <w:t>不得检出</w:t>
            </w:r>
          </w:p>
        </w:tc>
        <w:tc>
          <w:tcPr>
            <w:tcW w:w="1360" w:type="dxa"/>
            <w:vAlign w:val="center"/>
          </w:tcPr>
          <w:p w14:paraId="1B987FF2">
            <w:pPr>
              <w:autoSpaceDE w:val="0"/>
              <w:autoSpaceDN w:val="0"/>
              <w:spacing w:line="360" w:lineRule="auto"/>
              <w:jc w:val="center"/>
              <w:rPr>
                <w:szCs w:val="21"/>
              </w:rPr>
            </w:pPr>
            <w:r>
              <w:rPr>
                <w:szCs w:val="21"/>
              </w:rPr>
              <w:t>mg/kg</w:t>
            </w:r>
          </w:p>
        </w:tc>
      </w:tr>
      <w:tr w14:paraId="77E87ED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bottom w:val="single" w:color="auto" w:sz="4" w:space="0"/>
            </w:tcBorders>
            <w:vAlign w:val="center"/>
          </w:tcPr>
          <w:p w14:paraId="506B8A16">
            <w:pPr>
              <w:autoSpaceDE w:val="0"/>
              <w:autoSpaceDN w:val="0"/>
              <w:spacing w:line="360" w:lineRule="auto"/>
              <w:jc w:val="center"/>
              <w:rPr>
                <w:szCs w:val="21"/>
              </w:rPr>
            </w:pPr>
            <w:r>
              <w:rPr>
                <w:szCs w:val="21"/>
              </w:rPr>
              <w:t>硫环磷</w:t>
            </w:r>
          </w:p>
        </w:tc>
        <w:tc>
          <w:tcPr>
            <w:tcW w:w="3472" w:type="dxa"/>
            <w:tcBorders>
              <w:bottom w:val="single" w:color="auto" w:sz="4" w:space="0"/>
            </w:tcBorders>
            <w:vAlign w:val="center"/>
          </w:tcPr>
          <w:p w14:paraId="2AEB6595">
            <w:pPr>
              <w:autoSpaceDE w:val="0"/>
              <w:autoSpaceDN w:val="0"/>
              <w:rPr>
                <w:szCs w:val="21"/>
              </w:rPr>
            </w:pPr>
            <w:r>
              <w:rPr>
                <w:szCs w:val="21"/>
              </w:rPr>
              <w:t>《中国药典》2020年版 第四部</w:t>
            </w:r>
          </w:p>
        </w:tc>
        <w:tc>
          <w:tcPr>
            <w:tcW w:w="1417" w:type="dxa"/>
            <w:tcBorders>
              <w:bottom w:val="single" w:color="auto" w:sz="4" w:space="0"/>
            </w:tcBorders>
            <w:vAlign w:val="center"/>
          </w:tcPr>
          <w:p w14:paraId="1FAAEA38">
            <w:pPr>
              <w:autoSpaceDE w:val="0"/>
              <w:autoSpaceDN w:val="0"/>
              <w:jc w:val="center"/>
              <w:rPr>
                <w:szCs w:val="21"/>
              </w:rPr>
            </w:pPr>
            <w:r>
              <w:rPr>
                <w:szCs w:val="21"/>
              </w:rPr>
              <w:t>不得检出</w:t>
            </w:r>
          </w:p>
        </w:tc>
        <w:tc>
          <w:tcPr>
            <w:tcW w:w="1360" w:type="dxa"/>
            <w:tcBorders>
              <w:bottom w:val="single" w:color="auto" w:sz="4" w:space="0"/>
            </w:tcBorders>
            <w:vAlign w:val="center"/>
          </w:tcPr>
          <w:p w14:paraId="39528C39">
            <w:pPr>
              <w:autoSpaceDE w:val="0"/>
              <w:autoSpaceDN w:val="0"/>
              <w:spacing w:line="360" w:lineRule="auto"/>
              <w:jc w:val="center"/>
              <w:rPr>
                <w:szCs w:val="21"/>
              </w:rPr>
            </w:pPr>
            <w:r>
              <w:rPr>
                <w:szCs w:val="21"/>
              </w:rPr>
              <w:t>mg/kg</w:t>
            </w:r>
          </w:p>
        </w:tc>
      </w:tr>
      <w:tr w14:paraId="6F96CE7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bottom w:val="single" w:color="auto" w:sz="8" w:space="0"/>
            </w:tcBorders>
            <w:vAlign w:val="center"/>
          </w:tcPr>
          <w:p w14:paraId="50114AC0">
            <w:pPr>
              <w:autoSpaceDE w:val="0"/>
              <w:autoSpaceDN w:val="0"/>
              <w:spacing w:line="360" w:lineRule="auto"/>
              <w:jc w:val="center"/>
              <w:rPr>
                <w:szCs w:val="21"/>
              </w:rPr>
            </w:pPr>
            <w:r>
              <w:rPr>
                <w:szCs w:val="21"/>
              </w:rPr>
              <w:t>甲基硫环磷</w:t>
            </w:r>
          </w:p>
        </w:tc>
        <w:tc>
          <w:tcPr>
            <w:tcW w:w="3472" w:type="dxa"/>
            <w:tcBorders>
              <w:bottom w:val="single" w:color="auto" w:sz="8" w:space="0"/>
            </w:tcBorders>
            <w:vAlign w:val="center"/>
          </w:tcPr>
          <w:p w14:paraId="43FC7067">
            <w:pPr>
              <w:autoSpaceDE w:val="0"/>
              <w:autoSpaceDN w:val="0"/>
              <w:rPr>
                <w:szCs w:val="21"/>
              </w:rPr>
            </w:pPr>
            <w:r>
              <w:rPr>
                <w:szCs w:val="21"/>
              </w:rPr>
              <w:t>《中国药典》2020年版 第四部</w:t>
            </w:r>
          </w:p>
        </w:tc>
        <w:tc>
          <w:tcPr>
            <w:tcW w:w="1417" w:type="dxa"/>
            <w:tcBorders>
              <w:bottom w:val="single" w:color="auto" w:sz="8" w:space="0"/>
            </w:tcBorders>
            <w:vAlign w:val="center"/>
          </w:tcPr>
          <w:p w14:paraId="31939633">
            <w:pPr>
              <w:autoSpaceDE w:val="0"/>
              <w:autoSpaceDN w:val="0"/>
              <w:jc w:val="center"/>
              <w:rPr>
                <w:szCs w:val="21"/>
              </w:rPr>
            </w:pPr>
            <w:r>
              <w:rPr>
                <w:szCs w:val="21"/>
              </w:rPr>
              <w:t>不得检出</w:t>
            </w:r>
          </w:p>
        </w:tc>
        <w:tc>
          <w:tcPr>
            <w:tcW w:w="1360" w:type="dxa"/>
            <w:tcBorders>
              <w:bottom w:val="single" w:color="auto" w:sz="8" w:space="0"/>
            </w:tcBorders>
            <w:vAlign w:val="center"/>
          </w:tcPr>
          <w:p w14:paraId="400EB611">
            <w:pPr>
              <w:autoSpaceDE w:val="0"/>
              <w:autoSpaceDN w:val="0"/>
              <w:spacing w:line="360" w:lineRule="auto"/>
              <w:jc w:val="center"/>
              <w:rPr>
                <w:szCs w:val="21"/>
              </w:rPr>
            </w:pPr>
            <w:r>
              <w:rPr>
                <w:szCs w:val="21"/>
              </w:rPr>
              <w:t>mg/kg</w:t>
            </w:r>
          </w:p>
        </w:tc>
      </w:tr>
    </w:tbl>
    <w:p w14:paraId="5B386955">
      <w:pPr>
        <w:autoSpaceDE w:val="0"/>
        <w:autoSpaceDN w:val="0"/>
        <w:spacing w:before="312" w:beforeLines="100" w:line="360" w:lineRule="auto"/>
        <w:jc w:val="center"/>
        <w:rPr>
          <w:szCs w:val="21"/>
        </w:rPr>
      </w:pPr>
      <w:r>
        <w:rPr>
          <w:szCs w:val="21"/>
        </w:rPr>
        <w:t>表3 药材污染风险筛选值（黄曲霉毒素）</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057"/>
        <w:gridCol w:w="3472"/>
        <w:gridCol w:w="1417"/>
        <w:gridCol w:w="1360"/>
      </w:tblGrid>
      <w:tr w14:paraId="112F16F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top w:val="single" w:color="auto" w:sz="8" w:space="0"/>
              <w:bottom w:val="single" w:color="auto" w:sz="8" w:space="0"/>
            </w:tcBorders>
            <w:vAlign w:val="center"/>
          </w:tcPr>
          <w:p w14:paraId="51BFE703">
            <w:pPr>
              <w:autoSpaceDE w:val="0"/>
              <w:autoSpaceDN w:val="0"/>
              <w:spacing w:line="360" w:lineRule="auto"/>
              <w:jc w:val="center"/>
              <w:rPr>
                <w:b/>
                <w:szCs w:val="21"/>
              </w:rPr>
            </w:pPr>
            <w:r>
              <w:rPr>
                <w:b/>
                <w:szCs w:val="21"/>
              </w:rPr>
              <w:t>检测项目</w:t>
            </w:r>
          </w:p>
        </w:tc>
        <w:tc>
          <w:tcPr>
            <w:tcW w:w="3472" w:type="dxa"/>
            <w:tcBorders>
              <w:top w:val="single" w:color="auto" w:sz="8" w:space="0"/>
              <w:bottom w:val="single" w:color="auto" w:sz="8" w:space="0"/>
            </w:tcBorders>
            <w:vAlign w:val="center"/>
          </w:tcPr>
          <w:p w14:paraId="383B14BC">
            <w:pPr>
              <w:autoSpaceDE w:val="0"/>
              <w:autoSpaceDN w:val="0"/>
              <w:spacing w:line="360" w:lineRule="auto"/>
              <w:jc w:val="center"/>
              <w:rPr>
                <w:b/>
                <w:szCs w:val="21"/>
              </w:rPr>
            </w:pPr>
            <w:r>
              <w:rPr>
                <w:b/>
                <w:szCs w:val="21"/>
              </w:rPr>
              <w:t>检测方法</w:t>
            </w:r>
          </w:p>
        </w:tc>
        <w:tc>
          <w:tcPr>
            <w:tcW w:w="1417" w:type="dxa"/>
            <w:tcBorders>
              <w:top w:val="single" w:color="auto" w:sz="8" w:space="0"/>
              <w:bottom w:val="single" w:color="auto" w:sz="8" w:space="0"/>
            </w:tcBorders>
            <w:vAlign w:val="center"/>
          </w:tcPr>
          <w:p w14:paraId="118B20B4">
            <w:pPr>
              <w:autoSpaceDE w:val="0"/>
              <w:autoSpaceDN w:val="0"/>
              <w:spacing w:line="360" w:lineRule="auto"/>
              <w:jc w:val="center"/>
              <w:rPr>
                <w:b/>
                <w:szCs w:val="21"/>
              </w:rPr>
            </w:pPr>
            <w:r>
              <w:rPr>
                <w:b/>
                <w:szCs w:val="21"/>
              </w:rPr>
              <w:t>标准要求</w:t>
            </w:r>
          </w:p>
        </w:tc>
        <w:tc>
          <w:tcPr>
            <w:tcW w:w="1360" w:type="dxa"/>
            <w:tcBorders>
              <w:top w:val="single" w:color="auto" w:sz="8" w:space="0"/>
              <w:bottom w:val="single" w:color="auto" w:sz="8" w:space="0"/>
            </w:tcBorders>
            <w:vAlign w:val="center"/>
          </w:tcPr>
          <w:p w14:paraId="66A5573F">
            <w:pPr>
              <w:autoSpaceDE w:val="0"/>
              <w:autoSpaceDN w:val="0"/>
              <w:spacing w:line="360" w:lineRule="auto"/>
              <w:jc w:val="center"/>
              <w:rPr>
                <w:b/>
                <w:szCs w:val="21"/>
              </w:rPr>
            </w:pPr>
            <w:r>
              <w:rPr>
                <w:b/>
                <w:szCs w:val="21"/>
              </w:rPr>
              <w:t>单位</w:t>
            </w:r>
          </w:p>
        </w:tc>
      </w:tr>
      <w:tr w14:paraId="346D2B4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top w:val="single" w:color="auto" w:sz="8" w:space="0"/>
            </w:tcBorders>
            <w:vAlign w:val="center"/>
          </w:tcPr>
          <w:p w14:paraId="19D3EE90">
            <w:pPr>
              <w:autoSpaceDE w:val="0"/>
              <w:autoSpaceDN w:val="0"/>
              <w:spacing w:line="360" w:lineRule="auto"/>
              <w:jc w:val="center"/>
              <w:rPr>
                <w:szCs w:val="21"/>
              </w:rPr>
            </w:pPr>
            <w:r>
              <w:rPr>
                <w:szCs w:val="21"/>
              </w:rPr>
              <w:t>黄曲霉毒素B</w:t>
            </w:r>
            <w:r>
              <w:rPr>
                <w:szCs w:val="21"/>
                <w:vertAlign w:val="subscript"/>
              </w:rPr>
              <w:t>1</w:t>
            </w:r>
          </w:p>
        </w:tc>
        <w:tc>
          <w:tcPr>
            <w:tcW w:w="3472" w:type="dxa"/>
            <w:tcBorders>
              <w:top w:val="single" w:color="auto" w:sz="8" w:space="0"/>
            </w:tcBorders>
            <w:vAlign w:val="center"/>
          </w:tcPr>
          <w:p w14:paraId="33FE5236">
            <w:pPr>
              <w:autoSpaceDE w:val="0"/>
              <w:autoSpaceDN w:val="0"/>
              <w:spacing w:line="360" w:lineRule="auto"/>
              <w:rPr>
                <w:szCs w:val="21"/>
              </w:rPr>
            </w:pPr>
            <w:r>
              <w:rPr>
                <w:szCs w:val="21"/>
              </w:rPr>
              <w:t>《中国药典》2020年版 第四部</w:t>
            </w:r>
          </w:p>
        </w:tc>
        <w:tc>
          <w:tcPr>
            <w:tcW w:w="1417" w:type="dxa"/>
            <w:tcBorders>
              <w:top w:val="single" w:color="auto" w:sz="8" w:space="0"/>
            </w:tcBorders>
            <w:vAlign w:val="center"/>
          </w:tcPr>
          <w:p w14:paraId="663DF447">
            <w:pPr>
              <w:autoSpaceDE w:val="0"/>
              <w:autoSpaceDN w:val="0"/>
              <w:spacing w:line="360" w:lineRule="auto"/>
              <w:jc w:val="center"/>
              <w:rPr>
                <w:szCs w:val="21"/>
              </w:rPr>
            </w:pPr>
            <w:r>
              <w:rPr>
                <w:szCs w:val="21"/>
              </w:rPr>
              <w:t>≤10</w:t>
            </w:r>
          </w:p>
        </w:tc>
        <w:tc>
          <w:tcPr>
            <w:tcW w:w="1360" w:type="dxa"/>
            <w:tcBorders>
              <w:top w:val="single" w:color="auto" w:sz="8" w:space="0"/>
            </w:tcBorders>
            <w:vAlign w:val="center"/>
          </w:tcPr>
          <w:p w14:paraId="51AA0836">
            <w:pPr>
              <w:autoSpaceDE w:val="0"/>
              <w:autoSpaceDN w:val="0"/>
              <w:spacing w:line="360" w:lineRule="auto"/>
              <w:jc w:val="center"/>
              <w:rPr>
                <w:szCs w:val="21"/>
              </w:rPr>
            </w:pPr>
            <w:r>
              <w:rPr>
                <w:szCs w:val="21"/>
              </w:rPr>
              <w:t>mg/kg</w:t>
            </w:r>
          </w:p>
        </w:tc>
      </w:tr>
      <w:tr w14:paraId="7BDEC58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6332D128">
            <w:pPr>
              <w:autoSpaceDE w:val="0"/>
              <w:autoSpaceDN w:val="0"/>
              <w:spacing w:line="360" w:lineRule="auto"/>
              <w:jc w:val="center"/>
              <w:rPr>
                <w:szCs w:val="21"/>
              </w:rPr>
            </w:pPr>
            <w:r>
              <w:rPr>
                <w:szCs w:val="21"/>
              </w:rPr>
              <w:t>黄曲霉毒素B</w:t>
            </w:r>
            <w:r>
              <w:rPr>
                <w:szCs w:val="21"/>
                <w:vertAlign w:val="subscript"/>
              </w:rPr>
              <w:t>2</w:t>
            </w:r>
          </w:p>
        </w:tc>
        <w:tc>
          <w:tcPr>
            <w:tcW w:w="3472" w:type="dxa"/>
            <w:vAlign w:val="center"/>
          </w:tcPr>
          <w:p w14:paraId="75888FEF">
            <w:pPr>
              <w:autoSpaceDE w:val="0"/>
              <w:autoSpaceDN w:val="0"/>
              <w:spacing w:line="360" w:lineRule="auto"/>
              <w:rPr>
                <w:szCs w:val="21"/>
              </w:rPr>
            </w:pPr>
            <w:r>
              <w:rPr>
                <w:szCs w:val="21"/>
              </w:rPr>
              <w:t>《中国药典》2020年版 第四部</w:t>
            </w:r>
          </w:p>
        </w:tc>
        <w:tc>
          <w:tcPr>
            <w:tcW w:w="1417" w:type="dxa"/>
            <w:vAlign w:val="center"/>
          </w:tcPr>
          <w:p w14:paraId="43D0B54B">
            <w:pPr>
              <w:autoSpaceDE w:val="0"/>
              <w:autoSpaceDN w:val="0"/>
              <w:spacing w:line="360" w:lineRule="auto"/>
              <w:jc w:val="center"/>
              <w:rPr>
                <w:szCs w:val="21"/>
              </w:rPr>
            </w:pPr>
            <w:r>
              <w:rPr>
                <w:szCs w:val="21"/>
              </w:rPr>
              <w:t>≤5</w:t>
            </w:r>
          </w:p>
        </w:tc>
        <w:tc>
          <w:tcPr>
            <w:tcW w:w="1360" w:type="dxa"/>
            <w:vAlign w:val="center"/>
          </w:tcPr>
          <w:p w14:paraId="03FDC3B0">
            <w:pPr>
              <w:autoSpaceDE w:val="0"/>
              <w:autoSpaceDN w:val="0"/>
              <w:spacing w:line="360" w:lineRule="auto"/>
              <w:jc w:val="center"/>
              <w:rPr>
                <w:szCs w:val="21"/>
              </w:rPr>
            </w:pPr>
            <w:r>
              <w:rPr>
                <w:szCs w:val="21"/>
              </w:rPr>
              <w:t>mg/kg</w:t>
            </w:r>
          </w:p>
        </w:tc>
      </w:tr>
      <w:tr w14:paraId="456A293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vAlign w:val="center"/>
          </w:tcPr>
          <w:p w14:paraId="49D12404">
            <w:pPr>
              <w:autoSpaceDE w:val="0"/>
              <w:autoSpaceDN w:val="0"/>
              <w:spacing w:line="360" w:lineRule="auto"/>
              <w:jc w:val="center"/>
              <w:rPr>
                <w:szCs w:val="21"/>
              </w:rPr>
            </w:pPr>
            <w:r>
              <w:rPr>
                <w:szCs w:val="21"/>
              </w:rPr>
              <w:t>黄曲霉毒素G</w:t>
            </w:r>
            <w:r>
              <w:rPr>
                <w:szCs w:val="21"/>
                <w:vertAlign w:val="subscript"/>
              </w:rPr>
              <w:t>1</w:t>
            </w:r>
          </w:p>
        </w:tc>
        <w:tc>
          <w:tcPr>
            <w:tcW w:w="3472" w:type="dxa"/>
            <w:vAlign w:val="center"/>
          </w:tcPr>
          <w:p w14:paraId="440D822E">
            <w:pPr>
              <w:autoSpaceDE w:val="0"/>
              <w:autoSpaceDN w:val="0"/>
              <w:spacing w:line="360" w:lineRule="auto"/>
              <w:rPr>
                <w:szCs w:val="21"/>
              </w:rPr>
            </w:pPr>
            <w:r>
              <w:rPr>
                <w:szCs w:val="21"/>
              </w:rPr>
              <w:t>《中国药典》2020年版 第四部</w:t>
            </w:r>
          </w:p>
        </w:tc>
        <w:tc>
          <w:tcPr>
            <w:tcW w:w="1417" w:type="dxa"/>
            <w:vAlign w:val="center"/>
          </w:tcPr>
          <w:p w14:paraId="6884484F">
            <w:pPr>
              <w:autoSpaceDE w:val="0"/>
              <w:autoSpaceDN w:val="0"/>
              <w:spacing w:line="360" w:lineRule="auto"/>
              <w:jc w:val="center"/>
              <w:rPr>
                <w:szCs w:val="21"/>
              </w:rPr>
            </w:pPr>
            <w:r>
              <w:rPr>
                <w:szCs w:val="21"/>
              </w:rPr>
              <w:t>/</w:t>
            </w:r>
          </w:p>
        </w:tc>
        <w:tc>
          <w:tcPr>
            <w:tcW w:w="1360" w:type="dxa"/>
            <w:vAlign w:val="center"/>
          </w:tcPr>
          <w:p w14:paraId="19918A5F">
            <w:pPr>
              <w:autoSpaceDE w:val="0"/>
              <w:autoSpaceDN w:val="0"/>
              <w:spacing w:line="360" w:lineRule="auto"/>
              <w:jc w:val="center"/>
              <w:rPr>
                <w:szCs w:val="21"/>
              </w:rPr>
            </w:pPr>
            <w:r>
              <w:rPr>
                <w:szCs w:val="21"/>
              </w:rPr>
              <w:t>mg/kg</w:t>
            </w:r>
          </w:p>
        </w:tc>
      </w:tr>
      <w:tr w14:paraId="467FEA3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057" w:type="dxa"/>
            <w:tcBorders>
              <w:bottom w:val="single" w:color="auto" w:sz="8" w:space="0"/>
            </w:tcBorders>
            <w:vAlign w:val="center"/>
          </w:tcPr>
          <w:p w14:paraId="07D45244">
            <w:pPr>
              <w:autoSpaceDE w:val="0"/>
              <w:autoSpaceDN w:val="0"/>
              <w:spacing w:line="360" w:lineRule="auto"/>
              <w:jc w:val="center"/>
              <w:rPr>
                <w:szCs w:val="21"/>
              </w:rPr>
            </w:pPr>
            <w:r>
              <w:rPr>
                <w:szCs w:val="21"/>
              </w:rPr>
              <w:t>黄曲霉毒素G</w:t>
            </w:r>
            <w:r>
              <w:rPr>
                <w:szCs w:val="21"/>
                <w:vertAlign w:val="subscript"/>
              </w:rPr>
              <w:t>2</w:t>
            </w:r>
          </w:p>
        </w:tc>
        <w:tc>
          <w:tcPr>
            <w:tcW w:w="3472" w:type="dxa"/>
            <w:tcBorders>
              <w:bottom w:val="single" w:color="auto" w:sz="8" w:space="0"/>
            </w:tcBorders>
            <w:vAlign w:val="center"/>
          </w:tcPr>
          <w:p w14:paraId="4312163D">
            <w:pPr>
              <w:autoSpaceDE w:val="0"/>
              <w:autoSpaceDN w:val="0"/>
              <w:spacing w:line="360" w:lineRule="auto"/>
              <w:rPr>
                <w:szCs w:val="21"/>
              </w:rPr>
            </w:pPr>
            <w:r>
              <w:rPr>
                <w:szCs w:val="21"/>
              </w:rPr>
              <w:t>《中国药典》2020年版 第四部</w:t>
            </w:r>
          </w:p>
        </w:tc>
        <w:tc>
          <w:tcPr>
            <w:tcW w:w="1417" w:type="dxa"/>
            <w:tcBorders>
              <w:bottom w:val="single" w:color="auto" w:sz="8" w:space="0"/>
            </w:tcBorders>
            <w:vAlign w:val="center"/>
          </w:tcPr>
          <w:p w14:paraId="3B8DC7C6">
            <w:pPr>
              <w:autoSpaceDE w:val="0"/>
              <w:autoSpaceDN w:val="0"/>
              <w:spacing w:line="360" w:lineRule="auto"/>
              <w:jc w:val="center"/>
              <w:rPr>
                <w:szCs w:val="21"/>
              </w:rPr>
            </w:pPr>
            <w:r>
              <w:rPr>
                <w:szCs w:val="21"/>
              </w:rPr>
              <w:t>/</w:t>
            </w:r>
          </w:p>
        </w:tc>
        <w:tc>
          <w:tcPr>
            <w:tcW w:w="1360" w:type="dxa"/>
            <w:tcBorders>
              <w:bottom w:val="single" w:color="auto" w:sz="8" w:space="0"/>
            </w:tcBorders>
            <w:vAlign w:val="center"/>
          </w:tcPr>
          <w:p w14:paraId="2D8E945D">
            <w:pPr>
              <w:autoSpaceDE w:val="0"/>
              <w:autoSpaceDN w:val="0"/>
              <w:spacing w:line="360" w:lineRule="auto"/>
              <w:jc w:val="center"/>
              <w:rPr>
                <w:szCs w:val="21"/>
              </w:rPr>
            </w:pPr>
            <w:r>
              <w:rPr>
                <w:szCs w:val="21"/>
              </w:rPr>
              <w:t>mg/kg</w:t>
            </w:r>
          </w:p>
        </w:tc>
      </w:tr>
    </w:tbl>
    <w:p w14:paraId="621C9F79">
      <w:pPr>
        <w:autoSpaceDE w:val="0"/>
        <w:autoSpaceDN w:val="0"/>
        <w:spacing w:before="156" w:beforeLines="50" w:line="360" w:lineRule="auto"/>
        <w:ind w:firstLine="420" w:firstLineChars="200"/>
        <w:rPr>
          <w:szCs w:val="21"/>
        </w:rPr>
      </w:pPr>
      <w:r>
        <w:rPr>
          <w:szCs w:val="21"/>
        </w:rPr>
        <w:t>通过收集24批来自新疆、云南、四川、河南等四个区域的红花，其中新疆产区14批，并对其进行质量标准研究，实验结果显示</w:t>
      </w:r>
      <w:r>
        <w:rPr>
          <w:rFonts w:hint="eastAsia"/>
          <w:szCs w:val="21"/>
        </w:rPr>
        <w:t>2</w:t>
      </w:r>
      <w:r>
        <w:rPr>
          <w:szCs w:val="21"/>
        </w:rPr>
        <w:t>4批红花药材重金属</w:t>
      </w:r>
      <w:r>
        <w:rPr>
          <w:rFonts w:hint="eastAsia"/>
          <w:szCs w:val="21"/>
        </w:rPr>
        <w:t>、</w:t>
      </w:r>
      <w:r>
        <w:rPr>
          <w:szCs w:val="21"/>
        </w:rPr>
        <w:t>农药残留</w:t>
      </w:r>
      <w:r>
        <w:rPr>
          <w:rFonts w:hint="eastAsia"/>
          <w:szCs w:val="21"/>
        </w:rPr>
        <w:t>、</w:t>
      </w:r>
      <w:r>
        <w:rPr>
          <w:szCs w:val="21"/>
        </w:rPr>
        <w:t>黄曲霉素均符合</w:t>
      </w:r>
      <w:r>
        <w:rPr>
          <w:rFonts w:hint="eastAsia"/>
          <w:szCs w:val="21"/>
        </w:rPr>
        <w:t>《中国药典》2020年版</w:t>
      </w:r>
      <w:r>
        <w:rPr>
          <w:szCs w:val="21"/>
        </w:rPr>
        <w:t>的限量要求</w:t>
      </w:r>
      <w:r>
        <w:rPr>
          <w:rFonts w:hint="eastAsia"/>
          <w:szCs w:val="21"/>
        </w:rPr>
        <w:t>；</w:t>
      </w:r>
      <w:r>
        <w:rPr>
          <w:szCs w:val="21"/>
        </w:rPr>
        <w:t>杂质：0.1%~0.3%；水分：6.0%~13.0%；浸出物：31.7%~40.6%；吸光度：0.22%~0.57%；酸不溶性灰分：0.45%~5.0%；总灰分：6.1%~14.9%。</w:t>
      </w:r>
    </w:p>
    <w:p w14:paraId="7EE3C2A7">
      <w:pPr>
        <w:autoSpaceDE w:val="0"/>
        <w:autoSpaceDN w:val="0"/>
        <w:spacing w:line="360" w:lineRule="auto"/>
        <w:rPr>
          <w:b/>
          <w:szCs w:val="21"/>
        </w:rPr>
      </w:pPr>
      <w:r>
        <w:rPr>
          <w:szCs w:val="21"/>
        </w:rPr>
        <w:t xml:space="preserve">【含量测定】 </w:t>
      </w:r>
      <w:r>
        <w:rPr>
          <w:b/>
          <w:szCs w:val="21"/>
        </w:rPr>
        <w:t>羟基红花黄色素A</w:t>
      </w:r>
    </w:p>
    <w:p w14:paraId="317E47BD">
      <w:pPr>
        <w:autoSpaceDE w:val="0"/>
        <w:autoSpaceDN w:val="0"/>
        <w:spacing w:line="360" w:lineRule="auto"/>
        <w:ind w:firstLine="420" w:firstLineChars="200"/>
        <w:rPr>
          <w:szCs w:val="21"/>
        </w:rPr>
      </w:pPr>
      <w:r>
        <w:rPr>
          <w:szCs w:val="21"/>
        </w:rPr>
        <w:t>照高效液相色谱法（通则0512）测定。</w:t>
      </w:r>
    </w:p>
    <w:p w14:paraId="1EC8016D">
      <w:pPr>
        <w:autoSpaceDE w:val="0"/>
        <w:autoSpaceDN w:val="0"/>
        <w:spacing w:line="360" w:lineRule="auto"/>
        <w:ind w:firstLine="420" w:firstLineChars="200"/>
        <w:rPr>
          <w:szCs w:val="21"/>
        </w:rPr>
      </w:pPr>
      <w:r>
        <w:rPr>
          <w:b/>
          <w:szCs w:val="21"/>
        </w:rPr>
        <w:t>色谱条件与系统适用性试验</w:t>
      </w:r>
      <w:r>
        <w:rPr>
          <w:szCs w:val="21"/>
        </w:rPr>
        <w:t xml:space="preserve">  以十八烷基硅烷键合硅胶为填充剂；以甲醇-乙腈-0.7%磷酸溶液（26:2:72）为流动相；检测波长为403 nm。理论板数按羟基红花黄色素A峰计算应不低于3000。</w:t>
      </w:r>
    </w:p>
    <w:p w14:paraId="217D208F">
      <w:pPr>
        <w:autoSpaceDE w:val="0"/>
        <w:autoSpaceDN w:val="0"/>
        <w:spacing w:line="360" w:lineRule="auto"/>
        <w:ind w:firstLine="420" w:firstLineChars="200"/>
        <w:rPr>
          <w:color w:val="FF0000"/>
          <w:szCs w:val="21"/>
        </w:rPr>
      </w:pPr>
      <w:r>
        <w:rPr>
          <w:b/>
          <w:szCs w:val="21"/>
        </w:rPr>
        <w:t>对照品溶液的制备</w:t>
      </w:r>
      <w:r>
        <w:rPr>
          <w:szCs w:val="21"/>
        </w:rPr>
        <w:t xml:space="preserve">  取羟基红花黄色素A对照品适量，精密称定，加25%甲醇制成每1 mL含0.13 mg的溶液，即得。</w:t>
      </w:r>
    </w:p>
    <w:p w14:paraId="6F4E2C82">
      <w:pPr>
        <w:autoSpaceDE w:val="0"/>
        <w:autoSpaceDN w:val="0"/>
        <w:spacing w:line="360" w:lineRule="auto"/>
        <w:ind w:firstLine="420" w:firstLineChars="200"/>
        <w:rPr>
          <w:szCs w:val="21"/>
        </w:rPr>
      </w:pPr>
      <w:r>
        <w:rPr>
          <w:b/>
          <w:szCs w:val="21"/>
        </w:rPr>
        <w:t>供试品溶液的制备</w:t>
      </w:r>
      <w:r>
        <w:rPr>
          <w:szCs w:val="21"/>
        </w:rPr>
        <w:t xml:space="preserve">  取本品粉末（过三号筛）约0.4 g，精密称定，置具塞锥形瓶中，精密加入25%甲醇50 mL，称定重量，超声处理（功率300 W，频率50 kHz）40分钟，放冷，再称定重量，用25%甲醇补足减失的重量，摇匀，滤过，取续滤液，即得。</w:t>
      </w:r>
    </w:p>
    <w:p w14:paraId="3BE3FA11">
      <w:pPr>
        <w:autoSpaceDE w:val="0"/>
        <w:autoSpaceDN w:val="0"/>
        <w:spacing w:line="360" w:lineRule="auto"/>
        <w:ind w:firstLine="420" w:firstLineChars="200"/>
        <w:rPr>
          <w:szCs w:val="21"/>
        </w:rPr>
      </w:pPr>
      <w:r>
        <w:rPr>
          <w:b/>
          <w:szCs w:val="21"/>
        </w:rPr>
        <w:t>测定法</w:t>
      </w:r>
      <w:r>
        <w:rPr>
          <w:szCs w:val="21"/>
        </w:rPr>
        <w:t xml:space="preserve">  分别精密吸取对照品溶液与供试品溶液各10 μL，注入液相色谱仪，测定，即得。</w:t>
      </w:r>
    </w:p>
    <w:p w14:paraId="58069C73">
      <w:pPr>
        <w:autoSpaceDE w:val="0"/>
        <w:autoSpaceDN w:val="0"/>
        <w:spacing w:line="360" w:lineRule="auto"/>
        <w:rPr>
          <w:szCs w:val="21"/>
        </w:rPr>
      </w:pPr>
      <w:r>
        <w:rPr>
          <w:b/>
          <w:szCs w:val="21"/>
        </w:rPr>
        <w:t>山柰酚</w:t>
      </w:r>
    </w:p>
    <w:p w14:paraId="65BE94AE">
      <w:pPr>
        <w:autoSpaceDE w:val="0"/>
        <w:autoSpaceDN w:val="0"/>
        <w:spacing w:line="360" w:lineRule="auto"/>
        <w:ind w:firstLine="420" w:firstLineChars="200"/>
        <w:rPr>
          <w:szCs w:val="21"/>
        </w:rPr>
      </w:pPr>
      <w:r>
        <w:rPr>
          <w:szCs w:val="21"/>
        </w:rPr>
        <w:t>照高效液相色谱法（通则0512）测定。</w:t>
      </w:r>
    </w:p>
    <w:p w14:paraId="015BED02">
      <w:pPr>
        <w:autoSpaceDE w:val="0"/>
        <w:autoSpaceDN w:val="0"/>
        <w:spacing w:line="360" w:lineRule="auto"/>
        <w:ind w:firstLine="420" w:firstLineChars="200"/>
        <w:rPr>
          <w:szCs w:val="21"/>
        </w:rPr>
      </w:pPr>
      <w:r>
        <w:rPr>
          <w:b/>
          <w:szCs w:val="21"/>
        </w:rPr>
        <w:t>色谱条件与系统适用性试验</w:t>
      </w:r>
      <w:r>
        <w:rPr>
          <w:szCs w:val="21"/>
        </w:rPr>
        <w:t xml:space="preserve">  以十八烷基硅烷键合硅胶为填充剂；以甲醇-0.4%磷酸溶液（52:48）为流动相；检测波长为367nm。理论板数按山柰酚峰计算应不低于3000。</w:t>
      </w:r>
    </w:p>
    <w:p w14:paraId="1F6FDC11">
      <w:pPr>
        <w:autoSpaceDE w:val="0"/>
        <w:autoSpaceDN w:val="0"/>
        <w:spacing w:line="360" w:lineRule="auto"/>
        <w:ind w:firstLine="420" w:firstLineChars="200"/>
        <w:rPr>
          <w:szCs w:val="21"/>
        </w:rPr>
      </w:pPr>
      <w:r>
        <w:rPr>
          <w:b/>
          <w:szCs w:val="21"/>
        </w:rPr>
        <w:t>对照品溶液的制备</w:t>
      </w:r>
      <w:r>
        <w:rPr>
          <w:szCs w:val="21"/>
        </w:rPr>
        <w:t xml:space="preserve">  取山柰酚对照品适量，精密称定，加甲醇制成每1 mL含9μg的溶液，即得。</w:t>
      </w:r>
    </w:p>
    <w:p w14:paraId="3DEDDDEB">
      <w:pPr>
        <w:autoSpaceDE w:val="0"/>
        <w:autoSpaceDN w:val="0"/>
        <w:spacing w:line="360" w:lineRule="auto"/>
        <w:ind w:firstLine="420" w:firstLineChars="200"/>
        <w:rPr>
          <w:szCs w:val="21"/>
        </w:rPr>
      </w:pPr>
      <w:r>
        <w:rPr>
          <w:b/>
          <w:szCs w:val="21"/>
        </w:rPr>
        <w:t>供试品溶液的制备</w:t>
      </w:r>
      <w:r>
        <w:rPr>
          <w:szCs w:val="21"/>
        </w:rPr>
        <w:t xml:space="preserve">  取本品粉末（过三号筛）约0.5 g，精密称定，置具塞锥形瓶中，精密加入甲醇25 mL，称定重量，加热回流30分钟，放冷，再称定重量，用甲醇补足减失的重量，摇匀，滤过，精密量取续滤液15 mL，置平底烧瓶中，加盐酸溶液（15→37）5 mL，摇匀，置水浴中加热水解30分钟，立即冷却，转移至25 mL量瓶中，用甲醇稀释至刻度，摇匀，滤过，取续滤液，即得.</w:t>
      </w:r>
    </w:p>
    <w:p w14:paraId="07E9538B">
      <w:pPr>
        <w:autoSpaceDE w:val="0"/>
        <w:autoSpaceDN w:val="0"/>
        <w:spacing w:line="360" w:lineRule="auto"/>
        <w:ind w:firstLine="420" w:firstLineChars="200"/>
        <w:rPr>
          <w:szCs w:val="21"/>
        </w:rPr>
      </w:pPr>
      <w:r>
        <w:rPr>
          <w:b/>
          <w:szCs w:val="21"/>
        </w:rPr>
        <w:t>测定法</w:t>
      </w:r>
      <w:r>
        <w:rPr>
          <w:szCs w:val="21"/>
        </w:rPr>
        <w:t xml:space="preserve">  分别精密吸取对照品溶液与供试品溶液各10 μL，注入液相色谱仪，测定，即得。</w:t>
      </w:r>
    </w:p>
    <w:p w14:paraId="19A7A4E5">
      <w:pPr>
        <w:autoSpaceDE w:val="0"/>
        <w:autoSpaceDN w:val="0"/>
        <w:spacing w:line="360" w:lineRule="auto"/>
        <w:ind w:firstLine="420" w:firstLineChars="200"/>
        <w:rPr>
          <w:szCs w:val="21"/>
        </w:rPr>
      </w:pPr>
      <w:r>
        <w:rPr>
          <w:szCs w:val="21"/>
        </w:rPr>
        <w:t>通过对新疆区域的红花含测进行研究发现羟基红花黄色素A的含量均在3%以上，山柰酚的含量均在0.06%以上。</w:t>
      </w:r>
    </w:p>
    <w:p w14:paraId="557701B1">
      <w:pPr>
        <w:autoSpaceDE w:val="0"/>
        <w:autoSpaceDN w:val="0"/>
        <w:spacing w:line="360" w:lineRule="auto"/>
        <w:rPr>
          <w:b/>
          <w:szCs w:val="21"/>
        </w:rPr>
      </w:pPr>
      <w:r>
        <w:rPr>
          <w:b/>
          <w:szCs w:val="21"/>
        </w:rPr>
        <w:t>红花质量</w:t>
      </w:r>
    </w:p>
    <w:p w14:paraId="3BB504EA">
      <w:pPr>
        <w:autoSpaceDE w:val="0"/>
        <w:autoSpaceDN w:val="0"/>
        <w:spacing w:line="360" w:lineRule="auto"/>
        <w:rPr>
          <w:szCs w:val="21"/>
        </w:rPr>
      </w:pPr>
      <w:r>
        <w:rPr>
          <w:szCs w:val="21"/>
        </w:rPr>
        <w:t>【性状】</w:t>
      </w:r>
    </w:p>
    <w:p w14:paraId="3D9EACAB">
      <w:pPr>
        <w:autoSpaceDE w:val="0"/>
        <w:autoSpaceDN w:val="0"/>
        <w:spacing w:line="360" w:lineRule="auto"/>
        <w:ind w:firstLine="420" w:firstLineChars="200"/>
        <w:rPr>
          <w:szCs w:val="21"/>
        </w:rPr>
      </w:pPr>
      <w:r>
        <w:rPr>
          <w:szCs w:val="21"/>
        </w:rPr>
        <w:t>本品为不带子房的管状花，长1~2 cm。表面红黄色或红色。花冠筒细长，先端5裂，裂片呈狭条形，长5~8 mm；雄蕊</w:t>
      </w:r>
      <w:r>
        <w:rPr>
          <w:rFonts w:hint="eastAsia"/>
          <w:szCs w:val="21"/>
        </w:rPr>
        <w:t>5</w:t>
      </w:r>
      <w:r>
        <w:rPr>
          <w:szCs w:val="21"/>
        </w:rPr>
        <w:t>，花药聚合成筒状，黄白色；柱头长圆柱形，顶端微分</w:t>
      </w:r>
      <w:r>
        <w:rPr>
          <w:color w:val="000000" w:themeColor="text1"/>
          <w:szCs w:val="21"/>
          <w14:textFill>
            <w14:solidFill>
              <w14:schemeClr w14:val="tx1"/>
            </w14:solidFill>
          </w14:textFill>
        </w:rPr>
        <w:t>叉</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质柔软</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气</w:t>
      </w:r>
      <w:r>
        <w:rPr>
          <w:szCs w:val="21"/>
        </w:rPr>
        <w:t>微香，味微苦。</w:t>
      </w:r>
    </w:p>
    <w:p w14:paraId="27B27390">
      <w:pPr>
        <w:autoSpaceDE w:val="0"/>
        <w:autoSpaceDN w:val="0"/>
        <w:spacing w:line="360" w:lineRule="auto"/>
        <w:rPr>
          <w:szCs w:val="21"/>
        </w:rPr>
      </w:pPr>
      <w:r>
        <w:rPr>
          <w:szCs w:val="21"/>
        </w:rPr>
        <w:t>【鉴别】</w:t>
      </w:r>
    </w:p>
    <w:p w14:paraId="2CE972AF">
      <w:pPr>
        <w:autoSpaceDE w:val="0"/>
        <w:autoSpaceDN w:val="0"/>
        <w:spacing w:line="360" w:lineRule="auto"/>
        <w:ind w:firstLine="420" w:firstLineChars="200"/>
        <w:rPr>
          <w:szCs w:val="21"/>
        </w:rPr>
      </w:pPr>
      <w:r>
        <w:rPr>
          <w:szCs w:val="21"/>
        </w:rPr>
        <w:t>取本品粉末0.5 g，加80%丙酮溶液5 mL，密塞，振摇15分钟，静置，取上清液作为供试品溶液。另取红花对照药材0.5 g，同法制成对照药材溶液。照薄层色谱法（通则0502）试验，吸取上述两种溶液各5 μL，分别点于同一硅胶H薄层板上，以乙酸乙酯-甲酸-水-甲醇（7:2:3:0.4）为展开剂，展开，取出，晾干。供试品色谱中，在与对照药材色谱相应的位置上，显相同颜色的斑点。</w:t>
      </w:r>
    </w:p>
    <w:p w14:paraId="77319F8C">
      <w:pPr>
        <w:autoSpaceDE w:val="0"/>
        <w:autoSpaceDN w:val="0"/>
        <w:spacing w:line="360" w:lineRule="auto"/>
        <w:rPr>
          <w:szCs w:val="21"/>
        </w:rPr>
      </w:pPr>
      <w:r>
        <w:rPr>
          <w:szCs w:val="21"/>
        </w:rPr>
        <w:t>【检查】</w:t>
      </w:r>
    </w:p>
    <w:p w14:paraId="63A57CB7">
      <w:pPr>
        <w:autoSpaceDE w:val="0"/>
        <w:autoSpaceDN w:val="0"/>
        <w:spacing w:line="360" w:lineRule="auto"/>
        <w:ind w:firstLine="420" w:firstLineChars="200"/>
        <w:rPr>
          <w:szCs w:val="21"/>
        </w:rPr>
      </w:pPr>
      <w:r>
        <w:rPr>
          <w:b/>
          <w:szCs w:val="21"/>
        </w:rPr>
        <w:t xml:space="preserve">杂质  </w:t>
      </w:r>
      <w:r>
        <w:rPr>
          <w:szCs w:val="21"/>
        </w:rPr>
        <w:t>不得过</w:t>
      </w:r>
      <w:r>
        <w:rPr>
          <w:rFonts w:hint="eastAsia"/>
          <w:color w:val="000000" w:themeColor="text1"/>
          <w:szCs w:val="21"/>
          <w14:textFill>
            <w14:solidFill>
              <w14:schemeClr w14:val="tx1"/>
            </w14:solidFill>
          </w14:textFill>
        </w:rPr>
        <w:t>1.0</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w:t>
      </w:r>
      <w:r>
        <w:rPr>
          <w:rFonts w:hint="eastAsia"/>
          <w:szCs w:val="21"/>
        </w:rPr>
        <w:t>《中国药典》2</w:t>
      </w:r>
      <w:r>
        <w:rPr>
          <w:szCs w:val="21"/>
        </w:rPr>
        <w:t>020</w:t>
      </w:r>
      <w:r>
        <w:rPr>
          <w:rFonts w:hint="eastAsia"/>
          <w:szCs w:val="21"/>
        </w:rPr>
        <w:t>年</w:t>
      </w:r>
      <w:r>
        <w:rPr>
          <w:szCs w:val="21"/>
        </w:rPr>
        <w:t>版</w:t>
      </w:r>
      <w:r>
        <w:rPr>
          <w:rFonts w:hint="eastAsia"/>
          <w:szCs w:val="21"/>
        </w:rPr>
        <w:t xml:space="preserve"> 四部 通则 2301）</w:t>
      </w:r>
      <w:r>
        <w:rPr>
          <w:szCs w:val="21"/>
        </w:rPr>
        <w:t>；</w:t>
      </w:r>
    </w:p>
    <w:p w14:paraId="5F1CFCFC">
      <w:pPr>
        <w:autoSpaceDE w:val="0"/>
        <w:autoSpaceDN w:val="0"/>
        <w:spacing w:line="360" w:lineRule="auto"/>
        <w:ind w:firstLine="420" w:firstLineChars="200"/>
        <w:rPr>
          <w:szCs w:val="21"/>
        </w:rPr>
      </w:pPr>
      <w:r>
        <w:rPr>
          <w:b/>
          <w:szCs w:val="21"/>
        </w:rPr>
        <w:t>水分</w:t>
      </w:r>
      <w:r>
        <w:rPr>
          <w:szCs w:val="21"/>
        </w:rPr>
        <w:t xml:space="preserve">  不得过13.0%</w:t>
      </w:r>
      <w:r>
        <w:rPr>
          <w:rFonts w:hint="eastAsia"/>
          <w:szCs w:val="21"/>
        </w:rPr>
        <w:t>（《中国药典》2</w:t>
      </w:r>
      <w:r>
        <w:rPr>
          <w:szCs w:val="21"/>
        </w:rPr>
        <w:t>020</w:t>
      </w:r>
      <w:r>
        <w:rPr>
          <w:rFonts w:hint="eastAsia"/>
          <w:szCs w:val="21"/>
        </w:rPr>
        <w:t>年</w:t>
      </w:r>
      <w:r>
        <w:rPr>
          <w:szCs w:val="21"/>
        </w:rPr>
        <w:t>版</w:t>
      </w:r>
      <w:r>
        <w:rPr>
          <w:rFonts w:hint="eastAsia"/>
          <w:szCs w:val="21"/>
        </w:rPr>
        <w:t xml:space="preserve"> 四部 通则 </w:t>
      </w:r>
      <w:r>
        <w:rPr>
          <w:szCs w:val="21"/>
        </w:rPr>
        <w:t>0832 第二法</w:t>
      </w:r>
      <w:r>
        <w:rPr>
          <w:rFonts w:hint="eastAsia"/>
          <w:szCs w:val="21"/>
        </w:rPr>
        <w:t>）</w:t>
      </w:r>
      <w:r>
        <w:rPr>
          <w:szCs w:val="21"/>
        </w:rPr>
        <w:t>；</w:t>
      </w:r>
    </w:p>
    <w:p w14:paraId="47EF1F5A">
      <w:pPr>
        <w:autoSpaceDE w:val="0"/>
        <w:autoSpaceDN w:val="0"/>
        <w:spacing w:line="360" w:lineRule="auto"/>
        <w:ind w:firstLine="420" w:firstLineChars="200"/>
        <w:rPr>
          <w:szCs w:val="21"/>
        </w:rPr>
      </w:pPr>
      <w:r>
        <w:rPr>
          <w:b/>
          <w:szCs w:val="21"/>
        </w:rPr>
        <w:t>总灰分</w:t>
      </w:r>
      <w:r>
        <w:rPr>
          <w:szCs w:val="21"/>
        </w:rPr>
        <w:t xml:space="preserve">  不得过15.0%</w:t>
      </w:r>
      <w:r>
        <w:rPr>
          <w:rFonts w:hint="eastAsia"/>
          <w:szCs w:val="21"/>
        </w:rPr>
        <w:t>（《中国药典》2</w:t>
      </w:r>
      <w:r>
        <w:rPr>
          <w:szCs w:val="21"/>
        </w:rPr>
        <w:t>020</w:t>
      </w:r>
      <w:r>
        <w:rPr>
          <w:rFonts w:hint="eastAsia"/>
          <w:szCs w:val="21"/>
        </w:rPr>
        <w:t>年</w:t>
      </w:r>
      <w:r>
        <w:rPr>
          <w:szCs w:val="21"/>
        </w:rPr>
        <w:t>版</w:t>
      </w:r>
      <w:r>
        <w:rPr>
          <w:rFonts w:hint="eastAsia"/>
          <w:szCs w:val="21"/>
        </w:rPr>
        <w:t xml:space="preserve"> 四部 通则 230</w:t>
      </w:r>
      <w:r>
        <w:rPr>
          <w:szCs w:val="21"/>
        </w:rPr>
        <w:t>2</w:t>
      </w:r>
      <w:r>
        <w:rPr>
          <w:rFonts w:hint="eastAsia"/>
          <w:szCs w:val="21"/>
        </w:rPr>
        <w:t>）；</w:t>
      </w:r>
    </w:p>
    <w:p w14:paraId="03DF8FC6">
      <w:pPr>
        <w:autoSpaceDE w:val="0"/>
        <w:autoSpaceDN w:val="0"/>
        <w:spacing w:line="360" w:lineRule="auto"/>
        <w:ind w:firstLine="420" w:firstLineChars="200"/>
        <w:rPr>
          <w:szCs w:val="21"/>
        </w:rPr>
      </w:pPr>
      <w:r>
        <w:rPr>
          <w:b/>
          <w:szCs w:val="21"/>
        </w:rPr>
        <w:t>酸不溶性灰分</w:t>
      </w:r>
      <w:r>
        <w:rPr>
          <w:szCs w:val="21"/>
        </w:rPr>
        <w:t xml:space="preserve">  不得过5.0%</w:t>
      </w:r>
      <w:r>
        <w:rPr>
          <w:rFonts w:hint="eastAsia"/>
          <w:szCs w:val="21"/>
        </w:rPr>
        <w:t>（《中国药典》2</w:t>
      </w:r>
      <w:r>
        <w:rPr>
          <w:szCs w:val="21"/>
        </w:rPr>
        <w:t>020</w:t>
      </w:r>
      <w:r>
        <w:rPr>
          <w:rFonts w:hint="eastAsia"/>
          <w:szCs w:val="21"/>
        </w:rPr>
        <w:t>年</w:t>
      </w:r>
      <w:r>
        <w:rPr>
          <w:szCs w:val="21"/>
        </w:rPr>
        <w:t>版</w:t>
      </w:r>
      <w:r>
        <w:rPr>
          <w:rFonts w:hint="eastAsia"/>
          <w:szCs w:val="21"/>
        </w:rPr>
        <w:t xml:space="preserve"> 四部 通则 230</w:t>
      </w:r>
      <w:r>
        <w:rPr>
          <w:szCs w:val="21"/>
        </w:rPr>
        <w:t>2</w:t>
      </w:r>
      <w:r>
        <w:rPr>
          <w:rFonts w:hint="eastAsia"/>
          <w:szCs w:val="21"/>
        </w:rPr>
        <w:t>）</w:t>
      </w:r>
      <w:r>
        <w:rPr>
          <w:szCs w:val="21"/>
        </w:rPr>
        <w:t>；</w:t>
      </w:r>
    </w:p>
    <w:p w14:paraId="4D6C00DB">
      <w:pPr>
        <w:autoSpaceDE w:val="0"/>
        <w:autoSpaceDN w:val="0"/>
        <w:spacing w:line="360" w:lineRule="auto"/>
        <w:ind w:firstLine="420" w:firstLineChars="200"/>
        <w:rPr>
          <w:szCs w:val="21"/>
        </w:rPr>
      </w:pPr>
      <w:r>
        <w:rPr>
          <w:b/>
          <w:szCs w:val="21"/>
        </w:rPr>
        <w:t>吸光度</w:t>
      </w:r>
      <w:r>
        <w:rPr>
          <w:szCs w:val="21"/>
        </w:rPr>
        <w:t xml:space="preserve">  照紫外-可见分光光度法</w:t>
      </w:r>
      <w:r>
        <w:rPr>
          <w:rFonts w:hint="eastAsia"/>
          <w:szCs w:val="21"/>
        </w:rPr>
        <w:t>（《中国药典》2</w:t>
      </w:r>
      <w:r>
        <w:rPr>
          <w:szCs w:val="21"/>
        </w:rPr>
        <w:t>020</w:t>
      </w:r>
      <w:r>
        <w:rPr>
          <w:rFonts w:hint="eastAsia"/>
          <w:szCs w:val="21"/>
        </w:rPr>
        <w:t>年</w:t>
      </w:r>
      <w:r>
        <w:rPr>
          <w:szCs w:val="21"/>
        </w:rPr>
        <w:t>版</w:t>
      </w:r>
      <w:r>
        <w:rPr>
          <w:rFonts w:hint="eastAsia"/>
          <w:szCs w:val="21"/>
        </w:rPr>
        <w:t xml:space="preserve"> 四部 通则 </w:t>
      </w:r>
      <w:r>
        <w:rPr>
          <w:szCs w:val="21"/>
        </w:rPr>
        <w:t>0401</w:t>
      </w:r>
      <w:r>
        <w:rPr>
          <w:rFonts w:hint="eastAsia"/>
          <w:szCs w:val="21"/>
        </w:rPr>
        <w:t>）</w:t>
      </w:r>
      <w:r>
        <w:rPr>
          <w:szCs w:val="21"/>
        </w:rPr>
        <w:t>，在518nm的波长处测定吸光度，不得低于0.20。</w:t>
      </w:r>
    </w:p>
    <w:p w14:paraId="04DC2B06">
      <w:pPr>
        <w:autoSpaceDE w:val="0"/>
        <w:autoSpaceDN w:val="0"/>
        <w:spacing w:line="360" w:lineRule="auto"/>
        <w:rPr>
          <w:szCs w:val="21"/>
        </w:rPr>
      </w:pPr>
      <w:r>
        <w:rPr>
          <w:szCs w:val="21"/>
        </w:rPr>
        <w:t>【浸出物】 照水溶性浸出物测定法项下的冷浸法测定，不得少于30.0%</w:t>
      </w:r>
      <w:r>
        <w:rPr>
          <w:rFonts w:hint="eastAsia"/>
          <w:szCs w:val="21"/>
        </w:rPr>
        <w:t>（《中国药典》2</w:t>
      </w:r>
      <w:r>
        <w:rPr>
          <w:szCs w:val="21"/>
        </w:rPr>
        <w:t>020</w:t>
      </w:r>
      <w:r>
        <w:rPr>
          <w:rFonts w:hint="eastAsia"/>
          <w:szCs w:val="21"/>
        </w:rPr>
        <w:t>年</w:t>
      </w:r>
      <w:r>
        <w:rPr>
          <w:szCs w:val="21"/>
        </w:rPr>
        <w:t>版</w:t>
      </w:r>
      <w:r>
        <w:rPr>
          <w:rFonts w:hint="eastAsia"/>
          <w:szCs w:val="21"/>
        </w:rPr>
        <w:t xml:space="preserve"> 四部 通则 2301）</w:t>
      </w:r>
      <w:r>
        <w:rPr>
          <w:szCs w:val="21"/>
        </w:rPr>
        <w:t>。</w:t>
      </w:r>
    </w:p>
    <w:p w14:paraId="4AA8E1EB">
      <w:pPr>
        <w:autoSpaceDE w:val="0"/>
        <w:autoSpaceDN w:val="0"/>
        <w:spacing w:line="360" w:lineRule="auto"/>
        <w:rPr>
          <w:szCs w:val="21"/>
        </w:rPr>
      </w:pPr>
      <w:r>
        <w:rPr>
          <w:szCs w:val="21"/>
        </w:rPr>
        <w:t>【含量测定】</w:t>
      </w:r>
      <w:r>
        <w:rPr>
          <w:rFonts w:hint="eastAsia"/>
          <w:szCs w:val="21"/>
        </w:rPr>
        <w:t>照高效液相色谱法（《中国药典》2020年版 四部 通则 0512）测定。</w:t>
      </w:r>
    </w:p>
    <w:p w14:paraId="42F4CE05">
      <w:pPr>
        <w:autoSpaceDE w:val="0"/>
        <w:autoSpaceDN w:val="0"/>
        <w:spacing w:line="360" w:lineRule="auto"/>
        <w:rPr>
          <w:b/>
          <w:szCs w:val="21"/>
        </w:rPr>
      </w:pPr>
      <w:r>
        <w:rPr>
          <w:b/>
          <w:szCs w:val="21"/>
        </w:rPr>
        <w:t>羟基红花黄色素A</w:t>
      </w:r>
    </w:p>
    <w:p w14:paraId="768B8505">
      <w:pPr>
        <w:autoSpaceDE w:val="0"/>
        <w:autoSpaceDN w:val="0"/>
        <w:spacing w:line="360" w:lineRule="auto"/>
        <w:ind w:firstLine="420" w:firstLineChars="200"/>
        <w:rPr>
          <w:szCs w:val="21"/>
        </w:rPr>
      </w:pPr>
      <w:r>
        <w:rPr>
          <w:szCs w:val="21"/>
        </w:rPr>
        <w:t>本品以干燥品计算，含羟基红花黄色素A不得少于1.</w:t>
      </w:r>
      <w:r>
        <w:rPr>
          <w:rFonts w:hint="eastAsia"/>
          <w:szCs w:val="21"/>
          <w:lang w:val="en-US" w:eastAsia="zh-CN"/>
        </w:rPr>
        <w:t>5</w:t>
      </w:r>
      <w:r>
        <w:rPr>
          <w:szCs w:val="21"/>
        </w:rPr>
        <w:t>%；</w:t>
      </w:r>
    </w:p>
    <w:p w14:paraId="73AC3574">
      <w:pPr>
        <w:autoSpaceDE w:val="0"/>
        <w:autoSpaceDN w:val="0"/>
        <w:spacing w:line="360" w:lineRule="auto"/>
        <w:rPr>
          <w:b/>
          <w:szCs w:val="21"/>
        </w:rPr>
      </w:pPr>
      <w:r>
        <w:rPr>
          <w:b/>
          <w:szCs w:val="21"/>
        </w:rPr>
        <w:t>山柰酚</w:t>
      </w:r>
    </w:p>
    <w:p w14:paraId="610CAC91">
      <w:pPr>
        <w:autoSpaceDE w:val="0"/>
        <w:autoSpaceDN w:val="0"/>
        <w:spacing w:line="360" w:lineRule="auto"/>
        <w:ind w:firstLine="420" w:firstLineChars="200"/>
        <w:rPr>
          <w:szCs w:val="21"/>
        </w:rPr>
      </w:pPr>
      <w:r>
        <w:rPr>
          <w:szCs w:val="21"/>
        </w:rPr>
        <w:t>本品以干燥品计算，含</w:t>
      </w:r>
      <w:r>
        <w:rPr>
          <w:rFonts w:hint="eastAsia"/>
          <w:szCs w:val="21"/>
        </w:rPr>
        <w:t>山柰酚</w:t>
      </w:r>
      <w:r>
        <w:rPr>
          <w:szCs w:val="21"/>
        </w:rPr>
        <w:t>不得少于0.055%；</w:t>
      </w:r>
    </w:p>
    <w:p w14:paraId="671A4EB7">
      <w:pPr>
        <w:pStyle w:val="26"/>
        <w:spacing w:line="360" w:lineRule="auto"/>
        <w:ind w:firstLine="0" w:firstLineChars="0"/>
        <w:outlineLvl w:val="0"/>
        <w:rPr>
          <w:rFonts w:ascii="Times New Roman"/>
          <w:b/>
          <w:bCs/>
          <w:kern w:val="2"/>
          <w:szCs w:val="21"/>
        </w:rPr>
      </w:pPr>
      <w:bookmarkStart w:id="18" w:name="_Toc117955406"/>
      <w:bookmarkStart w:id="19" w:name="_Toc117950067"/>
      <w:r>
        <w:rPr>
          <w:rFonts w:ascii="Times New Roman"/>
          <w:b/>
          <w:bCs/>
          <w:kern w:val="2"/>
          <w:szCs w:val="21"/>
        </w:rPr>
        <w:t>五、标准中涉及到的专利和知识产权的说明</w:t>
      </w:r>
      <w:bookmarkEnd w:id="18"/>
      <w:bookmarkEnd w:id="19"/>
    </w:p>
    <w:p w14:paraId="19D4D33D">
      <w:pPr>
        <w:pStyle w:val="26"/>
        <w:spacing w:line="360" w:lineRule="auto"/>
        <w:ind w:firstLine="420"/>
        <w:rPr>
          <w:rFonts w:ascii="Times New Roman"/>
          <w:szCs w:val="21"/>
        </w:rPr>
      </w:pPr>
      <w:r>
        <w:rPr>
          <w:rFonts w:ascii="Times New Roman"/>
          <w:szCs w:val="21"/>
        </w:rPr>
        <w:t>新疆红花在</w:t>
      </w:r>
      <w:r>
        <w:rPr>
          <w:rFonts w:hint="eastAsia" w:ascii="Times New Roman"/>
          <w:szCs w:val="21"/>
        </w:rPr>
        <w:t>质量等级</w:t>
      </w:r>
      <w:r>
        <w:rPr>
          <w:rFonts w:ascii="Times New Roman"/>
          <w:szCs w:val="21"/>
        </w:rPr>
        <w:t>目前无专利保护。</w:t>
      </w:r>
    </w:p>
    <w:p w14:paraId="75E37FD7">
      <w:pPr>
        <w:pStyle w:val="26"/>
        <w:spacing w:line="360" w:lineRule="auto"/>
        <w:ind w:firstLine="0" w:firstLineChars="0"/>
        <w:outlineLvl w:val="0"/>
        <w:rPr>
          <w:rFonts w:ascii="Times New Roman"/>
          <w:b/>
          <w:bCs/>
          <w:kern w:val="2"/>
          <w:szCs w:val="21"/>
        </w:rPr>
      </w:pPr>
      <w:bookmarkStart w:id="20" w:name="_Toc117955407"/>
      <w:bookmarkStart w:id="21" w:name="_Toc117950068"/>
      <w:r>
        <w:rPr>
          <w:rFonts w:ascii="Times New Roman"/>
          <w:b/>
          <w:bCs/>
          <w:kern w:val="2"/>
          <w:szCs w:val="21"/>
        </w:rPr>
        <w:t>六、产业化情况和推广应用论证</w:t>
      </w:r>
      <w:bookmarkEnd w:id="20"/>
      <w:bookmarkEnd w:id="21"/>
    </w:p>
    <w:p w14:paraId="3DD8CADD">
      <w:pPr>
        <w:pStyle w:val="26"/>
        <w:spacing w:line="360" w:lineRule="auto"/>
        <w:ind w:firstLine="420"/>
        <w:rPr>
          <w:rFonts w:ascii="Times New Roman"/>
          <w:kern w:val="2"/>
          <w:szCs w:val="21"/>
        </w:rPr>
      </w:pPr>
      <w:r>
        <w:rPr>
          <w:rFonts w:hint="eastAsia" w:ascii="Times New Roman"/>
          <w:kern w:val="2"/>
          <w:szCs w:val="21"/>
        </w:rPr>
        <w:t>目前世界上共有13种红花，我国仅有一种。红花在我国主产于新疆、云南、河南等地。红花的种植历史悠久，早在4000年前肥沃的新月地区，就已经被驯化成了适宜在炎热干燥的气候中生长的经济作物。红花在我国也已经有2000多年的药用历史，红花具有活血通经，散瘀止痛的功效；用于经闭、痛经、跌扑损伤、疮疡肿痛。红花又集药用、食用、染料、油料和饲料于一身，是一种用途极为广泛的植物资源。</w:t>
      </w:r>
    </w:p>
    <w:p w14:paraId="2067D35C">
      <w:pPr>
        <w:pStyle w:val="26"/>
        <w:spacing w:line="360" w:lineRule="auto"/>
        <w:ind w:firstLine="420"/>
        <w:rPr>
          <w:rFonts w:ascii="Times New Roman"/>
          <w:kern w:val="2"/>
          <w:szCs w:val="21"/>
        </w:rPr>
      </w:pPr>
      <w:r>
        <w:rPr>
          <w:rFonts w:hint="eastAsia" w:ascii="Times New Roman"/>
          <w:kern w:val="2"/>
          <w:szCs w:val="21"/>
        </w:rPr>
        <w:t>红花的药理作用十分广泛、毒性小，治疗冠状动脉性心脏病、脑血栓、脑动脉硬化症、高血压等心脑血管系统疾病的成果已经得到广泛确认。红花现已被开发成多种单一制剂及复合制剂，有注射液、胶囊剂、片剂、颗粒剂等多种剂型，但其质量总体上尚无国家权威部门颁布的质量标准可依。许多红花制剂的现行质量标准并不明确，应当加强和完善红花制剂的现行质量标准。更为重要的是应当加强制定和控制红花原料药材的质量，从红花的种植、采收、加工、运输、贮存等过程中严格控制红花的质量，只有这样才能有利于红花的产业化发展，才能不断提高我国中药材的质量和市场竞争力。</w:t>
      </w:r>
    </w:p>
    <w:p w14:paraId="4D482419">
      <w:pPr>
        <w:pStyle w:val="26"/>
        <w:spacing w:line="360" w:lineRule="auto"/>
        <w:ind w:firstLine="0" w:firstLineChars="0"/>
        <w:outlineLvl w:val="0"/>
        <w:rPr>
          <w:rFonts w:ascii="Times New Roman"/>
          <w:kern w:val="2"/>
          <w:szCs w:val="21"/>
        </w:rPr>
      </w:pPr>
      <w:bookmarkStart w:id="22" w:name="_Toc117950069"/>
      <w:bookmarkStart w:id="23" w:name="_Toc117955408"/>
      <w:r>
        <w:rPr>
          <w:rFonts w:ascii="Times New Roman"/>
          <w:b/>
          <w:bCs/>
          <w:kern w:val="2"/>
          <w:szCs w:val="21"/>
        </w:rPr>
        <w:t>七、与国际、国外对比情况</w:t>
      </w:r>
      <w:bookmarkEnd w:id="22"/>
      <w:bookmarkEnd w:id="23"/>
      <w:r>
        <w:rPr>
          <w:rFonts w:ascii="Times New Roman"/>
          <w:kern w:val="2"/>
          <w:szCs w:val="21"/>
        </w:rPr>
        <w:t xml:space="preserve"> </w:t>
      </w:r>
    </w:p>
    <w:p w14:paraId="5187C13E">
      <w:pPr>
        <w:autoSpaceDE w:val="0"/>
        <w:autoSpaceDN w:val="0"/>
        <w:spacing w:line="360" w:lineRule="auto"/>
        <w:ind w:firstLine="420" w:firstLineChars="200"/>
        <w:rPr>
          <w:szCs w:val="21"/>
        </w:rPr>
      </w:pPr>
      <w:r>
        <w:rPr>
          <w:szCs w:val="21"/>
        </w:rPr>
        <w:t>目前国外行业机构尚未对红花质量分级制定相关团体标准或地方标准，国内相关机构累计制定了地方标准8项、团体标准1项（见表7-1）。国内制定的地方标准主要规定了红花种子、红花栽培技术规程及主要病虫害防治技术规程等，团体标准规定了地理标志产品裕民无刺红花。</w:t>
      </w:r>
    </w:p>
    <w:p w14:paraId="29C47177">
      <w:pPr>
        <w:autoSpaceDE w:val="0"/>
        <w:autoSpaceDN w:val="0"/>
        <w:spacing w:line="360" w:lineRule="auto"/>
        <w:ind w:firstLine="420" w:firstLineChars="200"/>
        <w:rPr>
          <w:szCs w:val="21"/>
        </w:rPr>
      </w:pPr>
      <w:r>
        <w:rPr>
          <w:szCs w:val="21"/>
        </w:rPr>
        <w:t>本文件红花</w:t>
      </w:r>
      <w:r>
        <w:rPr>
          <w:rFonts w:hint="eastAsia"/>
          <w:szCs w:val="21"/>
        </w:rPr>
        <w:t>质量分级</w:t>
      </w:r>
      <w:r>
        <w:rPr>
          <w:szCs w:val="21"/>
        </w:rPr>
        <w:t>，</w:t>
      </w:r>
      <w:r>
        <w:rPr>
          <w:rFonts w:hint="eastAsia"/>
          <w:szCs w:val="21"/>
        </w:rPr>
        <w:t>形成了理化指标杂质、吸光度以及浸出物的要求均高于《中国药典》的标准要求，特别是主要成分羟基红花黄色素A以及山柰酚的含量要求分别为大于等于1.8%、大于等于0.055%均高于《中国药典》的标准要求，并对红花质量按照有效成分、杂质、水分、花丝长度划分规格等级的创新点，填补了红花质量分级相关标准的空白。</w:t>
      </w:r>
    </w:p>
    <w:p w14:paraId="1C5FC0A4">
      <w:pPr>
        <w:autoSpaceDE w:val="0"/>
        <w:autoSpaceDN w:val="0"/>
        <w:spacing w:line="360" w:lineRule="auto"/>
        <w:jc w:val="center"/>
        <w:rPr>
          <w:b/>
          <w:bCs/>
          <w:szCs w:val="21"/>
        </w:rPr>
      </w:pPr>
      <w:r>
        <w:rPr>
          <w:b/>
          <w:bCs/>
          <w:szCs w:val="21"/>
        </w:rPr>
        <w:t>表7-1 国内红花团体标准和地方标准汇总表</w:t>
      </w:r>
    </w:p>
    <w:tbl>
      <w:tblPr>
        <w:tblStyle w:val="14"/>
        <w:tblW w:w="4998" w:type="pct"/>
        <w:tblInd w:w="0" w:type="dxa"/>
        <w:tblLayout w:type="fixed"/>
        <w:tblCellMar>
          <w:top w:w="0" w:type="dxa"/>
          <w:left w:w="108" w:type="dxa"/>
          <w:bottom w:w="0" w:type="dxa"/>
          <w:right w:w="108" w:type="dxa"/>
        </w:tblCellMar>
      </w:tblPr>
      <w:tblGrid>
        <w:gridCol w:w="654"/>
        <w:gridCol w:w="1095"/>
        <w:gridCol w:w="2009"/>
        <w:gridCol w:w="1999"/>
        <w:gridCol w:w="1889"/>
        <w:gridCol w:w="1297"/>
      </w:tblGrid>
      <w:tr w14:paraId="70E62E2D">
        <w:tblPrEx>
          <w:tblCellMar>
            <w:top w:w="0" w:type="dxa"/>
            <w:left w:w="108" w:type="dxa"/>
            <w:bottom w:w="0" w:type="dxa"/>
            <w:right w:w="108" w:type="dxa"/>
          </w:tblCellMar>
        </w:tblPrEx>
        <w:trPr>
          <w:trHeight w:val="32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tcPr>
          <w:p w14:paraId="77083F0D">
            <w:pPr>
              <w:widowControl/>
              <w:autoSpaceDE w:val="0"/>
              <w:autoSpaceDN w:val="0"/>
              <w:jc w:val="center"/>
              <w:textAlignment w:val="top"/>
              <w:rPr>
                <w:b/>
                <w:bCs/>
                <w:sz w:val="20"/>
                <w:szCs w:val="20"/>
              </w:rPr>
            </w:pPr>
            <w:r>
              <w:rPr>
                <w:b/>
                <w:bCs/>
                <w:kern w:val="0"/>
                <w:sz w:val="20"/>
                <w:szCs w:val="20"/>
                <w:lang w:bidi="ar"/>
              </w:rPr>
              <w:t>序号</w:t>
            </w:r>
          </w:p>
        </w:tc>
        <w:tc>
          <w:tcPr>
            <w:tcW w:w="612" w:type="pct"/>
            <w:tcBorders>
              <w:top w:val="single" w:color="000000" w:sz="4" w:space="0"/>
              <w:left w:val="single" w:color="000000" w:sz="4" w:space="0"/>
              <w:bottom w:val="single" w:color="000000" w:sz="4" w:space="0"/>
              <w:right w:val="single" w:color="000000" w:sz="4" w:space="0"/>
            </w:tcBorders>
            <w:shd w:val="clear" w:color="auto" w:fill="auto"/>
          </w:tcPr>
          <w:p w14:paraId="250319F6">
            <w:pPr>
              <w:widowControl/>
              <w:autoSpaceDE w:val="0"/>
              <w:autoSpaceDN w:val="0"/>
              <w:jc w:val="center"/>
              <w:textAlignment w:val="top"/>
              <w:rPr>
                <w:b/>
                <w:bCs/>
                <w:sz w:val="20"/>
                <w:szCs w:val="20"/>
              </w:rPr>
            </w:pPr>
            <w:r>
              <w:rPr>
                <w:b/>
                <w:bCs/>
                <w:kern w:val="0"/>
                <w:sz w:val="20"/>
                <w:szCs w:val="20"/>
                <w:lang w:bidi="ar"/>
              </w:rPr>
              <w:t>标准类别</w:t>
            </w:r>
          </w:p>
        </w:tc>
        <w:tc>
          <w:tcPr>
            <w:tcW w:w="1123" w:type="pct"/>
            <w:tcBorders>
              <w:top w:val="single" w:color="000000" w:sz="4" w:space="0"/>
              <w:left w:val="single" w:color="000000" w:sz="4" w:space="0"/>
              <w:bottom w:val="single" w:color="000000" w:sz="4" w:space="0"/>
              <w:right w:val="single" w:color="000000" w:sz="4" w:space="0"/>
            </w:tcBorders>
            <w:shd w:val="clear" w:color="auto" w:fill="auto"/>
          </w:tcPr>
          <w:p w14:paraId="0AF00408">
            <w:pPr>
              <w:widowControl/>
              <w:autoSpaceDE w:val="0"/>
              <w:autoSpaceDN w:val="0"/>
              <w:jc w:val="center"/>
              <w:textAlignment w:val="top"/>
              <w:rPr>
                <w:b/>
                <w:bCs/>
                <w:sz w:val="20"/>
                <w:szCs w:val="20"/>
              </w:rPr>
            </w:pPr>
            <w:r>
              <w:rPr>
                <w:b/>
                <w:bCs/>
                <w:kern w:val="0"/>
                <w:sz w:val="20"/>
                <w:szCs w:val="20"/>
                <w:lang w:bidi="ar"/>
              </w:rPr>
              <w:t>标准名称</w:t>
            </w:r>
          </w:p>
        </w:tc>
        <w:tc>
          <w:tcPr>
            <w:tcW w:w="1118" w:type="pct"/>
            <w:tcBorders>
              <w:top w:val="single" w:color="000000" w:sz="4" w:space="0"/>
              <w:left w:val="single" w:color="000000" w:sz="4" w:space="0"/>
              <w:bottom w:val="single" w:color="000000" w:sz="4" w:space="0"/>
              <w:right w:val="single" w:color="000000" w:sz="4" w:space="0"/>
            </w:tcBorders>
            <w:shd w:val="clear" w:color="auto" w:fill="auto"/>
          </w:tcPr>
          <w:p w14:paraId="1D0BBE31">
            <w:pPr>
              <w:widowControl/>
              <w:autoSpaceDE w:val="0"/>
              <w:autoSpaceDN w:val="0"/>
              <w:jc w:val="center"/>
              <w:textAlignment w:val="top"/>
              <w:rPr>
                <w:b/>
                <w:bCs/>
                <w:sz w:val="20"/>
                <w:szCs w:val="20"/>
              </w:rPr>
            </w:pPr>
            <w:r>
              <w:rPr>
                <w:b/>
                <w:bCs/>
                <w:kern w:val="0"/>
                <w:sz w:val="20"/>
                <w:szCs w:val="20"/>
                <w:lang w:bidi="ar"/>
              </w:rPr>
              <w:t>标准编号</w:t>
            </w:r>
          </w:p>
        </w:tc>
        <w:tc>
          <w:tcPr>
            <w:tcW w:w="1056" w:type="pct"/>
            <w:tcBorders>
              <w:top w:val="single" w:color="000000" w:sz="4" w:space="0"/>
              <w:left w:val="single" w:color="000000" w:sz="4" w:space="0"/>
              <w:bottom w:val="single" w:color="000000" w:sz="4" w:space="0"/>
              <w:right w:val="single" w:color="000000" w:sz="4" w:space="0"/>
            </w:tcBorders>
            <w:shd w:val="clear" w:color="auto" w:fill="auto"/>
          </w:tcPr>
          <w:p w14:paraId="11A601D6">
            <w:pPr>
              <w:widowControl/>
              <w:autoSpaceDE w:val="0"/>
              <w:autoSpaceDN w:val="0"/>
              <w:jc w:val="center"/>
              <w:textAlignment w:val="top"/>
              <w:rPr>
                <w:b/>
                <w:bCs/>
                <w:sz w:val="20"/>
                <w:szCs w:val="20"/>
              </w:rPr>
            </w:pPr>
            <w:r>
              <w:rPr>
                <w:b/>
                <w:bCs/>
                <w:kern w:val="0"/>
                <w:sz w:val="20"/>
                <w:szCs w:val="20"/>
                <w:lang w:bidi="ar"/>
              </w:rPr>
              <w:t>发布单位</w:t>
            </w:r>
          </w:p>
        </w:tc>
        <w:tc>
          <w:tcPr>
            <w:tcW w:w="725" w:type="pct"/>
            <w:tcBorders>
              <w:top w:val="single" w:color="000000" w:sz="4" w:space="0"/>
              <w:left w:val="single" w:color="000000" w:sz="4" w:space="0"/>
              <w:bottom w:val="single" w:color="000000" w:sz="4" w:space="0"/>
              <w:right w:val="single" w:color="000000" w:sz="4" w:space="0"/>
            </w:tcBorders>
            <w:shd w:val="clear" w:color="auto" w:fill="auto"/>
          </w:tcPr>
          <w:p w14:paraId="5C31DADB">
            <w:pPr>
              <w:widowControl/>
              <w:autoSpaceDE w:val="0"/>
              <w:autoSpaceDN w:val="0"/>
              <w:jc w:val="center"/>
              <w:textAlignment w:val="top"/>
              <w:rPr>
                <w:b/>
                <w:bCs/>
                <w:sz w:val="20"/>
                <w:szCs w:val="20"/>
              </w:rPr>
            </w:pPr>
            <w:r>
              <w:rPr>
                <w:b/>
                <w:bCs/>
                <w:kern w:val="0"/>
                <w:sz w:val="20"/>
                <w:szCs w:val="20"/>
                <w:lang w:bidi="ar"/>
              </w:rPr>
              <w:t>发布时间</w:t>
            </w:r>
          </w:p>
        </w:tc>
      </w:tr>
      <w:tr w14:paraId="36920BED">
        <w:tblPrEx>
          <w:tblCellMar>
            <w:top w:w="0" w:type="dxa"/>
            <w:left w:w="108" w:type="dxa"/>
            <w:bottom w:w="0" w:type="dxa"/>
            <w:right w:w="108" w:type="dxa"/>
          </w:tblCellMar>
        </w:tblPrEx>
        <w:trPr>
          <w:trHeight w:val="32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72358">
            <w:pPr>
              <w:widowControl/>
              <w:autoSpaceDE w:val="0"/>
              <w:autoSpaceDN w:val="0"/>
              <w:jc w:val="center"/>
              <w:textAlignment w:val="center"/>
              <w:rPr>
                <w:sz w:val="20"/>
                <w:szCs w:val="20"/>
              </w:rPr>
            </w:pPr>
            <w:r>
              <w:rPr>
                <w:kern w:val="0"/>
                <w:sz w:val="20"/>
                <w:szCs w:val="20"/>
                <w:lang w:bidi="ar"/>
              </w:rPr>
              <w:t>1</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75049">
            <w:pPr>
              <w:widowControl/>
              <w:autoSpaceDE w:val="0"/>
              <w:autoSpaceDN w:val="0"/>
              <w:jc w:val="center"/>
              <w:textAlignment w:val="center"/>
              <w:rPr>
                <w:sz w:val="20"/>
                <w:szCs w:val="20"/>
              </w:rPr>
            </w:pPr>
            <w:r>
              <w:rPr>
                <w:sz w:val="20"/>
                <w:szCs w:val="20"/>
              </w:rPr>
              <w:t>地方标准</w:t>
            </w:r>
          </w:p>
        </w:tc>
        <w:tc>
          <w:tcPr>
            <w:tcW w:w="1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7B27C">
            <w:pPr>
              <w:widowControl/>
              <w:autoSpaceDE w:val="0"/>
              <w:autoSpaceDN w:val="0"/>
              <w:jc w:val="left"/>
              <w:textAlignment w:val="center"/>
              <w:rPr>
                <w:sz w:val="20"/>
                <w:szCs w:val="20"/>
              </w:rPr>
            </w:pPr>
            <w:r>
              <w:rPr>
                <w:sz w:val="20"/>
                <w:szCs w:val="20"/>
              </w:rPr>
              <w:t>红花栽培技术规程</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DBCD9">
            <w:pPr>
              <w:widowControl/>
              <w:autoSpaceDE w:val="0"/>
              <w:autoSpaceDN w:val="0"/>
              <w:jc w:val="center"/>
              <w:textAlignment w:val="center"/>
              <w:rPr>
                <w:sz w:val="20"/>
                <w:szCs w:val="20"/>
              </w:rPr>
            </w:pPr>
            <w:r>
              <w:rPr>
                <w:sz w:val="20"/>
                <w:szCs w:val="20"/>
              </w:rPr>
              <w:t>DB41/T 2035-2020</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C721B">
            <w:pPr>
              <w:widowControl/>
              <w:autoSpaceDE w:val="0"/>
              <w:autoSpaceDN w:val="0"/>
              <w:textAlignment w:val="center"/>
              <w:rPr>
                <w:sz w:val="20"/>
                <w:szCs w:val="20"/>
              </w:rPr>
            </w:pPr>
            <w:r>
              <w:rPr>
                <w:sz w:val="20"/>
                <w:szCs w:val="20"/>
              </w:rPr>
              <w:t>河南省市场监督管理局</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1214D">
            <w:pPr>
              <w:widowControl/>
              <w:autoSpaceDE w:val="0"/>
              <w:autoSpaceDN w:val="0"/>
              <w:jc w:val="center"/>
              <w:textAlignment w:val="center"/>
              <w:rPr>
                <w:sz w:val="20"/>
                <w:szCs w:val="20"/>
              </w:rPr>
            </w:pPr>
            <w:r>
              <w:rPr>
                <w:sz w:val="20"/>
                <w:szCs w:val="20"/>
              </w:rPr>
              <w:t>2020</w:t>
            </w:r>
          </w:p>
        </w:tc>
      </w:tr>
      <w:tr w14:paraId="0B699C9C">
        <w:tblPrEx>
          <w:tblCellMar>
            <w:top w:w="0" w:type="dxa"/>
            <w:left w:w="108" w:type="dxa"/>
            <w:bottom w:w="0" w:type="dxa"/>
            <w:right w:w="108" w:type="dxa"/>
          </w:tblCellMar>
        </w:tblPrEx>
        <w:trPr>
          <w:trHeight w:val="32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83C0D">
            <w:pPr>
              <w:widowControl/>
              <w:autoSpaceDE w:val="0"/>
              <w:autoSpaceDN w:val="0"/>
              <w:jc w:val="center"/>
              <w:textAlignment w:val="center"/>
              <w:rPr>
                <w:sz w:val="20"/>
                <w:szCs w:val="20"/>
              </w:rPr>
            </w:pPr>
            <w:r>
              <w:rPr>
                <w:kern w:val="0"/>
                <w:sz w:val="20"/>
                <w:szCs w:val="20"/>
                <w:lang w:bidi="ar"/>
              </w:rPr>
              <w:t>2</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1BD49">
            <w:pPr>
              <w:widowControl/>
              <w:autoSpaceDE w:val="0"/>
              <w:autoSpaceDN w:val="0"/>
              <w:jc w:val="center"/>
              <w:textAlignment w:val="center"/>
              <w:rPr>
                <w:sz w:val="20"/>
                <w:szCs w:val="20"/>
              </w:rPr>
            </w:pPr>
            <w:r>
              <w:rPr>
                <w:sz w:val="20"/>
                <w:szCs w:val="20"/>
              </w:rPr>
              <w:t>地方标准</w:t>
            </w:r>
          </w:p>
        </w:tc>
        <w:tc>
          <w:tcPr>
            <w:tcW w:w="1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0FA72">
            <w:pPr>
              <w:widowControl/>
              <w:autoSpaceDE w:val="0"/>
              <w:autoSpaceDN w:val="0"/>
              <w:jc w:val="left"/>
              <w:textAlignment w:val="center"/>
              <w:rPr>
                <w:sz w:val="20"/>
                <w:szCs w:val="20"/>
              </w:rPr>
            </w:pPr>
            <w:r>
              <w:rPr>
                <w:sz w:val="20"/>
                <w:szCs w:val="20"/>
              </w:rPr>
              <w:t>红花标准体系总则</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836D7">
            <w:pPr>
              <w:widowControl/>
              <w:autoSpaceDE w:val="0"/>
              <w:autoSpaceDN w:val="0"/>
              <w:jc w:val="center"/>
              <w:textAlignment w:val="center"/>
              <w:rPr>
                <w:sz w:val="20"/>
                <w:szCs w:val="20"/>
              </w:rPr>
            </w:pPr>
            <w:r>
              <w:rPr>
                <w:sz w:val="20"/>
                <w:szCs w:val="20"/>
              </w:rPr>
              <w:t>DB65/T 2666-2006</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97410">
            <w:pPr>
              <w:widowControl/>
              <w:autoSpaceDE w:val="0"/>
              <w:autoSpaceDN w:val="0"/>
              <w:textAlignment w:val="center"/>
              <w:rPr>
                <w:sz w:val="20"/>
                <w:szCs w:val="20"/>
              </w:rPr>
            </w:pPr>
            <w:r>
              <w:rPr>
                <w:sz w:val="20"/>
                <w:szCs w:val="20"/>
              </w:rPr>
              <w:t>新疆维吾尔自治区质量技术监督局</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37A97">
            <w:pPr>
              <w:widowControl/>
              <w:autoSpaceDE w:val="0"/>
              <w:autoSpaceDN w:val="0"/>
              <w:jc w:val="center"/>
              <w:rPr>
                <w:sz w:val="20"/>
                <w:szCs w:val="20"/>
              </w:rPr>
            </w:pPr>
            <w:r>
              <w:rPr>
                <w:sz w:val="20"/>
                <w:szCs w:val="20"/>
              </w:rPr>
              <w:t>2006</w:t>
            </w:r>
          </w:p>
        </w:tc>
      </w:tr>
      <w:tr w14:paraId="7A850F89">
        <w:tblPrEx>
          <w:tblCellMar>
            <w:top w:w="0" w:type="dxa"/>
            <w:left w:w="108" w:type="dxa"/>
            <w:bottom w:w="0" w:type="dxa"/>
            <w:right w:w="108" w:type="dxa"/>
          </w:tblCellMar>
        </w:tblPrEx>
        <w:trPr>
          <w:trHeight w:val="32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0387E">
            <w:pPr>
              <w:widowControl/>
              <w:autoSpaceDE w:val="0"/>
              <w:autoSpaceDN w:val="0"/>
              <w:jc w:val="center"/>
              <w:textAlignment w:val="center"/>
              <w:rPr>
                <w:sz w:val="20"/>
                <w:szCs w:val="20"/>
              </w:rPr>
            </w:pPr>
            <w:r>
              <w:rPr>
                <w:kern w:val="0"/>
                <w:sz w:val="20"/>
                <w:szCs w:val="20"/>
                <w:lang w:bidi="ar"/>
              </w:rPr>
              <w:t>3</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8F506">
            <w:pPr>
              <w:widowControl/>
              <w:autoSpaceDE w:val="0"/>
              <w:autoSpaceDN w:val="0"/>
              <w:jc w:val="center"/>
              <w:textAlignment w:val="center"/>
              <w:rPr>
                <w:sz w:val="20"/>
                <w:szCs w:val="20"/>
              </w:rPr>
            </w:pPr>
            <w:r>
              <w:rPr>
                <w:sz w:val="20"/>
                <w:szCs w:val="20"/>
              </w:rPr>
              <w:t>地方标准</w:t>
            </w:r>
          </w:p>
        </w:tc>
        <w:tc>
          <w:tcPr>
            <w:tcW w:w="1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DD7A1">
            <w:pPr>
              <w:widowControl/>
              <w:autoSpaceDE w:val="0"/>
              <w:autoSpaceDN w:val="0"/>
              <w:jc w:val="left"/>
              <w:textAlignment w:val="center"/>
              <w:rPr>
                <w:sz w:val="20"/>
                <w:szCs w:val="20"/>
              </w:rPr>
            </w:pPr>
            <w:r>
              <w:rPr>
                <w:sz w:val="20"/>
                <w:szCs w:val="20"/>
              </w:rPr>
              <w:t>红花种子</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A68EF">
            <w:pPr>
              <w:widowControl/>
              <w:autoSpaceDE w:val="0"/>
              <w:autoSpaceDN w:val="0"/>
              <w:jc w:val="center"/>
              <w:textAlignment w:val="center"/>
              <w:rPr>
                <w:sz w:val="20"/>
                <w:szCs w:val="20"/>
              </w:rPr>
            </w:pPr>
            <w:r>
              <w:rPr>
                <w:sz w:val="20"/>
                <w:szCs w:val="20"/>
              </w:rPr>
              <w:t>DB65/T 2667-2006</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51395">
            <w:pPr>
              <w:widowControl/>
              <w:autoSpaceDE w:val="0"/>
              <w:autoSpaceDN w:val="0"/>
              <w:jc w:val="left"/>
              <w:rPr>
                <w:sz w:val="20"/>
                <w:szCs w:val="20"/>
              </w:rPr>
            </w:pPr>
            <w:r>
              <w:rPr>
                <w:sz w:val="20"/>
                <w:szCs w:val="20"/>
              </w:rPr>
              <w:t>新疆维吾尔自治区质量技术监督局</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4134D">
            <w:pPr>
              <w:widowControl/>
              <w:autoSpaceDE w:val="0"/>
              <w:autoSpaceDN w:val="0"/>
              <w:jc w:val="center"/>
              <w:textAlignment w:val="center"/>
              <w:rPr>
                <w:sz w:val="20"/>
                <w:szCs w:val="20"/>
              </w:rPr>
            </w:pPr>
            <w:r>
              <w:rPr>
                <w:sz w:val="20"/>
                <w:szCs w:val="20"/>
              </w:rPr>
              <w:t>2006-</w:t>
            </w:r>
          </w:p>
        </w:tc>
      </w:tr>
      <w:tr w14:paraId="03E9B176">
        <w:tblPrEx>
          <w:tblCellMar>
            <w:top w:w="0" w:type="dxa"/>
            <w:left w:w="108" w:type="dxa"/>
            <w:bottom w:w="0" w:type="dxa"/>
            <w:right w:w="108" w:type="dxa"/>
          </w:tblCellMar>
        </w:tblPrEx>
        <w:trPr>
          <w:trHeight w:val="32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709E3">
            <w:pPr>
              <w:widowControl/>
              <w:autoSpaceDE w:val="0"/>
              <w:autoSpaceDN w:val="0"/>
              <w:jc w:val="center"/>
              <w:textAlignment w:val="center"/>
              <w:rPr>
                <w:kern w:val="0"/>
                <w:sz w:val="20"/>
                <w:szCs w:val="20"/>
                <w:lang w:bidi="ar"/>
              </w:rPr>
            </w:pPr>
            <w:r>
              <w:rPr>
                <w:kern w:val="0"/>
                <w:sz w:val="20"/>
                <w:szCs w:val="20"/>
                <w:lang w:bidi="ar"/>
              </w:rPr>
              <w:t>4</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7D2CB">
            <w:pPr>
              <w:widowControl/>
              <w:autoSpaceDE w:val="0"/>
              <w:autoSpaceDN w:val="0"/>
              <w:jc w:val="center"/>
              <w:textAlignment w:val="center"/>
              <w:rPr>
                <w:sz w:val="20"/>
                <w:szCs w:val="20"/>
              </w:rPr>
            </w:pPr>
            <w:r>
              <w:rPr>
                <w:sz w:val="20"/>
                <w:szCs w:val="20"/>
              </w:rPr>
              <w:t>地方标准</w:t>
            </w:r>
          </w:p>
        </w:tc>
        <w:tc>
          <w:tcPr>
            <w:tcW w:w="1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99596">
            <w:pPr>
              <w:widowControl/>
              <w:autoSpaceDE w:val="0"/>
              <w:autoSpaceDN w:val="0"/>
              <w:jc w:val="left"/>
              <w:textAlignment w:val="center"/>
              <w:rPr>
                <w:sz w:val="20"/>
                <w:szCs w:val="20"/>
              </w:rPr>
            </w:pPr>
            <w:r>
              <w:rPr>
                <w:sz w:val="20"/>
                <w:szCs w:val="20"/>
              </w:rPr>
              <w:t>红花2250公斤/公顷栽培技术规程</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8C36B">
            <w:pPr>
              <w:widowControl/>
              <w:autoSpaceDE w:val="0"/>
              <w:autoSpaceDN w:val="0"/>
              <w:jc w:val="center"/>
              <w:textAlignment w:val="center"/>
              <w:rPr>
                <w:sz w:val="20"/>
                <w:szCs w:val="20"/>
              </w:rPr>
            </w:pPr>
            <w:r>
              <w:rPr>
                <w:sz w:val="20"/>
                <w:szCs w:val="20"/>
              </w:rPr>
              <w:t>DBN6542/T004-2005</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6DE01">
            <w:pPr>
              <w:widowControl/>
              <w:autoSpaceDE w:val="0"/>
              <w:autoSpaceDN w:val="0"/>
              <w:jc w:val="left"/>
              <w:rPr>
                <w:sz w:val="20"/>
                <w:szCs w:val="20"/>
              </w:rPr>
            </w:pPr>
            <w:r>
              <w:rPr>
                <w:sz w:val="20"/>
                <w:szCs w:val="20"/>
              </w:rPr>
              <w:t>新疆维吾尔自治区质量技术监督局</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89085">
            <w:pPr>
              <w:widowControl/>
              <w:autoSpaceDE w:val="0"/>
              <w:autoSpaceDN w:val="0"/>
              <w:jc w:val="center"/>
              <w:textAlignment w:val="center"/>
              <w:rPr>
                <w:sz w:val="20"/>
                <w:szCs w:val="20"/>
              </w:rPr>
            </w:pPr>
            <w:r>
              <w:rPr>
                <w:sz w:val="20"/>
                <w:szCs w:val="20"/>
              </w:rPr>
              <w:t>2005</w:t>
            </w:r>
          </w:p>
        </w:tc>
      </w:tr>
      <w:tr w14:paraId="4929BAC4">
        <w:tblPrEx>
          <w:tblCellMar>
            <w:top w:w="0" w:type="dxa"/>
            <w:left w:w="108" w:type="dxa"/>
            <w:bottom w:w="0" w:type="dxa"/>
            <w:right w:w="108" w:type="dxa"/>
          </w:tblCellMar>
        </w:tblPrEx>
        <w:trPr>
          <w:trHeight w:val="32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BFF60">
            <w:pPr>
              <w:widowControl/>
              <w:autoSpaceDE w:val="0"/>
              <w:autoSpaceDN w:val="0"/>
              <w:jc w:val="center"/>
              <w:textAlignment w:val="center"/>
              <w:rPr>
                <w:kern w:val="0"/>
                <w:sz w:val="20"/>
                <w:szCs w:val="20"/>
                <w:lang w:bidi="ar"/>
              </w:rPr>
            </w:pPr>
            <w:r>
              <w:rPr>
                <w:kern w:val="0"/>
                <w:sz w:val="20"/>
                <w:szCs w:val="20"/>
                <w:lang w:bidi="ar"/>
              </w:rPr>
              <w:t>5</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1E498">
            <w:pPr>
              <w:widowControl/>
              <w:autoSpaceDE w:val="0"/>
              <w:autoSpaceDN w:val="0"/>
              <w:jc w:val="center"/>
              <w:textAlignment w:val="center"/>
              <w:rPr>
                <w:sz w:val="20"/>
                <w:szCs w:val="20"/>
              </w:rPr>
            </w:pPr>
            <w:r>
              <w:rPr>
                <w:sz w:val="20"/>
                <w:szCs w:val="20"/>
              </w:rPr>
              <w:t>地方标准</w:t>
            </w:r>
          </w:p>
        </w:tc>
        <w:tc>
          <w:tcPr>
            <w:tcW w:w="1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2241A">
            <w:pPr>
              <w:widowControl/>
              <w:autoSpaceDE w:val="0"/>
              <w:autoSpaceDN w:val="0"/>
              <w:jc w:val="left"/>
              <w:textAlignment w:val="center"/>
              <w:rPr>
                <w:sz w:val="20"/>
                <w:szCs w:val="20"/>
              </w:rPr>
            </w:pPr>
            <w:r>
              <w:rPr>
                <w:sz w:val="20"/>
                <w:szCs w:val="20"/>
              </w:rPr>
              <w:t>红花1800公斤/公顷栽培技术规程</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F7E78">
            <w:pPr>
              <w:widowControl/>
              <w:autoSpaceDE w:val="0"/>
              <w:autoSpaceDN w:val="0"/>
              <w:jc w:val="center"/>
              <w:textAlignment w:val="center"/>
              <w:rPr>
                <w:sz w:val="20"/>
                <w:szCs w:val="20"/>
              </w:rPr>
            </w:pPr>
            <w:r>
              <w:rPr>
                <w:sz w:val="20"/>
                <w:szCs w:val="20"/>
              </w:rPr>
              <w:t>DBN6542/T005-2005</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09004">
            <w:pPr>
              <w:widowControl/>
              <w:autoSpaceDE w:val="0"/>
              <w:autoSpaceDN w:val="0"/>
              <w:jc w:val="left"/>
              <w:rPr>
                <w:sz w:val="20"/>
                <w:szCs w:val="20"/>
              </w:rPr>
            </w:pPr>
            <w:r>
              <w:rPr>
                <w:sz w:val="20"/>
                <w:szCs w:val="20"/>
              </w:rPr>
              <w:t>新疆维吾尔自治区质量技术监督局</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56701">
            <w:pPr>
              <w:widowControl/>
              <w:autoSpaceDE w:val="0"/>
              <w:autoSpaceDN w:val="0"/>
              <w:jc w:val="center"/>
              <w:textAlignment w:val="center"/>
              <w:rPr>
                <w:sz w:val="20"/>
                <w:szCs w:val="20"/>
              </w:rPr>
            </w:pPr>
            <w:r>
              <w:rPr>
                <w:sz w:val="20"/>
                <w:szCs w:val="20"/>
              </w:rPr>
              <w:t>2005</w:t>
            </w:r>
          </w:p>
        </w:tc>
      </w:tr>
      <w:tr w14:paraId="39295933">
        <w:tblPrEx>
          <w:tblCellMar>
            <w:top w:w="0" w:type="dxa"/>
            <w:left w:w="108" w:type="dxa"/>
            <w:bottom w:w="0" w:type="dxa"/>
            <w:right w:w="108" w:type="dxa"/>
          </w:tblCellMar>
        </w:tblPrEx>
        <w:trPr>
          <w:trHeight w:val="32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978FF">
            <w:pPr>
              <w:widowControl/>
              <w:autoSpaceDE w:val="0"/>
              <w:autoSpaceDN w:val="0"/>
              <w:jc w:val="center"/>
              <w:textAlignment w:val="center"/>
              <w:rPr>
                <w:kern w:val="0"/>
                <w:sz w:val="20"/>
                <w:szCs w:val="20"/>
                <w:lang w:bidi="ar"/>
              </w:rPr>
            </w:pPr>
            <w:r>
              <w:rPr>
                <w:kern w:val="0"/>
                <w:sz w:val="20"/>
                <w:szCs w:val="20"/>
                <w:lang w:bidi="ar"/>
              </w:rPr>
              <w:t>6</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E35A">
            <w:pPr>
              <w:widowControl/>
              <w:autoSpaceDE w:val="0"/>
              <w:autoSpaceDN w:val="0"/>
              <w:jc w:val="center"/>
              <w:textAlignment w:val="center"/>
              <w:rPr>
                <w:sz w:val="20"/>
                <w:szCs w:val="20"/>
              </w:rPr>
            </w:pPr>
            <w:r>
              <w:rPr>
                <w:sz w:val="20"/>
                <w:szCs w:val="20"/>
              </w:rPr>
              <w:t>地方标准</w:t>
            </w:r>
          </w:p>
        </w:tc>
        <w:tc>
          <w:tcPr>
            <w:tcW w:w="1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FA86C">
            <w:pPr>
              <w:widowControl/>
              <w:autoSpaceDE w:val="0"/>
              <w:autoSpaceDN w:val="0"/>
              <w:jc w:val="left"/>
              <w:textAlignment w:val="center"/>
              <w:rPr>
                <w:sz w:val="20"/>
                <w:szCs w:val="20"/>
              </w:rPr>
            </w:pPr>
            <w:r>
              <w:rPr>
                <w:sz w:val="20"/>
                <w:szCs w:val="20"/>
              </w:rPr>
              <w:t>塔城盆地绿色食品红花生产技术规程</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A4608">
            <w:pPr>
              <w:widowControl/>
              <w:autoSpaceDE w:val="0"/>
              <w:autoSpaceDN w:val="0"/>
              <w:jc w:val="center"/>
              <w:textAlignment w:val="center"/>
              <w:rPr>
                <w:sz w:val="20"/>
                <w:szCs w:val="20"/>
              </w:rPr>
            </w:pPr>
            <w:r>
              <w:rPr>
                <w:sz w:val="20"/>
                <w:szCs w:val="20"/>
              </w:rPr>
              <w:t>DBN6542/T014-2006</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2B119">
            <w:pPr>
              <w:widowControl/>
              <w:autoSpaceDE w:val="0"/>
              <w:autoSpaceDN w:val="0"/>
              <w:jc w:val="left"/>
              <w:rPr>
                <w:sz w:val="20"/>
                <w:szCs w:val="20"/>
              </w:rPr>
            </w:pPr>
            <w:r>
              <w:rPr>
                <w:sz w:val="20"/>
                <w:szCs w:val="20"/>
              </w:rPr>
              <w:t>新疆维吾尔自治区质量技术监督局</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C79E3">
            <w:pPr>
              <w:widowControl/>
              <w:autoSpaceDE w:val="0"/>
              <w:autoSpaceDN w:val="0"/>
              <w:jc w:val="center"/>
              <w:textAlignment w:val="center"/>
              <w:rPr>
                <w:sz w:val="20"/>
                <w:szCs w:val="20"/>
              </w:rPr>
            </w:pPr>
            <w:r>
              <w:rPr>
                <w:sz w:val="20"/>
                <w:szCs w:val="20"/>
              </w:rPr>
              <w:t>2006</w:t>
            </w:r>
          </w:p>
        </w:tc>
      </w:tr>
      <w:tr w14:paraId="75FF8344">
        <w:tblPrEx>
          <w:tblCellMar>
            <w:top w:w="0" w:type="dxa"/>
            <w:left w:w="108" w:type="dxa"/>
            <w:bottom w:w="0" w:type="dxa"/>
            <w:right w:w="108" w:type="dxa"/>
          </w:tblCellMar>
        </w:tblPrEx>
        <w:trPr>
          <w:trHeight w:val="32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59E12">
            <w:pPr>
              <w:widowControl/>
              <w:autoSpaceDE w:val="0"/>
              <w:autoSpaceDN w:val="0"/>
              <w:jc w:val="center"/>
              <w:textAlignment w:val="center"/>
              <w:rPr>
                <w:kern w:val="0"/>
                <w:sz w:val="20"/>
                <w:szCs w:val="20"/>
                <w:lang w:bidi="ar"/>
              </w:rPr>
            </w:pPr>
            <w:r>
              <w:rPr>
                <w:kern w:val="0"/>
                <w:sz w:val="20"/>
                <w:szCs w:val="20"/>
                <w:lang w:bidi="ar"/>
              </w:rPr>
              <w:t>7</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54E95">
            <w:pPr>
              <w:widowControl/>
              <w:autoSpaceDE w:val="0"/>
              <w:autoSpaceDN w:val="0"/>
              <w:jc w:val="center"/>
              <w:textAlignment w:val="center"/>
              <w:rPr>
                <w:sz w:val="20"/>
                <w:szCs w:val="20"/>
              </w:rPr>
            </w:pPr>
            <w:r>
              <w:rPr>
                <w:sz w:val="20"/>
                <w:szCs w:val="20"/>
              </w:rPr>
              <w:t>地方标准</w:t>
            </w:r>
          </w:p>
        </w:tc>
        <w:tc>
          <w:tcPr>
            <w:tcW w:w="1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569DE">
            <w:pPr>
              <w:widowControl/>
              <w:autoSpaceDE w:val="0"/>
              <w:autoSpaceDN w:val="0"/>
              <w:jc w:val="left"/>
              <w:textAlignment w:val="center"/>
              <w:rPr>
                <w:sz w:val="20"/>
                <w:szCs w:val="20"/>
              </w:rPr>
            </w:pPr>
            <w:r>
              <w:rPr>
                <w:sz w:val="20"/>
                <w:szCs w:val="20"/>
              </w:rPr>
              <w:t>塔城盆地无公害红花生产技术规程</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C18FF">
            <w:pPr>
              <w:widowControl/>
              <w:autoSpaceDE w:val="0"/>
              <w:autoSpaceDN w:val="0"/>
              <w:jc w:val="center"/>
              <w:textAlignment w:val="center"/>
              <w:rPr>
                <w:sz w:val="20"/>
                <w:szCs w:val="20"/>
              </w:rPr>
            </w:pPr>
            <w:r>
              <w:rPr>
                <w:sz w:val="20"/>
                <w:szCs w:val="20"/>
              </w:rPr>
              <w:t>DBN6542/T015-2006</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FAF08">
            <w:pPr>
              <w:widowControl/>
              <w:autoSpaceDE w:val="0"/>
              <w:autoSpaceDN w:val="0"/>
              <w:jc w:val="left"/>
              <w:rPr>
                <w:sz w:val="20"/>
                <w:szCs w:val="20"/>
              </w:rPr>
            </w:pPr>
            <w:r>
              <w:rPr>
                <w:sz w:val="20"/>
                <w:szCs w:val="20"/>
              </w:rPr>
              <w:t>新疆维吾尔自治区质量技术监督局</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5F289">
            <w:pPr>
              <w:widowControl/>
              <w:autoSpaceDE w:val="0"/>
              <w:autoSpaceDN w:val="0"/>
              <w:jc w:val="center"/>
              <w:textAlignment w:val="center"/>
              <w:rPr>
                <w:sz w:val="20"/>
                <w:szCs w:val="20"/>
              </w:rPr>
            </w:pPr>
            <w:r>
              <w:rPr>
                <w:sz w:val="20"/>
                <w:szCs w:val="20"/>
              </w:rPr>
              <w:t>2006</w:t>
            </w:r>
          </w:p>
        </w:tc>
      </w:tr>
      <w:tr w14:paraId="4B676705">
        <w:tblPrEx>
          <w:tblCellMar>
            <w:top w:w="0" w:type="dxa"/>
            <w:left w:w="108" w:type="dxa"/>
            <w:bottom w:w="0" w:type="dxa"/>
            <w:right w:w="108" w:type="dxa"/>
          </w:tblCellMar>
        </w:tblPrEx>
        <w:trPr>
          <w:trHeight w:val="32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7A2FB">
            <w:pPr>
              <w:widowControl/>
              <w:autoSpaceDE w:val="0"/>
              <w:autoSpaceDN w:val="0"/>
              <w:jc w:val="center"/>
              <w:textAlignment w:val="center"/>
              <w:rPr>
                <w:kern w:val="0"/>
                <w:sz w:val="20"/>
                <w:szCs w:val="20"/>
                <w:lang w:bidi="ar"/>
              </w:rPr>
            </w:pPr>
            <w:r>
              <w:rPr>
                <w:kern w:val="0"/>
                <w:sz w:val="20"/>
                <w:szCs w:val="20"/>
                <w:lang w:bidi="ar"/>
              </w:rPr>
              <w:t>8</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4C9BA">
            <w:pPr>
              <w:widowControl/>
              <w:autoSpaceDE w:val="0"/>
              <w:autoSpaceDN w:val="0"/>
              <w:jc w:val="center"/>
              <w:textAlignment w:val="center"/>
              <w:rPr>
                <w:sz w:val="20"/>
                <w:szCs w:val="20"/>
              </w:rPr>
            </w:pPr>
            <w:r>
              <w:rPr>
                <w:sz w:val="20"/>
                <w:szCs w:val="20"/>
              </w:rPr>
              <w:t>地方标准</w:t>
            </w:r>
          </w:p>
        </w:tc>
        <w:tc>
          <w:tcPr>
            <w:tcW w:w="1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10044">
            <w:pPr>
              <w:widowControl/>
              <w:autoSpaceDE w:val="0"/>
              <w:autoSpaceDN w:val="0"/>
              <w:jc w:val="left"/>
              <w:textAlignment w:val="center"/>
              <w:rPr>
                <w:sz w:val="20"/>
                <w:szCs w:val="20"/>
              </w:rPr>
            </w:pPr>
            <w:r>
              <w:rPr>
                <w:sz w:val="20"/>
                <w:szCs w:val="20"/>
              </w:rPr>
              <w:t>红花主要病虫害综合防治技术规程</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A577E">
            <w:pPr>
              <w:widowControl/>
              <w:autoSpaceDE w:val="0"/>
              <w:autoSpaceDN w:val="0"/>
              <w:jc w:val="center"/>
              <w:textAlignment w:val="center"/>
              <w:rPr>
                <w:sz w:val="20"/>
                <w:szCs w:val="20"/>
              </w:rPr>
            </w:pPr>
            <w:r>
              <w:rPr>
                <w:sz w:val="20"/>
                <w:szCs w:val="20"/>
              </w:rPr>
              <w:t>DB65/T2668-2006</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A2277">
            <w:pPr>
              <w:widowControl/>
              <w:autoSpaceDE w:val="0"/>
              <w:autoSpaceDN w:val="0"/>
              <w:jc w:val="left"/>
              <w:rPr>
                <w:sz w:val="20"/>
                <w:szCs w:val="20"/>
              </w:rPr>
            </w:pPr>
            <w:r>
              <w:rPr>
                <w:sz w:val="20"/>
                <w:szCs w:val="20"/>
              </w:rPr>
              <w:t>新疆维吾尔自治区质量技术监督局</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6BEDA">
            <w:pPr>
              <w:widowControl/>
              <w:autoSpaceDE w:val="0"/>
              <w:autoSpaceDN w:val="0"/>
              <w:jc w:val="center"/>
              <w:textAlignment w:val="center"/>
              <w:rPr>
                <w:sz w:val="20"/>
                <w:szCs w:val="20"/>
              </w:rPr>
            </w:pPr>
            <w:r>
              <w:rPr>
                <w:sz w:val="20"/>
                <w:szCs w:val="20"/>
              </w:rPr>
              <w:t>2006</w:t>
            </w:r>
          </w:p>
        </w:tc>
      </w:tr>
      <w:tr w14:paraId="41C92869">
        <w:tblPrEx>
          <w:tblCellMar>
            <w:top w:w="0" w:type="dxa"/>
            <w:left w:w="108" w:type="dxa"/>
            <w:bottom w:w="0" w:type="dxa"/>
            <w:right w:w="108" w:type="dxa"/>
          </w:tblCellMar>
        </w:tblPrEx>
        <w:trPr>
          <w:trHeight w:val="32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5CA2B">
            <w:pPr>
              <w:widowControl/>
              <w:autoSpaceDE w:val="0"/>
              <w:autoSpaceDN w:val="0"/>
              <w:jc w:val="center"/>
              <w:textAlignment w:val="center"/>
              <w:rPr>
                <w:sz w:val="20"/>
                <w:szCs w:val="20"/>
              </w:rPr>
            </w:pPr>
            <w:r>
              <w:rPr>
                <w:sz w:val="20"/>
                <w:szCs w:val="20"/>
              </w:rPr>
              <w:t>9</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07111">
            <w:pPr>
              <w:widowControl/>
              <w:autoSpaceDE w:val="0"/>
              <w:autoSpaceDN w:val="0"/>
              <w:jc w:val="center"/>
              <w:textAlignment w:val="center"/>
              <w:rPr>
                <w:sz w:val="20"/>
                <w:szCs w:val="20"/>
              </w:rPr>
            </w:pPr>
            <w:r>
              <w:rPr>
                <w:sz w:val="20"/>
                <w:szCs w:val="20"/>
              </w:rPr>
              <w:t>团体标准</w:t>
            </w:r>
          </w:p>
        </w:tc>
        <w:tc>
          <w:tcPr>
            <w:tcW w:w="1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BCE7D">
            <w:pPr>
              <w:widowControl/>
              <w:autoSpaceDE w:val="0"/>
              <w:autoSpaceDN w:val="0"/>
              <w:jc w:val="left"/>
              <w:textAlignment w:val="center"/>
              <w:rPr>
                <w:sz w:val="20"/>
                <w:szCs w:val="20"/>
              </w:rPr>
            </w:pPr>
            <w:r>
              <w:rPr>
                <w:sz w:val="20"/>
                <w:szCs w:val="20"/>
              </w:rPr>
              <w:t>地理标志产品 裕民无刺红花</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60097">
            <w:pPr>
              <w:widowControl/>
              <w:autoSpaceDE w:val="0"/>
              <w:autoSpaceDN w:val="0"/>
              <w:jc w:val="center"/>
              <w:textAlignment w:val="center"/>
              <w:rPr>
                <w:sz w:val="20"/>
                <w:szCs w:val="20"/>
              </w:rPr>
            </w:pPr>
            <w:r>
              <w:rPr>
                <w:sz w:val="20"/>
                <w:szCs w:val="20"/>
              </w:rPr>
              <w:t>T/CAI 128-2021</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7801C">
            <w:pPr>
              <w:widowControl/>
              <w:autoSpaceDE w:val="0"/>
              <w:autoSpaceDN w:val="0"/>
              <w:textAlignment w:val="center"/>
              <w:rPr>
                <w:sz w:val="20"/>
                <w:szCs w:val="20"/>
              </w:rPr>
            </w:pPr>
            <w:r>
              <w:rPr>
                <w:sz w:val="20"/>
                <w:szCs w:val="20"/>
              </w:rPr>
              <w:t>中国农业国际合作促进会</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738DF">
            <w:pPr>
              <w:widowControl/>
              <w:autoSpaceDE w:val="0"/>
              <w:autoSpaceDN w:val="0"/>
              <w:jc w:val="center"/>
              <w:textAlignment w:val="center"/>
              <w:rPr>
                <w:sz w:val="20"/>
                <w:szCs w:val="20"/>
              </w:rPr>
            </w:pPr>
            <w:r>
              <w:rPr>
                <w:sz w:val="20"/>
                <w:szCs w:val="20"/>
              </w:rPr>
              <w:t>2021</w:t>
            </w:r>
          </w:p>
        </w:tc>
      </w:tr>
    </w:tbl>
    <w:p w14:paraId="2FAE8A1E">
      <w:pPr>
        <w:pStyle w:val="26"/>
        <w:adjustRightInd w:val="0"/>
        <w:snapToGrid w:val="0"/>
        <w:ind w:firstLine="0" w:firstLineChars="0"/>
        <w:outlineLvl w:val="0"/>
        <w:rPr>
          <w:rFonts w:ascii="Times New Roman"/>
          <w:b/>
          <w:bCs/>
          <w:kern w:val="2"/>
          <w:szCs w:val="21"/>
        </w:rPr>
      </w:pPr>
    </w:p>
    <w:p w14:paraId="6A62728A">
      <w:pPr>
        <w:pStyle w:val="26"/>
        <w:adjustRightInd w:val="0"/>
        <w:snapToGrid w:val="0"/>
        <w:ind w:firstLine="0" w:firstLineChars="0"/>
        <w:outlineLvl w:val="0"/>
        <w:rPr>
          <w:rFonts w:ascii="Times New Roman"/>
          <w:b/>
          <w:bCs/>
          <w:kern w:val="2"/>
          <w:szCs w:val="21"/>
        </w:rPr>
      </w:pPr>
      <w:bookmarkStart w:id="24" w:name="_Toc117950070"/>
      <w:bookmarkStart w:id="25" w:name="_Toc117955409"/>
      <w:r>
        <w:rPr>
          <w:rFonts w:ascii="Times New Roman"/>
          <w:b/>
          <w:bCs/>
          <w:kern w:val="2"/>
          <w:szCs w:val="21"/>
        </w:rPr>
        <w:t>八、与现行相关法律、法规、规章及相关标准，特别是强制性标准的协调性</w:t>
      </w:r>
      <w:bookmarkEnd w:id="24"/>
      <w:bookmarkEnd w:id="25"/>
    </w:p>
    <w:p w14:paraId="6EB03316">
      <w:pPr>
        <w:spacing w:line="440" w:lineRule="exact"/>
        <w:ind w:firstLine="420" w:firstLineChars="200"/>
        <w:rPr>
          <w:szCs w:val="21"/>
        </w:rPr>
      </w:pPr>
      <w:r>
        <w:rPr>
          <w:rFonts w:hint="eastAsia"/>
          <w:szCs w:val="21"/>
        </w:rPr>
        <w:t>本文件严格遵循《药品管理法》、《中华人民共和国药</w:t>
      </w:r>
      <w:r>
        <w:rPr>
          <w:rFonts w:hint="eastAsia"/>
          <w:color w:val="000000" w:themeColor="text1"/>
          <w:szCs w:val="21"/>
          <w14:textFill>
            <w14:solidFill>
              <w14:schemeClr w14:val="tx1"/>
            </w14:solidFill>
          </w14:textFill>
        </w:rPr>
        <w:t>典》2020年版</w:t>
      </w:r>
      <w:r>
        <w:rPr>
          <w:rFonts w:hint="eastAsia"/>
          <w:szCs w:val="21"/>
        </w:rPr>
        <w:t>和《中华人民共和国中医药法》及其实施条例等法律法规的规定，遵守《中国出入境检验检疫协会标准管理办法》相关要求，参考《中药材生产质量管理规范》相关指导原则，旨在加强红花良好农业操作规范，保障红花产品品质，保障红花行业的可持续健康发展。</w:t>
      </w:r>
    </w:p>
    <w:p w14:paraId="625BCDC7">
      <w:pPr>
        <w:pStyle w:val="26"/>
        <w:spacing w:line="360" w:lineRule="auto"/>
        <w:ind w:firstLine="0" w:firstLineChars="0"/>
        <w:outlineLvl w:val="0"/>
        <w:rPr>
          <w:rFonts w:ascii="Times New Roman"/>
          <w:b/>
          <w:bCs/>
          <w:kern w:val="2"/>
          <w:szCs w:val="21"/>
        </w:rPr>
      </w:pPr>
      <w:bookmarkStart w:id="26" w:name="_Toc117955410"/>
      <w:bookmarkStart w:id="27" w:name="_Toc117950071"/>
      <w:r>
        <w:rPr>
          <w:rFonts w:ascii="Times New Roman"/>
          <w:b/>
          <w:bCs/>
          <w:kern w:val="2"/>
          <w:szCs w:val="21"/>
        </w:rPr>
        <w:t>九、重大意见分歧的处理经过和依据</w:t>
      </w:r>
      <w:bookmarkEnd w:id="26"/>
      <w:bookmarkEnd w:id="27"/>
    </w:p>
    <w:p w14:paraId="66D8E7EE">
      <w:pPr>
        <w:pStyle w:val="26"/>
        <w:spacing w:line="360" w:lineRule="auto"/>
        <w:ind w:firstLine="420"/>
        <w:rPr>
          <w:rFonts w:ascii="Times New Roman"/>
          <w:kern w:val="2"/>
          <w:szCs w:val="21"/>
        </w:rPr>
      </w:pPr>
      <w:r>
        <w:rPr>
          <w:rFonts w:ascii="Times New Roman"/>
          <w:kern w:val="2"/>
          <w:szCs w:val="21"/>
        </w:rPr>
        <w:t>标准制定过程中未发生重大分歧意见。</w:t>
      </w:r>
    </w:p>
    <w:p w14:paraId="2A61218A">
      <w:pPr>
        <w:pStyle w:val="26"/>
        <w:spacing w:line="360" w:lineRule="auto"/>
        <w:ind w:firstLine="0" w:firstLineChars="0"/>
        <w:outlineLvl w:val="0"/>
        <w:rPr>
          <w:rFonts w:ascii="Times New Roman"/>
          <w:b/>
          <w:bCs/>
          <w:kern w:val="2"/>
          <w:szCs w:val="21"/>
        </w:rPr>
      </w:pPr>
      <w:bookmarkStart w:id="28" w:name="_Toc117950072"/>
      <w:bookmarkStart w:id="29" w:name="_Toc117955411"/>
      <w:r>
        <w:rPr>
          <w:rFonts w:ascii="Times New Roman"/>
          <w:b/>
          <w:bCs/>
          <w:kern w:val="2"/>
          <w:szCs w:val="21"/>
        </w:rPr>
        <w:t>十、贯彻标准的要求和措施建议</w:t>
      </w:r>
      <w:bookmarkEnd w:id="28"/>
      <w:bookmarkEnd w:id="29"/>
    </w:p>
    <w:p w14:paraId="012630A3">
      <w:pPr>
        <w:pStyle w:val="26"/>
        <w:spacing w:line="360" w:lineRule="auto"/>
        <w:ind w:firstLine="420"/>
        <w:rPr>
          <w:rFonts w:ascii="Times New Roman"/>
          <w:kern w:val="2"/>
          <w:szCs w:val="21"/>
        </w:rPr>
      </w:pPr>
      <w:r>
        <w:rPr>
          <w:rFonts w:ascii="Times New Roman"/>
          <w:kern w:val="2"/>
          <w:szCs w:val="21"/>
        </w:rPr>
        <w:t>建议本文件批准发布6个月后实施。</w:t>
      </w:r>
    </w:p>
    <w:p w14:paraId="20D5DF61">
      <w:pPr>
        <w:pStyle w:val="26"/>
        <w:spacing w:line="360" w:lineRule="auto"/>
        <w:ind w:firstLine="0" w:firstLineChars="0"/>
        <w:outlineLvl w:val="0"/>
        <w:rPr>
          <w:rFonts w:ascii="Times New Roman"/>
          <w:b/>
          <w:bCs/>
          <w:kern w:val="2"/>
          <w:szCs w:val="21"/>
        </w:rPr>
      </w:pPr>
      <w:bookmarkStart w:id="30" w:name="_Toc117950073"/>
      <w:bookmarkStart w:id="31" w:name="_Toc117955412"/>
      <w:r>
        <w:rPr>
          <w:rFonts w:ascii="Times New Roman"/>
          <w:b/>
          <w:bCs/>
          <w:kern w:val="2"/>
          <w:szCs w:val="21"/>
        </w:rPr>
        <w:t>十一、废止现行相关标准的建议</w:t>
      </w:r>
      <w:bookmarkEnd w:id="30"/>
      <w:bookmarkEnd w:id="31"/>
    </w:p>
    <w:p w14:paraId="688AF9E8">
      <w:pPr>
        <w:pStyle w:val="26"/>
        <w:spacing w:line="360" w:lineRule="auto"/>
        <w:ind w:firstLine="420"/>
        <w:rPr>
          <w:rFonts w:ascii="Times New Roman"/>
          <w:kern w:val="2"/>
          <w:szCs w:val="21"/>
        </w:rPr>
      </w:pPr>
      <w:r>
        <w:rPr>
          <w:rFonts w:ascii="Times New Roman"/>
          <w:kern w:val="2"/>
          <w:szCs w:val="21"/>
        </w:rPr>
        <w:t>无</w:t>
      </w:r>
    </w:p>
    <w:p w14:paraId="46254D13">
      <w:pPr>
        <w:pStyle w:val="26"/>
        <w:spacing w:line="360" w:lineRule="auto"/>
        <w:ind w:firstLine="0" w:firstLineChars="0"/>
        <w:outlineLvl w:val="0"/>
        <w:rPr>
          <w:rFonts w:ascii="Times New Roman"/>
          <w:b/>
          <w:bCs/>
          <w:kern w:val="2"/>
          <w:szCs w:val="21"/>
        </w:rPr>
      </w:pPr>
      <w:bookmarkStart w:id="32" w:name="_Toc117955413"/>
      <w:bookmarkStart w:id="33" w:name="_Toc117950074"/>
      <w:r>
        <w:rPr>
          <w:rFonts w:ascii="Times New Roman"/>
          <w:b/>
          <w:bCs/>
          <w:kern w:val="2"/>
          <w:szCs w:val="21"/>
        </w:rPr>
        <w:t>十二、其他应予说明的事项</w:t>
      </w:r>
      <w:bookmarkEnd w:id="32"/>
      <w:bookmarkEnd w:id="33"/>
    </w:p>
    <w:p w14:paraId="536AACF9">
      <w:pPr>
        <w:spacing w:line="360" w:lineRule="auto"/>
        <w:ind w:firstLine="411" w:firstLineChars="196"/>
        <w:jc w:val="left"/>
        <w:textAlignment w:val="top"/>
        <w:rPr>
          <w:szCs w:val="21"/>
        </w:rPr>
      </w:pPr>
      <w:r>
        <w:rPr>
          <w:szCs w:val="21"/>
        </w:rPr>
        <w:t>无</w:t>
      </w:r>
    </w:p>
    <w:p w14:paraId="0F710119">
      <w:pPr>
        <w:pStyle w:val="26"/>
        <w:spacing w:line="360" w:lineRule="auto"/>
        <w:ind w:firstLine="0" w:firstLineChars="0"/>
        <w:outlineLvl w:val="0"/>
        <w:rPr>
          <w:rFonts w:ascii="Times New Roman"/>
          <w:b/>
          <w:bCs/>
          <w:kern w:val="2"/>
          <w:szCs w:val="21"/>
        </w:rPr>
      </w:pPr>
      <w:r>
        <w:rPr>
          <w:rFonts w:ascii="Times New Roman"/>
          <w:b/>
          <w:bCs/>
          <w:kern w:val="2"/>
          <w:szCs w:val="21"/>
        </w:rPr>
        <w:t>十三、</w:t>
      </w:r>
      <w:r>
        <w:rPr>
          <w:rFonts w:hint="eastAsia" w:ascii="Times New Roman"/>
          <w:b/>
          <w:bCs/>
          <w:kern w:val="2"/>
          <w:szCs w:val="21"/>
        </w:rPr>
        <w:t>附件</w:t>
      </w:r>
    </w:p>
    <w:p w14:paraId="53DB9CD9">
      <w:pPr>
        <w:spacing w:line="360" w:lineRule="auto"/>
        <w:ind w:firstLine="411" w:firstLineChars="196"/>
        <w:jc w:val="left"/>
        <w:textAlignment w:val="top"/>
        <w:rPr>
          <w:szCs w:val="21"/>
        </w:rPr>
      </w:pPr>
      <w:r>
        <w:rPr>
          <w:rFonts w:hint="eastAsia"/>
          <w:szCs w:val="21"/>
        </w:rPr>
        <w:t>C</w:t>
      </w:r>
      <w:r>
        <w:rPr>
          <w:szCs w:val="21"/>
        </w:rPr>
        <w:t>IQA团体标准征求意见汇总表</w:t>
      </w:r>
      <w:r>
        <w:rPr>
          <w:rFonts w:hint="eastAsia"/>
          <w:szCs w:val="21"/>
        </w:rPr>
        <w:t>《红花质量分级》</w:t>
      </w:r>
    </w:p>
    <w:p w14:paraId="243959DC">
      <w:pPr>
        <w:spacing w:line="360" w:lineRule="auto"/>
        <w:jc w:val="left"/>
        <w:textAlignment w:val="top"/>
        <w:rPr>
          <w:szCs w:val="21"/>
        </w:rPr>
      </w:pPr>
    </w:p>
    <w:p w14:paraId="2F601BBE">
      <w:pPr>
        <w:spacing w:line="360" w:lineRule="auto"/>
        <w:ind w:firstLine="411" w:firstLineChars="196"/>
        <w:jc w:val="right"/>
        <w:textAlignment w:val="top"/>
        <w:rPr>
          <w:szCs w:val="21"/>
        </w:rPr>
      </w:pPr>
    </w:p>
    <w:p w14:paraId="555AF6E9">
      <w:pPr>
        <w:spacing w:line="360" w:lineRule="auto"/>
        <w:ind w:firstLine="411" w:firstLineChars="196"/>
        <w:jc w:val="right"/>
        <w:textAlignment w:val="top"/>
        <w:rPr>
          <w:szCs w:val="21"/>
        </w:rPr>
      </w:pPr>
    </w:p>
    <w:p w14:paraId="3C199F2D">
      <w:pPr>
        <w:spacing w:line="360" w:lineRule="auto"/>
        <w:ind w:firstLine="411" w:firstLineChars="196"/>
        <w:jc w:val="right"/>
        <w:textAlignment w:val="top"/>
        <w:rPr>
          <w:szCs w:val="21"/>
        </w:rPr>
      </w:pPr>
    </w:p>
    <w:p w14:paraId="6CD74865">
      <w:pPr>
        <w:spacing w:line="360" w:lineRule="auto"/>
        <w:ind w:firstLine="411" w:firstLineChars="196"/>
        <w:jc w:val="right"/>
        <w:textAlignment w:val="top"/>
        <w:rPr>
          <w:szCs w:val="21"/>
        </w:rPr>
      </w:pPr>
    </w:p>
    <w:p w14:paraId="3F810BAC">
      <w:pPr>
        <w:spacing w:line="360" w:lineRule="auto"/>
        <w:jc w:val="both"/>
        <w:textAlignment w:val="top"/>
        <w:rPr>
          <w:szCs w:val="21"/>
        </w:rPr>
      </w:pPr>
    </w:p>
    <w:p w14:paraId="5050EB61">
      <w:pPr>
        <w:spacing w:line="360" w:lineRule="auto"/>
        <w:ind w:firstLine="411" w:firstLineChars="196"/>
        <w:jc w:val="right"/>
        <w:textAlignment w:val="top"/>
        <w:rPr>
          <w:szCs w:val="21"/>
        </w:rPr>
      </w:pPr>
      <w:r>
        <w:rPr>
          <w:szCs w:val="21"/>
        </w:rPr>
        <w:t>《新疆红花</w:t>
      </w:r>
      <w:r>
        <w:rPr>
          <w:rFonts w:hint="eastAsia"/>
          <w:szCs w:val="21"/>
        </w:rPr>
        <w:t>质量分级</w:t>
      </w:r>
      <w:r>
        <w:rPr>
          <w:szCs w:val="21"/>
        </w:rPr>
        <w:t>》标准起草工作组</w:t>
      </w:r>
    </w:p>
    <w:p w14:paraId="1F83A0E6">
      <w:pPr>
        <w:widowControl/>
        <w:wordWrap w:val="0"/>
        <w:spacing w:line="360" w:lineRule="auto"/>
        <w:ind w:left="947" w:leftChars="451" w:firstLine="0" w:firstLineChars="0"/>
        <w:jc w:val="right"/>
        <w:rPr>
          <w:rFonts w:ascii="宋体" w:hAnsi="宋体" w:cs="宋体"/>
          <w:color w:val="000000"/>
          <w:kern w:val="0"/>
          <w:szCs w:val="21"/>
        </w:rPr>
      </w:pPr>
      <w:r>
        <w:rPr>
          <w:szCs w:val="21"/>
        </w:rPr>
        <w:t xml:space="preserve">                                                   202</w:t>
      </w:r>
      <w:r>
        <w:rPr>
          <w:rFonts w:hint="eastAsia"/>
          <w:szCs w:val="21"/>
          <w:lang w:val="en-US" w:eastAsia="zh-CN"/>
        </w:rPr>
        <w:t>5</w:t>
      </w:r>
      <w:r>
        <w:rPr>
          <w:szCs w:val="21"/>
        </w:rPr>
        <w:t xml:space="preserve">年 </w:t>
      </w:r>
      <w:r>
        <w:rPr>
          <w:rFonts w:hint="eastAsia"/>
          <w:szCs w:val="21"/>
          <w:lang w:val="en-US" w:eastAsia="zh-CN"/>
        </w:rPr>
        <w:t>7</w:t>
      </w:r>
      <w:r>
        <w:rPr>
          <w:szCs w:val="21"/>
        </w:rPr>
        <w:t>月</w:t>
      </w:r>
      <w:r>
        <w:rPr>
          <w:rFonts w:hint="eastAsia"/>
          <w:szCs w:val="21"/>
          <w:lang w:val="en-US" w:eastAsia="zh-CN"/>
        </w:rPr>
        <w:t>28</w:t>
      </w:r>
      <w:r>
        <w:rPr>
          <w:szCs w:val="21"/>
        </w:rPr>
        <w:t>日</w:t>
      </w:r>
    </w:p>
    <w:sectPr>
      <w:footerReference r:id="rId3" w:type="default"/>
      <w:pgSz w:w="11906" w:h="16838"/>
      <w:pgMar w:top="1418" w:right="1588" w:bottom="1191" w:left="1588" w:header="851" w:footer="992" w:gutter="0"/>
      <w:cols w:space="720" w:num="1"/>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3A6FD">
    <w:pPr>
      <w:pStyle w:val="10"/>
      <w:jc w:val="right"/>
    </w:pPr>
    <w:r>
      <w:fldChar w:fldCharType="begin"/>
    </w:r>
    <w:r>
      <w:instrText xml:space="preserve">PAGE   \* MERGEFORMAT</w:instrText>
    </w:r>
    <w:r>
      <w:fldChar w:fldCharType="separate"/>
    </w:r>
    <w:r>
      <w:rPr>
        <w:lang w:val="zh-CN"/>
      </w:rPr>
      <w:t>11</w:t>
    </w:r>
    <w:r>
      <w:fldChar w:fldCharType="end"/>
    </w:r>
  </w:p>
  <w:p w14:paraId="3D5ED3A1">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AA11B0"/>
    <w:multiLevelType w:val="singleLevel"/>
    <w:tmpl w:val="70AA11B0"/>
    <w:lvl w:ilvl="0" w:tentative="0">
      <w:start w:val="4"/>
      <w:numFmt w:val="decimal"/>
      <w:suff w:val="nothing"/>
      <w:lvlText w:val="（%1）"/>
      <w:lvlJc w:val="left"/>
    </w:lvl>
  </w:abstractNum>
  <w:abstractNum w:abstractNumId="1">
    <w:nsid w:val="7EDB092E"/>
    <w:multiLevelType w:val="singleLevel"/>
    <w:tmpl w:val="7EDB092E"/>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AzYTBjMTNmYzVmYTk5ZjA5ZjAzNTcyOWU5Y2FjYzUifQ=="/>
  </w:docVars>
  <w:rsids>
    <w:rsidRoot w:val="00B71DAA"/>
    <w:rsid w:val="00002B50"/>
    <w:rsid w:val="00002C40"/>
    <w:rsid w:val="0000666D"/>
    <w:rsid w:val="000076D7"/>
    <w:rsid w:val="00007A66"/>
    <w:rsid w:val="000102C1"/>
    <w:rsid w:val="000124D9"/>
    <w:rsid w:val="00013589"/>
    <w:rsid w:val="000145D1"/>
    <w:rsid w:val="00015384"/>
    <w:rsid w:val="00021390"/>
    <w:rsid w:val="0002220B"/>
    <w:rsid w:val="000222AD"/>
    <w:rsid w:val="00022BF9"/>
    <w:rsid w:val="0002428E"/>
    <w:rsid w:val="0002463D"/>
    <w:rsid w:val="00025D52"/>
    <w:rsid w:val="00026C01"/>
    <w:rsid w:val="00031734"/>
    <w:rsid w:val="0003239E"/>
    <w:rsid w:val="00033BA5"/>
    <w:rsid w:val="0003710F"/>
    <w:rsid w:val="00037C90"/>
    <w:rsid w:val="00037E16"/>
    <w:rsid w:val="000415CD"/>
    <w:rsid w:val="000420AF"/>
    <w:rsid w:val="00042114"/>
    <w:rsid w:val="00050C67"/>
    <w:rsid w:val="00050F46"/>
    <w:rsid w:val="000524A2"/>
    <w:rsid w:val="000555CD"/>
    <w:rsid w:val="0006395E"/>
    <w:rsid w:val="00065328"/>
    <w:rsid w:val="000665E0"/>
    <w:rsid w:val="00071240"/>
    <w:rsid w:val="00071752"/>
    <w:rsid w:val="00072D33"/>
    <w:rsid w:val="00072F4B"/>
    <w:rsid w:val="00073552"/>
    <w:rsid w:val="00075384"/>
    <w:rsid w:val="000762AF"/>
    <w:rsid w:val="00076DD2"/>
    <w:rsid w:val="000771B5"/>
    <w:rsid w:val="00081E4B"/>
    <w:rsid w:val="00082D88"/>
    <w:rsid w:val="00083184"/>
    <w:rsid w:val="000836FF"/>
    <w:rsid w:val="000844AB"/>
    <w:rsid w:val="000870C0"/>
    <w:rsid w:val="00091AF9"/>
    <w:rsid w:val="00097391"/>
    <w:rsid w:val="00097AEC"/>
    <w:rsid w:val="000A06B2"/>
    <w:rsid w:val="000A28E4"/>
    <w:rsid w:val="000A3A72"/>
    <w:rsid w:val="000A44DB"/>
    <w:rsid w:val="000A4556"/>
    <w:rsid w:val="000A5DFD"/>
    <w:rsid w:val="000A7981"/>
    <w:rsid w:val="000B1D06"/>
    <w:rsid w:val="000B28FC"/>
    <w:rsid w:val="000B2EF1"/>
    <w:rsid w:val="000B359D"/>
    <w:rsid w:val="000B384B"/>
    <w:rsid w:val="000B3BAB"/>
    <w:rsid w:val="000B70DF"/>
    <w:rsid w:val="000C02E6"/>
    <w:rsid w:val="000C03DD"/>
    <w:rsid w:val="000C1A4F"/>
    <w:rsid w:val="000C2FD1"/>
    <w:rsid w:val="000C5278"/>
    <w:rsid w:val="000C6BB3"/>
    <w:rsid w:val="000D0F16"/>
    <w:rsid w:val="000D24F0"/>
    <w:rsid w:val="000D5390"/>
    <w:rsid w:val="000E051D"/>
    <w:rsid w:val="000E269E"/>
    <w:rsid w:val="000E33CC"/>
    <w:rsid w:val="000E3A56"/>
    <w:rsid w:val="000E4F80"/>
    <w:rsid w:val="000E7B35"/>
    <w:rsid w:val="000F144E"/>
    <w:rsid w:val="000F4C23"/>
    <w:rsid w:val="000F62C9"/>
    <w:rsid w:val="000F7827"/>
    <w:rsid w:val="00100050"/>
    <w:rsid w:val="00105DE2"/>
    <w:rsid w:val="0011224A"/>
    <w:rsid w:val="00112EE3"/>
    <w:rsid w:val="00113660"/>
    <w:rsid w:val="00116885"/>
    <w:rsid w:val="00121F9B"/>
    <w:rsid w:val="00123111"/>
    <w:rsid w:val="00125FA1"/>
    <w:rsid w:val="00126B9E"/>
    <w:rsid w:val="0013010E"/>
    <w:rsid w:val="00130C9F"/>
    <w:rsid w:val="00131A5C"/>
    <w:rsid w:val="00132D8B"/>
    <w:rsid w:val="001334ED"/>
    <w:rsid w:val="001338C8"/>
    <w:rsid w:val="00134718"/>
    <w:rsid w:val="001349DF"/>
    <w:rsid w:val="0014239F"/>
    <w:rsid w:val="001430EC"/>
    <w:rsid w:val="00143DFD"/>
    <w:rsid w:val="0014615E"/>
    <w:rsid w:val="001475E6"/>
    <w:rsid w:val="001479B7"/>
    <w:rsid w:val="00153D57"/>
    <w:rsid w:val="00154314"/>
    <w:rsid w:val="0015568A"/>
    <w:rsid w:val="00156214"/>
    <w:rsid w:val="001563E9"/>
    <w:rsid w:val="00156464"/>
    <w:rsid w:val="001603DA"/>
    <w:rsid w:val="001626D2"/>
    <w:rsid w:val="001630D7"/>
    <w:rsid w:val="00163965"/>
    <w:rsid w:val="00166061"/>
    <w:rsid w:val="0016628A"/>
    <w:rsid w:val="00167BE5"/>
    <w:rsid w:val="00170DB9"/>
    <w:rsid w:val="0017191E"/>
    <w:rsid w:val="0017219B"/>
    <w:rsid w:val="0017279A"/>
    <w:rsid w:val="00172CA4"/>
    <w:rsid w:val="00175DBE"/>
    <w:rsid w:val="00180A51"/>
    <w:rsid w:val="00182706"/>
    <w:rsid w:val="00183A5B"/>
    <w:rsid w:val="001904A4"/>
    <w:rsid w:val="001907A3"/>
    <w:rsid w:val="001969C4"/>
    <w:rsid w:val="001A3775"/>
    <w:rsid w:val="001A3CF2"/>
    <w:rsid w:val="001A3D46"/>
    <w:rsid w:val="001A4790"/>
    <w:rsid w:val="001A4875"/>
    <w:rsid w:val="001A5D7D"/>
    <w:rsid w:val="001A65C9"/>
    <w:rsid w:val="001A66A3"/>
    <w:rsid w:val="001A7E48"/>
    <w:rsid w:val="001B1F6B"/>
    <w:rsid w:val="001B22F4"/>
    <w:rsid w:val="001B3305"/>
    <w:rsid w:val="001B4496"/>
    <w:rsid w:val="001B530B"/>
    <w:rsid w:val="001C0ABF"/>
    <w:rsid w:val="001C0F49"/>
    <w:rsid w:val="001C1080"/>
    <w:rsid w:val="001C1559"/>
    <w:rsid w:val="001C3343"/>
    <w:rsid w:val="001C47C6"/>
    <w:rsid w:val="001C54EE"/>
    <w:rsid w:val="001D064D"/>
    <w:rsid w:val="001D27C5"/>
    <w:rsid w:val="001D40EB"/>
    <w:rsid w:val="001D4328"/>
    <w:rsid w:val="001D629B"/>
    <w:rsid w:val="001E0C4F"/>
    <w:rsid w:val="001E1467"/>
    <w:rsid w:val="001E6103"/>
    <w:rsid w:val="001E6366"/>
    <w:rsid w:val="001E6A14"/>
    <w:rsid w:val="001F19D7"/>
    <w:rsid w:val="001F1D43"/>
    <w:rsid w:val="001F1E57"/>
    <w:rsid w:val="001F3BAB"/>
    <w:rsid w:val="001F3E01"/>
    <w:rsid w:val="001F4E1C"/>
    <w:rsid w:val="0020631A"/>
    <w:rsid w:val="00213F55"/>
    <w:rsid w:val="00214492"/>
    <w:rsid w:val="002172E2"/>
    <w:rsid w:val="00222C2F"/>
    <w:rsid w:val="00222FCD"/>
    <w:rsid w:val="002264BD"/>
    <w:rsid w:val="00226FAD"/>
    <w:rsid w:val="00230175"/>
    <w:rsid w:val="002307AB"/>
    <w:rsid w:val="00230912"/>
    <w:rsid w:val="00230D9F"/>
    <w:rsid w:val="002315E1"/>
    <w:rsid w:val="00232524"/>
    <w:rsid w:val="00233609"/>
    <w:rsid w:val="002340E2"/>
    <w:rsid w:val="002342D3"/>
    <w:rsid w:val="00235FF9"/>
    <w:rsid w:val="00240A77"/>
    <w:rsid w:val="00241694"/>
    <w:rsid w:val="00241813"/>
    <w:rsid w:val="00242116"/>
    <w:rsid w:val="00242EE2"/>
    <w:rsid w:val="002430DD"/>
    <w:rsid w:val="00243877"/>
    <w:rsid w:val="00243E41"/>
    <w:rsid w:val="0024504B"/>
    <w:rsid w:val="002457C0"/>
    <w:rsid w:val="00245B27"/>
    <w:rsid w:val="00245DF2"/>
    <w:rsid w:val="00251BEE"/>
    <w:rsid w:val="00251FCB"/>
    <w:rsid w:val="00252F09"/>
    <w:rsid w:val="002553A1"/>
    <w:rsid w:val="00255495"/>
    <w:rsid w:val="00255854"/>
    <w:rsid w:val="00256A1B"/>
    <w:rsid w:val="00257C6F"/>
    <w:rsid w:val="00264690"/>
    <w:rsid w:val="00266C5D"/>
    <w:rsid w:val="00267215"/>
    <w:rsid w:val="0026742E"/>
    <w:rsid w:val="00267FFC"/>
    <w:rsid w:val="002717B1"/>
    <w:rsid w:val="00271933"/>
    <w:rsid w:val="00272118"/>
    <w:rsid w:val="002721F3"/>
    <w:rsid w:val="00273E43"/>
    <w:rsid w:val="00274905"/>
    <w:rsid w:val="00275F51"/>
    <w:rsid w:val="00276209"/>
    <w:rsid w:val="00277293"/>
    <w:rsid w:val="00280FC9"/>
    <w:rsid w:val="00281399"/>
    <w:rsid w:val="0028333F"/>
    <w:rsid w:val="002836B3"/>
    <w:rsid w:val="00283DB8"/>
    <w:rsid w:val="00287791"/>
    <w:rsid w:val="00291FC6"/>
    <w:rsid w:val="00294140"/>
    <w:rsid w:val="00294981"/>
    <w:rsid w:val="00296FC0"/>
    <w:rsid w:val="002973D6"/>
    <w:rsid w:val="002A0905"/>
    <w:rsid w:val="002A17A4"/>
    <w:rsid w:val="002A1B65"/>
    <w:rsid w:val="002A3F57"/>
    <w:rsid w:val="002A446B"/>
    <w:rsid w:val="002A5DDC"/>
    <w:rsid w:val="002A6485"/>
    <w:rsid w:val="002B0497"/>
    <w:rsid w:val="002B3279"/>
    <w:rsid w:val="002B4531"/>
    <w:rsid w:val="002B5195"/>
    <w:rsid w:val="002B5D6C"/>
    <w:rsid w:val="002C1097"/>
    <w:rsid w:val="002C21EA"/>
    <w:rsid w:val="002C2239"/>
    <w:rsid w:val="002C235D"/>
    <w:rsid w:val="002C435B"/>
    <w:rsid w:val="002C66C9"/>
    <w:rsid w:val="002C7C14"/>
    <w:rsid w:val="002D0BDD"/>
    <w:rsid w:val="002D1A8F"/>
    <w:rsid w:val="002D2565"/>
    <w:rsid w:val="002D291D"/>
    <w:rsid w:val="002D2CAC"/>
    <w:rsid w:val="002D2F93"/>
    <w:rsid w:val="002D4562"/>
    <w:rsid w:val="002D5628"/>
    <w:rsid w:val="002D6437"/>
    <w:rsid w:val="002D68AE"/>
    <w:rsid w:val="002D7B2C"/>
    <w:rsid w:val="002E23E5"/>
    <w:rsid w:val="002E3743"/>
    <w:rsid w:val="002E40D5"/>
    <w:rsid w:val="002E4FC5"/>
    <w:rsid w:val="002E65EC"/>
    <w:rsid w:val="002E7879"/>
    <w:rsid w:val="002F28AD"/>
    <w:rsid w:val="002F4355"/>
    <w:rsid w:val="002F5DD4"/>
    <w:rsid w:val="002F6F73"/>
    <w:rsid w:val="002F7200"/>
    <w:rsid w:val="002F7D37"/>
    <w:rsid w:val="0030019A"/>
    <w:rsid w:val="003001AC"/>
    <w:rsid w:val="00300CC4"/>
    <w:rsid w:val="00301378"/>
    <w:rsid w:val="00305D2C"/>
    <w:rsid w:val="003115F1"/>
    <w:rsid w:val="0031194C"/>
    <w:rsid w:val="0031272A"/>
    <w:rsid w:val="00313829"/>
    <w:rsid w:val="00314291"/>
    <w:rsid w:val="00315C63"/>
    <w:rsid w:val="00316C40"/>
    <w:rsid w:val="003205C4"/>
    <w:rsid w:val="003216E5"/>
    <w:rsid w:val="0032172A"/>
    <w:rsid w:val="00322970"/>
    <w:rsid w:val="00324B35"/>
    <w:rsid w:val="00324FDE"/>
    <w:rsid w:val="003274FC"/>
    <w:rsid w:val="003310E6"/>
    <w:rsid w:val="00332D3D"/>
    <w:rsid w:val="003344B0"/>
    <w:rsid w:val="0033486D"/>
    <w:rsid w:val="00334D8D"/>
    <w:rsid w:val="00336B50"/>
    <w:rsid w:val="0034067C"/>
    <w:rsid w:val="0034163F"/>
    <w:rsid w:val="00343845"/>
    <w:rsid w:val="00344A7B"/>
    <w:rsid w:val="00347407"/>
    <w:rsid w:val="003478CE"/>
    <w:rsid w:val="00350B2F"/>
    <w:rsid w:val="00352339"/>
    <w:rsid w:val="0035366D"/>
    <w:rsid w:val="0035370C"/>
    <w:rsid w:val="003560B8"/>
    <w:rsid w:val="00357998"/>
    <w:rsid w:val="0036047B"/>
    <w:rsid w:val="003607B6"/>
    <w:rsid w:val="003609C8"/>
    <w:rsid w:val="00360F4A"/>
    <w:rsid w:val="00361289"/>
    <w:rsid w:val="00363C07"/>
    <w:rsid w:val="00365F1C"/>
    <w:rsid w:val="0036673B"/>
    <w:rsid w:val="00367924"/>
    <w:rsid w:val="00370B8D"/>
    <w:rsid w:val="003719AD"/>
    <w:rsid w:val="003719E9"/>
    <w:rsid w:val="003723D7"/>
    <w:rsid w:val="00380E78"/>
    <w:rsid w:val="00380FF8"/>
    <w:rsid w:val="003816BC"/>
    <w:rsid w:val="00381F0B"/>
    <w:rsid w:val="003839F1"/>
    <w:rsid w:val="00383C09"/>
    <w:rsid w:val="00383EE4"/>
    <w:rsid w:val="00385275"/>
    <w:rsid w:val="003854B5"/>
    <w:rsid w:val="003866F8"/>
    <w:rsid w:val="00386F42"/>
    <w:rsid w:val="00391360"/>
    <w:rsid w:val="00391A65"/>
    <w:rsid w:val="003929AA"/>
    <w:rsid w:val="00393730"/>
    <w:rsid w:val="00394C7C"/>
    <w:rsid w:val="003974AD"/>
    <w:rsid w:val="003974CD"/>
    <w:rsid w:val="00397B0A"/>
    <w:rsid w:val="003A2ABC"/>
    <w:rsid w:val="003A6BED"/>
    <w:rsid w:val="003A6EAC"/>
    <w:rsid w:val="003B0142"/>
    <w:rsid w:val="003B29E3"/>
    <w:rsid w:val="003B2F5B"/>
    <w:rsid w:val="003B30B9"/>
    <w:rsid w:val="003B34D5"/>
    <w:rsid w:val="003B4478"/>
    <w:rsid w:val="003B54A8"/>
    <w:rsid w:val="003B6B39"/>
    <w:rsid w:val="003B7679"/>
    <w:rsid w:val="003B79D7"/>
    <w:rsid w:val="003C0B6F"/>
    <w:rsid w:val="003C0B9F"/>
    <w:rsid w:val="003C3593"/>
    <w:rsid w:val="003C36C8"/>
    <w:rsid w:val="003C3FF2"/>
    <w:rsid w:val="003C636B"/>
    <w:rsid w:val="003C67E6"/>
    <w:rsid w:val="003D0943"/>
    <w:rsid w:val="003D29F7"/>
    <w:rsid w:val="003D31F2"/>
    <w:rsid w:val="003D3397"/>
    <w:rsid w:val="003D5D63"/>
    <w:rsid w:val="003D6A02"/>
    <w:rsid w:val="003E02D0"/>
    <w:rsid w:val="003E3593"/>
    <w:rsid w:val="003E383D"/>
    <w:rsid w:val="003E4CD6"/>
    <w:rsid w:val="003E670F"/>
    <w:rsid w:val="003F154D"/>
    <w:rsid w:val="003F3A63"/>
    <w:rsid w:val="003F3AF4"/>
    <w:rsid w:val="003F4BCB"/>
    <w:rsid w:val="003F4D6D"/>
    <w:rsid w:val="003F4E46"/>
    <w:rsid w:val="003F5CF5"/>
    <w:rsid w:val="003F7365"/>
    <w:rsid w:val="003F7C12"/>
    <w:rsid w:val="004005CD"/>
    <w:rsid w:val="0040112B"/>
    <w:rsid w:val="00401D57"/>
    <w:rsid w:val="004034B1"/>
    <w:rsid w:val="00403A34"/>
    <w:rsid w:val="00404939"/>
    <w:rsid w:val="00405A1E"/>
    <w:rsid w:val="00406472"/>
    <w:rsid w:val="00406C19"/>
    <w:rsid w:val="004108C2"/>
    <w:rsid w:val="004116D9"/>
    <w:rsid w:val="00414C08"/>
    <w:rsid w:val="0041730A"/>
    <w:rsid w:val="00417417"/>
    <w:rsid w:val="00417AA9"/>
    <w:rsid w:val="00423B78"/>
    <w:rsid w:val="00423D86"/>
    <w:rsid w:val="00425199"/>
    <w:rsid w:val="00427E48"/>
    <w:rsid w:val="00434101"/>
    <w:rsid w:val="004342FE"/>
    <w:rsid w:val="0043632B"/>
    <w:rsid w:val="004374C5"/>
    <w:rsid w:val="00440415"/>
    <w:rsid w:val="00441ACF"/>
    <w:rsid w:val="00441D5F"/>
    <w:rsid w:val="00446C16"/>
    <w:rsid w:val="00447EED"/>
    <w:rsid w:val="004516D5"/>
    <w:rsid w:val="0045601A"/>
    <w:rsid w:val="004560F6"/>
    <w:rsid w:val="004566BF"/>
    <w:rsid w:val="00456D54"/>
    <w:rsid w:val="00457419"/>
    <w:rsid w:val="00461957"/>
    <w:rsid w:val="00462721"/>
    <w:rsid w:val="00462CD4"/>
    <w:rsid w:val="00463CAF"/>
    <w:rsid w:val="004649A9"/>
    <w:rsid w:val="00465764"/>
    <w:rsid w:val="00465910"/>
    <w:rsid w:val="00466D26"/>
    <w:rsid w:val="004702BE"/>
    <w:rsid w:val="004703F4"/>
    <w:rsid w:val="00474F1A"/>
    <w:rsid w:val="00475813"/>
    <w:rsid w:val="0047633C"/>
    <w:rsid w:val="00476C06"/>
    <w:rsid w:val="0048006E"/>
    <w:rsid w:val="00490813"/>
    <w:rsid w:val="004911FD"/>
    <w:rsid w:val="004915D2"/>
    <w:rsid w:val="00492842"/>
    <w:rsid w:val="00492D54"/>
    <w:rsid w:val="004935B4"/>
    <w:rsid w:val="00495567"/>
    <w:rsid w:val="004962D7"/>
    <w:rsid w:val="0049793E"/>
    <w:rsid w:val="004A1F4F"/>
    <w:rsid w:val="004A2441"/>
    <w:rsid w:val="004A2716"/>
    <w:rsid w:val="004A377F"/>
    <w:rsid w:val="004A5587"/>
    <w:rsid w:val="004A58DC"/>
    <w:rsid w:val="004A7D6A"/>
    <w:rsid w:val="004B1AB8"/>
    <w:rsid w:val="004B22F2"/>
    <w:rsid w:val="004B2961"/>
    <w:rsid w:val="004B2E45"/>
    <w:rsid w:val="004B4266"/>
    <w:rsid w:val="004B44AA"/>
    <w:rsid w:val="004B5CC0"/>
    <w:rsid w:val="004B5DAA"/>
    <w:rsid w:val="004C0DA9"/>
    <w:rsid w:val="004C1ED6"/>
    <w:rsid w:val="004C21B6"/>
    <w:rsid w:val="004C260A"/>
    <w:rsid w:val="004C3562"/>
    <w:rsid w:val="004C363F"/>
    <w:rsid w:val="004C3B6F"/>
    <w:rsid w:val="004C4842"/>
    <w:rsid w:val="004D2A4A"/>
    <w:rsid w:val="004D4425"/>
    <w:rsid w:val="004D5DF9"/>
    <w:rsid w:val="004D75EB"/>
    <w:rsid w:val="004E018F"/>
    <w:rsid w:val="004E07F0"/>
    <w:rsid w:val="004E23F0"/>
    <w:rsid w:val="004E3A78"/>
    <w:rsid w:val="004E3E55"/>
    <w:rsid w:val="004F318D"/>
    <w:rsid w:val="004F59E6"/>
    <w:rsid w:val="004F5C3A"/>
    <w:rsid w:val="00504327"/>
    <w:rsid w:val="00505887"/>
    <w:rsid w:val="00510183"/>
    <w:rsid w:val="00510F47"/>
    <w:rsid w:val="00514625"/>
    <w:rsid w:val="00515A65"/>
    <w:rsid w:val="005161CB"/>
    <w:rsid w:val="00516F7A"/>
    <w:rsid w:val="00516FEF"/>
    <w:rsid w:val="00520878"/>
    <w:rsid w:val="0052224E"/>
    <w:rsid w:val="00522430"/>
    <w:rsid w:val="0053003C"/>
    <w:rsid w:val="00533C76"/>
    <w:rsid w:val="005352CC"/>
    <w:rsid w:val="0053688D"/>
    <w:rsid w:val="00537C10"/>
    <w:rsid w:val="00537EFD"/>
    <w:rsid w:val="005418D8"/>
    <w:rsid w:val="00541E93"/>
    <w:rsid w:val="00542DC1"/>
    <w:rsid w:val="005437DB"/>
    <w:rsid w:val="00543A8D"/>
    <w:rsid w:val="0054421C"/>
    <w:rsid w:val="00544BE6"/>
    <w:rsid w:val="00546FD9"/>
    <w:rsid w:val="00550D9C"/>
    <w:rsid w:val="00551670"/>
    <w:rsid w:val="00551934"/>
    <w:rsid w:val="00552834"/>
    <w:rsid w:val="0055324B"/>
    <w:rsid w:val="00553B30"/>
    <w:rsid w:val="005556D2"/>
    <w:rsid w:val="00557105"/>
    <w:rsid w:val="00560493"/>
    <w:rsid w:val="00563E1A"/>
    <w:rsid w:val="00566C04"/>
    <w:rsid w:val="00572969"/>
    <w:rsid w:val="005761E6"/>
    <w:rsid w:val="00581889"/>
    <w:rsid w:val="005826B3"/>
    <w:rsid w:val="005837D4"/>
    <w:rsid w:val="00583B12"/>
    <w:rsid w:val="00585BC3"/>
    <w:rsid w:val="0058697A"/>
    <w:rsid w:val="005871FC"/>
    <w:rsid w:val="0059152A"/>
    <w:rsid w:val="00592F5C"/>
    <w:rsid w:val="005939D0"/>
    <w:rsid w:val="00593C9B"/>
    <w:rsid w:val="00594E83"/>
    <w:rsid w:val="00597846"/>
    <w:rsid w:val="00597AA6"/>
    <w:rsid w:val="005A0230"/>
    <w:rsid w:val="005A0410"/>
    <w:rsid w:val="005A084E"/>
    <w:rsid w:val="005A0F5F"/>
    <w:rsid w:val="005A20CA"/>
    <w:rsid w:val="005A5966"/>
    <w:rsid w:val="005A5BEE"/>
    <w:rsid w:val="005A5D7C"/>
    <w:rsid w:val="005A5F0B"/>
    <w:rsid w:val="005A64B6"/>
    <w:rsid w:val="005A6533"/>
    <w:rsid w:val="005A6619"/>
    <w:rsid w:val="005A6E7D"/>
    <w:rsid w:val="005B039D"/>
    <w:rsid w:val="005B06FB"/>
    <w:rsid w:val="005B092A"/>
    <w:rsid w:val="005B167A"/>
    <w:rsid w:val="005B4D17"/>
    <w:rsid w:val="005B5FB7"/>
    <w:rsid w:val="005B64B2"/>
    <w:rsid w:val="005B6822"/>
    <w:rsid w:val="005B7CD7"/>
    <w:rsid w:val="005C0E76"/>
    <w:rsid w:val="005C124D"/>
    <w:rsid w:val="005C16A7"/>
    <w:rsid w:val="005C229C"/>
    <w:rsid w:val="005C2F6A"/>
    <w:rsid w:val="005C4F5D"/>
    <w:rsid w:val="005C7005"/>
    <w:rsid w:val="005C79A8"/>
    <w:rsid w:val="005D0A44"/>
    <w:rsid w:val="005D1BDF"/>
    <w:rsid w:val="005D2933"/>
    <w:rsid w:val="005D2F79"/>
    <w:rsid w:val="005D541A"/>
    <w:rsid w:val="005D625D"/>
    <w:rsid w:val="005D6B08"/>
    <w:rsid w:val="005D75D7"/>
    <w:rsid w:val="005E16AF"/>
    <w:rsid w:val="005E1AEC"/>
    <w:rsid w:val="005E304F"/>
    <w:rsid w:val="005E43FB"/>
    <w:rsid w:val="005E7B30"/>
    <w:rsid w:val="005E7CA2"/>
    <w:rsid w:val="005F032C"/>
    <w:rsid w:val="005F0895"/>
    <w:rsid w:val="005F0A11"/>
    <w:rsid w:val="005F0E4A"/>
    <w:rsid w:val="005F1800"/>
    <w:rsid w:val="005F4CE9"/>
    <w:rsid w:val="005F6A54"/>
    <w:rsid w:val="00601196"/>
    <w:rsid w:val="00611AA6"/>
    <w:rsid w:val="0061249D"/>
    <w:rsid w:val="006148B8"/>
    <w:rsid w:val="00614994"/>
    <w:rsid w:val="00616676"/>
    <w:rsid w:val="006200A2"/>
    <w:rsid w:val="00622026"/>
    <w:rsid w:val="00623437"/>
    <w:rsid w:val="0062555D"/>
    <w:rsid w:val="0062620F"/>
    <w:rsid w:val="0062693F"/>
    <w:rsid w:val="00626EC0"/>
    <w:rsid w:val="00630210"/>
    <w:rsid w:val="006302C7"/>
    <w:rsid w:val="00631C41"/>
    <w:rsid w:val="006320BC"/>
    <w:rsid w:val="006327B5"/>
    <w:rsid w:val="00632D14"/>
    <w:rsid w:val="00637526"/>
    <w:rsid w:val="006405AC"/>
    <w:rsid w:val="006411BA"/>
    <w:rsid w:val="00645E8C"/>
    <w:rsid w:val="00646E17"/>
    <w:rsid w:val="00650140"/>
    <w:rsid w:val="006513F1"/>
    <w:rsid w:val="00653371"/>
    <w:rsid w:val="006554AC"/>
    <w:rsid w:val="00655CC1"/>
    <w:rsid w:val="00656F88"/>
    <w:rsid w:val="00657DDF"/>
    <w:rsid w:val="00660273"/>
    <w:rsid w:val="0066060E"/>
    <w:rsid w:val="00660AE9"/>
    <w:rsid w:val="0066196E"/>
    <w:rsid w:val="00661DFB"/>
    <w:rsid w:val="00662DFD"/>
    <w:rsid w:val="0066521A"/>
    <w:rsid w:val="0066523D"/>
    <w:rsid w:val="0066745E"/>
    <w:rsid w:val="0067225F"/>
    <w:rsid w:val="00672829"/>
    <w:rsid w:val="00673DE6"/>
    <w:rsid w:val="00674C0D"/>
    <w:rsid w:val="00674F96"/>
    <w:rsid w:val="00675B4C"/>
    <w:rsid w:val="00684A71"/>
    <w:rsid w:val="006864A8"/>
    <w:rsid w:val="00692A51"/>
    <w:rsid w:val="00696B15"/>
    <w:rsid w:val="006A1A4A"/>
    <w:rsid w:val="006A1E80"/>
    <w:rsid w:val="006A25DD"/>
    <w:rsid w:val="006A3B56"/>
    <w:rsid w:val="006A3B8B"/>
    <w:rsid w:val="006A4830"/>
    <w:rsid w:val="006A62F8"/>
    <w:rsid w:val="006A6D24"/>
    <w:rsid w:val="006B2A93"/>
    <w:rsid w:val="006B3E99"/>
    <w:rsid w:val="006B68DF"/>
    <w:rsid w:val="006B70C8"/>
    <w:rsid w:val="006C2B44"/>
    <w:rsid w:val="006C4C95"/>
    <w:rsid w:val="006C4FA8"/>
    <w:rsid w:val="006D12D1"/>
    <w:rsid w:val="006D1329"/>
    <w:rsid w:val="006D2975"/>
    <w:rsid w:val="006D5A0E"/>
    <w:rsid w:val="006E0C30"/>
    <w:rsid w:val="006E11F6"/>
    <w:rsid w:val="006E12BC"/>
    <w:rsid w:val="006E285A"/>
    <w:rsid w:val="006E3E83"/>
    <w:rsid w:val="006E5469"/>
    <w:rsid w:val="006E792D"/>
    <w:rsid w:val="006F22A1"/>
    <w:rsid w:val="006F43BF"/>
    <w:rsid w:val="006F6B3B"/>
    <w:rsid w:val="006F75CE"/>
    <w:rsid w:val="006F7DCC"/>
    <w:rsid w:val="007004A1"/>
    <w:rsid w:val="00700F81"/>
    <w:rsid w:val="00702616"/>
    <w:rsid w:val="00704479"/>
    <w:rsid w:val="00704A29"/>
    <w:rsid w:val="0070551D"/>
    <w:rsid w:val="0070588A"/>
    <w:rsid w:val="0070684D"/>
    <w:rsid w:val="0070720C"/>
    <w:rsid w:val="00707E4A"/>
    <w:rsid w:val="00713169"/>
    <w:rsid w:val="00713F92"/>
    <w:rsid w:val="0071577B"/>
    <w:rsid w:val="00717016"/>
    <w:rsid w:val="0072045B"/>
    <w:rsid w:val="007210A6"/>
    <w:rsid w:val="0072132B"/>
    <w:rsid w:val="007221C2"/>
    <w:rsid w:val="00722863"/>
    <w:rsid w:val="0072361D"/>
    <w:rsid w:val="00723F7C"/>
    <w:rsid w:val="00724AB7"/>
    <w:rsid w:val="0073090E"/>
    <w:rsid w:val="007313D8"/>
    <w:rsid w:val="00732DA7"/>
    <w:rsid w:val="00733018"/>
    <w:rsid w:val="00733862"/>
    <w:rsid w:val="00733894"/>
    <w:rsid w:val="00733E34"/>
    <w:rsid w:val="007356C6"/>
    <w:rsid w:val="00740F04"/>
    <w:rsid w:val="00741C96"/>
    <w:rsid w:val="00741F3C"/>
    <w:rsid w:val="007456E4"/>
    <w:rsid w:val="00750AAD"/>
    <w:rsid w:val="00750EC7"/>
    <w:rsid w:val="00751AAB"/>
    <w:rsid w:val="00751BBE"/>
    <w:rsid w:val="00752083"/>
    <w:rsid w:val="00752B91"/>
    <w:rsid w:val="00753A96"/>
    <w:rsid w:val="00754CE3"/>
    <w:rsid w:val="00755DBE"/>
    <w:rsid w:val="00755E40"/>
    <w:rsid w:val="00756845"/>
    <w:rsid w:val="00761E59"/>
    <w:rsid w:val="00762903"/>
    <w:rsid w:val="00764E20"/>
    <w:rsid w:val="00771320"/>
    <w:rsid w:val="00773C6F"/>
    <w:rsid w:val="0077444D"/>
    <w:rsid w:val="007745AE"/>
    <w:rsid w:val="00774E29"/>
    <w:rsid w:val="007765E5"/>
    <w:rsid w:val="007824C6"/>
    <w:rsid w:val="00783D51"/>
    <w:rsid w:val="00784D29"/>
    <w:rsid w:val="007905F9"/>
    <w:rsid w:val="007908B1"/>
    <w:rsid w:val="00791DD6"/>
    <w:rsid w:val="00792055"/>
    <w:rsid w:val="0079371A"/>
    <w:rsid w:val="00793A38"/>
    <w:rsid w:val="00794875"/>
    <w:rsid w:val="00795328"/>
    <w:rsid w:val="00795CAF"/>
    <w:rsid w:val="00796DC0"/>
    <w:rsid w:val="007979FA"/>
    <w:rsid w:val="00797DD7"/>
    <w:rsid w:val="007A0FAE"/>
    <w:rsid w:val="007A1423"/>
    <w:rsid w:val="007A1754"/>
    <w:rsid w:val="007B02DF"/>
    <w:rsid w:val="007B165C"/>
    <w:rsid w:val="007B2673"/>
    <w:rsid w:val="007B38D7"/>
    <w:rsid w:val="007C059A"/>
    <w:rsid w:val="007C1B74"/>
    <w:rsid w:val="007C3D95"/>
    <w:rsid w:val="007C7274"/>
    <w:rsid w:val="007C7336"/>
    <w:rsid w:val="007D239D"/>
    <w:rsid w:val="007D27BA"/>
    <w:rsid w:val="007D4D23"/>
    <w:rsid w:val="007D5BC7"/>
    <w:rsid w:val="007D7983"/>
    <w:rsid w:val="007E0028"/>
    <w:rsid w:val="007E2634"/>
    <w:rsid w:val="007E3C25"/>
    <w:rsid w:val="007E436C"/>
    <w:rsid w:val="007E527F"/>
    <w:rsid w:val="007E6047"/>
    <w:rsid w:val="007F0296"/>
    <w:rsid w:val="007F52EF"/>
    <w:rsid w:val="007F67A5"/>
    <w:rsid w:val="0080060E"/>
    <w:rsid w:val="00801551"/>
    <w:rsid w:val="0080172D"/>
    <w:rsid w:val="00802FB7"/>
    <w:rsid w:val="00803CD5"/>
    <w:rsid w:val="008054D9"/>
    <w:rsid w:val="00806319"/>
    <w:rsid w:val="00806767"/>
    <w:rsid w:val="008108D6"/>
    <w:rsid w:val="00811A5B"/>
    <w:rsid w:val="008124AA"/>
    <w:rsid w:val="00813512"/>
    <w:rsid w:val="00813A9F"/>
    <w:rsid w:val="00815D89"/>
    <w:rsid w:val="00816019"/>
    <w:rsid w:val="00816971"/>
    <w:rsid w:val="00816A0E"/>
    <w:rsid w:val="008175C7"/>
    <w:rsid w:val="00817839"/>
    <w:rsid w:val="00817B19"/>
    <w:rsid w:val="00821CFF"/>
    <w:rsid w:val="008221F4"/>
    <w:rsid w:val="00822322"/>
    <w:rsid w:val="00822663"/>
    <w:rsid w:val="00823400"/>
    <w:rsid w:val="00824381"/>
    <w:rsid w:val="00824DB7"/>
    <w:rsid w:val="00825402"/>
    <w:rsid w:val="00825912"/>
    <w:rsid w:val="00825C59"/>
    <w:rsid w:val="00826723"/>
    <w:rsid w:val="00830B96"/>
    <w:rsid w:val="00832D21"/>
    <w:rsid w:val="00833545"/>
    <w:rsid w:val="00837C67"/>
    <w:rsid w:val="00840A74"/>
    <w:rsid w:val="008433C1"/>
    <w:rsid w:val="008445F4"/>
    <w:rsid w:val="00844623"/>
    <w:rsid w:val="00845369"/>
    <w:rsid w:val="00847976"/>
    <w:rsid w:val="00852611"/>
    <w:rsid w:val="008609E4"/>
    <w:rsid w:val="00860A2B"/>
    <w:rsid w:val="008656EB"/>
    <w:rsid w:val="00865783"/>
    <w:rsid w:val="00865C8A"/>
    <w:rsid w:val="0087357C"/>
    <w:rsid w:val="008748A5"/>
    <w:rsid w:val="00874B85"/>
    <w:rsid w:val="00874DE1"/>
    <w:rsid w:val="00881068"/>
    <w:rsid w:val="008824B5"/>
    <w:rsid w:val="00883BE6"/>
    <w:rsid w:val="0088512A"/>
    <w:rsid w:val="00885B93"/>
    <w:rsid w:val="00885EAD"/>
    <w:rsid w:val="00886A34"/>
    <w:rsid w:val="008875BD"/>
    <w:rsid w:val="008876BD"/>
    <w:rsid w:val="00890554"/>
    <w:rsid w:val="0089091B"/>
    <w:rsid w:val="00890DA4"/>
    <w:rsid w:val="00891491"/>
    <w:rsid w:val="008923DE"/>
    <w:rsid w:val="00892643"/>
    <w:rsid w:val="0089656E"/>
    <w:rsid w:val="00897E91"/>
    <w:rsid w:val="008A2658"/>
    <w:rsid w:val="008A3C18"/>
    <w:rsid w:val="008A4B27"/>
    <w:rsid w:val="008A5C0C"/>
    <w:rsid w:val="008A79DD"/>
    <w:rsid w:val="008B1048"/>
    <w:rsid w:val="008B171D"/>
    <w:rsid w:val="008B3D37"/>
    <w:rsid w:val="008B493C"/>
    <w:rsid w:val="008C0F13"/>
    <w:rsid w:val="008C2D4B"/>
    <w:rsid w:val="008C4649"/>
    <w:rsid w:val="008C49E3"/>
    <w:rsid w:val="008C4D6A"/>
    <w:rsid w:val="008C6A68"/>
    <w:rsid w:val="008D04C6"/>
    <w:rsid w:val="008D0983"/>
    <w:rsid w:val="008D117C"/>
    <w:rsid w:val="008D360D"/>
    <w:rsid w:val="008D4337"/>
    <w:rsid w:val="008D6C13"/>
    <w:rsid w:val="008E109B"/>
    <w:rsid w:val="008E1DA2"/>
    <w:rsid w:val="008E36FB"/>
    <w:rsid w:val="008E3ED7"/>
    <w:rsid w:val="008F16DE"/>
    <w:rsid w:val="008F2C9F"/>
    <w:rsid w:val="008F3C92"/>
    <w:rsid w:val="008F4E4D"/>
    <w:rsid w:val="008F6779"/>
    <w:rsid w:val="008F69FB"/>
    <w:rsid w:val="008F757D"/>
    <w:rsid w:val="008F77C7"/>
    <w:rsid w:val="00900C0C"/>
    <w:rsid w:val="00901A5C"/>
    <w:rsid w:val="00901D08"/>
    <w:rsid w:val="0090411C"/>
    <w:rsid w:val="00905551"/>
    <w:rsid w:val="00905964"/>
    <w:rsid w:val="0090759D"/>
    <w:rsid w:val="009078EE"/>
    <w:rsid w:val="00910887"/>
    <w:rsid w:val="00913538"/>
    <w:rsid w:val="00913A8C"/>
    <w:rsid w:val="00914644"/>
    <w:rsid w:val="00916017"/>
    <w:rsid w:val="00917031"/>
    <w:rsid w:val="00917788"/>
    <w:rsid w:val="00920ADB"/>
    <w:rsid w:val="00920D77"/>
    <w:rsid w:val="00920FE1"/>
    <w:rsid w:val="00922F44"/>
    <w:rsid w:val="0092300D"/>
    <w:rsid w:val="00923174"/>
    <w:rsid w:val="00923401"/>
    <w:rsid w:val="0092450F"/>
    <w:rsid w:val="00925DE1"/>
    <w:rsid w:val="0092678F"/>
    <w:rsid w:val="0092682E"/>
    <w:rsid w:val="00926A4C"/>
    <w:rsid w:val="00926F9C"/>
    <w:rsid w:val="00927017"/>
    <w:rsid w:val="00930D60"/>
    <w:rsid w:val="00936A70"/>
    <w:rsid w:val="00941BDA"/>
    <w:rsid w:val="009440ED"/>
    <w:rsid w:val="00944409"/>
    <w:rsid w:val="00944A71"/>
    <w:rsid w:val="00945514"/>
    <w:rsid w:val="0094613A"/>
    <w:rsid w:val="00947EAD"/>
    <w:rsid w:val="00952D47"/>
    <w:rsid w:val="00955376"/>
    <w:rsid w:val="00955608"/>
    <w:rsid w:val="009563AA"/>
    <w:rsid w:val="0095654C"/>
    <w:rsid w:val="009566D8"/>
    <w:rsid w:val="00957ACA"/>
    <w:rsid w:val="009605A9"/>
    <w:rsid w:val="009606E1"/>
    <w:rsid w:val="00964A82"/>
    <w:rsid w:val="00966AF0"/>
    <w:rsid w:val="009673CE"/>
    <w:rsid w:val="0096744C"/>
    <w:rsid w:val="009674D9"/>
    <w:rsid w:val="009678C2"/>
    <w:rsid w:val="0096793D"/>
    <w:rsid w:val="00967FC2"/>
    <w:rsid w:val="009724DF"/>
    <w:rsid w:val="009734E9"/>
    <w:rsid w:val="00974072"/>
    <w:rsid w:val="00974AD5"/>
    <w:rsid w:val="00975DA4"/>
    <w:rsid w:val="009761BF"/>
    <w:rsid w:val="00976863"/>
    <w:rsid w:val="00983A5F"/>
    <w:rsid w:val="0098689C"/>
    <w:rsid w:val="00986C77"/>
    <w:rsid w:val="00987047"/>
    <w:rsid w:val="00993595"/>
    <w:rsid w:val="00993AA8"/>
    <w:rsid w:val="0099411F"/>
    <w:rsid w:val="0099705D"/>
    <w:rsid w:val="009976C3"/>
    <w:rsid w:val="00997EDE"/>
    <w:rsid w:val="009A18DF"/>
    <w:rsid w:val="009A2DB1"/>
    <w:rsid w:val="009A2FC8"/>
    <w:rsid w:val="009A3A4B"/>
    <w:rsid w:val="009A63D9"/>
    <w:rsid w:val="009A6F4F"/>
    <w:rsid w:val="009B10E2"/>
    <w:rsid w:val="009B3265"/>
    <w:rsid w:val="009B47F4"/>
    <w:rsid w:val="009B5387"/>
    <w:rsid w:val="009B5A65"/>
    <w:rsid w:val="009C13D0"/>
    <w:rsid w:val="009C44F9"/>
    <w:rsid w:val="009C4FAE"/>
    <w:rsid w:val="009C5090"/>
    <w:rsid w:val="009C5756"/>
    <w:rsid w:val="009D0132"/>
    <w:rsid w:val="009D44A2"/>
    <w:rsid w:val="009D48AF"/>
    <w:rsid w:val="009D75A7"/>
    <w:rsid w:val="009D7694"/>
    <w:rsid w:val="009E0A99"/>
    <w:rsid w:val="009E0EF8"/>
    <w:rsid w:val="009E1EBA"/>
    <w:rsid w:val="009E2709"/>
    <w:rsid w:val="009E2D51"/>
    <w:rsid w:val="009E524F"/>
    <w:rsid w:val="009E52A8"/>
    <w:rsid w:val="009E568A"/>
    <w:rsid w:val="009E5872"/>
    <w:rsid w:val="009E6FA9"/>
    <w:rsid w:val="009E7044"/>
    <w:rsid w:val="009E70D5"/>
    <w:rsid w:val="009F06DB"/>
    <w:rsid w:val="009F0F96"/>
    <w:rsid w:val="009F30CA"/>
    <w:rsid w:val="009F3929"/>
    <w:rsid w:val="009F3AA2"/>
    <w:rsid w:val="009F4383"/>
    <w:rsid w:val="00A0169D"/>
    <w:rsid w:val="00A01FBA"/>
    <w:rsid w:val="00A02249"/>
    <w:rsid w:val="00A0519B"/>
    <w:rsid w:val="00A054E0"/>
    <w:rsid w:val="00A05AC5"/>
    <w:rsid w:val="00A07261"/>
    <w:rsid w:val="00A07887"/>
    <w:rsid w:val="00A113C4"/>
    <w:rsid w:val="00A12695"/>
    <w:rsid w:val="00A1418E"/>
    <w:rsid w:val="00A16846"/>
    <w:rsid w:val="00A1696E"/>
    <w:rsid w:val="00A17DA3"/>
    <w:rsid w:val="00A208B0"/>
    <w:rsid w:val="00A23B33"/>
    <w:rsid w:val="00A244E1"/>
    <w:rsid w:val="00A2497C"/>
    <w:rsid w:val="00A2529A"/>
    <w:rsid w:val="00A255E3"/>
    <w:rsid w:val="00A25CE4"/>
    <w:rsid w:val="00A26908"/>
    <w:rsid w:val="00A26A0A"/>
    <w:rsid w:val="00A272CF"/>
    <w:rsid w:val="00A273C8"/>
    <w:rsid w:val="00A27D89"/>
    <w:rsid w:val="00A3010F"/>
    <w:rsid w:val="00A3174A"/>
    <w:rsid w:val="00A3199D"/>
    <w:rsid w:val="00A33AF6"/>
    <w:rsid w:val="00A341E9"/>
    <w:rsid w:val="00A359BF"/>
    <w:rsid w:val="00A37E8E"/>
    <w:rsid w:val="00A4090F"/>
    <w:rsid w:val="00A40D3A"/>
    <w:rsid w:val="00A45095"/>
    <w:rsid w:val="00A450CF"/>
    <w:rsid w:val="00A47BD5"/>
    <w:rsid w:val="00A51412"/>
    <w:rsid w:val="00A54FD0"/>
    <w:rsid w:val="00A56861"/>
    <w:rsid w:val="00A612FB"/>
    <w:rsid w:val="00A62B0F"/>
    <w:rsid w:val="00A64C5E"/>
    <w:rsid w:val="00A6500F"/>
    <w:rsid w:val="00A65D9A"/>
    <w:rsid w:val="00A65FD8"/>
    <w:rsid w:val="00A6631D"/>
    <w:rsid w:val="00A67E7C"/>
    <w:rsid w:val="00A7029C"/>
    <w:rsid w:val="00A70BF4"/>
    <w:rsid w:val="00A731A1"/>
    <w:rsid w:val="00A7605B"/>
    <w:rsid w:val="00A76B00"/>
    <w:rsid w:val="00A76FC0"/>
    <w:rsid w:val="00A8013B"/>
    <w:rsid w:val="00A82A7E"/>
    <w:rsid w:val="00A8755F"/>
    <w:rsid w:val="00A90FD0"/>
    <w:rsid w:val="00AA5FA3"/>
    <w:rsid w:val="00AA7EFF"/>
    <w:rsid w:val="00AB1552"/>
    <w:rsid w:val="00AB1A06"/>
    <w:rsid w:val="00AB26CC"/>
    <w:rsid w:val="00AB3191"/>
    <w:rsid w:val="00AB3D5E"/>
    <w:rsid w:val="00AB3FD6"/>
    <w:rsid w:val="00AB4CAC"/>
    <w:rsid w:val="00AB4E88"/>
    <w:rsid w:val="00AC109D"/>
    <w:rsid w:val="00AC24D0"/>
    <w:rsid w:val="00AC3710"/>
    <w:rsid w:val="00AC40F3"/>
    <w:rsid w:val="00AC44D7"/>
    <w:rsid w:val="00AC4892"/>
    <w:rsid w:val="00AC5492"/>
    <w:rsid w:val="00AC5576"/>
    <w:rsid w:val="00AC5602"/>
    <w:rsid w:val="00AC7B71"/>
    <w:rsid w:val="00AD1624"/>
    <w:rsid w:val="00AD2DBC"/>
    <w:rsid w:val="00AD3B3E"/>
    <w:rsid w:val="00AD403B"/>
    <w:rsid w:val="00AD458D"/>
    <w:rsid w:val="00AD6DAE"/>
    <w:rsid w:val="00AD7363"/>
    <w:rsid w:val="00AD75FC"/>
    <w:rsid w:val="00AD7847"/>
    <w:rsid w:val="00AE0255"/>
    <w:rsid w:val="00AE0BF7"/>
    <w:rsid w:val="00AE142B"/>
    <w:rsid w:val="00AE2F40"/>
    <w:rsid w:val="00AE5668"/>
    <w:rsid w:val="00AE6081"/>
    <w:rsid w:val="00AE6492"/>
    <w:rsid w:val="00AE6E7B"/>
    <w:rsid w:val="00AF05C6"/>
    <w:rsid w:val="00AF4068"/>
    <w:rsid w:val="00AF46AA"/>
    <w:rsid w:val="00AF4CEC"/>
    <w:rsid w:val="00AF52D0"/>
    <w:rsid w:val="00AF6423"/>
    <w:rsid w:val="00B00077"/>
    <w:rsid w:val="00B026DA"/>
    <w:rsid w:val="00B03992"/>
    <w:rsid w:val="00B04D03"/>
    <w:rsid w:val="00B060FB"/>
    <w:rsid w:val="00B0655E"/>
    <w:rsid w:val="00B0688B"/>
    <w:rsid w:val="00B073D3"/>
    <w:rsid w:val="00B07516"/>
    <w:rsid w:val="00B07CAF"/>
    <w:rsid w:val="00B11613"/>
    <w:rsid w:val="00B13C9D"/>
    <w:rsid w:val="00B1637F"/>
    <w:rsid w:val="00B17701"/>
    <w:rsid w:val="00B202F6"/>
    <w:rsid w:val="00B206A1"/>
    <w:rsid w:val="00B20B01"/>
    <w:rsid w:val="00B2135E"/>
    <w:rsid w:val="00B22025"/>
    <w:rsid w:val="00B222F8"/>
    <w:rsid w:val="00B22CCE"/>
    <w:rsid w:val="00B22EF3"/>
    <w:rsid w:val="00B2435E"/>
    <w:rsid w:val="00B27DCF"/>
    <w:rsid w:val="00B307B4"/>
    <w:rsid w:val="00B36859"/>
    <w:rsid w:val="00B377EF"/>
    <w:rsid w:val="00B40C9A"/>
    <w:rsid w:val="00B433C1"/>
    <w:rsid w:val="00B44286"/>
    <w:rsid w:val="00B4640D"/>
    <w:rsid w:val="00B46D71"/>
    <w:rsid w:val="00B46F0A"/>
    <w:rsid w:val="00B47DE3"/>
    <w:rsid w:val="00B500FB"/>
    <w:rsid w:val="00B51716"/>
    <w:rsid w:val="00B52164"/>
    <w:rsid w:val="00B52F68"/>
    <w:rsid w:val="00B55F75"/>
    <w:rsid w:val="00B60878"/>
    <w:rsid w:val="00B60D28"/>
    <w:rsid w:val="00B6347E"/>
    <w:rsid w:val="00B63C7A"/>
    <w:rsid w:val="00B66631"/>
    <w:rsid w:val="00B66B99"/>
    <w:rsid w:val="00B7119A"/>
    <w:rsid w:val="00B71DAA"/>
    <w:rsid w:val="00B746B7"/>
    <w:rsid w:val="00B76DE0"/>
    <w:rsid w:val="00B76FA1"/>
    <w:rsid w:val="00B77010"/>
    <w:rsid w:val="00B80693"/>
    <w:rsid w:val="00B81139"/>
    <w:rsid w:val="00B81B8D"/>
    <w:rsid w:val="00B82E2C"/>
    <w:rsid w:val="00B851AC"/>
    <w:rsid w:val="00B86D07"/>
    <w:rsid w:val="00B907A8"/>
    <w:rsid w:val="00B927FC"/>
    <w:rsid w:val="00B938AD"/>
    <w:rsid w:val="00B93AAA"/>
    <w:rsid w:val="00B948F8"/>
    <w:rsid w:val="00B960FC"/>
    <w:rsid w:val="00B97FB9"/>
    <w:rsid w:val="00BA0B92"/>
    <w:rsid w:val="00BA190A"/>
    <w:rsid w:val="00BA25B5"/>
    <w:rsid w:val="00BA2F60"/>
    <w:rsid w:val="00BA37BF"/>
    <w:rsid w:val="00BA3BC0"/>
    <w:rsid w:val="00BA53D4"/>
    <w:rsid w:val="00BA72F1"/>
    <w:rsid w:val="00BB1633"/>
    <w:rsid w:val="00BB2239"/>
    <w:rsid w:val="00BB297F"/>
    <w:rsid w:val="00BB3407"/>
    <w:rsid w:val="00BB53B7"/>
    <w:rsid w:val="00BB5AAF"/>
    <w:rsid w:val="00BB763F"/>
    <w:rsid w:val="00BC060B"/>
    <w:rsid w:val="00BC263B"/>
    <w:rsid w:val="00BC2AE2"/>
    <w:rsid w:val="00BC3855"/>
    <w:rsid w:val="00BC3E9C"/>
    <w:rsid w:val="00BC503C"/>
    <w:rsid w:val="00BC50CF"/>
    <w:rsid w:val="00BC5537"/>
    <w:rsid w:val="00BC6F05"/>
    <w:rsid w:val="00BC70A0"/>
    <w:rsid w:val="00BC7993"/>
    <w:rsid w:val="00BC79CC"/>
    <w:rsid w:val="00BD01A7"/>
    <w:rsid w:val="00BD06A8"/>
    <w:rsid w:val="00BD4F08"/>
    <w:rsid w:val="00BD5555"/>
    <w:rsid w:val="00BD7D1E"/>
    <w:rsid w:val="00BE22D7"/>
    <w:rsid w:val="00BE4072"/>
    <w:rsid w:val="00BE5A84"/>
    <w:rsid w:val="00BE6190"/>
    <w:rsid w:val="00BF003A"/>
    <w:rsid w:val="00BF05B9"/>
    <w:rsid w:val="00BF0AAC"/>
    <w:rsid w:val="00BF15FA"/>
    <w:rsid w:val="00BF4358"/>
    <w:rsid w:val="00BF5EDE"/>
    <w:rsid w:val="00BF6A68"/>
    <w:rsid w:val="00C034E4"/>
    <w:rsid w:val="00C03BD7"/>
    <w:rsid w:val="00C0401A"/>
    <w:rsid w:val="00C04F1E"/>
    <w:rsid w:val="00C072E4"/>
    <w:rsid w:val="00C0738A"/>
    <w:rsid w:val="00C126B7"/>
    <w:rsid w:val="00C133F7"/>
    <w:rsid w:val="00C1353B"/>
    <w:rsid w:val="00C14FB3"/>
    <w:rsid w:val="00C171AB"/>
    <w:rsid w:val="00C17B7B"/>
    <w:rsid w:val="00C243AE"/>
    <w:rsid w:val="00C25BBE"/>
    <w:rsid w:val="00C25EDD"/>
    <w:rsid w:val="00C27E5B"/>
    <w:rsid w:val="00C31456"/>
    <w:rsid w:val="00C339EA"/>
    <w:rsid w:val="00C34E03"/>
    <w:rsid w:val="00C35E92"/>
    <w:rsid w:val="00C42436"/>
    <w:rsid w:val="00C441D8"/>
    <w:rsid w:val="00C4529E"/>
    <w:rsid w:val="00C466B8"/>
    <w:rsid w:val="00C47319"/>
    <w:rsid w:val="00C4790B"/>
    <w:rsid w:val="00C47B22"/>
    <w:rsid w:val="00C47E4D"/>
    <w:rsid w:val="00C50D10"/>
    <w:rsid w:val="00C52419"/>
    <w:rsid w:val="00C52814"/>
    <w:rsid w:val="00C535DF"/>
    <w:rsid w:val="00C543E9"/>
    <w:rsid w:val="00C551ED"/>
    <w:rsid w:val="00C57F9F"/>
    <w:rsid w:val="00C61A19"/>
    <w:rsid w:val="00C61C7B"/>
    <w:rsid w:val="00C61F86"/>
    <w:rsid w:val="00C631E9"/>
    <w:rsid w:val="00C651DF"/>
    <w:rsid w:val="00C67B44"/>
    <w:rsid w:val="00C705B8"/>
    <w:rsid w:val="00C71122"/>
    <w:rsid w:val="00C71217"/>
    <w:rsid w:val="00C71D1B"/>
    <w:rsid w:val="00C73474"/>
    <w:rsid w:val="00C74D4E"/>
    <w:rsid w:val="00C75762"/>
    <w:rsid w:val="00C7601E"/>
    <w:rsid w:val="00C80035"/>
    <w:rsid w:val="00C82282"/>
    <w:rsid w:val="00C8300B"/>
    <w:rsid w:val="00C83826"/>
    <w:rsid w:val="00C83AC1"/>
    <w:rsid w:val="00C84B57"/>
    <w:rsid w:val="00C84C86"/>
    <w:rsid w:val="00C84FF1"/>
    <w:rsid w:val="00C94542"/>
    <w:rsid w:val="00C94920"/>
    <w:rsid w:val="00C9603A"/>
    <w:rsid w:val="00C9745C"/>
    <w:rsid w:val="00C97E02"/>
    <w:rsid w:val="00CA0B51"/>
    <w:rsid w:val="00CA17CE"/>
    <w:rsid w:val="00CA2360"/>
    <w:rsid w:val="00CA258B"/>
    <w:rsid w:val="00CA26D6"/>
    <w:rsid w:val="00CA3B57"/>
    <w:rsid w:val="00CA5A49"/>
    <w:rsid w:val="00CA7146"/>
    <w:rsid w:val="00CB2923"/>
    <w:rsid w:val="00CB2A61"/>
    <w:rsid w:val="00CB2B52"/>
    <w:rsid w:val="00CB410E"/>
    <w:rsid w:val="00CB5A67"/>
    <w:rsid w:val="00CB5F01"/>
    <w:rsid w:val="00CC113A"/>
    <w:rsid w:val="00CC1E0C"/>
    <w:rsid w:val="00CC2367"/>
    <w:rsid w:val="00CC3279"/>
    <w:rsid w:val="00CC7C82"/>
    <w:rsid w:val="00CC7E3D"/>
    <w:rsid w:val="00CD0654"/>
    <w:rsid w:val="00CD2244"/>
    <w:rsid w:val="00CD2700"/>
    <w:rsid w:val="00CD3C07"/>
    <w:rsid w:val="00CD5F5B"/>
    <w:rsid w:val="00CD72C5"/>
    <w:rsid w:val="00CD7C3B"/>
    <w:rsid w:val="00CE2F8A"/>
    <w:rsid w:val="00CE3A62"/>
    <w:rsid w:val="00CE3D28"/>
    <w:rsid w:val="00CE4E22"/>
    <w:rsid w:val="00CE5443"/>
    <w:rsid w:val="00CE7025"/>
    <w:rsid w:val="00CE70BC"/>
    <w:rsid w:val="00CF2726"/>
    <w:rsid w:val="00CF3B7E"/>
    <w:rsid w:val="00CF4B6C"/>
    <w:rsid w:val="00CF6773"/>
    <w:rsid w:val="00CF6FF9"/>
    <w:rsid w:val="00CF7B82"/>
    <w:rsid w:val="00D0374F"/>
    <w:rsid w:val="00D03DE3"/>
    <w:rsid w:val="00D041F3"/>
    <w:rsid w:val="00D06D15"/>
    <w:rsid w:val="00D06F79"/>
    <w:rsid w:val="00D103C5"/>
    <w:rsid w:val="00D10BBB"/>
    <w:rsid w:val="00D12803"/>
    <w:rsid w:val="00D14064"/>
    <w:rsid w:val="00D14444"/>
    <w:rsid w:val="00D14DF7"/>
    <w:rsid w:val="00D1537F"/>
    <w:rsid w:val="00D15714"/>
    <w:rsid w:val="00D23C47"/>
    <w:rsid w:val="00D2498D"/>
    <w:rsid w:val="00D2516D"/>
    <w:rsid w:val="00D319C5"/>
    <w:rsid w:val="00D37564"/>
    <w:rsid w:val="00D375CB"/>
    <w:rsid w:val="00D4002B"/>
    <w:rsid w:val="00D425E8"/>
    <w:rsid w:val="00D4309C"/>
    <w:rsid w:val="00D446E6"/>
    <w:rsid w:val="00D4527C"/>
    <w:rsid w:val="00D452CF"/>
    <w:rsid w:val="00D50150"/>
    <w:rsid w:val="00D503A6"/>
    <w:rsid w:val="00D5067A"/>
    <w:rsid w:val="00D50B1C"/>
    <w:rsid w:val="00D513C4"/>
    <w:rsid w:val="00D516A0"/>
    <w:rsid w:val="00D519C4"/>
    <w:rsid w:val="00D51CA5"/>
    <w:rsid w:val="00D53C90"/>
    <w:rsid w:val="00D563A2"/>
    <w:rsid w:val="00D56679"/>
    <w:rsid w:val="00D57CAF"/>
    <w:rsid w:val="00D6024B"/>
    <w:rsid w:val="00D60D36"/>
    <w:rsid w:val="00D612A3"/>
    <w:rsid w:val="00D62B18"/>
    <w:rsid w:val="00D63CBB"/>
    <w:rsid w:val="00D6454C"/>
    <w:rsid w:val="00D6468E"/>
    <w:rsid w:val="00D66872"/>
    <w:rsid w:val="00D71658"/>
    <w:rsid w:val="00D721C0"/>
    <w:rsid w:val="00D73853"/>
    <w:rsid w:val="00D74E36"/>
    <w:rsid w:val="00D74F52"/>
    <w:rsid w:val="00D75784"/>
    <w:rsid w:val="00D75F31"/>
    <w:rsid w:val="00D82F6B"/>
    <w:rsid w:val="00D85715"/>
    <w:rsid w:val="00D87BE5"/>
    <w:rsid w:val="00D90AE1"/>
    <w:rsid w:val="00D91FC7"/>
    <w:rsid w:val="00D923B5"/>
    <w:rsid w:val="00D92622"/>
    <w:rsid w:val="00D9368B"/>
    <w:rsid w:val="00D97339"/>
    <w:rsid w:val="00DA009A"/>
    <w:rsid w:val="00DA06F1"/>
    <w:rsid w:val="00DA483F"/>
    <w:rsid w:val="00DA54BC"/>
    <w:rsid w:val="00DA5B47"/>
    <w:rsid w:val="00DB1409"/>
    <w:rsid w:val="00DB1C84"/>
    <w:rsid w:val="00DB28E9"/>
    <w:rsid w:val="00DB3E0B"/>
    <w:rsid w:val="00DB490F"/>
    <w:rsid w:val="00DB539F"/>
    <w:rsid w:val="00DB60C6"/>
    <w:rsid w:val="00DB7091"/>
    <w:rsid w:val="00DB7432"/>
    <w:rsid w:val="00DB76DC"/>
    <w:rsid w:val="00DC0DF6"/>
    <w:rsid w:val="00DC19C0"/>
    <w:rsid w:val="00DC46C1"/>
    <w:rsid w:val="00DC4E04"/>
    <w:rsid w:val="00DC5CD7"/>
    <w:rsid w:val="00DD0D27"/>
    <w:rsid w:val="00DD284A"/>
    <w:rsid w:val="00DD5968"/>
    <w:rsid w:val="00DD5A4D"/>
    <w:rsid w:val="00DE02F4"/>
    <w:rsid w:val="00DE192E"/>
    <w:rsid w:val="00DE1B63"/>
    <w:rsid w:val="00DE21EB"/>
    <w:rsid w:val="00DE2B2D"/>
    <w:rsid w:val="00DE2C57"/>
    <w:rsid w:val="00DE2D9A"/>
    <w:rsid w:val="00DE53F0"/>
    <w:rsid w:val="00DE5692"/>
    <w:rsid w:val="00DE62BA"/>
    <w:rsid w:val="00DE7926"/>
    <w:rsid w:val="00DE7FC6"/>
    <w:rsid w:val="00DF4E10"/>
    <w:rsid w:val="00DF552D"/>
    <w:rsid w:val="00DF62A4"/>
    <w:rsid w:val="00DF7352"/>
    <w:rsid w:val="00DF7374"/>
    <w:rsid w:val="00E01123"/>
    <w:rsid w:val="00E03871"/>
    <w:rsid w:val="00E0397F"/>
    <w:rsid w:val="00E06A31"/>
    <w:rsid w:val="00E07B49"/>
    <w:rsid w:val="00E124F8"/>
    <w:rsid w:val="00E12554"/>
    <w:rsid w:val="00E1333E"/>
    <w:rsid w:val="00E15C41"/>
    <w:rsid w:val="00E20F15"/>
    <w:rsid w:val="00E22367"/>
    <w:rsid w:val="00E2357A"/>
    <w:rsid w:val="00E24C9B"/>
    <w:rsid w:val="00E25A49"/>
    <w:rsid w:val="00E30172"/>
    <w:rsid w:val="00E31D0B"/>
    <w:rsid w:val="00E325AF"/>
    <w:rsid w:val="00E34F12"/>
    <w:rsid w:val="00E358A4"/>
    <w:rsid w:val="00E4282F"/>
    <w:rsid w:val="00E459DE"/>
    <w:rsid w:val="00E472F8"/>
    <w:rsid w:val="00E51406"/>
    <w:rsid w:val="00E53C2A"/>
    <w:rsid w:val="00E5457F"/>
    <w:rsid w:val="00E54C2E"/>
    <w:rsid w:val="00E55196"/>
    <w:rsid w:val="00E57491"/>
    <w:rsid w:val="00E610F1"/>
    <w:rsid w:val="00E6268B"/>
    <w:rsid w:val="00E627C1"/>
    <w:rsid w:val="00E634CF"/>
    <w:rsid w:val="00E640A6"/>
    <w:rsid w:val="00E65F72"/>
    <w:rsid w:val="00E66442"/>
    <w:rsid w:val="00E66DD2"/>
    <w:rsid w:val="00E67930"/>
    <w:rsid w:val="00E70F3D"/>
    <w:rsid w:val="00E724F5"/>
    <w:rsid w:val="00E73EDC"/>
    <w:rsid w:val="00E74E3F"/>
    <w:rsid w:val="00E751C3"/>
    <w:rsid w:val="00E75276"/>
    <w:rsid w:val="00E76C30"/>
    <w:rsid w:val="00E7751A"/>
    <w:rsid w:val="00E81B37"/>
    <w:rsid w:val="00E82791"/>
    <w:rsid w:val="00E83D3D"/>
    <w:rsid w:val="00E908B2"/>
    <w:rsid w:val="00E90A73"/>
    <w:rsid w:val="00E91D33"/>
    <w:rsid w:val="00E94954"/>
    <w:rsid w:val="00E9532B"/>
    <w:rsid w:val="00E9682F"/>
    <w:rsid w:val="00E96D8C"/>
    <w:rsid w:val="00E97DCB"/>
    <w:rsid w:val="00EA054F"/>
    <w:rsid w:val="00EA215E"/>
    <w:rsid w:val="00EA45DF"/>
    <w:rsid w:val="00EA55BA"/>
    <w:rsid w:val="00EA7639"/>
    <w:rsid w:val="00EB2515"/>
    <w:rsid w:val="00EB2578"/>
    <w:rsid w:val="00EB5452"/>
    <w:rsid w:val="00EB7319"/>
    <w:rsid w:val="00EB797B"/>
    <w:rsid w:val="00EB7AD5"/>
    <w:rsid w:val="00EB7B9C"/>
    <w:rsid w:val="00EB7F40"/>
    <w:rsid w:val="00EC159A"/>
    <w:rsid w:val="00EC3DD1"/>
    <w:rsid w:val="00EC53F1"/>
    <w:rsid w:val="00EC5B28"/>
    <w:rsid w:val="00ED09A6"/>
    <w:rsid w:val="00ED0B11"/>
    <w:rsid w:val="00ED2E84"/>
    <w:rsid w:val="00ED3B0A"/>
    <w:rsid w:val="00ED4A71"/>
    <w:rsid w:val="00ED6303"/>
    <w:rsid w:val="00ED7522"/>
    <w:rsid w:val="00EE0AF9"/>
    <w:rsid w:val="00EE3890"/>
    <w:rsid w:val="00EE3A6D"/>
    <w:rsid w:val="00EE44C6"/>
    <w:rsid w:val="00EE610D"/>
    <w:rsid w:val="00EE6D82"/>
    <w:rsid w:val="00EE7766"/>
    <w:rsid w:val="00EE7C26"/>
    <w:rsid w:val="00EF009B"/>
    <w:rsid w:val="00EF1F0D"/>
    <w:rsid w:val="00EF44AF"/>
    <w:rsid w:val="00EF5073"/>
    <w:rsid w:val="00EF526E"/>
    <w:rsid w:val="00EF72F8"/>
    <w:rsid w:val="00F049F3"/>
    <w:rsid w:val="00F061F7"/>
    <w:rsid w:val="00F07380"/>
    <w:rsid w:val="00F07F8D"/>
    <w:rsid w:val="00F10768"/>
    <w:rsid w:val="00F11E68"/>
    <w:rsid w:val="00F11EB0"/>
    <w:rsid w:val="00F1658E"/>
    <w:rsid w:val="00F23365"/>
    <w:rsid w:val="00F2436D"/>
    <w:rsid w:val="00F26D69"/>
    <w:rsid w:val="00F26F9D"/>
    <w:rsid w:val="00F306DD"/>
    <w:rsid w:val="00F31243"/>
    <w:rsid w:val="00F31C81"/>
    <w:rsid w:val="00F34D81"/>
    <w:rsid w:val="00F3561E"/>
    <w:rsid w:val="00F35DF9"/>
    <w:rsid w:val="00F404AC"/>
    <w:rsid w:val="00F40F16"/>
    <w:rsid w:val="00F414E9"/>
    <w:rsid w:val="00F41A0B"/>
    <w:rsid w:val="00F43E4D"/>
    <w:rsid w:val="00F43E51"/>
    <w:rsid w:val="00F4462B"/>
    <w:rsid w:val="00F45EDD"/>
    <w:rsid w:val="00F45FE6"/>
    <w:rsid w:val="00F462DC"/>
    <w:rsid w:val="00F46C1A"/>
    <w:rsid w:val="00F5056F"/>
    <w:rsid w:val="00F538C1"/>
    <w:rsid w:val="00F540C1"/>
    <w:rsid w:val="00F57FFD"/>
    <w:rsid w:val="00F625C2"/>
    <w:rsid w:val="00F65229"/>
    <w:rsid w:val="00F6603C"/>
    <w:rsid w:val="00F66362"/>
    <w:rsid w:val="00F70B1C"/>
    <w:rsid w:val="00F71B63"/>
    <w:rsid w:val="00F7219E"/>
    <w:rsid w:val="00F74277"/>
    <w:rsid w:val="00F75F4B"/>
    <w:rsid w:val="00F777DE"/>
    <w:rsid w:val="00F806BA"/>
    <w:rsid w:val="00F826C4"/>
    <w:rsid w:val="00F85C64"/>
    <w:rsid w:val="00F8713D"/>
    <w:rsid w:val="00F91DF9"/>
    <w:rsid w:val="00F929BC"/>
    <w:rsid w:val="00F93687"/>
    <w:rsid w:val="00F93FB4"/>
    <w:rsid w:val="00F94B0E"/>
    <w:rsid w:val="00F958A2"/>
    <w:rsid w:val="00FA18E0"/>
    <w:rsid w:val="00FA3F12"/>
    <w:rsid w:val="00FA428E"/>
    <w:rsid w:val="00FA4346"/>
    <w:rsid w:val="00FA4B6B"/>
    <w:rsid w:val="00FA4B9F"/>
    <w:rsid w:val="00FA7F18"/>
    <w:rsid w:val="00FB14F2"/>
    <w:rsid w:val="00FB21D9"/>
    <w:rsid w:val="00FB245E"/>
    <w:rsid w:val="00FB3554"/>
    <w:rsid w:val="00FB408D"/>
    <w:rsid w:val="00FB4EA0"/>
    <w:rsid w:val="00FB70FE"/>
    <w:rsid w:val="00FB7816"/>
    <w:rsid w:val="00FC3DCB"/>
    <w:rsid w:val="00FC4803"/>
    <w:rsid w:val="00FC4D6F"/>
    <w:rsid w:val="00FC59FC"/>
    <w:rsid w:val="00FC5B68"/>
    <w:rsid w:val="00FC777C"/>
    <w:rsid w:val="00FD35DD"/>
    <w:rsid w:val="00FD3915"/>
    <w:rsid w:val="00FD4776"/>
    <w:rsid w:val="00FD5C33"/>
    <w:rsid w:val="00FD79A8"/>
    <w:rsid w:val="00FD7A7E"/>
    <w:rsid w:val="00FE029B"/>
    <w:rsid w:val="00FE1C43"/>
    <w:rsid w:val="00FE47D0"/>
    <w:rsid w:val="00FE4A83"/>
    <w:rsid w:val="00FE546F"/>
    <w:rsid w:val="00FF0375"/>
    <w:rsid w:val="00FF1FBE"/>
    <w:rsid w:val="00FF29DE"/>
    <w:rsid w:val="00FF2BC3"/>
    <w:rsid w:val="00FF4BC3"/>
    <w:rsid w:val="00FF53C3"/>
    <w:rsid w:val="00FF5993"/>
    <w:rsid w:val="00FF66A3"/>
    <w:rsid w:val="088E7A4F"/>
    <w:rsid w:val="0AE94C61"/>
    <w:rsid w:val="0CC30B54"/>
    <w:rsid w:val="0E101AC2"/>
    <w:rsid w:val="112702B8"/>
    <w:rsid w:val="12C24E4E"/>
    <w:rsid w:val="19C83688"/>
    <w:rsid w:val="1D9C0371"/>
    <w:rsid w:val="1E683748"/>
    <w:rsid w:val="21A42FDA"/>
    <w:rsid w:val="257760D4"/>
    <w:rsid w:val="2891522C"/>
    <w:rsid w:val="2A831EF1"/>
    <w:rsid w:val="2AAC4338"/>
    <w:rsid w:val="34A87872"/>
    <w:rsid w:val="3D714CA7"/>
    <w:rsid w:val="431C0110"/>
    <w:rsid w:val="45920328"/>
    <w:rsid w:val="459278B5"/>
    <w:rsid w:val="45E508A1"/>
    <w:rsid w:val="46A854F5"/>
    <w:rsid w:val="476C0838"/>
    <w:rsid w:val="4C0654BB"/>
    <w:rsid w:val="4C457827"/>
    <w:rsid w:val="4CFB6302"/>
    <w:rsid w:val="50462545"/>
    <w:rsid w:val="51D37AF7"/>
    <w:rsid w:val="53D3675C"/>
    <w:rsid w:val="59D41EFC"/>
    <w:rsid w:val="5AF05882"/>
    <w:rsid w:val="5B4D1873"/>
    <w:rsid w:val="5C2345C3"/>
    <w:rsid w:val="5DA55B75"/>
    <w:rsid w:val="5F26119B"/>
    <w:rsid w:val="607F34F9"/>
    <w:rsid w:val="60D32555"/>
    <w:rsid w:val="60D525EF"/>
    <w:rsid w:val="65115431"/>
    <w:rsid w:val="68606522"/>
    <w:rsid w:val="6A701D9F"/>
    <w:rsid w:val="6BEE4B6A"/>
    <w:rsid w:val="6EE02D78"/>
    <w:rsid w:val="6F994BCA"/>
    <w:rsid w:val="6FED6CAD"/>
    <w:rsid w:val="70263355"/>
    <w:rsid w:val="715220E5"/>
    <w:rsid w:val="7606348F"/>
    <w:rsid w:val="77BA3025"/>
    <w:rsid w:val="783033ED"/>
    <w:rsid w:val="78F018E5"/>
    <w:rsid w:val="7B83075D"/>
    <w:rsid w:val="7D11196B"/>
    <w:rsid w:val="7EF14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autoRedefine/>
    <w:qFormat/>
    <w:uiPriority w:val="0"/>
    <w:pPr>
      <w:keepNext/>
      <w:keepLines/>
      <w:spacing w:before="240"/>
      <w:outlineLvl w:val="0"/>
    </w:pPr>
    <w:rPr>
      <w:rFonts w:asciiTheme="majorHAnsi" w:hAnsiTheme="majorHAnsi" w:eastAsiaTheme="majorEastAsia" w:cstheme="majorBidi"/>
      <w:color w:val="2F5597" w:themeColor="accent1" w:themeShade="BF"/>
      <w:sz w:val="32"/>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3">
    <w:name w:val="Document Map"/>
    <w:basedOn w:val="1"/>
    <w:link w:val="19"/>
    <w:autoRedefine/>
    <w:qFormat/>
    <w:uiPriority w:val="0"/>
    <w:rPr>
      <w:rFonts w:ascii="宋体"/>
      <w:sz w:val="18"/>
      <w:szCs w:val="18"/>
    </w:rPr>
  </w:style>
  <w:style w:type="paragraph" w:styleId="4">
    <w:name w:val="annotation text"/>
    <w:basedOn w:val="1"/>
    <w:link w:val="20"/>
    <w:autoRedefine/>
    <w:qFormat/>
    <w:uiPriority w:val="0"/>
    <w:pPr>
      <w:jc w:val="left"/>
    </w:pPr>
  </w:style>
  <w:style w:type="paragraph" w:styleId="5">
    <w:name w:val="Body Text"/>
    <w:basedOn w:val="1"/>
    <w:link w:val="30"/>
    <w:autoRedefine/>
    <w:qFormat/>
    <w:uiPriority w:val="0"/>
    <w:pPr>
      <w:spacing w:after="120"/>
    </w:pPr>
  </w:style>
  <w:style w:type="paragraph" w:styleId="6">
    <w:name w:val="Body Text Indent"/>
    <w:basedOn w:val="1"/>
    <w:autoRedefine/>
    <w:qFormat/>
    <w:uiPriority w:val="0"/>
    <w:pPr>
      <w:adjustRightInd w:val="0"/>
      <w:spacing w:line="312" w:lineRule="atLeast"/>
      <w:ind w:left="1438" w:leftChars="342" w:hanging="720"/>
      <w:textAlignment w:val="baseline"/>
    </w:pPr>
    <w:rPr>
      <w:kern w:val="0"/>
      <w:szCs w:val="21"/>
    </w:rPr>
  </w:style>
  <w:style w:type="paragraph" w:styleId="7">
    <w:name w:val="Plain Text"/>
    <w:basedOn w:val="1"/>
    <w:autoRedefine/>
    <w:qFormat/>
    <w:uiPriority w:val="0"/>
    <w:rPr>
      <w:rFonts w:ascii="宋体" w:hAnsi="Courier New" w:cs="Courier New"/>
      <w:szCs w:val="21"/>
    </w:rPr>
  </w:style>
  <w:style w:type="paragraph" w:styleId="8">
    <w:name w:val="Date"/>
    <w:basedOn w:val="1"/>
    <w:next w:val="1"/>
    <w:autoRedefine/>
    <w:qFormat/>
    <w:uiPriority w:val="0"/>
    <w:pPr>
      <w:ind w:left="100" w:leftChars="2500"/>
    </w:pPr>
    <w:rPr>
      <w:sz w:val="28"/>
    </w:rPr>
  </w:style>
  <w:style w:type="paragraph" w:styleId="9">
    <w:name w:val="Balloon Text"/>
    <w:basedOn w:val="1"/>
    <w:link w:val="21"/>
    <w:autoRedefine/>
    <w:qFormat/>
    <w:uiPriority w:val="0"/>
    <w:rPr>
      <w:sz w:val="18"/>
      <w:szCs w:val="18"/>
    </w:rPr>
  </w:style>
  <w:style w:type="paragraph" w:styleId="10">
    <w:name w:val="footer"/>
    <w:basedOn w:val="1"/>
    <w:link w:val="22"/>
    <w:autoRedefine/>
    <w:qFormat/>
    <w:uiPriority w:val="99"/>
    <w:pPr>
      <w:tabs>
        <w:tab w:val="center" w:pos="4153"/>
        <w:tab w:val="right" w:pos="8306"/>
      </w:tabs>
      <w:snapToGrid w:val="0"/>
      <w:jc w:val="left"/>
    </w:pPr>
    <w:rPr>
      <w:sz w:val="18"/>
      <w:szCs w:val="18"/>
    </w:rPr>
  </w:style>
  <w:style w:type="paragraph" w:styleId="11">
    <w:name w:val="header"/>
    <w:basedOn w:val="1"/>
    <w:link w:val="23"/>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pPr>
      <w:spacing w:after="100"/>
    </w:pPr>
  </w:style>
  <w:style w:type="paragraph" w:styleId="13">
    <w:name w:val="annotation subject"/>
    <w:basedOn w:val="4"/>
    <w:next w:val="4"/>
    <w:link w:val="24"/>
    <w:autoRedefine/>
    <w:qFormat/>
    <w:uiPriority w:val="0"/>
    <w:rPr>
      <w:b/>
      <w:bCs/>
    </w:rPr>
  </w:style>
  <w:style w:type="table" w:styleId="15">
    <w:name w:val="Table Grid"/>
    <w:basedOn w:val="14"/>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autoRedefine/>
    <w:unhideWhenUsed/>
    <w:qFormat/>
    <w:uiPriority w:val="99"/>
    <w:rPr>
      <w:color w:val="0563C1" w:themeColor="hyperlink"/>
      <w:u w:val="single"/>
      <w14:textFill>
        <w14:solidFill>
          <w14:schemeClr w14:val="hlink"/>
        </w14:solidFill>
      </w14:textFill>
    </w:rPr>
  </w:style>
  <w:style w:type="character" w:styleId="18">
    <w:name w:val="annotation reference"/>
    <w:autoRedefine/>
    <w:qFormat/>
    <w:uiPriority w:val="0"/>
    <w:rPr>
      <w:sz w:val="21"/>
      <w:szCs w:val="21"/>
    </w:rPr>
  </w:style>
  <w:style w:type="character" w:customStyle="1" w:styleId="19">
    <w:name w:val="文档结构图 Char"/>
    <w:link w:val="3"/>
    <w:autoRedefine/>
    <w:qFormat/>
    <w:uiPriority w:val="0"/>
    <w:rPr>
      <w:rFonts w:ascii="宋体"/>
      <w:kern w:val="2"/>
      <w:sz w:val="18"/>
      <w:szCs w:val="18"/>
    </w:rPr>
  </w:style>
  <w:style w:type="character" w:customStyle="1" w:styleId="20">
    <w:name w:val="批注文字 Char"/>
    <w:link w:val="4"/>
    <w:autoRedefine/>
    <w:qFormat/>
    <w:uiPriority w:val="0"/>
    <w:rPr>
      <w:kern w:val="2"/>
      <w:sz w:val="21"/>
      <w:szCs w:val="24"/>
    </w:rPr>
  </w:style>
  <w:style w:type="character" w:customStyle="1" w:styleId="21">
    <w:name w:val="批注框文本 Char"/>
    <w:link w:val="9"/>
    <w:autoRedefine/>
    <w:qFormat/>
    <w:uiPriority w:val="0"/>
    <w:rPr>
      <w:kern w:val="2"/>
      <w:sz w:val="18"/>
      <w:szCs w:val="18"/>
    </w:rPr>
  </w:style>
  <w:style w:type="character" w:customStyle="1" w:styleId="22">
    <w:name w:val="页脚 Char"/>
    <w:link w:val="10"/>
    <w:autoRedefine/>
    <w:qFormat/>
    <w:uiPriority w:val="0"/>
    <w:rPr>
      <w:kern w:val="2"/>
      <w:sz w:val="18"/>
      <w:szCs w:val="18"/>
    </w:rPr>
  </w:style>
  <w:style w:type="character" w:customStyle="1" w:styleId="23">
    <w:name w:val="页眉 Char"/>
    <w:link w:val="11"/>
    <w:autoRedefine/>
    <w:qFormat/>
    <w:uiPriority w:val="0"/>
    <w:rPr>
      <w:kern w:val="2"/>
      <w:sz w:val="18"/>
      <w:szCs w:val="18"/>
    </w:rPr>
  </w:style>
  <w:style w:type="character" w:customStyle="1" w:styleId="24">
    <w:name w:val="批注主题 Char"/>
    <w:link w:val="13"/>
    <w:autoRedefine/>
    <w:qFormat/>
    <w:uiPriority w:val="0"/>
    <w:rPr>
      <w:b/>
      <w:bCs/>
      <w:kern w:val="2"/>
      <w:sz w:val="21"/>
      <w:szCs w:val="24"/>
    </w:rPr>
  </w:style>
  <w:style w:type="paragraph" w:customStyle="1" w:styleId="25">
    <w:name w:val="Char"/>
    <w:basedOn w:val="1"/>
    <w:autoRedefine/>
    <w:qFormat/>
    <w:uiPriority w:val="0"/>
  </w:style>
  <w:style w:type="paragraph" w:customStyle="1" w:styleId="26">
    <w:name w:val="段"/>
    <w:link w:val="2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7">
    <w:name w:val="段 Char"/>
    <w:link w:val="26"/>
    <w:autoRedefine/>
    <w:qFormat/>
    <w:uiPriority w:val="0"/>
    <w:rPr>
      <w:rFonts w:ascii="宋体"/>
      <w:sz w:val="21"/>
      <w:lang w:val="en-US" w:eastAsia="zh-CN"/>
    </w:rPr>
  </w:style>
  <w:style w:type="character" w:customStyle="1" w:styleId="28">
    <w:name w:val="页脚 字符"/>
    <w:autoRedefine/>
    <w:qFormat/>
    <w:uiPriority w:val="99"/>
  </w:style>
  <w:style w:type="paragraph" w:customStyle="1" w:styleId="29">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0">
    <w:name w:val="正文文本 Char"/>
    <w:basedOn w:val="16"/>
    <w:link w:val="5"/>
    <w:autoRedefine/>
    <w:qFormat/>
    <w:uiPriority w:val="0"/>
    <w:rPr>
      <w:kern w:val="2"/>
      <w:sz w:val="21"/>
      <w:szCs w:val="24"/>
    </w:rPr>
  </w:style>
  <w:style w:type="paragraph" w:customStyle="1" w:styleId="31">
    <w:name w:val="Revision1"/>
    <w:autoRedefine/>
    <w:hidden/>
    <w:semiHidden/>
    <w:qFormat/>
    <w:uiPriority w:val="99"/>
    <w:rPr>
      <w:rFonts w:ascii="Times New Roman" w:hAnsi="Times New Roman" w:eastAsia="宋体" w:cs="Times New Roman"/>
      <w:kern w:val="2"/>
      <w:sz w:val="21"/>
      <w:szCs w:val="24"/>
      <w:lang w:val="en-US" w:eastAsia="zh-CN" w:bidi="ar-SA"/>
    </w:rPr>
  </w:style>
  <w:style w:type="paragraph" w:styleId="32">
    <w:name w:val="List Paragraph"/>
    <w:basedOn w:val="1"/>
    <w:autoRedefine/>
    <w:qFormat/>
    <w:uiPriority w:val="99"/>
    <w:pPr>
      <w:ind w:left="720"/>
      <w:contextualSpacing/>
    </w:pPr>
  </w:style>
  <w:style w:type="paragraph" w:customStyle="1" w:styleId="33">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34">
    <w:name w:val="标题 1 Char"/>
    <w:basedOn w:val="16"/>
    <w:link w:val="2"/>
    <w:autoRedefine/>
    <w:qFormat/>
    <w:uiPriority w:val="0"/>
    <w:rPr>
      <w:rFonts w:asciiTheme="majorHAnsi" w:hAnsiTheme="majorHAnsi" w:eastAsiaTheme="majorEastAsia" w:cstheme="majorBidi"/>
      <w:color w:val="2F5597" w:themeColor="accent1" w:themeShade="BF"/>
      <w:kern w:val="2"/>
      <w:sz w:val="32"/>
      <w:szCs w:val="32"/>
    </w:rPr>
  </w:style>
  <w:style w:type="paragraph" w:customStyle="1" w:styleId="35">
    <w:name w:val="TOC 标题1"/>
    <w:basedOn w:val="2"/>
    <w:next w:val="1"/>
    <w:autoRedefine/>
    <w:unhideWhenUsed/>
    <w:qFormat/>
    <w:uiPriority w:val="39"/>
    <w:pPr>
      <w:widowControl/>
      <w:spacing w:line="259" w:lineRule="auto"/>
      <w:jc w:val="left"/>
      <w:outlineLvl w:val="9"/>
    </w:pPr>
    <w:rPr>
      <w:kern w:val="0"/>
      <w:lang w:eastAsia="en-US"/>
    </w:rPr>
  </w:style>
  <w:style w:type="table" w:customStyle="1" w:styleId="36">
    <w:name w:val="Table Normal1"/>
    <w:autoRedefine/>
    <w:semiHidden/>
    <w:unhideWhenUsed/>
    <w:qFormat/>
    <w:uiPriority w:val="0"/>
    <w:rPr>
      <w:rFonts w:ascii="Arial" w:hAnsi="Arial" w:cs="Arial"/>
      <w:snapToGrid w:val="0"/>
      <w:color w:val="000000"/>
      <w:sz w:val="21"/>
      <w:szCs w:val="21"/>
    </w:rPr>
    <w:tblPr>
      <w:tblCellMar>
        <w:top w:w="0" w:type="dxa"/>
        <w:left w:w="0" w:type="dxa"/>
        <w:bottom w:w="0" w:type="dxa"/>
        <w:right w:w="0"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6334FF38D7204BAF8E4ED255304B66" ma:contentTypeVersion="12" ma:contentTypeDescription="Create a new document." ma:contentTypeScope="" ma:versionID="f411ad314d174f1988bdcf06fdafa81d">
  <xsd:schema xmlns:xsd="http://www.w3.org/2001/XMLSchema" xmlns:xs="http://www.w3.org/2001/XMLSchema" xmlns:p="http://schemas.microsoft.com/office/2006/metadata/properties" xmlns:ns2="85f56239-66a0-4102-86cf-3f9cc407ec36" targetNamespace="http://schemas.microsoft.com/office/2006/metadata/properties" ma:root="true" ma:fieldsID="5dba08e49a0e09b40d99bc4cc869ff4c" ns2:_="">
    <xsd:import namespace="85f56239-66a0-4102-86cf-3f9cc407ec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56239-66a0-4102-86cf-3f9cc407ec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c2f1d9f-d9cd-4e16-8c8d-b9f39c5386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f56239-66a0-4102-86cf-3f9cc407ec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4E37E-0F05-47A6-97B9-3A4DE549E936}">
  <ds:schemaRefs/>
</ds:datastoreItem>
</file>

<file path=customXml/itemProps2.xml><?xml version="1.0" encoding="utf-8"?>
<ds:datastoreItem xmlns:ds="http://schemas.openxmlformats.org/officeDocument/2006/customXml" ds:itemID="{8CD90FE9-338A-48F5-834E-31BC549ACBE1}">
  <ds:schemaRefs/>
</ds:datastoreItem>
</file>

<file path=customXml/itemProps3.xml><?xml version="1.0" encoding="utf-8"?>
<ds:datastoreItem xmlns:ds="http://schemas.openxmlformats.org/officeDocument/2006/customXml" ds:itemID="{0161256E-C7AD-4B68-9EAE-78DC1B94B5BB}">
  <ds:schemaRefs/>
</ds:datastoreItem>
</file>

<file path=customXml/itemProps4.xml><?xml version="1.0" encoding="utf-8"?>
<ds:datastoreItem xmlns:ds="http://schemas.openxmlformats.org/officeDocument/2006/customXml" ds:itemID="{5869DDC3-3D6C-4F7A-B4F5-82655881D505}">
  <ds:schemaRefs/>
</ds:datastoreItem>
</file>

<file path=docProps/app.xml><?xml version="1.0" encoding="utf-8"?>
<Properties xmlns="http://schemas.openxmlformats.org/officeDocument/2006/extended-properties" xmlns:vt="http://schemas.openxmlformats.org/officeDocument/2006/docPropsVTypes">
  <Template>Normal</Template>
  <Company>prt</Company>
  <Pages>13</Pages>
  <Words>7311</Words>
  <Characters>8220</Characters>
  <Lines>71</Lines>
  <Paragraphs>20</Paragraphs>
  <TotalTime>8</TotalTime>
  <ScaleCrop>false</ScaleCrop>
  <LinksUpToDate>false</LinksUpToDate>
  <CharactersWithSpaces>8432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2022-10-27T23:26:00Z</dcterms:created>
  <dc:creator>Hall Tian</dc:creator>
  <cp:lastModifiedBy>WPS_1667271077</cp:lastModifiedBy>
  <cp:lastPrinted>2024-02-01T05:20:00Z</cp:lastPrinted>
  <dcterms:modified xsi:type="dcterms:W3CDTF">2025-07-31T06:39:24Z</dcterms:modified>
  <dc:title>行业标准项目任务书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A429C8A80FCA434BB2E83826A1815EC8_13</vt:lpwstr>
  </property>
  <property fmtid="{D5CDD505-2E9C-101B-9397-08002B2CF9AE}" pid="4" name="ContentTypeId">
    <vt:lpwstr>0x010100836334FF38D7204BAF8E4ED255304B66</vt:lpwstr>
  </property>
  <property fmtid="{D5CDD505-2E9C-101B-9397-08002B2CF9AE}" pid="5" name="MediaServiceImageTags">
    <vt:lpwstr/>
  </property>
  <property fmtid="{D5CDD505-2E9C-101B-9397-08002B2CF9AE}" pid="6" name="KSOTemplateDocerSaveRecord">
    <vt:lpwstr>eyJoZGlkIjoiM2RhZWFlYTQ0MWQ2ZWNlMmVhZmJjOGQ2NTEwNmQxNjQiLCJ1c2VySWQiOiIxNDI5NDUxODgxIn0=</vt:lpwstr>
  </property>
</Properties>
</file>