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7886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390BB4">
            <w:pPr>
              <w:pStyle w:val="18"/>
              <w:framePr w:wrap="notBeside" w:vAnchor="page" w:hAnchor="page" w:x="1372" w:y="568"/>
              <w:tabs>
                <w:tab w:val="clear" w:pos="4153"/>
                <w:tab w:val="clear" w:pos="8306"/>
              </w:tabs>
              <w:spacing w:line="240" w:lineRule="auto"/>
              <w:jc w:val="left"/>
              <w:rPr>
                <w:rFonts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1EFF5661">
            <w:pPr>
              <w:pStyle w:val="18"/>
              <w:framePr w:wrap="notBeside" w:vAnchor="page" w:hAnchor="page" w:x="1372" w:y="568"/>
              <w:tabs>
                <w:tab w:val="clear" w:pos="4153"/>
                <w:tab w:val="clear" w:pos="8306"/>
              </w:tabs>
              <w:spacing w:line="240" w:lineRule="auto"/>
              <w:jc w:val="both"/>
              <w:rPr>
                <w:rFonts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13.310</w:t>
            </w:r>
            <w:r>
              <w:rPr>
                <w:rFonts w:ascii="黑体" w:hAnsi="黑体" w:eastAsia="黑体"/>
                <w:color w:val="auto"/>
                <w:sz w:val="21"/>
                <w:szCs w:val="21"/>
              </w:rPr>
              <w:fldChar w:fldCharType="end"/>
            </w:r>
            <w:bookmarkEnd w:id="0"/>
          </w:p>
        </w:tc>
      </w:tr>
      <w:tr w14:paraId="1D624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80F824">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p w14:paraId="07982EC5">
            <w:pPr>
              <w:pStyle w:val="18"/>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A</w:t>
            </w:r>
            <w:r>
              <w:rPr>
                <w:rFonts w:ascii="黑体" w:hAnsi="黑体" w:eastAsia="黑体"/>
                <w:color w:val="auto"/>
                <w:sz w:val="21"/>
                <w:szCs w:val="21"/>
              </w:rPr>
              <w:t xml:space="preserve"> 91     </w:t>
            </w:r>
            <w:r>
              <w:rPr>
                <w:rFonts w:ascii="黑体" w:hAnsi="黑体" w:eastAsia="黑体"/>
                <w:color w:val="auto"/>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F4650C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002007B">
            <w:pPr>
              <w:pStyle w:val="50"/>
              <w:framePr w:w="0" w:hRule="auto" w:wrap="auto" w:vAnchor="margin" w:hAnchor="text" w:xAlign="left" w:yAlign="inline"/>
              <w:rPr>
                <w:rFonts w:ascii="宋体" w:hAnsi="宋体"/>
                <w:color w:val="auto"/>
                <w:sz w:val="28"/>
                <w:szCs w:val="28"/>
              </w:rPr>
            </w:pPr>
            <w:bookmarkStart w:id="2"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rPr>
              <w:t xml:space="preserve"> </w:t>
            </w:r>
            <w:r>
              <w:rPr>
                <w:color w:val="auto"/>
              </w:rPr>
              <w:fldChar w:fldCharType="begin">
                <w:ffData>
                  <w:name w:val="c1"/>
                  <w:enabled/>
                  <w:calcOnExit w:val="0"/>
                  <w:textInput>
                    <w:maxLength w:val="8"/>
                  </w:textInput>
                </w:ffData>
              </w:fldChar>
            </w:r>
            <w:bookmarkStart w:id="3" w:name="c1"/>
            <w:r>
              <w:rPr>
                <w:color w:val="auto"/>
              </w:rPr>
              <w:instrText xml:space="preserve"> FORMTEXT </w:instrText>
            </w:r>
            <w:r>
              <w:rPr>
                <w:color w:val="auto"/>
              </w:rPr>
              <w:fldChar w:fldCharType="separate"/>
            </w:r>
            <w:r>
              <w:rPr>
                <w:color w:val="auto"/>
              </w:rPr>
              <w:t>34</w:t>
            </w:r>
            <w:r>
              <w:rPr>
                <w:color w:val="auto"/>
              </w:rPr>
              <w:fldChar w:fldCharType="end"/>
            </w:r>
            <w:bookmarkEnd w:id="3"/>
          </w:p>
        </w:tc>
      </w:tr>
    </w:tbl>
    <w:p w14:paraId="72330BB7">
      <w:pPr>
        <w:pStyle w:val="51"/>
        <w:framePr w:w="9639" w:h="624" w:hRule="exact" w:hSpace="181" w:vSpace="181" w:wrap="around" w:hAnchor="page" w:x="1305" w:y="2269"/>
        <w:rPr>
          <w:rFonts w:ascii="黑体" w:hAnsi="黑体" w:eastAsia="黑体"/>
          <w:b w:val="0"/>
          <w:bCs w:val="0"/>
          <w:color w:val="auto"/>
          <w:w w:val="100"/>
          <w:sz w:val="48"/>
          <w:szCs w:val="48"/>
        </w:rPr>
      </w:pPr>
      <w:r>
        <w:rPr>
          <w:rFonts w:ascii="黑体" w:eastAsia="黑体"/>
          <w:b w:val="0"/>
          <w:color w:val="auto"/>
          <w:w w:val="100"/>
          <w:sz w:val="48"/>
        </w:rPr>
        <w:fldChar w:fldCharType="begin">
          <w:ffData>
            <w:name w:val="c2"/>
            <w:enabled/>
            <w:calcOnExit w:val="0"/>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安徽省</w:t>
      </w:r>
      <w:r>
        <w:rPr>
          <w:rFonts w:ascii="黑体" w:eastAsia="黑体"/>
          <w:b w:val="0"/>
          <w:color w:val="auto"/>
          <w:w w:val="100"/>
          <w:sz w:val="48"/>
        </w:rPr>
        <w:fldChar w:fldCharType="end"/>
      </w:r>
      <w:bookmarkEnd w:id="4"/>
      <w:r>
        <w:rPr>
          <w:rFonts w:hint="eastAsia" w:ascii="黑体" w:hAnsi="黑体" w:eastAsia="黑体"/>
          <w:b w:val="0"/>
          <w:bCs w:val="0"/>
          <w:color w:val="auto"/>
          <w:w w:val="100"/>
          <w:sz w:val="48"/>
          <w:szCs w:val="48"/>
        </w:rPr>
        <w:t>地方标准</w:t>
      </w:r>
    </w:p>
    <w:bookmarkEnd w:id="2"/>
    <w:p w14:paraId="3EC9A53E">
      <w:pPr>
        <w:pStyle w:val="196"/>
        <w:rPr>
          <w:color w:val="auto"/>
          <w:lang w:val="fr-FR"/>
        </w:rPr>
      </w:pPr>
      <w:r>
        <w:rPr>
          <w:color w:val="auto"/>
          <w:lang w:val="fr-FR"/>
        </w:rPr>
        <w:t>DB</w:t>
      </w:r>
      <w:r>
        <w:rPr>
          <w:color w:val="auto"/>
          <w:sz w:val="15"/>
          <w:szCs w:val="15"/>
          <w:lang w:val="fr-FR"/>
        </w:rPr>
        <w:t xml:space="preserve"> </w:t>
      </w:r>
      <w:r>
        <w:rPr>
          <w:color w:val="auto"/>
        </w:rPr>
        <w:fldChar w:fldCharType="begin">
          <w:ffData>
            <w:name w:val="文字1"/>
            <w:enabled/>
            <w:calcOnExit w:val="0"/>
            <w:textInput>
              <w:default w:val="XX/T"/>
            </w:textInput>
          </w:ffData>
        </w:fldChar>
      </w:r>
      <w:bookmarkStart w:id="5" w:name="文字1"/>
      <w:r>
        <w:rPr>
          <w:color w:val="auto"/>
          <w:lang w:val="fr-FR"/>
        </w:rPr>
        <w:instrText xml:space="preserve"> FORMTEXT </w:instrText>
      </w:r>
      <w:r>
        <w:rPr>
          <w:color w:val="auto"/>
        </w:rPr>
        <w:fldChar w:fldCharType="separate"/>
      </w:r>
      <w:r>
        <w:rPr>
          <w:color w:val="auto"/>
          <w:lang w:val="fr-FR"/>
        </w:rPr>
        <w:t>XX/T</w:t>
      </w:r>
      <w:r>
        <w:rPr>
          <w:color w:val="auto"/>
        </w:rPr>
        <w:fldChar w:fldCharType="end"/>
      </w:r>
      <w:bookmarkEnd w:id="5"/>
      <w:r>
        <w:rPr>
          <w:color w:val="auto"/>
          <w:lang w:val="fr-FR"/>
        </w:rPr>
        <w:t xml:space="preserve"> </w:t>
      </w:r>
      <w:r>
        <w:rPr>
          <w:color w:val="auto"/>
        </w:rPr>
        <w:fldChar w:fldCharType="begin">
          <w:ffData>
            <w:name w:val="NSTD_CODE_F"/>
            <w:enabled/>
            <w:calcOnExit w:val="0"/>
            <w:textInput>
              <w:default w:val="XXXX"/>
            </w:textInput>
          </w:ffData>
        </w:fldChar>
      </w:r>
      <w:bookmarkStart w:id="6" w:name="NSTD_CODE_F"/>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rFonts w:hAnsi="黑体"/>
          <w:color w:val="auto"/>
          <w:lang w:val="fr-FR"/>
        </w:rPr>
        <w:t>—</w:t>
      </w:r>
      <w:r>
        <w:rPr>
          <w:color w:val="auto"/>
        </w:rPr>
        <w:fldChar w:fldCharType="begin">
          <w:ffData>
            <w:name w:val="NSTD_CODE_B"/>
            <w:enabled/>
            <w:calcOnExit w:val="0"/>
            <w:textInput>
              <w:default w:val="XXXX"/>
            </w:textInput>
          </w:ffData>
        </w:fldChar>
      </w:r>
      <w:bookmarkStart w:id="7" w:name="NSTD_CODE_B"/>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7"/>
    </w:p>
    <w:p w14:paraId="32F895E9">
      <w:pPr>
        <w:pStyle w:val="197"/>
        <w:rPr>
          <w:rFonts w:hAnsi="黑体"/>
          <w:color w:val="auto"/>
          <w:lang w:val="fr-FR"/>
        </w:rPr>
      </w:pPr>
      <w:r>
        <w:rPr>
          <w:rFonts w:hAnsi="黑体"/>
          <w:color w:val="auto"/>
        </w:rPr>
        <w:fldChar w:fldCharType="begin">
          <w:ffData>
            <w:name w:val="OSTD_CODE"/>
            <w:enabled/>
            <w:calcOnExit w:val="0"/>
            <w:textInput/>
          </w:ffData>
        </w:fldChar>
      </w:r>
      <w:bookmarkStart w:id="8" w:name="OSTD_CODE"/>
      <w:r>
        <w:rPr>
          <w:rFonts w:hAnsi="黑体"/>
          <w:color w:val="auto"/>
          <w:lang w:val="fr-FR"/>
        </w:rPr>
        <w:instrText xml:space="preserve"> FORMTEXT </w:instrText>
      </w:r>
      <w:r>
        <w:rPr>
          <w:rFonts w:hAnsi="黑体"/>
          <w:color w:val="auto"/>
        </w:rPr>
        <w:fldChar w:fldCharType="separate"/>
      </w:r>
      <w:r>
        <w:rPr>
          <w:rFonts w:hAnsi="黑体"/>
          <w:color w:val="auto"/>
          <w:lang w:val="fr-FR"/>
        </w:rPr>
        <w:t>     </w:t>
      </w:r>
      <w:r>
        <w:rPr>
          <w:rFonts w:hAnsi="黑体"/>
          <w:color w:val="auto"/>
        </w:rPr>
        <w:fldChar w:fldCharType="end"/>
      </w:r>
      <w:bookmarkEnd w:id="8"/>
    </w:p>
    <w:p w14:paraId="0B024C45">
      <w:pPr>
        <w:spacing w:line="240" w:lineRule="auto"/>
        <w:rPr>
          <w:rFonts w:ascii="黑体" w:hAnsi="黑体" w:eastAsia="黑体"/>
          <w:color w:val="auto"/>
          <w:kern w:val="0"/>
          <w:sz w:val="10"/>
          <w:szCs w:val="10"/>
          <w:lang w:val="fr-FR"/>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A57D54">
      <w:pPr>
        <w:pStyle w:val="51"/>
        <w:framePr w:w="9639" w:h="6976" w:hRule="exact" w:hSpace="0" w:vSpace="0" w:wrap="around" w:hAnchor="page" w:y="6408"/>
        <w:jc w:val="center"/>
        <w:rPr>
          <w:rFonts w:ascii="黑体" w:hAnsi="黑体" w:eastAsia="黑体"/>
          <w:b w:val="0"/>
          <w:bCs w:val="0"/>
          <w:color w:val="auto"/>
          <w:w w:val="100"/>
          <w:lang w:val="fr-FR"/>
        </w:rPr>
      </w:pPr>
    </w:p>
    <w:p w14:paraId="174911C3">
      <w:pPr>
        <w:pStyle w:val="198"/>
        <w:framePr w:h="6974" w:hRule="exact" w:wrap="around" w:x="1419" w:anchorLock="1"/>
        <w:rPr>
          <w:color w:val="auto"/>
          <w:lang w:val="fr-FR"/>
        </w:rPr>
      </w:pPr>
      <w:r>
        <w:rPr>
          <w:color w:val="auto"/>
        </w:rPr>
        <w:fldChar w:fldCharType="begin">
          <w:ffData>
            <w:name w:val="CSTD_NAME"/>
            <w:enabled/>
            <w:calcOnExit w:val="0"/>
            <w:textInput>
              <w:default w:val="点击此处添加标准名称"/>
            </w:textInput>
          </w:ffData>
        </w:fldChar>
      </w:r>
      <w:bookmarkStart w:id="9" w:name="CSTD_NAME"/>
      <w:r>
        <w:rPr>
          <w:color w:val="auto"/>
          <w:lang w:val="fr-FR"/>
        </w:rPr>
        <w:instrText xml:space="preserve"> FORMTEXT </w:instrText>
      </w:r>
      <w:r>
        <w:rPr>
          <w:color w:val="auto"/>
        </w:rPr>
        <w:fldChar w:fldCharType="separate"/>
      </w:r>
      <w:r>
        <w:rPr>
          <w:color w:val="auto"/>
        </w:rPr>
        <w:t>金融后台</w:t>
      </w:r>
      <w:r>
        <w:rPr>
          <w:rFonts w:hint="eastAsia"/>
          <w:color w:val="auto"/>
        </w:rPr>
        <w:t>基地</w:t>
      </w:r>
      <w:r>
        <w:rPr>
          <w:color w:val="auto"/>
        </w:rPr>
        <w:t>安全防范要求</w:t>
      </w:r>
      <w:r>
        <w:rPr>
          <w:color w:val="auto"/>
        </w:rPr>
        <w:fldChar w:fldCharType="end"/>
      </w:r>
      <w:bookmarkEnd w:id="9"/>
    </w:p>
    <w:p w14:paraId="6E4F02A3">
      <w:pPr>
        <w:framePr w:w="9639" w:h="6974" w:hRule="exact" w:wrap="around" w:vAnchor="page" w:hAnchor="page" w:x="1419" w:y="6408" w:anchorLock="1"/>
        <w:ind w:left="-1418"/>
        <w:rPr>
          <w:color w:val="auto"/>
          <w:lang w:val="fr-FR"/>
        </w:rPr>
      </w:pPr>
    </w:p>
    <w:p w14:paraId="03CA92C1">
      <w:pPr>
        <w:pStyle w:val="126"/>
        <w:framePr w:w="9639" w:h="6974" w:hRule="exact" w:wrap="around" w:vAnchor="page" w:hAnchor="page" w:x="1419" w:y="6408" w:anchorLock="1"/>
        <w:textAlignment w:val="bottom"/>
        <w:rPr>
          <w:rFonts w:eastAsia="黑体"/>
          <w:color w:val="auto"/>
          <w:szCs w:val="28"/>
        </w:rPr>
      </w:pPr>
      <w:r>
        <w:rPr>
          <w:rFonts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eastAsia="黑体"/>
          <w:color w:val="auto"/>
          <w:szCs w:val="28"/>
        </w:rPr>
        <w:instrText xml:space="preserve"> FORMTEXT </w:instrText>
      </w:r>
      <w:r>
        <w:rPr>
          <w:rFonts w:eastAsia="黑体"/>
          <w:color w:val="auto"/>
          <w:szCs w:val="28"/>
        </w:rPr>
        <w:fldChar w:fldCharType="separate"/>
      </w:r>
      <w:r>
        <w:rPr>
          <w:rFonts w:eastAsia="黑体"/>
          <w:color w:val="auto"/>
          <w:szCs w:val="28"/>
        </w:rPr>
        <w:t>Security requirements for financial backend bases</w:t>
      </w:r>
      <w:r>
        <w:rPr>
          <w:rFonts w:eastAsia="黑体"/>
          <w:color w:val="auto"/>
          <w:szCs w:val="28"/>
        </w:rPr>
        <w:fldChar w:fldCharType="end"/>
      </w:r>
      <w:bookmarkEnd w:id="10"/>
    </w:p>
    <w:p w14:paraId="09167B70">
      <w:pPr>
        <w:framePr w:w="9639" w:h="6974" w:hRule="exact" w:wrap="around" w:vAnchor="page" w:hAnchor="page" w:x="1419" w:y="6408" w:anchorLock="1"/>
        <w:spacing w:line="760" w:lineRule="exact"/>
        <w:ind w:left="-1418"/>
        <w:rPr>
          <w:color w:val="auto"/>
        </w:rPr>
      </w:pPr>
    </w:p>
    <w:p w14:paraId="19BAA2F4">
      <w:pPr>
        <w:pStyle w:val="126"/>
        <w:framePr w:w="9639" w:h="6974" w:hRule="exact" w:wrap="around" w:vAnchor="page" w:hAnchor="page" w:x="1419" w:y="6408" w:anchorLock="1"/>
        <w:textAlignment w:val="bottom"/>
        <w:rPr>
          <w:rFonts w:eastAsia="黑体"/>
          <w:color w:val="auto"/>
          <w:szCs w:val="28"/>
        </w:rPr>
      </w:pPr>
    </w:p>
    <w:p w14:paraId="76D72FCA">
      <w:pPr>
        <w:pStyle w:val="126"/>
        <w:framePr w:w="9639" w:h="6974" w:hRule="exact" w:wrap="around" w:vAnchor="page" w:hAnchor="page" w:x="1419" w:y="6408" w:anchorLock="1"/>
        <w:spacing w:before="440" w:after="160"/>
        <w:textAlignment w:val="bottom"/>
        <w:rPr>
          <w:color w:val="auto"/>
          <w:sz w:val="24"/>
          <w:szCs w:val="28"/>
        </w:rPr>
      </w:pPr>
      <w:r>
        <w:rPr>
          <w:rFonts w:hint="eastAsia"/>
          <w:color w:val="auto"/>
          <w:sz w:val="24"/>
          <w:szCs w:val="28"/>
          <w:lang w:eastAsia="zh-CN"/>
        </w:rPr>
        <w:t>（</w:t>
      </w:r>
      <w:r>
        <w:rPr>
          <w:rFonts w:hint="eastAsia"/>
          <w:color w:val="auto"/>
          <w:sz w:val="24"/>
          <w:szCs w:val="28"/>
          <w:lang w:val="en-US" w:eastAsia="zh-CN"/>
        </w:rPr>
        <w:t>征求意见稿）</w:t>
      </w:r>
    </w:p>
    <w:p w14:paraId="5DC103C8">
      <w:pPr>
        <w:pStyle w:val="126"/>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1"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1"/>
    </w:p>
    <w:p w14:paraId="55133E1A">
      <w:pPr>
        <w:pStyle w:val="126"/>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2"/>
    </w:p>
    <w:p w14:paraId="3120967D">
      <w:pPr>
        <w:pStyle w:val="194"/>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3"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3"/>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4"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5"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rFonts w:hint="eastAsia"/>
          <w:color w:val="auto"/>
        </w:rPr>
        <w:t>发布</w:t>
      </w:r>
    </w:p>
    <w:p w14:paraId="732C5F9C">
      <w:pPr>
        <w:pStyle w:val="195"/>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6"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6"/>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7"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8"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rFonts w:hint="eastAsia"/>
          <w:color w:val="auto"/>
        </w:rPr>
        <w:t>实施</w:t>
      </w:r>
    </w:p>
    <w:p w14:paraId="0973F885">
      <w:pPr>
        <w:pStyle w:val="152"/>
        <w:framePr w:h="584" w:hRule="exact" w:hSpace="181" w:vSpace="181" w:wrap="around" w:y="15027"/>
        <w:rPr>
          <w:rFonts w:hAnsi="黑体"/>
          <w:color w:val="auto"/>
        </w:rPr>
      </w:pPr>
      <w:r>
        <w:rPr>
          <w:rFonts w:hAnsi="黑体"/>
          <w:color w:val="auto"/>
          <w:w w:val="100"/>
          <w:sz w:val="28"/>
        </w:rPr>
        <w:fldChar w:fldCharType="begin">
          <w:ffData>
            <w:name w:val="fm"/>
            <w:enabled/>
            <w:calcOnExit w:val="0"/>
            <w:textInput/>
          </w:ffData>
        </w:fldChar>
      </w:r>
      <w:bookmarkStart w:id="19"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安徽省市场监督管理局</w:t>
      </w:r>
      <w:r>
        <w:rPr>
          <w:rFonts w:hAnsi="黑体"/>
          <w:color w:val="auto"/>
          <w:w w:val="100"/>
          <w:sz w:val="28"/>
        </w:rPr>
        <w:fldChar w:fldCharType="end"/>
      </w:r>
      <w:bookmarkEnd w:id="19"/>
      <w:r>
        <w:rPr>
          <w:rFonts w:ascii="Times New Roman"/>
          <w:color w:val="auto"/>
          <w:w w:val="100"/>
          <w:sz w:val="28"/>
        </w:rPr>
        <w:t>  </w:t>
      </w:r>
      <w:r>
        <w:rPr>
          <w:rStyle w:val="230"/>
          <w:rFonts w:hint="eastAsia" w:hAnsi="黑体"/>
          <w:color w:val="auto"/>
          <w:position w:val="0"/>
        </w:rPr>
        <w:t>发</w:t>
      </w:r>
      <w:r>
        <w:rPr>
          <w:rStyle w:val="230"/>
          <w:rFonts w:hint="eastAsia" w:hAnsi="黑体"/>
          <w:color w:val="auto"/>
          <w:spacing w:val="0"/>
          <w:position w:val="0"/>
        </w:rPr>
        <w:t>布</w:t>
      </w:r>
    </w:p>
    <w:p w14:paraId="61F80BD9">
      <w:pPr>
        <w:rPr>
          <w:rFonts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310399">
      <w:pPr>
        <w:pStyle w:val="90"/>
        <w:spacing w:before="900" w:after="468"/>
        <w:rPr>
          <w:color w:val="auto"/>
        </w:rPr>
      </w:pPr>
      <w:bookmarkStart w:id="20" w:name="_Toc190867479"/>
      <w:bookmarkStart w:id="21" w:name="_Toc200568981"/>
      <w:bookmarkStart w:id="22" w:name="BookMark2"/>
      <w:r>
        <w:rPr>
          <w:color w:val="auto"/>
          <w:spacing w:val="320"/>
        </w:rPr>
        <w:t>前</w:t>
      </w:r>
      <w:r>
        <w:rPr>
          <w:color w:val="auto"/>
        </w:rPr>
        <w:t>言</w:t>
      </w:r>
      <w:bookmarkEnd w:id="20"/>
      <w:bookmarkEnd w:id="21"/>
    </w:p>
    <w:p w14:paraId="41144CB0">
      <w:pPr>
        <w:pStyle w:val="57"/>
        <w:ind w:firstLine="420"/>
        <w:rPr>
          <w:color w:val="auto"/>
        </w:rPr>
      </w:pPr>
      <w:r>
        <w:rPr>
          <w:rFonts w:hint="eastAsia"/>
          <w:color w:val="auto"/>
        </w:rPr>
        <w:t>本文件按照GB/T 1.1—2020《标准化工作导则  第1部分：标准化文件的结构和起草规则》的规定起草。</w:t>
      </w:r>
    </w:p>
    <w:p w14:paraId="625E8E20">
      <w:pPr>
        <w:pStyle w:val="57"/>
        <w:ind w:firstLine="420"/>
        <w:rPr>
          <w:color w:val="auto"/>
        </w:rPr>
      </w:pPr>
      <w:r>
        <w:rPr>
          <w:rFonts w:hint="eastAsia"/>
          <w:color w:val="auto"/>
        </w:rPr>
        <w:t>请注意本文件的某些内容可能涉及专利。本文件的发布机构不承担识别专利的责任。</w:t>
      </w:r>
    </w:p>
    <w:p w14:paraId="0EF58B62">
      <w:pPr>
        <w:pStyle w:val="57"/>
        <w:ind w:firstLine="420"/>
        <w:rPr>
          <w:color w:val="auto"/>
        </w:rPr>
      </w:pPr>
      <w:r>
        <w:rPr>
          <w:rFonts w:hint="eastAsia"/>
          <w:color w:val="auto"/>
        </w:rPr>
        <w:t>本文件由合肥市公安局提出。</w:t>
      </w:r>
    </w:p>
    <w:p w14:paraId="7253B322">
      <w:pPr>
        <w:pStyle w:val="57"/>
        <w:ind w:firstLine="420"/>
        <w:rPr>
          <w:color w:val="auto"/>
        </w:rPr>
      </w:pPr>
      <w:r>
        <w:rPr>
          <w:rFonts w:hint="eastAsia"/>
          <w:color w:val="auto"/>
        </w:rPr>
        <w:t>本文件由安徽省公安厅归口。</w:t>
      </w:r>
    </w:p>
    <w:p w14:paraId="21D9259C">
      <w:pPr>
        <w:pStyle w:val="57"/>
        <w:ind w:firstLine="420"/>
        <w:rPr>
          <w:color w:val="auto"/>
        </w:rPr>
      </w:pPr>
      <w:r>
        <w:rPr>
          <w:rFonts w:hint="eastAsia"/>
          <w:color w:val="auto"/>
        </w:rPr>
        <w:t>本文件起草单位：</w:t>
      </w:r>
      <w:r>
        <w:rPr>
          <w:rFonts w:hint="eastAsia" w:ascii="Times New Roman" w:hAnsi="Times New Roman" w:eastAsia="宋体" w:cs="Times New Roman"/>
          <w:color w:val="auto"/>
          <w:kern w:val="0"/>
          <w:szCs w:val="21"/>
        </w:rPr>
        <w:t>合肥市公安局</w:t>
      </w:r>
      <w:r>
        <w:rPr>
          <w:rFonts w:hint="eastAsia" w:ascii="Times New Roman" w:hAnsi="Times New Roman" w:eastAsia="宋体" w:cs="Times New Roman"/>
          <w:color w:val="auto"/>
          <w:kern w:val="0"/>
          <w:szCs w:val="21"/>
          <w:lang w:eastAsia="zh-CN"/>
        </w:rPr>
        <w:t>、</w:t>
      </w:r>
      <w:r>
        <w:rPr>
          <w:rFonts w:hint="eastAsia" w:ascii="Times New Roman" w:hAnsi="Times New Roman" w:eastAsia="宋体" w:cs="Times New Roman"/>
          <w:color w:val="auto"/>
          <w:kern w:val="0"/>
          <w:szCs w:val="21"/>
        </w:rPr>
        <w:t>国家金融监督管理总局安徽监管局、中国工商银行股份有限公司安徽省分行、中国农业银行股份有限公司安徽省分行、中国银行股份有限公司安徽省分行、中国建设银行股份有限公司安徽省分行、交通银行股份有限公司安徽省分行办公室、中国邮政储蓄银行股份有限公司安徽省分行、徽商银行股份有限公司、招商银行股份有限公司合肥分行、中国民生银行股份有限公司合肥分行、中信银行股份有限公司合肥分行、上海浦东发展银行股份有限公司合肥分行、中国光大银行股份有限公司合肥分行、平安银行股份有限公司合肥分行、合肥保安智能科技有限公司、安徽省通信产业服务有限公司</w:t>
      </w:r>
      <w:r>
        <w:rPr>
          <w:rFonts w:hint="eastAsia"/>
          <w:color w:val="auto"/>
        </w:rPr>
        <w:t>本文件主要起草人：</w:t>
      </w:r>
    </w:p>
    <w:p w14:paraId="1A8B24B1">
      <w:pPr>
        <w:pStyle w:val="57"/>
        <w:ind w:firstLine="420"/>
        <w:rPr>
          <w:color w:val="auto"/>
        </w:rPr>
      </w:pPr>
    </w:p>
    <w:p w14:paraId="33A09889">
      <w:pPr>
        <w:pStyle w:val="57"/>
        <w:ind w:firstLine="420"/>
        <w:rPr>
          <w:color w:val="auto"/>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2"/>
    <w:p w14:paraId="53894D3B">
      <w:pPr>
        <w:spacing w:line="20" w:lineRule="exact"/>
        <w:jc w:val="center"/>
        <w:rPr>
          <w:rFonts w:ascii="黑体" w:hAnsi="黑体" w:eastAsia="黑体"/>
          <w:color w:val="auto"/>
          <w:sz w:val="32"/>
          <w:szCs w:val="32"/>
        </w:rPr>
      </w:pPr>
      <w:bookmarkStart w:id="23" w:name="BookMark4"/>
    </w:p>
    <w:p w14:paraId="5282C888">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379BAA1352AD4C40B96EA13CF5DC24E3"/>
        </w:placeholder>
      </w:sdtPr>
      <w:sdtEndPr>
        <w:rPr>
          <w:color w:val="auto"/>
        </w:rPr>
      </w:sdtEndPr>
      <w:sdtContent>
        <w:p w14:paraId="77EB5A43">
          <w:pPr>
            <w:pStyle w:val="178"/>
            <w:spacing w:before="312" w:beforeLines="100" w:after="686" w:afterLines="220"/>
            <w:rPr>
              <w:color w:val="auto"/>
            </w:rPr>
          </w:pPr>
          <w:bookmarkStart w:id="24" w:name="NEW_STAND_NAME"/>
          <w:r>
            <w:rPr>
              <w:rFonts w:hint="eastAsia"/>
              <w:color w:val="auto"/>
            </w:rPr>
            <w:t>金融后台基地安全防范要求</w:t>
          </w:r>
        </w:p>
      </w:sdtContent>
    </w:sdt>
    <w:bookmarkEnd w:id="24"/>
    <w:p w14:paraId="15B6008B">
      <w:pPr>
        <w:pStyle w:val="105"/>
        <w:spacing w:before="312" w:after="312"/>
        <w:rPr>
          <w:color w:val="auto"/>
        </w:rPr>
      </w:pPr>
      <w:bookmarkStart w:id="25" w:name="_Toc17233333"/>
      <w:bookmarkStart w:id="26" w:name="_Toc26986771"/>
      <w:bookmarkStart w:id="27" w:name="_Toc200568982"/>
      <w:bookmarkStart w:id="28" w:name="_Toc24884218"/>
      <w:bookmarkStart w:id="29" w:name="_Toc190867480"/>
      <w:bookmarkStart w:id="30" w:name="_Toc26986530"/>
      <w:bookmarkStart w:id="31" w:name="_Toc97191423"/>
      <w:bookmarkStart w:id="32" w:name="_Toc26648465"/>
      <w:bookmarkStart w:id="33" w:name="_Toc26718930"/>
      <w:bookmarkStart w:id="34" w:name="_Toc24884211"/>
      <w:bookmarkStart w:id="35" w:name="_Toc17233325"/>
      <w:r>
        <w:rPr>
          <w:rFonts w:hint="eastAsia"/>
          <w:color w:val="auto"/>
        </w:rPr>
        <w:t>范围</w:t>
      </w:r>
      <w:bookmarkEnd w:id="25"/>
      <w:bookmarkEnd w:id="26"/>
      <w:bookmarkEnd w:id="27"/>
      <w:bookmarkEnd w:id="28"/>
      <w:bookmarkEnd w:id="29"/>
      <w:bookmarkEnd w:id="30"/>
      <w:bookmarkEnd w:id="31"/>
      <w:bookmarkEnd w:id="32"/>
      <w:bookmarkEnd w:id="33"/>
      <w:bookmarkEnd w:id="34"/>
      <w:bookmarkEnd w:id="35"/>
    </w:p>
    <w:p w14:paraId="043DE586">
      <w:pPr>
        <w:pStyle w:val="57"/>
        <w:ind w:firstLine="420"/>
        <w:rPr>
          <w:color w:val="auto"/>
        </w:rPr>
      </w:pPr>
      <w:bookmarkStart w:id="36" w:name="_Toc24884219"/>
      <w:bookmarkStart w:id="37" w:name="_Toc26648466"/>
      <w:bookmarkStart w:id="38" w:name="_Toc24884212"/>
      <w:bookmarkStart w:id="39" w:name="_Toc17233334"/>
      <w:bookmarkStart w:id="40" w:name="_Toc17233326"/>
      <w:r>
        <w:rPr>
          <w:rFonts w:hint="eastAsia"/>
          <w:color w:val="auto"/>
        </w:rPr>
        <w:t>本文件规定了金融后台基地安全防范的总体要求和培训中心、研发中心、远程业务中心、数据中心和灾备中心的安全防范要求。</w:t>
      </w:r>
    </w:p>
    <w:p w14:paraId="0E96AD67">
      <w:pPr>
        <w:pStyle w:val="57"/>
        <w:ind w:firstLine="420"/>
        <w:rPr>
          <w:color w:val="auto"/>
        </w:rPr>
      </w:pPr>
      <w:r>
        <w:rPr>
          <w:rFonts w:hint="eastAsia"/>
          <w:color w:val="auto"/>
        </w:rPr>
        <w:t>本文件适用于金融后台基地安全防范。</w:t>
      </w:r>
    </w:p>
    <w:p w14:paraId="03C65749">
      <w:pPr>
        <w:pStyle w:val="105"/>
        <w:spacing w:before="312" w:after="312"/>
        <w:rPr>
          <w:color w:val="auto"/>
        </w:rPr>
      </w:pPr>
      <w:bookmarkStart w:id="41" w:name="_Toc26986772"/>
      <w:bookmarkStart w:id="42" w:name="_Toc97191424"/>
      <w:bookmarkStart w:id="43" w:name="_Toc200568983"/>
      <w:bookmarkStart w:id="44" w:name="_Toc190867481"/>
      <w:bookmarkStart w:id="45" w:name="_Toc26718931"/>
      <w:bookmarkStart w:id="46" w:name="_Toc26986531"/>
      <w:r>
        <w:rPr>
          <w:rFonts w:hint="eastAsia"/>
          <w:color w:val="auto"/>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color w:val="auto"/>
        </w:rPr>
        <w:id w:val="715848253"/>
        <w:placeholder>
          <w:docPart w:val="9BD87AD5ABC949FE8356E6A9D12C96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19E24610">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5B6C9A">
      <w:pPr>
        <w:pStyle w:val="57"/>
        <w:ind w:firstLine="420"/>
        <w:rPr>
          <w:color w:val="auto"/>
        </w:rPr>
      </w:pPr>
      <w:r>
        <w:rPr>
          <w:rFonts w:hint="eastAsia"/>
          <w:color w:val="auto"/>
        </w:rPr>
        <w:t>GB 12899  手持式金属探测器通用技术规范</w:t>
      </w:r>
    </w:p>
    <w:p w14:paraId="7B2A8584">
      <w:pPr>
        <w:pStyle w:val="57"/>
        <w:ind w:firstLine="420"/>
        <w:rPr>
          <w:color w:val="auto"/>
        </w:rPr>
      </w:pPr>
      <w:r>
        <w:rPr>
          <w:rFonts w:hint="eastAsia"/>
          <w:color w:val="auto"/>
        </w:rPr>
        <w:t xml:space="preserve">GB 12955—2024 </w:t>
      </w:r>
      <w:r>
        <w:rPr>
          <w:color w:val="auto"/>
        </w:rPr>
        <w:t xml:space="preserve"> </w:t>
      </w:r>
      <w:r>
        <w:rPr>
          <w:rFonts w:hint="eastAsia"/>
          <w:color w:val="auto"/>
        </w:rPr>
        <w:t>防火门</w:t>
      </w:r>
    </w:p>
    <w:p w14:paraId="400627CF">
      <w:pPr>
        <w:pStyle w:val="57"/>
        <w:ind w:firstLine="420"/>
        <w:rPr>
          <w:color w:val="auto"/>
        </w:rPr>
      </w:pPr>
      <w:r>
        <w:rPr>
          <w:rFonts w:hint="eastAsia"/>
          <w:color w:val="auto"/>
        </w:rPr>
        <w:t>GB 15208.1  微剂量X射线安全检查设备 第1部分：通用技术要求</w:t>
      </w:r>
    </w:p>
    <w:p w14:paraId="11A6FE3E">
      <w:pPr>
        <w:pStyle w:val="57"/>
        <w:ind w:firstLine="420"/>
        <w:rPr>
          <w:color w:val="auto"/>
        </w:rPr>
      </w:pPr>
      <w:r>
        <w:rPr>
          <w:color w:val="auto"/>
        </w:rPr>
        <w:t>GB 15208.2</w:t>
      </w:r>
      <w:r>
        <w:rPr>
          <w:rFonts w:hint="eastAsia"/>
          <w:color w:val="auto"/>
        </w:rPr>
        <w:t xml:space="preserve"> </w:t>
      </w:r>
      <w:r>
        <w:rPr>
          <w:color w:val="auto"/>
        </w:rPr>
        <w:t xml:space="preserve"> 微剂量X射线安全检查设备 第2部分：透射式行包安全检查设备</w:t>
      </w:r>
    </w:p>
    <w:p w14:paraId="45CD02AE">
      <w:pPr>
        <w:pStyle w:val="57"/>
        <w:ind w:firstLine="420"/>
        <w:rPr>
          <w:color w:val="auto"/>
        </w:rPr>
      </w:pPr>
      <w:r>
        <w:rPr>
          <w:rFonts w:hint="eastAsia"/>
          <w:color w:val="auto"/>
        </w:rPr>
        <w:t>GB 15210  通过式金属探测门通用技术规范</w:t>
      </w:r>
    </w:p>
    <w:p w14:paraId="7AE61A6E">
      <w:pPr>
        <w:pStyle w:val="57"/>
        <w:ind w:firstLine="420"/>
        <w:rPr>
          <w:color w:val="auto"/>
        </w:rPr>
      </w:pPr>
      <w:r>
        <w:rPr>
          <w:color w:val="auto"/>
          <w:lang w:val="zh-CN"/>
        </w:rPr>
        <w:t>GB 17565</w:t>
      </w:r>
      <w:r>
        <w:rPr>
          <w:rFonts w:hint="eastAsia"/>
          <w:color w:val="auto"/>
          <w:lang w:val="zh-CN"/>
        </w:rPr>
        <w:t>—</w:t>
      </w:r>
      <w:r>
        <w:rPr>
          <w:color w:val="auto"/>
          <w:lang w:val="zh-CN"/>
        </w:rPr>
        <w:t>2022</w:t>
      </w:r>
      <w:r>
        <w:rPr>
          <w:rFonts w:hint="eastAsia"/>
          <w:color w:val="auto"/>
          <w:lang w:val="zh-CN"/>
        </w:rPr>
        <w:t xml:space="preserve">   防盗安全门通用技术条件</w:t>
      </w:r>
    </w:p>
    <w:p w14:paraId="5EC8F35D">
      <w:pPr>
        <w:pStyle w:val="57"/>
        <w:ind w:firstLine="420"/>
        <w:rPr>
          <w:color w:val="auto"/>
        </w:rPr>
      </w:pPr>
      <w:r>
        <w:rPr>
          <w:rFonts w:hint="eastAsia"/>
          <w:color w:val="auto"/>
        </w:rPr>
        <w:t>GB/T 28181  公共安全视频监控联网系统信息传输、交换、控制技术要求</w:t>
      </w:r>
    </w:p>
    <w:p w14:paraId="0B05179D">
      <w:pPr>
        <w:pStyle w:val="57"/>
        <w:ind w:firstLine="420"/>
        <w:rPr>
          <w:color w:val="auto"/>
        </w:rPr>
      </w:pPr>
      <w:r>
        <w:rPr>
          <w:rFonts w:hint="eastAsia"/>
          <w:color w:val="auto"/>
        </w:rPr>
        <w:t>GB/T 30147  安防监控视频实时智能分析设备技术要求</w:t>
      </w:r>
    </w:p>
    <w:p w14:paraId="0A233981">
      <w:pPr>
        <w:pStyle w:val="57"/>
        <w:ind w:firstLine="420"/>
        <w:rPr>
          <w:color w:val="auto"/>
        </w:rPr>
      </w:pPr>
      <w:r>
        <w:rPr>
          <w:rFonts w:hint="eastAsia"/>
          <w:color w:val="auto"/>
        </w:rPr>
        <w:t>GB/T 32581  入侵和紧急报警系统技术要求</w:t>
      </w:r>
    </w:p>
    <w:p w14:paraId="31AFE951">
      <w:pPr>
        <w:pStyle w:val="57"/>
        <w:ind w:firstLine="420"/>
        <w:rPr>
          <w:color w:val="auto"/>
        </w:rPr>
      </w:pPr>
      <w:r>
        <w:rPr>
          <w:color w:val="auto"/>
        </w:rPr>
        <w:t xml:space="preserve">GB 35114 </w:t>
      </w:r>
      <w:r>
        <w:rPr>
          <w:rFonts w:hint="eastAsia"/>
          <w:color w:val="auto"/>
        </w:rPr>
        <w:t xml:space="preserve"> 公共安全视频监控联网信息安全技术要求</w:t>
      </w:r>
    </w:p>
    <w:p w14:paraId="3F034D3D">
      <w:pPr>
        <w:pStyle w:val="57"/>
        <w:ind w:firstLine="420"/>
        <w:rPr>
          <w:color w:val="auto"/>
        </w:rPr>
      </w:pPr>
      <w:r>
        <w:rPr>
          <w:rFonts w:hint="eastAsia"/>
          <w:color w:val="auto"/>
        </w:rPr>
        <w:t>GB/T 37078  出入口控制系统技术要求</w:t>
      </w:r>
    </w:p>
    <w:p w14:paraId="3245BC98">
      <w:pPr>
        <w:pStyle w:val="57"/>
        <w:ind w:firstLine="420"/>
        <w:rPr>
          <w:color w:val="auto"/>
        </w:rPr>
      </w:pPr>
      <w:r>
        <w:rPr>
          <w:rFonts w:hint="eastAsia"/>
          <w:color w:val="auto"/>
        </w:rPr>
        <w:t>GB 37300  公共安全重点区域视频图像信息采集规范</w:t>
      </w:r>
    </w:p>
    <w:p w14:paraId="67EAB687">
      <w:pPr>
        <w:pStyle w:val="57"/>
        <w:ind w:firstLine="420"/>
        <w:rPr>
          <w:color w:val="auto"/>
        </w:rPr>
      </w:pPr>
      <w:r>
        <w:rPr>
          <w:rFonts w:hint="eastAsia"/>
          <w:color w:val="auto"/>
        </w:rPr>
        <w:t>GB</w:t>
      </w:r>
      <w:r>
        <w:rPr>
          <w:color w:val="auto"/>
        </w:rPr>
        <w:t>/</w:t>
      </w:r>
      <w:r>
        <w:rPr>
          <w:rFonts w:hint="eastAsia"/>
          <w:color w:val="auto"/>
        </w:rPr>
        <w:t>T 41482  毫米波全息成像人体安全检查设备</w:t>
      </w:r>
    </w:p>
    <w:p w14:paraId="37B61E1A">
      <w:pPr>
        <w:pStyle w:val="57"/>
        <w:ind w:firstLine="420"/>
        <w:rPr>
          <w:color w:val="auto"/>
        </w:rPr>
      </w:pPr>
      <w:r>
        <w:rPr>
          <w:rFonts w:hint="eastAsia"/>
          <w:color w:val="auto"/>
        </w:rPr>
        <w:t>GB/T 41483  基于介电常数技术的液态危险化学品安全检查仪通用技术要求</w:t>
      </w:r>
    </w:p>
    <w:p w14:paraId="2CF30F8B">
      <w:pPr>
        <w:pStyle w:val="57"/>
        <w:ind w:firstLine="420"/>
        <w:rPr>
          <w:color w:val="auto"/>
        </w:rPr>
      </w:pPr>
      <w:r>
        <w:rPr>
          <w:rFonts w:hint="eastAsia"/>
          <w:color w:val="auto"/>
        </w:rPr>
        <w:t>GB 50174—2</w:t>
      </w:r>
      <w:r>
        <w:rPr>
          <w:color w:val="auto"/>
        </w:rPr>
        <w:t>017</w:t>
      </w:r>
      <w:r>
        <w:rPr>
          <w:rFonts w:hint="eastAsia"/>
          <w:color w:val="auto"/>
        </w:rPr>
        <w:t xml:space="preserve"> </w:t>
      </w:r>
      <w:r>
        <w:rPr>
          <w:color w:val="auto"/>
        </w:rPr>
        <w:t xml:space="preserve"> </w:t>
      </w:r>
      <w:r>
        <w:rPr>
          <w:rFonts w:hint="eastAsia"/>
          <w:color w:val="auto"/>
        </w:rPr>
        <w:t>数据中心设计规范</w:t>
      </w:r>
    </w:p>
    <w:p w14:paraId="277C0A54">
      <w:pPr>
        <w:pStyle w:val="57"/>
        <w:ind w:firstLine="420"/>
        <w:rPr>
          <w:color w:val="auto"/>
        </w:rPr>
      </w:pPr>
      <w:r>
        <w:rPr>
          <w:rFonts w:hint="eastAsia"/>
          <w:color w:val="auto"/>
        </w:rPr>
        <w:t>GB 50348  安全防范工程技术标准</w:t>
      </w:r>
    </w:p>
    <w:p w14:paraId="34996CEC">
      <w:pPr>
        <w:pStyle w:val="57"/>
        <w:ind w:firstLine="420"/>
        <w:rPr>
          <w:color w:val="auto"/>
        </w:rPr>
      </w:pPr>
      <w:r>
        <w:rPr>
          <w:rFonts w:hint="eastAsia"/>
          <w:color w:val="auto"/>
        </w:rPr>
        <w:t>GB 55029  安全防范工程通用规范</w:t>
      </w:r>
    </w:p>
    <w:p w14:paraId="6BFA19A0">
      <w:pPr>
        <w:pStyle w:val="57"/>
        <w:ind w:firstLine="420"/>
        <w:rPr>
          <w:rFonts w:hint="eastAsia"/>
          <w:color w:val="auto"/>
        </w:rPr>
      </w:pPr>
      <w:r>
        <w:rPr>
          <w:rFonts w:hint="eastAsia"/>
          <w:color w:val="auto"/>
        </w:rPr>
        <w:t>GA</w:t>
      </w:r>
      <w:r>
        <w:rPr>
          <w:color w:val="auto"/>
        </w:rPr>
        <w:t xml:space="preserve"> 38  </w:t>
      </w:r>
      <w:r>
        <w:rPr>
          <w:rFonts w:hint="eastAsia"/>
          <w:color w:val="auto"/>
        </w:rPr>
        <w:t>银行安全防范要求</w:t>
      </w:r>
    </w:p>
    <w:p w14:paraId="34ADF064">
      <w:pPr>
        <w:pStyle w:val="57"/>
        <w:ind w:firstLine="420"/>
        <w:rPr>
          <w:rFonts w:hint="eastAsia"/>
          <w:color w:val="auto"/>
        </w:rPr>
      </w:pPr>
      <w:r>
        <w:rPr>
          <w:rFonts w:hint="eastAsia"/>
          <w:color w:val="auto"/>
        </w:rPr>
        <w:t>GA 844</w:t>
      </w:r>
      <w:r>
        <w:rPr>
          <w:rFonts w:hint="eastAsia"/>
          <w:color w:val="auto"/>
          <w:lang w:val="en-US" w:eastAsia="zh-CN"/>
        </w:rPr>
        <w:t xml:space="preserve"> </w:t>
      </w:r>
      <w:r>
        <w:rPr>
          <w:rFonts w:hint="eastAsia"/>
          <w:color w:val="auto"/>
        </w:rPr>
        <w:t>防砸透明材料</w:t>
      </w:r>
    </w:p>
    <w:p w14:paraId="1CEE284C">
      <w:pPr>
        <w:pStyle w:val="57"/>
        <w:ind w:firstLine="420"/>
        <w:rPr>
          <w:rFonts w:hint="eastAsia"/>
          <w:color w:val="auto"/>
        </w:rPr>
      </w:pPr>
      <w:r>
        <w:rPr>
          <w:rFonts w:hint="eastAsia" w:ascii="宋体" w:hAnsi="Times New Roman" w:eastAsia="宋体" w:cs="Times New Roman"/>
          <w:color w:val="auto"/>
          <w:lang w:val="en-US" w:eastAsia="zh-CN"/>
        </w:rPr>
        <w:t>GA 165-2016  防弹透明材料</w:t>
      </w:r>
    </w:p>
    <w:p w14:paraId="65F6773A">
      <w:pPr>
        <w:pStyle w:val="57"/>
        <w:ind w:firstLine="420"/>
        <w:rPr>
          <w:color w:val="auto"/>
        </w:rPr>
      </w:pPr>
      <w:r>
        <w:rPr>
          <w:rFonts w:hint="eastAsia"/>
          <w:color w:val="auto"/>
        </w:rPr>
        <w:t>GA 69  防爆毯</w:t>
      </w:r>
    </w:p>
    <w:p w14:paraId="5C41E969">
      <w:pPr>
        <w:pStyle w:val="57"/>
        <w:ind w:firstLine="420"/>
        <w:rPr>
          <w:color w:val="auto"/>
        </w:rPr>
      </w:pPr>
      <w:r>
        <w:rPr>
          <w:rFonts w:hint="eastAsia"/>
          <w:color w:val="auto"/>
        </w:rPr>
        <w:t>GA/T 644  电子巡查系统技术要求</w:t>
      </w:r>
    </w:p>
    <w:p w14:paraId="4F2E842F">
      <w:pPr>
        <w:pStyle w:val="57"/>
        <w:ind w:firstLine="420"/>
        <w:rPr>
          <w:color w:val="auto"/>
        </w:rPr>
      </w:pPr>
      <w:r>
        <w:rPr>
          <w:color w:val="auto"/>
        </w:rPr>
        <w:t xml:space="preserve">GA/T 761  </w:t>
      </w:r>
      <w:r>
        <w:rPr>
          <w:rFonts w:hint="eastAsia"/>
          <w:color w:val="auto"/>
        </w:rPr>
        <w:t>停车库</w:t>
      </w:r>
      <w:r>
        <w:rPr>
          <w:color w:val="auto"/>
        </w:rPr>
        <w:t>(场)安全管理系统技术要求</w:t>
      </w:r>
    </w:p>
    <w:p w14:paraId="70D25B7A">
      <w:pPr>
        <w:pStyle w:val="57"/>
        <w:ind w:firstLine="420"/>
        <w:rPr>
          <w:color w:val="auto"/>
        </w:rPr>
      </w:pPr>
      <w:r>
        <w:rPr>
          <w:rFonts w:hint="eastAsia"/>
          <w:color w:val="auto"/>
        </w:rPr>
        <w:t>GA</w:t>
      </w:r>
      <w:r>
        <w:rPr>
          <w:color w:val="auto"/>
        </w:rPr>
        <w:t>/</w:t>
      </w:r>
      <w:r>
        <w:rPr>
          <w:rFonts w:hint="eastAsia"/>
          <w:color w:val="auto"/>
        </w:rPr>
        <w:t>T 841  基于离子迁移谱技术的痕量/毒品炸药探测仪通用技术要求</w:t>
      </w:r>
    </w:p>
    <w:p w14:paraId="742CA0E2">
      <w:pPr>
        <w:pStyle w:val="57"/>
        <w:ind w:firstLine="420"/>
        <w:rPr>
          <w:color w:val="auto"/>
        </w:rPr>
      </w:pPr>
      <w:r>
        <w:rPr>
          <w:rFonts w:hint="eastAsia"/>
          <w:color w:val="auto"/>
        </w:rPr>
        <w:t>GA/T 1081 安全防范系统维护保养规范</w:t>
      </w:r>
    </w:p>
    <w:p w14:paraId="5FF7FE8C">
      <w:pPr>
        <w:pStyle w:val="57"/>
        <w:ind w:firstLine="420"/>
        <w:rPr>
          <w:color w:val="auto"/>
        </w:rPr>
      </w:pPr>
      <w:r>
        <w:rPr>
          <w:rFonts w:hint="eastAsia"/>
          <w:color w:val="auto"/>
        </w:rPr>
        <w:t>GA/T 1260  人行出入口电控通道闸通用技术要求</w:t>
      </w:r>
    </w:p>
    <w:p w14:paraId="133081A2">
      <w:pPr>
        <w:pStyle w:val="57"/>
        <w:ind w:firstLine="420"/>
        <w:rPr>
          <w:color w:val="auto"/>
        </w:rPr>
      </w:pPr>
      <w:r>
        <w:rPr>
          <w:rFonts w:hint="eastAsia"/>
          <w:color w:val="auto"/>
        </w:rPr>
        <w:t>GA∕T 1279  保安员装备配备与管理要求</w:t>
      </w:r>
    </w:p>
    <w:p w14:paraId="0D37E5D8">
      <w:pPr>
        <w:pStyle w:val="57"/>
        <w:ind w:firstLine="420"/>
        <w:rPr>
          <w:color w:val="auto"/>
        </w:rPr>
      </w:pPr>
      <w:r>
        <w:rPr>
          <w:rFonts w:hint="eastAsia"/>
          <w:color w:val="auto"/>
        </w:rPr>
        <w:t>GA/T 1343—2016  防暴升降式阻车路障</w:t>
      </w:r>
    </w:p>
    <w:p w14:paraId="61D70406">
      <w:pPr>
        <w:pStyle w:val="57"/>
        <w:ind w:firstLine="420"/>
        <w:rPr>
          <w:color w:val="auto"/>
        </w:rPr>
      </w:pPr>
      <w:r>
        <w:rPr>
          <w:rFonts w:hint="eastAsia"/>
          <w:color w:val="auto"/>
        </w:rPr>
        <w:t>GA/T 1797—2021  钢丝焊接网安全围栏</w:t>
      </w:r>
    </w:p>
    <w:p w14:paraId="5185015F">
      <w:pPr>
        <w:pStyle w:val="57"/>
        <w:ind w:firstLine="420"/>
        <w:rPr>
          <w:color w:val="auto"/>
        </w:rPr>
      </w:pPr>
      <w:r>
        <w:rPr>
          <w:color w:val="auto"/>
        </w:rPr>
        <w:t>GA 1383</w:t>
      </w:r>
      <w:r>
        <w:rPr>
          <w:rFonts w:hint="eastAsia"/>
          <w:color w:val="auto"/>
        </w:rPr>
        <w:t xml:space="preserve">  报警运营服务规范</w:t>
      </w:r>
    </w:p>
    <w:p w14:paraId="67EE9BE3">
      <w:pPr>
        <w:pStyle w:val="57"/>
        <w:ind w:firstLine="420"/>
        <w:rPr>
          <w:rFonts w:hint="eastAsia"/>
          <w:color w:val="auto"/>
        </w:rPr>
      </w:pPr>
      <w:r>
        <w:rPr>
          <w:rFonts w:hint="eastAsia"/>
          <w:color w:val="auto"/>
        </w:rPr>
        <w:t xml:space="preserve">GA/T 1499—2018 </w:t>
      </w:r>
      <w:r>
        <w:rPr>
          <w:color w:val="auto"/>
        </w:rPr>
        <w:t xml:space="preserve"> </w:t>
      </w:r>
      <w:r>
        <w:rPr>
          <w:rFonts w:hint="eastAsia"/>
          <w:color w:val="auto"/>
        </w:rPr>
        <w:t>卷帘门安全性要求</w:t>
      </w:r>
    </w:p>
    <w:p w14:paraId="0B0A79F7">
      <w:pPr>
        <w:widowControl w:val="0"/>
        <w:numPr>
          <w:ilvl w:val="0"/>
          <w:numId w:val="0"/>
        </w:numPr>
        <w:spacing w:line="360" w:lineRule="auto"/>
        <w:ind w:left="420" w:leftChars="0"/>
        <w:jc w:val="left"/>
        <w:rPr>
          <w:rFonts w:hint="eastAsia"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GA/T73-2015 机械防盗锁</w:t>
      </w:r>
    </w:p>
    <w:p w14:paraId="1978671A">
      <w:pPr>
        <w:pStyle w:val="105"/>
        <w:spacing w:before="312" w:after="312"/>
        <w:rPr>
          <w:color w:val="auto"/>
        </w:rPr>
      </w:pPr>
      <w:bookmarkStart w:id="47" w:name="_Toc190867482"/>
      <w:bookmarkStart w:id="48" w:name="_Toc200568984"/>
      <w:bookmarkStart w:id="49" w:name="_Toc97191425"/>
      <w:r>
        <w:rPr>
          <w:rFonts w:hint="eastAsia"/>
          <w:color w:val="auto"/>
          <w:szCs w:val="21"/>
        </w:rPr>
        <w:t>术语和定义</w:t>
      </w:r>
      <w:bookmarkEnd w:id="47"/>
      <w:bookmarkEnd w:id="48"/>
      <w:bookmarkEnd w:id="49"/>
    </w:p>
    <w:sdt>
      <w:sdtPr>
        <w:rPr>
          <w:rFonts w:hint="eastAsia"/>
          <w:color w:val="auto"/>
        </w:rPr>
        <w:id w:val="-1909835108"/>
        <w:placeholder>
          <w:docPart w:val="7FE0EDC86DF9441695DDD209BBB193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rPr>
      </w:sdtEndPr>
      <w:sdtContent>
        <w:p w14:paraId="2CF8A274">
          <w:pPr>
            <w:pStyle w:val="57"/>
            <w:ind w:firstLine="420"/>
            <w:rPr>
              <w:color w:val="auto"/>
            </w:rPr>
          </w:pPr>
          <w:bookmarkStart w:id="50" w:name="_Toc26986532"/>
          <w:bookmarkEnd w:id="50"/>
          <w:r>
            <w:rPr>
              <w:rFonts w:hint="eastAsia"/>
              <w:color w:val="auto"/>
            </w:rPr>
            <w:t>GB 50</w:t>
          </w:r>
          <w:r>
            <w:rPr>
              <w:color w:val="auto"/>
            </w:rPr>
            <w:t>174</w:t>
          </w:r>
          <w:r>
            <w:rPr>
              <w:rFonts w:hint="eastAsia"/>
              <w:color w:val="auto"/>
            </w:rPr>
            <w:t>—201</w:t>
          </w:r>
          <w:r>
            <w:rPr>
              <w:color w:val="auto"/>
            </w:rPr>
            <w:t>7</w:t>
          </w:r>
          <w:r>
            <w:rPr>
              <w:rFonts w:hint="eastAsia"/>
              <w:color w:val="auto"/>
            </w:rPr>
            <w:t>、GA38—2</w:t>
          </w:r>
          <w:r>
            <w:rPr>
              <w:color w:val="auto"/>
            </w:rPr>
            <w:t>021</w:t>
          </w:r>
          <w:r>
            <w:rPr>
              <w:rFonts w:hint="eastAsia"/>
              <w:color w:val="auto"/>
            </w:rPr>
            <w:t>界定的以及下列术语和定义适用于本文件。</w:t>
          </w:r>
        </w:p>
      </w:sdtContent>
    </w:sdt>
    <w:p w14:paraId="27F9AEE1">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金融后台</w:t>
      </w:r>
      <w:r>
        <w:rPr>
          <w:rFonts w:ascii="黑体" w:hAnsi="黑体" w:eastAsia="黑体"/>
          <w:color w:val="auto"/>
        </w:rPr>
        <w:t>基地</w:t>
      </w:r>
      <w:r>
        <w:rPr>
          <w:rFonts w:hint="eastAsia" w:ascii="黑体" w:hAnsi="黑体" w:eastAsia="黑体"/>
          <w:color w:val="auto"/>
        </w:rPr>
        <w:t xml:space="preserve"> </w:t>
      </w:r>
      <w:r>
        <w:rPr>
          <w:rFonts w:ascii="黑体" w:hAnsi="黑体" w:eastAsia="黑体"/>
          <w:color w:val="auto"/>
        </w:rPr>
        <w:t xml:space="preserve"> </w:t>
      </w:r>
      <w:r>
        <w:rPr>
          <w:rFonts w:hint="eastAsia" w:ascii="黑体" w:hAnsi="黑体" w:eastAsia="黑体"/>
          <w:color w:val="auto"/>
          <w:lang w:val="en-US" w:eastAsia="zh-CN"/>
        </w:rPr>
        <w:t>Requirements security for financial backend bases</w:t>
      </w:r>
      <w:r>
        <w:rPr>
          <w:rFonts w:hint="eastAsia" w:ascii="黑体" w:hAnsi="黑体" w:eastAsia="黑体"/>
          <w:color w:val="auto"/>
        </w:rPr>
        <w:t xml:space="preserve"> </w:t>
      </w:r>
    </w:p>
    <w:p w14:paraId="496DB436">
      <w:pPr>
        <w:pStyle w:val="57"/>
        <w:ind w:firstLine="420"/>
        <w:rPr>
          <w:color w:val="auto"/>
        </w:rPr>
      </w:pPr>
      <w:r>
        <w:rPr>
          <w:rFonts w:ascii="宋体" w:hAnsi="Times New Roman"/>
          <w:color w:val="auto"/>
          <w:kern w:val="0"/>
          <w:szCs w:val="20"/>
        </w:rPr>
        <w:t>对</w:t>
      </w:r>
      <w:r>
        <w:rPr>
          <w:rFonts w:hint="eastAsia"/>
          <w:color w:val="auto"/>
        </w:rPr>
        <w:t>与金融机构直接经营活动（前台）相对分离，并为其提供服务和支撑的功能模块的业务部门</w:t>
      </w:r>
      <w:r>
        <w:rPr>
          <w:rFonts w:ascii="宋体" w:hAnsi="Times New Roman"/>
          <w:color w:val="auto"/>
          <w:kern w:val="0"/>
          <w:szCs w:val="20"/>
        </w:rPr>
        <w:t>进行</w:t>
      </w:r>
      <w:r>
        <w:rPr>
          <w:rFonts w:hint="eastAsia" w:ascii="宋体" w:hAnsi="Times New Roman"/>
          <w:color w:val="auto"/>
          <w:kern w:val="0"/>
          <w:szCs w:val="20"/>
        </w:rPr>
        <w:t>集中运营管理的场所</w:t>
      </w:r>
      <w:r>
        <w:rPr>
          <w:rFonts w:hint="eastAsia" w:ascii="宋体"/>
          <w:color w:val="auto"/>
          <w:kern w:val="0"/>
          <w:szCs w:val="20"/>
          <w:lang w:val="en-US" w:eastAsia="zh-CN"/>
        </w:rPr>
        <w:t>,如</w:t>
      </w:r>
      <w:r>
        <w:rPr>
          <w:rFonts w:hint="eastAsia"/>
          <w:color w:val="auto"/>
        </w:rPr>
        <w:t>培训中心、研发中心、远程业务中心、数据中心、灾备中心等。</w:t>
      </w:r>
    </w:p>
    <w:p w14:paraId="5443E8DA">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培训中心  training center</w:t>
      </w:r>
    </w:p>
    <w:p w14:paraId="632745B6">
      <w:pPr>
        <w:pStyle w:val="57"/>
        <w:ind w:firstLine="420"/>
        <w:rPr>
          <w:color w:val="auto"/>
        </w:rPr>
      </w:pPr>
      <w:r>
        <w:rPr>
          <w:rFonts w:hint="eastAsia"/>
          <w:color w:val="auto"/>
        </w:rPr>
        <w:t>金融机构集中进行业务知识和实际工作技能培训的场所。</w:t>
      </w:r>
    </w:p>
    <w:p w14:paraId="7DCA0EA4">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研发中心  research and development center</w:t>
      </w:r>
    </w:p>
    <w:p w14:paraId="414BB4A8">
      <w:pPr>
        <w:pStyle w:val="57"/>
        <w:ind w:firstLine="420"/>
        <w:rPr>
          <w:color w:val="auto"/>
        </w:rPr>
      </w:pPr>
      <w:r>
        <w:rPr>
          <w:rFonts w:hint="eastAsia"/>
          <w:color w:val="auto"/>
        </w:rPr>
        <w:t>金融机构从事技术研究和产品开发的场所。</w:t>
      </w:r>
    </w:p>
    <w:p w14:paraId="0E104C8C">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远程业务中心 </w:t>
      </w:r>
      <w:r>
        <w:rPr>
          <w:rFonts w:ascii="黑体" w:hAnsi="黑体" w:eastAsia="黑体"/>
          <w:color w:val="auto"/>
        </w:rPr>
        <w:t xml:space="preserve"> remote </w:t>
      </w:r>
      <w:r>
        <w:rPr>
          <w:rFonts w:hint="eastAsia" w:ascii="黑体" w:hAnsi="黑体" w:eastAsia="黑体"/>
          <w:color w:val="auto"/>
        </w:rPr>
        <w:t xml:space="preserve">business </w:t>
      </w:r>
      <w:r>
        <w:rPr>
          <w:rFonts w:ascii="黑体" w:hAnsi="黑体" w:eastAsia="黑体"/>
          <w:color w:val="auto"/>
        </w:rPr>
        <w:t>center</w:t>
      </w:r>
    </w:p>
    <w:p w14:paraId="2E43B917">
      <w:pPr>
        <w:pStyle w:val="57"/>
        <w:ind w:firstLine="420"/>
        <w:rPr>
          <w:color w:val="auto"/>
        </w:rPr>
      </w:pPr>
      <w:r>
        <w:rPr>
          <w:rFonts w:hint="eastAsia"/>
          <w:color w:val="auto"/>
        </w:rPr>
        <w:t>金融机构通过科技手段，以远程方式开展客户服务、客户经营的综合服务中心，包括远程银行中心、服务中心、银行卡中心、单证中心等。</w:t>
      </w:r>
    </w:p>
    <w:p w14:paraId="1CA154F8">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数据中心  data center</w:t>
      </w:r>
    </w:p>
    <w:p w14:paraId="2C9C2CEE">
      <w:pPr>
        <w:autoSpaceDE w:val="0"/>
        <w:autoSpaceDN w:val="0"/>
        <w:spacing w:line="360" w:lineRule="exact"/>
        <w:ind w:firstLine="420" w:firstLineChars="200"/>
        <w:textAlignment w:val="baseline"/>
        <w:rPr>
          <w:rFonts w:ascii="Times New Roman" w:hAnsi="Times New Roman"/>
          <w:color w:val="auto"/>
          <w:lang w:bidi="ar"/>
        </w:rPr>
      </w:pPr>
      <w:r>
        <w:rPr>
          <w:rFonts w:hint="eastAsia" w:ascii="Times New Roman" w:hAnsi="Times New Roman"/>
          <w:color w:val="auto"/>
          <w:lang w:bidi="ar"/>
        </w:rPr>
        <w:t>金融机构总部为集中放置电子信息设备提供运行环境的建筑场所，包括机房区、动力区和辅助区。</w:t>
      </w:r>
    </w:p>
    <w:p w14:paraId="4D6A1BC5">
      <w:pPr>
        <w:spacing w:line="276" w:lineRule="auto"/>
        <w:ind w:firstLine="420" w:firstLineChars="200"/>
        <w:rPr>
          <w:rFonts w:ascii="宋体" w:hAnsi="宋体" w:cs="宋体"/>
          <w:color w:val="auto"/>
        </w:rPr>
      </w:pPr>
      <w:r>
        <w:rPr>
          <w:rFonts w:hint="eastAsia" w:ascii="宋体" w:hAnsi="宋体" w:cs="宋体"/>
          <w:color w:val="auto"/>
        </w:rPr>
        <w:t>[来源：</w:t>
      </w:r>
      <w:r>
        <w:rPr>
          <w:rFonts w:ascii="宋体" w:hAnsi="宋体" w:cs="宋体"/>
          <w:color w:val="auto"/>
        </w:rPr>
        <w:t>GA 38</w:t>
      </w:r>
      <w:r>
        <w:rPr>
          <w:rFonts w:hint="eastAsia" w:ascii="宋体" w:hAnsi="宋体" w:cs="宋体"/>
          <w:color w:val="auto"/>
        </w:rPr>
        <w:t>—202</w:t>
      </w:r>
      <w:r>
        <w:rPr>
          <w:rFonts w:ascii="宋体" w:hAnsi="宋体" w:cs="宋体"/>
          <w:color w:val="auto"/>
        </w:rPr>
        <w:t>1</w:t>
      </w:r>
      <w:r>
        <w:rPr>
          <w:rFonts w:hint="eastAsia" w:ascii="宋体" w:hAnsi="宋体" w:cs="宋体"/>
          <w:color w:val="auto"/>
        </w:rPr>
        <w:t>，3.1</w:t>
      </w:r>
      <w:r>
        <w:rPr>
          <w:rFonts w:ascii="宋体" w:hAnsi="宋体" w:cs="宋体"/>
          <w:color w:val="auto"/>
        </w:rPr>
        <w:t>8</w:t>
      </w:r>
      <w:r>
        <w:rPr>
          <w:rFonts w:hint="eastAsia" w:ascii="宋体" w:hAnsi="宋体" w:cs="宋体"/>
          <w:color w:val="auto"/>
        </w:rPr>
        <w:t>，有修改]</w:t>
      </w:r>
    </w:p>
    <w:p w14:paraId="14C634F6">
      <w:pPr>
        <w:pStyle w:val="224"/>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灾备中心 </w:t>
      </w:r>
      <w:r>
        <w:rPr>
          <w:rFonts w:ascii="黑体" w:hAnsi="黑体" w:eastAsia="黑体"/>
          <w:color w:val="auto"/>
        </w:rPr>
        <w:t xml:space="preserve"> </w:t>
      </w:r>
      <w:r>
        <w:rPr>
          <w:rFonts w:hint="eastAsia" w:ascii="黑体" w:eastAsia="黑体"/>
          <w:color w:val="auto"/>
        </w:rPr>
        <w:t>recovery</w:t>
      </w:r>
      <w:r>
        <w:rPr>
          <w:rFonts w:ascii="黑体" w:eastAsia="黑体"/>
          <w:color w:val="auto"/>
        </w:rPr>
        <w:t xml:space="preserve"> </w:t>
      </w:r>
      <w:r>
        <w:rPr>
          <w:rFonts w:hint="eastAsia" w:ascii="黑体" w:eastAsia="黑体"/>
          <w:color w:val="auto"/>
        </w:rPr>
        <w:t>data</w:t>
      </w:r>
      <w:r>
        <w:rPr>
          <w:rFonts w:ascii="黑体" w:eastAsia="黑体"/>
          <w:color w:val="auto"/>
        </w:rPr>
        <w:t xml:space="preserve"> </w:t>
      </w:r>
      <w:r>
        <w:rPr>
          <w:rFonts w:hint="eastAsia" w:ascii="黑体" w:eastAsia="黑体"/>
          <w:color w:val="auto"/>
        </w:rPr>
        <w:t>center</w:t>
      </w:r>
    </w:p>
    <w:p w14:paraId="7C29FC8A">
      <w:pPr>
        <w:pStyle w:val="57"/>
        <w:ind w:firstLine="420"/>
        <w:rPr>
          <w:rFonts w:ascii="黑体" w:eastAsia="黑体"/>
          <w:color w:val="auto"/>
        </w:rPr>
      </w:pPr>
      <w:r>
        <w:rPr>
          <w:rFonts w:hint="eastAsia" w:cs="宋体"/>
          <w:color w:val="auto"/>
        </w:rPr>
        <w:t>金融机构总部</w:t>
      </w:r>
      <w:r>
        <w:rPr>
          <w:rFonts w:hint="eastAsia"/>
          <w:color w:val="auto"/>
        </w:rPr>
        <w:t>用于灾难发生时接替主系统运行，进行数据处理和支持关键业务功能继续运作的场所。</w:t>
      </w:r>
    </w:p>
    <w:p w14:paraId="11364AA6">
      <w:pPr>
        <w:pStyle w:val="57"/>
        <w:ind w:firstLine="420"/>
        <w:rPr>
          <w:color w:val="auto"/>
        </w:rPr>
      </w:pPr>
      <w:r>
        <w:rPr>
          <w:rFonts w:hint="eastAsia"/>
          <w:color w:val="auto"/>
        </w:rPr>
        <w:t xml:space="preserve">[来源：GB </w:t>
      </w:r>
      <w:r>
        <w:rPr>
          <w:color w:val="auto"/>
        </w:rPr>
        <w:t>50174</w:t>
      </w:r>
      <w:r>
        <w:rPr>
          <w:rFonts w:hint="eastAsia"/>
          <w:color w:val="auto"/>
        </w:rPr>
        <w:t>—2</w:t>
      </w:r>
      <w:r>
        <w:rPr>
          <w:color w:val="auto"/>
        </w:rPr>
        <w:t>017</w:t>
      </w:r>
      <w:r>
        <w:rPr>
          <w:rFonts w:hint="eastAsia"/>
          <w:color w:val="auto"/>
        </w:rPr>
        <w:t>，2</w:t>
      </w:r>
      <w:r>
        <w:rPr>
          <w:color w:val="auto"/>
        </w:rPr>
        <w:t>.1.6</w:t>
      </w:r>
      <w:r>
        <w:rPr>
          <w:rFonts w:hint="eastAsia"/>
          <w:color w:val="auto"/>
        </w:rPr>
        <w:t>，有修改]</w:t>
      </w:r>
    </w:p>
    <w:p w14:paraId="4BD13BE1">
      <w:pPr>
        <w:pStyle w:val="224"/>
        <w:ind w:left="420" w:hanging="420" w:hangingChars="200"/>
        <w:rPr>
          <w:rFonts w:ascii="黑体" w:hAnsi="黑体" w:eastAsia="黑体"/>
          <w:color w:val="auto"/>
        </w:rPr>
      </w:pPr>
      <w:r>
        <w:rPr>
          <w:rFonts w:hint="eastAsia" w:ascii="黑体" w:hAnsi="黑体" w:eastAsia="黑体"/>
          <w:color w:val="auto"/>
        </w:rPr>
        <w:t xml:space="preserve">总控中心  </w:t>
      </w:r>
      <w:r>
        <w:rPr>
          <w:rFonts w:ascii="黑体" w:hAnsi="黑体" w:eastAsia="黑体"/>
          <w:color w:val="auto"/>
        </w:rPr>
        <w:t>enterprise command center</w:t>
      </w:r>
    </w:p>
    <w:p w14:paraId="7700C0AF">
      <w:pPr>
        <w:pStyle w:val="57"/>
        <w:ind w:firstLine="420"/>
        <w:rPr>
          <w:color w:val="auto"/>
        </w:rPr>
      </w:pPr>
      <w:r>
        <w:rPr>
          <w:rFonts w:hint="eastAsia"/>
          <w:color w:val="auto"/>
        </w:rPr>
        <w:t>为数据中心各系统提供集中监控、指挥调度、技术支持和应急演练的平台。</w:t>
      </w:r>
    </w:p>
    <w:p w14:paraId="29277839">
      <w:pPr>
        <w:pStyle w:val="57"/>
        <w:ind w:firstLine="420"/>
        <w:rPr>
          <w:color w:val="auto"/>
        </w:rPr>
      </w:pPr>
      <w:r>
        <w:rPr>
          <w:rFonts w:hint="eastAsia"/>
          <w:color w:val="auto"/>
        </w:rPr>
        <w:t xml:space="preserve">[来源：GB </w:t>
      </w:r>
      <w:r>
        <w:rPr>
          <w:color w:val="auto"/>
        </w:rPr>
        <w:t>50174</w:t>
      </w:r>
      <w:r>
        <w:rPr>
          <w:rFonts w:hint="eastAsia"/>
          <w:color w:val="auto"/>
        </w:rPr>
        <w:t>—2</w:t>
      </w:r>
      <w:r>
        <w:rPr>
          <w:color w:val="auto"/>
        </w:rPr>
        <w:t>017</w:t>
      </w:r>
      <w:r>
        <w:rPr>
          <w:rFonts w:hint="eastAsia"/>
          <w:color w:val="auto"/>
        </w:rPr>
        <w:t>，2</w:t>
      </w:r>
      <w:r>
        <w:rPr>
          <w:color w:val="auto"/>
        </w:rPr>
        <w:t>.1.39</w:t>
      </w:r>
      <w:r>
        <w:rPr>
          <w:rFonts w:hint="eastAsia"/>
          <w:color w:val="auto"/>
        </w:rPr>
        <w:t>，有修改]</w:t>
      </w:r>
    </w:p>
    <w:p w14:paraId="6199F67A">
      <w:pPr>
        <w:pStyle w:val="105"/>
        <w:spacing w:before="312" w:after="312"/>
        <w:rPr>
          <w:rFonts w:hint="eastAsia"/>
          <w:color w:val="auto"/>
        </w:rPr>
      </w:pPr>
      <w:r>
        <w:rPr>
          <w:rFonts w:hint="eastAsia"/>
          <w:color w:val="auto"/>
          <w:lang w:val="en-US" w:eastAsia="zh-CN"/>
        </w:rPr>
        <w:t>金融后台基地安全防范包括以下重点部位</w:t>
      </w:r>
      <w:r>
        <w:rPr>
          <w:rFonts w:hint="eastAsia"/>
          <w:color w:val="auto"/>
        </w:rPr>
        <w:t>：</w:t>
      </w:r>
    </w:p>
    <w:p w14:paraId="256F0AE6">
      <w:pPr>
        <w:pStyle w:val="175"/>
        <w:rPr>
          <w:color w:val="auto"/>
        </w:rPr>
      </w:pPr>
      <w:r>
        <w:rPr>
          <w:rFonts w:hint="eastAsia"/>
          <w:color w:val="auto"/>
        </w:rPr>
        <w:t>数据机房、设备间、服务器机房、网络机房、数据存储中心、通讯机房；</w:t>
      </w:r>
    </w:p>
    <w:p w14:paraId="3BD3DDDF">
      <w:pPr>
        <w:pStyle w:val="175"/>
        <w:rPr>
          <w:color w:val="auto"/>
        </w:rPr>
      </w:pPr>
      <w:r>
        <w:rPr>
          <w:rFonts w:hint="eastAsia"/>
          <w:color w:val="auto"/>
        </w:rPr>
        <w:t>变配电室、柴油发电机房、电池室、空调机房、动力站房、不间断电源室等提供动力支持和安全保障的场所；</w:t>
      </w:r>
    </w:p>
    <w:p w14:paraId="7E761A18">
      <w:pPr>
        <w:pStyle w:val="175"/>
        <w:rPr>
          <w:color w:val="auto"/>
        </w:rPr>
      </w:pPr>
      <w:r>
        <w:rPr>
          <w:rFonts w:hint="eastAsia"/>
          <w:color w:val="auto"/>
        </w:rPr>
        <w:t>数据中心的总控中心；</w:t>
      </w:r>
    </w:p>
    <w:p w14:paraId="167CF8C2">
      <w:pPr>
        <w:pStyle w:val="175"/>
        <w:rPr>
          <w:color w:val="auto"/>
        </w:rPr>
      </w:pPr>
      <w:r>
        <w:rPr>
          <w:rFonts w:hint="eastAsia"/>
          <w:color w:val="auto"/>
        </w:rPr>
        <w:t>研发中心、远程中心的重要资料档案室</w:t>
      </w:r>
      <w:r>
        <w:rPr>
          <w:rFonts w:hint="eastAsia"/>
          <w:color w:val="auto"/>
          <w:lang w:eastAsia="zh-CN"/>
        </w:rPr>
        <w:t>、</w:t>
      </w:r>
      <w:r>
        <w:rPr>
          <w:rFonts w:hint="eastAsia"/>
          <w:color w:val="auto"/>
          <w:lang w:val="en-US" w:eastAsia="zh-CN"/>
        </w:rPr>
        <w:t>开发室</w:t>
      </w:r>
      <w:r>
        <w:rPr>
          <w:rFonts w:hint="eastAsia"/>
          <w:color w:val="auto"/>
        </w:rPr>
        <w:t>；</w:t>
      </w:r>
    </w:p>
    <w:p w14:paraId="59305CE7">
      <w:pPr>
        <w:pStyle w:val="175"/>
        <w:rPr>
          <w:color w:val="auto"/>
        </w:rPr>
      </w:pPr>
      <w:r>
        <w:rPr>
          <w:rFonts w:hint="eastAsia"/>
          <w:color w:val="auto"/>
        </w:rPr>
        <w:t>联网监控中心；</w:t>
      </w:r>
    </w:p>
    <w:p w14:paraId="76665CF5">
      <w:pPr>
        <w:pStyle w:val="175"/>
        <w:rPr>
          <w:color w:val="auto"/>
        </w:rPr>
      </w:pPr>
      <w:r>
        <w:rPr>
          <w:rFonts w:hint="eastAsia"/>
          <w:color w:val="auto"/>
          <w:lang w:val="en-US" w:eastAsia="zh-CN"/>
        </w:rPr>
        <w:t>消防控制室；</w:t>
      </w:r>
    </w:p>
    <w:p w14:paraId="2B57E2AA">
      <w:pPr>
        <w:pStyle w:val="175"/>
        <w:rPr>
          <w:color w:val="auto"/>
        </w:rPr>
      </w:pPr>
      <w:r>
        <w:rPr>
          <w:rFonts w:hint="eastAsia"/>
          <w:color w:val="auto"/>
        </w:rPr>
        <w:t>其它经评估需要防范的部位。</w:t>
      </w:r>
    </w:p>
    <w:p w14:paraId="75247C90">
      <w:pPr>
        <w:pStyle w:val="105"/>
        <w:spacing w:before="312" w:after="312"/>
        <w:rPr>
          <w:color w:val="auto"/>
        </w:rPr>
      </w:pPr>
      <w:bookmarkStart w:id="51" w:name="_Toc200568985"/>
      <w:bookmarkStart w:id="52" w:name="_Toc190867483"/>
      <w:r>
        <w:rPr>
          <w:rFonts w:hint="eastAsia"/>
          <w:color w:val="auto"/>
        </w:rPr>
        <w:t>总体要求</w:t>
      </w:r>
      <w:bookmarkEnd w:id="51"/>
      <w:bookmarkEnd w:id="52"/>
    </w:p>
    <w:p w14:paraId="5D351BDC">
      <w:pPr>
        <w:pStyle w:val="163"/>
        <w:rPr>
          <w:color w:val="auto"/>
        </w:rPr>
      </w:pPr>
      <w:r>
        <w:rPr>
          <w:rFonts w:hint="eastAsia"/>
          <w:color w:val="auto"/>
        </w:rPr>
        <w:t>安全防范设施建设应遵循坚持标准、因地制宜、科学合理、确保安全、生态环保的原则。新建安全防范系统应与主体工程同步规划、同步设计、同步建设、同步验收、同步运行。已建、在建</w:t>
      </w:r>
      <w:r>
        <w:rPr>
          <w:rFonts w:hint="eastAsia"/>
          <w:color w:val="auto"/>
          <w:lang w:eastAsia="zh-CN"/>
        </w:rPr>
        <w:t>、</w:t>
      </w:r>
      <w:r>
        <w:rPr>
          <w:rFonts w:hint="eastAsia"/>
          <w:color w:val="auto"/>
          <w:lang w:val="en-US" w:eastAsia="zh-CN"/>
        </w:rPr>
        <w:t>改建</w:t>
      </w:r>
      <w:r>
        <w:rPr>
          <w:rFonts w:hint="eastAsia"/>
          <w:color w:val="auto"/>
        </w:rPr>
        <w:t>的安全防范系统应按本文件要求补充完善。</w:t>
      </w:r>
    </w:p>
    <w:p w14:paraId="362E305D">
      <w:pPr>
        <w:pStyle w:val="163"/>
        <w:rPr>
          <w:color w:val="auto"/>
        </w:rPr>
      </w:pPr>
      <w:r>
        <w:rPr>
          <w:rFonts w:hint="eastAsia"/>
          <w:color w:val="auto"/>
        </w:rPr>
        <w:t>数据中心、灾备中心</w:t>
      </w:r>
      <w:r>
        <w:rPr>
          <w:rFonts w:hint="eastAsia"/>
          <w:color w:val="auto"/>
          <w:lang w:val="en-US" w:eastAsia="zh-CN"/>
        </w:rPr>
        <w:t>应设置</w:t>
      </w:r>
      <w:r>
        <w:rPr>
          <w:rFonts w:hint="eastAsia"/>
          <w:color w:val="auto"/>
        </w:rPr>
        <w:t>独立园区，选址应符合GB</w:t>
      </w:r>
      <w:r>
        <w:rPr>
          <w:color w:val="auto"/>
        </w:rPr>
        <w:t xml:space="preserve"> 50174</w:t>
      </w:r>
      <w:r>
        <w:rPr>
          <w:rFonts w:hint="eastAsia"/>
          <w:color w:val="auto"/>
        </w:rPr>
        <w:t>—2</w:t>
      </w:r>
      <w:r>
        <w:rPr>
          <w:color w:val="auto"/>
        </w:rPr>
        <w:t>017</w:t>
      </w:r>
      <w:r>
        <w:rPr>
          <w:rFonts w:hint="eastAsia"/>
          <w:color w:val="auto"/>
        </w:rPr>
        <w:t>的相关规定。</w:t>
      </w:r>
    </w:p>
    <w:p w14:paraId="589DA550">
      <w:pPr>
        <w:pStyle w:val="163"/>
        <w:rPr>
          <w:color w:val="auto"/>
        </w:rPr>
      </w:pPr>
      <w:r>
        <w:rPr>
          <w:color w:val="auto"/>
        </w:rPr>
        <w:t>安全防范系统的设计、施工程序与要求应符合本文件</w:t>
      </w:r>
      <w:r>
        <w:rPr>
          <w:rFonts w:hint="eastAsia"/>
          <w:color w:val="auto"/>
        </w:rPr>
        <w:t>、GB</w:t>
      </w:r>
      <w:r>
        <w:rPr>
          <w:color w:val="auto"/>
        </w:rPr>
        <w:t xml:space="preserve"> 55029</w:t>
      </w:r>
      <w:r>
        <w:rPr>
          <w:rFonts w:hint="eastAsia"/>
          <w:color w:val="auto"/>
        </w:rPr>
        <w:t>、</w:t>
      </w:r>
      <w:r>
        <w:rPr>
          <w:color w:val="auto"/>
        </w:rPr>
        <w:t>GB 50348</w:t>
      </w:r>
      <w:r>
        <w:rPr>
          <w:rFonts w:hint="eastAsia"/>
          <w:color w:val="auto"/>
        </w:rPr>
        <w:t>和GA</w:t>
      </w:r>
      <w:r>
        <w:rPr>
          <w:color w:val="auto"/>
        </w:rPr>
        <w:t>38的有关规定</w:t>
      </w:r>
      <w:r>
        <w:rPr>
          <w:rFonts w:hint="eastAsia"/>
          <w:color w:val="auto"/>
        </w:rPr>
        <w:t>。涉及公共区域视频图像信息的采集要求应符合</w:t>
      </w:r>
      <w:r>
        <w:rPr>
          <w:color w:val="auto"/>
        </w:rPr>
        <w:t>GB 37300</w:t>
      </w:r>
      <w:r>
        <w:rPr>
          <w:rFonts w:hint="eastAsia"/>
          <w:color w:val="auto"/>
        </w:rPr>
        <w:t>的相关规定。需要与公共安全视频图像信息共享交换平台联网的，联网信息传输、交换、控制协议应符合</w:t>
      </w:r>
      <w:r>
        <w:rPr>
          <w:color w:val="auto"/>
        </w:rPr>
        <w:t>GB/T 28181</w:t>
      </w:r>
      <w:r>
        <w:rPr>
          <w:rFonts w:hint="eastAsia"/>
          <w:color w:val="auto"/>
        </w:rPr>
        <w:t>的相关规定，联网信息安全</w:t>
      </w:r>
      <w:r>
        <w:rPr>
          <w:rFonts w:hint="eastAsia"/>
          <w:color w:val="auto"/>
          <w:lang w:val="en-US" w:eastAsia="zh-CN"/>
        </w:rPr>
        <w:t>设置</w:t>
      </w:r>
      <w:r>
        <w:rPr>
          <w:rFonts w:hint="eastAsia"/>
          <w:color w:val="auto"/>
        </w:rPr>
        <w:t>应符合</w:t>
      </w:r>
      <w:r>
        <w:rPr>
          <w:color w:val="auto"/>
        </w:rPr>
        <w:t>GB 35114</w:t>
      </w:r>
      <w:r>
        <w:rPr>
          <w:rFonts w:hint="eastAsia"/>
          <w:color w:val="auto"/>
          <w:lang w:eastAsia="zh-CN"/>
        </w:rPr>
        <w:t>、</w:t>
      </w:r>
      <w:r>
        <w:rPr>
          <w:color w:val="auto"/>
        </w:rPr>
        <w:t>G</w:t>
      </w:r>
      <w:r>
        <w:rPr>
          <w:rFonts w:hint="eastAsia"/>
          <w:color w:val="auto"/>
        </w:rPr>
        <w:t>B 50348和GA38的相关规定</w:t>
      </w:r>
      <w:r>
        <w:rPr>
          <w:rFonts w:hint="eastAsia"/>
          <w:color w:val="auto"/>
          <w:lang w:eastAsia="zh-CN"/>
        </w:rPr>
        <w:t>，</w:t>
      </w:r>
      <w:r>
        <w:rPr>
          <w:rFonts w:hint="eastAsia"/>
          <w:color w:val="auto"/>
          <w:lang w:val="en-US" w:eastAsia="zh-CN"/>
        </w:rPr>
        <w:t>应设置不同</w:t>
      </w:r>
      <w:r>
        <w:rPr>
          <w:rFonts w:hint="eastAsia"/>
          <w:color w:val="auto"/>
        </w:rPr>
        <w:t xml:space="preserve">网络的边界安全隔离措施 </w:t>
      </w:r>
      <w:r>
        <w:rPr>
          <w:rFonts w:hint="eastAsia"/>
          <w:color w:val="auto"/>
          <w:lang w:eastAsia="zh-CN"/>
        </w:rPr>
        <w:t>。</w:t>
      </w:r>
    </w:p>
    <w:p w14:paraId="5098A36F">
      <w:pPr>
        <w:pStyle w:val="163"/>
        <w:rPr>
          <w:color w:val="auto"/>
        </w:rPr>
      </w:pPr>
      <w:r>
        <w:rPr>
          <w:rFonts w:hint="eastAsia"/>
          <w:color w:val="auto"/>
        </w:rPr>
        <w:t>安全防范系统的维护保养应符合</w:t>
      </w:r>
      <w:r>
        <w:rPr>
          <w:color w:val="auto"/>
        </w:rPr>
        <w:t xml:space="preserve">GA/T </w:t>
      </w:r>
      <w:r>
        <w:rPr>
          <w:rFonts w:hint="eastAsia"/>
          <w:color w:val="auto"/>
        </w:rPr>
        <w:t>1081的相关规定。</w:t>
      </w:r>
    </w:p>
    <w:p w14:paraId="2060F474">
      <w:pPr>
        <w:pStyle w:val="163"/>
        <w:rPr>
          <w:color w:val="auto"/>
        </w:rPr>
      </w:pPr>
      <w:r>
        <w:rPr>
          <w:rFonts w:hint="eastAsia"/>
          <w:color w:val="auto"/>
        </w:rPr>
        <w:t>安全防范系统的设计、施工、竣工验收等相关资料的管理应符合相关保密要求。</w:t>
      </w:r>
    </w:p>
    <w:p w14:paraId="2A0380AF">
      <w:pPr>
        <w:pStyle w:val="163"/>
        <w:rPr>
          <w:color w:val="auto"/>
        </w:rPr>
      </w:pPr>
      <w:r>
        <w:rPr>
          <w:rFonts w:hint="eastAsia"/>
          <w:color w:val="auto"/>
        </w:rPr>
        <w:t>人力防范应满足以下要求：</w:t>
      </w:r>
    </w:p>
    <w:p w14:paraId="1461A43E">
      <w:pPr>
        <w:pStyle w:val="175"/>
        <w:numPr>
          <w:ilvl w:val="0"/>
          <w:numId w:val="33"/>
        </w:numPr>
        <w:rPr>
          <w:color w:val="auto"/>
        </w:rPr>
      </w:pPr>
      <w:r>
        <w:rPr>
          <w:rFonts w:hint="eastAsia"/>
          <w:color w:val="auto"/>
        </w:rPr>
        <w:t>具有独立园区的金融后台基地，园区主出入口应设置门卫值班室；不具有独立园区的，所在建筑物的主出入口应设置门卫；</w:t>
      </w:r>
    </w:p>
    <w:p w14:paraId="0E90EBF0">
      <w:pPr>
        <w:pStyle w:val="175"/>
        <w:numPr>
          <w:ilvl w:val="0"/>
          <w:numId w:val="33"/>
        </w:numPr>
        <w:rPr>
          <w:color w:val="auto"/>
        </w:rPr>
      </w:pPr>
      <w:r>
        <w:rPr>
          <w:rFonts w:hint="eastAsia" w:hAnsi="Calibri" w:cs="宋体"/>
          <w:color w:val="auto"/>
        </w:rPr>
        <w:t>门卫值班室、联网监控中心</w:t>
      </w:r>
      <w:r>
        <w:rPr>
          <w:rFonts w:hint="eastAsia" w:hAnsi="Calibri" w:cs="宋体"/>
          <w:color w:val="auto"/>
          <w:lang w:eastAsia="zh-CN"/>
        </w:rPr>
        <w:t>、</w:t>
      </w:r>
      <w:r>
        <w:rPr>
          <w:rFonts w:hint="eastAsia" w:hAnsi="Calibri" w:cs="宋体"/>
          <w:color w:val="auto"/>
          <w:lang w:val="en-US" w:eastAsia="zh-CN"/>
        </w:rPr>
        <w:t>消防控制室</w:t>
      </w:r>
      <w:r>
        <w:rPr>
          <w:rFonts w:hint="eastAsia" w:hAnsi="Calibri" w:cs="宋体"/>
          <w:color w:val="auto"/>
        </w:rPr>
        <w:t>应</w:t>
      </w:r>
      <w:r>
        <w:rPr>
          <w:rFonts w:hAnsi="Calibri" w:cs="宋体"/>
          <w:color w:val="auto"/>
        </w:rPr>
        <w:t>24h</w:t>
      </w:r>
      <w:r>
        <w:rPr>
          <w:rFonts w:hint="eastAsia" w:hAnsi="Calibri" w:cs="宋体"/>
          <w:color w:val="auto"/>
        </w:rPr>
        <w:t>不间断值守；</w:t>
      </w:r>
    </w:p>
    <w:p w14:paraId="482754E3">
      <w:pPr>
        <w:pStyle w:val="175"/>
        <w:numPr>
          <w:ilvl w:val="0"/>
          <w:numId w:val="33"/>
        </w:numPr>
        <w:rPr>
          <w:color w:val="auto"/>
        </w:rPr>
      </w:pPr>
      <w:r>
        <w:rPr>
          <w:rFonts w:hint="eastAsia" w:hAnsi="Calibri" w:cs="宋体"/>
          <w:color w:val="auto"/>
        </w:rPr>
        <w:t>门卫值班室、联网监控中心应配备防护装备器材，符合GA/T 1279的相关规定；</w:t>
      </w:r>
    </w:p>
    <w:p w14:paraId="2E488213">
      <w:pPr>
        <w:pStyle w:val="175"/>
        <w:numPr>
          <w:ilvl w:val="0"/>
          <w:numId w:val="33"/>
        </w:numPr>
        <w:rPr>
          <w:color w:val="auto"/>
        </w:rPr>
      </w:pPr>
      <w:r>
        <w:rPr>
          <w:rFonts w:hint="eastAsia"/>
          <w:color w:val="auto"/>
          <w:lang w:val="en-US" w:eastAsia="zh-CN"/>
        </w:rPr>
        <w:t>需</w:t>
      </w:r>
      <w:r>
        <w:rPr>
          <w:rFonts w:hint="eastAsia"/>
          <w:color w:val="auto"/>
        </w:rPr>
        <w:t>进行日常巡逻，巡逻周期和方式应根据管理需要确定。</w:t>
      </w:r>
    </w:p>
    <w:p w14:paraId="23A6A7FD">
      <w:pPr>
        <w:pStyle w:val="163"/>
        <w:rPr>
          <w:b/>
          <w:bCs/>
          <w:color w:val="auto"/>
        </w:rPr>
      </w:pPr>
      <w:r>
        <w:rPr>
          <w:rFonts w:hint="eastAsia"/>
          <w:b/>
          <w:bCs/>
          <w:color w:val="auto"/>
        </w:rPr>
        <w:t>实体防范应满足以下要求：</w:t>
      </w:r>
    </w:p>
    <w:p w14:paraId="0D832945">
      <w:pPr>
        <w:pStyle w:val="175"/>
        <w:numPr>
          <w:ilvl w:val="0"/>
          <w:numId w:val="34"/>
        </w:numPr>
        <w:rPr>
          <w:color w:val="auto"/>
        </w:rPr>
      </w:pPr>
      <w:r>
        <w:rPr>
          <w:rFonts w:hint="eastAsia"/>
          <w:color w:val="auto"/>
        </w:rPr>
        <w:t>园区周界应设置实体屏障或安全围栏，屏障外侧整体高度（含防攀爬设施）应大于或等于</w:t>
      </w:r>
      <w:r>
        <w:rPr>
          <w:color w:val="auto"/>
        </w:rPr>
        <w:t>2500mm</w:t>
      </w:r>
      <w:r>
        <w:rPr>
          <w:rFonts w:hint="eastAsia"/>
          <w:color w:val="auto"/>
        </w:rPr>
        <w:t>，安全围栏应符合GA/T 1797—2021规定的A</w:t>
      </w:r>
      <w:r>
        <w:rPr>
          <w:color w:val="auto"/>
        </w:rPr>
        <w:t>3</w:t>
      </w:r>
      <w:r>
        <w:rPr>
          <w:rFonts w:hint="eastAsia"/>
          <w:color w:val="auto"/>
        </w:rPr>
        <w:t>级及以上要求；</w:t>
      </w:r>
    </w:p>
    <w:p w14:paraId="27BED451">
      <w:pPr>
        <w:pStyle w:val="175"/>
        <w:numPr>
          <w:ilvl w:val="0"/>
          <w:numId w:val="34"/>
        </w:numPr>
        <w:rPr>
          <w:rFonts w:hint="eastAsia"/>
          <w:color w:val="auto"/>
        </w:rPr>
      </w:pPr>
      <w:r>
        <w:rPr>
          <w:rFonts w:hint="eastAsia"/>
          <w:color w:val="auto"/>
        </w:rPr>
        <w:t>园区主出入口应设置车辆阻拦装置，应符合</w:t>
      </w:r>
      <w:r>
        <w:rPr>
          <w:color w:val="auto"/>
        </w:rPr>
        <w:t>GA/T 1343—2016</w:t>
      </w:r>
      <w:r>
        <w:rPr>
          <w:rFonts w:hint="eastAsia"/>
          <w:color w:val="auto"/>
        </w:rPr>
        <w:t>规定的</w:t>
      </w:r>
      <w:r>
        <w:rPr>
          <w:color w:val="auto"/>
        </w:rPr>
        <w:t>A1</w:t>
      </w:r>
      <w:r>
        <w:rPr>
          <w:rFonts w:hint="eastAsia"/>
          <w:color w:val="auto"/>
        </w:rPr>
        <w:t>及以上要求。采用电动操作的车辆阻挡装置，应具有手动应急操作功能；</w:t>
      </w:r>
    </w:p>
    <w:p w14:paraId="2F3B17D7">
      <w:pPr>
        <w:pStyle w:val="175"/>
        <w:rPr>
          <w:color w:val="auto"/>
        </w:rPr>
      </w:pPr>
      <w:r>
        <w:rPr>
          <w:rFonts w:hint="eastAsia"/>
          <w:color w:val="auto"/>
        </w:rPr>
        <w:t>总控中心、联网监控中心、</w:t>
      </w:r>
      <w:r>
        <w:rPr>
          <w:rFonts w:hint="eastAsia"/>
          <w:color w:val="auto"/>
          <w:lang w:val="en-US" w:eastAsia="zh-CN"/>
        </w:rPr>
        <w:t>消防控制室、</w:t>
      </w:r>
      <w:r>
        <w:rPr>
          <w:rFonts w:hint="eastAsia"/>
          <w:color w:val="auto"/>
        </w:rPr>
        <w:t>数据机房、设备间、服务器机房、网络机房、数据存储中心、通讯机房、变配电室、柴油发电机房、电池室、空调机房、动力站房、不间断电源室的出入口应</w:t>
      </w:r>
      <w:r>
        <w:rPr>
          <w:rFonts w:hint="eastAsia"/>
          <w:color w:val="auto"/>
          <w:lang w:val="en-US" w:eastAsia="zh-CN"/>
        </w:rPr>
        <w:t>设置具有</w:t>
      </w:r>
      <w:r>
        <w:rPr>
          <w:rFonts w:hint="eastAsia"/>
          <w:color w:val="auto"/>
          <w:lang w:eastAsia="zh-CN"/>
        </w:rPr>
        <w:t>防盗、防火功能的安全门，</w:t>
      </w:r>
      <w:r>
        <w:rPr>
          <w:rFonts w:hint="eastAsia"/>
          <w:color w:val="auto"/>
        </w:rPr>
        <w:t>防盗应符合</w:t>
      </w:r>
      <w:r>
        <w:rPr>
          <w:color w:val="auto"/>
        </w:rPr>
        <w:t>GB 17565—2022</w:t>
      </w:r>
      <w:r>
        <w:rPr>
          <w:rFonts w:hint="eastAsia"/>
          <w:color w:val="auto"/>
        </w:rPr>
        <w:t>规定的</w:t>
      </w:r>
      <w:r>
        <w:rPr>
          <w:color w:val="auto"/>
        </w:rPr>
        <w:t>4</w:t>
      </w:r>
      <w:r>
        <w:rPr>
          <w:rFonts w:hint="eastAsia"/>
          <w:color w:val="auto"/>
        </w:rPr>
        <w:t>级及以上要求</w:t>
      </w:r>
      <w:r>
        <w:rPr>
          <w:rFonts w:hint="eastAsia"/>
          <w:color w:val="auto"/>
          <w:lang w:eastAsia="zh-CN"/>
        </w:rPr>
        <w:t>，</w:t>
      </w:r>
      <w:r>
        <w:rPr>
          <w:rFonts w:hint="eastAsia"/>
          <w:color w:val="auto"/>
        </w:rPr>
        <w:t>防火应符合GB 12955—2024规定的A</w:t>
      </w:r>
      <w:r>
        <w:rPr>
          <w:color w:val="auto"/>
        </w:rPr>
        <w:t>3</w:t>
      </w:r>
      <w:r>
        <w:rPr>
          <w:rFonts w:hint="eastAsia"/>
          <w:color w:val="auto"/>
        </w:rPr>
        <w:t>及以上要求；</w:t>
      </w:r>
    </w:p>
    <w:p w14:paraId="43C45DE4">
      <w:pPr>
        <w:pStyle w:val="175"/>
        <w:rPr>
          <w:rFonts w:hint="eastAsia" w:ascii="宋体" w:hAnsi="Times New Roman" w:eastAsia="宋体" w:cs="Times New Roman"/>
          <w:color w:val="auto"/>
        </w:rPr>
      </w:pPr>
      <w:r>
        <w:rPr>
          <w:rFonts w:hint="eastAsia" w:ascii="宋体" w:hAnsi="Times New Roman" w:eastAsia="宋体" w:cs="Times New Roman"/>
          <w:color w:val="auto"/>
        </w:rPr>
        <w:t>安全防范重要部位的</w:t>
      </w:r>
      <w:r>
        <w:rPr>
          <w:rFonts w:hint="eastAsia" w:ascii="宋体" w:hAnsi="Times New Roman" w:eastAsia="宋体" w:cs="Times New Roman"/>
          <w:color w:val="auto"/>
          <w:lang w:eastAsia="zh-CN"/>
        </w:rPr>
        <w:t>墙体</w:t>
      </w:r>
      <w:r>
        <w:rPr>
          <w:rFonts w:hint="eastAsia" w:ascii="宋体" w:hAnsi="Times New Roman" w:eastAsia="宋体" w:cs="Times New Roman"/>
          <w:color w:val="auto"/>
        </w:rPr>
        <w:t>应符合GA 38—2021规定的相关要求；</w:t>
      </w:r>
    </w:p>
    <w:p w14:paraId="2784C589">
      <w:pPr>
        <w:pStyle w:val="175"/>
        <w:rPr>
          <w:color w:val="auto"/>
        </w:rPr>
      </w:pPr>
      <w:r>
        <w:rPr>
          <w:rFonts w:hint="eastAsia" w:ascii="宋体" w:hAnsi="Times New Roman" w:eastAsia="宋体" w:cs="Times New Roman"/>
          <w:color w:val="auto"/>
        </w:rPr>
        <w:t>安全防范重要部位与外界相通的管道的横截面积大于或等于</w:t>
      </w:r>
      <w:r>
        <w:rPr>
          <w:rFonts w:hint="eastAsia" w:ascii="宋体" w:hAnsi="Times New Roman" w:eastAsia="宋体" w:cs="Times New Roman"/>
          <w:color w:val="auto"/>
          <w:lang w:val="en-US" w:eastAsia="zh-CN"/>
        </w:rPr>
        <w:t>40000mm²</w:t>
      </w:r>
      <w:r>
        <w:rPr>
          <w:rFonts w:hint="eastAsia"/>
          <w:color w:val="auto"/>
        </w:rPr>
        <w:t>时，应采用钢筋网防护,钢筋公称直径应大于或等于14 mm,网格间距应小于或等于100 mm</w:t>
      </w:r>
      <w:r>
        <w:rPr>
          <w:rFonts w:hint="eastAsia"/>
          <w:color w:val="auto"/>
          <w:lang w:val="en-US" w:eastAsia="zh-CN"/>
        </w:rPr>
        <w:t xml:space="preserve"> </w:t>
      </w:r>
      <w:r>
        <w:rPr>
          <w:rFonts w:hint="eastAsia"/>
          <w:color w:val="auto"/>
          <w:lang w:eastAsia="zh-CN"/>
        </w:rPr>
        <w:t>x</w:t>
      </w:r>
      <w:r>
        <w:rPr>
          <w:color w:val="auto"/>
        </w:rPr>
        <w:t xml:space="preserve"> </w:t>
      </w:r>
      <w:r>
        <w:rPr>
          <w:rFonts w:hint="eastAsia"/>
          <w:color w:val="auto"/>
        </w:rPr>
        <w:t>100 mm,并与管道主体牢固连接</w:t>
      </w:r>
      <w:r>
        <w:rPr>
          <w:rFonts w:hint="eastAsia"/>
          <w:color w:val="auto"/>
          <w:lang w:eastAsia="zh-CN"/>
        </w:rPr>
        <w:t>；</w:t>
      </w:r>
    </w:p>
    <w:p w14:paraId="6891570C">
      <w:pPr>
        <w:pStyle w:val="175"/>
        <w:numPr>
          <w:ilvl w:val="0"/>
          <w:numId w:val="34"/>
        </w:numPr>
        <w:rPr>
          <w:color w:val="auto"/>
        </w:rPr>
      </w:pPr>
      <w:r>
        <w:rPr>
          <w:rFonts w:hint="eastAsia" w:ascii="宋体" w:hAnsi="Times New Roman" w:eastAsia="宋体" w:cs="Times New Roman"/>
          <w:color w:val="auto"/>
        </w:rPr>
        <w:t>安全防范重要部位</w:t>
      </w:r>
      <w:r>
        <w:rPr>
          <w:rFonts w:hint="eastAsia"/>
          <w:color w:val="auto"/>
        </w:rPr>
        <w:t>与外界地面、平台或走道高差5m以下的窗户应安装钢筋防护栏,钢筋公称直径应大于或等于 14 mm,网格间距应小于或等于 100 mm</w:t>
      </w:r>
      <w:r>
        <w:rPr>
          <w:rFonts w:hint="eastAsia"/>
          <w:color w:val="auto"/>
          <w:lang w:val="en-US" w:eastAsia="zh-CN"/>
        </w:rPr>
        <w:t xml:space="preserve"> </w:t>
      </w:r>
      <w:r>
        <w:rPr>
          <w:rFonts w:hint="eastAsia"/>
          <w:color w:val="auto"/>
          <w:lang w:eastAsia="zh-CN"/>
        </w:rPr>
        <w:t>x</w:t>
      </w:r>
      <w:r>
        <w:rPr>
          <w:color w:val="auto"/>
        </w:rPr>
        <w:t xml:space="preserve"> </w:t>
      </w:r>
      <w:r>
        <w:rPr>
          <w:rFonts w:hint="eastAsia"/>
          <w:color w:val="auto"/>
        </w:rPr>
        <w:t>250 mm，或安装防砸透明材料，应</w:t>
      </w:r>
      <w:r>
        <w:rPr>
          <w:rFonts w:hint="eastAsia"/>
          <w:color w:val="auto"/>
          <w:lang w:eastAsia="zh-CN"/>
        </w:rPr>
        <w:t>符合</w:t>
      </w:r>
      <w:r>
        <w:rPr>
          <w:rFonts w:hint="eastAsia"/>
          <w:color w:val="auto"/>
        </w:rPr>
        <w:t xml:space="preserve"> GA 844-2018规定的</w:t>
      </w:r>
      <w:r>
        <w:rPr>
          <w:rFonts w:hint="eastAsia"/>
          <w:color w:val="auto"/>
          <w:lang w:val="en-US" w:eastAsia="zh-CN"/>
        </w:rPr>
        <w:t>A</w:t>
      </w:r>
      <w:r>
        <w:rPr>
          <w:rFonts w:hint="eastAsia"/>
          <w:color w:val="auto"/>
        </w:rPr>
        <w:t>级以上要求</w:t>
      </w:r>
      <w:r>
        <w:rPr>
          <w:rFonts w:hint="eastAsia"/>
          <w:color w:val="auto"/>
          <w:lang w:eastAsia="zh-CN"/>
        </w:rPr>
        <w:t>；</w:t>
      </w:r>
    </w:p>
    <w:p w14:paraId="4463A414">
      <w:pPr>
        <w:pStyle w:val="175"/>
        <w:rPr>
          <w:color w:val="auto"/>
        </w:rPr>
      </w:pPr>
      <w:r>
        <w:rPr>
          <w:rFonts w:hint="eastAsia"/>
          <w:color w:val="auto"/>
        </w:rPr>
        <w:t>防爆</w:t>
      </w:r>
      <w:r>
        <w:rPr>
          <w:rFonts w:hint="eastAsia"/>
          <w:color w:val="auto"/>
          <w:lang w:val="en-US" w:eastAsia="zh-CN"/>
        </w:rPr>
        <w:t>装置应</w:t>
      </w:r>
      <w:r>
        <w:rPr>
          <w:rFonts w:hint="eastAsia"/>
          <w:color w:val="auto"/>
        </w:rPr>
        <w:t>符合</w:t>
      </w:r>
      <w:r>
        <w:rPr>
          <w:rFonts w:hint="eastAsia"/>
          <w:color w:val="auto"/>
          <w:lang w:val="en-US" w:eastAsia="zh-CN"/>
        </w:rPr>
        <w:t>相关</w:t>
      </w:r>
      <w:r>
        <w:rPr>
          <w:rFonts w:hint="eastAsia"/>
          <w:color w:val="auto"/>
        </w:rPr>
        <w:t>规定的要求。</w:t>
      </w:r>
    </w:p>
    <w:p w14:paraId="5AB3A765">
      <w:pPr>
        <w:pStyle w:val="163"/>
        <w:rPr>
          <w:color w:val="auto"/>
        </w:rPr>
      </w:pPr>
      <w:r>
        <w:rPr>
          <w:rFonts w:hint="eastAsia"/>
          <w:color w:val="auto"/>
        </w:rPr>
        <w:t>电子防范应满足以下要求：</w:t>
      </w:r>
    </w:p>
    <w:p w14:paraId="7DA8DFEA">
      <w:pPr>
        <w:pStyle w:val="166"/>
        <w:ind w:left="0"/>
        <w:rPr>
          <w:color w:val="auto"/>
        </w:rPr>
      </w:pPr>
      <w:r>
        <w:rPr>
          <w:rFonts w:hint="eastAsia"/>
          <w:color w:val="auto"/>
        </w:rPr>
        <w:t>入侵和紧急报警系统</w:t>
      </w:r>
      <w:r>
        <w:rPr>
          <w:rFonts w:hint="eastAsia"/>
          <w:color w:val="auto"/>
          <w:lang w:val="en-US" w:eastAsia="zh-CN"/>
        </w:rPr>
        <w:t>设置应</w:t>
      </w:r>
      <w:r>
        <w:rPr>
          <w:rFonts w:hint="eastAsia"/>
          <w:color w:val="auto"/>
        </w:rPr>
        <w:t>符合以下要求：</w:t>
      </w:r>
    </w:p>
    <w:p w14:paraId="3C36808D">
      <w:pPr>
        <w:pStyle w:val="175"/>
        <w:numPr>
          <w:ilvl w:val="0"/>
          <w:numId w:val="35"/>
        </w:numPr>
        <w:rPr>
          <w:color w:val="auto"/>
        </w:rPr>
      </w:pPr>
      <w:r>
        <w:rPr>
          <w:rFonts w:hint="eastAsia"/>
          <w:color w:val="auto"/>
        </w:rPr>
        <w:t>园区周界应安装入侵探测装置，设置连续警戒线，</w:t>
      </w:r>
      <w:r>
        <w:rPr>
          <w:color w:val="auto"/>
        </w:rPr>
        <w:t>不应有盲区</w:t>
      </w:r>
      <w:r>
        <w:rPr>
          <w:rFonts w:hint="eastAsia"/>
          <w:color w:val="auto"/>
        </w:rPr>
        <w:t>；</w:t>
      </w:r>
    </w:p>
    <w:p w14:paraId="789F5BF6">
      <w:pPr>
        <w:pStyle w:val="175"/>
        <w:numPr>
          <w:ilvl w:val="0"/>
          <w:numId w:val="35"/>
        </w:numPr>
        <w:rPr>
          <w:color w:val="auto"/>
        </w:rPr>
      </w:pPr>
      <w:r>
        <w:rPr>
          <w:rFonts w:hint="eastAsia"/>
          <w:color w:val="auto"/>
        </w:rPr>
        <w:t>门卫值班室应设置紧急报警装置，</w:t>
      </w:r>
      <w:r>
        <w:rPr>
          <w:color w:val="auto"/>
        </w:rPr>
        <w:t>紧急报警信号应发送到接处警中心</w:t>
      </w:r>
      <w:r>
        <w:rPr>
          <w:rFonts w:hint="eastAsia"/>
          <w:color w:val="auto"/>
          <w:lang w:eastAsia="zh-CN"/>
        </w:rPr>
        <w:t>；</w:t>
      </w:r>
    </w:p>
    <w:p w14:paraId="17CAEE77">
      <w:pPr>
        <w:pStyle w:val="175"/>
        <w:numPr>
          <w:ilvl w:val="0"/>
          <w:numId w:val="35"/>
        </w:numPr>
        <w:rPr>
          <w:color w:val="auto"/>
        </w:rPr>
      </w:pPr>
      <w:r>
        <w:rPr>
          <w:color w:val="auto"/>
        </w:rPr>
        <w:t>入侵探测器应能与相应部位的辅助照明、视频监控及声音复核等设备联动，触发报警后，</w:t>
      </w:r>
      <w:r>
        <w:rPr>
          <w:rFonts w:hint="eastAsia"/>
          <w:color w:val="auto"/>
        </w:rPr>
        <w:t>系统</w:t>
      </w:r>
      <w:r>
        <w:rPr>
          <w:color w:val="auto"/>
        </w:rPr>
        <w:t>应能</w:t>
      </w:r>
      <w:r>
        <w:rPr>
          <w:rFonts w:hint="eastAsia"/>
          <w:color w:val="auto"/>
        </w:rPr>
        <w:t>根据各防区不同要求联动一个或多个声、光报警装置，并将报警位置、视频图像等信息发送到联网监控中心或接处警中心</w:t>
      </w:r>
      <w:r>
        <w:rPr>
          <w:rFonts w:hint="eastAsia"/>
          <w:color w:val="auto"/>
          <w:lang w:eastAsia="zh-CN"/>
        </w:rPr>
        <w:t>；</w:t>
      </w:r>
    </w:p>
    <w:p w14:paraId="2242B3B2">
      <w:pPr>
        <w:pStyle w:val="175"/>
        <w:rPr>
          <w:color w:val="auto"/>
        </w:rPr>
      </w:pPr>
      <w:r>
        <w:rPr>
          <w:rFonts w:hint="eastAsia"/>
          <w:color w:val="auto"/>
        </w:rPr>
        <w:t>其他要求应符合</w:t>
      </w:r>
      <w:r>
        <w:rPr>
          <w:color w:val="auto"/>
        </w:rPr>
        <w:t>GB/T 32581</w:t>
      </w:r>
      <w:r>
        <w:rPr>
          <w:rFonts w:hint="eastAsia"/>
          <w:color w:val="auto"/>
        </w:rPr>
        <w:t>、GA</w:t>
      </w:r>
      <w:r>
        <w:rPr>
          <w:color w:val="auto"/>
        </w:rPr>
        <w:t xml:space="preserve"> 38</w:t>
      </w:r>
      <w:r>
        <w:rPr>
          <w:rFonts w:hint="eastAsia"/>
          <w:color w:val="auto"/>
        </w:rPr>
        <w:t>、GA</w:t>
      </w:r>
      <w:r>
        <w:rPr>
          <w:color w:val="auto"/>
        </w:rPr>
        <w:t>1383</w:t>
      </w:r>
      <w:r>
        <w:rPr>
          <w:rFonts w:hint="eastAsia"/>
          <w:color w:val="auto"/>
        </w:rPr>
        <w:t>的相关规定。</w:t>
      </w:r>
    </w:p>
    <w:p w14:paraId="7AEA38A6">
      <w:pPr>
        <w:pStyle w:val="166"/>
        <w:ind w:left="0"/>
        <w:rPr>
          <w:color w:val="auto"/>
        </w:rPr>
      </w:pPr>
      <w:r>
        <w:rPr>
          <w:rFonts w:hint="eastAsia"/>
          <w:color w:val="auto"/>
        </w:rPr>
        <w:t>视频监控系统</w:t>
      </w:r>
      <w:r>
        <w:rPr>
          <w:rFonts w:hint="eastAsia"/>
          <w:color w:val="auto"/>
          <w:lang w:val="en-US" w:eastAsia="zh-CN"/>
        </w:rPr>
        <w:t>设置应</w:t>
      </w:r>
      <w:r>
        <w:rPr>
          <w:rFonts w:hint="eastAsia"/>
          <w:color w:val="auto"/>
        </w:rPr>
        <w:t>符合以下要求：</w:t>
      </w:r>
    </w:p>
    <w:p w14:paraId="48FF1763">
      <w:pPr>
        <w:pStyle w:val="175"/>
        <w:numPr>
          <w:ilvl w:val="0"/>
          <w:numId w:val="36"/>
        </w:numPr>
        <w:rPr>
          <w:color w:val="auto"/>
        </w:rPr>
      </w:pPr>
      <w:r>
        <w:rPr>
          <w:rFonts w:hint="eastAsia"/>
          <w:color w:val="auto"/>
        </w:rPr>
        <w:t>园区周界和出入口</w:t>
      </w:r>
      <w:r>
        <w:rPr>
          <w:rFonts w:hint="eastAsia"/>
          <w:color w:val="auto"/>
          <w:lang w:eastAsia="zh-CN"/>
        </w:rPr>
        <w:t>、</w:t>
      </w:r>
      <w:r>
        <w:rPr>
          <w:rFonts w:hint="eastAsia"/>
          <w:color w:val="auto"/>
          <w:lang w:val="en-US" w:eastAsia="zh-CN"/>
        </w:rPr>
        <w:t>建筑物出入口</w:t>
      </w:r>
      <w:r>
        <w:rPr>
          <w:rFonts w:hint="eastAsia"/>
          <w:color w:val="auto"/>
        </w:rPr>
        <w:t>应设置具备智能分析功能的视频图像采集装置，视频监视和回放图像应能清晰显示周界和出入口情况，并对设定的异常行为自动识别</w:t>
      </w:r>
      <w:r>
        <w:rPr>
          <w:rFonts w:hint="eastAsia"/>
          <w:color w:val="auto"/>
          <w:lang w:eastAsia="zh-CN"/>
        </w:rPr>
        <w:t>；</w:t>
      </w:r>
    </w:p>
    <w:p w14:paraId="6F03ACA1">
      <w:pPr>
        <w:pStyle w:val="175"/>
        <w:rPr>
          <w:rFonts w:hint="eastAsia" w:ascii="宋体" w:eastAsia="宋体"/>
          <w:color w:val="auto"/>
        </w:rPr>
      </w:pPr>
      <w:r>
        <w:rPr>
          <w:rFonts w:hint="eastAsia" w:ascii="宋体" w:eastAsia="宋体"/>
          <w:color w:val="auto"/>
          <w:lang w:val="en-US" w:eastAsia="zh-CN"/>
        </w:rPr>
        <w:t>总控中心、联网监控中心、数据机房</w:t>
      </w:r>
      <w:r>
        <w:rPr>
          <w:rFonts w:hint="eastAsia"/>
          <w:color w:val="auto"/>
          <w:lang w:val="en-US" w:eastAsia="zh-CN"/>
        </w:rPr>
        <w:t>、</w:t>
      </w:r>
      <w:r>
        <w:rPr>
          <w:rFonts w:hint="eastAsia"/>
          <w:color w:val="auto"/>
        </w:rPr>
        <w:t>服务器机房、网络机房、数据存储中心、通讯机房</w:t>
      </w:r>
      <w:r>
        <w:rPr>
          <w:rFonts w:hint="eastAsia" w:ascii="宋体" w:eastAsia="宋体"/>
          <w:color w:val="auto"/>
          <w:lang w:val="en-US" w:eastAsia="zh-CN"/>
        </w:rPr>
        <w:t>的出入口和内部应设置具备智能分析功能的视频图像采集装置和声音复核装置，内部无视频盲区，应能清晰显示整个区域内人员体貌特征及活动情况，</w:t>
      </w:r>
      <w:r>
        <w:rPr>
          <w:rFonts w:hint="eastAsia"/>
          <w:color w:val="auto"/>
        </w:rPr>
        <w:t>对设定的异常行为自动识别</w:t>
      </w:r>
      <w:r>
        <w:rPr>
          <w:rFonts w:hint="eastAsia"/>
          <w:color w:val="auto"/>
          <w:lang w:eastAsia="zh-CN"/>
        </w:rPr>
        <w:t>，</w:t>
      </w:r>
      <w:r>
        <w:rPr>
          <w:rFonts w:hint="eastAsia"/>
          <w:color w:val="auto"/>
        </w:rPr>
        <w:t>能清晰记录环境声音</w:t>
      </w:r>
      <w:r>
        <w:rPr>
          <w:rFonts w:hint="eastAsia"/>
          <w:color w:val="auto"/>
          <w:lang w:eastAsia="zh-CN"/>
        </w:rPr>
        <w:t>；</w:t>
      </w:r>
    </w:p>
    <w:p w14:paraId="202B3D99">
      <w:pPr>
        <w:pStyle w:val="175"/>
        <w:rPr>
          <w:rFonts w:ascii="黑体" w:eastAsia="黑体" w:cs="黑体"/>
          <w:color w:val="auto"/>
          <w:kern w:val="2"/>
          <w:szCs w:val="24"/>
        </w:rPr>
      </w:pPr>
      <w:r>
        <w:rPr>
          <w:rFonts w:hint="eastAsia"/>
          <w:color w:val="auto"/>
          <w:lang w:val="en-US" w:eastAsia="zh-CN"/>
        </w:rPr>
        <w:t>消防控制室、</w:t>
      </w:r>
      <w:r>
        <w:rPr>
          <w:rFonts w:hint="eastAsia"/>
          <w:color w:val="auto"/>
        </w:rPr>
        <w:t>设备间、变配电室、柴油发电机房、电池室、空调机房、动力站房、不间断电源室内应设置视频图像采集装置和声音复核装置,</w:t>
      </w:r>
      <w:r>
        <w:rPr>
          <w:rFonts w:hint="eastAsia"/>
          <w:color w:val="auto"/>
          <w:lang w:val="en-US" w:eastAsia="zh-CN"/>
        </w:rPr>
        <w:t>回放录像</w:t>
      </w:r>
      <w:r>
        <w:rPr>
          <w:rFonts w:hint="eastAsia" w:ascii="宋体" w:eastAsia="宋体"/>
          <w:color w:val="auto"/>
          <w:lang w:val="en-US" w:eastAsia="zh-CN"/>
        </w:rPr>
        <w:t>应能清晰显示整个区域内人</w:t>
      </w:r>
      <w:r>
        <w:rPr>
          <w:rFonts w:hint="default" w:ascii="宋体" w:eastAsia="宋体"/>
          <w:color w:val="auto"/>
          <w:lang w:val="en-US" w:eastAsia="zh-CN"/>
        </w:rPr>
        <w:t>员的活动情况</w:t>
      </w:r>
      <w:r>
        <w:rPr>
          <w:rFonts w:hint="eastAsia"/>
          <w:color w:val="auto"/>
        </w:rPr>
        <w:t>，并能清晰记录环境声音；</w:t>
      </w:r>
    </w:p>
    <w:p w14:paraId="32A28A7D">
      <w:pPr>
        <w:pStyle w:val="175"/>
        <w:numPr>
          <w:ilvl w:val="0"/>
          <w:numId w:val="36"/>
        </w:numPr>
        <w:rPr>
          <w:color w:val="auto"/>
        </w:rPr>
      </w:pPr>
      <w:r>
        <w:rPr>
          <w:rFonts w:hint="eastAsia"/>
          <w:color w:val="auto"/>
        </w:rPr>
        <w:t>建筑物内电梯、电梯厅、通道</w:t>
      </w:r>
      <w:r>
        <w:rPr>
          <w:rFonts w:hint="eastAsia"/>
          <w:color w:val="auto"/>
          <w:lang w:eastAsia="zh-CN"/>
        </w:rPr>
        <w:t>、</w:t>
      </w:r>
      <w:r>
        <w:rPr>
          <w:rFonts w:hint="eastAsia"/>
          <w:color w:val="auto"/>
          <w:lang w:val="en-US" w:eastAsia="zh-CN"/>
        </w:rPr>
        <w:t>办公区</w:t>
      </w:r>
      <w:r>
        <w:rPr>
          <w:rFonts w:hint="eastAsia"/>
          <w:color w:val="auto"/>
        </w:rPr>
        <w:t>应设置视频图像采集装置，回放图像</w:t>
      </w:r>
      <w:r>
        <w:rPr>
          <w:rFonts w:hint="eastAsia"/>
          <w:color w:val="auto"/>
          <w:lang w:val="en-US" w:eastAsia="zh-CN"/>
        </w:rPr>
        <w:t>应能覆盖</w:t>
      </w:r>
      <w:r>
        <w:rPr>
          <w:rFonts w:hint="eastAsia"/>
          <w:color w:val="auto"/>
        </w:rPr>
        <w:t>区域的人员活动情况；</w:t>
      </w:r>
    </w:p>
    <w:p w14:paraId="692F53C4">
      <w:pPr>
        <w:pStyle w:val="175"/>
        <w:rPr>
          <w:color w:val="auto"/>
        </w:rPr>
      </w:pPr>
      <w:r>
        <w:rPr>
          <w:rFonts w:hint="eastAsia"/>
          <w:color w:val="auto"/>
        </w:rPr>
        <w:t>视频监控系统应能与入侵和紧急报警系统、出入口控制系统联动，并具备视频巡查功能；</w:t>
      </w:r>
    </w:p>
    <w:p w14:paraId="321214CB">
      <w:pPr>
        <w:pStyle w:val="175"/>
        <w:rPr>
          <w:color w:val="auto"/>
        </w:rPr>
      </w:pPr>
      <w:r>
        <w:rPr>
          <w:rFonts w:hint="eastAsia"/>
          <w:color w:val="auto"/>
        </w:rPr>
        <w:t>视频智能分析设备的技术要求应符合</w:t>
      </w:r>
      <w:r>
        <w:rPr>
          <w:color w:val="auto"/>
        </w:rPr>
        <w:t>GB/T 30147</w:t>
      </w:r>
      <w:r>
        <w:rPr>
          <w:rFonts w:hint="eastAsia"/>
          <w:color w:val="auto"/>
        </w:rPr>
        <w:t>的相关规定；</w:t>
      </w:r>
    </w:p>
    <w:p w14:paraId="77AA9719">
      <w:pPr>
        <w:pStyle w:val="175"/>
        <w:rPr>
          <w:color w:val="auto"/>
        </w:rPr>
      </w:pPr>
      <w:r>
        <w:rPr>
          <w:rFonts w:hint="eastAsia"/>
          <w:color w:val="auto"/>
        </w:rPr>
        <w:t>视频图像信息应实时记录，存储时间应不少于</w:t>
      </w:r>
      <w:r>
        <w:rPr>
          <w:color w:val="auto"/>
        </w:rPr>
        <w:t>90d</w:t>
      </w:r>
      <w:r>
        <w:rPr>
          <w:rFonts w:hint="eastAsia"/>
          <w:color w:val="auto"/>
        </w:rPr>
        <w:t>，其中数据中心、灾备中心的存储时间应不少于1</w:t>
      </w:r>
      <w:r>
        <w:rPr>
          <w:color w:val="auto"/>
        </w:rPr>
        <w:t>80</w:t>
      </w:r>
      <w:r>
        <w:rPr>
          <w:rFonts w:hint="eastAsia"/>
          <w:color w:val="auto"/>
        </w:rPr>
        <w:t>d</w:t>
      </w:r>
      <w:r>
        <w:rPr>
          <w:rFonts w:hint="eastAsia"/>
          <w:color w:val="auto"/>
          <w:lang w:eastAsia="zh-CN"/>
        </w:rPr>
        <w:t>，</w:t>
      </w:r>
      <w:r>
        <w:rPr>
          <w:color w:val="auto"/>
        </w:rPr>
        <w:t>反恐重点</w:t>
      </w:r>
      <w:r>
        <w:rPr>
          <w:rFonts w:hint="eastAsia"/>
          <w:color w:val="auto"/>
          <w:lang w:val="en-US" w:eastAsia="zh-CN"/>
        </w:rPr>
        <w:t>对象</w:t>
      </w:r>
      <w:r>
        <w:rPr>
          <w:rFonts w:hint="eastAsia"/>
          <w:color w:val="auto"/>
        </w:rPr>
        <w:t>的存储时间应不少于1</w:t>
      </w:r>
      <w:r>
        <w:rPr>
          <w:color w:val="auto"/>
        </w:rPr>
        <w:t>80</w:t>
      </w:r>
      <w:r>
        <w:rPr>
          <w:rFonts w:hint="eastAsia"/>
          <w:color w:val="auto"/>
        </w:rPr>
        <w:t>d</w:t>
      </w:r>
      <w:r>
        <w:rPr>
          <w:rFonts w:hint="eastAsia"/>
          <w:color w:val="auto"/>
          <w:lang w:eastAsia="zh-CN"/>
        </w:rPr>
        <w:t>；</w:t>
      </w:r>
    </w:p>
    <w:p w14:paraId="729C62AB">
      <w:pPr>
        <w:pStyle w:val="175"/>
        <w:rPr>
          <w:color w:val="auto"/>
        </w:rPr>
      </w:pPr>
      <w:r>
        <w:rPr>
          <w:rFonts w:hint="eastAsia"/>
          <w:color w:val="auto"/>
        </w:rPr>
        <w:t>其他要求应符合G</w:t>
      </w:r>
      <w:r>
        <w:rPr>
          <w:rFonts w:hint="eastAsia"/>
          <w:color w:val="auto"/>
          <w:lang w:val="en-US" w:eastAsia="zh-CN"/>
        </w:rPr>
        <w:t>B</w:t>
      </w:r>
      <w:r>
        <w:rPr>
          <w:color w:val="auto"/>
        </w:rPr>
        <w:t xml:space="preserve"> </w:t>
      </w:r>
      <w:r>
        <w:rPr>
          <w:rFonts w:hint="eastAsia"/>
          <w:color w:val="auto"/>
          <w:lang w:val="en-US" w:eastAsia="zh-CN"/>
        </w:rPr>
        <w:t>50348</w:t>
      </w:r>
      <w:r>
        <w:rPr>
          <w:rFonts w:hint="eastAsia"/>
          <w:color w:val="auto"/>
        </w:rPr>
        <w:t>的相关规定。</w:t>
      </w:r>
    </w:p>
    <w:p w14:paraId="11FE5D78">
      <w:pPr>
        <w:pStyle w:val="163"/>
        <w:rPr>
          <w:color w:val="auto"/>
        </w:rPr>
      </w:pPr>
      <w:r>
        <w:rPr>
          <w:rFonts w:hint="eastAsia"/>
          <w:color w:val="auto"/>
        </w:rPr>
        <w:t>出入口控制系统</w:t>
      </w:r>
      <w:r>
        <w:rPr>
          <w:rFonts w:hint="eastAsia"/>
          <w:color w:val="auto"/>
          <w:lang w:val="en-US" w:eastAsia="zh-CN"/>
        </w:rPr>
        <w:t>设置应</w:t>
      </w:r>
      <w:r>
        <w:rPr>
          <w:rFonts w:hint="eastAsia"/>
          <w:color w:val="auto"/>
        </w:rPr>
        <w:t>符合以下要求：</w:t>
      </w:r>
    </w:p>
    <w:p w14:paraId="5801C3D0">
      <w:pPr>
        <w:pStyle w:val="175"/>
        <w:numPr>
          <w:ilvl w:val="0"/>
          <w:numId w:val="37"/>
        </w:numPr>
        <w:rPr>
          <w:color w:val="auto"/>
        </w:rPr>
      </w:pPr>
      <w:r>
        <w:rPr>
          <w:rFonts w:hint="eastAsia"/>
          <w:color w:val="auto"/>
        </w:rPr>
        <w:t>建筑物出入口应</w:t>
      </w:r>
      <w:r>
        <w:rPr>
          <w:rFonts w:hint="eastAsia" w:hAnsi="Calibri" w:cs="宋体"/>
          <w:color w:val="auto"/>
          <w:szCs w:val="21"/>
        </w:rPr>
        <w:t>设置</w:t>
      </w:r>
      <w:r>
        <w:rPr>
          <w:rFonts w:hint="eastAsia" w:hAnsi="宋体" w:cs="宋体"/>
          <w:color w:val="auto"/>
        </w:rPr>
        <w:t>出入口控制装置</w:t>
      </w:r>
      <w:r>
        <w:rPr>
          <w:rFonts w:hint="eastAsia" w:hAnsi="宋体" w:cs="宋体"/>
          <w:color w:val="auto"/>
          <w:lang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的二级防护要求，</w:t>
      </w:r>
      <w:r>
        <w:rPr>
          <w:rFonts w:hint="eastAsia" w:hAnsi="宋体"/>
          <w:color w:val="auto"/>
        </w:rPr>
        <w:t>支持</w:t>
      </w:r>
      <w:r>
        <w:rPr>
          <w:rFonts w:hint="eastAsia" w:hAnsi="宋体"/>
          <w:color w:val="auto"/>
          <w:lang w:val="en-US" w:eastAsia="zh-CN"/>
        </w:rPr>
        <w:t>两</w:t>
      </w:r>
      <w:r>
        <w:rPr>
          <w:rFonts w:hint="eastAsia" w:hAnsi="宋体"/>
          <w:color w:val="auto"/>
        </w:rPr>
        <w:t>种及以上识别功能</w:t>
      </w:r>
      <w:r>
        <w:rPr>
          <w:rFonts w:hint="eastAsia" w:hAnsi="宋体"/>
          <w:color w:val="auto"/>
          <w:lang w:eastAsia="zh-CN"/>
        </w:rPr>
        <w:t>；</w:t>
      </w:r>
    </w:p>
    <w:p w14:paraId="535F50E4">
      <w:pPr>
        <w:pStyle w:val="175"/>
        <w:numPr>
          <w:ilvl w:val="0"/>
          <w:numId w:val="37"/>
        </w:numPr>
        <w:rPr>
          <w:color w:val="auto"/>
        </w:rPr>
      </w:pPr>
      <w:r>
        <w:rPr>
          <w:rFonts w:hint="eastAsia"/>
          <w:color w:val="auto"/>
          <w:lang w:val="en-US" w:eastAsia="zh-CN"/>
        </w:rPr>
        <w:t>办公区与外界相邻出入口</w:t>
      </w:r>
      <w:r>
        <w:rPr>
          <w:rFonts w:hint="eastAsia"/>
          <w:color w:val="auto"/>
        </w:rPr>
        <w:t>应</w:t>
      </w:r>
      <w:r>
        <w:rPr>
          <w:rFonts w:hint="eastAsia" w:hAnsi="Calibri" w:cs="宋体"/>
          <w:color w:val="auto"/>
          <w:szCs w:val="21"/>
        </w:rPr>
        <w:t>设置</w:t>
      </w:r>
      <w:r>
        <w:rPr>
          <w:rFonts w:hint="eastAsia" w:hAnsi="宋体" w:cs="宋体"/>
          <w:color w:val="auto"/>
        </w:rPr>
        <w:t>出入口控制装置</w:t>
      </w:r>
      <w:r>
        <w:rPr>
          <w:rFonts w:hint="eastAsia" w:hAnsi="宋体" w:cs="宋体"/>
          <w:color w:val="auto"/>
          <w:lang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的一级防护要求，</w:t>
      </w:r>
      <w:r>
        <w:rPr>
          <w:rFonts w:hint="eastAsia" w:hAnsi="宋体"/>
          <w:color w:val="auto"/>
        </w:rPr>
        <w:t>支持</w:t>
      </w:r>
      <w:r>
        <w:rPr>
          <w:rFonts w:hint="eastAsia" w:hAnsi="宋体"/>
          <w:color w:val="auto"/>
          <w:lang w:val="en-US" w:eastAsia="zh-CN"/>
        </w:rPr>
        <w:t>一</w:t>
      </w:r>
      <w:r>
        <w:rPr>
          <w:rFonts w:hint="eastAsia" w:hAnsi="宋体"/>
          <w:color w:val="auto"/>
        </w:rPr>
        <w:t>种及以上识别功能</w:t>
      </w:r>
      <w:r>
        <w:rPr>
          <w:rFonts w:hint="eastAsia" w:hAnsi="宋体"/>
          <w:color w:val="auto"/>
          <w:lang w:eastAsia="zh-CN"/>
        </w:rPr>
        <w:t>；</w:t>
      </w:r>
    </w:p>
    <w:p w14:paraId="7CA4E20C">
      <w:pPr>
        <w:pStyle w:val="175"/>
        <w:numPr>
          <w:ilvl w:val="0"/>
          <w:numId w:val="37"/>
        </w:numPr>
        <w:rPr>
          <w:color w:val="auto"/>
        </w:rPr>
      </w:pPr>
      <w:r>
        <w:rPr>
          <w:rFonts w:hint="eastAsia"/>
          <w:color w:val="auto"/>
          <w:lang w:val="en-US" w:eastAsia="zh-CN"/>
        </w:rPr>
        <w:t>消防控制室</w:t>
      </w:r>
      <w:r>
        <w:rPr>
          <w:rFonts w:hint="eastAsia"/>
          <w:color w:val="auto"/>
        </w:rPr>
        <w:t>、设备间、变配电室、柴油发电机房、电池室、空调机房、动力站房、不间断电源室的出入口应设置出入口控制装置</w:t>
      </w:r>
      <w:r>
        <w:rPr>
          <w:rFonts w:hint="eastAsia"/>
          <w:color w:val="auto"/>
          <w:lang w:val="en-US"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的二级防护要求，</w:t>
      </w:r>
      <w:r>
        <w:rPr>
          <w:rFonts w:hint="eastAsia" w:hAnsi="宋体"/>
          <w:color w:val="auto"/>
        </w:rPr>
        <w:t>支持</w:t>
      </w:r>
      <w:r>
        <w:rPr>
          <w:rFonts w:hint="eastAsia" w:hAnsi="宋体"/>
          <w:color w:val="auto"/>
          <w:lang w:val="en-US" w:eastAsia="zh-CN"/>
        </w:rPr>
        <w:t>两</w:t>
      </w:r>
      <w:r>
        <w:rPr>
          <w:rFonts w:hint="eastAsia" w:hAnsi="宋体"/>
          <w:color w:val="auto"/>
        </w:rPr>
        <w:t>种及以上识别功能</w:t>
      </w:r>
      <w:r>
        <w:rPr>
          <w:rFonts w:hint="eastAsia" w:hAnsi="宋体"/>
          <w:color w:val="auto"/>
          <w:lang w:eastAsia="zh-CN"/>
        </w:rPr>
        <w:t>；</w:t>
      </w:r>
    </w:p>
    <w:p w14:paraId="6B3115C3">
      <w:pPr>
        <w:pStyle w:val="175"/>
        <w:numPr>
          <w:ilvl w:val="0"/>
          <w:numId w:val="37"/>
        </w:numPr>
        <w:rPr>
          <w:color w:val="auto"/>
        </w:rPr>
      </w:pPr>
      <w:r>
        <w:rPr>
          <w:rFonts w:hint="eastAsia"/>
          <w:color w:val="auto"/>
        </w:rPr>
        <w:t>总控中心、联网监控中心、数据机房、服务器机房、网络机房、数据存储中心、通讯机房</w:t>
      </w:r>
      <w:r>
        <w:rPr>
          <w:rFonts w:hint="eastAsia"/>
          <w:color w:val="auto"/>
          <w:lang w:eastAsia="zh-CN"/>
        </w:rPr>
        <w:t>等</w:t>
      </w:r>
      <w:r>
        <w:rPr>
          <w:rFonts w:hint="eastAsia"/>
          <w:color w:val="auto"/>
          <w:lang w:val="en-US" w:eastAsia="zh-CN"/>
        </w:rPr>
        <w:t>重要部位</w:t>
      </w:r>
      <w:r>
        <w:rPr>
          <w:rFonts w:hint="eastAsia"/>
          <w:color w:val="auto"/>
        </w:rPr>
        <w:t>出入口应设置出入口控制装置</w:t>
      </w:r>
      <w:r>
        <w:rPr>
          <w:rFonts w:hint="eastAsia"/>
          <w:color w:val="auto"/>
          <w:lang w:val="en-US"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的三级防护要求，</w:t>
      </w:r>
      <w:r>
        <w:rPr>
          <w:rFonts w:hint="eastAsia" w:hAnsi="宋体"/>
          <w:color w:val="auto"/>
        </w:rPr>
        <w:t>支持</w:t>
      </w:r>
      <w:r>
        <w:rPr>
          <w:rFonts w:hint="eastAsia" w:hAnsi="宋体"/>
          <w:color w:val="auto"/>
          <w:lang w:val="en-US" w:eastAsia="zh-CN"/>
        </w:rPr>
        <w:t>三</w:t>
      </w:r>
      <w:r>
        <w:rPr>
          <w:rFonts w:hint="eastAsia" w:hAnsi="宋体"/>
          <w:color w:val="auto"/>
        </w:rPr>
        <w:t>种及以上识别功能</w:t>
      </w:r>
      <w:r>
        <w:rPr>
          <w:rFonts w:hint="eastAsia" w:hAnsi="宋体"/>
          <w:color w:val="auto"/>
          <w:lang w:eastAsia="zh-CN"/>
        </w:rPr>
        <w:t>；</w:t>
      </w:r>
    </w:p>
    <w:p w14:paraId="407AF1CC">
      <w:pPr>
        <w:pStyle w:val="175"/>
        <w:rPr>
          <w:color w:val="auto"/>
        </w:rPr>
      </w:pPr>
      <w:r>
        <w:rPr>
          <w:rFonts w:hint="eastAsia"/>
          <w:color w:val="auto"/>
        </w:rPr>
        <w:t>人行出入口电控通道闸应符合</w:t>
      </w:r>
      <w:r>
        <w:rPr>
          <w:color w:val="auto"/>
        </w:rPr>
        <w:t>GA/T 1260</w:t>
      </w:r>
      <w:r>
        <w:rPr>
          <w:rFonts w:hint="eastAsia"/>
          <w:color w:val="auto"/>
        </w:rPr>
        <w:t>的相关规定；</w:t>
      </w:r>
    </w:p>
    <w:p w14:paraId="33B84E68">
      <w:pPr>
        <w:pStyle w:val="175"/>
        <w:rPr>
          <w:color w:val="auto"/>
        </w:rPr>
      </w:pPr>
      <w:r>
        <w:rPr>
          <w:rFonts w:hint="eastAsia"/>
          <w:color w:val="auto"/>
        </w:rPr>
        <w:t>其他要求应符合</w:t>
      </w:r>
      <w:r>
        <w:rPr>
          <w:color w:val="auto"/>
        </w:rPr>
        <w:t>GB/T 37078</w:t>
      </w:r>
      <w:r>
        <w:rPr>
          <w:rFonts w:hint="eastAsia"/>
          <w:color w:val="auto"/>
        </w:rPr>
        <w:t>、GA</w:t>
      </w:r>
      <w:r>
        <w:rPr>
          <w:color w:val="auto"/>
        </w:rPr>
        <w:t xml:space="preserve"> 38</w:t>
      </w:r>
      <w:r>
        <w:rPr>
          <w:rFonts w:hint="eastAsia"/>
          <w:color w:val="auto"/>
        </w:rPr>
        <w:t>的相关规定。</w:t>
      </w:r>
      <w:r>
        <w:rPr>
          <w:color w:val="auto"/>
        </w:rPr>
        <w:t xml:space="preserve"> </w:t>
      </w:r>
    </w:p>
    <w:p w14:paraId="098E9793">
      <w:pPr>
        <w:pStyle w:val="163"/>
        <w:rPr>
          <w:color w:val="auto"/>
        </w:rPr>
      </w:pPr>
      <w:r>
        <w:rPr>
          <w:rFonts w:hint="eastAsia"/>
          <w:color w:val="auto"/>
        </w:rPr>
        <w:t>电子巡查系统</w:t>
      </w:r>
      <w:r>
        <w:rPr>
          <w:rFonts w:hint="eastAsia"/>
          <w:color w:val="auto"/>
          <w:lang w:val="en-US" w:eastAsia="zh-CN"/>
        </w:rPr>
        <w:t>设置应</w:t>
      </w:r>
      <w:r>
        <w:rPr>
          <w:rFonts w:hint="eastAsia"/>
          <w:color w:val="auto"/>
        </w:rPr>
        <w:t>符合以下要求：</w:t>
      </w:r>
    </w:p>
    <w:p w14:paraId="4488B313">
      <w:pPr>
        <w:pStyle w:val="175"/>
        <w:numPr>
          <w:ilvl w:val="0"/>
          <w:numId w:val="38"/>
        </w:numPr>
        <w:rPr>
          <w:color w:val="auto"/>
        </w:rPr>
      </w:pPr>
      <w:r>
        <w:rPr>
          <w:rFonts w:hint="eastAsia"/>
          <w:color w:val="auto"/>
        </w:rPr>
        <w:t>巡查路线、巡查时间及方式应能根据安全管理需要进行设定和修改，</w:t>
      </w:r>
      <w:r>
        <w:rPr>
          <w:rFonts w:hint="eastAsia"/>
          <w:color w:val="auto"/>
          <w:lang w:val="en-US" w:eastAsia="zh-CN"/>
        </w:rPr>
        <w:t>需采用在线巡查方式</w:t>
      </w:r>
      <w:r>
        <w:rPr>
          <w:rFonts w:hint="eastAsia"/>
          <w:color w:val="auto"/>
        </w:rPr>
        <w:t>；</w:t>
      </w:r>
    </w:p>
    <w:p w14:paraId="44257823">
      <w:pPr>
        <w:pStyle w:val="175"/>
        <w:rPr>
          <w:color w:val="auto"/>
        </w:rPr>
      </w:pPr>
      <w:r>
        <w:rPr>
          <w:rFonts w:hint="eastAsia"/>
          <w:color w:val="auto"/>
        </w:rPr>
        <w:t>巡查记录保存时间应不小于</w:t>
      </w:r>
      <w:r>
        <w:rPr>
          <w:color w:val="auto"/>
        </w:rPr>
        <w:t>180d</w:t>
      </w:r>
      <w:r>
        <w:rPr>
          <w:rFonts w:hint="eastAsia"/>
          <w:color w:val="auto"/>
        </w:rPr>
        <w:t>；</w:t>
      </w:r>
    </w:p>
    <w:p w14:paraId="6C4CB404">
      <w:pPr>
        <w:pStyle w:val="175"/>
        <w:rPr>
          <w:color w:val="auto"/>
        </w:rPr>
      </w:pPr>
      <w:r>
        <w:rPr>
          <w:rFonts w:hint="eastAsia"/>
          <w:color w:val="auto"/>
        </w:rPr>
        <w:t>其他要求应符合GA</w:t>
      </w:r>
      <w:r>
        <w:rPr>
          <w:color w:val="auto"/>
        </w:rPr>
        <w:t xml:space="preserve"> 38</w:t>
      </w:r>
      <w:r>
        <w:rPr>
          <w:rFonts w:hint="eastAsia"/>
          <w:color w:val="auto"/>
        </w:rPr>
        <w:t>、</w:t>
      </w:r>
      <w:r>
        <w:rPr>
          <w:color w:val="auto"/>
        </w:rPr>
        <w:t>GA/T 644</w:t>
      </w:r>
      <w:r>
        <w:rPr>
          <w:rFonts w:hint="eastAsia"/>
          <w:color w:val="auto"/>
        </w:rPr>
        <w:t>的相关规定。</w:t>
      </w:r>
    </w:p>
    <w:p w14:paraId="5F6F168E">
      <w:pPr>
        <w:pStyle w:val="163"/>
        <w:rPr>
          <w:color w:val="auto"/>
        </w:rPr>
      </w:pPr>
      <w:r>
        <w:rPr>
          <w:rFonts w:hint="eastAsia"/>
          <w:color w:val="auto"/>
        </w:rPr>
        <w:t>停车场（库）安全管理系统</w:t>
      </w:r>
      <w:r>
        <w:rPr>
          <w:rFonts w:hint="eastAsia"/>
          <w:color w:val="auto"/>
          <w:lang w:val="en-US" w:eastAsia="zh-CN"/>
        </w:rPr>
        <w:t>设置应</w:t>
      </w:r>
      <w:r>
        <w:rPr>
          <w:rFonts w:hint="eastAsia"/>
          <w:color w:val="auto"/>
        </w:rPr>
        <w:t>符合以下要求：</w:t>
      </w:r>
    </w:p>
    <w:p w14:paraId="0B41D58E">
      <w:pPr>
        <w:pStyle w:val="175"/>
        <w:numPr>
          <w:ilvl w:val="0"/>
          <w:numId w:val="39"/>
        </w:numPr>
        <w:rPr>
          <w:color w:val="auto"/>
        </w:rPr>
      </w:pPr>
      <w:r>
        <w:rPr>
          <w:rFonts w:hint="eastAsia"/>
          <w:color w:val="auto"/>
        </w:rPr>
        <w:t>金融后台基地具有独立园区的，应设置停车场（库）安全管理系统；</w:t>
      </w:r>
    </w:p>
    <w:p w14:paraId="2C95D11D">
      <w:pPr>
        <w:pStyle w:val="175"/>
        <w:numPr>
          <w:ilvl w:val="0"/>
          <w:numId w:val="39"/>
        </w:numPr>
        <w:rPr>
          <w:color w:val="auto"/>
        </w:rPr>
      </w:pPr>
      <w:r>
        <w:rPr>
          <w:rFonts w:hint="eastAsia"/>
          <w:color w:val="auto"/>
        </w:rPr>
        <w:t>应具有车牌识别功能，并能同时显示并记录出入车辆号牌和驾驶员面部抓拍图像；</w:t>
      </w:r>
    </w:p>
    <w:p w14:paraId="5D275460">
      <w:pPr>
        <w:pStyle w:val="175"/>
        <w:numPr>
          <w:ilvl w:val="0"/>
          <w:numId w:val="39"/>
        </w:numPr>
        <w:rPr>
          <w:color w:val="auto"/>
        </w:rPr>
      </w:pPr>
      <w:r>
        <w:rPr>
          <w:rFonts w:hint="eastAsia"/>
          <w:color w:val="auto"/>
        </w:rPr>
        <w:t>应具有出入车辆信息、日志等记录和管理功能，信息存储时间大于或等于180</w:t>
      </w:r>
      <w:r>
        <w:rPr>
          <w:color w:val="auto"/>
        </w:rPr>
        <w:t>d</w:t>
      </w:r>
      <w:r>
        <w:rPr>
          <w:rFonts w:hint="eastAsia"/>
          <w:color w:val="auto"/>
        </w:rPr>
        <w:t>；</w:t>
      </w:r>
    </w:p>
    <w:p w14:paraId="5998273E">
      <w:pPr>
        <w:pStyle w:val="175"/>
        <w:rPr>
          <w:color w:val="auto"/>
        </w:rPr>
      </w:pPr>
      <w:r>
        <w:rPr>
          <w:rFonts w:hint="eastAsia"/>
          <w:color w:val="auto"/>
        </w:rPr>
        <w:t>视频图像信息存储时间应大于或等于90</w:t>
      </w:r>
      <w:r>
        <w:rPr>
          <w:color w:val="auto"/>
        </w:rPr>
        <w:t xml:space="preserve"> d</w:t>
      </w:r>
      <w:r>
        <w:rPr>
          <w:rFonts w:hint="eastAsia"/>
          <w:color w:val="auto"/>
        </w:rPr>
        <w:t>；</w:t>
      </w:r>
    </w:p>
    <w:p w14:paraId="400154CB">
      <w:pPr>
        <w:pStyle w:val="175"/>
        <w:rPr>
          <w:color w:val="auto"/>
        </w:rPr>
      </w:pPr>
      <w:r>
        <w:rPr>
          <w:rFonts w:hint="eastAsia"/>
          <w:color w:val="auto"/>
        </w:rPr>
        <w:t>其他要求应符合GA/T 761的相关规定。</w:t>
      </w:r>
    </w:p>
    <w:p w14:paraId="41071EBB">
      <w:pPr>
        <w:pStyle w:val="163"/>
        <w:rPr>
          <w:color w:val="auto"/>
        </w:rPr>
      </w:pPr>
      <w:r>
        <w:rPr>
          <w:rFonts w:hint="eastAsia"/>
          <w:color w:val="auto"/>
        </w:rPr>
        <w:t>安全防范管理平台</w:t>
      </w:r>
      <w:r>
        <w:rPr>
          <w:rFonts w:hint="eastAsia"/>
          <w:color w:val="auto"/>
          <w:lang w:val="en-US" w:eastAsia="zh-CN"/>
        </w:rPr>
        <w:t>设置应</w:t>
      </w:r>
      <w:r>
        <w:rPr>
          <w:rFonts w:hint="eastAsia"/>
          <w:color w:val="auto"/>
        </w:rPr>
        <w:t>符合以下要求：</w:t>
      </w:r>
    </w:p>
    <w:p w14:paraId="520A174A">
      <w:pPr>
        <w:pStyle w:val="175"/>
        <w:numPr>
          <w:ilvl w:val="0"/>
          <w:numId w:val="40"/>
        </w:numPr>
        <w:rPr>
          <w:color w:val="auto"/>
        </w:rPr>
      </w:pPr>
      <w:r>
        <w:rPr>
          <w:rFonts w:hint="eastAsia"/>
          <w:color w:val="auto"/>
        </w:rPr>
        <w:t>应能实现对入侵和紧急报警、视频监控、出入口控制、电子巡查、停车场（库）安全管理、安全检查、高空抛物监测等子系统的集成与管理；</w:t>
      </w:r>
    </w:p>
    <w:p w14:paraId="28717A28">
      <w:pPr>
        <w:pStyle w:val="175"/>
        <w:rPr>
          <w:color w:val="auto"/>
        </w:rPr>
      </w:pPr>
      <w:r>
        <w:rPr>
          <w:rFonts w:hint="eastAsia"/>
          <w:color w:val="auto"/>
        </w:rPr>
        <w:t>应具有集成管理、信息管理、用户管理、设备管理、联动控制、日志管理、统计分析、系统校时、预案管理、人机交互、联网共享、指挥调度、智能应用、系统运维、安全管控</w:t>
      </w:r>
      <w:r>
        <w:rPr>
          <w:rFonts w:hint="eastAsia"/>
          <w:color w:val="auto"/>
          <w:lang w:eastAsia="zh-CN"/>
        </w:rPr>
        <w:t>、电子地图</w:t>
      </w:r>
      <w:r>
        <w:rPr>
          <w:rFonts w:hint="eastAsia"/>
          <w:color w:val="auto"/>
        </w:rPr>
        <w:t>等功能；</w:t>
      </w:r>
      <w:r>
        <w:rPr>
          <w:color w:val="auto"/>
        </w:rPr>
        <w:t xml:space="preserve"> </w:t>
      </w:r>
    </w:p>
    <w:p w14:paraId="3350DCF4">
      <w:pPr>
        <w:pStyle w:val="105"/>
        <w:spacing w:before="312" w:after="312"/>
        <w:rPr>
          <w:color w:val="auto"/>
        </w:rPr>
      </w:pPr>
      <w:bookmarkStart w:id="53" w:name="_Toc190867484"/>
      <w:bookmarkStart w:id="54" w:name="_Toc200568986"/>
      <w:r>
        <w:rPr>
          <w:rFonts w:hint="eastAsia"/>
          <w:color w:val="auto"/>
        </w:rPr>
        <w:t>培训中心安全防范要求</w:t>
      </w:r>
      <w:bookmarkEnd w:id="53"/>
      <w:bookmarkEnd w:id="54"/>
    </w:p>
    <w:p w14:paraId="788FC24A">
      <w:pPr>
        <w:pStyle w:val="163"/>
        <w:rPr>
          <w:color w:val="auto"/>
        </w:rPr>
      </w:pPr>
      <w:r>
        <w:rPr>
          <w:rFonts w:hint="eastAsia"/>
          <w:color w:val="auto"/>
        </w:rPr>
        <w:t>联网监控中心、设备间应设置紧急报警装置，</w:t>
      </w:r>
      <w:r>
        <w:rPr>
          <w:color w:val="auto"/>
        </w:rPr>
        <w:t>紧急报警信号应发送到接处警中心</w:t>
      </w:r>
      <w:r>
        <w:rPr>
          <w:rFonts w:hint="eastAsia"/>
          <w:color w:val="auto"/>
        </w:rPr>
        <w:t>。</w:t>
      </w:r>
    </w:p>
    <w:p w14:paraId="7FA13C46">
      <w:pPr>
        <w:pStyle w:val="163"/>
        <w:rPr>
          <w:color w:val="auto"/>
        </w:rPr>
      </w:pPr>
      <w:r>
        <w:rPr>
          <w:rFonts w:hint="eastAsia"/>
          <w:color w:val="auto"/>
          <w:lang w:val="en-US" w:eastAsia="zh-CN"/>
        </w:rPr>
        <w:t>办公区与外界相邻出入口应设置出入口控制装置,应符合GA/T 37078规定的一级防护要求，支持一种及以上识别功能。</w:t>
      </w:r>
    </w:p>
    <w:p w14:paraId="45F4E472">
      <w:pPr>
        <w:pStyle w:val="163"/>
        <w:rPr>
          <w:color w:val="auto"/>
        </w:rPr>
      </w:pPr>
      <w:r>
        <w:rPr>
          <w:rFonts w:hint="eastAsia"/>
          <w:color w:val="auto"/>
        </w:rPr>
        <w:t>宜设置</w:t>
      </w:r>
      <w:r>
        <w:rPr>
          <w:rFonts w:hint="eastAsia"/>
          <w:color w:val="auto"/>
          <w:lang w:eastAsia="zh-CN"/>
        </w:rPr>
        <w:t>电子巡查</w:t>
      </w:r>
      <w:r>
        <w:rPr>
          <w:rFonts w:hint="eastAsia"/>
          <w:color w:val="auto"/>
        </w:rPr>
        <w:t>系统。</w:t>
      </w:r>
    </w:p>
    <w:p w14:paraId="42B18D9C">
      <w:pPr>
        <w:pStyle w:val="105"/>
        <w:spacing w:before="312" w:after="312"/>
        <w:rPr>
          <w:color w:val="auto"/>
        </w:rPr>
      </w:pPr>
      <w:bookmarkStart w:id="55" w:name="_Toc190867488"/>
      <w:bookmarkStart w:id="56" w:name="_Toc200568989"/>
      <w:r>
        <w:rPr>
          <w:rFonts w:hint="eastAsia"/>
          <w:color w:val="auto"/>
        </w:rPr>
        <w:t>研发中心安全防范要求</w:t>
      </w:r>
      <w:bookmarkEnd w:id="55"/>
      <w:bookmarkEnd w:id="56"/>
    </w:p>
    <w:p w14:paraId="6D6AEDE8">
      <w:pPr>
        <w:pStyle w:val="106"/>
        <w:spacing w:before="156" w:after="156"/>
        <w:rPr>
          <w:color w:val="auto"/>
        </w:rPr>
      </w:pPr>
      <w:bookmarkStart w:id="57" w:name="_Toc200568991"/>
      <w:r>
        <w:rPr>
          <w:rFonts w:hint="eastAsia"/>
          <w:color w:val="auto"/>
        </w:rPr>
        <w:t>实体防范要求</w:t>
      </w:r>
      <w:bookmarkEnd w:id="57"/>
    </w:p>
    <w:p w14:paraId="05236CD0">
      <w:pPr>
        <w:pStyle w:val="166"/>
        <w:ind w:left="0"/>
        <w:rPr>
          <w:color w:val="auto"/>
        </w:rPr>
      </w:pPr>
      <w:r>
        <w:rPr>
          <w:rFonts w:hint="eastAsia" w:ascii="宋体" w:eastAsia="宋体"/>
          <w:color w:val="auto"/>
          <w:lang w:val="en-US" w:eastAsia="zh-CN"/>
        </w:rPr>
        <w:t>建筑物与外界相通的主出入口</w:t>
      </w:r>
      <w:r>
        <w:rPr>
          <w:rFonts w:hint="eastAsia"/>
          <w:color w:val="auto"/>
        </w:rPr>
        <w:t>应配置防盗安全门</w:t>
      </w:r>
      <w:r>
        <w:rPr>
          <w:rFonts w:hint="eastAsia" w:ascii="宋体" w:eastAsia="宋体"/>
          <w:color w:val="auto"/>
          <w:lang w:val="en-US" w:eastAsia="zh-CN"/>
        </w:rPr>
        <w:t>或符合GA/T 1499—2018中乙级及以上要求的卷帘门，锁具应符合 GA/T73—2015</w:t>
      </w:r>
      <w:r>
        <w:rPr>
          <w:rFonts w:hint="default" w:ascii="宋体" w:eastAsia="宋体"/>
          <w:color w:val="auto"/>
          <w:lang w:val="en-US" w:eastAsia="zh-CN"/>
        </w:rPr>
        <w:t>中 B级及以上的要求</w:t>
      </w:r>
      <w:r>
        <w:rPr>
          <w:rFonts w:hint="eastAsia" w:ascii="宋体" w:eastAsia="宋体"/>
          <w:color w:val="auto"/>
          <w:lang w:val="en-US" w:eastAsia="zh-CN"/>
        </w:rPr>
        <w:t>；</w:t>
      </w:r>
      <w:r>
        <w:rPr>
          <w:rFonts w:hint="eastAsia"/>
          <w:color w:val="auto"/>
        </w:rPr>
        <w:t>与外界相通的其它出入口应设置</w:t>
      </w:r>
      <w:r>
        <w:rPr>
          <w:rFonts w:hint="eastAsia"/>
          <w:color w:val="auto"/>
          <w:lang w:val="en-US" w:eastAsia="zh-CN"/>
        </w:rPr>
        <w:t>具有</w:t>
      </w:r>
      <w:r>
        <w:rPr>
          <w:rFonts w:hint="eastAsia"/>
          <w:color w:val="auto"/>
          <w:lang w:eastAsia="zh-CN"/>
        </w:rPr>
        <w:t>防盗、防火功能的安全门</w:t>
      </w:r>
      <w:r>
        <w:rPr>
          <w:rFonts w:hint="eastAsia"/>
          <w:color w:val="auto"/>
        </w:rPr>
        <w:t>。</w:t>
      </w:r>
    </w:p>
    <w:p w14:paraId="100395DE">
      <w:pPr>
        <w:pStyle w:val="166"/>
        <w:ind w:left="0"/>
        <w:rPr>
          <w:color w:val="auto"/>
        </w:rPr>
      </w:pPr>
      <w:r>
        <w:rPr>
          <w:rFonts w:hint="eastAsia"/>
          <w:color w:val="auto"/>
          <w:lang w:val="en-US" w:eastAsia="zh-CN"/>
        </w:rPr>
        <w:t>重要部位</w:t>
      </w:r>
      <w:r>
        <w:rPr>
          <w:rFonts w:hint="eastAsia"/>
          <w:color w:val="auto"/>
        </w:rPr>
        <w:t>外窗应安装</w:t>
      </w:r>
      <w:r>
        <w:rPr>
          <w:rFonts w:hint="eastAsia"/>
          <w:color w:val="auto"/>
          <w:lang w:val="en-US" w:eastAsia="zh-CN"/>
        </w:rPr>
        <w:t>钢筋</w:t>
      </w:r>
      <w:r>
        <w:rPr>
          <w:rFonts w:hint="eastAsia"/>
          <w:color w:val="auto"/>
        </w:rPr>
        <w:t>防护栏</w:t>
      </w:r>
      <w:r>
        <w:rPr>
          <w:rFonts w:hint="eastAsia"/>
          <w:color w:val="auto"/>
          <w:lang w:val="en-US" w:eastAsia="zh-CN"/>
        </w:rPr>
        <w:t>或</w:t>
      </w:r>
      <w:r>
        <w:rPr>
          <w:rFonts w:hint="eastAsia"/>
          <w:color w:val="auto"/>
        </w:rPr>
        <w:t>使用防砸透明材料。</w:t>
      </w:r>
    </w:p>
    <w:p w14:paraId="4D011D7B">
      <w:pPr>
        <w:pStyle w:val="166"/>
        <w:ind w:left="0"/>
        <w:rPr>
          <w:color w:val="auto"/>
        </w:rPr>
      </w:pPr>
      <w:r>
        <w:rPr>
          <w:rFonts w:hint="eastAsia"/>
          <w:color w:val="auto"/>
        </w:rPr>
        <w:t>重要资料档案室</w:t>
      </w:r>
      <w:r>
        <w:rPr>
          <w:rFonts w:hint="eastAsia"/>
          <w:color w:val="auto"/>
          <w:lang w:eastAsia="zh-CN"/>
        </w:rPr>
        <w:t>、</w:t>
      </w:r>
      <w:r>
        <w:rPr>
          <w:rFonts w:hint="eastAsia"/>
          <w:color w:val="auto"/>
          <w:lang w:val="en-US" w:eastAsia="zh-CN"/>
        </w:rPr>
        <w:t>开发室应配置具有</w:t>
      </w:r>
      <w:r>
        <w:rPr>
          <w:rFonts w:hint="eastAsia"/>
          <w:color w:val="auto"/>
          <w:lang w:eastAsia="zh-CN"/>
        </w:rPr>
        <w:t>防盗、防火功能的安全门</w:t>
      </w:r>
      <w:r>
        <w:rPr>
          <w:rFonts w:hint="eastAsia"/>
          <w:color w:val="auto"/>
        </w:rPr>
        <w:t>。</w:t>
      </w:r>
    </w:p>
    <w:p w14:paraId="745C8276">
      <w:pPr>
        <w:pStyle w:val="106"/>
        <w:spacing w:before="156" w:after="156"/>
        <w:rPr>
          <w:color w:val="auto"/>
        </w:rPr>
      </w:pPr>
      <w:bookmarkStart w:id="58" w:name="_Toc200568992"/>
      <w:r>
        <w:rPr>
          <w:rFonts w:hint="eastAsia"/>
          <w:color w:val="auto"/>
        </w:rPr>
        <w:t>电子防范要求</w:t>
      </w:r>
      <w:bookmarkEnd w:id="58"/>
    </w:p>
    <w:p w14:paraId="2D732623">
      <w:pPr>
        <w:pStyle w:val="166"/>
        <w:ind w:left="0"/>
        <w:rPr>
          <w:color w:val="auto"/>
        </w:rPr>
      </w:pPr>
      <w:r>
        <w:rPr>
          <w:rFonts w:hint="eastAsia"/>
          <w:color w:val="auto"/>
        </w:rPr>
        <w:t>建筑物应设置周界入侵探测装置和具有智能分析功能的视频图像采集装置，应能对周界区域设定的异常行为进行自动识别。</w:t>
      </w:r>
    </w:p>
    <w:p w14:paraId="2143CFB6">
      <w:pPr>
        <w:pStyle w:val="166"/>
        <w:ind w:left="0"/>
        <w:rPr>
          <w:color w:val="auto"/>
        </w:rPr>
      </w:pPr>
      <w:r>
        <w:rPr>
          <w:rFonts w:hint="eastAsia"/>
          <w:color w:val="auto"/>
        </w:rPr>
        <w:t>数据机房、联网监控中心</w:t>
      </w:r>
      <w:r>
        <w:rPr>
          <w:rFonts w:hint="eastAsia"/>
          <w:color w:val="auto"/>
          <w:lang w:eastAsia="zh-CN"/>
        </w:rPr>
        <w:t>、</w:t>
      </w:r>
      <w:r>
        <w:rPr>
          <w:rFonts w:hint="eastAsia"/>
          <w:color w:val="auto"/>
        </w:rPr>
        <w:t>设备间、重要资料档案</w:t>
      </w:r>
      <w:r>
        <w:rPr>
          <w:rFonts w:hint="eastAsia"/>
          <w:color w:val="auto"/>
          <w:lang w:eastAsia="zh-CN"/>
        </w:rPr>
        <w:t>、</w:t>
      </w:r>
      <w:r>
        <w:rPr>
          <w:rFonts w:hint="eastAsia"/>
          <w:color w:val="auto"/>
          <w:lang w:val="en-US" w:eastAsia="zh-CN"/>
        </w:rPr>
        <w:t>开发室</w:t>
      </w:r>
      <w:r>
        <w:rPr>
          <w:rFonts w:hint="eastAsia"/>
          <w:color w:val="auto"/>
        </w:rPr>
        <w:t>等重要部位应设置紧急报警装置，</w:t>
      </w:r>
      <w:r>
        <w:rPr>
          <w:color w:val="auto"/>
        </w:rPr>
        <w:t>紧急报警信号应发送到接处警中心</w:t>
      </w:r>
      <w:r>
        <w:rPr>
          <w:rFonts w:hint="eastAsia"/>
          <w:color w:val="auto"/>
        </w:rPr>
        <w:t>。</w:t>
      </w:r>
    </w:p>
    <w:p w14:paraId="3FA01CE9">
      <w:pPr>
        <w:pStyle w:val="166"/>
        <w:ind w:left="0"/>
        <w:rPr>
          <w:color w:val="auto"/>
        </w:rPr>
      </w:pPr>
      <w:r>
        <w:rPr>
          <w:rFonts w:hint="eastAsia"/>
          <w:color w:val="auto"/>
        </w:rPr>
        <w:t>建筑物与外界相通的出入口、</w:t>
      </w:r>
      <w:r>
        <w:rPr>
          <w:color w:val="auto"/>
        </w:rPr>
        <w:t>与外界地面及平台或走道高差5m以下的窗户和玻璃幕墙、</w:t>
      </w:r>
      <w:r>
        <w:rPr>
          <w:rFonts w:hint="eastAsia"/>
          <w:color w:val="auto"/>
        </w:rPr>
        <w:t>数据机房、联网监控中心、</w:t>
      </w:r>
      <w:r>
        <w:rPr>
          <w:rFonts w:hint="eastAsia"/>
          <w:color w:val="auto"/>
          <w:lang w:val="en-US" w:eastAsia="zh-CN"/>
        </w:rPr>
        <w:t>消防控制室</w:t>
      </w:r>
      <w:r>
        <w:rPr>
          <w:rFonts w:hint="eastAsia"/>
          <w:color w:val="auto"/>
        </w:rPr>
        <w:t>、设备间、重要资料档案室</w:t>
      </w:r>
      <w:r>
        <w:rPr>
          <w:rFonts w:hint="eastAsia"/>
          <w:color w:val="auto"/>
          <w:lang w:eastAsia="zh-CN"/>
        </w:rPr>
        <w:t>、</w:t>
      </w:r>
      <w:r>
        <w:rPr>
          <w:rFonts w:hint="eastAsia"/>
          <w:color w:val="auto"/>
          <w:lang w:val="en-US" w:eastAsia="zh-CN"/>
        </w:rPr>
        <w:t>开发室</w:t>
      </w:r>
      <w:r>
        <w:rPr>
          <w:rFonts w:hint="eastAsia"/>
          <w:color w:val="auto"/>
        </w:rPr>
        <w:t>等重要部位</w:t>
      </w:r>
      <w:r>
        <w:rPr>
          <w:color w:val="auto"/>
        </w:rPr>
        <w:t>应安装入侵探测器</w:t>
      </w:r>
      <w:r>
        <w:rPr>
          <w:rFonts w:hint="eastAsia"/>
          <w:color w:val="auto"/>
        </w:rPr>
        <w:t>。</w:t>
      </w:r>
    </w:p>
    <w:p w14:paraId="0222F5BC">
      <w:pPr>
        <w:pStyle w:val="163"/>
        <w:rPr>
          <w:color w:val="auto"/>
        </w:rPr>
      </w:pPr>
      <w:r>
        <w:rPr>
          <w:rFonts w:hint="eastAsia"/>
          <w:color w:val="auto"/>
        </w:rPr>
        <w:t>设备间、重要资料档案室的</w:t>
      </w:r>
      <w:r>
        <w:rPr>
          <w:rFonts w:hint="eastAsia" w:hAnsi="Calibri" w:cs="宋体"/>
          <w:color w:val="auto"/>
          <w:szCs w:val="21"/>
        </w:rPr>
        <w:t>出入口</w:t>
      </w:r>
      <w:r>
        <w:rPr>
          <w:rFonts w:hint="eastAsia"/>
          <w:color w:val="auto"/>
        </w:rPr>
        <w:t>应</w:t>
      </w:r>
      <w:r>
        <w:rPr>
          <w:rFonts w:hint="eastAsia" w:hAnsi="Calibri" w:cs="宋体"/>
          <w:color w:val="auto"/>
          <w:szCs w:val="21"/>
        </w:rPr>
        <w:t>设置</w:t>
      </w:r>
      <w:r>
        <w:rPr>
          <w:rFonts w:hint="eastAsia" w:hAnsi="宋体" w:cs="宋体"/>
          <w:color w:val="auto"/>
        </w:rPr>
        <w:t>出入口控制装置</w:t>
      </w:r>
      <w:r>
        <w:rPr>
          <w:rFonts w:hint="eastAsia"/>
          <w:color w:val="auto"/>
          <w:lang w:val="en-US"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的二级防护要求，支持两种及以上识别功能。</w:t>
      </w:r>
    </w:p>
    <w:p w14:paraId="2F693BED">
      <w:pPr>
        <w:pStyle w:val="166"/>
        <w:ind w:left="0"/>
        <w:rPr>
          <w:color w:val="auto"/>
        </w:rPr>
      </w:pPr>
      <w:r>
        <w:rPr>
          <w:rFonts w:hint="eastAsia" w:hAnsi="Calibri" w:cs="宋体"/>
          <w:color w:val="auto"/>
          <w:szCs w:val="21"/>
        </w:rPr>
        <w:t>建筑物主出入口宜设置</w:t>
      </w:r>
      <w:r>
        <w:rPr>
          <w:rFonts w:hint="eastAsia"/>
          <w:color w:val="auto"/>
        </w:rPr>
        <w:t>人行出入口电控通道闸。</w:t>
      </w:r>
    </w:p>
    <w:p w14:paraId="41E289D1">
      <w:pPr>
        <w:pStyle w:val="166"/>
        <w:ind w:left="0"/>
        <w:rPr>
          <w:color w:val="auto"/>
        </w:rPr>
      </w:pPr>
      <w:r>
        <w:rPr>
          <w:rFonts w:hint="eastAsia"/>
          <w:color w:val="auto"/>
        </w:rPr>
        <w:t>安全防范重要部位</w:t>
      </w:r>
      <w:r>
        <w:rPr>
          <w:rFonts w:hint="eastAsia"/>
          <w:color w:val="auto"/>
          <w:lang w:val="en-US" w:eastAsia="zh-CN"/>
        </w:rPr>
        <w:t>宜</w:t>
      </w:r>
      <w:r>
        <w:rPr>
          <w:rFonts w:hint="eastAsia"/>
          <w:color w:val="auto"/>
        </w:rPr>
        <w:t>设置</w:t>
      </w:r>
      <w:r>
        <w:rPr>
          <w:rFonts w:hint="eastAsia"/>
          <w:color w:val="auto"/>
          <w:lang w:eastAsia="zh-CN"/>
        </w:rPr>
        <w:t>电子巡查</w:t>
      </w:r>
      <w:r>
        <w:rPr>
          <w:rFonts w:hint="eastAsia"/>
          <w:color w:val="auto"/>
        </w:rPr>
        <w:t>系统。</w:t>
      </w:r>
    </w:p>
    <w:p w14:paraId="03D1CC82">
      <w:pPr>
        <w:pStyle w:val="105"/>
        <w:spacing w:before="312" w:after="312"/>
        <w:rPr>
          <w:color w:val="auto"/>
        </w:rPr>
      </w:pPr>
      <w:bookmarkStart w:id="59" w:name="_Toc200568993"/>
      <w:bookmarkStart w:id="60" w:name="_Toc190867492"/>
      <w:r>
        <w:rPr>
          <w:rFonts w:hint="eastAsia"/>
          <w:color w:val="auto"/>
        </w:rPr>
        <w:t>远程业务中心安全防范要求</w:t>
      </w:r>
      <w:bookmarkEnd w:id="59"/>
      <w:bookmarkEnd w:id="60"/>
    </w:p>
    <w:p w14:paraId="16C3B415">
      <w:pPr>
        <w:pStyle w:val="106"/>
        <w:spacing w:before="156" w:after="156"/>
        <w:rPr>
          <w:color w:val="auto"/>
        </w:rPr>
      </w:pPr>
      <w:bookmarkStart w:id="61" w:name="_Toc200568995"/>
      <w:r>
        <w:rPr>
          <w:rFonts w:hint="eastAsia"/>
          <w:color w:val="auto"/>
        </w:rPr>
        <w:t>实体防范要求</w:t>
      </w:r>
      <w:bookmarkEnd w:id="61"/>
    </w:p>
    <w:p w14:paraId="6CF31D21">
      <w:pPr>
        <w:pStyle w:val="166"/>
        <w:ind w:left="0"/>
        <w:rPr>
          <w:color w:val="auto"/>
        </w:rPr>
      </w:pPr>
      <w:r>
        <w:rPr>
          <w:rFonts w:hint="eastAsia" w:ascii="宋体" w:eastAsia="宋体"/>
          <w:color w:val="auto"/>
          <w:lang w:val="en-US" w:eastAsia="zh-CN"/>
        </w:rPr>
        <w:t>建筑物与外界相通的主出入口</w:t>
      </w:r>
      <w:r>
        <w:rPr>
          <w:rFonts w:hint="eastAsia"/>
          <w:color w:val="auto"/>
        </w:rPr>
        <w:t>应配置防盗安全门</w:t>
      </w:r>
      <w:r>
        <w:rPr>
          <w:rFonts w:hint="eastAsia" w:ascii="宋体" w:eastAsia="宋体"/>
          <w:color w:val="auto"/>
          <w:lang w:val="en-US" w:eastAsia="zh-CN"/>
        </w:rPr>
        <w:t>或符合GA/T 1499—2018中乙级及以上要求的卷帘门，锁具应符合 GA/T73—2015</w:t>
      </w:r>
      <w:r>
        <w:rPr>
          <w:rFonts w:hint="default" w:ascii="宋体" w:eastAsia="宋体"/>
          <w:color w:val="auto"/>
          <w:lang w:val="en-US" w:eastAsia="zh-CN"/>
        </w:rPr>
        <w:t>中 B级及以上的要求</w:t>
      </w:r>
      <w:r>
        <w:rPr>
          <w:rFonts w:hint="eastAsia" w:ascii="宋体" w:eastAsia="宋体"/>
          <w:color w:val="auto"/>
          <w:lang w:val="en-US" w:eastAsia="zh-CN"/>
        </w:rPr>
        <w:t>；</w:t>
      </w:r>
      <w:r>
        <w:rPr>
          <w:rFonts w:hint="eastAsia"/>
          <w:color w:val="auto"/>
        </w:rPr>
        <w:t>与外界相通的其它出入口应设置</w:t>
      </w:r>
      <w:r>
        <w:rPr>
          <w:rFonts w:hint="eastAsia"/>
          <w:color w:val="auto"/>
          <w:lang w:val="en-US" w:eastAsia="zh-CN"/>
        </w:rPr>
        <w:t>具有</w:t>
      </w:r>
      <w:r>
        <w:rPr>
          <w:rFonts w:hint="eastAsia"/>
          <w:color w:val="auto"/>
          <w:lang w:eastAsia="zh-CN"/>
        </w:rPr>
        <w:t>防盗、防火功能的安全门</w:t>
      </w:r>
      <w:r>
        <w:rPr>
          <w:rFonts w:hint="eastAsia"/>
          <w:color w:val="auto"/>
        </w:rPr>
        <w:t>。</w:t>
      </w:r>
    </w:p>
    <w:p w14:paraId="62E0A4A6">
      <w:pPr>
        <w:pStyle w:val="166"/>
        <w:ind w:left="0"/>
        <w:rPr>
          <w:color w:val="auto"/>
        </w:rPr>
      </w:pPr>
      <w:r>
        <w:rPr>
          <w:rFonts w:hint="eastAsia"/>
          <w:color w:val="auto"/>
          <w:lang w:val="en-US" w:eastAsia="zh-CN"/>
        </w:rPr>
        <w:t>重要部位</w:t>
      </w:r>
      <w:r>
        <w:rPr>
          <w:rFonts w:hint="eastAsia"/>
          <w:color w:val="auto"/>
        </w:rPr>
        <w:t>外窗应安装</w:t>
      </w:r>
      <w:r>
        <w:rPr>
          <w:rFonts w:hint="eastAsia"/>
          <w:color w:val="auto"/>
          <w:lang w:val="en-US" w:eastAsia="zh-CN"/>
        </w:rPr>
        <w:t>钢筋</w:t>
      </w:r>
      <w:r>
        <w:rPr>
          <w:rFonts w:hint="eastAsia"/>
          <w:color w:val="auto"/>
        </w:rPr>
        <w:t>防护栏</w:t>
      </w:r>
      <w:r>
        <w:rPr>
          <w:rFonts w:hint="eastAsia"/>
          <w:color w:val="auto"/>
          <w:lang w:val="en-US" w:eastAsia="zh-CN"/>
        </w:rPr>
        <w:t>或</w:t>
      </w:r>
      <w:r>
        <w:rPr>
          <w:rFonts w:hint="eastAsia"/>
          <w:color w:val="auto"/>
        </w:rPr>
        <w:t>使用防砸透明材料。</w:t>
      </w:r>
    </w:p>
    <w:p w14:paraId="7BA1CC10">
      <w:pPr>
        <w:pStyle w:val="166"/>
        <w:ind w:left="0"/>
        <w:rPr>
          <w:color w:val="auto"/>
        </w:rPr>
      </w:pPr>
      <w:r>
        <w:rPr>
          <w:rFonts w:hint="eastAsia"/>
          <w:color w:val="auto"/>
        </w:rPr>
        <w:t>重要资料档案室应配置</w:t>
      </w:r>
      <w:r>
        <w:rPr>
          <w:rFonts w:hint="eastAsia"/>
          <w:color w:val="auto"/>
          <w:lang w:val="en-US" w:eastAsia="zh-CN"/>
        </w:rPr>
        <w:t>具有</w:t>
      </w:r>
      <w:r>
        <w:rPr>
          <w:rFonts w:hint="eastAsia"/>
          <w:color w:val="auto"/>
          <w:lang w:eastAsia="zh-CN"/>
        </w:rPr>
        <w:t>防盗、防火功能的安全门</w:t>
      </w:r>
      <w:r>
        <w:rPr>
          <w:rFonts w:hint="eastAsia"/>
          <w:color w:val="auto"/>
        </w:rPr>
        <w:t>。</w:t>
      </w:r>
    </w:p>
    <w:p w14:paraId="5567A6EE">
      <w:pPr>
        <w:pStyle w:val="106"/>
        <w:spacing w:before="156" w:after="156"/>
        <w:rPr>
          <w:color w:val="auto"/>
        </w:rPr>
      </w:pPr>
      <w:bookmarkStart w:id="62" w:name="_Toc200568996"/>
      <w:r>
        <w:rPr>
          <w:rFonts w:hint="eastAsia"/>
          <w:color w:val="auto"/>
        </w:rPr>
        <w:t>电子防范要求</w:t>
      </w:r>
      <w:bookmarkEnd w:id="62"/>
    </w:p>
    <w:p w14:paraId="7D8F7C41">
      <w:pPr>
        <w:pStyle w:val="166"/>
        <w:ind w:left="0"/>
        <w:rPr>
          <w:color w:val="auto"/>
        </w:rPr>
      </w:pPr>
      <w:r>
        <w:rPr>
          <w:rFonts w:hint="eastAsia"/>
          <w:color w:val="auto"/>
        </w:rPr>
        <w:t>建筑物应设置周界入侵探测装置和具有智能分析功能的视频图像采集装置，应能对周界区域设定的异常行为进行自动识别。</w:t>
      </w:r>
    </w:p>
    <w:p w14:paraId="7C89CC34">
      <w:pPr>
        <w:pStyle w:val="166"/>
        <w:ind w:left="0"/>
        <w:rPr>
          <w:color w:val="auto"/>
        </w:rPr>
      </w:pPr>
      <w:r>
        <w:rPr>
          <w:rFonts w:hint="eastAsia"/>
          <w:color w:val="auto"/>
        </w:rPr>
        <w:t>建筑物与外界相通的出入口、</w:t>
      </w:r>
      <w:r>
        <w:rPr>
          <w:color w:val="auto"/>
        </w:rPr>
        <w:t>窗户和玻璃幕墙</w:t>
      </w:r>
      <w:r>
        <w:rPr>
          <w:rFonts w:hint="eastAsia"/>
          <w:color w:val="auto"/>
        </w:rPr>
        <w:t>，以及数据机房、联网监控中心、设备间、重要资料档案室等重要部位</w:t>
      </w:r>
      <w:r>
        <w:rPr>
          <w:color w:val="auto"/>
        </w:rPr>
        <w:t>应安装入侵探测器</w:t>
      </w:r>
      <w:r>
        <w:rPr>
          <w:rFonts w:hint="eastAsia"/>
          <w:color w:val="auto"/>
        </w:rPr>
        <w:t>。</w:t>
      </w:r>
    </w:p>
    <w:p w14:paraId="5B3EDAC2">
      <w:pPr>
        <w:pStyle w:val="166"/>
        <w:ind w:left="0"/>
        <w:rPr>
          <w:color w:val="auto"/>
        </w:rPr>
      </w:pPr>
      <w:r>
        <w:rPr>
          <w:rFonts w:hint="eastAsia"/>
          <w:color w:val="auto"/>
        </w:rPr>
        <w:t>业务操作区、联网监控中心、设备间、重要资料档案室等重要部位应设置紧急报警装置，</w:t>
      </w:r>
      <w:r>
        <w:rPr>
          <w:color w:val="auto"/>
        </w:rPr>
        <w:t>紧急报警信号应发送到接处警中心</w:t>
      </w:r>
      <w:r>
        <w:rPr>
          <w:rFonts w:hint="eastAsia"/>
          <w:color w:val="auto"/>
        </w:rPr>
        <w:t>。</w:t>
      </w:r>
    </w:p>
    <w:p w14:paraId="0A68EB88">
      <w:pPr>
        <w:pStyle w:val="166"/>
        <w:ind w:left="0"/>
        <w:rPr>
          <w:rFonts w:hint="eastAsia"/>
          <w:color w:val="auto"/>
        </w:rPr>
      </w:pPr>
      <w:r>
        <w:rPr>
          <w:rFonts w:hint="eastAsia"/>
          <w:color w:val="auto"/>
          <w:lang w:val="en-US" w:eastAsia="zh-CN"/>
        </w:rPr>
        <w:t>设备间、业</w:t>
      </w:r>
      <w:r>
        <w:rPr>
          <w:rFonts w:hint="eastAsia"/>
          <w:color w:val="auto"/>
        </w:rPr>
        <w:t>务操作区、重要资料档案室的出入口应设置出入口控制装置</w:t>
      </w:r>
      <w:r>
        <w:rPr>
          <w:rFonts w:hint="eastAsia"/>
          <w:color w:val="auto"/>
          <w:lang w:val="en-US" w:eastAsia="zh-CN"/>
        </w:rPr>
        <w:t>,</w:t>
      </w:r>
      <w:r>
        <w:rPr>
          <w:rFonts w:hint="eastAsia"/>
          <w:color w:val="auto"/>
        </w:rPr>
        <w:t xml:space="preserve">应符合GA/T </w:t>
      </w:r>
      <w:r>
        <w:rPr>
          <w:rFonts w:hint="eastAsia"/>
          <w:color w:val="auto"/>
          <w:lang w:val="en-US" w:eastAsia="zh-CN"/>
        </w:rPr>
        <w:t>37078</w:t>
      </w:r>
      <w:r>
        <w:rPr>
          <w:rFonts w:hint="eastAsia"/>
          <w:color w:val="auto"/>
        </w:rPr>
        <w:t>规定</w:t>
      </w:r>
      <w:r>
        <w:rPr>
          <w:rFonts w:hint="eastAsia"/>
          <w:color w:val="auto"/>
          <w:lang w:val="en-US" w:eastAsia="zh-CN"/>
        </w:rPr>
        <w:t>的二级防护要求，支持两种及以上识别功能；</w:t>
      </w:r>
    </w:p>
    <w:p w14:paraId="1A9B3DA9">
      <w:pPr>
        <w:pStyle w:val="166"/>
        <w:ind w:left="0"/>
        <w:rPr>
          <w:rFonts w:hint="eastAsia"/>
          <w:color w:val="auto"/>
        </w:rPr>
      </w:pPr>
      <w:r>
        <w:rPr>
          <w:rFonts w:hint="eastAsia"/>
          <w:color w:val="auto"/>
          <w:lang w:val="en-US" w:eastAsia="zh-CN"/>
        </w:rPr>
        <w:t>园区周界、</w:t>
      </w:r>
      <w:r>
        <w:rPr>
          <w:rFonts w:hint="eastAsia"/>
          <w:color w:val="auto"/>
        </w:rPr>
        <w:t>建筑物与外界相通的出入口</w:t>
      </w:r>
      <w:r>
        <w:rPr>
          <w:rFonts w:hint="eastAsia"/>
          <w:color w:val="auto"/>
          <w:lang w:val="en-US" w:eastAsia="zh-CN"/>
        </w:rPr>
        <w:t>、</w:t>
      </w:r>
      <w:r>
        <w:rPr>
          <w:rFonts w:hint="eastAsia"/>
          <w:color w:val="auto"/>
        </w:rPr>
        <w:t>安全防范重点部位应设置电子巡查装置。</w:t>
      </w:r>
    </w:p>
    <w:p w14:paraId="3101093C">
      <w:pPr>
        <w:pStyle w:val="166"/>
        <w:ind w:left="0"/>
        <w:rPr>
          <w:color w:val="auto"/>
        </w:rPr>
      </w:pPr>
      <w:r>
        <w:rPr>
          <w:rFonts w:hint="eastAsia" w:hAnsi="Calibri" w:cs="宋体"/>
          <w:color w:val="auto"/>
          <w:szCs w:val="21"/>
        </w:rPr>
        <w:t>所在建筑物主出入口宜设置</w:t>
      </w:r>
      <w:r>
        <w:rPr>
          <w:rFonts w:hint="eastAsia"/>
          <w:color w:val="auto"/>
        </w:rPr>
        <w:t>人行出入口电控通道闸。</w:t>
      </w:r>
    </w:p>
    <w:p w14:paraId="5BC26850">
      <w:pPr>
        <w:pStyle w:val="105"/>
        <w:spacing w:before="312" w:after="312"/>
        <w:rPr>
          <w:color w:val="auto"/>
        </w:rPr>
      </w:pPr>
      <w:bookmarkStart w:id="63" w:name="_Toc190867496"/>
      <w:bookmarkStart w:id="64" w:name="_Toc200568997"/>
      <w:r>
        <w:rPr>
          <w:rFonts w:hint="eastAsia"/>
          <w:color w:val="auto"/>
        </w:rPr>
        <w:t>数据中心、灾备中心安全防范要求</w:t>
      </w:r>
      <w:bookmarkEnd w:id="63"/>
      <w:bookmarkEnd w:id="64"/>
    </w:p>
    <w:p w14:paraId="2C34A755">
      <w:pPr>
        <w:pStyle w:val="106"/>
        <w:spacing w:before="156" w:after="156"/>
        <w:rPr>
          <w:color w:val="auto"/>
        </w:rPr>
      </w:pPr>
      <w:r>
        <w:rPr>
          <w:rFonts w:hint="eastAsia"/>
          <w:color w:val="auto"/>
        </w:rPr>
        <w:t>人力防范要求</w:t>
      </w:r>
    </w:p>
    <w:p w14:paraId="3AD90BB6">
      <w:pPr>
        <w:pStyle w:val="166"/>
        <w:ind w:left="0"/>
        <w:rPr>
          <w:color w:val="auto"/>
        </w:rPr>
      </w:pPr>
      <w:r>
        <w:rPr>
          <w:rFonts w:hint="eastAsia"/>
          <w:color w:val="auto"/>
        </w:rPr>
        <w:t>园区主出入口门卫值班室应配备安保人员，对进入人员</w:t>
      </w:r>
      <w:r>
        <w:rPr>
          <w:rFonts w:hint="eastAsia"/>
          <w:color w:val="auto"/>
          <w:lang w:eastAsia="zh-CN"/>
        </w:rPr>
        <w:t>、</w:t>
      </w:r>
      <w:r>
        <w:rPr>
          <w:rFonts w:hint="eastAsia"/>
          <w:color w:val="auto"/>
          <w:lang w:val="en-US" w:eastAsia="zh-CN"/>
        </w:rPr>
        <w:t>车辆等信息</w:t>
      </w:r>
      <w:r>
        <w:rPr>
          <w:rFonts w:hint="eastAsia"/>
          <w:color w:val="auto"/>
        </w:rPr>
        <w:t>进行身份核验</w:t>
      </w:r>
      <w:r>
        <w:rPr>
          <w:rFonts w:hint="eastAsia" w:ascii="Calibri" w:hAnsi="Calibri" w:cs="宋体"/>
          <w:color w:val="auto"/>
          <w:szCs w:val="21"/>
        </w:rPr>
        <w:t>和信息登记。</w:t>
      </w:r>
    </w:p>
    <w:p w14:paraId="57EE58AA">
      <w:pPr>
        <w:pStyle w:val="166"/>
        <w:ind w:left="0"/>
        <w:rPr>
          <w:color w:val="auto"/>
        </w:rPr>
      </w:pPr>
      <w:r>
        <w:rPr>
          <w:rFonts w:hint="eastAsia"/>
          <w:color w:val="auto"/>
        </w:rPr>
        <w:t>数据</w:t>
      </w:r>
      <w:r>
        <w:rPr>
          <w:rFonts w:hint="eastAsia"/>
          <w:color w:val="auto"/>
          <w:lang w:val="en-US" w:eastAsia="zh-CN"/>
        </w:rPr>
        <w:t>中心</w:t>
      </w:r>
      <w:r>
        <w:rPr>
          <w:rFonts w:hint="eastAsia"/>
          <w:color w:val="auto"/>
        </w:rPr>
        <w:t>机房应设置门卫值班室，配备安检员</w:t>
      </w:r>
      <w:r>
        <w:rPr>
          <w:rFonts w:hint="eastAsia"/>
          <w:color w:val="auto"/>
          <w:lang w:val="en-US" w:eastAsia="zh-CN"/>
        </w:rPr>
        <w:t>和安检设备，</w:t>
      </w:r>
      <w:r>
        <w:rPr>
          <w:rFonts w:hint="eastAsia"/>
          <w:color w:val="auto"/>
        </w:rPr>
        <w:t>对进</w:t>
      </w:r>
      <w:r>
        <w:rPr>
          <w:rFonts w:hint="eastAsia"/>
          <w:color w:val="auto"/>
          <w:lang w:val="en-US" w:eastAsia="zh-CN"/>
        </w:rPr>
        <w:t>出所有</w:t>
      </w:r>
      <w:r>
        <w:rPr>
          <w:rFonts w:hint="eastAsia"/>
          <w:color w:val="auto"/>
        </w:rPr>
        <w:t>人员</w:t>
      </w:r>
      <w:r>
        <w:rPr>
          <w:rFonts w:hint="eastAsia"/>
          <w:color w:val="auto"/>
          <w:lang w:val="en-US" w:eastAsia="zh-CN"/>
        </w:rPr>
        <w:t>及</w:t>
      </w:r>
      <w:r>
        <w:rPr>
          <w:rFonts w:hint="eastAsia"/>
          <w:color w:val="auto"/>
        </w:rPr>
        <w:t>携带物品进行安全检查。</w:t>
      </w:r>
    </w:p>
    <w:p w14:paraId="3EA1C30E">
      <w:pPr>
        <w:pStyle w:val="166"/>
        <w:ind w:left="0"/>
        <w:rPr>
          <w:color w:val="auto"/>
        </w:rPr>
      </w:pPr>
      <w:r>
        <w:rPr>
          <w:rFonts w:hint="eastAsia"/>
          <w:color w:val="auto"/>
        </w:rPr>
        <w:t>安检员应经过安检专业技术培训，并考核合格。</w:t>
      </w:r>
    </w:p>
    <w:p w14:paraId="1D6428D5">
      <w:pPr>
        <w:pStyle w:val="106"/>
        <w:spacing w:before="156" w:after="156"/>
        <w:rPr>
          <w:color w:val="auto"/>
        </w:rPr>
      </w:pPr>
      <w:r>
        <w:rPr>
          <w:rFonts w:hint="eastAsia"/>
          <w:color w:val="auto"/>
        </w:rPr>
        <w:t>实体防范要求</w:t>
      </w:r>
    </w:p>
    <w:p w14:paraId="2F14458A">
      <w:pPr>
        <w:pStyle w:val="166"/>
        <w:ind w:left="0"/>
        <w:rPr>
          <w:rFonts w:ascii="宋体" w:eastAsia="宋体"/>
          <w:color w:val="auto"/>
        </w:rPr>
      </w:pPr>
      <w:r>
        <w:rPr>
          <w:rFonts w:hint="eastAsia" w:ascii="宋体" w:eastAsia="宋体"/>
          <w:color w:val="auto"/>
        </w:rPr>
        <w:t>园区周界应设置实体屏障或安全围栏，屏障外侧整体高度（含防攀爬设施）应大于或等于</w:t>
      </w:r>
      <w:r>
        <w:rPr>
          <w:rFonts w:ascii="宋体" w:eastAsia="宋体"/>
          <w:color w:val="auto"/>
        </w:rPr>
        <w:t>2500mm</w:t>
      </w:r>
      <w:r>
        <w:rPr>
          <w:rFonts w:hint="eastAsia" w:ascii="宋体" w:eastAsia="宋体"/>
          <w:color w:val="auto"/>
        </w:rPr>
        <w:t>，安全围栏应符合GA/T 1797—2021规定的A</w:t>
      </w:r>
      <w:r>
        <w:rPr>
          <w:rFonts w:ascii="宋体" w:eastAsia="宋体"/>
          <w:color w:val="auto"/>
        </w:rPr>
        <w:t>3</w:t>
      </w:r>
      <w:r>
        <w:rPr>
          <w:rFonts w:hint="eastAsia" w:ascii="宋体" w:eastAsia="宋体"/>
          <w:color w:val="auto"/>
        </w:rPr>
        <w:t>级及以上要求；</w:t>
      </w:r>
    </w:p>
    <w:p w14:paraId="7F5C1F61">
      <w:pPr>
        <w:pStyle w:val="166"/>
        <w:ind w:left="0"/>
        <w:rPr>
          <w:color w:val="auto"/>
        </w:rPr>
      </w:pPr>
      <w:r>
        <w:rPr>
          <w:rFonts w:hint="eastAsia" w:ascii="宋体" w:eastAsia="宋体"/>
          <w:color w:val="auto"/>
        </w:rPr>
        <w:t>园区主出入口应设置车辆阻拦装置，应符合</w:t>
      </w:r>
      <w:r>
        <w:rPr>
          <w:rFonts w:ascii="宋体" w:eastAsia="宋体"/>
          <w:color w:val="auto"/>
        </w:rPr>
        <w:t>GA/T 1343—2016</w:t>
      </w:r>
      <w:r>
        <w:rPr>
          <w:rFonts w:hint="eastAsia" w:ascii="宋体" w:eastAsia="宋体"/>
          <w:color w:val="auto"/>
        </w:rPr>
        <w:t>规定的</w:t>
      </w:r>
      <w:r>
        <w:rPr>
          <w:rFonts w:ascii="宋体" w:eastAsia="宋体"/>
          <w:color w:val="auto"/>
        </w:rPr>
        <w:t>A1</w:t>
      </w:r>
      <w:r>
        <w:rPr>
          <w:rFonts w:hint="eastAsia" w:ascii="宋体" w:eastAsia="宋体"/>
          <w:color w:val="auto"/>
        </w:rPr>
        <w:t>及以上要求。采用电动操作的车辆阻挡装置，应具有手动应急操作功能</w:t>
      </w:r>
      <w:r>
        <w:rPr>
          <w:rFonts w:hint="eastAsia" w:ascii="宋体" w:eastAsia="宋体"/>
          <w:color w:val="auto"/>
          <w:lang w:eastAsia="zh-CN"/>
        </w:rPr>
        <w:t>。</w:t>
      </w:r>
    </w:p>
    <w:p w14:paraId="2277BAB9">
      <w:pPr>
        <w:pStyle w:val="166"/>
        <w:ind w:left="0"/>
        <w:rPr>
          <w:color w:val="auto"/>
        </w:rPr>
      </w:pPr>
      <w:r>
        <w:rPr>
          <w:rFonts w:hint="eastAsia" w:ascii="宋体" w:eastAsia="宋体"/>
          <w:color w:val="auto"/>
          <w:lang w:val="en-US" w:eastAsia="zh-CN"/>
        </w:rPr>
        <w:t>建筑物与外界相邻的墙体应采用符合建筑设计规范的钢筋混凝土墙、</w:t>
      </w:r>
      <w:r>
        <w:rPr>
          <w:rFonts w:hint="default" w:ascii="宋体" w:eastAsia="宋体"/>
          <w:color w:val="auto"/>
          <w:lang w:val="en-US" w:eastAsia="zh-CN"/>
        </w:rPr>
        <w:t>砌体墙、装配式墙等</w:t>
      </w:r>
      <w:r>
        <w:rPr>
          <w:rFonts w:hint="eastAsia" w:ascii="宋体" w:eastAsia="宋体"/>
          <w:color w:val="auto"/>
          <w:lang w:val="en-US" w:eastAsia="zh-CN"/>
        </w:rPr>
        <w:t>；</w:t>
      </w:r>
      <w:r>
        <w:rPr>
          <w:rFonts w:hint="eastAsia" w:ascii="宋体" w:eastAsia="宋体"/>
          <w:color w:val="auto"/>
        </w:rPr>
        <w:t>安全防范重要部位的</w:t>
      </w:r>
      <w:r>
        <w:rPr>
          <w:rFonts w:hint="eastAsia" w:ascii="宋体" w:eastAsia="宋体"/>
          <w:color w:val="auto"/>
          <w:lang w:eastAsia="zh-CN"/>
        </w:rPr>
        <w:t>墙体</w:t>
      </w:r>
      <w:r>
        <w:rPr>
          <w:rFonts w:hint="eastAsia" w:ascii="宋体" w:eastAsia="宋体"/>
          <w:color w:val="auto"/>
        </w:rPr>
        <w:t>应符合GA 38—2021规定的相关要求</w:t>
      </w:r>
      <w:r>
        <w:rPr>
          <w:rFonts w:hint="eastAsia" w:ascii="宋体" w:eastAsia="宋体"/>
          <w:color w:val="auto"/>
          <w:lang w:eastAsia="zh-CN"/>
        </w:rPr>
        <w:t>。</w:t>
      </w:r>
    </w:p>
    <w:p w14:paraId="460D318E">
      <w:pPr>
        <w:pStyle w:val="166"/>
        <w:ind w:left="0"/>
        <w:rPr>
          <w:color w:val="auto"/>
        </w:rPr>
      </w:pPr>
      <w:r>
        <w:rPr>
          <w:rFonts w:hint="eastAsia"/>
          <w:color w:val="auto"/>
        </w:rPr>
        <w:t>数据</w:t>
      </w:r>
      <w:r>
        <w:rPr>
          <w:rFonts w:hint="eastAsia"/>
          <w:color w:val="auto"/>
          <w:lang w:val="en-US" w:eastAsia="zh-CN"/>
        </w:rPr>
        <w:t>中心、灾备中心</w:t>
      </w:r>
      <w:r>
        <w:rPr>
          <w:rFonts w:hint="eastAsia"/>
          <w:color w:val="auto"/>
        </w:rPr>
        <w:t>所在建筑物与外界相通的主出入口应配置防盗安全门</w:t>
      </w:r>
      <w:r>
        <w:rPr>
          <w:rFonts w:hint="eastAsia" w:ascii="宋体" w:eastAsia="宋体"/>
          <w:color w:val="auto"/>
          <w:lang w:val="en-US" w:eastAsia="zh-CN"/>
        </w:rPr>
        <w:t>或符合GA/T 1499—2018中乙级及以上要求的卷帘门，锁具应符合 GA/T73—2015</w:t>
      </w:r>
      <w:r>
        <w:rPr>
          <w:rFonts w:hint="default" w:ascii="宋体" w:eastAsia="宋体"/>
          <w:color w:val="auto"/>
          <w:lang w:val="en-US" w:eastAsia="zh-CN"/>
        </w:rPr>
        <w:t>中 B级及以上的要求</w:t>
      </w:r>
      <w:r>
        <w:rPr>
          <w:rFonts w:hint="eastAsia" w:ascii="宋体" w:eastAsia="宋体"/>
          <w:color w:val="auto"/>
          <w:lang w:val="en-US" w:eastAsia="zh-CN"/>
        </w:rPr>
        <w:t>；</w:t>
      </w:r>
      <w:r>
        <w:rPr>
          <w:rFonts w:hint="eastAsia"/>
          <w:color w:val="auto"/>
        </w:rPr>
        <w:t>与外界相通的其它出入口应设置</w:t>
      </w:r>
      <w:r>
        <w:rPr>
          <w:rFonts w:hint="eastAsia"/>
          <w:color w:val="auto"/>
          <w:lang w:val="en-US" w:eastAsia="zh-CN"/>
        </w:rPr>
        <w:t>具有</w:t>
      </w:r>
      <w:r>
        <w:rPr>
          <w:rFonts w:hint="eastAsia"/>
          <w:color w:val="auto"/>
          <w:lang w:eastAsia="zh-CN"/>
        </w:rPr>
        <w:t>防盗、防火功能的安全门</w:t>
      </w:r>
      <w:r>
        <w:rPr>
          <w:rFonts w:hint="eastAsia"/>
          <w:color w:val="auto"/>
        </w:rPr>
        <w:t>。</w:t>
      </w:r>
    </w:p>
    <w:p w14:paraId="015F9F6D">
      <w:pPr>
        <w:pStyle w:val="166"/>
        <w:ind w:left="0"/>
        <w:rPr>
          <w:color w:val="auto"/>
        </w:rPr>
      </w:pPr>
      <w:r>
        <w:rPr>
          <w:rFonts w:hint="eastAsia"/>
          <w:color w:val="auto"/>
        </w:rPr>
        <w:t>外窗应安装</w:t>
      </w:r>
      <w:r>
        <w:rPr>
          <w:rFonts w:hint="eastAsia"/>
          <w:color w:val="auto"/>
          <w:lang w:val="en-US" w:eastAsia="zh-CN"/>
        </w:rPr>
        <w:t>钢筋</w:t>
      </w:r>
      <w:r>
        <w:rPr>
          <w:rFonts w:hint="eastAsia"/>
          <w:color w:val="auto"/>
        </w:rPr>
        <w:t>防护栏</w:t>
      </w:r>
      <w:r>
        <w:rPr>
          <w:rFonts w:hint="eastAsia"/>
          <w:color w:val="auto"/>
          <w:lang w:val="en-US" w:eastAsia="zh-CN"/>
        </w:rPr>
        <w:t>或</w:t>
      </w:r>
      <w:r>
        <w:rPr>
          <w:rFonts w:hint="eastAsia"/>
          <w:color w:val="auto"/>
        </w:rPr>
        <w:t>使用防砸透明材料</w:t>
      </w:r>
      <w:r>
        <w:rPr>
          <w:rFonts w:hint="eastAsia"/>
          <w:color w:val="auto"/>
          <w:lang w:eastAsia="zh-CN"/>
        </w:rPr>
        <w:t>、</w:t>
      </w:r>
      <w:r>
        <w:rPr>
          <w:rFonts w:hint="eastAsia"/>
          <w:color w:val="auto"/>
        </w:rPr>
        <w:t>防弹透明材料。</w:t>
      </w:r>
    </w:p>
    <w:p w14:paraId="0E82FCF0">
      <w:pPr>
        <w:pStyle w:val="166"/>
        <w:ind w:left="0"/>
        <w:rPr>
          <w:color w:val="auto"/>
        </w:rPr>
      </w:pPr>
      <w:r>
        <w:rPr>
          <w:rFonts w:hint="eastAsia"/>
          <w:color w:val="auto"/>
        </w:rPr>
        <w:t>数据</w:t>
      </w:r>
      <w:r>
        <w:rPr>
          <w:rFonts w:hint="eastAsia"/>
          <w:color w:val="auto"/>
          <w:lang w:val="en-US" w:eastAsia="zh-CN"/>
        </w:rPr>
        <w:t>中心、灾备中心</w:t>
      </w:r>
      <w:r>
        <w:rPr>
          <w:rFonts w:hint="eastAsia"/>
          <w:color w:val="auto"/>
        </w:rPr>
        <w:t>所在建筑物内应设置业务值班室，出入口应设置</w:t>
      </w:r>
      <w:r>
        <w:rPr>
          <w:rFonts w:hint="eastAsia"/>
          <w:color w:val="auto"/>
          <w:lang w:val="en-US" w:eastAsia="zh-CN"/>
        </w:rPr>
        <w:t>防火</w:t>
      </w:r>
      <w:r>
        <w:rPr>
          <w:rFonts w:hint="eastAsia"/>
          <w:color w:val="auto"/>
        </w:rPr>
        <w:t>防盗安全门，值班室</w:t>
      </w:r>
      <w:r>
        <w:rPr>
          <w:rFonts w:hint="eastAsia"/>
          <w:color w:val="auto"/>
          <w:lang w:val="en-US" w:eastAsia="zh-CN"/>
        </w:rPr>
        <w:t>窗户</w:t>
      </w:r>
      <w:r>
        <w:rPr>
          <w:rFonts w:hint="eastAsia"/>
          <w:color w:val="auto"/>
        </w:rPr>
        <w:t>应安装</w:t>
      </w:r>
      <w:r>
        <w:rPr>
          <w:rFonts w:hint="eastAsia"/>
          <w:color w:val="auto"/>
          <w:lang w:val="en-US" w:eastAsia="zh-CN"/>
        </w:rPr>
        <w:t>钢筋</w:t>
      </w:r>
      <w:r>
        <w:rPr>
          <w:rFonts w:hint="eastAsia"/>
          <w:color w:val="auto"/>
        </w:rPr>
        <w:t>防护栏</w:t>
      </w:r>
      <w:r>
        <w:rPr>
          <w:rFonts w:hint="eastAsia"/>
          <w:color w:val="auto"/>
          <w:lang w:val="en-US" w:eastAsia="zh-CN"/>
        </w:rPr>
        <w:t>或</w:t>
      </w:r>
      <w:r>
        <w:rPr>
          <w:rFonts w:hint="eastAsia"/>
          <w:color w:val="auto"/>
        </w:rPr>
        <w:t>使用防砸透明材料</w:t>
      </w:r>
      <w:r>
        <w:rPr>
          <w:rFonts w:hint="eastAsia"/>
          <w:color w:val="auto"/>
          <w:lang w:eastAsia="zh-CN"/>
        </w:rPr>
        <w:t>、</w:t>
      </w:r>
      <w:r>
        <w:rPr>
          <w:rFonts w:hint="eastAsia"/>
          <w:color w:val="auto"/>
        </w:rPr>
        <w:t>防弹透明材料。</w:t>
      </w:r>
    </w:p>
    <w:p w14:paraId="6F148F90">
      <w:pPr>
        <w:pStyle w:val="166"/>
        <w:ind w:left="0"/>
        <w:rPr>
          <w:color w:val="auto"/>
        </w:rPr>
      </w:pPr>
      <w:r>
        <w:rPr>
          <w:rFonts w:hint="eastAsia"/>
          <w:color w:val="auto"/>
        </w:rPr>
        <w:t>数据</w:t>
      </w:r>
      <w:r>
        <w:rPr>
          <w:rFonts w:hint="eastAsia"/>
          <w:color w:val="auto"/>
          <w:lang w:val="en-US" w:eastAsia="zh-CN"/>
        </w:rPr>
        <w:t>中心、灾备中心</w:t>
      </w:r>
      <w:r>
        <w:rPr>
          <w:rFonts w:hint="eastAsia"/>
          <w:color w:val="auto"/>
        </w:rPr>
        <w:t>的机房区、</w:t>
      </w:r>
      <w:r>
        <w:rPr>
          <w:color w:val="auto"/>
        </w:rPr>
        <w:t>动力区、辅助区等区域之间应进行独立设置,不应有给水、排水、空调冷凝 水管道、燃气管道</w:t>
      </w:r>
      <w:r>
        <w:rPr>
          <w:rFonts w:hint="eastAsia"/>
          <w:color w:val="auto"/>
        </w:rPr>
        <w:t>。</w:t>
      </w:r>
    </w:p>
    <w:p w14:paraId="32848BFA">
      <w:pPr>
        <w:pStyle w:val="166"/>
        <w:ind w:left="0"/>
        <w:rPr>
          <w:color w:val="auto"/>
        </w:rPr>
      </w:pPr>
      <w:r>
        <w:rPr>
          <w:rFonts w:hint="eastAsia"/>
          <w:color w:val="auto"/>
        </w:rPr>
        <w:t>园区设有柴油发电用油储油罐的，地上储油罐区域应设置栅栏等实体防护设施</w:t>
      </w:r>
      <w:r>
        <w:rPr>
          <w:rFonts w:hint="eastAsia"/>
          <w:color w:val="auto"/>
          <w:lang w:val="en-US" w:eastAsia="zh-CN"/>
        </w:rPr>
        <w:t>并设置警示牌</w:t>
      </w:r>
      <w:r>
        <w:rPr>
          <w:rFonts w:hint="eastAsia"/>
          <w:color w:val="auto"/>
        </w:rPr>
        <w:t>。</w:t>
      </w:r>
    </w:p>
    <w:p w14:paraId="41C44D04">
      <w:pPr>
        <w:pStyle w:val="106"/>
        <w:spacing w:before="156" w:after="156"/>
        <w:rPr>
          <w:color w:val="auto"/>
        </w:rPr>
      </w:pPr>
      <w:r>
        <w:rPr>
          <w:rFonts w:hint="eastAsia"/>
          <w:color w:val="auto"/>
        </w:rPr>
        <w:t>电子防范要求</w:t>
      </w:r>
    </w:p>
    <w:p w14:paraId="3BF89B0A">
      <w:pPr>
        <w:pStyle w:val="166"/>
        <w:ind w:left="0"/>
        <w:rPr>
          <w:color w:val="auto"/>
        </w:rPr>
      </w:pPr>
      <w:r>
        <w:rPr>
          <w:color w:val="auto"/>
        </w:rPr>
        <w:t>入侵和紧急报警</w:t>
      </w:r>
      <w:r>
        <w:rPr>
          <w:rFonts w:hint="eastAsia"/>
          <w:color w:val="auto"/>
        </w:rPr>
        <w:t>系统</w:t>
      </w:r>
      <w:r>
        <w:rPr>
          <w:rFonts w:hint="eastAsia"/>
          <w:color w:val="auto"/>
          <w:lang w:val="en-US" w:eastAsia="zh-CN"/>
        </w:rPr>
        <w:t>设置应</w:t>
      </w:r>
      <w:r>
        <w:rPr>
          <w:rFonts w:hint="eastAsia"/>
          <w:color w:val="auto"/>
        </w:rPr>
        <w:t>满足以下要求：</w:t>
      </w:r>
    </w:p>
    <w:p w14:paraId="3B39EC91">
      <w:pPr>
        <w:pStyle w:val="175"/>
        <w:numPr>
          <w:ilvl w:val="0"/>
          <w:numId w:val="41"/>
        </w:numPr>
        <w:rPr>
          <w:rFonts w:hint="eastAsia" w:ascii="宋体" w:hAnsi="Times New Roman" w:eastAsia="宋体" w:cs="Times New Roman"/>
          <w:color w:val="auto"/>
        </w:rPr>
      </w:pPr>
      <w:r>
        <w:rPr>
          <w:rFonts w:hint="eastAsia" w:ascii="宋体" w:hAnsi="Times New Roman" w:eastAsia="宋体" w:cs="Times New Roman"/>
          <w:color w:val="auto"/>
        </w:rPr>
        <w:t>园区周界应安装入侵探测装置，设置连续警戒线，不应有盲区；</w:t>
      </w:r>
    </w:p>
    <w:p w14:paraId="5B05F7D3">
      <w:pPr>
        <w:pStyle w:val="175"/>
        <w:numPr>
          <w:ilvl w:val="0"/>
          <w:numId w:val="41"/>
        </w:numPr>
        <w:rPr>
          <w:color w:val="auto"/>
        </w:rPr>
      </w:pPr>
      <w:r>
        <w:rPr>
          <w:rFonts w:hint="eastAsia"/>
          <w:color w:val="auto"/>
        </w:rPr>
        <w:t>数据</w:t>
      </w:r>
      <w:r>
        <w:rPr>
          <w:rFonts w:hint="eastAsia"/>
          <w:color w:val="auto"/>
          <w:lang w:val="en-US" w:eastAsia="zh-CN"/>
        </w:rPr>
        <w:t>中心、灾备中心</w:t>
      </w:r>
      <w:r>
        <w:rPr>
          <w:rFonts w:hint="eastAsia"/>
          <w:color w:val="auto"/>
        </w:rPr>
        <w:t>所在建筑物</w:t>
      </w:r>
      <w:r>
        <w:rPr>
          <w:rFonts w:hint="eastAsia"/>
          <w:color w:val="auto"/>
          <w:szCs w:val="21"/>
        </w:rPr>
        <w:t>周界</w:t>
      </w:r>
      <w:r>
        <w:rPr>
          <w:rFonts w:hint="eastAsia"/>
          <w:color w:val="auto"/>
        </w:rPr>
        <w:t>应</w:t>
      </w:r>
      <w:r>
        <w:rPr>
          <w:rFonts w:hint="eastAsia"/>
          <w:color w:val="auto"/>
          <w:szCs w:val="21"/>
        </w:rPr>
        <w:t>设置</w:t>
      </w:r>
      <w:r>
        <w:rPr>
          <w:rFonts w:hint="eastAsia"/>
          <w:color w:val="auto"/>
        </w:rPr>
        <w:t>入侵探测装置；</w:t>
      </w:r>
    </w:p>
    <w:p w14:paraId="0BCD6125">
      <w:pPr>
        <w:pStyle w:val="175"/>
        <w:numPr>
          <w:ilvl w:val="0"/>
          <w:numId w:val="41"/>
        </w:numPr>
        <w:rPr>
          <w:rFonts w:hint="eastAsia"/>
          <w:color w:val="auto"/>
        </w:rPr>
      </w:pPr>
      <w:r>
        <w:rPr>
          <w:rFonts w:hint="eastAsia"/>
          <w:color w:val="auto"/>
        </w:rPr>
        <w:t>建筑物与外界相通的出入口、</w:t>
      </w:r>
      <w:r>
        <w:rPr>
          <w:color w:val="auto"/>
        </w:rPr>
        <w:t>窗户和玻璃幕墙</w:t>
      </w:r>
      <w:r>
        <w:rPr>
          <w:rFonts w:hint="eastAsia"/>
          <w:color w:val="auto"/>
        </w:rPr>
        <w:t>，以及数据机房、总控中心、联网监控中心、设备间、服务器机房、网络机房、数据存储中心、通讯机房、变配电室、柴油发电机房、电池室、空调机房、动力站房、不间断电源室等重要部位</w:t>
      </w:r>
      <w:r>
        <w:rPr>
          <w:color w:val="auto"/>
        </w:rPr>
        <w:t>应安装入侵探测器</w:t>
      </w:r>
      <w:r>
        <w:rPr>
          <w:rFonts w:hint="eastAsia"/>
          <w:color w:val="auto"/>
        </w:rPr>
        <w:t>；</w:t>
      </w:r>
    </w:p>
    <w:p w14:paraId="225F420D">
      <w:pPr>
        <w:pStyle w:val="175"/>
        <w:numPr>
          <w:ilvl w:val="0"/>
          <w:numId w:val="41"/>
        </w:numPr>
        <w:rPr>
          <w:color w:val="auto"/>
        </w:rPr>
      </w:pPr>
      <w:r>
        <w:rPr>
          <w:rFonts w:hint="eastAsia"/>
          <w:color w:val="auto"/>
        </w:rPr>
        <w:t>值班室、总控中心、联网监控中心、数据机房、设备间、服务器机房、网络机房、数据存储中心、通讯机房、变配电室、柴油发电机房、电池室、动力站房、不间断电源室</w:t>
      </w:r>
      <w:r>
        <w:rPr>
          <w:rFonts w:hint="eastAsia"/>
          <w:color w:val="auto"/>
          <w:lang w:val="en-US" w:eastAsia="zh-CN"/>
        </w:rPr>
        <w:t>等重要部位</w:t>
      </w:r>
      <w:r>
        <w:rPr>
          <w:rFonts w:hint="eastAsia"/>
          <w:color w:val="auto"/>
        </w:rPr>
        <w:t>应设置紧急报警装置，</w:t>
      </w:r>
      <w:r>
        <w:rPr>
          <w:color w:val="auto"/>
        </w:rPr>
        <w:t>紧急报警信号应发送到接处警中心</w:t>
      </w:r>
      <w:r>
        <w:rPr>
          <w:rFonts w:hint="eastAsia"/>
          <w:color w:val="auto"/>
        </w:rPr>
        <w:t>。</w:t>
      </w:r>
    </w:p>
    <w:p w14:paraId="1DAA1809">
      <w:pPr>
        <w:pStyle w:val="166"/>
        <w:ind w:left="0"/>
        <w:rPr>
          <w:color w:val="auto"/>
        </w:rPr>
      </w:pPr>
      <w:r>
        <w:rPr>
          <w:rFonts w:hint="eastAsia"/>
          <w:color w:val="auto"/>
        </w:rPr>
        <w:t>视频监控系统</w:t>
      </w:r>
      <w:r>
        <w:rPr>
          <w:rFonts w:hint="eastAsia"/>
          <w:color w:val="auto"/>
          <w:lang w:val="en-US" w:eastAsia="zh-CN"/>
        </w:rPr>
        <w:t>设置应</w:t>
      </w:r>
      <w:r>
        <w:rPr>
          <w:rFonts w:hint="eastAsia"/>
          <w:color w:val="auto"/>
        </w:rPr>
        <w:t>满足以下要求：</w:t>
      </w:r>
    </w:p>
    <w:p w14:paraId="35E90FC0">
      <w:pPr>
        <w:pStyle w:val="175"/>
        <w:numPr>
          <w:ilvl w:val="0"/>
          <w:numId w:val="42"/>
        </w:numPr>
        <w:rPr>
          <w:color w:val="auto"/>
        </w:rPr>
      </w:pPr>
      <w:r>
        <w:rPr>
          <w:rFonts w:hint="eastAsia" w:ascii="宋体" w:hAnsi="Times New Roman" w:eastAsia="宋体" w:cs="Times New Roman"/>
          <w:color w:val="auto"/>
        </w:rPr>
        <w:t>园区周界和出入口应设置具备智能分析功能的视频图像采集装置，视频监视和回放图像应能清晰显示周界和出入口情况，并对设定的异常行为自动识别</w:t>
      </w:r>
      <w:r>
        <w:rPr>
          <w:rFonts w:hint="eastAsia" w:ascii="宋体" w:hAnsi="Times New Roman" w:eastAsia="宋体" w:cs="Times New Roman"/>
          <w:color w:val="auto"/>
          <w:lang w:eastAsia="zh-CN"/>
        </w:rPr>
        <w:t>；</w:t>
      </w:r>
    </w:p>
    <w:p w14:paraId="7ECC4615">
      <w:pPr>
        <w:pStyle w:val="175"/>
        <w:rPr>
          <w:color w:val="auto"/>
        </w:rPr>
      </w:pPr>
      <w:r>
        <w:rPr>
          <w:rFonts w:hint="eastAsia"/>
          <w:color w:val="auto"/>
        </w:rPr>
        <w:t>数据中心、灾备中心所在建筑物的出入口，以及总控中心、联网监控中心、数据机房服务器机房、网络机房、数据存储中心、的出入口和内部应设置具备智能分析功能的视频图像采集装置和声音复核装置，应能清晰显示整个区域内人员体貌特征及活动情况，对设定的异常行为自动识别，能清晰记录环境声音；</w:t>
      </w:r>
    </w:p>
    <w:p w14:paraId="55E48D0D">
      <w:pPr>
        <w:pStyle w:val="175"/>
        <w:rPr>
          <w:color w:val="auto"/>
        </w:rPr>
      </w:pPr>
      <w:r>
        <w:rPr>
          <w:rFonts w:hint="eastAsia"/>
          <w:color w:val="auto"/>
        </w:rPr>
        <w:t>设备间、消防控制室、变配电室、柴油发电机房、电池室、空调机房、动力站房、不间断电源室</w:t>
      </w:r>
      <w:r>
        <w:rPr>
          <w:rFonts w:hint="eastAsia"/>
          <w:color w:val="auto"/>
          <w:lang w:eastAsia="zh-CN"/>
        </w:rPr>
        <w:t>、</w:t>
      </w:r>
      <w:r>
        <w:rPr>
          <w:rFonts w:hint="eastAsia"/>
          <w:color w:val="auto"/>
        </w:rPr>
        <w:t>柴油发电用油储油罐</w:t>
      </w:r>
      <w:r>
        <w:rPr>
          <w:rFonts w:hint="eastAsia"/>
          <w:color w:val="auto"/>
          <w:lang w:val="en-US" w:eastAsia="zh-CN"/>
        </w:rPr>
        <w:t>等重要部位</w:t>
      </w:r>
      <w:r>
        <w:rPr>
          <w:rFonts w:hint="eastAsia"/>
          <w:color w:val="auto"/>
        </w:rPr>
        <w:t>出入口和内部应设置视频图像采集装置和声音复核装置,</w:t>
      </w:r>
      <w:r>
        <w:rPr>
          <w:rFonts w:hint="eastAsia"/>
          <w:color w:val="auto"/>
          <w:lang w:val="en-US" w:eastAsia="zh-CN"/>
        </w:rPr>
        <w:t>回放录像</w:t>
      </w:r>
      <w:r>
        <w:rPr>
          <w:rFonts w:hint="eastAsia" w:ascii="宋体" w:eastAsia="宋体"/>
          <w:color w:val="auto"/>
          <w:lang w:val="en-US" w:eastAsia="zh-CN"/>
        </w:rPr>
        <w:t>应能清晰显示整个区域内人</w:t>
      </w:r>
      <w:r>
        <w:rPr>
          <w:rFonts w:hint="default" w:ascii="宋体" w:eastAsia="宋体"/>
          <w:color w:val="auto"/>
          <w:lang w:val="en-US" w:eastAsia="zh-CN"/>
        </w:rPr>
        <w:t>员的活动情况</w:t>
      </w:r>
      <w:r>
        <w:rPr>
          <w:rFonts w:hint="eastAsia"/>
          <w:color w:val="auto"/>
        </w:rPr>
        <w:t>，并能清晰记录环境声音</w:t>
      </w:r>
      <w:r>
        <w:rPr>
          <w:rFonts w:hint="eastAsia" w:ascii="宋体" w:hAnsi="Times New Roman" w:eastAsia="宋体" w:cs="Times New Roman"/>
          <w:color w:val="auto"/>
          <w:lang w:val="en-US" w:eastAsia="zh-CN"/>
        </w:rPr>
        <w:t>。</w:t>
      </w:r>
    </w:p>
    <w:p w14:paraId="037B8B35">
      <w:pPr>
        <w:pStyle w:val="175"/>
        <w:numPr>
          <w:ilvl w:val="0"/>
          <w:numId w:val="36"/>
        </w:numPr>
        <w:rPr>
          <w:color w:val="auto"/>
        </w:rPr>
      </w:pPr>
      <w:r>
        <w:rPr>
          <w:rFonts w:hint="eastAsia" w:ascii="宋体" w:hAnsi="Times New Roman" w:eastAsia="宋体" w:cs="Times New Roman"/>
          <w:color w:val="auto"/>
        </w:rPr>
        <w:t>数据</w:t>
      </w:r>
      <w:r>
        <w:rPr>
          <w:rFonts w:hint="eastAsia" w:ascii="宋体" w:hAnsi="Times New Roman" w:eastAsia="宋体" w:cs="Times New Roman"/>
          <w:color w:val="auto"/>
          <w:lang w:val="en-US" w:eastAsia="zh-CN"/>
        </w:rPr>
        <w:t>中心、灾备中心</w:t>
      </w:r>
      <w:r>
        <w:rPr>
          <w:rFonts w:hint="eastAsia" w:ascii="宋体" w:hAnsi="Times New Roman" w:eastAsia="宋体" w:cs="Times New Roman"/>
          <w:color w:val="auto"/>
        </w:rPr>
        <w:t>所在建筑物</w:t>
      </w:r>
      <w:r>
        <w:rPr>
          <w:rFonts w:hint="eastAsia" w:ascii="宋体" w:hAnsi="Times New Roman" w:eastAsia="宋体" w:cs="Times New Roman"/>
          <w:color w:val="auto"/>
          <w:lang w:val="en-US" w:eastAsia="zh-CN"/>
        </w:rPr>
        <w:t>内</w:t>
      </w:r>
      <w:r>
        <w:rPr>
          <w:rFonts w:hint="eastAsia"/>
          <w:color w:val="auto"/>
        </w:rPr>
        <w:t>电梯、电梯厅、通道</w:t>
      </w:r>
      <w:r>
        <w:rPr>
          <w:rFonts w:hint="eastAsia"/>
          <w:color w:val="auto"/>
          <w:lang w:eastAsia="zh-CN"/>
        </w:rPr>
        <w:t>、</w:t>
      </w:r>
      <w:r>
        <w:rPr>
          <w:rFonts w:hint="eastAsia"/>
          <w:color w:val="auto"/>
          <w:lang w:val="en-US" w:eastAsia="zh-CN"/>
        </w:rPr>
        <w:t>办公区</w:t>
      </w:r>
      <w:r>
        <w:rPr>
          <w:rFonts w:hint="eastAsia"/>
          <w:color w:val="auto"/>
        </w:rPr>
        <w:t>应设置视频图像采集装置，回放图像</w:t>
      </w:r>
      <w:r>
        <w:rPr>
          <w:rFonts w:hint="eastAsia"/>
          <w:color w:val="auto"/>
          <w:lang w:val="en-US" w:eastAsia="zh-CN"/>
        </w:rPr>
        <w:t>应能覆盖区域内</w:t>
      </w:r>
      <w:r>
        <w:rPr>
          <w:rFonts w:hint="eastAsia"/>
          <w:color w:val="auto"/>
        </w:rPr>
        <w:t>的人员活动情况</w:t>
      </w:r>
      <w:r>
        <w:rPr>
          <w:rFonts w:hint="eastAsia"/>
          <w:color w:val="auto"/>
          <w:lang w:eastAsia="zh-CN"/>
        </w:rPr>
        <w:t>。</w:t>
      </w:r>
    </w:p>
    <w:p w14:paraId="7653E857">
      <w:pPr>
        <w:pStyle w:val="166"/>
        <w:ind w:left="0"/>
        <w:rPr>
          <w:color w:val="auto"/>
        </w:rPr>
      </w:pPr>
      <w:r>
        <w:rPr>
          <w:rFonts w:hint="eastAsia"/>
          <w:color w:val="auto"/>
        </w:rPr>
        <w:t>出入口控制系统</w:t>
      </w:r>
      <w:r>
        <w:rPr>
          <w:rFonts w:hint="eastAsia"/>
          <w:color w:val="auto"/>
          <w:lang w:val="en-US" w:eastAsia="zh-CN"/>
        </w:rPr>
        <w:t>设置应</w:t>
      </w:r>
      <w:r>
        <w:rPr>
          <w:rFonts w:hint="eastAsia"/>
          <w:color w:val="auto"/>
        </w:rPr>
        <w:t>满足以下要求：</w:t>
      </w:r>
    </w:p>
    <w:p w14:paraId="6791DCA6">
      <w:pPr>
        <w:pStyle w:val="175"/>
        <w:numPr>
          <w:ilvl w:val="0"/>
          <w:numId w:val="43"/>
        </w:numPr>
        <w:rPr>
          <w:color w:val="auto"/>
        </w:rPr>
      </w:pPr>
      <w:r>
        <w:rPr>
          <w:rFonts w:hint="eastAsia"/>
          <w:color w:val="auto"/>
        </w:rPr>
        <w:t>园区周界人员出入口应设置具有人脸识别功能的人行出入口电控通道闸，对出入人员身份进行识别和管理；</w:t>
      </w:r>
    </w:p>
    <w:p w14:paraId="15426C2C">
      <w:pPr>
        <w:pStyle w:val="175"/>
        <w:numPr>
          <w:ilvl w:val="0"/>
          <w:numId w:val="37"/>
        </w:numPr>
        <w:rPr>
          <w:color w:val="auto"/>
        </w:rPr>
      </w:pPr>
      <w:r>
        <w:rPr>
          <w:rFonts w:hint="eastAsia"/>
          <w:color w:val="auto"/>
        </w:rPr>
        <w:t>总控中心、联网监控中心、数据机房、服务器机房、网络机房、数据存储中心、通讯机房</w:t>
      </w:r>
      <w:r>
        <w:rPr>
          <w:rFonts w:hint="eastAsia"/>
          <w:color w:val="auto"/>
          <w:lang w:eastAsia="zh-CN"/>
        </w:rPr>
        <w:t>等</w:t>
      </w:r>
      <w:r>
        <w:rPr>
          <w:rFonts w:hint="eastAsia"/>
          <w:color w:val="auto"/>
          <w:lang w:val="en-US" w:eastAsia="zh-CN"/>
        </w:rPr>
        <w:t>重要部位</w:t>
      </w:r>
      <w:r>
        <w:rPr>
          <w:rFonts w:hint="eastAsia"/>
          <w:color w:val="auto"/>
        </w:rPr>
        <w:t>出入口应设置出入口控制装置</w:t>
      </w:r>
      <w:bookmarkStart w:id="66" w:name="_GoBack"/>
      <w:r>
        <w:rPr>
          <w:rFonts w:hint="eastAsia"/>
          <w:color w:val="auto"/>
          <w:lang w:val="en-US" w:eastAsia="zh-CN"/>
        </w:rPr>
        <w:t>,</w:t>
      </w:r>
      <w:bookmarkEnd w:id="66"/>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的三级防护要求，</w:t>
      </w:r>
      <w:r>
        <w:rPr>
          <w:rFonts w:hint="eastAsia" w:hAnsi="宋体"/>
          <w:color w:val="auto"/>
        </w:rPr>
        <w:t>支持</w:t>
      </w:r>
      <w:r>
        <w:rPr>
          <w:rFonts w:hint="eastAsia" w:hAnsi="宋体"/>
          <w:color w:val="auto"/>
          <w:lang w:val="en-US" w:eastAsia="zh-CN"/>
        </w:rPr>
        <w:t>三</w:t>
      </w:r>
      <w:r>
        <w:rPr>
          <w:rFonts w:hint="eastAsia" w:hAnsi="宋体"/>
          <w:color w:val="auto"/>
        </w:rPr>
        <w:t>种及以上识别功能</w:t>
      </w:r>
      <w:r>
        <w:rPr>
          <w:rFonts w:hint="eastAsia" w:hAnsi="宋体"/>
          <w:color w:val="auto"/>
          <w:lang w:eastAsia="zh-CN"/>
        </w:rPr>
        <w:t>；</w:t>
      </w:r>
    </w:p>
    <w:p w14:paraId="497AC610">
      <w:pPr>
        <w:pStyle w:val="175"/>
        <w:numPr>
          <w:ilvl w:val="0"/>
          <w:numId w:val="37"/>
        </w:numPr>
        <w:rPr>
          <w:color w:val="auto"/>
        </w:rPr>
      </w:pPr>
      <w:r>
        <w:rPr>
          <w:rFonts w:hint="eastAsia"/>
          <w:color w:val="auto"/>
        </w:rPr>
        <w:t>设备间、消防控制室、变配电室、柴油发电机房、电池室、空调机房、动力站房、不间断电源室</w:t>
      </w:r>
      <w:r>
        <w:rPr>
          <w:rFonts w:hint="eastAsia"/>
          <w:color w:val="auto"/>
          <w:lang w:eastAsia="zh-CN"/>
        </w:rPr>
        <w:t>、</w:t>
      </w:r>
      <w:r>
        <w:rPr>
          <w:rFonts w:hint="eastAsia"/>
          <w:color w:val="auto"/>
        </w:rPr>
        <w:t>柴油发电用油储油罐</w:t>
      </w:r>
      <w:r>
        <w:rPr>
          <w:rFonts w:hint="eastAsia"/>
          <w:color w:val="auto"/>
          <w:lang w:val="en-US" w:eastAsia="zh-CN"/>
        </w:rPr>
        <w:t>等重要部位</w:t>
      </w:r>
      <w:r>
        <w:rPr>
          <w:rFonts w:hint="eastAsia"/>
          <w:color w:val="auto"/>
        </w:rPr>
        <w:t>出入口应设置出入口控制装置</w:t>
      </w:r>
      <w:r>
        <w:rPr>
          <w:rFonts w:hint="eastAsia"/>
          <w:color w:val="auto"/>
          <w:lang w:val="en-US" w:eastAsia="zh-CN"/>
        </w:rPr>
        <w:t>,</w:t>
      </w:r>
      <w:r>
        <w:rPr>
          <w:rFonts w:hint="eastAsia"/>
          <w:color w:val="auto"/>
        </w:rPr>
        <w:t>应符合</w:t>
      </w:r>
      <w:r>
        <w:rPr>
          <w:color w:val="auto"/>
        </w:rPr>
        <w:t xml:space="preserve">GA/T </w:t>
      </w:r>
      <w:r>
        <w:rPr>
          <w:rFonts w:hint="eastAsia"/>
          <w:color w:val="auto"/>
          <w:lang w:val="en-US" w:eastAsia="zh-CN"/>
        </w:rPr>
        <w:t>37078</w:t>
      </w:r>
      <w:r>
        <w:rPr>
          <w:rFonts w:hint="eastAsia"/>
          <w:color w:val="auto"/>
        </w:rPr>
        <w:t>规定</w:t>
      </w:r>
      <w:r>
        <w:rPr>
          <w:rFonts w:hint="eastAsia"/>
          <w:color w:val="auto"/>
          <w:lang w:val="en-US" w:eastAsia="zh-CN"/>
        </w:rPr>
        <w:t>的二级防护要求，</w:t>
      </w:r>
      <w:r>
        <w:rPr>
          <w:rFonts w:hint="eastAsia" w:hAnsi="宋体"/>
          <w:color w:val="auto"/>
        </w:rPr>
        <w:t>支持</w:t>
      </w:r>
      <w:r>
        <w:rPr>
          <w:rFonts w:hint="eastAsia" w:hAnsi="宋体"/>
          <w:color w:val="auto"/>
          <w:lang w:val="en-US" w:eastAsia="zh-CN"/>
        </w:rPr>
        <w:t>两</w:t>
      </w:r>
      <w:r>
        <w:rPr>
          <w:rFonts w:hint="eastAsia" w:hAnsi="宋体"/>
          <w:color w:val="auto"/>
        </w:rPr>
        <w:t>种及以上识别功能</w:t>
      </w:r>
      <w:r>
        <w:rPr>
          <w:rFonts w:hint="eastAsia" w:hAnsi="宋体"/>
          <w:color w:val="auto"/>
          <w:lang w:eastAsia="zh-CN"/>
        </w:rPr>
        <w:t>。</w:t>
      </w:r>
    </w:p>
    <w:p w14:paraId="2D9E536C">
      <w:pPr>
        <w:pStyle w:val="166"/>
        <w:ind w:left="0"/>
        <w:rPr>
          <w:color w:val="auto"/>
        </w:rPr>
      </w:pPr>
      <w:r>
        <w:rPr>
          <w:rFonts w:hint="eastAsia"/>
          <w:color w:val="auto"/>
        </w:rPr>
        <w:t>电子巡查系统</w:t>
      </w:r>
      <w:r>
        <w:rPr>
          <w:rFonts w:hint="eastAsia"/>
          <w:color w:val="auto"/>
          <w:lang w:val="en-US" w:eastAsia="zh-CN"/>
        </w:rPr>
        <w:t>设置应</w:t>
      </w:r>
      <w:r>
        <w:rPr>
          <w:rFonts w:hint="eastAsia"/>
          <w:color w:val="auto"/>
        </w:rPr>
        <w:t>满足以下要求：</w:t>
      </w:r>
    </w:p>
    <w:p w14:paraId="6992D04B">
      <w:pPr>
        <w:pStyle w:val="57"/>
        <w:ind w:firstLine="840" w:firstLineChars="400"/>
        <w:rPr>
          <w:color w:val="auto"/>
        </w:rPr>
      </w:pPr>
      <w:r>
        <w:rPr>
          <w:rFonts w:hint="eastAsia"/>
          <w:color w:val="auto"/>
          <w:lang w:val="en-US" w:eastAsia="zh-CN"/>
        </w:rPr>
        <w:t>园区</w:t>
      </w:r>
      <w:r>
        <w:rPr>
          <w:rFonts w:hint="eastAsia"/>
          <w:color w:val="auto"/>
        </w:rPr>
        <w:t>应设置电子巡查装置。</w:t>
      </w:r>
    </w:p>
    <w:p w14:paraId="24EA100C">
      <w:pPr>
        <w:pStyle w:val="163"/>
        <w:rPr>
          <w:color w:val="auto"/>
        </w:rPr>
      </w:pPr>
      <w:r>
        <w:rPr>
          <w:rFonts w:hint="eastAsia"/>
          <w:color w:val="auto"/>
        </w:rPr>
        <w:t>安全检查系统</w:t>
      </w:r>
      <w:r>
        <w:rPr>
          <w:rFonts w:hint="eastAsia"/>
          <w:color w:val="auto"/>
          <w:lang w:val="en-US" w:eastAsia="zh-CN"/>
        </w:rPr>
        <w:t>设置应</w:t>
      </w:r>
      <w:r>
        <w:rPr>
          <w:rFonts w:hint="eastAsia"/>
          <w:color w:val="auto"/>
        </w:rPr>
        <w:t>符合以下要求：</w:t>
      </w:r>
    </w:p>
    <w:p w14:paraId="1C6DD22F">
      <w:pPr>
        <w:pStyle w:val="175"/>
        <w:numPr>
          <w:ilvl w:val="0"/>
          <w:numId w:val="44"/>
        </w:numPr>
        <w:rPr>
          <w:rFonts w:hint="eastAsia"/>
          <w:color w:val="auto"/>
        </w:rPr>
      </w:pPr>
      <w:r>
        <w:rPr>
          <w:rFonts w:hint="eastAsia"/>
          <w:color w:val="auto"/>
        </w:rPr>
        <w:t>应具有对X射线成像图片智能分析功能，能自动识别枪支弹药、管制器具、爆炸物品、液体、录音录像存储设备等禁止、限制携带的物品，并能发出报警信息；</w:t>
      </w:r>
    </w:p>
    <w:p w14:paraId="3BD7D440">
      <w:pPr>
        <w:pStyle w:val="175"/>
        <w:numPr>
          <w:ilvl w:val="0"/>
          <w:numId w:val="44"/>
        </w:numPr>
        <w:rPr>
          <w:rFonts w:hint="eastAsia"/>
          <w:color w:val="auto"/>
        </w:rPr>
      </w:pPr>
      <w:r>
        <w:rPr>
          <w:rFonts w:hint="eastAsia"/>
          <w:color w:val="auto"/>
        </w:rPr>
        <w:t>联网的安全检查设备应能通过网络向安检信息管理设备实时发送检测数据、报警信息、设备状态等信息，安检联网系统应具有远程监控、安检信息同步存储、统计分析、现场处置流程化管理等功能；</w:t>
      </w:r>
    </w:p>
    <w:p w14:paraId="4E09A22D">
      <w:pPr>
        <w:pStyle w:val="175"/>
        <w:numPr>
          <w:ilvl w:val="0"/>
          <w:numId w:val="44"/>
        </w:numPr>
        <w:rPr>
          <w:rFonts w:hint="eastAsia"/>
          <w:color w:val="auto"/>
        </w:rPr>
      </w:pPr>
      <w:r>
        <w:rPr>
          <w:rFonts w:hint="eastAsia"/>
          <w:color w:val="auto"/>
        </w:rPr>
        <w:t>微剂量X射线安全检查设备应符合GB 15208.1、GB 15208.2的相关规定；</w:t>
      </w:r>
    </w:p>
    <w:p w14:paraId="0218826F">
      <w:pPr>
        <w:pStyle w:val="175"/>
        <w:numPr>
          <w:ilvl w:val="0"/>
          <w:numId w:val="44"/>
        </w:numPr>
        <w:rPr>
          <w:rFonts w:hint="eastAsia"/>
          <w:color w:val="auto"/>
        </w:rPr>
      </w:pPr>
      <w:r>
        <w:rPr>
          <w:rFonts w:hint="eastAsia"/>
          <w:color w:val="auto"/>
        </w:rPr>
        <w:t>通过式金属探测门应符合GB 15210的相关规定；</w:t>
      </w:r>
    </w:p>
    <w:p w14:paraId="52DAD956">
      <w:pPr>
        <w:pStyle w:val="175"/>
        <w:numPr>
          <w:ilvl w:val="0"/>
          <w:numId w:val="44"/>
        </w:numPr>
        <w:rPr>
          <w:rFonts w:hint="eastAsia"/>
          <w:color w:val="auto"/>
        </w:rPr>
      </w:pPr>
      <w:r>
        <w:rPr>
          <w:rFonts w:hint="eastAsia"/>
          <w:color w:val="auto"/>
        </w:rPr>
        <w:t>毫米波全息成像人体安全检查设备应符合GB/T 41482的相关规定；</w:t>
      </w:r>
    </w:p>
    <w:p w14:paraId="0178F61C">
      <w:pPr>
        <w:pStyle w:val="175"/>
        <w:numPr>
          <w:ilvl w:val="0"/>
          <w:numId w:val="44"/>
        </w:numPr>
        <w:rPr>
          <w:rFonts w:hint="eastAsia"/>
          <w:color w:val="auto"/>
        </w:rPr>
      </w:pPr>
      <w:r>
        <w:rPr>
          <w:rFonts w:hint="eastAsia"/>
          <w:color w:val="auto"/>
        </w:rPr>
        <w:t>手持式金属探测器应符合GB 12899的相关规定；</w:t>
      </w:r>
    </w:p>
    <w:p w14:paraId="6ED88227">
      <w:pPr>
        <w:pStyle w:val="175"/>
        <w:numPr>
          <w:ilvl w:val="0"/>
          <w:numId w:val="44"/>
        </w:numPr>
        <w:rPr>
          <w:rFonts w:hint="eastAsia"/>
          <w:color w:val="auto"/>
        </w:rPr>
      </w:pPr>
      <w:r>
        <w:rPr>
          <w:rFonts w:hint="eastAsia"/>
          <w:color w:val="auto"/>
        </w:rPr>
        <w:t>炸药探测仪应符合GA/T 841的相关规定；</w:t>
      </w:r>
    </w:p>
    <w:p w14:paraId="17D75E6D">
      <w:pPr>
        <w:pStyle w:val="175"/>
        <w:numPr>
          <w:ilvl w:val="0"/>
          <w:numId w:val="44"/>
        </w:numPr>
        <w:rPr>
          <w:rFonts w:hint="eastAsia"/>
          <w:color w:val="auto"/>
        </w:rPr>
      </w:pPr>
      <w:r>
        <w:rPr>
          <w:rFonts w:hint="eastAsia"/>
          <w:color w:val="auto"/>
        </w:rPr>
        <w:t>液态危险化学品安全检查仪应符合GB/T 41483的相关规定</w:t>
      </w:r>
      <w:r>
        <w:rPr>
          <w:rFonts w:hint="eastAsia"/>
          <w:color w:val="auto"/>
          <w:lang w:eastAsia="zh-CN"/>
        </w:rPr>
        <w:t>。</w:t>
      </w:r>
    </w:p>
    <w:p w14:paraId="1B81A349">
      <w:pPr>
        <w:pStyle w:val="163"/>
        <w:rPr>
          <w:rFonts w:hint="eastAsia"/>
          <w:color w:val="auto"/>
        </w:rPr>
      </w:pPr>
      <w:r>
        <w:rPr>
          <w:rFonts w:hint="eastAsia"/>
          <w:color w:val="auto"/>
        </w:rPr>
        <w:t>高空抛物监测系统</w:t>
      </w:r>
      <w:r>
        <w:rPr>
          <w:rFonts w:hint="eastAsia"/>
          <w:color w:val="auto"/>
          <w:lang w:val="en-US" w:eastAsia="zh-CN"/>
        </w:rPr>
        <w:t>设置应</w:t>
      </w:r>
      <w:r>
        <w:rPr>
          <w:rFonts w:hint="eastAsia"/>
          <w:color w:val="auto"/>
        </w:rPr>
        <w:t>满足以下要求：</w:t>
      </w:r>
    </w:p>
    <w:p w14:paraId="45A2930F">
      <w:pPr>
        <w:pStyle w:val="175"/>
        <w:numPr>
          <w:ilvl w:val="0"/>
          <w:numId w:val="45"/>
        </w:numPr>
        <w:rPr>
          <w:color w:val="auto"/>
        </w:rPr>
      </w:pPr>
      <w:r>
        <w:rPr>
          <w:rFonts w:hint="eastAsia"/>
          <w:color w:val="auto"/>
        </w:rPr>
        <w:t>应能完整显示高空抛物全过程，支持高空抛物多目标显示；</w:t>
      </w:r>
    </w:p>
    <w:p w14:paraId="13625240">
      <w:pPr>
        <w:pStyle w:val="175"/>
        <w:rPr>
          <w:color w:val="auto"/>
        </w:rPr>
      </w:pPr>
      <w:r>
        <w:rPr>
          <w:rFonts w:hint="eastAsia"/>
          <w:color w:val="auto"/>
        </w:rPr>
        <w:t>应支持录像回放单目标或多目标高空抛物全过程并显示轨迹；</w:t>
      </w:r>
    </w:p>
    <w:p w14:paraId="0A59FFFA">
      <w:pPr>
        <w:pStyle w:val="175"/>
        <w:rPr>
          <w:color w:val="auto"/>
        </w:rPr>
      </w:pPr>
      <w:r>
        <w:rPr>
          <w:rFonts w:hint="eastAsia"/>
          <w:color w:val="auto"/>
        </w:rPr>
        <w:t>当捕获到高空抛物时，应具有声光报警提示，并支持报警信息推送到联网监控中心；</w:t>
      </w:r>
    </w:p>
    <w:p w14:paraId="749626B7">
      <w:pPr>
        <w:pStyle w:val="175"/>
        <w:rPr>
          <w:rFonts w:eastAsia="微软雅黑"/>
          <w:color w:val="auto"/>
        </w:rPr>
      </w:pPr>
      <w:r>
        <w:rPr>
          <w:rFonts w:hint="eastAsia"/>
          <w:color w:val="auto"/>
        </w:rPr>
        <w:t>应能显示抛物事件发生的时间、地点、楼栋、楼层等信息。</w:t>
      </w:r>
    </w:p>
    <w:p w14:paraId="6D58F923">
      <w:pPr>
        <w:pStyle w:val="163"/>
        <w:rPr>
          <w:rFonts w:hint="eastAsia"/>
          <w:color w:val="auto"/>
        </w:rPr>
      </w:pPr>
      <w:r>
        <w:rPr>
          <w:rFonts w:hint="eastAsia"/>
          <w:color w:val="auto"/>
          <w:lang w:val="en-US" w:eastAsia="zh-CN"/>
        </w:rPr>
        <w:t>低空</w:t>
      </w:r>
      <w:r>
        <w:rPr>
          <w:rFonts w:hint="eastAsia"/>
          <w:color w:val="auto"/>
        </w:rPr>
        <w:t>防御系统</w:t>
      </w:r>
      <w:r>
        <w:rPr>
          <w:rFonts w:hint="eastAsia"/>
          <w:color w:val="auto"/>
          <w:lang w:val="en-US" w:eastAsia="zh-CN"/>
        </w:rPr>
        <w:t>应</w:t>
      </w:r>
      <w:r>
        <w:rPr>
          <w:rFonts w:hint="eastAsia"/>
          <w:color w:val="auto"/>
        </w:rPr>
        <w:t>符合以下要求：</w:t>
      </w:r>
    </w:p>
    <w:p w14:paraId="7642304A">
      <w:pPr>
        <w:pStyle w:val="175"/>
        <w:numPr>
          <w:ilvl w:val="0"/>
          <w:numId w:val="46"/>
        </w:numPr>
        <w:rPr>
          <w:rFonts w:hint="eastAsia" w:ascii="宋体" w:hAnsi="Times New Roman" w:eastAsia="宋体" w:cs="Times New Roman"/>
          <w:color w:val="auto"/>
        </w:rPr>
      </w:pPr>
      <w:r>
        <w:rPr>
          <w:rFonts w:hint="eastAsia" w:ascii="宋体" w:hAnsi="Times New Roman" w:eastAsia="宋体" w:cs="Times New Roman"/>
          <w:color w:val="auto"/>
        </w:rPr>
        <w:t>宜设置</w:t>
      </w:r>
      <w:r>
        <w:rPr>
          <w:rFonts w:hint="eastAsia" w:ascii="宋体" w:hAnsi="Times New Roman" w:eastAsia="宋体" w:cs="Times New Roman"/>
          <w:color w:val="auto"/>
          <w:lang w:val="en-US" w:eastAsia="zh-CN"/>
        </w:rPr>
        <w:t>低空</w:t>
      </w:r>
      <w:r>
        <w:rPr>
          <w:rFonts w:hint="eastAsia" w:ascii="宋体" w:hAnsi="Times New Roman" w:eastAsia="宋体" w:cs="Times New Roman"/>
          <w:color w:val="auto"/>
        </w:rPr>
        <w:t>防御系统，防御范围应能覆盖园区</w:t>
      </w:r>
      <w:r>
        <w:rPr>
          <w:rFonts w:hint="eastAsia" w:ascii="宋体" w:hAnsi="Times New Roman" w:eastAsia="宋体" w:cs="Times New Roman"/>
          <w:color w:val="auto"/>
          <w:lang w:eastAsia="zh-CN"/>
        </w:rPr>
        <w:t>；</w:t>
      </w:r>
    </w:p>
    <w:p w14:paraId="206BFE46">
      <w:pPr>
        <w:pStyle w:val="175"/>
        <w:numPr>
          <w:ilvl w:val="0"/>
          <w:numId w:val="46"/>
        </w:numPr>
        <w:rPr>
          <w:color w:val="auto"/>
        </w:rPr>
      </w:pPr>
      <w:r>
        <w:rPr>
          <w:rFonts w:hint="eastAsia"/>
          <w:color w:val="auto"/>
        </w:rPr>
        <w:t>发射功率和使用频段应符合国家有关规定；</w:t>
      </w:r>
    </w:p>
    <w:p w14:paraId="5CBA7DE0">
      <w:pPr>
        <w:pStyle w:val="175"/>
        <w:rPr>
          <w:color w:val="auto"/>
        </w:rPr>
      </w:pPr>
      <w:r>
        <w:rPr>
          <w:rFonts w:hint="eastAsia"/>
          <w:color w:val="auto"/>
        </w:rPr>
        <w:t>应能自动24h持续工作，无需人员值守；</w:t>
      </w:r>
    </w:p>
    <w:p w14:paraId="6C605DE8">
      <w:pPr>
        <w:pStyle w:val="175"/>
        <w:rPr>
          <w:color w:val="auto"/>
        </w:rPr>
      </w:pPr>
      <w:r>
        <w:rPr>
          <w:rFonts w:hint="eastAsia"/>
          <w:color w:val="auto"/>
        </w:rPr>
        <w:t>使用时，不应对数据中心系统及周边重要设施产生有害干扰；</w:t>
      </w:r>
    </w:p>
    <w:p w14:paraId="51D1905B">
      <w:pPr>
        <w:pStyle w:val="175"/>
        <w:rPr>
          <w:color w:val="auto"/>
        </w:rPr>
      </w:pPr>
      <w:r>
        <w:rPr>
          <w:rFonts w:hint="eastAsia"/>
          <w:color w:val="auto"/>
        </w:rPr>
        <w:t>应取得具有无线电设备检测资质和能力的国家级检测机构出具的检测报告。</w:t>
      </w:r>
    </w:p>
    <w:p w14:paraId="61B7DC8B">
      <w:pPr>
        <w:pStyle w:val="166"/>
        <w:numPr>
          <w:ilvl w:val="0"/>
          <w:numId w:val="0"/>
        </w:numPr>
        <w:rPr>
          <w:color w:val="auto"/>
        </w:rPr>
      </w:pPr>
    </w:p>
    <w:bookmarkEnd w:id="23"/>
    <w:p w14:paraId="3B506ABB">
      <w:pPr>
        <w:pStyle w:val="166"/>
        <w:numPr>
          <w:ilvl w:val="0"/>
          <w:numId w:val="0"/>
        </w:numPr>
        <w:jc w:val="center"/>
        <w:rPr>
          <w:color w:val="auto"/>
        </w:rPr>
      </w:pPr>
      <w:bookmarkStart w:id="65" w:name="BookMark8"/>
      <w:r>
        <w:rPr>
          <w:rFonts w:hint="eastAsia"/>
          <w:color w:val="auto"/>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6308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777D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077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B955E">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CECF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90EF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A39B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2D70F">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7AC2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7C858"/>
    <w:multiLevelType w:val="multilevel"/>
    <w:tmpl w:val="FF57C858"/>
    <w:lvl w:ilvl="0" w:tentative="0">
      <w:start w:val="1"/>
      <w:numFmt w:val="decimal"/>
      <w:pStyle w:val="232"/>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suff w:val="nothing"/>
      <w:lvlText w:val="%1.%2　"/>
      <w:lvlJc w:val="left"/>
      <w:pPr>
        <w:ind w:left="0" w:firstLine="0"/>
      </w:pPr>
    </w:lvl>
    <w:lvl w:ilvl="2" w:tentative="0">
      <w:start w:val="1"/>
      <w:numFmt w:val="decimal"/>
      <w:pStyle w:val="231"/>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default" w:ascii="黑体" w:eastAsia="黑体"/>
        <w:b/>
        <w:bCs/>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3828"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3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6C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186"/>
    <w:rsid w:val="00071CC0"/>
    <w:rsid w:val="00073C8C"/>
    <w:rsid w:val="00077B64"/>
    <w:rsid w:val="00080A1C"/>
    <w:rsid w:val="00082317"/>
    <w:rsid w:val="00083D2C"/>
    <w:rsid w:val="00086AA1"/>
    <w:rsid w:val="00087A77"/>
    <w:rsid w:val="00090CA6"/>
    <w:rsid w:val="00092B8A"/>
    <w:rsid w:val="00092FB0"/>
    <w:rsid w:val="000934C5"/>
    <w:rsid w:val="00093CCD"/>
    <w:rsid w:val="00093D25"/>
    <w:rsid w:val="00093DAB"/>
    <w:rsid w:val="00094D73"/>
    <w:rsid w:val="00096D63"/>
    <w:rsid w:val="000A0B60"/>
    <w:rsid w:val="000A0EB8"/>
    <w:rsid w:val="000A19FC"/>
    <w:rsid w:val="000A296B"/>
    <w:rsid w:val="000A7311"/>
    <w:rsid w:val="000B060F"/>
    <w:rsid w:val="000B1592"/>
    <w:rsid w:val="000B1FF2"/>
    <w:rsid w:val="000B2F43"/>
    <w:rsid w:val="000B3CDA"/>
    <w:rsid w:val="000B6A0B"/>
    <w:rsid w:val="000C0F6C"/>
    <w:rsid w:val="000C11DB"/>
    <w:rsid w:val="000C1492"/>
    <w:rsid w:val="000C2FBD"/>
    <w:rsid w:val="000C4B41"/>
    <w:rsid w:val="000C57D6"/>
    <w:rsid w:val="000C6362"/>
    <w:rsid w:val="000C7666"/>
    <w:rsid w:val="000D0A9C"/>
    <w:rsid w:val="000D1795"/>
    <w:rsid w:val="000D329A"/>
    <w:rsid w:val="000D4AA1"/>
    <w:rsid w:val="000D4B9C"/>
    <w:rsid w:val="000D4EB6"/>
    <w:rsid w:val="000D753B"/>
    <w:rsid w:val="000E4C9E"/>
    <w:rsid w:val="000E6FD7"/>
    <w:rsid w:val="000F06E1"/>
    <w:rsid w:val="000F09FC"/>
    <w:rsid w:val="000F0E3C"/>
    <w:rsid w:val="000F19D5"/>
    <w:rsid w:val="000F4AEA"/>
    <w:rsid w:val="000F633F"/>
    <w:rsid w:val="000F67E9"/>
    <w:rsid w:val="00104926"/>
    <w:rsid w:val="00107BA1"/>
    <w:rsid w:val="00113B1E"/>
    <w:rsid w:val="0011711C"/>
    <w:rsid w:val="0012059C"/>
    <w:rsid w:val="00124E4F"/>
    <w:rsid w:val="001260B7"/>
    <w:rsid w:val="001265CB"/>
    <w:rsid w:val="00131658"/>
    <w:rsid w:val="001321C6"/>
    <w:rsid w:val="001325C4"/>
    <w:rsid w:val="00133010"/>
    <w:rsid w:val="001338EE"/>
    <w:rsid w:val="00133AAE"/>
    <w:rsid w:val="00135323"/>
    <w:rsid w:val="001356C4"/>
    <w:rsid w:val="0013609F"/>
    <w:rsid w:val="00141114"/>
    <w:rsid w:val="00142969"/>
    <w:rsid w:val="001446C2"/>
    <w:rsid w:val="001457E7"/>
    <w:rsid w:val="00145D9D"/>
    <w:rsid w:val="00146388"/>
    <w:rsid w:val="001529E5"/>
    <w:rsid w:val="00153C7E"/>
    <w:rsid w:val="00156B25"/>
    <w:rsid w:val="00156E1A"/>
    <w:rsid w:val="00157894"/>
    <w:rsid w:val="00157B55"/>
    <w:rsid w:val="00162F6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1F5"/>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AE7"/>
    <w:rsid w:val="001D7BE4"/>
    <w:rsid w:val="001E1B6A"/>
    <w:rsid w:val="001E2484"/>
    <w:rsid w:val="001E3CC4"/>
    <w:rsid w:val="001E4882"/>
    <w:rsid w:val="001E4B2F"/>
    <w:rsid w:val="001E73AB"/>
    <w:rsid w:val="001F092D"/>
    <w:rsid w:val="001F143A"/>
    <w:rsid w:val="001F1605"/>
    <w:rsid w:val="001F2508"/>
    <w:rsid w:val="001F3B3F"/>
    <w:rsid w:val="001F4816"/>
    <w:rsid w:val="001F4EE9"/>
    <w:rsid w:val="001F69B4"/>
    <w:rsid w:val="001F77C7"/>
    <w:rsid w:val="001F7E5B"/>
    <w:rsid w:val="00200183"/>
    <w:rsid w:val="00200333"/>
    <w:rsid w:val="0020107D"/>
    <w:rsid w:val="00202AA4"/>
    <w:rsid w:val="002031F7"/>
    <w:rsid w:val="002040E6"/>
    <w:rsid w:val="0020527B"/>
    <w:rsid w:val="00205F2C"/>
    <w:rsid w:val="00210B15"/>
    <w:rsid w:val="002142EA"/>
    <w:rsid w:val="00214EB1"/>
    <w:rsid w:val="002204BB"/>
    <w:rsid w:val="00221B79"/>
    <w:rsid w:val="00221C6B"/>
    <w:rsid w:val="002253A1"/>
    <w:rsid w:val="00225CF8"/>
    <w:rsid w:val="0022794E"/>
    <w:rsid w:val="00233D64"/>
    <w:rsid w:val="0023482A"/>
    <w:rsid w:val="002359CB"/>
    <w:rsid w:val="00243540"/>
    <w:rsid w:val="002437B3"/>
    <w:rsid w:val="0024497B"/>
    <w:rsid w:val="0024515B"/>
    <w:rsid w:val="00246021"/>
    <w:rsid w:val="0024666E"/>
    <w:rsid w:val="00247F52"/>
    <w:rsid w:val="00250B25"/>
    <w:rsid w:val="00250BBE"/>
    <w:rsid w:val="002515C2"/>
    <w:rsid w:val="0025194F"/>
    <w:rsid w:val="0026148A"/>
    <w:rsid w:val="00262696"/>
    <w:rsid w:val="00263D25"/>
    <w:rsid w:val="00263D63"/>
    <w:rsid w:val="002643C3"/>
    <w:rsid w:val="00264A0C"/>
    <w:rsid w:val="00264D80"/>
    <w:rsid w:val="00266EEB"/>
    <w:rsid w:val="00267EF4"/>
    <w:rsid w:val="00270CB8"/>
    <w:rsid w:val="00272B08"/>
    <w:rsid w:val="002771AC"/>
    <w:rsid w:val="00281BB8"/>
    <w:rsid w:val="00281E9E"/>
    <w:rsid w:val="0028235B"/>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F00"/>
    <w:rsid w:val="002A757F"/>
    <w:rsid w:val="002A7F44"/>
    <w:rsid w:val="002B0C40"/>
    <w:rsid w:val="002B1966"/>
    <w:rsid w:val="002B4508"/>
    <w:rsid w:val="002B5779"/>
    <w:rsid w:val="002B7332"/>
    <w:rsid w:val="002B7F51"/>
    <w:rsid w:val="002C09E7"/>
    <w:rsid w:val="002C1E06"/>
    <w:rsid w:val="002C1E1C"/>
    <w:rsid w:val="002C3F07"/>
    <w:rsid w:val="002C5278"/>
    <w:rsid w:val="002C710E"/>
    <w:rsid w:val="002C7EBB"/>
    <w:rsid w:val="002D06C1"/>
    <w:rsid w:val="002D42B5"/>
    <w:rsid w:val="002D4B80"/>
    <w:rsid w:val="002D4C05"/>
    <w:rsid w:val="002D4F1A"/>
    <w:rsid w:val="002D6EC6"/>
    <w:rsid w:val="002D79AC"/>
    <w:rsid w:val="002E039D"/>
    <w:rsid w:val="002E4D5A"/>
    <w:rsid w:val="002E6326"/>
    <w:rsid w:val="002F30E0"/>
    <w:rsid w:val="002F35E4"/>
    <w:rsid w:val="002F3730"/>
    <w:rsid w:val="002F38E1"/>
    <w:rsid w:val="002F7AF6"/>
    <w:rsid w:val="00300E63"/>
    <w:rsid w:val="003026FC"/>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47D6E"/>
    <w:rsid w:val="00350D1D"/>
    <w:rsid w:val="00352C83"/>
    <w:rsid w:val="003615D2"/>
    <w:rsid w:val="0036429C"/>
    <w:rsid w:val="00364A53"/>
    <w:rsid w:val="003654CB"/>
    <w:rsid w:val="00365AA9"/>
    <w:rsid w:val="00365F86"/>
    <w:rsid w:val="00365F87"/>
    <w:rsid w:val="00366E89"/>
    <w:rsid w:val="003705F4"/>
    <w:rsid w:val="00370D58"/>
    <w:rsid w:val="00371316"/>
    <w:rsid w:val="00375AA8"/>
    <w:rsid w:val="00376713"/>
    <w:rsid w:val="003770F8"/>
    <w:rsid w:val="00381815"/>
    <w:rsid w:val="003819AF"/>
    <w:rsid w:val="003820E9"/>
    <w:rsid w:val="00382DE7"/>
    <w:rsid w:val="003833ED"/>
    <w:rsid w:val="00384660"/>
    <w:rsid w:val="00384FFC"/>
    <w:rsid w:val="003872FC"/>
    <w:rsid w:val="00387ADC"/>
    <w:rsid w:val="00390020"/>
    <w:rsid w:val="003903D6"/>
    <w:rsid w:val="00390EE6"/>
    <w:rsid w:val="0039118F"/>
    <w:rsid w:val="00392AD7"/>
    <w:rsid w:val="003938D9"/>
    <w:rsid w:val="00394376"/>
    <w:rsid w:val="003943FF"/>
    <w:rsid w:val="00395700"/>
    <w:rsid w:val="00396F75"/>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724"/>
    <w:rsid w:val="003D662A"/>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600"/>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98A"/>
    <w:rsid w:val="00492F02"/>
    <w:rsid w:val="004939AE"/>
    <w:rsid w:val="004A12DF"/>
    <w:rsid w:val="004A17E6"/>
    <w:rsid w:val="004A1BA8"/>
    <w:rsid w:val="004A4B57"/>
    <w:rsid w:val="004A63FA"/>
    <w:rsid w:val="004B0272"/>
    <w:rsid w:val="004B2701"/>
    <w:rsid w:val="004B2E1B"/>
    <w:rsid w:val="004B3AA8"/>
    <w:rsid w:val="004B3E93"/>
    <w:rsid w:val="004B401F"/>
    <w:rsid w:val="004B5006"/>
    <w:rsid w:val="004B6DAC"/>
    <w:rsid w:val="004B7B21"/>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27D"/>
    <w:rsid w:val="004E2B06"/>
    <w:rsid w:val="004E30C5"/>
    <w:rsid w:val="004E3338"/>
    <w:rsid w:val="004E4AA5"/>
    <w:rsid w:val="004E4AEE"/>
    <w:rsid w:val="004E59E3"/>
    <w:rsid w:val="004E67C0"/>
    <w:rsid w:val="004E70A1"/>
    <w:rsid w:val="004F391A"/>
    <w:rsid w:val="004F3CFB"/>
    <w:rsid w:val="004F6456"/>
    <w:rsid w:val="004F696E"/>
    <w:rsid w:val="004F6C71"/>
    <w:rsid w:val="00501139"/>
    <w:rsid w:val="0050363E"/>
    <w:rsid w:val="005039BC"/>
    <w:rsid w:val="005043BB"/>
    <w:rsid w:val="00504A3D"/>
    <w:rsid w:val="00505767"/>
    <w:rsid w:val="005073F0"/>
    <w:rsid w:val="005078FB"/>
    <w:rsid w:val="00510A7B"/>
    <w:rsid w:val="00512F6E"/>
    <w:rsid w:val="00513038"/>
    <w:rsid w:val="00514174"/>
    <w:rsid w:val="0051455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BAF"/>
    <w:rsid w:val="0056487B"/>
    <w:rsid w:val="00564FB9"/>
    <w:rsid w:val="00566869"/>
    <w:rsid w:val="00573D9E"/>
    <w:rsid w:val="005801E3"/>
    <w:rsid w:val="00581802"/>
    <w:rsid w:val="005836A8"/>
    <w:rsid w:val="0058409C"/>
    <w:rsid w:val="00584262"/>
    <w:rsid w:val="00586630"/>
    <w:rsid w:val="00587ADD"/>
    <w:rsid w:val="00591E27"/>
    <w:rsid w:val="00594880"/>
    <w:rsid w:val="00596160"/>
    <w:rsid w:val="005966E2"/>
    <w:rsid w:val="00597007"/>
    <w:rsid w:val="005A0966"/>
    <w:rsid w:val="005A11B7"/>
    <w:rsid w:val="005A260B"/>
    <w:rsid w:val="005A4839"/>
    <w:rsid w:val="005A4A1B"/>
    <w:rsid w:val="005A7701"/>
    <w:rsid w:val="005A7830"/>
    <w:rsid w:val="005A7FCE"/>
    <w:rsid w:val="005B0F3F"/>
    <w:rsid w:val="005B1482"/>
    <w:rsid w:val="005B37A1"/>
    <w:rsid w:val="005B4903"/>
    <w:rsid w:val="005B51CE"/>
    <w:rsid w:val="005B5885"/>
    <w:rsid w:val="005B5CD7"/>
    <w:rsid w:val="005B6CF6"/>
    <w:rsid w:val="005B71D5"/>
    <w:rsid w:val="005B7422"/>
    <w:rsid w:val="005C1E71"/>
    <w:rsid w:val="005C29B8"/>
    <w:rsid w:val="005C4DFD"/>
    <w:rsid w:val="005C5F21"/>
    <w:rsid w:val="005C7156"/>
    <w:rsid w:val="005D0C75"/>
    <w:rsid w:val="005D4171"/>
    <w:rsid w:val="005D6A95"/>
    <w:rsid w:val="005D6B2C"/>
    <w:rsid w:val="005D6D9C"/>
    <w:rsid w:val="005E2335"/>
    <w:rsid w:val="005E34CA"/>
    <w:rsid w:val="005E3C18"/>
    <w:rsid w:val="005E6812"/>
    <w:rsid w:val="005E7881"/>
    <w:rsid w:val="005E78E0"/>
    <w:rsid w:val="005E79F2"/>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B5C"/>
    <w:rsid w:val="00632182"/>
    <w:rsid w:val="00632AE0"/>
    <w:rsid w:val="00632BBD"/>
    <w:rsid w:val="00632DC7"/>
    <w:rsid w:val="00633C17"/>
    <w:rsid w:val="00634D9E"/>
    <w:rsid w:val="00636E3E"/>
    <w:rsid w:val="006379F7"/>
    <w:rsid w:val="00637E4D"/>
    <w:rsid w:val="00640620"/>
    <w:rsid w:val="00641A1F"/>
    <w:rsid w:val="00645904"/>
    <w:rsid w:val="00646C2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702"/>
    <w:rsid w:val="006770F4"/>
    <w:rsid w:val="00677A84"/>
    <w:rsid w:val="00677A89"/>
    <w:rsid w:val="0068026D"/>
    <w:rsid w:val="006809C3"/>
    <w:rsid w:val="00680A27"/>
    <w:rsid w:val="006816A4"/>
    <w:rsid w:val="006819B8"/>
    <w:rsid w:val="006840A6"/>
    <w:rsid w:val="006850CD"/>
    <w:rsid w:val="00685AAB"/>
    <w:rsid w:val="00694422"/>
    <w:rsid w:val="00695045"/>
    <w:rsid w:val="00695D22"/>
    <w:rsid w:val="006A07AA"/>
    <w:rsid w:val="006A25E5"/>
    <w:rsid w:val="006A2B46"/>
    <w:rsid w:val="006A336D"/>
    <w:rsid w:val="006A37B9"/>
    <w:rsid w:val="006A4029"/>
    <w:rsid w:val="006B24CD"/>
    <w:rsid w:val="006B2672"/>
    <w:rsid w:val="006B54BF"/>
    <w:rsid w:val="006B5F44"/>
    <w:rsid w:val="006B5F90"/>
    <w:rsid w:val="006B62E4"/>
    <w:rsid w:val="006C1BBA"/>
    <w:rsid w:val="006C2079"/>
    <w:rsid w:val="006C3201"/>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D6"/>
    <w:rsid w:val="00704387"/>
    <w:rsid w:val="00707669"/>
    <w:rsid w:val="00711651"/>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B8D"/>
    <w:rsid w:val="00750D61"/>
    <w:rsid w:val="00750EE1"/>
    <w:rsid w:val="00752B4D"/>
    <w:rsid w:val="00755402"/>
    <w:rsid w:val="00756B26"/>
    <w:rsid w:val="00756CE0"/>
    <w:rsid w:val="00756EDF"/>
    <w:rsid w:val="007600E3"/>
    <w:rsid w:val="00765C43"/>
    <w:rsid w:val="00765EFB"/>
    <w:rsid w:val="007671CA"/>
    <w:rsid w:val="00767C61"/>
    <w:rsid w:val="0077008A"/>
    <w:rsid w:val="00773375"/>
    <w:rsid w:val="00773C1F"/>
    <w:rsid w:val="00774DA4"/>
    <w:rsid w:val="00776599"/>
    <w:rsid w:val="0078114B"/>
    <w:rsid w:val="00781DD2"/>
    <w:rsid w:val="00783ECF"/>
    <w:rsid w:val="0078413A"/>
    <w:rsid w:val="007959E8"/>
    <w:rsid w:val="00795E9C"/>
    <w:rsid w:val="007A0521"/>
    <w:rsid w:val="007A0F1E"/>
    <w:rsid w:val="007A2E12"/>
    <w:rsid w:val="007A33D6"/>
    <w:rsid w:val="007A3475"/>
    <w:rsid w:val="007A41C8"/>
    <w:rsid w:val="007A4B49"/>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B52"/>
    <w:rsid w:val="00823303"/>
    <w:rsid w:val="008233B2"/>
    <w:rsid w:val="00823A9F"/>
    <w:rsid w:val="00823C85"/>
    <w:rsid w:val="00825138"/>
    <w:rsid w:val="008269DD"/>
    <w:rsid w:val="008303AA"/>
    <w:rsid w:val="00830621"/>
    <w:rsid w:val="008332D2"/>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BA2"/>
    <w:rsid w:val="00867C10"/>
    <w:rsid w:val="00870439"/>
    <w:rsid w:val="00870DA1"/>
    <w:rsid w:val="00880A3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AC8"/>
    <w:rsid w:val="008B7E05"/>
    <w:rsid w:val="008C1797"/>
    <w:rsid w:val="008C219C"/>
    <w:rsid w:val="008C475E"/>
    <w:rsid w:val="008C540D"/>
    <w:rsid w:val="008C60A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E18"/>
    <w:rsid w:val="00902722"/>
    <w:rsid w:val="009027BC"/>
    <w:rsid w:val="009062E6"/>
    <w:rsid w:val="00906E42"/>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D68"/>
    <w:rsid w:val="009D38C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02E"/>
    <w:rsid w:val="00A07E47"/>
    <w:rsid w:val="00A129D0"/>
    <w:rsid w:val="00A12C33"/>
    <w:rsid w:val="00A13453"/>
    <w:rsid w:val="00A138BA"/>
    <w:rsid w:val="00A14C8E"/>
    <w:rsid w:val="00A153D9"/>
    <w:rsid w:val="00A15F09"/>
    <w:rsid w:val="00A169B6"/>
    <w:rsid w:val="00A2271D"/>
    <w:rsid w:val="00A237D5"/>
    <w:rsid w:val="00A2656D"/>
    <w:rsid w:val="00A30EFC"/>
    <w:rsid w:val="00A30F57"/>
    <w:rsid w:val="00A31984"/>
    <w:rsid w:val="00A32D73"/>
    <w:rsid w:val="00A3314A"/>
    <w:rsid w:val="00A3367B"/>
    <w:rsid w:val="00A3597D"/>
    <w:rsid w:val="00A36DD1"/>
    <w:rsid w:val="00A4006C"/>
    <w:rsid w:val="00A40091"/>
    <w:rsid w:val="00A4030F"/>
    <w:rsid w:val="00A41C79"/>
    <w:rsid w:val="00A41CB5"/>
    <w:rsid w:val="00A42CDF"/>
    <w:rsid w:val="00A4452E"/>
    <w:rsid w:val="00A4472C"/>
    <w:rsid w:val="00A44E69"/>
    <w:rsid w:val="00A451EE"/>
    <w:rsid w:val="00A4661E"/>
    <w:rsid w:val="00A55BD6"/>
    <w:rsid w:val="00A55D50"/>
    <w:rsid w:val="00A570AA"/>
    <w:rsid w:val="00A57142"/>
    <w:rsid w:val="00A648CD"/>
    <w:rsid w:val="00A6537A"/>
    <w:rsid w:val="00A67866"/>
    <w:rsid w:val="00A70B07"/>
    <w:rsid w:val="00A723F8"/>
    <w:rsid w:val="00A77CCB"/>
    <w:rsid w:val="00A83D8D"/>
    <w:rsid w:val="00A8446B"/>
    <w:rsid w:val="00A8473F"/>
    <w:rsid w:val="00A862D6"/>
    <w:rsid w:val="00A8715E"/>
    <w:rsid w:val="00A92694"/>
    <w:rsid w:val="00A9295B"/>
    <w:rsid w:val="00A93B09"/>
    <w:rsid w:val="00A94247"/>
    <w:rsid w:val="00A952D7"/>
    <w:rsid w:val="00A963F7"/>
    <w:rsid w:val="00A96AD8"/>
    <w:rsid w:val="00AA052C"/>
    <w:rsid w:val="00AA1E45"/>
    <w:rsid w:val="00AA4286"/>
    <w:rsid w:val="00AA456B"/>
    <w:rsid w:val="00AA57F5"/>
    <w:rsid w:val="00AA66F8"/>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557"/>
    <w:rsid w:val="00AE070A"/>
    <w:rsid w:val="00AE101C"/>
    <w:rsid w:val="00AE37E5"/>
    <w:rsid w:val="00AE52C9"/>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574"/>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F21"/>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121"/>
    <w:rsid w:val="00BF1703"/>
    <w:rsid w:val="00BF231C"/>
    <w:rsid w:val="00BF51E5"/>
    <w:rsid w:val="00BF74A6"/>
    <w:rsid w:val="00C013AD"/>
    <w:rsid w:val="00C04904"/>
    <w:rsid w:val="00C056B3"/>
    <w:rsid w:val="00C0652A"/>
    <w:rsid w:val="00C103E5"/>
    <w:rsid w:val="00C129F9"/>
    <w:rsid w:val="00C13319"/>
    <w:rsid w:val="00C13EE9"/>
    <w:rsid w:val="00C14C23"/>
    <w:rsid w:val="00C21540"/>
    <w:rsid w:val="00C21906"/>
    <w:rsid w:val="00C21BFA"/>
    <w:rsid w:val="00C22148"/>
    <w:rsid w:val="00C24C8D"/>
    <w:rsid w:val="00C25FE2"/>
    <w:rsid w:val="00C26B53"/>
    <w:rsid w:val="00C279B2"/>
    <w:rsid w:val="00C27E43"/>
    <w:rsid w:val="00C305FA"/>
    <w:rsid w:val="00C33E50"/>
    <w:rsid w:val="00C34AFD"/>
    <w:rsid w:val="00C34C20"/>
    <w:rsid w:val="00C35A3E"/>
    <w:rsid w:val="00C41C60"/>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CF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6E8"/>
    <w:rsid w:val="00CE0C4F"/>
    <w:rsid w:val="00CE30EA"/>
    <w:rsid w:val="00CE41E7"/>
    <w:rsid w:val="00CF048A"/>
    <w:rsid w:val="00CF155A"/>
    <w:rsid w:val="00CF2947"/>
    <w:rsid w:val="00CF686F"/>
    <w:rsid w:val="00CF6E60"/>
    <w:rsid w:val="00CF7BCA"/>
    <w:rsid w:val="00D008FD"/>
    <w:rsid w:val="00D0321C"/>
    <w:rsid w:val="00D035EC"/>
    <w:rsid w:val="00D04325"/>
    <w:rsid w:val="00D06AB1"/>
    <w:rsid w:val="00D072ED"/>
    <w:rsid w:val="00D07A16"/>
    <w:rsid w:val="00D1067E"/>
    <w:rsid w:val="00D10F50"/>
    <w:rsid w:val="00D11272"/>
    <w:rsid w:val="00D126F5"/>
    <w:rsid w:val="00D143BE"/>
    <w:rsid w:val="00D1489E"/>
    <w:rsid w:val="00D15E31"/>
    <w:rsid w:val="00D20737"/>
    <w:rsid w:val="00D21E81"/>
    <w:rsid w:val="00D223DE"/>
    <w:rsid w:val="00D2381B"/>
    <w:rsid w:val="00D24554"/>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5DE6"/>
    <w:rsid w:val="00D56591"/>
    <w:rsid w:val="00D66846"/>
    <w:rsid w:val="00D66993"/>
    <w:rsid w:val="00D675FB"/>
    <w:rsid w:val="00D71F25"/>
    <w:rsid w:val="00D72A9C"/>
    <w:rsid w:val="00D73513"/>
    <w:rsid w:val="00D77031"/>
    <w:rsid w:val="00D835A4"/>
    <w:rsid w:val="00D83A02"/>
    <w:rsid w:val="00D84941"/>
    <w:rsid w:val="00D84FA1"/>
    <w:rsid w:val="00D851F0"/>
    <w:rsid w:val="00D86DB7"/>
    <w:rsid w:val="00D926D0"/>
    <w:rsid w:val="00D93030"/>
    <w:rsid w:val="00D950E1"/>
    <w:rsid w:val="00D952A6"/>
    <w:rsid w:val="00D9535D"/>
    <w:rsid w:val="00D97F99"/>
    <w:rsid w:val="00DA1E08"/>
    <w:rsid w:val="00DA24F8"/>
    <w:rsid w:val="00DA28E8"/>
    <w:rsid w:val="00DA2FAE"/>
    <w:rsid w:val="00DA38D3"/>
    <w:rsid w:val="00DA3932"/>
    <w:rsid w:val="00DA3AFC"/>
    <w:rsid w:val="00DA5191"/>
    <w:rsid w:val="00DA64F8"/>
    <w:rsid w:val="00DA6C15"/>
    <w:rsid w:val="00DA7D85"/>
    <w:rsid w:val="00DB0258"/>
    <w:rsid w:val="00DB38EE"/>
    <w:rsid w:val="00DB498B"/>
    <w:rsid w:val="00DB66CA"/>
    <w:rsid w:val="00DB6BCA"/>
    <w:rsid w:val="00DB73F7"/>
    <w:rsid w:val="00DC0321"/>
    <w:rsid w:val="00DC2AD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321"/>
    <w:rsid w:val="00E52EFD"/>
    <w:rsid w:val="00E534D7"/>
    <w:rsid w:val="00E5408A"/>
    <w:rsid w:val="00E563CD"/>
    <w:rsid w:val="00E56800"/>
    <w:rsid w:val="00E60C63"/>
    <w:rsid w:val="00E62FF9"/>
    <w:rsid w:val="00E635D6"/>
    <w:rsid w:val="00E639BC"/>
    <w:rsid w:val="00E63FB3"/>
    <w:rsid w:val="00E664CC"/>
    <w:rsid w:val="00E70280"/>
    <w:rsid w:val="00E70388"/>
    <w:rsid w:val="00E70F92"/>
    <w:rsid w:val="00E72B94"/>
    <w:rsid w:val="00E74C54"/>
    <w:rsid w:val="00E77A03"/>
    <w:rsid w:val="00E822E8"/>
    <w:rsid w:val="00E82554"/>
    <w:rsid w:val="00E82606"/>
    <w:rsid w:val="00E846C8"/>
    <w:rsid w:val="00E84957"/>
    <w:rsid w:val="00E84A55"/>
    <w:rsid w:val="00E85BFF"/>
    <w:rsid w:val="00E90391"/>
    <w:rsid w:val="00E906C2"/>
    <w:rsid w:val="00E92288"/>
    <w:rsid w:val="00E9311F"/>
    <w:rsid w:val="00E934D1"/>
    <w:rsid w:val="00E94AF0"/>
    <w:rsid w:val="00E95D13"/>
    <w:rsid w:val="00E95DD3"/>
    <w:rsid w:val="00E969D5"/>
    <w:rsid w:val="00EA1328"/>
    <w:rsid w:val="00EA58D1"/>
    <w:rsid w:val="00EA61BC"/>
    <w:rsid w:val="00EA681A"/>
    <w:rsid w:val="00EA735B"/>
    <w:rsid w:val="00EA76D5"/>
    <w:rsid w:val="00EB17DE"/>
    <w:rsid w:val="00EB1E69"/>
    <w:rsid w:val="00EB2086"/>
    <w:rsid w:val="00EB5EDF"/>
    <w:rsid w:val="00EB60FE"/>
    <w:rsid w:val="00EB74DB"/>
    <w:rsid w:val="00EC5359"/>
    <w:rsid w:val="00EC562A"/>
    <w:rsid w:val="00ED067A"/>
    <w:rsid w:val="00ED2B50"/>
    <w:rsid w:val="00EE0350"/>
    <w:rsid w:val="00EE0719"/>
    <w:rsid w:val="00EE0E80"/>
    <w:rsid w:val="00EE3039"/>
    <w:rsid w:val="00EE5049"/>
    <w:rsid w:val="00EE54A6"/>
    <w:rsid w:val="00EE613F"/>
    <w:rsid w:val="00EE7295"/>
    <w:rsid w:val="00EE7869"/>
    <w:rsid w:val="00EF054A"/>
    <w:rsid w:val="00EF3235"/>
    <w:rsid w:val="00EF7E72"/>
    <w:rsid w:val="00F021DE"/>
    <w:rsid w:val="00F036DB"/>
    <w:rsid w:val="00F06D37"/>
    <w:rsid w:val="00F07B9D"/>
    <w:rsid w:val="00F11586"/>
    <w:rsid w:val="00F1183B"/>
    <w:rsid w:val="00F11C9F"/>
    <w:rsid w:val="00F12263"/>
    <w:rsid w:val="00F1409D"/>
    <w:rsid w:val="00F14214"/>
    <w:rsid w:val="00F157A9"/>
    <w:rsid w:val="00F25BB6"/>
    <w:rsid w:val="00F26B7E"/>
    <w:rsid w:val="00F27A3B"/>
    <w:rsid w:val="00F33817"/>
    <w:rsid w:val="00F41668"/>
    <w:rsid w:val="00F420D5"/>
    <w:rsid w:val="00F451EA"/>
    <w:rsid w:val="00F45447"/>
    <w:rsid w:val="00F456C6"/>
    <w:rsid w:val="00F4577B"/>
    <w:rsid w:val="00F46496"/>
    <w:rsid w:val="00F474D0"/>
    <w:rsid w:val="00F50179"/>
    <w:rsid w:val="00F51032"/>
    <w:rsid w:val="00F515EE"/>
    <w:rsid w:val="00F56511"/>
    <w:rsid w:val="00F6194E"/>
    <w:rsid w:val="00F623AC"/>
    <w:rsid w:val="00F625E4"/>
    <w:rsid w:val="00F6412A"/>
    <w:rsid w:val="00F65893"/>
    <w:rsid w:val="00F66A4A"/>
    <w:rsid w:val="00F71E22"/>
    <w:rsid w:val="00F72142"/>
    <w:rsid w:val="00F72AE7"/>
    <w:rsid w:val="00F81141"/>
    <w:rsid w:val="00F833BA"/>
    <w:rsid w:val="00F84FD0"/>
    <w:rsid w:val="00F859A8"/>
    <w:rsid w:val="00F86D87"/>
    <w:rsid w:val="00F9108B"/>
    <w:rsid w:val="00F91349"/>
    <w:rsid w:val="00F91A23"/>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78"/>
    <w:rsid w:val="00FE4BCE"/>
    <w:rsid w:val="00FE54AE"/>
    <w:rsid w:val="00FE576A"/>
    <w:rsid w:val="00FE6F58"/>
    <w:rsid w:val="00FE7E79"/>
    <w:rsid w:val="00FF3E7D"/>
    <w:rsid w:val="00FF5B99"/>
    <w:rsid w:val="00FF6B77"/>
    <w:rsid w:val="00FF730C"/>
    <w:rsid w:val="00FF73F4"/>
    <w:rsid w:val="00FF7CE4"/>
    <w:rsid w:val="00FF7E39"/>
    <w:rsid w:val="04FE6BCF"/>
    <w:rsid w:val="05C67BCC"/>
    <w:rsid w:val="0D342356"/>
    <w:rsid w:val="16BA1A18"/>
    <w:rsid w:val="1D4209B0"/>
    <w:rsid w:val="1F224999"/>
    <w:rsid w:val="21A777CE"/>
    <w:rsid w:val="410A78B3"/>
    <w:rsid w:val="5A651AF9"/>
    <w:rsid w:val="5EE04F75"/>
    <w:rsid w:val="65A12D45"/>
    <w:rsid w:val="72163A1B"/>
    <w:rsid w:val="767E572A"/>
    <w:rsid w:val="78A74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qFormat/>
    <w:uiPriority w:val="0"/>
    <w:pPr>
      <w:adjustRightInd/>
      <w:spacing w:line="240" w:lineRule="auto"/>
    </w:pPr>
    <w:rPr>
      <w:rFonts w:ascii="Arial" w:hAnsi="Arial" w:eastAsia="微软雅黑"/>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397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二级条标题"/>
    <w:basedOn w:val="1"/>
    <w:link w:val="233"/>
    <w:qFormat/>
    <w:uiPriority w:val="0"/>
    <w:pPr>
      <w:widowControl/>
      <w:numPr>
        <w:ilvl w:val="2"/>
        <w:numId w:val="32"/>
      </w:numPr>
      <w:adjustRightInd/>
      <w:spacing w:line="240" w:lineRule="auto"/>
      <w:jc w:val="left"/>
      <w:outlineLvl w:val="3"/>
    </w:pPr>
    <w:rPr>
      <w:rFonts w:ascii="黑体" w:eastAsia="黑体"/>
      <w:kern w:val="0"/>
    </w:rPr>
  </w:style>
  <w:style w:type="paragraph" w:customStyle="1" w:styleId="232">
    <w:name w:val="章标题"/>
    <w:basedOn w:val="1"/>
    <w:autoRedefine/>
    <w:qFormat/>
    <w:uiPriority w:val="0"/>
    <w:pPr>
      <w:widowControl/>
      <w:numPr>
        <w:ilvl w:val="0"/>
        <w:numId w:val="32"/>
      </w:numPr>
      <w:adjustRightInd/>
      <w:spacing w:beforeLines="100" w:line="240" w:lineRule="auto"/>
      <w:outlineLvl w:val="1"/>
    </w:pPr>
    <w:rPr>
      <w:rFonts w:hint="eastAsia" w:ascii="黑体" w:eastAsia="黑体"/>
      <w:kern w:val="0"/>
      <w:szCs w:val="20"/>
    </w:rPr>
  </w:style>
  <w:style w:type="character" w:customStyle="1" w:styleId="233">
    <w:name w:val="二级条标题 Char"/>
    <w:basedOn w:val="29"/>
    <w:link w:val="231"/>
    <w:autoRedefine/>
    <w:qFormat/>
    <w:uiPriority w:val="0"/>
    <w:rPr>
      <w:rFonts w:ascii="黑体" w:eastAsia="黑体"/>
      <w:sz w:val="21"/>
      <w:szCs w:val="21"/>
    </w:rPr>
  </w:style>
  <w:style w:type="paragraph" w:customStyle="1" w:styleId="23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23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9BAA1352AD4C40B96EA13CF5DC24E3"/>
        <w:style w:val=""/>
        <w:category>
          <w:name w:val="常规"/>
          <w:gallery w:val="placeholder"/>
        </w:category>
        <w:types>
          <w:type w:val="bbPlcHdr"/>
        </w:types>
        <w:behaviors>
          <w:behavior w:val="content"/>
        </w:behaviors>
        <w:description w:val=""/>
        <w:guid w:val="{9FE71474-24B6-4044-8EAD-627B615D3168}"/>
      </w:docPartPr>
      <w:docPartBody>
        <w:p w14:paraId="3196009D">
          <w:pPr>
            <w:pStyle w:val="5"/>
          </w:pPr>
          <w:r>
            <w:rPr>
              <w:rStyle w:val="4"/>
              <w:rFonts w:hint="eastAsia"/>
            </w:rPr>
            <w:t>单击或点击此处输入文字。</w:t>
          </w:r>
        </w:p>
      </w:docPartBody>
    </w:docPart>
    <w:docPart>
      <w:docPartPr>
        <w:name w:val="9BD87AD5ABC949FE8356E6A9D12C965C"/>
        <w:style w:val=""/>
        <w:category>
          <w:name w:val="常规"/>
          <w:gallery w:val="placeholder"/>
        </w:category>
        <w:types>
          <w:type w:val="bbPlcHdr"/>
        </w:types>
        <w:behaviors>
          <w:behavior w:val="content"/>
        </w:behaviors>
        <w:description w:val=""/>
        <w:guid w:val="{2226F9A9-423E-4901-B4DF-5FCD3CA70174}"/>
      </w:docPartPr>
      <w:docPartBody>
        <w:p w14:paraId="23B14EF6">
          <w:pPr>
            <w:pStyle w:val="6"/>
          </w:pPr>
          <w:r>
            <w:rPr>
              <w:rStyle w:val="4"/>
              <w:rFonts w:hint="eastAsia"/>
            </w:rPr>
            <w:t>选择一项。</w:t>
          </w:r>
        </w:p>
      </w:docPartBody>
    </w:docPart>
    <w:docPart>
      <w:docPartPr>
        <w:name w:val="7FE0EDC86DF9441695DDD209BBB19325"/>
        <w:style w:val=""/>
        <w:category>
          <w:name w:val="常规"/>
          <w:gallery w:val="placeholder"/>
        </w:category>
        <w:types>
          <w:type w:val="bbPlcHdr"/>
        </w:types>
        <w:behaviors>
          <w:behavior w:val="content"/>
        </w:behaviors>
        <w:description w:val=""/>
        <w:guid w:val="{26171460-F984-4045-928C-854B443F99FD}"/>
      </w:docPartPr>
      <w:docPartBody>
        <w:p w14:paraId="51CB7BB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86"/>
    <w:rsid w:val="000216BD"/>
    <w:rsid w:val="001D53AA"/>
    <w:rsid w:val="003D7D1E"/>
    <w:rsid w:val="00411072"/>
    <w:rsid w:val="004B6216"/>
    <w:rsid w:val="004D209F"/>
    <w:rsid w:val="006E6D11"/>
    <w:rsid w:val="009C4782"/>
    <w:rsid w:val="00A27080"/>
    <w:rsid w:val="00CC0994"/>
    <w:rsid w:val="00CE7162"/>
    <w:rsid w:val="00D12E98"/>
    <w:rsid w:val="00D538A4"/>
    <w:rsid w:val="00DE1083"/>
    <w:rsid w:val="00FA0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9BAA1352AD4C40B96EA13CF5DC24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BD87AD5ABC949FE8356E6A9D12C96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FE0EDC86DF9441695DDD209BBB1932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E63F79-45A2-4E1A-B5BB-0E89A54917F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6074</Words>
  <Characters>6890</Characters>
  <Lines>66</Lines>
  <Paragraphs>18</Paragraphs>
  <TotalTime>14</TotalTime>
  <ScaleCrop>false</ScaleCrop>
  <LinksUpToDate>false</LinksUpToDate>
  <CharactersWithSpaces>7106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2025-06-17T01:15:00Z</dcterms:created>
  <dc:creator>admin</dc:creator>
  <dc:description>&lt;config cover="true" show_menu="true" version="1.0.0" doctype="SDKXY"&gt;_x000d_
&lt;/config&gt;</dc:description>
  <cp:lastModifiedBy>忐忑</cp:lastModifiedBy>
  <cp:lastPrinted>2025-05-21T02:04:00Z</cp:lastPrinted>
  <dcterms:modified xsi:type="dcterms:W3CDTF">2025-07-25T09:26:20Z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2052-12.1.0.21915</vt:lpwstr>
  </property>
  <property fmtid="{D5CDD505-2E9C-101B-9397-08002B2CF9AE}" pid="16" name="ICV">
    <vt:lpwstr>04E750B7A75541D3B41392BD2A4469A3_13</vt:lpwstr>
  </property>
</Properties>
</file>