
<file path=[Content_Types].xml><?xml version="1.0" encoding="utf-8"?>
<Types xmlns="http://schemas.openxmlformats.org/package/2006/content-types">
  <Default Extension="xml" ContentType="application/xml"/>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0D6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89A30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D416545">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8203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9D0A5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FA355D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5942AB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5EECF52">
            <w:pPr>
              <w:pStyle w:val="51"/>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2037BBF3">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5320A5C">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BC41DED">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DBCD0E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FA73CE1">
      <w:pPr>
        <w:pStyle w:val="52"/>
        <w:framePr w:w="9639" w:h="6976" w:hRule="exact" w:hSpace="0" w:vSpace="0" w:wrap="around" w:hAnchor="page" w:y="6408"/>
        <w:jc w:val="center"/>
        <w:rPr>
          <w:rFonts w:hint="eastAsia" w:ascii="黑体" w:hAnsi="黑体" w:eastAsia="黑体"/>
          <w:b w:val="0"/>
          <w:bCs w:val="0"/>
          <w:w w:val="100"/>
        </w:rPr>
      </w:pPr>
    </w:p>
    <w:p w14:paraId="4DD77375">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特定地域单元生态产品价值（</w:t>
      </w:r>
      <w:r>
        <w:t>VEP）核算</w:t>
      </w:r>
    </w:p>
    <w:p w14:paraId="5D7522BF">
      <w:pPr>
        <w:pStyle w:val="199"/>
        <w:framePr w:h="6974" w:hRule="exact" w:wrap="around" w:x="1419" w:anchorLock="1"/>
        <w:rPr>
          <w:rFonts w:hint="eastAsia"/>
        </w:rPr>
      </w:pPr>
      <w:r>
        <w:t>技术规范</w:t>
      </w:r>
      <w:r>
        <w:fldChar w:fldCharType="end"/>
      </w:r>
      <w:bookmarkEnd w:id="9"/>
    </w:p>
    <w:p w14:paraId="71C2F205">
      <w:pPr>
        <w:framePr w:w="9639" w:h="6974" w:hRule="exact" w:wrap="around" w:vAnchor="page" w:hAnchor="page" w:x="1419" w:y="6408" w:anchorLock="1"/>
        <w:ind w:left="-1418"/>
      </w:pPr>
    </w:p>
    <w:p w14:paraId="5ECB9496">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accounting value of ecosystem products(VEP) in specific geographic units</w:t>
      </w:r>
      <w:r>
        <w:rPr>
          <w:rFonts w:eastAsia="黑体"/>
          <w:szCs w:val="28"/>
        </w:rPr>
        <w:fldChar w:fldCharType="end"/>
      </w:r>
      <w:bookmarkEnd w:id="10"/>
    </w:p>
    <w:p w14:paraId="4310388D">
      <w:pPr>
        <w:framePr w:w="9639" w:h="6974" w:hRule="exact" w:wrap="around" w:vAnchor="page" w:hAnchor="page" w:x="1419" w:y="6408" w:anchorLock="1"/>
        <w:spacing w:line="760" w:lineRule="exact"/>
        <w:ind w:left="-1418"/>
      </w:pPr>
    </w:p>
    <w:p w14:paraId="60564EF0">
      <w:pPr>
        <w:pStyle w:val="127"/>
        <w:framePr w:w="9639" w:h="6974" w:hRule="exact" w:wrap="around" w:vAnchor="page" w:hAnchor="page" w:x="1419" w:y="6408" w:anchorLock="1"/>
        <w:textAlignment w:val="bottom"/>
        <w:rPr>
          <w:rFonts w:eastAsia="黑体"/>
          <w:szCs w:val="28"/>
        </w:rPr>
      </w:pPr>
    </w:p>
    <w:p w14:paraId="6A1F4598">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CBDD473">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98C1FC3">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FAB4976">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92E3AF6">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D98DC64">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C4BA6D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4B8C7F">
      <w:pPr>
        <w:pStyle w:val="93"/>
        <w:spacing w:after="468"/>
      </w:pPr>
      <w:bookmarkStart w:id="21" w:name="BookMark1"/>
      <w:bookmarkStart w:id="22" w:name="_Toc203399051"/>
      <w:r>
        <w:rPr>
          <w:rFonts w:hint="eastAsia"/>
          <w:spacing w:val="320"/>
        </w:rPr>
        <w:t>目</w:t>
      </w:r>
      <w:r>
        <w:rPr>
          <w:rFonts w:hint="eastAsia"/>
        </w:rPr>
        <w:t>次</w:t>
      </w:r>
    </w:p>
    <w:p w14:paraId="3659C58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"_Toc203399447"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_Toc203399447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2CFC446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"_Toc203399448"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_Toc203399448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DA0F1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"_Toc203399449"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_Toc203399449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82E5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"_Toc203399450"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_Toc203399450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BCF61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"_Toc203399451" </w:instrText>
      </w:r>
      <w:r>
        <w:fldChar w:fldCharType="separate"/>
      </w:r>
      <w:r>
        <w:rPr>
          <w:rStyle w:val="34"/>
          <w:rFonts w:hint="eastAsia"/>
        </w:rPr>
        <w:t>4</w:t>
      </w:r>
      <w:r>
        <w:rPr>
          <w:rStyle w:val="34"/>
        </w:rPr>
        <w:t xml:space="preserve"> </w:t>
      </w:r>
      <w:r>
        <w:rPr>
          <w:rStyle w:val="34"/>
          <w:rFonts w:hint="eastAsia"/>
        </w:rPr>
        <w:t xml:space="preserve"> 核算流程</w:t>
      </w:r>
      <w:r>
        <w:rPr>
          <w:rFonts w:hint="eastAsia"/>
        </w:rPr>
        <w:tab/>
      </w:r>
      <w:r>
        <w:rPr>
          <w:rFonts w:hint="eastAsia"/>
        </w:rPr>
        <w:fldChar w:fldCharType="begin"/>
      </w:r>
      <w:r>
        <w:rPr>
          <w:rFonts w:hint="eastAsia"/>
        </w:rPr>
        <w:instrText xml:space="preserve"> </w:instrText>
      </w:r>
      <w:r>
        <w:instrText xml:space="preserve">PAGEREF _Toc203399451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038D30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"_Toc203399452" </w:instrText>
      </w:r>
      <w:r>
        <w:fldChar w:fldCharType="separate"/>
      </w:r>
      <w:r>
        <w:rPr>
          <w:rStyle w:val="34"/>
          <w:rFonts w:hint="eastAsia"/>
          <w14:scene3d>
            <w14:lightRig w14:rig="threePt" w14:dir="t">
              <w14:rot w14:lat="0" w14:lon="0" w14:rev="0"/>
            </w14:lightRig>
          </w14:scene3d>
        </w:rPr>
        <w:t>4.1</w:t>
      </w:r>
      <w:r>
        <w:rPr>
          <w:rStyle w:val="34"/>
          <w14:scene3d>
            <w14:lightRig w14:rig="threePt" w14:dir="t">
              <w14:rot w14:lat="0" w14:lon="0" w14:rev="0"/>
            </w14:lightRig>
          </w14:scene3d>
        </w:rPr>
        <w:t xml:space="preserve"> </w:t>
      </w:r>
      <w:r>
        <w:rPr>
          <w:rStyle w:val="34"/>
          <w:rFonts w:hint="eastAsia"/>
        </w:rPr>
        <w:t xml:space="preserve"> 确定核算空间范围</w:t>
      </w:r>
      <w:r>
        <w:rPr>
          <w:rFonts w:hint="eastAsia"/>
        </w:rPr>
        <w:tab/>
      </w:r>
      <w:r>
        <w:rPr>
          <w:rFonts w:hint="eastAsia"/>
        </w:rPr>
        <w:fldChar w:fldCharType="begin"/>
      </w:r>
      <w:r>
        <w:rPr>
          <w:rFonts w:hint="eastAsia"/>
        </w:rPr>
        <w:instrText xml:space="preserve"> </w:instrText>
      </w:r>
      <w:r>
        <w:instrText xml:space="preserve">PAGEREF _Toc203399452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F03854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"_Toc203399453" </w:instrText>
      </w:r>
      <w:r>
        <w:fldChar w:fldCharType="separate"/>
      </w:r>
      <w:r>
        <w:rPr>
          <w:rStyle w:val="34"/>
          <w:rFonts w:hint="eastAsia"/>
          <w14:scene3d>
            <w14:lightRig w14:rig="threePt" w14:dir="t">
              <w14:rot w14:lat="0" w14:lon="0" w14:rev="0"/>
            </w14:lightRig>
          </w14:scene3d>
        </w:rPr>
        <w:t>4.2</w:t>
      </w:r>
      <w:r>
        <w:rPr>
          <w:rStyle w:val="34"/>
          <w14:scene3d>
            <w14:lightRig w14:rig="threePt" w14:dir="t">
              <w14:rot w14:lat="0" w14:lon="0" w14:rev="0"/>
            </w14:lightRig>
          </w14:scene3d>
        </w:rPr>
        <w:t xml:space="preserve"> </w:t>
      </w:r>
      <w:r>
        <w:rPr>
          <w:rStyle w:val="34"/>
          <w:rFonts w:hint="eastAsia"/>
        </w:rPr>
        <w:t xml:space="preserve"> 确定核算时点与方式</w:t>
      </w:r>
      <w:r>
        <w:rPr>
          <w:rFonts w:hint="eastAsia"/>
        </w:rPr>
        <w:tab/>
      </w:r>
      <w:r>
        <w:rPr>
          <w:rFonts w:hint="eastAsia"/>
        </w:rPr>
        <w:fldChar w:fldCharType="begin"/>
      </w:r>
      <w:r>
        <w:rPr>
          <w:rFonts w:hint="eastAsia"/>
        </w:rPr>
        <w:instrText xml:space="preserve"> </w:instrText>
      </w:r>
      <w:r>
        <w:instrText xml:space="preserve">PAGEREF _Toc203399453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51C222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"_Toc203399454" </w:instrText>
      </w:r>
      <w:r>
        <w:fldChar w:fldCharType="separate"/>
      </w:r>
      <w:r>
        <w:rPr>
          <w:rStyle w:val="34"/>
          <w:rFonts w:hint="eastAsia"/>
          <w14:scene3d>
            <w14:lightRig w14:rig="threePt" w14:dir="t">
              <w14:rot w14:lat="0" w14:lon="0" w14:rev="0"/>
            </w14:lightRig>
          </w14:scene3d>
        </w:rPr>
        <w:t>4.3</w:t>
      </w:r>
      <w:r>
        <w:rPr>
          <w:rStyle w:val="34"/>
          <w14:scene3d>
            <w14:lightRig w14:rig="threePt" w14:dir="t">
              <w14:rot w14:lat="0" w14:lon="0" w14:rev="0"/>
            </w14:lightRig>
          </w14:scene3d>
        </w:rPr>
        <w:t xml:space="preserve"> </w:t>
      </w:r>
      <w:r>
        <w:rPr>
          <w:rStyle w:val="34"/>
          <w:rFonts w:hint="eastAsia"/>
        </w:rPr>
        <w:t xml:space="preserve"> 生态产品价值核算流程</w:t>
      </w:r>
      <w:r>
        <w:rPr>
          <w:rFonts w:hint="eastAsia"/>
        </w:rPr>
        <w:tab/>
      </w:r>
      <w:r>
        <w:rPr>
          <w:rFonts w:hint="eastAsia"/>
        </w:rPr>
        <w:fldChar w:fldCharType="begin"/>
      </w:r>
      <w:r>
        <w:rPr>
          <w:rFonts w:hint="eastAsia"/>
        </w:rPr>
        <w:instrText xml:space="preserve"> </w:instrText>
      </w:r>
      <w:r>
        <w:instrText xml:space="preserve">PAGEREF _Toc203399454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356D83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"_Toc203399455" </w:instrText>
      </w:r>
      <w:r>
        <w:fldChar w:fldCharType="separate"/>
      </w:r>
      <w:r>
        <w:rPr>
          <w:rStyle w:val="34"/>
          <w:rFonts w:hint="eastAsia"/>
        </w:rPr>
        <w:t>5</w:t>
      </w:r>
      <w:r>
        <w:rPr>
          <w:rStyle w:val="34"/>
        </w:rPr>
        <w:t xml:space="preserve"> </w:t>
      </w:r>
      <w:r>
        <w:rPr>
          <w:rStyle w:val="34"/>
          <w:rFonts w:hint="eastAsia"/>
        </w:rPr>
        <w:t xml:space="preserve"> 生态产品实物量和价值量核算方法</w:t>
      </w:r>
      <w:r>
        <w:rPr>
          <w:rFonts w:hint="eastAsia"/>
        </w:rPr>
        <w:tab/>
      </w:r>
      <w:r>
        <w:rPr>
          <w:rFonts w:hint="eastAsia"/>
        </w:rPr>
        <w:fldChar w:fldCharType="begin"/>
      </w:r>
      <w:r>
        <w:rPr>
          <w:rFonts w:hint="eastAsia"/>
        </w:rPr>
        <w:instrText xml:space="preserve"> </w:instrText>
      </w:r>
      <w:r>
        <w:instrText xml:space="preserve">PAGEREF _Toc203399455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5B233C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"_Toc203399456" </w:instrText>
      </w:r>
      <w:r>
        <w:fldChar w:fldCharType="separate"/>
      </w:r>
      <w:r>
        <w:rPr>
          <w:rStyle w:val="34"/>
          <w:rFonts w:hint="eastAsia"/>
          <w14:scene3d>
            <w14:lightRig w14:rig="threePt" w14:dir="t">
              <w14:rot w14:lat="0" w14:lon="0" w14:rev="0"/>
            </w14:lightRig>
          </w14:scene3d>
        </w:rPr>
        <w:t>5.1</w:t>
      </w:r>
      <w:r>
        <w:rPr>
          <w:rStyle w:val="34"/>
          <w14:scene3d>
            <w14:lightRig w14:rig="threePt" w14:dir="t">
              <w14:rot w14:lat="0" w14:lon="0" w14:rev="0"/>
            </w14:lightRig>
          </w14:scene3d>
        </w:rPr>
        <w:t xml:space="preserve"> </w:t>
      </w:r>
      <w:r>
        <w:rPr>
          <w:rStyle w:val="34"/>
          <w:rFonts w:hint="eastAsia"/>
        </w:rPr>
        <w:t xml:space="preserve"> 核算单元</w:t>
      </w:r>
      <w:r>
        <w:rPr>
          <w:rFonts w:hint="eastAsia"/>
        </w:rPr>
        <w:tab/>
      </w:r>
      <w:r>
        <w:rPr>
          <w:rFonts w:hint="eastAsia"/>
        </w:rPr>
        <w:fldChar w:fldCharType="begin"/>
      </w:r>
      <w:r>
        <w:rPr>
          <w:rFonts w:hint="eastAsia"/>
        </w:rPr>
        <w:instrText xml:space="preserve"> </w:instrText>
      </w:r>
      <w:r>
        <w:instrText xml:space="preserve">PAGEREF _Toc203399456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078A1F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"_Toc203399457" </w:instrText>
      </w:r>
      <w:r>
        <w:fldChar w:fldCharType="separate"/>
      </w:r>
      <w:r>
        <w:rPr>
          <w:rStyle w:val="34"/>
          <w:rFonts w:hint="eastAsia"/>
          <w14:scene3d>
            <w14:lightRig w14:rig="threePt" w14:dir="t">
              <w14:rot w14:lat="0" w14:lon="0" w14:rev="0"/>
            </w14:lightRig>
          </w14:scene3d>
        </w:rPr>
        <w:t>5.2</w:t>
      </w:r>
      <w:r>
        <w:rPr>
          <w:rStyle w:val="34"/>
          <w14:scene3d>
            <w14:lightRig w14:rig="threePt" w14:dir="t">
              <w14:rot w14:lat="0" w14:lon="0" w14:rev="0"/>
            </w14:lightRig>
          </w14:scene3d>
        </w:rPr>
        <w:t xml:space="preserve"> </w:t>
      </w:r>
      <w:r>
        <w:rPr>
          <w:rStyle w:val="34"/>
          <w:rFonts w:hint="eastAsia"/>
        </w:rPr>
        <w:t xml:space="preserve"> 生态产品实物量核算方法</w:t>
      </w:r>
      <w:r>
        <w:rPr>
          <w:rFonts w:hint="eastAsia"/>
        </w:rPr>
        <w:tab/>
      </w:r>
      <w:r>
        <w:rPr>
          <w:rFonts w:hint="eastAsia"/>
        </w:rPr>
        <w:fldChar w:fldCharType="begin"/>
      </w:r>
      <w:r>
        <w:rPr>
          <w:rFonts w:hint="eastAsia"/>
        </w:rPr>
        <w:instrText xml:space="preserve"> </w:instrText>
      </w:r>
      <w:r>
        <w:instrText xml:space="preserve">PAGEREF _Toc203399457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EEB8BA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"_Toc203399458" </w:instrText>
      </w:r>
      <w:r>
        <w:fldChar w:fldCharType="separate"/>
      </w:r>
      <w:r>
        <w:rPr>
          <w:rStyle w:val="34"/>
          <w:rFonts w:hint="eastAsia"/>
          <w14:scene3d>
            <w14:lightRig w14:rig="threePt" w14:dir="t">
              <w14:rot w14:lat="0" w14:lon="0" w14:rev="0"/>
            </w14:lightRig>
          </w14:scene3d>
        </w:rPr>
        <w:t>5.3</w:t>
      </w:r>
      <w:r>
        <w:rPr>
          <w:rStyle w:val="34"/>
          <w14:scene3d>
            <w14:lightRig w14:rig="threePt" w14:dir="t">
              <w14:rot w14:lat="0" w14:lon="0" w14:rev="0"/>
            </w14:lightRig>
          </w14:scene3d>
        </w:rPr>
        <w:t xml:space="preserve"> </w:t>
      </w:r>
      <w:r>
        <w:rPr>
          <w:rStyle w:val="34"/>
          <w:rFonts w:hint="eastAsia"/>
        </w:rPr>
        <w:t xml:space="preserve"> 生态产品价值量核算方法</w:t>
      </w:r>
      <w:r>
        <w:rPr>
          <w:rFonts w:hint="eastAsia"/>
        </w:rPr>
        <w:tab/>
      </w:r>
      <w:r>
        <w:rPr>
          <w:rFonts w:hint="eastAsia"/>
        </w:rPr>
        <w:fldChar w:fldCharType="begin"/>
      </w:r>
      <w:r>
        <w:rPr>
          <w:rFonts w:hint="eastAsia"/>
        </w:rPr>
        <w:instrText xml:space="preserve"> </w:instrText>
      </w:r>
      <w:r>
        <w:instrText xml:space="preserve">PAGEREF _Toc203399458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6D5A561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"_Toc203399459" </w:instrText>
      </w:r>
      <w:r>
        <w:fldChar w:fldCharType="separate"/>
      </w:r>
      <w:r>
        <w:rPr>
          <w:rStyle w:val="34"/>
          <w:rFonts w:hint="eastAsia"/>
        </w:rPr>
        <w:t>6</w:t>
      </w:r>
      <w:r>
        <w:rPr>
          <w:rStyle w:val="34"/>
        </w:rPr>
        <w:t xml:space="preserve"> </w:t>
      </w:r>
      <w:r>
        <w:rPr>
          <w:rStyle w:val="34"/>
          <w:rFonts w:hint="eastAsia"/>
        </w:rPr>
        <w:t xml:space="preserve"> 生态产品价值变化评估</w:t>
      </w:r>
      <w:r>
        <w:rPr>
          <w:rFonts w:hint="eastAsia"/>
        </w:rPr>
        <w:tab/>
      </w:r>
      <w:r>
        <w:rPr>
          <w:rFonts w:hint="eastAsia"/>
        </w:rPr>
        <w:fldChar w:fldCharType="begin"/>
      </w:r>
      <w:r>
        <w:rPr>
          <w:rFonts w:hint="eastAsia"/>
        </w:rPr>
        <w:instrText xml:space="preserve"> </w:instrText>
      </w:r>
      <w:r>
        <w:instrText xml:space="preserve">PAGEREF _Toc203399459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DA5C64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"_Toc203399460" </w:instrText>
      </w:r>
      <w:r>
        <w:fldChar w:fldCharType="separate"/>
      </w:r>
      <w:r>
        <w:rPr>
          <w:rStyle w:val="34"/>
          <w:rFonts w:hint="eastAsia"/>
          <w14:scene3d>
            <w14:lightRig w14:rig="threePt" w14:dir="t">
              <w14:rot w14:lat="0" w14:lon="0" w14:rev="0"/>
            </w14:lightRig>
          </w14:scene3d>
        </w:rPr>
        <w:t>6.1</w:t>
      </w:r>
      <w:r>
        <w:rPr>
          <w:rStyle w:val="34"/>
          <w14:scene3d>
            <w14:lightRig w14:rig="threePt" w14:dir="t">
              <w14:rot w14:lat="0" w14:lon="0" w14:rev="0"/>
            </w14:lightRig>
          </w14:scene3d>
        </w:rPr>
        <w:t xml:space="preserve"> </w:t>
      </w:r>
      <w:r>
        <w:rPr>
          <w:rStyle w:val="34"/>
          <w:rFonts w:hint="eastAsia"/>
        </w:rPr>
        <w:t xml:space="preserve"> 生态产品价值评估</w:t>
      </w:r>
      <w:r>
        <w:rPr>
          <w:rFonts w:hint="eastAsia"/>
        </w:rPr>
        <w:tab/>
      </w:r>
      <w:r>
        <w:rPr>
          <w:rFonts w:hint="eastAsia"/>
        </w:rPr>
        <w:fldChar w:fldCharType="begin"/>
      </w:r>
      <w:r>
        <w:rPr>
          <w:rFonts w:hint="eastAsia"/>
        </w:rPr>
        <w:instrText xml:space="preserve"> </w:instrText>
      </w:r>
      <w:r>
        <w:instrText xml:space="preserve">PAGEREF _Toc203399460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1BB4CA3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"_Toc203399461" </w:instrText>
      </w:r>
      <w:r>
        <w:fldChar w:fldCharType="separate"/>
      </w:r>
      <w:r>
        <w:rPr>
          <w:rStyle w:val="34"/>
          <w:rFonts w:hint="eastAsia"/>
          <w14:scene3d>
            <w14:lightRig w14:rig="threePt" w14:dir="t">
              <w14:rot w14:lat="0" w14:lon="0" w14:rev="0"/>
            </w14:lightRig>
          </w14:scene3d>
        </w:rPr>
        <w:t>6.2</w:t>
      </w:r>
      <w:r>
        <w:rPr>
          <w:rStyle w:val="34"/>
          <w14:scene3d>
            <w14:lightRig w14:rig="threePt" w14:dir="t">
              <w14:rot w14:lat="0" w14:lon="0" w14:rev="0"/>
            </w14:lightRig>
          </w14:scene3d>
        </w:rPr>
        <w:t xml:space="preserve"> </w:t>
      </w:r>
      <w:r>
        <w:rPr>
          <w:rStyle w:val="34"/>
          <w:rFonts w:hint="eastAsia"/>
        </w:rPr>
        <w:t xml:space="preserve"> 生态产品转化率评估</w:t>
      </w:r>
      <w:r>
        <w:rPr>
          <w:rFonts w:hint="eastAsia"/>
        </w:rPr>
        <w:tab/>
      </w:r>
      <w:r>
        <w:rPr>
          <w:rFonts w:hint="eastAsia"/>
        </w:rPr>
        <w:fldChar w:fldCharType="begin"/>
      </w:r>
      <w:r>
        <w:rPr>
          <w:rFonts w:hint="eastAsia"/>
        </w:rPr>
        <w:instrText xml:space="preserve"> </w:instrText>
      </w:r>
      <w:r>
        <w:instrText xml:space="preserve">PAGEREF _Toc203399461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01BD945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"_Toc203399462" </w:instrText>
      </w:r>
      <w:r>
        <w:fldChar w:fldCharType="separate"/>
      </w:r>
      <w:r>
        <w:rPr>
          <w:rStyle w:val="34"/>
          <w:rFonts w:hint="eastAsia"/>
          <w14:scene3d>
            <w14:lightRig w14:rig="threePt" w14:dir="t">
              <w14:rot w14:lat="0" w14:lon="0" w14:rev="0"/>
            </w14:lightRig>
          </w14:scene3d>
        </w:rPr>
        <w:t>6.3</w:t>
      </w:r>
      <w:r>
        <w:rPr>
          <w:rStyle w:val="34"/>
          <w14:scene3d>
            <w14:lightRig w14:rig="threePt" w14:dir="t">
              <w14:rot w14:lat="0" w14:lon="0" w14:rev="0"/>
            </w14:lightRig>
          </w14:scene3d>
        </w:rPr>
        <w:t xml:space="preserve"> </w:t>
      </w:r>
      <w:r>
        <w:rPr>
          <w:rStyle w:val="34"/>
          <w:rFonts w:hint="eastAsia"/>
        </w:rPr>
        <w:t xml:space="preserve"> 调节服务价值变化评估</w:t>
      </w:r>
      <w:r>
        <w:rPr>
          <w:rStyle w:val="34"/>
          <w:rFonts w:hint="eastAsia" w:hAnsi="Calibri"/>
        </w:rPr>
        <w:tab/>
      </w:r>
      <w:r>
        <w:rPr>
          <w:rStyle w:val="34"/>
          <w:rFonts w:hint="eastAsia" w:hAnsi="Calibri"/>
        </w:rPr>
        <w:fldChar w:fldCharType="begin"/>
      </w:r>
      <w:r>
        <w:rPr>
          <w:rStyle w:val="34"/>
          <w:rFonts w:hint="eastAsia" w:hAnsi="Calibri"/>
        </w:rPr>
        <w:instrText xml:space="preserve"> </w:instrText>
      </w:r>
      <w:r>
        <w:rPr>
          <w:rStyle w:val="34"/>
          <w:rFonts w:hAnsi="Calibri"/>
        </w:rPr>
        <w:instrText xml:space="preserve">PAGEREF _Toc203399462 \h</w:instrText>
      </w:r>
      <w:r>
        <w:rPr>
          <w:rStyle w:val="34"/>
          <w:rFonts w:hint="eastAsia" w:hAnsi="Calibri"/>
        </w:rPr>
        <w:instrText xml:space="preserve"> </w:instrText>
      </w:r>
      <w:r>
        <w:rPr>
          <w:rStyle w:val="34"/>
          <w:rFonts w:hint="eastAsia" w:hAnsi="Calibri"/>
        </w:rPr>
        <w:fldChar w:fldCharType="separate"/>
      </w:r>
      <w:r>
        <w:rPr>
          <w:rStyle w:val="34"/>
          <w:rFonts w:hAnsi="Calibri"/>
        </w:rPr>
        <w:t>21</w:t>
      </w:r>
      <w:r>
        <w:rPr>
          <w:rStyle w:val="34"/>
          <w:rFonts w:hint="eastAsia" w:hAnsi="Calibri"/>
        </w:rPr>
        <w:fldChar w:fldCharType="end"/>
      </w:r>
      <w:r>
        <w:rPr>
          <w:rStyle w:val="34"/>
          <w:rFonts w:hint="eastAsia" w:hAnsi="Calibri"/>
        </w:rPr>
        <w:fldChar w:fldCharType="end"/>
      </w:r>
    </w:p>
    <w:p w14:paraId="60EFAB1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"_Toc203399463" </w:instrText>
      </w:r>
      <w:r>
        <w:fldChar w:fldCharType="separate"/>
      </w:r>
      <w:r>
        <w:rPr>
          <w:rStyle w:val="34"/>
          <w:rFonts w:hint="eastAsia"/>
        </w:rPr>
        <w:t>7</w:t>
      </w:r>
      <w:r>
        <w:rPr>
          <w:rStyle w:val="34"/>
        </w:rPr>
        <w:t xml:space="preserve"> </w:t>
      </w:r>
      <w:r>
        <w:rPr>
          <w:rStyle w:val="34"/>
          <w:rFonts w:hint="eastAsia"/>
        </w:rPr>
        <w:t xml:space="preserve"> 数据采集与质量控制</w:t>
      </w:r>
      <w:r>
        <w:rPr>
          <w:rFonts w:hint="eastAsia"/>
        </w:rPr>
        <w:tab/>
      </w:r>
      <w:r>
        <w:rPr>
          <w:rFonts w:hint="eastAsia"/>
        </w:rPr>
        <w:fldChar w:fldCharType="begin"/>
      </w:r>
      <w:r>
        <w:rPr>
          <w:rFonts w:hint="eastAsia"/>
        </w:rPr>
        <w:instrText xml:space="preserve"> </w:instrText>
      </w:r>
      <w:r>
        <w:instrText xml:space="preserve">PAGEREF _Toc203399463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658345A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"_Toc203399464" </w:instrText>
      </w:r>
      <w:r>
        <w:fldChar w:fldCharType="separate"/>
      </w:r>
      <w:r>
        <w:rPr>
          <w:rStyle w:val="34"/>
          <w:rFonts w:hint="eastAsia"/>
          <w14:scene3d>
            <w14:lightRig w14:rig="threePt" w14:dir="t">
              <w14:rot w14:lat="0" w14:lon="0" w14:rev="0"/>
            </w14:lightRig>
          </w14:scene3d>
        </w:rPr>
        <w:t>7.1</w:t>
      </w:r>
      <w:r>
        <w:rPr>
          <w:rStyle w:val="34"/>
          <w14:scene3d>
            <w14:lightRig w14:rig="threePt" w14:dir="t">
              <w14:rot w14:lat="0" w14:lon="0" w14:rev="0"/>
            </w14:lightRig>
          </w14:scene3d>
        </w:rPr>
        <w:t xml:space="preserve"> </w:t>
      </w:r>
      <w:r>
        <w:rPr>
          <w:rStyle w:val="34"/>
          <w:rFonts w:hint="eastAsia"/>
        </w:rPr>
        <w:t xml:space="preserve"> 规范基础数据</w:t>
      </w:r>
      <w:r>
        <w:rPr>
          <w:rFonts w:hint="eastAsia"/>
        </w:rPr>
        <w:tab/>
      </w:r>
      <w:r>
        <w:rPr>
          <w:rFonts w:hint="eastAsia"/>
        </w:rPr>
        <w:fldChar w:fldCharType="begin"/>
      </w:r>
      <w:r>
        <w:rPr>
          <w:rFonts w:hint="eastAsia"/>
        </w:rPr>
        <w:instrText xml:space="preserve"> </w:instrText>
      </w:r>
      <w:r>
        <w:instrText xml:space="preserve">PAGEREF _Toc203399464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781426A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"_Toc203399465" </w:instrText>
      </w:r>
      <w:r>
        <w:fldChar w:fldCharType="separate"/>
      </w:r>
      <w:r>
        <w:rPr>
          <w:rStyle w:val="34"/>
          <w:rFonts w:hint="eastAsia"/>
          <w14:scene3d>
            <w14:lightRig w14:rig="threePt" w14:dir="t">
              <w14:rot w14:lat="0" w14:lon="0" w14:rev="0"/>
            </w14:lightRig>
          </w14:scene3d>
        </w:rPr>
        <w:t>7.2</w:t>
      </w:r>
      <w:r>
        <w:rPr>
          <w:rStyle w:val="34"/>
          <w14:scene3d>
            <w14:lightRig w14:rig="threePt" w14:dir="t">
              <w14:rot w14:lat="0" w14:lon="0" w14:rev="0"/>
            </w14:lightRig>
          </w14:scene3d>
        </w:rPr>
        <w:t xml:space="preserve"> </w:t>
      </w:r>
      <w:r>
        <w:rPr>
          <w:rStyle w:val="34"/>
          <w:rFonts w:hint="eastAsia"/>
        </w:rPr>
        <w:t xml:space="preserve"> 规范评估管理</w:t>
      </w:r>
      <w:r>
        <w:rPr>
          <w:rFonts w:hint="eastAsia"/>
        </w:rPr>
        <w:tab/>
      </w:r>
      <w:r>
        <w:rPr>
          <w:rFonts w:hint="eastAsia"/>
        </w:rPr>
        <w:fldChar w:fldCharType="begin"/>
      </w:r>
      <w:r>
        <w:rPr>
          <w:rFonts w:hint="eastAsia"/>
        </w:rPr>
        <w:instrText xml:space="preserve"> </w:instrText>
      </w:r>
      <w:r>
        <w:instrText xml:space="preserve">PAGEREF _Toc203399465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381ADE3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"_Toc203399466" </w:instrText>
      </w:r>
      <w:r>
        <w:fldChar w:fldCharType="separate"/>
      </w:r>
      <w:r>
        <w:rPr>
          <w:rStyle w:val="34"/>
          <w:rFonts w:hint="eastAsia"/>
          <w14:scene3d>
            <w14:lightRig w14:rig="threePt" w14:dir="t">
              <w14:rot w14:lat="0" w14:lon="0" w14:rev="0"/>
            </w14:lightRig>
          </w14:scene3d>
        </w:rPr>
        <w:t>7.3</w:t>
      </w:r>
      <w:r>
        <w:rPr>
          <w:rStyle w:val="34"/>
          <w14:scene3d>
            <w14:lightRig w14:rig="threePt" w14:dir="t">
              <w14:rot w14:lat="0" w14:lon="0" w14:rev="0"/>
            </w14:lightRig>
          </w14:scene3d>
        </w:rPr>
        <w:t xml:space="preserve"> </w:t>
      </w:r>
      <w:r>
        <w:rPr>
          <w:rStyle w:val="34"/>
          <w:rFonts w:hint="eastAsia"/>
        </w:rPr>
        <w:t xml:space="preserve"> 规范过程控制</w:t>
      </w:r>
      <w:r>
        <w:rPr>
          <w:rFonts w:hint="eastAsia"/>
        </w:rPr>
        <w:tab/>
      </w:r>
      <w:r>
        <w:rPr>
          <w:rFonts w:hint="eastAsia"/>
        </w:rPr>
        <w:fldChar w:fldCharType="begin"/>
      </w:r>
      <w:r>
        <w:rPr>
          <w:rFonts w:hint="eastAsia"/>
        </w:rPr>
        <w:instrText xml:space="preserve"> </w:instrText>
      </w:r>
      <w:r>
        <w:instrText xml:space="preserve">PAGEREF _Toc203399466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79CB6A7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"_Toc203399467" </w:instrText>
      </w:r>
      <w:r>
        <w:fldChar w:fldCharType="separate"/>
      </w:r>
      <w:r>
        <w:rPr>
          <w:rStyle w:val="34"/>
          <w:rFonts w:hint="eastAsia"/>
          <w14:scene3d>
            <w14:lightRig w14:rig="threePt" w14:dir="t">
              <w14:rot w14:lat="0" w14:lon="0" w14:rev="0"/>
            </w14:lightRig>
          </w14:scene3d>
        </w:rPr>
        <w:t>7.4</w:t>
      </w:r>
      <w:r>
        <w:rPr>
          <w:rStyle w:val="34"/>
          <w14:scene3d>
            <w14:lightRig w14:rig="threePt" w14:dir="t">
              <w14:rot w14:lat="0" w14:lon="0" w14:rev="0"/>
            </w14:lightRig>
          </w14:scene3d>
        </w:rPr>
        <w:t xml:space="preserve"> </w:t>
      </w:r>
      <w:r>
        <w:rPr>
          <w:rStyle w:val="34"/>
          <w:rFonts w:hint="eastAsia"/>
        </w:rPr>
        <w:t xml:space="preserve"> 规范成果形式</w:t>
      </w:r>
      <w:r>
        <w:rPr>
          <w:rFonts w:hint="eastAsia"/>
        </w:rPr>
        <w:tab/>
      </w:r>
      <w:r>
        <w:rPr>
          <w:rFonts w:hint="eastAsia"/>
        </w:rPr>
        <w:fldChar w:fldCharType="begin"/>
      </w:r>
      <w:r>
        <w:rPr>
          <w:rFonts w:hint="eastAsia"/>
        </w:rPr>
        <w:instrText xml:space="preserve"> </w:instrText>
      </w:r>
      <w:r>
        <w:instrText xml:space="preserve">PAGEREF _Toc203399467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0BC182C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"_Toc203399468" </w:instrText>
      </w:r>
      <w:r>
        <w:fldChar w:fldCharType="separate"/>
      </w:r>
      <w:r>
        <w:rPr>
          <w:rStyle w:val="34"/>
          <w:rFonts w:hint="eastAsia"/>
        </w:rPr>
        <w:t>8</w:t>
      </w:r>
      <w:r>
        <w:rPr>
          <w:rStyle w:val="34"/>
        </w:rPr>
        <w:t xml:space="preserve"> </w:t>
      </w:r>
      <w:r>
        <w:rPr>
          <w:rStyle w:val="34"/>
          <w:rFonts w:hint="eastAsia"/>
        </w:rPr>
        <w:t xml:space="preserve"> 成果汇总</w:t>
      </w:r>
      <w:r>
        <w:rPr>
          <w:rFonts w:hint="eastAsia"/>
        </w:rPr>
        <w:tab/>
      </w:r>
      <w:r>
        <w:rPr>
          <w:rFonts w:hint="eastAsia"/>
        </w:rPr>
        <w:fldChar w:fldCharType="begin"/>
      </w:r>
      <w:r>
        <w:rPr>
          <w:rFonts w:hint="eastAsia"/>
        </w:rPr>
        <w:instrText xml:space="preserve"> </w:instrText>
      </w:r>
      <w:r>
        <w:instrText xml:space="preserve">PAGEREF _Toc203399468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19C2AA7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"_Toc203399469" </w:instrText>
      </w:r>
      <w:r>
        <w:fldChar w:fldCharType="separate"/>
      </w:r>
      <w:r>
        <w:rPr>
          <w:rStyle w:val="34"/>
          <w:rFonts w:hint="eastAsia"/>
          <w14:scene3d>
            <w14:lightRig w14:rig="threePt" w14:dir="t">
              <w14:rot w14:lat="0" w14:lon="0" w14:rev="0"/>
            </w14:lightRig>
          </w14:scene3d>
        </w:rPr>
        <w:t>8.1</w:t>
      </w:r>
      <w:r>
        <w:rPr>
          <w:rStyle w:val="34"/>
          <w14:scene3d>
            <w14:lightRig w14:rig="threePt" w14:dir="t">
              <w14:rot w14:lat="0" w14:lon="0" w14:rev="0"/>
            </w14:lightRig>
          </w14:scene3d>
        </w:rPr>
        <w:t xml:space="preserve"> </w:t>
      </w:r>
      <w:r>
        <w:rPr>
          <w:rStyle w:val="34"/>
          <w:rFonts w:hint="eastAsia"/>
        </w:rPr>
        <w:t xml:space="preserve"> 成果类型</w:t>
      </w:r>
      <w:r>
        <w:rPr>
          <w:rFonts w:hint="eastAsia"/>
        </w:rPr>
        <w:tab/>
      </w:r>
      <w:r>
        <w:rPr>
          <w:rFonts w:hint="eastAsia"/>
        </w:rPr>
        <w:fldChar w:fldCharType="begin"/>
      </w:r>
      <w:r>
        <w:rPr>
          <w:rFonts w:hint="eastAsia"/>
        </w:rPr>
        <w:instrText xml:space="preserve"> </w:instrText>
      </w:r>
      <w:r>
        <w:instrText xml:space="preserve">PAGEREF _Toc203399469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5C135EF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"_Toc203399470" </w:instrText>
      </w:r>
      <w:r>
        <w:fldChar w:fldCharType="separate"/>
      </w:r>
      <w:r>
        <w:rPr>
          <w:rStyle w:val="34"/>
          <w:rFonts w:hint="eastAsia"/>
          <w14:scene3d>
            <w14:lightRig w14:rig="threePt" w14:dir="t">
              <w14:rot w14:lat="0" w14:lon="0" w14:rev="0"/>
            </w14:lightRig>
          </w14:scene3d>
        </w:rPr>
        <w:t>8.2</w:t>
      </w:r>
      <w:r>
        <w:rPr>
          <w:rStyle w:val="34"/>
          <w14:scene3d>
            <w14:lightRig w14:rig="threePt" w14:dir="t">
              <w14:rot w14:lat="0" w14:lon="0" w14:rev="0"/>
            </w14:lightRig>
          </w14:scene3d>
        </w:rPr>
        <w:t xml:space="preserve"> </w:t>
      </w:r>
      <w:r>
        <w:rPr>
          <w:rStyle w:val="34"/>
          <w:rFonts w:hint="eastAsia"/>
        </w:rPr>
        <w:t xml:space="preserve"> 成果文件组织</w:t>
      </w:r>
      <w:r>
        <w:rPr>
          <w:rFonts w:hint="eastAsia"/>
        </w:rPr>
        <w:tab/>
      </w:r>
      <w:r>
        <w:rPr>
          <w:rFonts w:hint="eastAsia"/>
        </w:rPr>
        <w:fldChar w:fldCharType="begin"/>
      </w:r>
      <w:r>
        <w:rPr>
          <w:rFonts w:hint="eastAsia"/>
        </w:rPr>
        <w:instrText xml:space="preserve"> </w:instrText>
      </w:r>
      <w:r>
        <w:instrText xml:space="preserve">PAGEREF _Toc203399470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6E2F169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"_Toc203399471" </w:instrText>
      </w:r>
      <w:r>
        <w:fldChar w:fldCharType="separate"/>
      </w:r>
      <w:r>
        <w:rPr>
          <w:rStyle w:val="34"/>
          <w:rFonts w:hint="eastAsia"/>
          <w14:scene3d>
            <w14:lightRig w14:rig="threePt" w14:dir="t">
              <w14:rot w14:lat="0" w14:lon="0" w14:rev="0"/>
            </w14:lightRig>
          </w14:scene3d>
        </w:rPr>
        <w:t>8.3</w:t>
      </w:r>
      <w:r>
        <w:rPr>
          <w:rStyle w:val="34"/>
          <w14:scene3d>
            <w14:lightRig w14:rig="threePt" w14:dir="t">
              <w14:rot w14:lat="0" w14:lon="0" w14:rev="0"/>
            </w14:lightRig>
          </w14:scene3d>
        </w:rPr>
        <w:t xml:space="preserve"> </w:t>
      </w:r>
      <w:r>
        <w:rPr>
          <w:rStyle w:val="34"/>
          <w:rFonts w:hint="eastAsia"/>
        </w:rPr>
        <w:t xml:space="preserve"> 成果审核</w:t>
      </w:r>
      <w:r>
        <w:rPr>
          <w:rFonts w:hint="eastAsia"/>
        </w:rPr>
        <w:tab/>
      </w:r>
      <w:r>
        <w:rPr>
          <w:rFonts w:hint="eastAsia"/>
        </w:rPr>
        <w:fldChar w:fldCharType="begin"/>
      </w:r>
      <w:r>
        <w:rPr>
          <w:rFonts w:hint="eastAsia"/>
        </w:rPr>
        <w:instrText xml:space="preserve"> </w:instrText>
      </w:r>
      <w:r>
        <w:instrText xml:space="preserve">PAGEREF _Toc203399471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1F82E8D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"_Toc203399472" </w:instrText>
      </w:r>
      <w:r>
        <w:fldChar w:fldCharType="separate"/>
      </w:r>
      <w:r>
        <w:rPr>
          <w:rStyle w:val="34"/>
          <w:rFonts w:hint="eastAsia"/>
          <w14:scene3d>
            <w14:lightRig w14:rig="threePt" w14:dir="t">
              <w14:rot w14:lat="0" w14:lon="0" w14:rev="0"/>
            </w14:lightRig>
          </w14:scene3d>
        </w:rPr>
        <w:t>8.4</w:t>
      </w:r>
      <w:r>
        <w:rPr>
          <w:rStyle w:val="34"/>
          <w14:scene3d>
            <w14:lightRig w14:rig="threePt" w14:dir="t">
              <w14:rot w14:lat="0" w14:lon="0" w14:rev="0"/>
            </w14:lightRig>
          </w14:scene3d>
        </w:rPr>
        <w:t xml:space="preserve"> </w:t>
      </w:r>
      <w:r>
        <w:rPr>
          <w:rStyle w:val="34"/>
          <w:rFonts w:hint="eastAsia"/>
        </w:rPr>
        <w:t xml:space="preserve"> 成果安全</w:t>
      </w:r>
      <w:r>
        <w:rPr>
          <w:rFonts w:hint="eastAsia"/>
        </w:rPr>
        <w:tab/>
      </w:r>
      <w:r>
        <w:rPr>
          <w:rFonts w:hint="eastAsia"/>
        </w:rPr>
        <w:fldChar w:fldCharType="begin"/>
      </w:r>
      <w:r>
        <w:rPr>
          <w:rFonts w:hint="eastAsia"/>
        </w:rPr>
        <w:instrText xml:space="preserve"> </w:instrText>
      </w:r>
      <w:r>
        <w:instrText xml:space="preserve">PAGEREF _Toc203399472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7C2C34B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"_Toc203399473" </w:instrText>
      </w:r>
      <w:r>
        <w:fldChar w:fldCharType="separate"/>
      </w:r>
      <w:r>
        <w:rPr>
          <w:rStyle w:val="34"/>
          <w:rFonts w:hint="eastAsia"/>
        </w:rPr>
        <w:t>附录A（资料性）</w:t>
      </w:r>
      <w:r>
        <w:rPr>
          <w:rStyle w:val="34"/>
        </w:rPr>
        <w:t xml:space="preserve"> </w:t>
      </w:r>
      <w:r>
        <w:rPr>
          <w:rStyle w:val="34"/>
          <w:rFonts w:hint="eastAsia"/>
        </w:rPr>
        <w:t xml:space="preserve"> 生态产品类别与生态系统类型</w:t>
      </w:r>
      <w:r>
        <w:rPr>
          <w:rFonts w:hint="eastAsia"/>
        </w:rPr>
        <w:tab/>
      </w:r>
      <w:r>
        <w:rPr>
          <w:rFonts w:hint="eastAsia"/>
        </w:rPr>
        <w:fldChar w:fldCharType="begin"/>
      </w:r>
      <w:r>
        <w:rPr>
          <w:rFonts w:hint="eastAsia"/>
        </w:rPr>
        <w:instrText xml:space="preserve"> </w:instrText>
      </w:r>
      <w:r>
        <w:instrText xml:space="preserve">PAGEREF _Toc203399473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46EFF0F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"_Toc203399474" </w:instrText>
      </w:r>
      <w:r>
        <w:fldChar w:fldCharType="separate"/>
      </w:r>
      <w:r>
        <w:rPr>
          <w:rStyle w:val="34"/>
          <w:rFonts w:hint="eastAsia" w:ascii="Times New Roman"/>
        </w:rPr>
        <w:t>附录B（资料性）</w:t>
      </w:r>
      <w:r>
        <w:rPr>
          <w:rStyle w:val="34"/>
          <w:rFonts w:ascii="Times New Roman"/>
        </w:rPr>
        <w:t xml:space="preserve"> </w:t>
      </w:r>
      <w:r>
        <w:rPr>
          <w:rStyle w:val="34"/>
          <w:rFonts w:hint="eastAsia" w:ascii="Times New Roman"/>
        </w:rPr>
        <w:t xml:space="preserve"> 生态系统类型与土地利用类型对照</w:t>
      </w:r>
      <w:r>
        <w:rPr>
          <w:rFonts w:hint="eastAsia"/>
        </w:rPr>
        <w:tab/>
      </w:r>
      <w:r>
        <w:rPr>
          <w:rFonts w:hint="eastAsia"/>
        </w:rPr>
        <w:fldChar w:fldCharType="begin"/>
      </w:r>
      <w:r>
        <w:rPr>
          <w:rFonts w:hint="eastAsia"/>
        </w:rPr>
        <w:instrText xml:space="preserve"> </w:instrText>
      </w:r>
      <w:r>
        <w:instrText xml:space="preserve">PAGEREF _Toc203399474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7DFBA6C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"_Toc203399475" </w:instrText>
      </w:r>
      <w:r>
        <w:fldChar w:fldCharType="separate"/>
      </w:r>
      <w:r>
        <w:rPr>
          <w:rStyle w:val="34"/>
          <w:rFonts w:hint="eastAsia" w:ascii="Times New Roman"/>
        </w:rPr>
        <w:t>附录C（资料性）</w:t>
      </w:r>
      <w:r>
        <w:rPr>
          <w:rStyle w:val="34"/>
          <w:rFonts w:ascii="Times New Roman"/>
        </w:rPr>
        <w:t xml:space="preserve"> </w:t>
      </w:r>
      <w:r>
        <w:rPr>
          <w:rStyle w:val="34"/>
          <w:rFonts w:hint="eastAsia" w:ascii="Times New Roman"/>
        </w:rPr>
        <w:t xml:space="preserve"> 生态产品实物量和价值量核算关键参数</w:t>
      </w:r>
      <w:r>
        <w:rPr>
          <w:rFonts w:hint="eastAsia"/>
        </w:rPr>
        <w:tab/>
      </w:r>
      <w:r>
        <w:rPr>
          <w:rFonts w:hint="eastAsia"/>
        </w:rPr>
        <w:fldChar w:fldCharType="begin"/>
      </w:r>
      <w:r>
        <w:rPr>
          <w:rFonts w:hint="eastAsia"/>
        </w:rPr>
        <w:instrText xml:space="preserve"> </w:instrText>
      </w:r>
      <w:r>
        <w:instrText xml:space="preserve">PAGEREF _Toc203399475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3A399D2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"_Toc203399476" </w:instrText>
      </w:r>
      <w:r>
        <w:fldChar w:fldCharType="separate"/>
      </w:r>
      <w:r>
        <w:rPr>
          <w:rStyle w:val="34"/>
          <w:rFonts w:hint="eastAsia"/>
        </w:rPr>
        <w:t>C.1</w:t>
      </w:r>
      <w:r>
        <w:rPr>
          <w:rStyle w:val="34"/>
        </w:rPr>
        <w:t xml:space="preserve"> </w:t>
      </w:r>
      <w:r>
        <w:rPr>
          <w:rStyle w:val="34"/>
          <w:rFonts w:hint="eastAsia" w:ascii="Times New Roman"/>
        </w:rPr>
        <w:t xml:space="preserve"> 参数计算的总体要求</w:t>
      </w:r>
      <w:r>
        <w:rPr>
          <w:rFonts w:hint="eastAsia"/>
        </w:rPr>
        <w:tab/>
      </w:r>
      <w:r>
        <w:rPr>
          <w:rFonts w:hint="eastAsia"/>
        </w:rPr>
        <w:fldChar w:fldCharType="begin"/>
      </w:r>
      <w:r>
        <w:rPr>
          <w:rFonts w:hint="eastAsia"/>
        </w:rPr>
        <w:instrText xml:space="preserve"> </w:instrText>
      </w:r>
      <w:r>
        <w:instrText xml:space="preserve">PAGEREF _Toc203399476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4F4E7CA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"_Toc203399477" </w:instrText>
      </w:r>
      <w:r>
        <w:fldChar w:fldCharType="separate"/>
      </w:r>
      <w:r>
        <w:rPr>
          <w:rStyle w:val="34"/>
          <w:rFonts w:hint="eastAsia"/>
        </w:rPr>
        <w:t>C.2</w:t>
      </w:r>
      <w:r>
        <w:rPr>
          <w:rStyle w:val="34"/>
        </w:rPr>
        <w:t xml:space="preserve"> </w:t>
      </w:r>
      <w:r>
        <w:rPr>
          <w:rStyle w:val="34"/>
          <w:rFonts w:hint="eastAsia" w:ascii="Times New Roman"/>
        </w:rPr>
        <w:t xml:space="preserve"> 物质供给核算主要参数</w:t>
      </w:r>
      <w:r>
        <w:rPr>
          <w:rFonts w:hint="eastAsia"/>
        </w:rPr>
        <w:tab/>
      </w:r>
      <w:r>
        <w:rPr>
          <w:rFonts w:hint="eastAsia"/>
        </w:rPr>
        <w:fldChar w:fldCharType="begin"/>
      </w:r>
      <w:r>
        <w:rPr>
          <w:rFonts w:hint="eastAsia"/>
        </w:rPr>
        <w:instrText xml:space="preserve"> </w:instrText>
      </w:r>
      <w:r>
        <w:instrText xml:space="preserve">PAGEREF _Toc203399477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1111790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"_Toc203399478" </w:instrText>
      </w:r>
      <w:r>
        <w:fldChar w:fldCharType="separate"/>
      </w:r>
      <w:r>
        <w:rPr>
          <w:rStyle w:val="34"/>
          <w:rFonts w:hint="eastAsia"/>
        </w:rPr>
        <w:t>C.3</w:t>
      </w:r>
      <w:r>
        <w:rPr>
          <w:rStyle w:val="34"/>
        </w:rPr>
        <w:t xml:space="preserve"> </w:t>
      </w:r>
      <w:r>
        <w:rPr>
          <w:rStyle w:val="34"/>
          <w:rFonts w:hint="eastAsia" w:ascii="Times New Roman"/>
        </w:rPr>
        <w:t xml:space="preserve"> 水源涵养服务核算主要参数</w:t>
      </w:r>
      <w:r>
        <w:rPr>
          <w:rFonts w:hint="eastAsia"/>
        </w:rPr>
        <w:tab/>
      </w:r>
      <w:r>
        <w:rPr>
          <w:rFonts w:hint="eastAsia"/>
        </w:rPr>
        <w:fldChar w:fldCharType="begin"/>
      </w:r>
      <w:r>
        <w:rPr>
          <w:rFonts w:hint="eastAsia"/>
        </w:rPr>
        <w:instrText xml:space="preserve"> </w:instrText>
      </w:r>
      <w:r>
        <w:instrText xml:space="preserve">PAGEREF _Toc203399478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665BB66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"_Toc203399479" </w:instrText>
      </w:r>
      <w:r>
        <w:fldChar w:fldCharType="separate"/>
      </w:r>
      <w:r>
        <w:rPr>
          <w:rStyle w:val="34"/>
          <w:rFonts w:hint="eastAsia"/>
        </w:rPr>
        <w:t>C.4</w:t>
      </w:r>
      <w:r>
        <w:rPr>
          <w:rStyle w:val="34"/>
        </w:rPr>
        <w:t xml:space="preserve"> </w:t>
      </w:r>
      <w:r>
        <w:rPr>
          <w:rStyle w:val="34"/>
          <w:rFonts w:hint="eastAsia" w:ascii="Times New Roman"/>
        </w:rPr>
        <w:t xml:space="preserve"> 土壤保持服务核算主要参数</w:t>
      </w:r>
      <w:r>
        <w:rPr>
          <w:rFonts w:hint="eastAsia"/>
        </w:rPr>
        <w:tab/>
      </w:r>
      <w:r>
        <w:rPr>
          <w:rFonts w:hint="eastAsia"/>
        </w:rPr>
        <w:fldChar w:fldCharType="begin"/>
      </w:r>
      <w:r>
        <w:rPr>
          <w:rFonts w:hint="eastAsia"/>
        </w:rPr>
        <w:instrText xml:space="preserve"> </w:instrText>
      </w:r>
      <w:r>
        <w:instrText xml:space="preserve">PAGEREF _Toc203399479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6771C9E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"_Toc203399480" </w:instrText>
      </w:r>
      <w:r>
        <w:fldChar w:fldCharType="separate"/>
      </w:r>
      <w:r>
        <w:rPr>
          <w:rStyle w:val="34"/>
          <w:rFonts w:hint="eastAsia"/>
        </w:rPr>
        <w:t>C.5</w:t>
      </w:r>
      <w:r>
        <w:rPr>
          <w:rStyle w:val="34"/>
        </w:rPr>
        <w:t xml:space="preserve"> </w:t>
      </w:r>
      <w:r>
        <w:rPr>
          <w:rStyle w:val="34"/>
          <w:rFonts w:hint="eastAsia" w:ascii="Times New Roman"/>
        </w:rPr>
        <w:t xml:space="preserve"> 洪水调蓄服务核算主要参数</w:t>
      </w:r>
      <w:r>
        <w:rPr>
          <w:rFonts w:hint="eastAsia"/>
        </w:rPr>
        <w:tab/>
      </w:r>
      <w:r>
        <w:rPr>
          <w:rFonts w:hint="eastAsia"/>
        </w:rPr>
        <w:fldChar w:fldCharType="begin"/>
      </w:r>
      <w:r>
        <w:rPr>
          <w:rFonts w:hint="eastAsia"/>
        </w:rPr>
        <w:instrText xml:space="preserve"> </w:instrText>
      </w:r>
      <w:r>
        <w:instrText xml:space="preserve">PAGEREF _Toc203399480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135CD65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"_Toc203399481" </w:instrText>
      </w:r>
      <w:r>
        <w:fldChar w:fldCharType="separate"/>
      </w:r>
      <w:r>
        <w:rPr>
          <w:rStyle w:val="34"/>
          <w:rFonts w:hint="eastAsia"/>
        </w:rPr>
        <w:t>C.6</w:t>
      </w:r>
      <w:r>
        <w:rPr>
          <w:rStyle w:val="34"/>
        </w:rPr>
        <w:t xml:space="preserve"> </w:t>
      </w:r>
      <w:r>
        <w:rPr>
          <w:rStyle w:val="34"/>
          <w:rFonts w:hint="eastAsia" w:ascii="Times New Roman"/>
        </w:rPr>
        <w:t xml:space="preserve"> 空气净化服务核算主要参数</w:t>
      </w:r>
      <w:r>
        <w:rPr>
          <w:rFonts w:hint="eastAsia"/>
        </w:rPr>
        <w:tab/>
      </w:r>
      <w:r>
        <w:rPr>
          <w:rFonts w:hint="eastAsia"/>
        </w:rPr>
        <w:fldChar w:fldCharType="begin"/>
      </w:r>
      <w:r>
        <w:rPr>
          <w:rFonts w:hint="eastAsia"/>
        </w:rPr>
        <w:instrText xml:space="preserve"> </w:instrText>
      </w:r>
      <w:r>
        <w:instrText xml:space="preserve">PAGEREF _Toc203399481 \h</w:instrText>
      </w:r>
      <w:r>
        <w:rPr>
          <w:rFonts w:hint="eastAsia"/>
        </w:rPr>
        <w:instrText xml:space="preserve"> </w:instrText>
      </w:r>
      <w:r>
        <w:rPr>
          <w:rFonts w:hint="eastAsia"/>
        </w:rPr>
        <w:fldChar w:fldCharType="separate"/>
      </w:r>
      <w:r>
        <w:t>36</w:t>
      </w:r>
      <w:r>
        <w:rPr>
          <w:rFonts w:hint="eastAsia"/>
        </w:rPr>
        <w:fldChar w:fldCharType="end"/>
      </w:r>
      <w:r>
        <w:rPr>
          <w:rFonts w:hint="eastAsia"/>
        </w:rPr>
        <w:fldChar w:fldCharType="end"/>
      </w:r>
    </w:p>
    <w:p w14:paraId="6B971BB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"_Toc203399482" </w:instrText>
      </w:r>
      <w:r>
        <w:fldChar w:fldCharType="separate"/>
      </w:r>
      <w:r>
        <w:rPr>
          <w:rStyle w:val="34"/>
          <w:rFonts w:hint="eastAsia"/>
        </w:rPr>
        <w:t>C.7</w:t>
      </w:r>
      <w:r>
        <w:rPr>
          <w:rStyle w:val="34"/>
        </w:rPr>
        <w:t xml:space="preserve"> </w:t>
      </w:r>
      <w:r>
        <w:rPr>
          <w:rStyle w:val="34"/>
          <w:rFonts w:hint="eastAsia" w:ascii="Times New Roman"/>
        </w:rPr>
        <w:t xml:space="preserve"> 水质净化服务核算主要参数</w:t>
      </w:r>
      <w:r>
        <w:rPr>
          <w:rFonts w:hint="eastAsia"/>
        </w:rPr>
        <w:tab/>
      </w:r>
      <w:r>
        <w:rPr>
          <w:rFonts w:hint="eastAsia"/>
        </w:rPr>
        <w:fldChar w:fldCharType="begin"/>
      </w:r>
      <w:r>
        <w:rPr>
          <w:rFonts w:hint="eastAsia"/>
        </w:rPr>
        <w:instrText xml:space="preserve"> </w:instrText>
      </w:r>
      <w:r>
        <w:instrText xml:space="preserve">PAGEREF _Toc203399482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1F0E6AE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"_Toc203399483" </w:instrText>
      </w:r>
      <w:r>
        <w:fldChar w:fldCharType="separate"/>
      </w:r>
      <w:r>
        <w:rPr>
          <w:rStyle w:val="34"/>
          <w:rFonts w:hint="eastAsia"/>
        </w:rPr>
        <w:t>C.8</w:t>
      </w:r>
      <w:r>
        <w:rPr>
          <w:rStyle w:val="34"/>
        </w:rPr>
        <w:t xml:space="preserve"> </w:t>
      </w:r>
      <w:r>
        <w:rPr>
          <w:rStyle w:val="34"/>
          <w:rFonts w:hint="eastAsia" w:ascii="Times New Roman"/>
        </w:rPr>
        <w:t xml:space="preserve"> 固碳服务核算主要参数</w:t>
      </w:r>
      <w:r>
        <w:rPr>
          <w:rFonts w:hint="eastAsia"/>
        </w:rPr>
        <w:tab/>
      </w:r>
      <w:r>
        <w:rPr>
          <w:rFonts w:hint="eastAsia"/>
        </w:rPr>
        <w:fldChar w:fldCharType="begin"/>
      </w:r>
      <w:r>
        <w:rPr>
          <w:rFonts w:hint="eastAsia"/>
        </w:rPr>
        <w:instrText xml:space="preserve"> </w:instrText>
      </w:r>
      <w:r>
        <w:instrText xml:space="preserve">PAGEREF _Toc203399483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072922A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"_Toc203399484" </w:instrText>
      </w:r>
      <w:r>
        <w:fldChar w:fldCharType="separate"/>
      </w:r>
      <w:r>
        <w:rPr>
          <w:rStyle w:val="34"/>
          <w:rFonts w:hint="eastAsia"/>
        </w:rPr>
        <w:t>C.9</w:t>
      </w:r>
      <w:r>
        <w:rPr>
          <w:rStyle w:val="34"/>
        </w:rPr>
        <w:t xml:space="preserve"> </w:t>
      </w:r>
      <w:r>
        <w:rPr>
          <w:rStyle w:val="34"/>
          <w:rFonts w:hint="eastAsia" w:ascii="Times New Roman"/>
        </w:rPr>
        <w:t xml:space="preserve"> 局部气候调节服务核算主要参数</w:t>
      </w:r>
      <w:r>
        <w:rPr>
          <w:rFonts w:hint="eastAsia"/>
        </w:rPr>
        <w:tab/>
      </w:r>
      <w:r>
        <w:rPr>
          <w:rFonts w:hint="eastAsia"/>
        </w:rPr>
        <w:fldChar w:fldCharType="begin"/>
      </w:r>
      <w:r>
        <w:rPr>
          <w:rFonts w:hint="eastAsia"/>
        </w:rPr>
        <w:instrText xml:space="preserve"> </w:instrText>
      </w:r>
      <w:r>
        <w:instrText xml:space="preserve">PAGEREF _Toc203399484 \h</w:instrText>
      </w:r>
      <w:r>
        <w:rPr>
          <w:rFonts w:hint="eastAsia"/>
        </w:rPr>
        <w:instrText xml:space="preserve"> </w:instrText>
      </w:r>
      <w:r>
        <w:rPr>
          <w:rFonts w:hint="eastAsia"/>
        </w:rPr>
        <w:fldChar w:fldCharType="separate"/>
      </w:r>
      <w:r>
        <w:t>39</w:t>
      </w:r>
      <w:r>
        <w:rPr>
          <w:rFonts w:hint="eastAsia"/>
        </w:rPr>
        <w:fldChar w:fldCharType="end"/>
      </w:r>
      <w:r>
        <w:rPr>
          <w:rFonts w:hint="eastAsia"/>
        </w:rPr>
        <w:fldChar w:fldCharType="end"/>
      </w:r>
    </w:p>
    <w:p w14:paraId="502218C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"_Toc203399485" </w:instrText>
      </w:r>
      <w:r>
        <w:fldChar w:fldCharType="separate"/>
      </w:r>
      <w:r>
        <w:rPr>
          <w:rStyle w:val="34"/>
          <w:rFonts w:hint="eastAsia"/>
        </w:rPr>
        <w:t>C.10</w:t>
      </w:r>
      <w:r>
        <w:rPr>
          <w:rStyle w:val="34"/>
        </w:rPr>
        <w:t xml:space="preserve"> </w:t>
      </w:r>
      <w:r>
        <w:rPr>
          <w:rStyle w:val="34"/>
          <w:rFonts w:hint="eastAsia" w:ascii="Times New Roman"/>
        </w:rPr>
        <w:t xml:space="preserve"> 噪声消减服务核算主要参数</w:t>
      </w:r>
      <w:r>
        <w:rPr>
          <w:rFonts w:hint="eastAsia"/>
        </w:rPr>
        <w:tab/>
      </w:r>
      <w:r>
        <w:rPr>
          <w:rFonts w:hint="eastAsia"/>
        </w:rPr>
        <w:fldChar w:fldCharType="begin"/>
      </w:r>
      <w:r>
        <w:rPr>
          <w:rFonts w:hint="eastAsia"/>
        </w:rPr>
        <w:instrText xml:space="preserve"> </w:instrText>
      </w:r>
      <w:r>
        <w:instrText xml:space="preserve">PAGEREF _Toc203399485 \h</w:instrText>
      </w:r>
      <w:r>
        <w:rPr>
          <w:rFonts w:hint="eastAsia"/>
        </w:rPr>
        <w:instrText xml:space="preserve"> </w:instrText>
      </w:r>
      <w:r>
        <w:rPr>
          <w:rFonts w:hint="eastAsia"/>
        </w:rPr>
        <w:fldChar w:fldCharType="separate"/>
      </w:r>
      <w:r>
        <w:t>39</w:t>
      </w:r>
      <w:r>
        <w:rPr>
          <w:rFonts w:hint="eastAsia"/>
        </w:rPr>
        <w:fldChar w:fldCharType="end"/>
      </w:r>
      <w:r>
        <w:rPr>
          <w:rFonts w:hint="eastAsia"/>
        </w:rPr>
        <w:fldChar w:fldCharType="end"/>
      </w:r>
    </w:p>
    <w:p w14:paraId="471CB30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"_Toc203399486" </w:instrText>
      </w:r>
      <w:r>
        <w:fldChar w:fldCharType="separate"/>
      </w:r>
      <w:r>
        <w:rPr>
          <w:rStyle w:val="34"/>
          <w:rFonts w:hint="eastAsia"/>
        </w:rPr>
        <w:t>C.11</w:t>
      </w:r>
      <w:r>
        <w:rPr>
          <w:rStyle w:val="34"/>
        </w:rPr>
        <w:t xml:space="preserve"> </w:t>
      </w:r>
      <w:r>
        <w:rPr>
          <w:rStyle w:val="34"/>
          <w:rFonts w:hint="eastAsia" w:ascii="Times New Roman"/>
        </w:rPr>
        <w:t xml:space="preserve"> 旅游康养服务核算主要参数</w:t>
      </w:r>
      <w:r>
        <w:rPr>
          <w:rFonts w:hint="eastAsia"/>
        </w:rPr>
        <w:tab/>
      </w:r>
      <w:r>
        <w:rPr>
          <w:rFonts w:hint="eastAsia"/>
        </w:rPr>
        <w:fldChar w:fldCharType="begin"/>
      </w:r>
      <w:r>
        <w:rPr>
          <w:rFonts w:hint="eastAsia"/>
        </w:rPr>
        <w:instrText xml:space="preserve"> </w:instrText>
      </w:r>
      <w:r>
        <w:instrText xml:space="preserve">PAGEREF _Toc203399486 \h</w:instrText>
      </w:r>
      <w:r>
        <w:rPr>
          <w:rFonts w:hint="eastAsia"/>
        </w:rPr>
        <w:instrText xml:space="preserve"> </w:instrText>
      </w:r>
      <w:r>
        <w:rPr>
          <w:rFonts w:hint="eastAsia"/>
        </w:rPr>
        <w:fldChar w:fldCharType="separate"/>
      </w:r>
      <w:r>
        <w:t>40</w:t>
      </w:r>
      <w:r>
        <w:rPr>
          <w:rFonts w:hint="eastAsia"/>
        </w:rPr>
        <w:fldChar w:fldCharType="end"/>
      </w:r>
      <w:r>
        <w:rPr>
          <w:rFonts w:hint="eastAsia"/>
        </w:rPr>
        <w:fldChar w:fldCharType="end"/>
      </w:r>
    </w:p>
    <w:p w14:paraId="330BEFC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"_Toc203399487" </w:instrText>
      </w:r>
      <w:r>
        <w:fldChar w:fldCharType="separate"/>
      </w:r>
      <w:r>
        <w:rPr>
          <w:rStyle w:val="34"/>
          <w:rFonts w:hint="eastAsia"/>
        </w:rPr>
        <w:t>C.12</w:t>
      </w:r>
      <w:r>
        <w:rPr>
          <w:rStyle w:val="34"/>
        </w:rPr>
        <w:t xml:space="preserve"> </w:t>
      </w:r>
      <w:r>
        <w:rPr>
          <w:rStyle w:val="34"/>
          <w:rFonts w:hint="eastAsia" w:ascii="Times New Roman"/>
        </w:rPr>
        <w:t xml:space="preserve"> 休闲游憩服务核算主要参数</w:t>
      </w:r>
      <w:r>
        <w:rPr>
          <w:rFonts w:hint="eastAsia"/>
        </w:rPr>
        <w:tab/>
      </w:r>
      <w:r>
        <w:rPr>
          <w:rFonts w:hint="eastAsia"/>
        </w:rPr>
        <w:fldChar w:fldCharType="begin"/>
      </w:r>
      <w:r>
        <w:rPr>
          <w:rFonts w:hint="eastAsia"/>
        </w:rPr>
        <w:instrText xml:space="preserve"> </w:instrText>
      </w:r>
      <w:r>
        <w:instrText xml:space="preserve">PAGEREF _Toc203399487 \h</w:instrText>
      </w:r>
      <w:r>
        <w:rPr>
          <w:rFonts w:hint="eastAsia"/>
        </w:rPr>
        <w:instrText xml:space="preserve"> </w:instrText>
      </w:r>
      <w:r>
        <w:rPr>
          <w:rFonts w:hint="eastAsia"/>
        </w:rPr>
        <w:fldChar w:fldCharType="separate"/>
      </w:r>
      <w:r>
        <w:t>40</w:t>
      </w:r>
      <w:r>
        <w:rPr>
          <w:rFonts w:hint="eastAsia"/>
        </w:rPr>
        <w:fldChar w:fldCharType="end"/>
      </w:r>
      <w:r>
        <w:rPr>
          <w:rFonts w:hint="eastAsia"/>
        </w:rPr>
        <w:fldChar w:fldCharType="end"/>
      </w:r>
    </w:p>
    <w:p w14:paraId="6BF9700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"_Toc203399488" </w:instrText>
      </w:r>
      <w:r>
        <w:fldChar w:fldCharType="separate"/>
      </w:r>
      <w:r>
        <w:rPr>
          <w:rStyle w:val="34"/>
          <w:rFonts w:hint="eastAsia"/>
        </w:rPr>
        <w:t>C.13</w:t>
      </w:r>
      <w:r>
        <w:rPr>
          <w:rStyle w:val="34"/>
        </w:rPr>
        <w:t xml:space="preserve"> </w:t>
      </w:r>
      <w:r>
        <w:rPr>
          <w:rStyle w:val="34"/>
          <w:rFonts w:hint="eastAsia" w:ascii="Times New Roman"/>
        </w:rPr>
        <w:t xml:space="preserve"> 景观增值服务核算主要参数</w:t>
      </w:r>
      <w:r>
        <w:rPr>
          <w:rFonts w:hint="eastAsia"/>
        </w:rPr>
        <w:tab/>
      </w:r>
      <w:r>
        <w:rPr>
          <w:rFonts w:hint="eastAsia"/>
        </w:rPr>
        <w:fldChar w:fldCharType="begin"/>
      </w:r>
      <w:r>
        <w:rPr>
          <w:rFonts w:hint="eastAsia"/>
        </w:rPr>
        <w:instrText xml:space="preserve"> </w:instrText>
      </w:r>
      <w:r>
        <w:instrText xml:space="preserve">PAGEREF _Toc203399488 \h</w:instrText>
      </w:r>
      <w:r>
        <w:rPr>
          <w:rFonts w:hint="eastAsia"/>
        </w:rPr>
        <w:instrText xml:space="preserve"> </w:instrText>
      </w:r>
      <w:r>
        <w:rPr>
          <w:rFonts w:hint="eastAsia"/>
        </w:rPr>
        <w:fldChar w:fldCharType="separate"/>
      </w:r>
      <w:r>
        <w:t>41</w:t>
      </w:r>
      <w:r>
        <w:rPr>
          <w:rFonts w:hint="eastAsia"/>
        </w:rPr>
        <w:fldChar w:fldCharType="end"/>
      </w:r>
      <w:r>
        <w:rPr>
          <w:rFonts w:hint="eastAsia"/>
        </w:rPr>
        <w:fldChar w:fldCharType="end"/>
      </w:r>
    </w:p>
    <w:p w14:paraId="5B4C20E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"_Toc203399489" </w:instrText>
      </w:r>
      <w:r>
        <w:fldChar w:fldCharType="separate"/>
      </w:r>
      <w:r>
        <w:rPr>
          <w:rStyle w:val="34"/>
          <w:rFonts w:hint="eastAsia"/>
        </w:rPr>
        <w:t>C.14</w:t>
      </w:r>
      <w:r>
        <w:rPr>
          <w:rStyle w:val="34"/>
        </w:rPr>
        <w:t xml:space="preserve"> </w:t>
      </w:r>
      <w:r>
        <w:rPr>
          <w:rStyle w:val="34"/>
          <w:rFonts w:hint="eastAsia" w:ascii="Times New Roman"/>
        </w:rPr>
        <w:t xml:space="preserve"> 价格参数</w:t>
      </w:r>
      <w:r>
        <w:rPr>
          <w:rFonts w:hint="eastAsia"/>
        </w:rPr>
        <w:tab/>
      </w:r>
      <w:r>
        <w:rPr>
          <w:rFonts w:hint="eastAsia"/>
        </w:rPr>
        <w:fldChar w:fldCharType="begin"/>
      </w:r>
      <w:r>
        <w:rPr>
          <w:rFonts w:hint="eastAsia"/>
        </w:rPr>
        <w:instrText xml:space="preserve"> </w:instrText>
      </w:r>
      <w:r>
        <w:instrText xml:space="preserve">PAGEREF _Toc203399489 \h</w:instrText>
      </w:r>
      <w:r>
        <w:rPr>
          <w:rFonts w:hint="eastAsia"/>
        </w:rPr>
        <w:instrText xml:space="preserve"> </w:instrText>
      </w:r>
      <w:r>
        <w:rPr>
          <w:rFonts w:hint="eastAsia"/>
        </w:rPr>
        <w:fldChar w:fldCharType="separate"/>
      </w:r>
      <w:r>
        <w:t>42</w:t>
      </w:r>
      <w:r>
        <w:rPr>
          <w:rFonts w:hint="eastAsia"/>
        </w:rPr>
        <w:fldChar w:fldCharType="end"/>
      </w:r>
      <w:r>
        <w:rPr>
          <w:rFonts w:hint="eastAsia"/>
        </w:rPr>
        <w:fldChar w:fldCharType="end"/>
      </w:r>
    </w:p>
    <w:p w14:paraId="1297F02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"_Toc203399490" </w:instrText>
      </w:r>
      <w:r>
        <w:fldChar w:fldCharType="separate"/>
      </w:r>
      <w:r>
        <w:rPr>
          <w:rStyle w:val="34"/>
          <w:rFonts w:hint="eastAsia"/>
        </w:rPr>
        <w:t>附录D（资料性）</w:t>
      </w:r>
      <w:r>
        <w:rPr>
          <w:rStyle w:val="34"/>
        </w:rPr>
        <w:t xml:space="preserve"> </w:t>
      </w:r>
      <w:r>
        <w:rPr>
          <w:rStyle w:val="34"/>
          <w:rFonts w:hint="eastAsia" w:ascii="Times New Roman"/>
        </w:rPr>
        <w:t xml:space="preserve"> 数据资料来源</w:t>
      </w:r>
      <w:r>
        <w:rPr>
          <w:rFonts w:hint="eastAsia"/>
        </w:rPr>
        <w:tab/>
      </w:r>
      <w:r>
        <w:rPr>
          <w:rFonts w:hint="eastAsia"/>
        </w:rPr>
        <w:fldChar w:fldCharType="begin"/>
      </w:r>
      <w:r>
        <w:rPr>
          <w:rFonts w:hint="eastAsia"/>
        </w:rPr>
        <w:instrText xml:space="preserve"> </w:instrText>
      </w:r>
      <w:r>
        <w:instrText xml:space="preserve">PAGEREF _Toc203399490 \h</w:instrText>
      </w:r>
      <w:r>
        <w:rPr>
          <w:rFonts w:hint="eastAsia"/>
        </w:rPr>
        <w:instrText xml:space="preserve"> </w:instrText>
      </w:r>
      <w:r>
        <w:rPr>
          <w:rFonts w:hint="eastAsia"/>
        </w:rPr>
        <w:fldChar w:fldCharType="separate"/>
      </w:r>
      <w:r>
        <w:t>44</w:t>
      </w:r>
      <w:r>
        <w:rPr>
          <w:rFonts w:hint="eastAsia"/>
        </w:rPr>
        <w:fldChar w:fldCharType="end"/>
      </w:r>
      <w:r>
        <w:rPr>
          <w:rFonts w:hint="eastAsia"/>
        </w:rPr>
        <w:fldChar w:fldCharType="end"/>
      </w:r>
    </w:p>
    <w:p w14:paraId="69E4C9A7">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"_Toc203399491" </w:instrText>
      </w:r>
      <w:r>
        <w:fldChar w:fldCharType="separate"/>
      </w:r>
      <w:r>
        <w:rPr>
          <w:rStyle w:val="34"/>
          <w:rFonts w:hint="eastAsia"/>
        </w:rPr>
        <w:t>D.1</w:t>
      </w:r>
      <w:r>
        <w:rPr>
          <w:rStyle w:val="34"/>
        </w:rPr>
        <w:t xml:space="preserve"> </w:t>
      </w:r>
      <w:r>
        <w:rPr>
          <w:rStyle w:val="34"/>
          <w:rFonts w:hint="eastAsia" w:ascii="Times New Roman"/>
        </w:rPr>
        <w:t xml:space="preserve"> 生态产品价值核算所需的数据资料来源见表D.1。</w:t>
      </w:r>
      <w:r>
        <w:rPr>
          <w:rFonts w:hint="eastAsia"/>
        </w:rPr>
        <w:tab/>
      </w:r>
      <w:r>
        <w:rPr>
          <w:rFonts w:hint="eastAsia"/>
        </w:rPr>
        <w:fldChar w:fldCharType="begin"/>
      </w:r>
      <w:r>
        <w:rPr>
          <w:rFonts w:hint="eastAsia"/>
        </w:rPr>
        <w:instrText xml:space="preserve"> </w:instrText>
      </w:r>
      <w:r>
        <w:instrText xml:space="preserve">PAGEREF _Toc203399491 \h</w:instrText>
      </w:r>
      <w:r>
        <w:rPr>
          <w:rFonts w:hint="eastAsia"/>
        </w:rPr>
        <w:instrText xml:space="preserve"> </w:instrText>
      </w:r>
      <w:r>
        <w:rPr>
          <w:rFonts w:hint="eastAsia"/>
        </w:rPr>
        <w:fldChar w:fldCharType="separate"/>
      </w:r>
      <w:r>
        <w:t>44</w:t>
      </w:r>
      <w:r>
        <w:rPr>
          <w:rFonts w:hint="eastAsia"/>
        </w:rPr>
        <w:fldChar w:fldCharType="end"/>
      </w:r>
      <w:r>
        <w:rPr>
          <w:rFonts w:hint="eastAsia"/>
        </w:rPr>
        <w:fldChar w:fldCharType="end"/>
      </w:r>
    </w:p>
    <w:p w14:paraId="0919026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"_Toc203399492" </w:instrText>
      </w:r>
      <w:r>
        <w:fldChar w:fldCharType="separate"/>
      </w:r>
      <w:r>
        <w:rPr>
          <w:rStyle w:val="34"/>
          <w:rFonts w:hint="eastAsia" w:hAnsi="宋体" w:cs="宋体"/>
          <w:kern w:val="0"/>
          <w:lang w:eastAsia="zh-TW"/>
        </w:rPr>
        <w:t xml:space="preserve">D.2 </w:t>
      </w:r>
      <w:r>
        <w:rPr>
          <w:rStyle w:val="34"/>
          <w:rFonts w:hint="eastAsia" w:ascii="Times New Roman"/>
        </w:rPr>
        <w:t xml:space="preserve"> 表D.2 规定了核算涉及的空间专题图制作要求</w:t>
      </w:r>
      <w:r>
        <w:rPr>
          <w:rStyle w:val="34"/>
          <w:rFonts w:hint="eastAsia" w:hAnsi="宋体" w:cs="宋体"/>
          <w:kern w:val="0"/>
          <w:lang w:eastAsia="zh-TW"/>
        </w:rPr>
        <w:t>。</w:t>
      </w:r>
      <w:r>
        <w:rPr>
          <w:rFonts w:hint="eastAsia"/>
        </w:rPr>
        <w:tab/>
      </w:r>
      <w:r>
        <w:rPr>
          <w:rFonts w:hint="eastAsia"/>
        </w:rPr>
        <w:fldChar w:fldCharType="begin"/>
      </w:r>
      <w:r>
        <w:rPr>
          <w:rFonts w:hint="eastAsia"/>
        </w:rPr>
        <w:instrText xml:space="preserve"> </w:instrText>
      </w:r>
      <w:r>
        <w:instrText xml:space="preserve">PAGEREF _Toc203399492 \h</w:instrText>
      </w:r>
      <w:r>
        <w:rPr>
          <w:rFonts w:hint="eastAsia"/>
        </w:rPr>
        <w:instrText xml:space="preserve"> </w:instrText>
      </w:r>
      <w:r>
        <w:rPr>
          <w:rFonts w:hint="eastAsia"/>
        </w:rPr>
        <w:fldChar w:fldCharType="separate"/>
      </w:r>
      <w:r>
        <w:t>47</w:t>
      </w:r>
      <w:r>
        <w:rPr>
          <w:rFonts w:hint="eastAsia"/>
        </w:rPr>
        <w:fldChar w:fldCharType="end"/>
      </w:r>
      <w:r>
        <w:rPr>
          <w:rFonts w:hint="eastAsia"/>
        </w:rPr>
        <w:fldChar w:fldCharType="end"/>
      </w:r>
    </w:p>
    <w:p w14:paraId="1F7F0BF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"_Toc203399493" </w:instrText>
      </w:r>
      <w:r>
        <w:fldChar w:fldCharType="separate"/>
      </w:r>
      <w:r>
        <w:rPr>
          <w:rStyle w:val="34"/>
          <w:rFonts w:hint="eastAsia" w:ascii="Times New Roman"/>
        </w:rPr>
        <w:t>参考文献</w:t>
      </w:r>
      <w:r>
        <w:rPr>
          <w:rFonts w:hint="eastAsia"/>
        </w:rPr>
        <w:tab/>
      </w:r>
      <w:r>
        <w:rPr>
          <w:rFonts w:hint="eastAsia"/>
        </w:rPr>
        <w:fldChar w:fldCharType="begin"/>
      </w:r>
      <w:r>
        <w:rPr>
          <w:rFonts w:hint="eastAsia"/>
        </w:rPr>
        <w:instrText xml:space="preserve"> </w:instrText>
      </w:r>
      <w:r>
        <w:instrText xml:space="preserve">PAGEREF _Toc203399493 \h</w:instrText>
      </w:r>
      <w:r>
        <w:rPr>
          <w:rFonts w:hint="eastAsia"/>
        </w:rPr>
        <w:instrText xml:space="preserve"> </w:instrText>
      </w:r>
      <w:r>
        <w:rPr>
          <w:rFonts w:hint="eastAsia"/>
        </w:rPr>
        <w:fldChar w:fldCharType="separate"/>
      </w:r>
      <w:r>
        <w:t>48</w:t>
      </w:r>
      <w:r>
        <w:rPr>
          <w:rFonts w:hint="eastAsia"/>
        </w:rPr>
        <w:fldChar w:fldCharType="end"/>
      </w:r>
      <w:r>
        <w:rPr>
          <w:rFonts w:hint="eastAsia"/>
        </w:rPr>
        <w:fldChar w:fldCharType="end"/>
      </w:r>
    </w:p>
    <w:p w14:paraId="67FB63BD">
      <w:pPr>
        <w:pStyle w:val="93"/>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22E3569">
      <w:pPr>
        <w:pStyle w:val="91"/>
        <w:spacing w:after="468"/>
      </w:pPr>
      <w:bookmarkStart w:id="23" w:name="_Toc203399447"/>
      <w:bookmarkStart w:id="24" w:name="BookMark2"/>
      <w:r>
        <w:rPr>
          <w:spacing w:val="320"/>
        </w:rPr>
        <w:t>前</w:t>
      </w:r>
      <w:r>
        <w:t>言</w:t>
      </w:r>
      <w:bookmarkEnd w:id="22"/>
      <w:bookmarkEnd w:id="23"/>
    </w:p>
    <w:p w14:paraId="31C3B844">
      <w:pPr>
        <w:pStyle w:val="58"/>
        <w:ind w:firstLine="420"/>
        <w:rPr>
          <w:rFonts w:ascii="Times New Roman"/>
        </w:rPr>
      </w:pPr>
      <w:r>
        <w:rPr>
          <w:rFonts w:ascii="Times New Roman"/>
        </w:rPr>
        <w:t>本文件按照GB/T 1.1—2020《标准化工作导则  第1部分：标准化文件的结构和起草规则》的规定起草。</w:t>
      </w:r>
    </w:p>
    <w:p w14:paraId="3C80C83E">
      <w:pPr>
        <w:pStyle w:val="58"/>
        <w:ind w:firstLine="420"/>
        <w:rPr>
          <w:rFonts w:ascii="Times New Roman"/>
        </w:rPr>
      </w:pPr>
      <w:r>
        <w:rPr>
          <w:rFonts w:ascii="Times New Roman"/>
        </w:rPr>
        <w:t>本文件由安徽省发展和改革委员会提出并归口。</w:t>
      </w:r>
    </w:p>
    <w:p w14:paraId="338ECD90">
      <w:pPr>
        <w:pStyle w:val="58"/>
        <w:ind w:firstLine="420"/>
        <w:rPr>
          <w:rFonts w:ascii="Times New Roman"/>
        </w:rPr>
      </w:pPr>
      <w:r>
        <w:rPr>
          <w:rFonts w:ascii="Times New Roman"/>
        </w:rPr>
        <w:t>本文件起草单位：安徽省工程咨询研究院(安徽省政府投资项目评审中心)、合肥工业大学、安徽省发展和改革委员会资源节约和环境保护处、安徽省发展和改革委员会长江经济带发展处（皖江经济发展处）、安徽省质量和标准化研究院、安徽省经济研究院、合肥大学、黄山市发展和改革委员会</w:t>
      </w:r>
      <w:r>
        <w:rPr>
          <w:rFonts w:hint="eastAsia" w:ascii="Times New Roman"/>
        </w:rPr>
        <w:t>、</w:t>
      </w:r>
      <w:r>
        <w:rPr>
          <w:rFonts w:ascii="Times New Roman"/>
        </w:rPr>
        <w:t>合肥经济学院。</w:t>
      </w:r>
    </w:p>
    <w:p w14:paraId="01B85CCD">
      <w:pPr>
        <w:pStyle w:val="58"/>
        <w:ind w:firstLine="420"/>
        <w:rPr>
          <w:rFonts w:hint="eastAsia" w:ascii="Times New Roman"/>
        </w:rPr>
      </w:pPr>
      <w:r>
        <w:rPr>
          <w:rFonts w:ascii="Times New Roman"/>
        </w:rPr>
        <w:t>本文件主要起草人：</w:t>
      </w:r>
      <w:r>
        <w:rPr>
          <w:rFonts w:hint="eastAsia" w:ascii="Times New Roman"/>
        </w:rPr>
        <w:t>吴丹舟、黄学华、潘鑫、聂磊、黄崑成、胡淑恒、杨浅、</w:t>
      </w:r>
      <w:r>
        <w:rPr>
          <w:rFonts w:hint="eastAsia" w:ascii="Times New Roman"/>
          <w:lang w:val="en-US" w:eastAsia="zh-CN"/>
        </w:rPr>
        <w:t>周强、</w:t>
      </w:r>
      <w:r>
        <w:rPr>
          <w:rFonts w:hint="eastAsia" w:ascii="Times New Roman"/>
        </w:rPr>
        <w:t>陈梦吟、李中东、王乙、闵芳、许子牧、于志维、何婉霞 、张贝尔、蒋旭东、</w:t>
      </w:r>
      <w:r>
        <w:rPr>
          <w:rFonts w:hint="eastAsia"/>
        </w:rPr>
        <w:t>汪峻、汪卫东、</w:t>
      </w:r>
      <w:r>
        <w:rPr>
          <w:rFonts w:hint="eastAsia" w:ascii="Times New Roman"/>
        </w:rPr>
        <w:t>邢碧君、沈天清、</w:t>
      </w:r>
      <w:r>
        <w:rPr>
          <w:rFonts w:hint="eastAsia" w:ascii="Times New Roman"/>
          <w:lang w:val="en-US" w:eastAsia="zh-CN"/>
        </w:rPr>
        <w:t>李若男、</w:t>
      </w:r>
      <w:r>
        <w:rPr>
          <w:rFonts w:hint="eastAsia" w:ascii="Times New Roman"/>
        </w:rPr>
        <w:t>朱晓华、孙京禄、朱竹墨、江鑫、郁鑫、钱归归、吴为、章梦玉、王灶强、</w:t>
      </w:r>
      <w:r>
        <w:rPr>
          <w:rFonts w:hint="eastAsia"/>
        </w:rPr>
        <w:t>蒋羿帆</w:t>
      </w:r>
      <w:r>
        <w:rPr>
          <w:rFonts w:hint="eastAsia"/>
          <w:lang w:eastAsia="zh-CN"/>
        </w:rPr>
        <w:t>、</w:t>
      </w:r>
      <w:r>
        <w:rPr>
          <w:rFonts w:hint="eastAsia" w:ascii="Times New Roman"/>
        </w:rPr>
        <w:t>程潇、郁春松。</w:t>
      </w:r>
    </w:p>
    <w:p w14:paraId="1AA9E7E4">
      <w:pPr>
        <w:pStyle w:val="58"/>
        <w:ind w:firstLine="420"/>
        <w:rPr>
          <w:rFonts w:hint="eastAsia" w:ascii="Times New Roman"/>
        </w:rPr>
      </w:pPr>
      <w:bookmarkStart w:id="231" w:name="_GoBack"/>
      <w:bookmarkEnd w:id="231"/>
    </w:p>
    <w:p w14:paraId="60BE3BB4">
      <w:pPr>
        <w:pStyle w:val="58"/>
        <w:ind w:firstLine="420"/>
        <w:rPr>
          <w:rFonts w:hint="eastAsia" w:ascii="Times New Roman"/>
        </w:rPr>
      </w:pPr>
    </w:p>
    <w:p w14:paraId="0870DB64">
      <w:pPr>
        <w:pStyle w:val="58"/>
        <w:ind w:firstLine="420"/>
        <w:rPr>
          <w:rFonts w:ascii="Times New Roman"/>
        </w:rPr>
      </w:pPr>
      <w:r>
        <w:rPr>
          <w:rFonts w:hint="eastAsia" w:ascii="Times New Roman"/>
        </w:rPr>
        <w:t xml:space="preserve"> </w:t>
      </w:r>
    </w:p>
    <w:p w14:paraId="690BE4A9">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08500788">
      <w:pPr>
        <w:spacing w:line="20" w:lineRule="exact"/>
        <w:jc w:val="center"/>
        <w:rPr>
          <w:rFonts w:hint="eastAsia" w:ascii="黑体" w:hAnsi="黑体" w:eastAsia="黑体"/>
          <w:sz w:val="32"/>
          <w:szCs w:val="32"/>
        </w:rPr>
      </w:pPr>
      <w:bookmarkStart w:id="25" w:name="BookMark4"/>
    </w:p>
    <w:p w14:paraId="013DA19C">
      <w:pPr>
        <w:spacing w:line="20" w:lineRule="exact"/>
        <w:jc w:val="center"/>
        <w:rPr>
          <w:rFonts w:hint="eastAsia" w:ascii="黑体" w:hAnsi="黑体" w:eastAsia="黑体"/>
          <w:sz w:val="32"/>
          <w:szCs w:val="32"/>
        </w:rPr>
      </w:pPr>
    </w:p>
    <w:sdt>
      <w:sdtPr>
        <w:tag w:val="NEW_STAND_NAME"/>
        <w:id w:val="595910757"/>
        <w:lock w:val="sdtLocked"/>
        <w:placeholder>
          <w:docPart w:val="0AEEB70D70904BD885DD8CBD23C761DC"/>
        </w:placeholder>
      </w:sdtPr>
      <w:sdtContent>
        <w:p w14:paraId="346D8FCD">
          <w:pPr>
            <w:pStyle w:val="179"/>
            <w:spacing w:before="312" w:beforeLines="100" w:after="686" w:afterLines="220"/>
            <w:rPr>
              <w:rFonts w:hint="eastAsia"/>
            </w:rPr>
          </w:pPr>
          <w:bookmarkStart w:id="26" w:name="NEW_STAND_NAME"/>
          <w:r>
            <w:rPr>
              <w:rFonts w:hint="eastAsia"/>
            </w:rPr>
            <w:t>特定地域单元生态产品价值（</w:t>
          </w:r>
          <w:r>
            <w:t>VEP）核算技术规范</w:t>
          </w:r>
        </w:p>
      </w:sdtContent>
    </w:sdt>
    <w:bookmarkEnd w:id="26"/>
    <w:p w14:paraId="6A3272CE">
      <w:pPr>
        <w:pStyle w:val="106"/>
        <w:spacing w:before="312" w:after="312"/>
      </w:pPr>
      <w:bookmarkStart w:id="27" w:name="_Toc17233333"/>
      <w:bookmarkStart w:id="28" w:name="_Toc26986771"/>
      <w:bookmarkStart w:id="29" w:name="_Toc17233325"/>
      <w:bookmarkStart w:id="30" w:name="_Toc24884218"/>
      <w:bookmarkStart w:id="31" w:name="_Toc26648465"/>
      <w:bookmarkStart w:id="32" w:name="_Toc24884211"/>
      <w:bookmarkStart w:id="33" w:name="_Toc26718930"/>
      <w:bookmarkStart w:id="34" w:name="_Toc26986530"/>
      <w:bookmarkStart w:id="35" w:name="_Toc203399052"/>
      <w:bookmarkStart w:id="36" w:name="_Toc97191423"/>
      <w:bookmarkStart w:id="37" w:name="_Toc203399448"/>
      <w:r>
        <w:rPr>
          <w:rFonts w:hint="eastAsia"/>
        </w:rPr>
        <w:t>范围</w:t>
      </w:r>
      <w:bookmarkEnd w:id="27"/>
      <w:bookmarkEnd w:id="28"/>
      <w:bookmarkEnd w:id="29"/>
      <w:bookmarkEnd w:id="30"/>
      <w:bookmarkEnd w:id="31"/>
      <w:bookmarkEnd w:id="32"/>
      <w:bookmarkEnd w:id="33"/>
      <w:bookmarkEnd w:id="34"/>
      <w:bookmarkEnd w:id="35"/>
      <w:bookmarkEnd w:id="36"/>
      <w:bookmarkEnd w:id="37"/>
    </w:p>
    <w:p w14:paraId="2C6B2B2E">
      <w:pPr>
        <w:pStyle w:val="58"/>
        <w:ind w:firstLine="420"/>
      </w:pPr>
      <w:bookmarkStart w:id="38" w:name="_Toc24884212"/>
      <w:bookmarkStart w:id="39" w:name="_Toc17233326"/>
      <w:bookmarkStart w:id="40" w:name="_Toc24884219"/>
      <w:bookmarkStart w:id="41" w:name="_Toc26648466"/>
      <w:bookmarkStart w:id="42" w:name="_Toc17233334"/>
      <w:r>
        <w:t>本文件规定了特定地域单元内开展生态产品价值评估的评估原则、评估流程、生态产品实物量和价值量核算方法、生态产品价值变化评估、数据采集与评估质量控制、评估成果汇总等内容。</w:t>
      </w:r>
    </w:p>
    <w:p w14:paraId="266459E1">
      <w:pPr>
        <w:pStyle w:val="58"/>
        <w:ind w:firstLine="420"/>
        <w:rPr>
          <w:sz w:val="27"/>
        </w:rPr>
      </w:pPr>
      <w:r>
        <w:t>本文件适用于以项目为主体的特定地域单元生态产品价值核算与影响评估。</w:t>
      </w:r>
    </w:p>
    <w:p w14:paraId="72D8E23B">
      <w:pPr>
        <w:pStyle w:val="106"/>
        <w:spacing w:before="312" w:after="312"/>
      </w:pPr>
      <w:bookmarkStart w:id="43" w:name="_Toc97191424"/>
      <w:bookmarkStart w:id="44" w:name="_Toc203399053"/>
      <w:bookmarkStart w:id="45" w:name="_Toc203399449"/>
      <w:bookmarkStart w:id="46" w:name="_Toc26986531"/>
      <w:bookmarkStart w:id="47" w:name="_Toc26986772"/>
      <w:bookmarkStart w:id="48" w:name="_Toc26718931"/>
      <w:r>
        <w:rPr>
          <w:rFonts w:hint="eastAsia"/>
        </w:rPr>
        <w:t>规范性引用文件</w:t>
      </w:r>
      <w:bookmarkEnd w:id="38"/>
      <w:bookmarkEnd w:id="39"/>
      <w:bookmarkEnd w:id="40"/>
      <w:bookmarkEnd w:id="41"/>
      <w:bookmarkEnd w:id="42"/>
      <w:bookmarkEnd w:id="43"/>
      <w:bookmarkEnd w:id="44"/>
      <w:bookmarkEnd w:id="45"/>
      <w:bookmarkEnd w:id="46"/>
      <w:bookmarkEnd w:id="47"/>
      <w:bookmarkEnd w:id="48"/>
    </w:p>
    <w:p w14:paraId="056BD4F1">
      <w:pPr>
        <w:pStyle w:val="58"/>
        <w:ind w:firstLine="420"/>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4D4DD6C">
      <w:pPr>
        <w:pStyle w:val="58"/>
        <w:ind w:firstLine="420"/>
        <w:rPr>
          <w:rFonts w:ascii="Times New Roman"/>
        </w:rPr>
      </w:pPr>
      <w:r>
        <w:rPr>
          <w:rFonts w:hint="eastAsia" w:ascii="Times New Roman"/>
        </w:rPr>
        <w:t xml:space="preserve">GB 3095 环境空气质量标准 </w:t>
      </w:r>
    </w:p>
    <w:p w14:paraId="453F30BB">
      <w:pPr>
        <w:pStyle w:val="58"/>
        <w:ind w:firstLine="420"/>
        <w:rPr>
          <w:rFonts w:ascii="Times New Roman"/>
        </w:rPr>
      </w:pPr>
      <w:r>
        <w:rPr>
          <w:rFonts w:hint="eastAsia" w:ascii="Times New Roman"/>
        </w:rPr>
        <w:t>GB 3838 地表水环境质量标准</w:t>
      </w:r>
    </w:p>
    <w:p w14:paraId="243D4E20">
      <w:pPr>
        <w:pStyle w:val="58"/>
        <w:ind w:firstLine="420"/>
        <w:rPr>
          <w:rFonts w:ascii="Times New Roman"/>
        </w:rPr>
      </w:pPr>
      <w:r>
        <w:rPr>
          <w:rFonts w:hint="eastAsia" w:ascii="Times New Roman"/>
        </w:rPr>
        <w:t>GB/T 4754 国民经济行业分类</w:t>
      </w:r>
    </w:p>
    <w:p w14:paraId="5EEAF372">
      <w:pPr>
        <w:pStyle w:val="58"/>
        <w:ind w:firstLine="420"/>
        <w:rPr>
          <w:rFonts w:ascii="Times New Roman"/>
        </w:rPr>
      </w:pPr>
      <w:r>
        <w:rPr>
          <w:rFonts w:hint="eastAsia" w:ascii="Times New Roman"/>
        </w:rPr>
        <w:t>GB/T 14848 地下水质量标准</w:t>
      </w:r>
    </w:p>
    <w:p w14:paraId="768A43BD">
      <w:pPr>
        <w:pStyle w:val="58"/>
        <w:ind w:firstLine="420"/>
        <w:rPr>
          <w:rFonts w:ascii="Times New Roman"/>
        </w:rPr>
      </w:pPr>
      <w:r>
        <w:rPr>
          <w:rFonts w:hint="eastAsia" w:ascii="Times New Roman"/>
        </w:rPr>
        <w:t>GB/T 28592 降水量等级</w:t>
      </w:r>
    </w:p>
    <w:p w14:paraId="31559602">
      <w:pPr>
        <w:pStyle w:val="58"/>
        <w:ind w:firstLine="420"/>
        <w:rPr>
          <w:rFonts w:ascii="Times New Roman"/>
        </w:rPr>
      </w:pPr>
      <w:r>
        <w:rPr>
          <w:rFonts w:hint="eastAsia" w:ascii="Times New Roman"/>
        </w:rPr>
        <w:t>GB/T 42340 生态系统评估 生态系统格局与质量评价方法</w:t>
      </w:r>
    </w:p>
    <w:p w14:paraId="3B689761">
      <w:pPr>
        <w:pStyle w:val="58"/>
        <w:ind w:firstLine="420"/>
        <w:rPr>
          <w:rFonts w:ascii="Times New Roman"/>
        </w:rPr>
      </w:pPr>
      <w:r>
        <w:rPr>
          <w:rFonts w:hint="eastAsia" w:ascii="Times New Roman"/>
        </w:rPr>
        <w:t>HJ 1145 生态保护红线监管技术规范 数据质量控制（试行）</w:t>
      </w:r>
    </w:p>
    <w:p w14:paraId="3684371C">
      <w:pPr>
        <w:pStyle w:val="58"/>
        <w:ind w:firstLine="420"/>
        <w:rPr>
          <w:rFonts w:ascii="Times New Roman"/>
        </w:rPr>
      </w:pPr>
      <w:r>
        <w:rPr>
          <w:rFonts w:hint="eastAsia" w:ascii="Times New Roman"/>
        </w:rPr>
        <w:t>HJ 1172 全国生态状况调查评估技术规范——生态系统质量评估</w:t>
      </w:r>
    </w:p>
    <w:p w14:paraId="094302F8">
      <w:pPr>
        <w:pStyle w:val="58"/>
        <w:ind w:firstLine="420"/>
        <w:rPr>
          <w:rFonts w:ascii="Times New Roman"/>
        </w:rPr>
      </w:pPr>
      <w:r>
        <w:rPr>
          <w:rFonts w:hint="eastAsia" w:ascii="Times New Roman"/>
        </w:rPr>
        <w:t>TD/T 1055 第三次全国国土调查技术规程</w:t>
      </w:r>
    </w:p>
    <w:p w14:paraId="6AD596BE">
      <w:pPr>
        <w:pStyle w:val="58"/>
        <w:ind w:firstLine="420"/>
        <w:rPr>
          <w:rFonts w:ascii="Times New Roman"/>
        </w:rPr>
      </w:pPr>
      <w:r>
        <w:rPr>
          <w:rFonts w:hint="eastAsia" w:ascii="Times New Roman"/>
        </w:rPr>
        <w:t>CH/Z 1051 2000 国家大地坐标系转换成果质量检查与验收</w:t>
      </w:r>
    </w:p>
    <w:p w14:paraId="1F04EF23">
      <w:pPr>
        <w:pStyle w:val="106"/>
        <w:spacing w:before="312" w:after="312"/>
      </w:pPr>
      <w:bookmarkStart w:id="49" w:name="_Toc97191425"/>
      <w:bookmarkStart w:id="50" w:name="_Toc203399054"/>
      <w:bookmarkStart w:id="51" w:name="_Toc203399450"/>
      <w:r>
        <w:rPr>
          <w:rFonts w:hint="eastAsia"/>
          <w:szCs w:val="21"/>
        </w:rPr>
        <w:t>术语和定义</w:t>
      </w:r>
      <w:bookmarkEnd w:id="49"/>
      <w:bookmarkEnd w:id="50"/>
      <w:bookmarkEnd w:id="51"/>
    </w:p>
    <w:sdt>
      <w:sdtPr>
        <w:id w:val="-1909835108"/>
        <w:placeholder>
          <w:docPart w:val="B5DCA40750BE4CC490C2659F73E8F72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B56CBC9">
          <w:pPr>
            <w:pStyle w:val="58"/>
            <w:ind w:firstLine="420"/>
          </w:pPr>
          <w:bookmarkStart w:id="52" w:name="_Toc26986532"/>
          <w:bookmarkEnd w:id="52"/>
          <w:r>
            <w:t>下列术语和定义适用于本文件。</w:t>
          </w:r>
        </w:p>
      </w:sdtContent>
    </w:sdt>
    <w:p w14:paraId="6BD4AF17">
      <w:pPr>
        <w:pStyle w:val="225"/>
        <w:ind w:left="420" w:hanging="420" w:hangingChars="200"/>
        <w:rPr>
          <w:rFonts w:hint="eastAsia" w:ascii="黑体" w:hAnsi="黑体" w:eastAsia="黑体"/>
        </w:rPr>
      </w:pPr>
    </w:p>
    <w:p w14:paraId="594DF3B9">
      <w:pPr>
        <w:pStyle w:val="225"/>
        <w:numPr>
          <w:ilvl w:val="0"/>
          <w:numId w:val="0"/>
        </w:numPr>
        <w:ind w:left="420"/>
        <w:rPr>
          <w:rFonts w:hint="eastAsia" w:ascii="黑体" w:hAnsi="黑体" w:eastAsia="黑体"/>
        </w:rPr>
      </w:pPr>
      <w:r>
        <w:rPr>
          <w:rFonts w:hint="eastAsia" w:ascii="黑体" w:hAnsi="黑体" w:eastAsia="黑体"/>
        </w:rPr>
        <w:t>特定地域单元</w:t>
      </w:r>
      <w:r>
        <w:rPr>
          <w:rFonts w:ascii="黑体" w:hAnsi="黑体" w:eastAsia="黑体"/>
        </w:rPr>
        <w:t xml:space="preserve"> specific geographic units</w:t>
      </w:r>
    </w:p>
    <w:p w14:paraId="1E8BEF7A">
      <w:pPr>
        <w:pStyle w:val="13"/>
        <w:spacing w:before="1" w:line="279" w:lineRule="auto"/>
        <w:ind w:left="215" w:right="471" w:firstLine="396" w:firstLineChars="200"/>
      </w:pPr>
      <w:r>
        <w:rPr>
          <w:spacing w:val="-6"/>
        </w:rPr>
        <w:t>为定量评估生态系统服务在人与自然交互活动下所受影响而特意划定的地域空间，一般包含活动相</w:t>
      </w:r>
      <w:r>
        <w:rPr>
          <w:rFonts w:hint="eastAsia"/>
          <w:spacing w:val="-4"/>
        </w:rPr>
        <w:t>关联的所有生态要素和辅助开发要素。</w:t>
      </w:r>
    </w:p>
    <w:p w14:paraId="796EEB0A">
      <w:pPr>
        <w:pStyle w:val="225"/>
        <w:ind w:left="420" w:hanging="420" w:hangingChars="200"/>
        <w:rPr>
          <w:rFonts w:hint="eastAsia" w:ascii="黑体" w:hAnsi="黑体" w:eastAsia="黑体" w:cs="黑体"/>
        </w:rPr>
      </w:pPr>
      <w:r>
        <w:rPr>
          <w:rFonts w:ascii="黑体" w:hAnsi="黑体" w:eastAsia="黑体"/>
        </w:rPr>
        <w:br w:type="textWrapping"/>
      </w:r>
      <w:r>
        <w:rPr>
          <w:rFonts w:hint="eastAsia" w:ascii="黑体" w:hAnsi="黑体" w:eastAsia="黑体"/>
        </w:rPr>
        <w:t xml:space="preserve">项目 </w:t>
      </w:r>
      <w:r>
        <w:rPr>
          <w:rFonts w:ascii="黑体" w:hAnsi="黑体" w:eastAsia="黑体"/>
        </w:rPr>
        <w:t>project</w:t>
      </w:r>
    </w:p>
    <w:p w14:paraId="2F3BE907">
      <w:pPr>
        <w:pStyle w:val="13"/>
        <w:spacing w:line="279" w:lineRule="auto"/>
        <w:ind w:left="215" w:right="471" w:firstLine="392" w:firstLineChars="200"/>
      </w:pPr>
      <w:r>
        <w:rPr>
          <w:spacing w:val="-7"/>
        </w:rPr>
        <w:t>对一定时空范围内产权清晰的各类生态资源资产进行保护修复、开发利用而开展的建设活动，一般</w:t>
      </w:r>
      <w:r>
        <w:rPr>
          <w:spacing w:val="-5"/>
        </w:rPr>
        <w:t>形成固定资产投资并伴随生态系统服务变化。</w:t>
      </w:r>
    </w:p>
    <w:p w14:paraId="286777E7">
      <w:pPr>
        <w:pStyle w:val="225"/>
        <w:ind w:left="420" w:hanging="420" w:hangingChars="200"/>
        <w:rPr>
          <w:rFonts w:hint="eastAsia" w:ascii="黑体" w:hAnsi="黑体" w:eastAsia="黑体"/>
          <w:sz w:val="17"/>
        </w:rPr>
      </w:pPr>
      <w:r>
        <w:rPr>
          <w:rFonts w:ascii="黑体" w:hAnsi="黑体" w:eastAsia="黑体"/>
        </w:rPr>
        <w:br w:type="textWrapping"/>
      </w:r>
      <w:r>
        <w:rPr>
          <w:rFonts w:hint="eastAsia" w:ascii="黑体" w:hAnsi="黑体" w:eastAsia="黑体"/>
        </w:rPr>
        <w:t>生态产品</w:t>
      </w:r>
      <w:r>
        <w:rPr>
          <w:rFonts w:ascii="黑体" w:hAnsi="黑体" w:eastAsia="黑体"/>
        </w:rPr>
        <w:t xml:space="preserve"> ecological products</w:t>
      </w:r>
    </w:p>
    <w:p w14:paraId="246FA1E6">
      <w:pPr>
        <w:pStyle w:val="58"/>
        <w:ind w:firstLine="420"/>
        <w:rPr>
          <w:sz w:val="15"/>
        </w:rPr>
      </w:pPr>
      <w:r>
        <w:t>生态系统为经济活动和其他人类活动提供且被使用的货物与服务贡献，包括物质供给、调节服务、和文化服务三类。</w:t>
      </w:r>
    </w:p>
    <w:p w14:paraId="69A2CB3F">
      <w:pPr>
        <w:pStyle w:val="225"/>
        <w:ind w:left="420" w:hanging="420" w:hangingChars="200"/>
        <w:rPr>
          <w:rFonts w:hint="eastAsia" w:ascii="黑体" w:hAnsi="黑体" w:eastAsia="黑体"/>
        </w:rPr>
      </w:pPr>
    </w:p>
    <w:p w14:paraId="255C0FCC">
      <w:pPr>
        <w:pStyle w:val="225"/>
        <w:numPr>
          <w:ilvl w:val="0"/>
          <w:numId w:val="0"/>
        </w:numPr>
        <w:ind w:left="420"/>
        <w:rPr>
          <w:rFonts w:hint="eastAsia" w:ascii="黑体" w:hAnsi="黑体" w:eastAsia="黑体"/>
        </w:rPr>
      </w:pPr>
      <w:r>
        <w:rPr>
          <w:rFonts w:hint="eastAsia" w:ascii="黑体" w:hAnsi="黑体" w:eastAsia="黑体"/>
        </w:rPr>
        <w:t>基线情景</w:t>
      </w:r>
      <w:r>
        <w:rPr>
          <w:rFonts w:ascii="黑体" w:hAnsi="黑体" w:eastAsia="黑体"/>
        </w:rPr>
        <w:t xml:space="preserve"> baseline scenario</w:t>
      </w:r>
    </w:p>
    <w:p w14:paraId="57D6CBC4">
      <w:pPr>
        <w:pStyle w:val="58"/>
        <w:ind w:firstLine="420"/>
        <w:rPr>
          <w:sz w:val="10"/>
        </w:rPr>
      </w:pPr>
      <w:r>
        <w:t>在尚未实施项目条件下，特定地域单元内生态系统在无外部干扰时生态产品价值的未来预测情况。</w:t>
      </w:r>
    </w:p>
    <w:p w14:paraId="6654030E">
      <w:pPr>
        <w:pStyle w:val="225"/>
        <w:ind w:left="420" w:hanging="420" w:hangingChars="200"/>
        <w:rPr>
          <w:rFonts w:hint="eastAsia" w:ascii="黑体" w:hAnsi="黑体" w:eastAsia="黑体"/>
        </w:rPr>
      </w:pPr>
    </w:p>
    <w:p w14:paraId="40061CA8">
      <w:pPr>
        <w:pStyle w:val="225"/>
        <w:numPr>
          <w:ilvl w:val="0"/>
          <w:numId w:val="0"/>
        </w:numPr>
        <w:ind w:left="420"/>
        <w:rPr>
          <w:rFonts w:hint="eastAsia" w:ascii="黑体" w:hAnsi="黑体" w:eastAsia="黑体"/>
        </w:rPr>
      </w:pPr>
      <w:r>
        <w:rPr>
          <w:rFonts w:hint="eastAsia" w:ascii="黑体" w:hAnsi="黑体" w:eastAsia="黑体"/>
        </w:rPr>
        <w:t>项目情景</w:t>
      </w:r>
      <w:r>
        <w:rPr>
          <w:rFonts w:ascii="黑体" w:hAnsi="黑体" w:eastAsia="黑体"/>
        </w:rPr>
        <w:t xml:space="preserve"> project scenario</w:t>
      </w:r>
    </w:p>
    <w:p w14:paraId="45863A70">
      <w:pPr>
        <w:pStyle w:val="58"/>
        <w:ind w:firstLine="420"/>
        <w:rPr>
          <w:sz w:val="10"/>
        </w:rPr>
      </w:pPr>
      <w:r>
        <w:t>在项目活动实施下，特定地域单元内生态系统在人类活动影响下生态产品价值的预测或实际情况。</w:t>
      </w:r>
    </w:p>
    <w:p w14:paraId="497CB99F">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特定地域单元生态产品价值 </w:t>
      </w:r>
      <w:r>
        <w:rPr>
          <w:rFonts w:ascii="黑体" w:hAnsi="黑体" w:eastAsia="黑体"/>
        </w:rPr>
        <w:t>the value of ecosystem products(VEP) in specific geographic units</w:t>
      </w:r>
    </w:p>
    <w:p w14:paraId="50E9E7EC">
      <w:pPr>
        <w:pStyle w:val="58"/>
        <w:ind w:firstLine="420"/>
        <w:rPr>
          <w:sz w:val="10"/>
        </w:rPr>
      </w:pPr>
      <w:r>
        <w:t>特指根据项目活动及应用情景所确定的评估时空范围（</w:t>
      </w:r>
      <w:r>
        <w:rPr>
          <w:spacing w:val="-3"/>
        </w:rPr>
        <w:t>特定地域单元</w:t>
      </w:r>
      <w:r>
        <w:rPr>
          <w:spacing w:val="-101"/>
        </w:rPr>
        <w:t>）</w:t>
      </w:r>
      <w:r>
        <w:rPr>
          <w:spacing w:val="-3"/>
        </w:rPr>
        <w:t>所含生态产品的</w:t>
      </w:r>
      <w:r>
        <w:rPr>
          <w:rFonts w:hint="eastAsia"/>
          <w:spacing w:val="-3"/>
        </w:rPr>
        <w:t>市场</w:t>
      </w:r>
      <w:r>
        <w:rPr>
          <w:spacing w:val="-3"/>
        </w:rPr>
        <w:t>价值。</w:t>
      </w:r>
    </w:p>
    <w:p w14:paraId="38731670">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价值评估 </w:t>
      </w:r>
      <w:r>
        <w:rPr>
          <w:rFonts w:ascii="黑体" w:hAnsi="黑体" w:eastAsia="黑体"/>
        </w:rPr>
        <w:t>value assessment</w:t>
      </w:r>
    </w:p>
    <w:p w14:paraId="32308807">
      <w:pPr>
        <w:pStyle w:val="58"/>
        <w:ind w:firstLine="392"/>
      </w:pPr>
      <w:r>
        <w:rPr>
          <w:spacing w:val="-7"/>
        </w:rPr>
        <w:t>特定地域单元内自然生态系统提供产品或服务支持人类活动开展，同时其服务提供能力也受活动影</w:t>
      </w:r>
      <w:r>
        <w:t>响，以不同情景下生态产品价值核算与变化对比为目标进行调查、监测和分析，并定量评价活动的生态影响。</w:t>
      </w:r>
    </w:p>
    <w:p w14:paraId="0ADF3702">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生态地块</w:t>
      </w:r>
      <w:r>
        <w:rPr>
          <w:rFonts w:ascii="黑体" w:hAnsi="黑体" w:eastAsia="黑体"/>
        </w:rPr>
        <w:t xml:space="preserve"> ecological parcel</w:t>
      </w:r>
    </w:p>
    <w:p w14:paraId="304DFFA0">
      <w:pPr>
        <w:pStyle w:val="58"/>
        <w:ind w:firstLine="420"/>
        <w:rPr>
          <w:sz w:val="16"/>
        </w:rPr>
      </w:pPr>
      <w:r>
        <w:t>空间数据上监测的与生态系统空间实体相对应的最小地理单元。</w:t>
      </w:r>
    </w:p>
    <w:p w14:paraId="3B5463EF">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生态成本 </w:t>
      </w:r>
      <w:r>
        <w:rPr>
          <w:rFonts w:ascii="黑体" w:hAnsi="黑体" w:eastAsia="黑体"/>
        </w:rPr>
        <w:t>ecological cost</w:t>
      </w:r>
    </w:p>
    <w:p w14:paraId="2F8A9441">
      <w:pPr>
        <w:pStyle w:val="58"/>
        <w:ind w:firstLine="420"/>
      </w:pPr>
      <w:r>
        <w:t>特定地域单元内开展特定过程或措施可能造成的临时性和永久性生态产品价值损失。</w:t>
      </w:r>
    </w:p>
    <w:p w14:paraId="72663F94">
      <w:pPr>
        <w:pStyle w:val="225"/>
        <w:ind w:left="420" w:hanging="420" w:hangingChars="200"/>
        <w:rPr>
          <w:rFonts w:ascii="Times New Roman" w:eastAsia="黑体"/>
        </w:rPr>
      </w:pPr>
      <w:r>
        <w:rPr>
          <w:rFonts w:ascii="黑体" w:hAnsi="黑体" w:eastAsia="黑体"/>
        </w:rPr>
        <w:br w:type="textWrapping"/>
      </w:r>
      <w:r>
        <w:rPr>
          <w:rFonts w:ascii="Times New Roman" w:eastAsia="黑体"/>
        </w:rPr>
        <w:t>物质供给 provisioning services</w:t>
      </w:r>
    </w:p>
    <w:p w14:paraId="57A1F2EC">
      <w:pPr>
        <w:pStyle w:val="58"/>
        <w:ind w:firstLine="420"/>
        <w:rPr>
          <w:rFonts w:ascii="Times New Roman"/>
        </w:rPr>
      </w:pPr>
      <w:r>
        <w:rPr>
          <w:rFonts w:ascii="Times New Roman"/>
        </w:rPr>
        <w:t>生态系统为人类提供并被使用的各类物质产品，如粮食、油料、蔬菜、水果、木材、中草药、牧草、花卉等生物质产品，生物质能源产品，水资源产品等。</w:t>
      </w:r>
    </w:p>
    <w:p w14:paraId="7AF11FC6">
      <w:pPr>
        <w:pStyle w:val="225"/>
        <w:ind w:left="420" w:hanging="420" w:hangingChars="200"/>
        <w:rPr>
          <w:rFonts w:ascii="Times New Roman" w:eastAsia="黑体"/>
        </w:rPr>
      </w:pPr>
      <w:r>
        <w:rPr>
          <w:rFonts w:ascii="黑体" w:hAnsi="黑体" w:eastAsia="黑体"/>
        </w:rPr>
        <w:br w:type="textWrapping"/>
      </w:r>
      <w:r>
        <w:rPr>
          <w:rFonts w:ascii="Times New Roman" w:eastAsia="黑体"/>
        </w:rPr>
        <w:t>调节服务 regulating services</w:t>
      </w:r>
    </w:p>
    <w:p w14:paraId="0F5CD92E">
      <w:pPr>
        <w:pStyle w:val="58"/>
        <w:ind w:firstLine="420"/>
        <w:rPr>
          <w:rFonts w:ascii="Times New Roman"/>
        </w:rPr>
      </w:pPr>
      <w:r>
        <w:rPr>
          <w:rFonts w:ascii="Times New Roman"/>
        </w:rPr>
        <w:t>生态系统为维持或改善人类生存环境提供的惠益如水源涵养、土壤保持、防风固沙、洪水调蓄、空气净化、水质净化、固碳、释氧、气候调节、噪声消减等。</w:t>
      </w:r>
    </w:p>
    <w:p w14:paraId="78048310">
      <w:pPr>
        <w:pStyle w:val="225"/>
        <w:ind w:left="420" w:hanging="420" w:hangingChars="200"/>
        <w:rPr>
          <w:rFonts w:ascii="Times New Roman" w:eastAsia="黑体"/>
        </w:rPr>
      </w:pPr>
      <w:r>
        <w:rPr>
          <w:rFonts w:ascii="黑体" w:hAnsi="黑体" w:eastAsia="黑体"/>
        </w:rPr>
        <w:br w:type="textWrapping"/>
      </w:r>
      <w:r>
        <w:rPr>
          <w:rFonts w:ascii="Times New Roman" w:eastAsia="黑体"/>
        </w:rPr>
        <w:t>文化服务 cultural services</w:t>
      </w:r>
    </w:p>
    <w:p w14:paraId="6024F658">
      <w:pPr>
        <w:pStyle w:val="58"/>
        <w:ind w:firstLine="420"/>
        <w:rPr>
          <w:rFonts w:ascii="Times New Roman"/>
        </w:rPr>
      </w:pPr>
      <w:r>
        <w:rPr>
          <w:rFonts w:ascii="Times New Roman"/>
        </w:rPr>
        <w:t>生态系统为提高人类生活质量提供的非物质惠益如精神享受、灵感激发、旅游观光、休闲娱乐和美</w:t>
      </w:r>
      <w:r>
        <w:rPr>
          <w:rFonts w:ascii="Times New Roman"/>
        </w:rPr>
        <w:br w:type="textWrapping"/>
      </w:r>
      <w:r>
        <w:rPr>
          <w:rFonts w:ascii="Times New Roman"/>
        </w:rPr>
        <w:t>学体验等。</w:t>
      </w:r>
    </w:p>
    <w:p w14:paraId="050B7FCA">
      <w:pPr>
        <w:pStyle w:val="225"/>
        <w:ind w:left="420" w:hanging="420" w:hangingChars="200"/>
        <w:rPr>
          <w:rFonts w:ascii="Times New Roman" w:eastAsia="黑体"/>
        </w:rPr>
      </w:pPr>
      <w:r>
        <w:rPr>
          <w:rFonts w:ascii="黑体" w:hAnsi="黑体" w:eastAsia="黑体"/>
        </w:rPr>
        <w:br w:type="textWrapping"/>
      </w:r>
      <w:r>
        <w:rPr>
          <w:rFonts w:ascii="Times New Roman" w:eastAsia="黑体"/>
        </w:rPr>
        <w:t>水源涵养 water conservation</w:t>
      </w:r>
    </w:p>
    <w:p w14:paraId="2532187D">
      <w:pPr>
        <w:pStyle w:val="58"/>
        <w:ind w:firstLine="420"/>
        <w:rPr>
          <w:rFonts w:ascii="Times New Roman"/>
        </w:rPr>
      </w:pPr>
      <w:r>
        <w:rPr>
          <w:rFonts w:ascii="Times New Roman"/>
        </w:rPr>
        <w:t>生态系统通过其特有的结构与水相互作用，对降水进行截留、渗透、蓄积，并通过蒸散发实现对水流、水循环的调控，主要表现在缓和地表径流、补充地下水、减缓河流流量的季节波动、滞洪补枯、保证水质等方面。</w:t>
      </w:r>
    </w:p>
    <w:p w14:paraId="0DE23E6B">
      <w:pPr>
        <w:pStyle w:val="225"/>
        <w:ind w:left="420" w:hanging="420" w:hangingChars="200"/>
        <w:rPr>
          <w:rFonts w:ascii="Times New Roman" w:eastAsia="黑体"/>
        </w:rPr>
      </w:pPr>
    </w:p>
    <w:p w14:paraId="3B813B87">
      <w:pPr>
        <w:pStyle w:val="225"/>
        <w:numPr>
          <w:ilvl w:val="0"/>
          <w:numId w:val="0"/>
        </w:numPr>
        <w:ind w:left="420"/>
        <w:rPr>
          <w:rFonts w:ascii="Times New Roman" w:eastAsia="黑体"/>
        </w:rPr>
      </w:pPr>
      <w:r>
        <w:rPr>
          <w:rFonts w:ascii="Times New Roman" w:eastAsia="黑体"/>
        </w:rPr>
        <w:t>土壤保持 soil conservation</w:t>
      </w:r>
    </w:p>
    <w:p w14:paraId="67D58DC5">
      <w:pPr>
        <w:pStyle w:val="58"/>
        <w:ind w:firstLine="420"/>
        <w:rPr>
          <w:rFonts w:ascii="Times New Roman"/>
        </w:rPr>
      </w:pPr>
      <w:r>
        <w:rPr>
          <w:rFonts w:ascii="Times New Roman"/>
        </w:rPr>
        <w:t>指生态系统通过截留、吸收、下渗等作用以及植物根系的固持作用，减少土壤侵蚀以及减轻河流、湖泊、水库淤积的能力。</w:t>
      </w:r>
    </w:p>
    <w:p w14:paraId="06ACB5B5">
      <w:pPr>
        <w:pStyle w:val="225"/>
        <w:ind w:left="420" w:hanging="420" w:hangingChars="200"/>
        <w:rPr>
          <w:rFonts w:ascii="Times New Roman" w:eastAsia="黑体"/>
        </w:rPr>
      </w:pPr>
      <w:r>
        <w:rPr>
          <w:rFonts w:ascii="黑体" w:hAnsi="黑体" w:eastAsia="黑体"/>
        </w:rPr>
        <w:br w:type="textWrapping"/>
      </w:r>
      <w:r>
        <w:rPr>
          <w:rFonts w:ascii="Times New Roman" w:eastAsia="黑体"/>
        </w:rPr>
        <w:t>洪水调蓄 flood regulation</w:t>
      </w:r>
    </w:p>
    <w:p w14:paraId="2AC38CE3">
      <w:pPr>
        <w:pStyle w:val="58"/>
        <w:ind w:firstLine="420"/>
        <w:rPr>
          <w:rFonts w:ascii="Times New Roman"/>
        </w:rPr>
      </w:pPr>
      <w:r>
        <w:rPr>
          <w:rFonts w:ascii="Times New Roman"/>
        </w:rPr>
        <w:t>湖泊、沼泽等自然湿地生态系统通过暂时蓄积洪峰水量，而后缓慢泄出，削减并滞后洪峰，从而减轻河流水系洪水威胁的能力。</w:t>
      </w:r>
    </w:p>
    <w:p w14:paraId="2B00B9C8">
      <w:pPr>
        <w:pStyle w:val="225"/>
        <w:ind w:left="420" w:hanging="420" w:hangingChars="200"/>
        <w:rPr>
          <w:rFonts w:ascii="Times New Roman" w:eastAsia="黑体"/>
        </w:rPr>
      </w:pPr>
      <w:r>
        <w:rPr>
          <w:rFonts w:ascii="黑体" w:hAnsi="黑体" w:eastAsia="黑体"/>
        </w:rPr>
        <w:br w:type="textWrapping"/>
      </w:r>
      <w:r>
        <w:rPr>
          <w:rFonts w:ascii="Times New Roman" w:eastAsia="黑体"/>
        </w:rPr>
        <w:t>空气净化 air purification</w:t>
      </w:r>
    </w:p>
    <w:p w14:paraId="55E3F4E9">
      <w:pPr>
        <w:pStyle w:val="58"/>
        <w:ind w:firstLine="420"/>
        <w:rPr>
          <w:rFonts w:ascii="Times New Roman"/>
        </w:rPr>
      </w:pPr>
      <w:r>
        <w:rPr>
          <w:rFonts w:ascii="Times New Roman"/>
        </w:rPr>
        <w:t>生态系统通过吸收、阻滤大气中的污染物，如二氧化硫、氮氧化物、粉尘等，降低空气污染物浓度，改善空气环境的能力。</w:t>
      </w:r>
    </w:p>
    <w:p w14:paraId="253784E2">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水质净化</w:t>
      </w:r>
      <w:r>
        <w:rPr>
          <w:rFonts w:ascii="黑体" w:hAnsi="黑体" w:eastAsia="黑体"/>
        </w:rPr>
        <w:t xml:space="preserve"> water purification</w:t>
      </w:r>
    </w:p>
    <w:p w14:paraId="5DF19DB4">
      <w:pPr>
        <w:pStyle w:val="58"/>
        <w:ind w:firstLine="420"/>
      </w:pPr>
      <w:r>
        <w:t>自然生态系统吸纳和转化水体污染物，从而降低污染物浓度及排放影响，有效净化水体，改善水质</w:t>
      </w:r>
      <w:r>
        <w:rPr>
          <w:spacing w:val="-5"/>
        </w:rPr>
        <w:t>的功能。</w:t>
      </w:r>
    </w:p>
    <w:p w14:paraId="193BE6CC">
      <w:pPr>
        <w:pStyle w:val="225"/>
        <w:ind w:left="420" w:hanging="420" w:hangingChars="200"/>
        <w:rPr>
          <w:rFonts w:ascii="Times New Roman" w:eastAsia="黑体"/>
        </w:rPr>
      </w:pPr>
      <w:r>
        <w:rPr>
          <w:rFonts w:ascii="黑体" w:hAnsi="黑体" w:eastAsia="黑体"/>
        </w:rPr>
        <w:br w:type="textWrapping"/>
      </w:r>
      <w:r>
        <w:rPr>
          <w:rFonts w:ascii="Times New Roman" w:eastAsia="黑体"/>
        </w:rPr>
        <w:t>固碳 carbon sequestration</w:t>
      </w:r>
    </w:p>
    <w:p w14:paraId="2A11E2DF">
      <w:pPr>
        <w:pStyle w:val="58"/>
        <w:ind w:firstLine="420"/>
        <w:rPr>
          <w:rFonts w:ascii="Times New Roman"/>
        </w:rPr>
      </w:pPr>
      <w:r>
        <w:rPr>
          <w:rFonts w:ascii="Times New Roman"/>
        </w:rPr>
        <w:t>即固定二氧化碳，生态系统通过植物光合作用，将大气中的二氧化碳转化为有机碳</w:t>
      </w:r>
      <w:r>
        <w:rPr>
          <w:rFonts w:hint="eastAsia" w:ascii="Times New Roman"/>
        </w:rPr>
        <w:t>，</w:t>
      </w:r>
      <w:r>
        <w:rPr>
          <w:rFonts w:ascii="Times New Roman"/>
        </w:rPr>
        <w:t>并固定在土壤和植物体中的能力。</w:t>
      </w:r>
    </w:p>
    <w:p w14:paraId="0B3958C9">
      <w:pPr>
        <w:pStyle w:val="225"/>
        <w:ind w:left="420" w:hanging="420" w:hangingChars="200"/>
        <w:rPr>
          <w:rFonts w:ascii="Times New Roman" w:eastAsia="黑体"/>
        </w:rPr>
      </w:pPr>
      <w:r>
        <w:rPr>
          <w:rFonts w:ascii="黑体" w:hAnsi="黑体" w:eastAsia="黑体"/>
        </w:rPr>
        <w:br w:type="textWrapping"/>
      </w:r>
      <w:r>
        <w:rPr>
          <w:rFonts w:ascii="Times New Roman" w:eastAsia="黑体"/>
        </w:rPr>
        <w:t>释氧 oxygen release</w:t>
      </w:r>
    </w:p>
    <w:p w14:paraId="320FCD58">
      <w:pPr>
        <w:pStyle w:val="58"/>
        <w:ind w:firstLine="420"/>
        <w:rPr>
          <w:rFonts w:ascii="Times New Roman"/>
        </w:rPr>
      </w:pPr>
      <w:r>
        <w:rPr>
          <w:rFonts w:ascii="Times New Roman"/>
        </w:rPr>
        <w:t>生态系统通过植物光合作用释放氧气，维持大气氧气稳定的功能。</w:t>
      </w:r>
    </w:p>
    <w:p w14:paraId="234576E5">
      <w:pPr>
        <w:pStyle w:val="225"/>
        <w:ind w:left="420" w:hanging="420" w:hangingChars="200"/>
        <w:rPr>
          <w:rFonts w:ascii="Times New Roman" w:eastAsia="黑体"/>
        </w:rPr>
      </w:pPr>
    </w:p>
    <w:p w14:paraId="3AEF056F">
      <w:pPr>
        <w:pStyle w:val="225"/>
        <w:numPr>
          <w:ilvl w:val="0"/>
          <w:numId w:val="0"/>
        </w:numPr>
        <w:ind w:left="420"/>
        <w:rPr>
          <w:rFonts w:ascii="Times New Roman" w:eastAsia="黑体"/>
        </w:rPr>
      </w:pPr>
      <w:r>
        <w:rPr>
          <w:rFonts w:ascii="Times New Roman" w:eastAsia="黑体"/>
        </w:rPr>
        <w:t>气候调节 climate regulation</w:t>
      </w:r>
    </w:p>
    <w:p w14:paraId="7EB04FC8">
      <w:pPr>
        <w:pStyle w:val="58"/>
        <w:ind w:firstLine="420"/>
        <w:rPr>
          <w:rFonts w:ascii="Times New Roman"/>
        </w:rPr>
      </w:pPr>
      <w:r>
        <w:rPr>
          <w:rFonts w:ascii="Times New Roman"/>
        </w:rPr>
        <w:t>生态系统通过植被蒸腾作用和水面蒸发过程吸收能量，调节温和湿度的能力。</w:t>
      </w:r>
    </w:p>
    <w:p w14:paraId="4CF1B167">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噪声消减 </w:t>
      </w:r>
      <w:r>
        <w:rPr>
          <w:rFonts w:ascii="黑体" w:hAnsi="黑体" w:eastAsia="黑体"/>
        </w:rPr>
        <w:t>noise attenuation</w:t>
      </w:r>
    </w:p>
    <w:p w14:paraId="6F2F9F19">
      <w:pPr>
        <w:pStyle w:val="58"/>
        <w:ind w:firstLine="420"/>
        <w:rPr>
          <w:sz w:val="16"/>
        </w:rPr>
      </w:pPr>
      <w:r>
        <w:t>城市绿地等生态系统通过植物体反射、吸收等降低道路交通噪声。</w:t>
      </w:r>
    </w:p>
    <w:p w14:paraId="10F76464">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休闲游憩 </w:t>
      </w:r>
      <w:r>
        <w:rPr>
          <w:rFonts w:ascii="黑体" w:hAnsi="黑体" w:eastAsia="黑体"/>
        </w:rPr>
        <w:t>leisure and recreation</w:t>
      </w:r>
    </w:p>
    <w:p w14:paraId="7DD30FCA">
      <w:pPr>
        <w:pStyle w:val="58"/>
        <w:ind w:firstLine="420"/>
        <w:rPr>
          <w:sz w:val="15"/>
        </w:rPr>
      </w:pPr>
      <w:r>
        <w:t xml:space="preserve">人类通过休闲娱乐等活动方式，在城区公园、绿地、河湖周边等生态系统获得的非物质惠益。 </w:t>
      </w:r>
    </w:p>
    <w:p w14:paraId="2511B2D1">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景观增值 </w:t>
      </w:r>
      <w:r>
        <w:rPr>
          <w:rFonts w:ascii="黑体" w:hAnsi="黑体" w:eastAsia="黑体"/>
        </w:rPr>
        <w:t>landscape add-on value</w:t>
      </w:r>
    </w:p>
    <w:p w14:paraId="3305CE46">
      <w:pPr>
        <w:pStyle w:val="58"/>
        <w:ind w:firstLine="420"/>
      </w:pPr>
      <w:r>
        <w:t>生态系统为人类提供美学体验、精神愉悦，从而提高周边土地、房产价值的功能。</w:t>
      </w:r>
    </w:p>
    <w:p w14:paraId="00C71ED0">
      <w:pPr>
        <w:pStyle w:val="106"/>
        <w:spacing w:before="312" w:after="312"/>
      </w:pPr>
      <w:bookmarkStart w:id="53" w:name="_bookmark6"/>
      <w:bookmarkEnd w:id="53"/>
      <w:bookmarkStart w:id="54" w:name="_Toc203399451"/>
      <w:bookmarkStart w:id="55" w:name="_Toc203399055"/>
      <w:r>
        <w:rPr>
          <w:rFonts w:hint="eastAsia"/>
        </w:rPr>
        <w:t>核算流程</w:t>
      </w:r>
      <w:bookmarkEnd w:id="54"/>
      <w:bookmarkEnd w:id="55"/>
    </w:p>
    <w:p w14:paraId="71F5BAB2">
      <w:pPr>
        <w:pStyle w:val="107"/>
        <w:spacing w:before="156" w:after="156"/>
      </w:pPr>
      <w:bookmarkStart w:id="56" w:name="_Toc203399452"/>
      <w:bookmarkStart w:id="57" w:name="_Toc203399056"/>
      <w:r>
        <w:rPr>
          <w:rFonts w:hint="eastAsia"/>
        </w:rPr>
        <w:t>确定核算空间范围</w:t>
      </w:r>
      <w:bookmarkEnd w:id="56"/>
      <w:bookmarkEnd w:id="57"/>
    </w:p>
    <w:p w14:paraId="7B083426">
      <w:pPr>
        <w:pStyle w:val="58"/>
        <w:ind w:firstLine="420"/>
      </w:pPr>
      <w:r>
        <w:t>宜采用下列方式确定评估的空间范围：</w:t>
      </w:r>
    </w:p>
    <w:p w14:paraId="04C59A5B">
      <w:pPr>
        <w:pStyle w:val="134"/>
      </w:pPr>
      <w:r>
        <w:t>经权威部门审批确定的项目施工红线范围，周边生态系统一般不受影响；</w:t>
      </w:r>
    </w:p>
    <w:p w14:paraId="2BBF54F9">
      <w:pPr>
        <w:pStyle w:val="134"/>
      </w:pPr>
      <w:r>
        <w:rPr>
          <w:spacing w:val="-8"/>
        </w:rPr>
        <w:t>项目及周边影响区域，外扩范围可根据实施内容与影响调整，如采用上下游流域、生态功能区</w:t>
      </w:r>
      <w:r>
        <w:rPr>
          <w:spacing w:val="-7"/>
        </w:rPr>
        <w:t>或周边</w:t>
      </w:r>
      <w:r>
        <w:rPr>
          <w:rFonts w:ascii="Times New Roman" w:eastAsia="Times New Roman"/>
        </w:rPr>
        <w:t>1km</w:t>
      </w:r>
      <w:r>
        <w:rPr>
          <w:spacing w:val="-3"/>
        </w:rPr>
        <w:t>范围等；</w:t>
      </w:r>
    </w:p>
    <w:p w14:paraId="662BABF9">
      <w:pPr>
        <w:pStyle w:val="134"/>
      </w:pPr>
      <w:r>
        <w:t>空间上不相连但因自然生态过程、经济社会活动相互联系的地域组团。</w:t>
      </w:r>
    </w:p>
    <w:p w14:paraId="34714F4B">
      <w:pPr>
        <w:pStyle w:val="107"/>
        <w:spacing w:before="156" w:after="156"/>
      </w:pPr>
      <w:bookmarkStart w:id="58" w:name="_Toc203399057"/>
      <w:bookmarkStart w:id="59" w:name="_Toc203399453"/>
      <w:r>
        <w:rPr>
          <w:rFonts w:hint="eastAsia"/>
        </w:rPr>
        <w:t>确定核算时点与方式</w:t>
      </w:r>
      <w:bookmarkEnd w:id="58"/>
      <w:bookmarkEnd w:id="59"/>
    </w:p>
    <w:p w14:paraId="79FBAFEF">
      <w:pPr>
        <w:pStyle w:val="58"/>
        <w:ind w:firstLine="420"/>
      </w:pPr>
      <w:r>
        <w:t>宜采用下列方式确定评估时点与方式：</w:t>
      </w:r>
    </w:p>
    <w:p w14:paraId="47994CCC">
      <w:pPr>
        <w:pStyle w:val="134"/>
      </w:pPr>
      <w:r>
        <w:t>根据规划可预计项目情景下生态系统未来状态的，可在活动实施前进行预评估，具体可评估当</w:t>
      </w:r>
      <w:r>
        <w:rPr>
          <w:spacing w:val="-5"/>
        </w:rPr>
        <w:t>前生态产品价值或情景对比实施周期内价值变化；</w:t>
      </w:r>
    </w:p>
    <w:p w14:paraId="5F241A61">
      <w:pPr>
        <w:pStyle w:val="134"/>
      </w:pPr>
      <w:r>
        <w:t>对于项目等活动已实施且生态系统已产生变化的，可在实施完成或待生态系统初步稳定时进行</w:t>
      </w:r>
      <w:r>
        <w:rPr>
          <w:spacing w:val="-5"/>
        </w:rPr>
        <w:t>后评估，具体可利用情景对比评估实施周期内价值变化；</w:t>
      </w:r>
    </w:p>
    <w:p w14:paraId="0714E724">
      <w:pPr>
        <w:pStyle w:val="134"/>
      </w:pPr>
      <w:r>
        <w:rPr>
          <w:spacing w:val="-7"/>
        </w:rPr>
        <w:t>对于项目建设等活动正在实施中或实施完成后生态系统持续变化的，可选择适当时机进行监测</w:t>
      </w:r>
      <w:r>
        <w:rPr>
          <w:spacing w:val="-5"/>
        </w:rPr>
        <w:t>评估，具体可利用情景对比评估相应时段内价值变化</w:t>
      </w:r>
      <w:r>
        <w:rPr>
          <w:rFonts w:hint="eastAsia"/>
          <w:spacing w:val="-5"/>
        </w:rPr>
        <w:t>；</w:t>
      </w:r>
    </w:p>
    <w:p w14:paraId="47F3F2C5">
      <w:pPr>
        <w:pStyle w:val="134"/>
        <w:rPr>
          <w:spacing w:val="-5"/>
        </w:rPr>
      </w:pPr>
      <w:r>
        <w:rPr>
          <w:spacing w:val="-7"/>
        </w:rPr>
        <w:t>对于生态恢复趋于稳定的活动且未来生态收益可预期的，可在适当时机进行长期评估，具体可</w:t>
      </w:r>
      <w:r>
        <w:rPr>
          <w:spacing w:val="-5"/>
        </w:rPr>
        <w:t>利用情景对比预估其未来生态收益的现值。</w:t>
      </w:r>
    </w:p>
    <w:p w14:paraId="74B54D39">
      <w:pPr>
        <w:pStyle w:val="107"/>
        <w:spacing w:before="156" w:after="156"/>
      </w:pPr>
      <w:bookmarkStart w:id="60" w:name="_Toc203399454"/>
      <w:bookmarkStart w:id="61" w:name="_Toc203399058"/>
      <w:r>
        <w:rPr>
          <w:rFonts w:hint="eastAsia"/>
        </w:rPr>
        <w:t>生态产品价值核算流程</w:t>
      </w:r>
      <w:bookmarkEnd w:id="60"/>
      <w:bookmarkEnd w:id="61"/>
    </w:p>
    <w:p w14:paraId="6A6085DB">
      <w:pPr>
        <w:pStyle w:val="67"/>
        <w:spacing w:before="156" w:after="156"/>
      </w:pPr>
      <w:r>
        <w:rPr>
          <w:rFonts w:hint="eastAsia"/>
        </w:rPr>
        <w:t>明确生态系统类型</w:t>
      </w:r>
    </w:p>
    <w:p w14:paraId="13FC1008">
      <w:pPr>
        <w:pStyle w:val="58"/>
        <w:ind w:firstLine="420"/>
        <w:rPr>
          <w:color w:val="FF0000"/>
        </w:rPr>
      </w:pPr>
      <w:r>
        <w:t>应综合利用地方调查数据、高分遥感数据、基础地理数据等资料分析评估特定地域单元内的森林、湿地、草地、农田、城镇等生态系统类型、面积与分布，绘制适合项目评估需求的生态系统类型分布图（类型体系可参考附录表</w:t>
      </w:r>
      <w:r>
        <w:rPr>
          <w:rFonts w:hint="eastAsia" w:ascii="Times New Roman" w:eastAsiaTheme="minorEastAsia"/>
        </w:rPr>
        <w:t>B</w:t>
      </w:r>
      <w:r>
        <w:t>），</w:t>
      </w:r>
      <w:r>
        <w:rPr>
          <w:color w:val="FF0000"/>
        </w:rPr>
        <w:t>具体参考《</w:t>
      </w:r>
      <w:r>
        <w:rPr>
          <w:rFonts w:ascii="Times New Roman" w:eastAsia="Times New Roman"/>
          <w:color w:val="FF0000"/>
        </w:rPr>
        <w:t xml:space="preserve">HJ 1166-2021 </w:t>
      </w:r>
      <w:r>
        <w:rPr>
          <w:color w:val="FF0000"/>
        </w:rPr>
        <w:t>全国生态状况调查技术规范</w:t>
      </w:r>
      <w:r>
        <w:rPr>
          <w:rFonts w:ascii="Times New Roman" w:eastAsia="Times New Roman"/>
          <w:color w:val="FF0000"/>
        </w:rPr>
        <w:t>——</w:t>
      </w:r>
      <w:r>
        <w:rPr>
          <w:color w:val="FF0000"/>
        </w:rPr>
        <w:t>生态系统遥感解译与野外核查》中的遥感解译及外业核查要求。</w:t>
      </w:r>
      <w:r>
        <w:rPr>
          <w:rFonts w:ascii="Times New Roman"/>
        </w:rPr>
        <w:t>表1规定了各类生态系统所对应的核算内容。</w:t>
      </w:r>
    </w:p>
    <w:p w14:paraId="47FFC4D8">
      <w:pPr>
        <w:pStyle w:val="114"/>
        <w:spacing w:before="156" w:after="156"/>
        <w:rPr>
          <w:rFonts w:ascii="Times New Roman"/>
        </w:rPr>
      </w:pPr>
      <w:r>
        <w:rPr>
          <w:rFonts w:ascii="Times New Roman"/>
        </w:rPr>
        <w:t>各类生态系统核算内容</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682"/>
        <w:gridCol w:w="1333"/>
        <w:gridCol w:w="1334"/>
        <w:gridCol w:w="1334"/>
        <w:gridCol w:w="1334"/>
        <w:gridCol w:w="1334"/>
      </w:tblGrid>
      <w:tr w14:paraId="0A20D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14:paraId="3A2F6650">
            <w:pPr>
              <w:pStyle w:val="180"/>
            </w:pPr>
            <w:r>
              <w:t>类别</w:t>
            </w:r>
          </w:p>
        </w:tc>
        <w:tc>
          <w:tcPr>
            <w:tcW w:w="1682" w:type="dxa"/>
            <w:tcBorders>
              <w:top w:val="single" w:color="auto" w:sz="8" w:space="0"/>
              <w:bottom w:val="single" w:color="auto" w:sz="8" w:space="0"/>
            </w:tcBorders>
            <w:shd w:val="clear" w:color="auto" w:fill="auto"/>
            <w:vAlign w:val="center"/>
          </w:tcPr>
          <w:p w14:paraId="4774EEB8">
            <w:pPr>
              <w:pStyle w:val="180"/>
            </w:pPr>
            <w:r>
              <w:t>核算内容</w:t>
            </w:r>
          </w:p>
        </w:tc>
        <w:tc>
          <w:tcPr>
            <w:tcW w:w="1333" w:type="dxa"/>
            <w:tcBorders>
              <w:top w:val="single" w:color="auto" w:sz="8" w:space="0"/>
              <w:bottom w:val="single" w:color="auto" w:sz="8" w:space="0"/>
            </w:tcBorders>
            <w:shd w:val="clear" w:color="auto" w:fill="auto"/>
            <w:vAlign w:val="center"/>
          </w:tcPr>
          <w:p w14:paraId="6BF6D2A5">
            <w:pPr>
              <w:pStyle w:val="180"/>
            </w:pPr>
            <w:r>
              <w:t>森林生态系统</w:t>
            </w:r>
          </w:p>
        </w:tc>
        <w:tc>
          <w:tcPr>
            <w:tcW w:w="1334" w:type="dxa"/>
            <w:tcBorders>
              <w:top w:val="single" w:color="auto" w:sz="8" w:space="0"/>
              <w:bottom w:val="single" w:color="auto" w:sz="8" w:space="0"/>
            </w:tcBorders>
            <w:shd w:val="clear" w:color="auto" w:fill="auto"/>
            <w:vAlign w:val="center"/>
          </w:tcPr>
          <w:p w14:paraId="76FC00EB">
            <w:pPr>
              <w:pStyle w:val="180"/>
            </w:pPr>
            <w:r>
              <w:t>草地生态系统</w:t>
            </w:r>
          </w:p>
        </w:tc>
        <w:tc>
          <w:tcPr>
            <w:tcW w:w="1334" w:type="dxa"/>
            <w:tcBorders>
              <w:top w:val="single" w:color="auto" w:sz="8" w:space="0"/>
              <w:bottom w:val="single" w:color="auto" w:sz="8" w:space="0"/>
            </w:tcBorders>
            <w:shd w:val="clear" w:color="auto" w:fill="auto"/>
            <w:vAlign w:val="center"/>
          </w:tcPr>
          <w:p w14:paraId="3CBC36AD">
            <w:pPr>
              <w:pStyle w:val="180"/>
            </w:pPr>
            <w:r>
              <w:t>农田生态系统</w:t>
            </w:r>
          </w:p>
        </w:tc>
        <w:tc>
          <w:tcPr>
            <w:tcW w:w="1334" w:type="dxa"/>
            <w:tcBorders>
              <w:top w:val="single" w:color="auto" w:sz="8" w:space="0"/>
              <w:bottom w:val="single" w:color="auto" w:sz="8" w:space="0"/>
            </w:tcBorders>
            <w:shd w:val="clear" w:color="auto" w:fill="auto"/>
            <w:vAlign w:val="center"/>
          </w:tcPr>
          <w:p w14:paraId="1B8A55B4">
            <w:pPr>
              <w:pStyle w:val="180"/>
            </w:pPr>
            <w:r>
              <w:t>湿地生态系统</w:t>
            </w:r>
          </w:p>
        </w:tc>
        <w:tc>
          <w:tcPr>
            <w:tcW w:w="1334" w:type="dxa"/>
            <w:tcBorders>
              <w:top w:val="single" w:color="auto" w:sz="8" w:space="0"/>
              <w:bottom w:val="single" w:color="auto" w:sz="8" w:space="0"/>
            </w:tcBorders>
            <w:shd w:val="clear" w:color="auto" w:fill="auto"/>
            <w:vAlign w:val="center"/>
          </w:tcPr>
          <w:p w14:paraId="25069F7A">
            <w:pPr>
              <w:pStyle w:val="180"/>
            </w:pPr>
            <w:r>
              <w:t>城市生态系统</w:t>
            </w:r>
            <w:r>
              <w:rPr>
                <w:vertAlign w:val="superscript"/>
              </w:rPr>
              <w:t>a</w:t>
            </w:r>
          </w:p>
        </w:tc>
      </w:tr>
      <w:tr w14:paraId="7E5C1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top w:val="single" w:color="auto" w:sz="8" w:space="0"/>
            </w:tcBorders>
            <w:shd w:val="clear" w:color="auto" w:fill="auto"/>
            <w:vAlign w:val="center"/>
          </w:tcPr>
          <w:p w14:paraId="27FC0A7C">
            <w:pPr>
              <w:pStyle w:val="180"/>
            </w:pPr>
            <w:r>
              <w:t>物质供给</w:t>
            </w:r>
          </w:p>
        </w:tc>
        <w:tc>
          <w:tcPr>
            <w:tcW w:w="1682" w:type="dxa"/>
            <w:tcBorders>
              <w:top w:val="single" w:color="auto" w:sz="8" w:space="0"/>
            </w:tcBorders>
            <w:shd w:val="clear" w:color="auto" w:fill="auto"/>
            <w:vAlign w:val="center"/>
          </w:tcPr>
          <w:p w14:paraId="0B2B1097">
            <w:pPr>
              <w:pStyle w:val="180"/>
            </w:pPr>
            <w:r>
              <w:t>农产品供给</w:t>
            </w:r>
          </w:p>
        </w:tc>
        <w:tc>
          <w:tcPr>
            <w:tcW w:w="1333" w:type="dxa"/>
            <w:tcBorders>
              <w:top w:val="single" w:color="auto" w:sz="8" w:space="0"/>
            </w:tcBorders>
            <w:shd w:val="clear" w:color="auto" w:fill="auto"/>
            <w:vAlign w:val="center"/>
          </w:tcPr>
          <w:p w14:paraId="0E2826A8">
            <w:pPr>
              <w:pStyle w:val="180"/>
            </w:pPr>
            <w:r>
              <w:t>√</w:t>
            </w:r>
          </w:p>
        </w:tc>
        <w:tc>
          <w:tcPr>
            <w:tcW w:w="1334" w:type="dxa"/>
            <w:tcBorders>
              <w:top w:val="single" w:color="auto" w:sz="8" w:space="0"/>
            </w:tcBorders>
            <w:shd w:val="clear" w:color="auto" w:fill="auto"/>
            <w:vAlign w:val="center"/>
          </w:tcPr>
          <w:p w14:paraId="355FBE8B">
            <w:pPr>
              <w:pStyle w:val="180"/>
            </w:pPr>
            <w:r>
              <w:t>√</w:t>
            </w:r>
          </w:p>
        </w:tc>
        <w:tc>
          <w:tcPr>
            <w:tcW w:w="1334" w:type="dxa"/>
            <w:tcBorders>
              <w:top w:val="single" w:color="auto" w:sz="8" w:space="0"/>
            </w:tcBorders>
            <w:shd w:val="clear" w:color="auto" w:fill="auto"/>
            <w:vAlign w:val="center"/>
          </w:tcPr>
          <w:p w14:paraId="351DA739">
            <w:pPr>
              <w:pStyle w:val="180"/>
            </w:pPr>
            <w:r>
              <w:t>√</w:t>
            </w:r>
          </w:p>
        </w:tc>
        <w:tc>
          <w:tcPr>
            <w:tcW w:w="1334" w:type="dxa"/>
            <w:tcBorders>
              <w:top w:val="single" w:color="auto" w:sz="8" w:space="0"/>
            </w:tcBorders>
            <w:shd w:val="clear" w:color="auto" w:fill="auto"/>
            <w:vAlign w:val="center"/>
          </w:tcPr>
          <w:p w14:paraId="4DA50F8C">
            <w:pPr>
              <w:pStyle w:val="180"/>
            </w:pPr>
            <w:r>
              <w:t>√</w:t>
            </w:r>
          </w:p>
        </w:tc>
        <w:tc>
          <w:tcPr>
            <w:tcW w:w="1334" w:type="dxa"/>
            <w:tcBorders>
              <w:top w:val="single" w:color="auto" w:sz="8" w:space="0"/>
            </w:tcBorders>
            <w:shd w:val="clear" w:color="auto" w:fill="auto"/>
            <w:vAlign w:val="center"/>
          </w:tcPr>
          <w:p w14:paraId="50523F88">
            <w:pPr>
              <w:pStyle w:val="180"/>
            </w:pPr>
            <w:r>
              <w:t>×</w:t>
            </w:r>
          </w:p>
        </w:tc>
      </w:tr>
      <w:tr w14:paraId="33F05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2EEFE956">
            <w:pPr>
              <w:pStyle w:val="180"/>
            </w:pPr>
          </w:p>
        </w:tc>
        <w:tc>
          <w:tcPr>
            <w:tcW w:w="1682" w:type="dxa"/>
            <w:tcBorders>
              <w:top w:val="single" w:color="auto" w:sz="8" w:space="0"/>
            </w:tcBorders>
            <w:shd w:val="clear" w:color="auto" w:fill="auto"/>
            <w:vAlign w:val="center"/>
          </w:tcPr>
          <w:p w14:paraId="44D753FF">
            <w:pPr>
              <w:pStyle w:val="180"/>
            </w:pPr>
            <w:r>
              <w:t>林产品供给</w:t>
            </w:r>
          </w:p>
        </w:tc>
        <w:tc>
          <w:tcPr>
            <w:tcW w:w="1333" w:type="dxa"/>
            <w:tcBorders>
              <w:top w:val="single" w:color="auto" w:sz="8" w:space="0"/>
            </w:tcBorders>
            <w:shd w:val="clear" w:color="auto" w:fill="auto"/>
            <w:vAlign w:val="center"/>
          </w:tcPr>
          <w:p w14:paraId="13BE299E">
            <w:pPr>
              <w:pStyle w:val="180"/>
            </w:pPr>
            <w:r>
              <w:t>√</w:t>
            </w:r>
          </w:p>
        </w:tc>
        <w:tc>
          <w:tcPr>
            <w:tcW w:w="1334" w:type="dxa"/>
            <w:tcBorders>
              <w:top w:val="single" w:color="auto" w:sz="8" w:space="0"/>
            </w:tcBorders>
            <w:shd w:val="clear" w:color="auto" w:fill="auto"/>
            <w:vAlign w:val="center"/>
          </w:tcPr>
          <w:p w14:paraId="014F4CEC">
            <w:pPr>
              <w:pStyle w:val="180"/>
            </w:pPr>
            <w:r>
              <w:t>√</w:t>
            </w:r>
          </w:p>
        </w:tc>
        <w:tc>
          <w:tcPr>
            <w:tcW w:w="1334" w:type="dxa"/>
            <w:tcBorders>
              <w:top w:val="single" w:color="auto" w:sz="8" w:space="0"/>
            </w:tcBorders>
            <w:shd w:val="clear" w:color="auto" w:fill="auto"/>
            <w:vAlign w:val="center"/>
          </w:tcPr>
          <w:p w14:paraId="5A46A7E4">
            <w:pPr>
              <w:pStyle w:val="180"/>
            </w:pPr>
            <w:r>
              <w:t>√</w:t>
            </w:r>
          </w:p>
        </w:tc>
        <w:tc>
          <w:tcPr>
            <w:tcW w:w="1334" w:type="dxa"/>
            <w:tcBorders>
              <w:top w:val="single" w:color="auto" w:sz="8" w:space="0"/>
            </w:tcBorders>
            <w:shd w:val="clear" w:color="auto" w:fill="auto"/>
            <w:vAlign w:val="center"/>
          </w:tcPr>
          <w:p w14:paraId="63A3AB78">
            <w:pPr>
              <w:pStyle w:val="180"/>
            </w:pPr>
            <w:r>
              <w:t>×</w:t>
            </w:r>
          </w:p>
        </w:tc>
        <w:tc>
          <w:tcPr>
            <w:tcW w:w="1334" w:type="dxa"/>
            <w:tcBorders>
              <w:top w:val="single" w:color="auto" w:sz="8" w:space="0"/>
            </w:tcBorders>
            <w:shd w:val="clear" w:color="auto" w:fill="auto"/>
            <w:vAlign w:val="center"/>
          </w:tcPr>
          <w:p w14:paraId="18F61780">
            <w:pPr>
              <w:pStyle w:val="180"/>
            </w:pPr>
            <w:r>
              <w:t>×</w:t>
            </w:r>
          </w:p>
        </w:tc>
      </w:tr>
      <w:tr w14:paraId="002F6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26F1FFDC">
            <w:pPr>
              <w:pStyle w:val="180"/>
            </w:pPr>
          </w:p>
        </w:tc>
        <w:tc>
          <w:tcPr>
            <w:tcW w:w="1682" w:type="dxa"/>
            <w:tcBorders>
              <w:top w:val="single" w:color="auto" w:sz="8" w:space="0"/>
            </w:tcBorders>
            <w:shd w:val="clear" w:color="auto" w:fill="auto"/>
            <w:vAlign w:val="center"/>
          </w:tcPr>
          <w:p w14:paraId="2CF158AA">
            <w:pPr>
              <w:pStyle w:val="180"/>
            </w:pPr>
            <w:r>
              <w:t>畜牧产品供给</w:t>
            </w:r>
          </w:p>
        </w:tc>
        <w:tc>
          <w:tcPr>
            <w:tcW w:w="1333" w:type="dxa"/>
            <w:tcBorders>
              <w:top w:val="single" w:color="auto" w:sz="8" w:space="0"/>
            </w:tcBorders>
            <w:shd w:val="clear" w:color="auto" w:fill="auto"/>
            <w:vAlign w:val="center"/>
          </w:tcPr>
          <w:p w14:paraId="41E33F02">
            <w:pPr>
              <w:pStyle w:val="180"/>
            </w:pPr>
            <w:r>
              <w:t>√</w:t>
            </w:r>
          </w:p>
        </w:tc>
        <w:tc>
          <w:tcPr>
            <w:tcW w:w="1334" w:type="dxa"/>
            <w:tcBorders>
              <w:top w:val="single" w:color="auto" w:sz="8" w:space="0"/>
            </w:tcBorders>
            <w:shd w:val="clear" w:color="auto" w:fill="auto"/>
            <w:vAlign w:val="center"/>
          </w:tcPr>
          <w:p w14:paraId="45F513FB">
            <w:pPr>
              <w:pStyle w:val="180"/>
            </w:pPr>
            <w:r>
              <w:t>√</w:t>
            </w:r>
          </w:p>
        </w:tc>
        <w:tc>
          <w:tcPr>
            <w:tcW w:w="1334" w:type="dxa"/>
            <w:tcBorders>
              <w:top w:val="single" w:color="auto" w:sz="8" w:space="0"/>
            </w:tcBorders>
            <w:shd w:val="clear" w:color="auto" w:fill="auto"/>
            <w:vAlign w:val="center"/>
          </w:tcPr>
          <w:p w14:paraId="660C5F5F">
            <w:pPr>
              <w:pStyle w:val="180"/>
            </w:pPr>
            <w:r>
              <w:t>×</w:t>
            </w:r>
          </w:p>
        </w:tc>
        <w:tc>
          <w:tcPr>
            <w:tcW w:w="1334" w:type="dxa"/>
            <w:tcBorders>
              <w:top w:val="single" w:color="auto" w:sz="8" w:space="0"/>
            </w:tcBorders>
            <w:shd w:val="clear" w:color="auto" w:fill="auto"/>
            <w:vAlign w:val="center"/>
          </w:tcPr>
          <w:p w14:paraId="03B39B87">
            <w:pPr>
              <w:pStyle w:val="180"/>
            </w:pPr>
            <w:r>
              <w:t>×</w:t>
            </w:r>
          </w:p>
        </w:tc>
        <w:tc>
          <w:tcPr>
            <w:tcW w:w="1334" w:type="dxa"/>
            <w:tcBorders>
              <w:top w:val="single" w:color="auto" w:sz="8" w:space="0"/>
            </w:tcBorders>
            <w:shd w:val="clear" w:color="auto" w:fill="auto"/>
            <w:vAlign w:val="center"/>
          </w:tcPr>
          <w:p w14:paraId="1C623F9F">
            <w:pPr>
              <w:pStyle w:val="180"/>
            </w:pPr>
            <w:r>
              <w:t>×</w:t>
            </w:r>
          </w:p>
        </w:tc>
      </w:tr>
      <w:tr w14:paraId="06BE09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3550A03D">
            <w:pPr>
              <w:pStyle w:val="180"/>
            </w:pPr>
          </w:p>
        </w:tc>
        <w:tc>
          <w:tcPr>
            <w:tcW w:w="1682" w:type="dxa"/>
            <w:tcBorders>
              <w:top w:val="single" w:color="auto" w:sz="8" w:space="0"/>
            </w:tcBorders>
            <w:shd w:val="clear" w:color="auto" w:fill="auto"/>
            <w:vAlign w:val="center"/>
          </w:tcPr>
          <w:p w14:paraId="71201CE0">
            <w:pPr>
              <w:pStyle w:val="180"/>
            </w:pPr>
            <w:r>
              <w:t>渔产品供给</w:t>
            </w:r>
          </w:p>
        </w:tc>
        <w:tc>
          <w:tcPr>
            <w:tcW w:w="1333" w:type="dxa"/>
            <w:tcBorders>
              <w:top w:val="single" w:color="auto" w:sz="8" w:space="0"/>
            </w:tcBorders>
            <w:shd w:val="clear" w:color="auto" w:fill="auto"/>
            <w:vAlign w:val="center"/>
          </w:tcPr>
          <w:p w14:paraId="7800A7FF">
            <w:pPr>
              <w:pStyle w:val="180"/>
            </w:pPr>
            <w:r>
              <w:t>×</w:t>
            </w:r>
          </w:p>
        </w:tc>
        <w:tc>
          <w:tcPr>
            <w:tcW w:w="1334" w:type="dxa"/>
            <w:tcBorders>
              <w:top w:val="single" w:color="auto" w:sz="8" w:space="0"/>
            </w:tcBorders>
            <w:shd w:val="clear" w:color="auto" w:fill="auto"/>
            <w:vAlign w:val="center"/>
          </w:tcPr>
          <w:p w14:paraId="4C39CDC2">
            <w:pPr>
              <w:pStyle w:val="180"/>
            </w:pPr>
            <w:r>
              <w:t>×</w:t>
            </w:r>
          </w:p>
        </w:tc>
        <w:tc>
          <w:tcPr>
            <w:tcW w:w="1334" w:type="dxa"/>
            <w:tcBorders>
              <w:top w:val="single" w:color="auto" w:sz="8" w:space="0"/>
            </w:tcBorders>
            <w:shd w:val="clear" w:color="auto" w:fill="auto"/>
            <w:vAlign w:val="center"/>
          </w:tcPr>
          <w:p w14:paraId="60976983">
            <w:pPr>
              <w:pStyle w:val="180"/>
            </w:pPr>
            <w:r>
              <w:t>×</w:t>
            </w:r>
          </w:p>
        </w:tc>
        <w:tc>
          <w:tcPr>
            <w:tcW w:w="1334" w:type="dxa"/>
            <w:tcBorders>
              <w:top w:val="single" w:color="auto" w:sz="8" w:space="0"/>
            </w:tcBorders>
            <w:shd w:val="clear" w:color="auto" w:fill="auto"/>
            <w:vAlign w:val="center"/>
          </w:tcPr>
          <w:p w14:paraId="2BB79EDB">
            <w:pPr>
              <w:pStyle w:val="180"/>
            </w:pPr>
            <w:r>
              <w:t>√</w:t>
            </w:r>
          </w:p>
        </w:tc>
        <w:tc>
          <w:tcPr>
            <w:tcW w:w="1334" w:type="dxa"/>
            <w:tcBorders>
              <w:top w:val="single" w:color="auto" w:sz="8" w:space="0"/>
            </w:tcBorders>
            <w:shd w:val="clear" w:color="auto" w:fill="auto"/>
            <w:vAlign w:val="center"/>
          </w:tcPr>
          <w:p w14:paraId="3E561059">
            <w:pPr>
              <w:pStyle w:val="180"/>
            </w:pPr>
            <w:r>
              <w:t>×</w:t>
            </w:r>
          </w:p>
        </w:tc>
      </w:tr>
      <w:tr w14:paraId="445634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4380B97E">
            <w:pPr>
              <w:pStyle w:val="180"/>
            </w:pPr>
          </w:p>
        </w:tc>
        <w:tc>
          <w:tcPr>
            <w:tcW w:w="1682" w:type="dxa"/>
            <w:shd w:val="clear" w:color="auto" w:fill="auto"/>
            <w:vAlign w:val="center"/>
          </w:tcPr>
          <w:p w14:paraId="3C58DFC1">
            <w:pPr>
              <w:pStyle w:val="180"/>
            </w:pPr>
            <w:r>
              <w:t>水资源供给</w:t>
            </w:r>
            <w:r>
              <w:rPr>
                <w:vertAlign w:val="superscript"/>
              </w:rPr>
              <w:t>b</w:t>
            </w:r>
          </w:p>
        </w:tc>
        <w:tc>
          <w:tcPr>
            <w:tcW w:w="1333" w:type="dxa"/>
            <w:shd w:val="clear" w:color="auto" w:fill="auto"/>
            <w:vAlign w:val="center"/>
          </w:tcPr>
          <w:p w14:paraId="388CC5CE">
            <w:pPr>
              <w:pStyle w:val="180"/>
            </w:pPr>
            <w:r>
              <w:t>×</w:t>
            </w:r>
          </w:p>
        </w:tc>
        <w:tc>
          <w:tcPr>
            <w:tcW w:w="1334" w:type="dxa"/>
            <w:shd w:val="clear" w:color="auto" w:fill="auto"/>
            <w:vAlign w:val="center"/>
          </w:tcPr>
          <w:p w14:paraId="0B8D4FBF">
            <w:pPr>
              <w:pStyle w:val="180"/>
            </w:pPr>
            <w:r>
              <w:t>×</w:t>
            </w:r>
          </w:p>
        </w:tc>
        <w:tc>
          <w:tcPr>
            <w:tcW w:w="1334" w:type="dxa"/>
            <w:shd w:val="clear" w:color="auto" w:fill="auto"/>
            <w:vAlign w:val="center"/>
          </w:tcPr>
          <w:p w14:paraId="4739190B">
            <w:pPr>
              <w:pStyle w:val="180"/>
            </w:pPr>
            <w:r>
              <w:t>×</w:t>
            </w:r>
          </w:p>
        </w:tc>
        <w:tc>
          <w:tcPr>
            <w:tcW w:w="1334" w:type="dxa"/>
            <w:shd w:val="clear" w:color="auto" w:fill="auto"/>
            <w:vAlign w:val="center"/>
          </w:tcPr>
          <w:p w14:paraId="74829FD9">
            <w:pPr>
              <w:pStyle w:val="180"/>
            </w:pPr>
            <w:r>
              <w:t>√</w:t>
            </w:r>
          </w:p>
        </w:tc>
        <w:tc>
          <w:tcPr>
            <w:tcW w:w="1334" w:type="dxa"/>
            <w:shd w:val="clear" w:color="auto" w:fill="auto"/>
            <w:vAlign w:val="center"/>
          </w:tcPr>
          <w:p w14:paraId="523B3467">
            <w:pPr>
              <w:pStyle w:val="180"/>
            </w:pPr>
            <w:r>
              <w:t>×</w:t>
            </w:r>
          </w:p>
        </w:tc>
      </w:tr>
      <w:tr w14:paraId="0D627A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3A384175">
            <w:pPr>
              <w:pStyle w:val="180"/>
            </w:pPr>
          </w:p>
        </w:tc>
        <w:tc>
          <w:tcPr>
            <w:tcW w:w="1682" w:type="dxa"/>
            <w:shd w:val="clear" w:color="auto" w:fill="auto"/>
            <w:vAlign w:val="center"/>
          </w:tcPr>
          <w:p w14:paraId="1B34008B">
            <w:pPr>
              <w:pStyle w:val="180"/>
            </w:pPr>
            <w:r>
              <w:t>生物质能供给</w:t>
            </w:r>
          </w:p>
        </w:tc>
        <w:tc>
          <w:tcPr>
            <w:tcW w:w="1333" w:type="dxa"/>
            <w:shd w:val="clear" w:color="auto" w:fill="auto"/>
            <w:vAlign w:val="center"/>
          </w:tcPr>
          <w:p w14:paraId="3505A293">
            <w:pPr>
              <w:pStyle w:val="180"/>
            </w:pPr>
            <w:r>
              <w:t>√</w:t>
            </w:r>
          </w:p>
        </w:tc>
        <w:tc>
          <w:tcPr>
            <w:tcW w:w="1334" w:type="dxa"/>
            <w:shd w:val="clear" w:color="auto" w:fill="auto"/>
            <w:vAlign w:val="center"/>
          </w:tcPr>
          <w:p w14:paraId="343A9F38">
            <w:pPr>
              <w:pStyle w:val="180"/>
            </w:pPr>
            <w:r>
              <w:t>√</w:t>
            </w:r>
          </w:p>
        </w:tc>
        <w:tc>
          <w:tcPr>
            <w:tcW w:w="1334" w:type="dxa"/>
            <w:shd w:val="clear" w:color="auto" w:fill="auto"/>
            <w:vAlign w:val="center"/>
          </w:tcPr>
          <w:p w14:paraId="47FAFB90">
            <w:pPr>
              <w:pStyle w:val="180"/>
            </w:pPr>
            <w:r>
              <w:t>√</w:t>
            </w:r>
          </w:p>
        </w:tc>
        <w:tc>
          <w:tcPr>
            <w:tcW w:w="1334" w:type="dxa"/>
            <w:shd w:val="clear" w:color="auto" w:fill="auto"/>
            <w:vAlign w:val="center"/>
          </w:tcPr>
          <w:p w14:paraId="0291A373">
            <w:pPr>
              <w:pStyle w:val="180"/>
            </w:pPr>
            <w:r>
              <w:t>√</w:t>
            </w:r>
          </w:p>
        </w:tc>
        <w:tc>
          <w:tcPr>
            <w:tcW w:w="1334" w:type="dxa"/>
            <w:shd w:val="clear" w:color="auto" w:fill="auto"/>
            <w:vAlign w:val="center"/>
          </w:tcPr>
          <w:p w14:paraId="283827FA">
            <w:pPr>
              <w:pStyle w:val="180"/>
            </w:pPr>
            <w:r>
              <w:t>×</w:t>
            </w:r>
          </w:p>
        </w:tc>
      </w:tr>
      <w:tr w14:paraId="33565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shd w:val="clear" w:color="auto" w:fill="auto"/>
            <w:vAlign w:val="center"/>
          </w:tcPr>
          <w:p w14:paraId="15FB2D66">
            <w:pPr>
              <w:pStyle w:val="180"/>
            </w:pPr>
            <w:r>
              <w:t>调节服务</w:t>
            </w:r>
          </w:p>
        </w:tc>
        <w:tc>
          <w:tcPr>
            <w:tcW w:w="1682" w:type="dxa"/>
            <w:shd w:val="clear" w:color="auto" w:fill="auto"/>
            <w:vAlign w:val="center"/>
          </w:tcPr>
          <w:p w14:paraId="60096FD4">
            <w:pPr>
              <w:pStyle w:val="180"/>
            </w:pPr>
            <w:r>
              <w:t>水源涵养</w:t>
            </w:r>
          </w:p>
        </w:tc>
        <w:tc>
          <w:tcPr>
            <w:tcW w:w="1333" w:type="dxa"/>
            <w:shd w:val="clear" w:color="auto" w:fill="auto"/>
            <w:vAlign w:val="center"/>
          </w:tcPr>
          <w:p w14:paraId="651406AF">
            <w:pPr>
              <w:pStyle w:val="180"/>
            </w:pPr>
            <w:r>
              <w:t>√</w:t>
            </w:r>
          </w:p>
        </w:tc>
        <w:tc>
          <w:tcPr>
            <w:tcW w:w="1334" w:type="dxa"/>
            <w:shd w:val="clear" w:color="auto" w:fill="auto"/>
            <w:vAlign w:val="center"/>
          </w:tcPr>
          <w:p w14:paraId="4C514C47">
            <w:pPr>
              <w:pStyle w:val="180"/>
            </w:pPr>
            <w:r>
              <w:t>√</w:t>
            </w:r>
          </w:p>
        </w:tc>
        <w:tc>
          <w:tcPr>
            <w:tcW w:w="1334" w:type="dxa"/>
            <w:shd w:val="clear" w:color="auto" w:fill="auto"/>
            <w:vAlign w:val="center"/>
          </w:tcPr>
          <w:p w14:paraId="65E81E6D">
            <w:pPr>
              <w:pStyle w:val="180"/>
            </w:pPr>
            <w:r>
              <w:t>√</w:t>
            </w:r>
          </w:p>
        </w:tc>
        <w:tc>
          <w:tcPr>
            <w:tcW w:w="1334" w:type="dxa"/>
            <w:shd w:val="clear" w:color="auto" w:fill="auto"/>
            <w:vAlign w:val="center"/>
          </w:tcPr>
          <w:p w14:paraId="14E42540">
            <w:pPr>
              <w:pStyle w:val="180"/>
            </w:pPr>
            <w:r>
              <w:t>√</w:t>
            </w:r>
          </w:p>
        </w:tc>
        <w:tc>
          <w:tcPr>
            <w:tcW w:w="1334" w:type="dxa"/>
            <w:shd w:val="clear" w:color="auto" w:fill="auto"/>
            <w:vAlign w:val="center"/>
          </w:tcPr>
          <w:p w14:paraId="0F75C013">
            <w:pPr>
              <w:pStyle w:val="180"/>
            </w:pPr>
            <w:r>
              <w:t>√</w:t>
            </w:r>
          </w:p>
        </w:tc>
      </w:tr>
      <w:tr w14:paraId="086181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12974193">
            <w:pPr>
              <w:pStyle w:val="180"/>
            </w:pPr>
          </w:p>
        </w:tc>
        <w:tc>
          <w:tcPr>
            <w:tcW w:w="1682" w:type="dxa"/>
            <w:shd w:val="clear" w:color="auto" w:fill="auto"/>
            <w:vAlign w:val="center"/>
          </w:tcPr>
          <w:p w14:paraId="4FBB61FE">
            <w:pPr>
              <w:pStyle w:val="180"/>
            </w:pPr>
            <w:r>
              <w:t>土壤保持</w:t>
            </w:r>
          </w:p>
        </w:tc>
        <w:tc>
          <w:tcPr>
            <w:tcW w:w="1333" w:type="dxa"/>
            <w:shd w:val="clear" w:color="auto" w:fill="auto"/>
            <w:vAlign w:val="center"/>
          </w:tcPr>
          <w:p w14:paraId="62AB32F3">
            <w:pPr>
              <w:pStyle w:val="180"/>
            </w:pPr>
            <w:r>
              <w:t>√</w:t>
            </w:r>
          </w:p>
        </w:tc>
        <w:tc>
          <w:tcPr>
            <w:tcW w:w="1334" w:type="dxa"/>
            <w:shd w:val="clear" w:color="auto" w:fill="auto"/>
            <w:vAlign w:val="center"/>
          </w:tcPr>
          <w:p w14:paraId="5CCE80C6">
            <w:pPr>
              <w:pStyle w:val="180"/>
            </w:pPr>
            <w:r>
              <w:t>√</w:t>
            </w:r>
          </w:p>
        </w:tc>
        <w:tc>
          <w:tcPr>
            <w:tcW w:w="1334" w:type="dxa"/>
            <w:shd w:val="clear" w:color="auto" w:fill="auto"/>
            <w:vAlign w:val="center"/>
          </w:tcPr>
          <w:p w14:paraId="792F065D">
            <w:pPr>
              <w:pStyle w:val="180"/>
            </w:pPr>
            <w:r>
              <w:t>√</w:t>
            </w:r>
          </w:p>
        </w:tc>
        <w:tc>
          <w:tcPr>
            <w:tcW w:w="1334" w:type="dxa"/>
            <w:shd w:val="clear" w:color="auto" w:fill="auto"/>
            <w:vAlign w:val="center"/>
          </w:tcPr>
          <w:p w14:paraId="1C142735">
            <w:pPr>
              <w:pStyle w:val="180"/>
            </w:pPr>
            <w:r>
              <w:t>√</w:t>
            </w:r>
          </w:p>
        </w:tc>
        <w:tc>
          <w:tcPr>
            <w:tcW w:w="1334" w:type="dxa"/>
            <w:shd w:val="clear" w:color="auto" w:fill="auto"/>
            <w:vAlign w:val="center"/>
          </w:tcPr>
          <w:p w14:paraId="4C30D4D3">
            <w:pPr>
              <w:pStyle w:val="180"/>
            </w:pPr>
            <w:r>
              <w:t>√</w:t>
            </w:r>
          </w:p>
        </w:tc>
      </w:tr>
      <w:tr w14:paraId="3FF61B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7" w:hRule="atLeast"/>
          <w:jc w:val="center"/>
        </w:trPr>
        <w:tc>
          <w:tcPr>
            <w:tcW w:w="983" w:type="dxa"/>
            <w:vMerge w:val="continue"/>
            <w:shd w:val="clear" w:color="auto" w:fill="auto"/>
            <w:vAlign w:val="center"/>
          </w:tcPr>
          <w:p w14:paraId="1FBDD644">
            <w:pPr>
              <w:pStyle w:val="180"/>
            </w:pPr>
          </w:p>
        </w:tc>
        <w:tc>
          <w:tcPr>
            <w:tcW w:w="1682" w:type="dxa"/>
            <w:shd w:val="clear" w:color="auto" w:fill="auto"/>
            <w:vAlign w:val="center"/>
          </w:tcPr>
          <w:p w14:paraId="50D1B00A">
            <w:pPr>
              <w:pStyle w:val="180"/>
            </w:pPr>
            <w:r>
              <w:t>洪水调蓄</w:t>
            </w:r>
          </w:p>
        </w:tc>
        <w:tc>
          <w:tcPr>
            <w:tcW w:w="1333" w:type="dxa"/>
            <w:shd w:val="clear" w:color="auto" w:fill="auto"/>
            <w:vAlign w:val="center"/>
          </w:tcPr>
          <w:p w14:paraId="175B5876">
            <w:pPr>
              <w:pStyle w:val="180"/>
            </w:pPr>
            <w:r>
              <w:t>√</w:t>
            </w:r>
          </w:p>
        </w:tc>
        <w:tc>
          <w:tcPr>
            <w:tcW w:w="1334" w:type="dxa"/>
            <w:shd w:val="clear" w:color="auto" w:fill="auto"/>
            <w:vAlign w:val="center"/>
          </w:tcPr>
          <w:p w14:paraId="265D5EC4">
            <w:pPr>
              <w:pStyle w:val="180"/>
            </w:pPr>
            <w:r>
              <w:t>√</w:t>
            </w:r>
          </w:p>
        </w:tc>
        <w:tc>
          <w:tcPr>
            <w:tcW w:w="1334" w:type="dxa"/>
            <w:shd w:val="clear" w:color="auto" w:fill="auto"/>
            <w:vAlign w:val="center"/>
          </w:tcPr>
          <w:p w14:paraId="67094C02">
            <w:pPr>
              <w:pStyle w:val="180"/>
            </w:pPr>
            <w:r>
              <w:t>√</w:t>
            </w:r>
          </w:p>
        </w:tc>
        <w:tc>
          <w:tcPr>
            <w:tcW w:w="1334" w:type="dxa"/>
            <w:shd w:val="clear" w:color="auto" w:fill="auto"/>
            <w:vAlign w:val="center"/>
          </w:tcPr>
          <w:p w14:paraId="6AB5DB84">
            <w:pPr>
              <w:pStyle w:val="180"/>
            </w:pPr>
            <w:r>
              <w:t>√</w:t>
            </w:r>
          </w:p>
        </w:tc>
        <w:tc>
          <w:tcPr>
            <w:tcW w:w="1334" w:type="dxa"/>
            <w:shd w:val="clear" w:color="auto" w:fill="auto"/>
            <w:vAlign w:val="center"/>
          </w:tcPr>
          <w:p w14:paraId="5DB33B48">
            <w:pPr>
              <w:pStyle w:val="180"/>
            </w:pPr>
            <w:r>
              <w:t>√</w:t>
            </w:r>
          </w:p>
        </w:tc>
      </w:tr>
      <w:tr w14:paraId="557A4E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5F82A3F4">
            <w:pPr>
              <w:pStyle w:val="180"/>
            </w:pPr>
          </w:p>
        </w:tc>
        <w:tc>
          <w:tcPr>
            <w:tcW w:w="1682" w:type="dxa"/>
            <w:shd w:val="clear" w:color="auto" w:fill="auto"/>
            <w:vAlign w:val="center"/>
          </w:tcPr>
          <w:p w14:paraId="31D8A3F4">
            <w:pPr>
              <w:pStyle w:val="180"/>
            </w:pPr>
            <w:r>
              <w:t>空气净化</w:t>
            </w:r>
          </w:p>
        </w:tc>
        <w:tc>
          <w:tcPr>
            <w:tcW w:w="1333" w:type="dxa"/>
            <w:shd w:val="clear" w:color="auto" w:fill="auto"/>
            <w:vAlign w:val="center"/>
          </w:tcPr>
          <w:p w14:paraId="5F169916">
            <w:pPr>
              <w:pStyle w:val="180"/>
            </w:pPr>
            <w:r>
              <w:t>√</w:t>
            </w:r>
          </w:p>
        </w:tc>
        <w:tc>
          <w:tcPr>
            <w:tcW w:w="1334" w:type="dxa"/>
            <w:shd w:val="clear" w:color="auto" w:fill="auto"/>
            <w:vAlign w:val="center"/>
          </w:tcPr>
          <w:p w14:paraId="00FBCBD8">
            <w:pPr>
              <w:pStyle w:val="180"/>
            </w:pPr>
            <w:r>
              <w:t>√</w:t>
            </w:r>
          </w:p>
        </w:tc>
        <w:tc>
          <w:tcPr>
            <w:tcW w:w="1334" w:type="dxa"/>
            <w:shd w:val="clear" w:color="auto" w:fill="auto"/>
            <w:vAlign w:val="center"/>
          </w:tcPr>
          <w:p w14:paraId="56C7D1B1">
            <w:pPr>
              <w:pStyle w:val="180"/>
            </w:pPr>
            <w:r>
              <w:t>√</w:t>
            </w:r>
          </w:p>
        </w:tc>
        <w:tc>
          <w:tcPr>
            <w:tcW w:w="1334" w:type="dxa"/>
            <w:shd w:val="clear" w:color="auto" w:fill="auto"/>
            <w:vAlign w:val="center"/>
          </w:tcPr>
          <w:p w14:paraId="4AC4644B">
            <w:pPr>
              <w:pStyle w:val="180"/>
            </w:pPr>
            <w:r>
              <w:t>√</w:t>
            </w:r>
          </w:p>
        </w:tc>
        <w:tc>
          <w:tcPr>
            <w:tcW w:w="1334" w:type="dxa"/>
            <w:shd w:val="clear" w:color="auto" w:fill="auto"/>
            <w:vAlign w:val="center"/>
          </w:tcPr>
          <w:p w14:paraId="6B487340">
            <w:pPr>
              <w:pStyle w:val="180"/>
            </w:pPr>
            <w:r>
              <w:t>√</w:t>
            </w:r>
          </w:p>
        </w:tc>
      </w:tr>
      <w:tr w14:paraId="70276B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5024F54E">
            <w:pPr>
              <w:pStyle w:val="180"/>
            </w:pPr>
          </w:p>
        </w:tc>
        <w:tc>
          <w:tcPr>
            <w:tcW w:w="1682" w:type="dxa"/>
            <w:shd w:val="clear" w:color="auto" w:fill="auto"/>
            <w:vAlign w:val="center"/>
          </w:tcPr>
          <w:p w14:paraId="34E38901">
            <w:pPr>
              <w:pStyle w:val="180"/>
            </w:pPr>
            <w:r>
              <w:t>水质净化</w:t>
            </w:r>
          </w:p>
        </w:tc>
        <w:tc>
          <w:tcPr>
            <w:tcW w:w="1333" w:type="dxa"/>
            <w:shd w:val="clear" w:color="auto" w:fill="auto"/>
            <w:vAlign w:val="center"/>
          </w:tcPr>
          <w:p w14:paraId="180BB2C6">
            <w:pPr>
              <w:pStyle w:val="180"/>
            </w:pPr>
            <w:r>
              <w:t>×</w:t>
            </w:r>
          </w:p>
        </w:tc>
        <w:tc>
          <w:tcPr>
            <w:tcW w:w="1334" w:type="dxa"/>
            <w:shd w:val="clear" w:color="auto" w:fill="auto"/>
            <w:vAlign w:val="center"/>
          </w:tcPr>
          <w:p w14:paraId="13D60D61">
            <w:pPr>
              <w:pStyle w:val="180"/>
            </w:pPr>
            <w:r>
              <w:t>×</w:t>
            </w:r>
          </w:p>
        </w:tc>
        <w:tc>
          <w:tcPr>
            <w:tcW w:w="1334" w:type="dxa"/>
            <w:shd w:val="clear" w:color="auto" w:fill="auto"/>
            <w:vAlign w:val="center"/>
          </w:tcPr>
          <w:p w14:paraId="15CC059A">
            <w:pPr>
              <w:pStyle w:val="180"/>
            </w:pPr>
            <w:r>
              <w:t>×</w:t>
            </w:r>
          </w:p>
        </w:tc>
        <w:tc>
          <w:tcPr>
            <w:tcW w:w="1334" w:type="dxa"/>
            <w:shd w:val="clear" w:color="auto" w:fill="auto"/>
            <w:vAlign w:val="center"/>
          </w:tcPr>
          <w:p w14:paraId="4EFFA3BC">
            <w:pPr>
              <w:pStyle w:val="180"/>
            </w:pPr>
            <w:r>
              <w:t>√</w:t>
            </w:r>
          </w:p>
        </w:tc>
        <w:tc>
          <w:tcPr>
            <w:tcW w:w="1334" w:type="dxa"/>
            <w:shd w:val="clear" w:color="auto" w:fill="auto"/>
            <w:vAlign w:val="center"/>
          </w:tcPr>
          <w:p w14:paraId="40394561">
            <w:pPr>
              <w:pStyle w:val="180"/>
            </w:pPr>
            <w:r>
              <w:t>√</w:t>
            </w:r>
          </w:p>
        </w:tc>
      </w:tr>
      <w:tr w14:paraId="32F1EE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3346E454">
            <w:pPr>
              <w:pStyle w:val="180"/>
            </w:pPr>
          </w:p>
        </w:tc>
        <w:tc>
          <w:tcPr>
            <w:tcW w:w="1682" w:type="dxa"/>
            <w:shd w:val="clear" w:color="auto" w:fill="auto"/>
            <w:vAlign w:val="center"/>
          </w:tcPr>
          <w:p w14:paraId="41B23BAA">
            <w:pPr>
              <w:pStyle w:val="180"/>
            </w:pPr>
            <w:r>
              <w:t>固碳</w:t>
            </w:r>
          </w:p>
        </w:tc>
        <w:tc>
          <w:tcPr>
            <w:tcW w:w="1333" w:type="dxa"/>
            <w:shd w:val="clear" w:color="auto" w:fill="auto"/>
            <w:vAlign w:val="center"/>
          </w:tcPr>
          <w:p w14:paraId="6DA7B7BB">
            <w:pPr>
              <w:pStyle w:val="180"/>
            </w:pPr>
            <w:r>
              <w:t>√</w:t>
            </w:r>
          </w:p>
        </w:tc>
        <w:tc>
          <w:tcPr>
            <w:tcW w:w="1334" w:type="dxa"/>
            <w:shd w:val="clear" w:color="auto" w:fill="auto"/>
            <w:vAlign w:val="center"/>
          </w:tcPr>
          <w:p w14:paraId="56406C01">
            <w:pPr>
              <w:pStyle w:val="180"/>
            </w:pPr>
            <w:r>
              <w:t>√</w:t>
            </w:r>
          </w:p>
        </w:tc>
        <w:tc>
          <w:tcPr>
            <w:tcW w:w="1334" w:type="dxa"/>
            <w:shd w:val="clear" w:color="auto" w:fill="auto"/>
            <w:vAlign w:val="center"/>
          </w:tcPr>
          <w:p w14:paraId="007C51F0">
            <w:pPr>
              <w:pStyle w:val="180"/>
            </w:pPr>
            <w:r>
              <w:t>√</w:t>
            </w:r>
          </w:p>
        </w:tc>
        <w:tc>
          <w:tcPr>
            <w:tcW w:w="1334" w:type="dxa"/>
            <w:shd w:val="clear" w:color="auto" w:fill="auto"/>
            <w:vAlign w:val="center"/>
          </w:tcPr>
          <w:p w14:paraId="3C60030F">
            <w:pPr>
              <w:pStyle w:val="180"/>
            </w:pPr>
            <w:r>
              <w:t>√</w:t>
            </w:r>
          </w:p>
        </w:tc>
        <w:tc>
          <w:tcPr>
            <w:tcW w:w="1334" w:type="dxa"/>
            <w:shd w:val="clear" w:color="auto" w:fill="auto"/>
            <w:vAlign w:val="center"/>
          </w:tcPr>
          <w:p w14:paraId="4A6229FF">
            <w:pPr>
              <w:pStyle w:val="180"/>
            </w:pPr>
            <w:r>
              <w:t>√</w:t>
            </w:r>
          </w:p>
        </w:tc>
      </w:tr>
      <w:tr w14:paraId="5CD01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06662660">
            <w:pPr>
              <w:pStyle w:val="180"/>
            </w:pPr>
          </w:p>
        </w:tc>
        <w:tc>
          <w:tcPr>
            <w:tcW w:w="1682" w:type="dxa"/>
            <w:shd w:val="clear" w:color="auto" w:fill="auto"/>
            <w:vAlign w:val="center"/>
          </w:tcPr>
          <w:p w14:paraId="17DAF54A">
            <w:pPr>
              <w:pStyle w:val="180"/>
            </w:pPr>
            <w:r>
              <w:t>释氧</w:t>
            </w:r>
          </w:p>
        </w:tc>
        <w:tc>
          <w:tcPr>
            <w:tcW w:w="1333" w:type="dxa"/>
            <w:shd w:val="clear" w:color="auto" w:fill="auto"/>
            <w:vAlign w:val="center"/>
          </w:tcPr>
          <w:p w14:paraId="4600C524">
            <w:pPr>
              <w:pStyle w:val="180"/>
            </w:pPr>
            <w:r>
              <w:t>√</w:t>
            </w:r>
          </w:p>
        </w:tc>
        <w:tc>
          <w:tcPr>
            <w:tcW w:w="1334" w:type="dxa"/>
            <w:shd w:val="clear" w:color="auto" w:fill="auto"/>
            <w:vAlign w:val="center"/>
          </w:tcPr>
          <w:p w14:paraId="2697C4D4">
            <w:pPr>
              <w:pStyle w:val="180"/>
            </w:pPr>
            <w:r>
              <w:t>√</w:t>
            </w:r>
          </w:p>
        </w:tc>
        <w:tc>
          <w:tcPr>
            <w:tcW w:w="1334" w:type="dxa"/>
            <w:shd w:val="clear" w:color="auto" w:fill="auto"/>
            <w:vAlign w:val="center"/>
          </w:tcPr>
          <w:p w14:paraId="2766CF2F">
            <w:pPr>
              <w:pStyle w:val="180"/>
            </w:pPr>
            <w:r>
              <w:t>√</w:t>
            </w:r>
          </w:p>
        </w:tc>
        <w:tc>
          <w:tcPr>
            <w:tcW w:w="1334" w:type="dxa"/>
            <w:shd w:val="clear" w:color="auto" w:fill="auto"/>
            <w:vAlign w:val="center"/>
          </w:tcPr>
          <w:p w14:paraId="2E271392">
            <w:pPr>
              <w:pStyle w:val="180"/>
            </w:pPr>
            <w:r>
              <w:t>√</w:t>
            </w:r>
          </w:p>
        </w:tc>
        <w:tc>
          <w:tcPr>
            <w:tcW w:w="1334" w:type="dxa"/>
            <w:shd w:val="clear" w:color="auto" w:fill="auto"/>
            <w:vAlign w:val="center"/>
          </w:tcPr>
          <w:p w14:paraId="2C26852F">
            <w:pPr>
              <w:pStyle w:val="180"/>
            </w:pPr>
            <w:r>
              <w:t>√</w:t>
            </w:r>
          </w:p>
        </w:tc>
      </w:tr>
      <w:tr w14:paraId="5A39E1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36335769">
            <w:pPr>
              <w:pStyle w:val="180"/>
            </w:pPr>
          </w:p>
        </w:tc>
        <w:tc>
          <w:tcPr>
            <w:tcW w:w="1682" w:type="dxa"/>
            <w:shd w:val="clear" w:color="auto" w:fill="auto"/>
            <w:vAlign w:val="center"/>
          </w:tcPr>
          <w:p w14:paraId="6AAD2F55">
            <w:pPr>
              <w:pStyle w:val="180"/>
            </w:pPr>
            <w:r>
              <w:t>局部气候调节</w:t>
            </w:r>
          </w:p>
        </w:tc>
        <w:tc>
          <w:tcPr>
            <w:tcW w:w="1333" w:type="dxa"/>
            <w:shd w:val="clear" w:color="auto" w:fill="auto"/>
            <w:vAlign w:val="center"/>
          </w:tcPr>
          <w:p w14:paraId="10FDC811">
            <w:pPr>
              <w:pStyle w:val="180"/>
            </w:pPr>
            <w:r>
              <w:t>√</w:t>
            </w:r>
          </w:p>
        </w:tc>
        <w:tc>
          <w:tcPr>
            <w:tcW w:w="1334" w:type="dxa"/>
            <w:shd w:val="clear" w:color="auto" w:fill="auto"/>
            <w:vAlign w:val="center"/>
          </w:tcPr>
          <w:p w14:paraId="72F0F523">
            <w:pPr>
              <w:pStyle w:val="180"/>
            </w:pPr>
            <w:r>
              <w:t>√</w:t>
            </w:r>
          </w:p>
        </w:tc>
        <w:tc>
          <w:tcPr>
            <w:tcW w:w="1334" w:type="dxa"/>
            <w:shd w:val="clear" w:color="auto" w:fill="auto"/>
            <w:vAlign w:val="center"/>
          </w:tcPr>
          <w:p w14:paraId="20F92C10">
            <w:pPr>
              <w:pStyle w:val="180"/>
            </w:pPr>
            <w:r>
              <w:t>√</w:t>
            </w:r>
          </w:p>
        </w:tc>
        <w:tc>
          <w:tcPr>
            <w:tcW w:w="1334" w:type="dxa"/>
            <w:shd w:val="clear" w:color="auto" w:fill="auto"/>
            <w:vAlign w:val="center"/>
          </w:tcPr>
          <w:p w14:paraId="121C2E78">
            <w:pPr>
              <w:pStyle w:val="180"/>
            </w:pPr>
            <w:r>
              <w:t>√</w:t>
            </w:r>
          </w:p>
        </w:tc>
        <w:tc>
          <w:tcPr>
            <w:tcW w:w="1334" w:type="dxa"/>
            <w:shd w:val="clear" w:color="auto" w:fill="auto"/>
            <w:vAlign w:val="center"/>
          </w:tcPr>
          <w:p w14:paraId="5E2F5E1A">
            <w:pPr>
              <w:pStyle w:val="180"/>
            </w:pPr>
            <w:r>
              <w:t>√</w:t>
            </w:r>
          </w:p>
        </w:tc>
      </w:tr>
      <w:tr w14:paraId="38185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7982BA2C">
            <w:pPr>
              <w:pStyle w:val="180"/>
            </w:pPr>
          </w:p>
        </w:tc>
        <w:tc>
          <w:tcPr>
            <w:tcW w:w="1682" w:type="dxa"/>
            <w:shd w:val="clear" w:color="auto" w:fill="auto"/>
            <w:vAlign w:val="center"/>
          </w:tcPr>
          <w:p w14:paraId="272D2219">
            <w:pPr>
              <w:pStyle w:val="180"/>
            </w:pPr>
            <w:r>
              <w:t>噪声消减</w:t>
            </w:r>
          </w:p>
        </w:tc>
        <w:tc>
          <w:tcPr>
            <w:tcW w:w="1333" w:type="dxa"/>
            <w:shd w:val="clear" w:color="auto" w:fill="auto"/>
            <w:vAlign w:val="center"/>
          </w:tcPr>
          <w:p w14:paraId="0981D328">
            <w:pPr>
              <w:pStyle w:val="180"/>
            </w:pPr>
            <w:r>
              <w:t>×</w:t>
            </w:r>
          </w:p>
        </w:tc>
        <w:tc>
          <w:tcPr>
            <w:tcW w:w="1334" w:type="dxa"/>
            <w:shd w:val="clear" w:color="auto" w:fill="auto"/>
            <w:vAlign w:val="center"/>
          </w:tcPr>
          <w:p w14:paraId="548E503D">
            <w:pPr>
              <w:pStyle w:val="180"/>
            </w:pPr>
            <w:r>
              <w:t>×</w:t>
            </w:r>
          </w:p>
        </w:tc>
        <w:tc>
          <w:tcPr>
            <w:tcW w:w="1334" w:type="dxa"/>
            <w:shd w:val="clear" w:color="auto" w:fill="auto"/>
            <w:vAlign w:val="center"/>
          </w:tcPr>
          <w:p w14:paraId="72A92287">
            <w:pPr>
              <w:pStyle w:val="180"/>
            </w:pPr>
            <w:r>
              <w:t>×</w:t>
            </w:r>
          </w:p>
        </w:tc>
        <w:tc>
          <w:tcPr>
            <w:tcW w:w="1334" w:type="dxa"/>
            <w:shd w:val="clear" w:color="auto" w:fill="auto"/>
            <w:vAlign w:val="center"/>
          </w:tcPr>
          <w:p w14:paraId="5D9E843C">
            <w:pPr>
              <w:pStyle w:val="180"/>
            </w:pPr>
            <w:r>
              <w:t>×</w:t>
            </w:r>
          </w:p>
        </w:tc>
        <w:tc>
          <w:tcPr>
            <w:tcW w:w="1334" w:type="dxa"/>
            <w:shd w:val="clear" w:color="auto" w:fill="auto"/>
            <w:vAlign w:val="center"/>
          </w:tcPr>
          <w:p w14:paraId="2543E0EB">
            <w:pPr>
              <w:pStyle w:val="180"/>
            </w:pPr>
            <w:r>
              <w:t>√</w:t>
            </w:r>
          </w:p>
        </w:tc>
      </w:tr>
      <w:tr w14:paraId="2E396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shd w:val="clear" w:color="auto" w:fill="auto"/>
            <w:vAlign w:val="center"/>
          </w:tcPr>
          <w:p w14:paraId="19213FCE">
            <w:pPr>
              <w:pStyle w:val="180"/>
            </w:pPr>
            <w:r>
              <w:t>文化服务</w:t>
            </w:r>
          </w:p>
        </w:tc>
        <w:tc>
          <w:tcPr>
            <w:tcW w:w="1682" w:type="dxa"/>
            <w:shd w:val="clear" w:color="auto" w:fill="auto"/>
            <w:vAlign w:val="center"/>
          </w:tcPr>
          <w:p w14:paraId="2B99875F">
            <w:pPr>
              <w:pStyle w:val="180"/>
            </w:pPr>
            <w:r>
              <w:t>旅游康养</w:t>
            </w:r>
          </w:p>
        </w:tc>
        <w:tc>
          <w:tcPr>
            <w:tcW w:w="1333" w:type="dxa"/>
            <w:shd w:val="clear" w:color="auto" w:fill="auto"/>
            <w:vAlign w:val="center"/>
          </w:tcPr>
          <w:p w14:paraId="3BEB1091">
            <w:pPr>
              <w:pStyle w:val="180"/>
            </w:pPr>
            <w:r>
              <w:t>√</w:t>
            </w:r>
          </w:p>
        </w:tc>
        <w:tc>
          <w:tcPr>
            <w:tcW w:w="1334" w:type="dxa"/>
            <w:shd w:val="clear" w:color="auto" w:fill="auto"/>
            <w:vAlign w:val="center"/>
          </w:tcPr>
          <w:p w14:paraId="43E76856">
            <w:pPr>
              <w:pStyle w:val="180"/>
            </w:pPr>
            <w:r>
              <w:t>√</w:t>
            </w:r>
          </w:p>
        </w:tc>
        <w:tc>
          <w:tcPr>
            <w:tcW w:w="1334" w:type="dxa"/>
            <w:shd w:val="clear" w:color="auto" w:fill="auto"/>
            <w:vAlign w:val="center"/>
          </w:tcPr>
          <w:p w14:paraId="1F9A8708">
            <w:pPr>
              <w:pStyle w:val="180"/>
            </w:pPr>
            <w:r>
              <w:t>√</w:t>
            </w:r>
          </w:p>
        </w:tc>
        <w:tc>
          <w:tcPr>
            <w:tcW w:w="1334" w:type="dxa"/>
            <w:shd w:val="clear" w:color="auto" w:fill="auto"/>
            <w:vAlign w:val="center"/>
          </w:tcPr>
          <w:p w14:paraId="063B04F1">
            <w:pPr>
              <w:pStyle w:val="180"/>
            </w:pPr>
            <w:r>
              <w:t>√</w:t>
            </w:r>
          </w:p>
        </w:tc>
        <w:tc>
          <w:tcPr>
            <w:tcW w:w="1334" w:type="dxa"/>
            <w:shd w:val="clear" w:color="auto" w:fill="auto"/>
            <w:vAlign w:val="center"/>
          </w:tcPr>
          <w:p w14:paraId="21394C86">
            <w:pPr>
              <w:pStyle w:val="180"/>
            </w:pPr>
            <w:r>
              <w:t>√</w:t>
            </w:r>
          </w:p>
        </w:tc>
      </w:tr>
      <w:tr w14:paraId="357A1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6A7C476F">
            <w:pPr>
              <w:pStyle w:val="180"/>
            </w:pPr>
          </w:p>
        </w:tc>
        <w:tc>
          <w:tcPr>
            <w:tcW w:w="1682" w:type="dxa"/>
            <w:shd w:val="clear" w:color="auto" w:fill="auto"/>
            <w:vAlign w:val="center"/>
          </w:tcPr>
          <w:p w14:paraId="3CCD6104">
            <w:pPr>
              <w:pStyle w:val="180"/>
            </w:pPr>
            <w:r>
              <w:t>休闲游憩</w:t>
            </w:r>
          </w:p>
        </w:tc>
        <w:tc>
          <w:tcPr>
            <w:tcW w:w="1333" w:type="dxa"/>
            <w:shd w:val="clear" w:color="auto" w:fill="auto"/>
            <w:vAlign w:val="center"/>
          </w:tcPr>
          <w:p w14:paraId="2E0F9B50">
            <w:pPr>
              <w:pStyle w:val="180"/>
            </w:pPr>
            <w:r>
              <w:t>×</w:t>
            </w:r>
          </w:p>
        </w:tc>
        <w:tc>
          <w:tcPr>
            <w:tcW w:w="1334" w:type="dxa"/>
            <w:shd w:val="clear" w:color="auto" w:fill="auto"/>
            <w:vAlign w:val="center"/>
          </w:tcPr>
          <w:p w14:paraId="27C62322">
            <w:pPr>
              <w:pStyle w:val="180"/>
            </w:pPr>
            <w:r>
              <w:t>×</w:t>
            </w:r>
          </w:p>
        </w:tc>
        <w:tc>
          <w:tcPr>
            <w:tcW w:w="1334" w:type="dxa"/>
            <w:shd w:val="clear" w:color="auto" w:fill="auto"/>
            <w:vAlign w:val="center"/>
          </w:tcPr>
          <w:p w14:paraId="773E855F">
            <w:pPr>
              <w:pStyle w:val="180"/>
            </w:pPr>
            <w:r>
              <w:t>×</w:t>
            </w:r>
          </w:p>
        </w:tc>
        <w:tc>
          <w:tcPr>
            <w:tcW w:w="1334" w:type="dxa"/>
            <w:shd w:val="clear" w:color="auto" w:fill="auto"/>
            <w:vAlign w:val="center"/>
          </w:tcPr>
          <w:p w14:paraId="348F8C4B">
            <w:pPr>
              <w:pStyle w:val="180"/>
            </w:pPr>
            <w:r>
              <w:t>×</w:t>
            </w:r>
          </w:p>
        </w:tc>
        <w:tc>
          <w:tcPr>
            <w:tcW w:w="1334" w:type="dxa"/>
            <w:shd w:val="clear" w:color="auto" w:fill="auto"/>
            <w:vAlign w:val="center"/>
          </w:tcPr>
          <w:p w14:paraId="0205D99D">
            <w:pPr>
              <w:pStyle w:val="180"/>
            </w:pPr>
            <w:r>
              <w:t>√</w:t>
            </w:r>
          </w:p>
        </w:tc>
      </w:tr>
      <w:tr w14:paraId="577D1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bottom w:val="single" w:color="auto" w:sz="8" w:space="0"/>
            </w:tcBorders>
            <w:shd w:val="clear" w:color="auto" w:fill="auto"/>
            <w:vAlign w:val="center"/>
          </w:tcPr>
          <w:p w14:paraId="26DD0453">
            <w:pPr>
              <w:pStyle w:val="180"/>
            </w:pPr>
          </w:p>
        </w:tc>
        <w:tc>
          <w:tcPr>
            <w:tcW w:w="1682" w:type="dxa"/>
            <w:tcBorders>
              <w:bottom w:val="single" w:color="auto" w:sz="8" w:space="0"/>
            </w:tcBorders>
            <w:shd w:val="clear" w:color="auto" w:fill="auto"/>
            <w:vAlign w:val="center"/>
          </w:tcPr>
          <w:p w14:paraId="07FBBD19">
            <w:pPr>
              <w:pStyle w:val="180"/>
            </w:pPr>
            <w:r>
              <w:t>景观增值</w:t>
            </w:r>
          </w:p>
        </w:tc>
        <w:tc>
          <w:tcPr>
            <w:tcW w:w="1333" w:type="dxa"/>
            <w:tcBorders>
              <w:bottom w:val="single" w:color="auto" w:sz="8" w:space="0"/>
            </w:tcBorders>
            <w:shd w:val="clear" w:color="auto" w:fill="auto"/>
            <w:vAlign w:val="center"/>
          </w:tcPr>
          <w:p w14:paraId="5F920C7F">
            <w:pPr>
              <w:pStyle w:val="180"/>
            </w:pPr>
            <w:r>
              <w:t>×</w:t>
            </w:r>
          </w:p>
        </w:tc>
        <w:tc>
          <w:tcPr>
            <w:tcW w:w="1334" w:type="dxa"/>
            <w:tcBorders>
              <w:bottom w:val="single" w:color="auto" w:sz="8" w:space="0"/>
            </w:tcBorders>
            <w:shd w:val="clear" w:color="auto" w:fill="auto"/>
            <w:vAlign w:val="center"/>
          </w:tcPr>
          <w:p w14:paraId="00F6489F">
            <w:pPr>
              <w:pStyle w:val="180"/>
            </w:pPr>
            <w:r>
              <w:t>×</w:t>
            </w:r>
          </w:p>
        </w:tc>
        <w:tc>
          <w:tcPr>
            <w:tcW w:w="1334" w:type="dxa"/>
            <w:tcBorders>
              <w:bottom w:val="single" w:color="auto" w:sz="8" w:space="0"/>
            </w:tcBorders>
            <w:shd w:val="clear" w:color="auto" w:fill="auto"/>
            <w:vAlign w:val="center"/>
          </w:tcPr>
          <w:p w14:paraId="034C9F22">
            <w:pPr>
              <w:pStyle w:val="180"/>
            </w:pPr>
            <w:r>
              <w:t>×</w:t>
            </w:r>
          </w:p>
        </w:tc>
        <w:tc>
          <w:tcPr>
            <w:tcW w:w="1334" w:type="dxa"/>
            <w:tcBorders>
              <w:bottom w:val="single" w:color="auto" w:sz="8" w:space="0"/>
            </w:tcBorders>
            <w:shd w:val="clear" w:color="auto" w:fill="auto"/>
            <w:vAlign w:val="center"/>
          </w:tcPr>
          <w:p w14:paraId="2D8184A4">
            <w:pPr>
              <w:pStyle w:val="180"/>
            </w:pPr>
            <w:r>
              <w:t>×</w:t>
            </w:r>
          </w:p>
        </w:tc>
        <w:tc>
          <w:tcPr>
            <w:tcW w:w="1334" w:type="dxa"/>
            <w:tcBorders>
              <w:bottom w:val="single" w:color="auto" w:sz="8" w:space="0"/>
            </w:tcBorders>
            <w:shd w:val="clear" w:color="auto" w:fill="auto"/>
            <w:vAlign w:val="center"/>
          </w:tcPr>
          <w:p w14:paraId="5CCA49C6">
            <w:pPr>
              <w:pStyle w:val="180"/>
            </w:pPr>
            <w:r>
              <w:t>√</w:t>
            </w:r>
          </w:p>
        </w:tc>
      </w:tr>
      <w:tr w14:paraId="62BF1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7"/>
            <w:tcBorders>
              <w:top w:val="single" w:color="auto" w:sz="8" w:space="0"/>
              <w:bottom w:val="single" w:color="auto" w:sz="8" w:space="0"/>
            </w:tcBorders>
            <w:shd w:val="clear" w:color="auto" w:fill="auto"/>
            <w:vAlign w:val="center"/>
          </w:tcPr>
          <w:p w14:paraId="7542100B">
            <w:pPr>
              <w:pStyle w:val="103"/>
              <w:ind w:firstLine="360"/>
              <w:rPr>
                <w:rFonts w:hint="eastAsia"/>
              </w:rPr>
            </w:pPr>
            <w:r>
              <w:t>城市建成区范围。</w:t>
            </w:r>
          </w:p>
          <w:p w14:paraId="026E765A">
            <w:pPr>
              <w:pStyle w:val="103"/>
              <w:ind w:firstLine="360"/>
              <w:rPr>
                <w:rFonts w:hint="eastAsia"/>
              </w:rPr>
            </w:pPr>
            <w:r>
              <w:t>指达到或优于GB 3838规定的Ⅲ类标准的地表水资源产品，以及</w:t>
            </w:r>
            <w:bookmarkStart w:id="62" w:name="OLE_LINK2"/>
            <w:r>
              <w:t>达到或优于GB/T 14848规定的Ⅲ类标准的地下水资源产品</w:t>
            </w:r>
            <w:bookmarkEnd w:id="62"/>
            <w:r>
              <w:t>。</w:t>
            </w:r>
          </w:p>
        </w:tc>
      </w:tr>
    </w:tbl>
    <w:p w14:paraId="576FB592">
      <w:pPr>
        <w:pStyle w:val="58"/>
        <w:ind w:firstLine="0" w:firstLineChars="0"/>
        <w:rPr>
          <w:color w:val="FF0000"/>
        </w:rPr>
      </w:pPr>
    </w:p>
    <w:p w14:paraId="739583E5">
      <w:pPr>
        <w:pStyle w:val="67"/>
        <w:spacing w:before="156" w:after="156"/>
      </w:pPr>
      <w:r>
        <w:rPr>
          <w:rFonts w:hint="eastAsia"/>
        </w:rPr>
        <w:t>识别项目生态影响</w:t>
      </w:r>
    </w:p>
    <w:p w14:paraId="49F1CA92">
      <w:pPr>
        <w:pStyle w:val="58"/>
        <w:ind w:firstLine="392"/>
      </w:pPr>
      <w:r>
        <w:rPr>
          <w:spacing w:val="-7"/>
        </w:rPr>
        <w:t>应根据项目规划或实施内容和生态系统类型识别当前活动可能对区域资源、生态、环境所产生的影</w:t>
      </w:r>
      <w:r>
        <w:t>响，</w:t>
      </w:r>
      <w:r>
        <w:rPr>
          <w:rFonts w:hint="eastAsia"/>
        </w:rPr>
        <w:t>重点识别可市场化交易的产品，</w:t>
      </w:r>
      <w:r>
        <w:t>分析影响的性质、范围和程度，调整并确定评估空间范围及时间节点，确定基线情景与项目情景下</w:t>
      </w:r>
      <w:r>
        <w:rPr>
          <w:spacing w:val="-6"/>
        </w:rPr>
        <w:t>的生态产品组成。</w:t>
      </w:r>
    </w:p>
    <w:p w14:paraId="5BF52FE9">
      <w:pPr>
        <w:pStyle w:val="67"/>
        <w:spacing w:before="156" w:after="156"/>
      </w:pPr>
      <w:r>
        <w:rPr>
          <w:rFonts w:hint="eastAsia"/>
        </w:rPr>
        <w:t>编制生态产品清单</w:t>
      </w:r>
    </w:p>
    <w:p w14:paraId="683BD48F">
      <w:pPr>
        <w:pStyle w:val="58"/>
        <w:ind w:firstLine="420"/>
      </w:pPr>
      <w:r>
        <w:t>应根据生态影响识别结果</w:t>
      </w:r>
      <w:r>
        <w:rPr>
          <w:rFonts w:hint="eastAsia"/>
        </w:rPr>
        <w:t>，</w:t>
      </w:r>
      <w:r>
        <w:t>具体确定</w:t>
      </w:r>
      <w:r>
        <w:rPr>
          <w:rFonts w:hint="eastAsia"/>
        </w:rPr>
        <w:t>该</w:t>
      </w:r>
      <w:r>
        <w:t>特定地域单元内</w:t>
      </w:r>
      <w:r>
        <w:rPr>
          <w:rFonts w:hint="eastAsia"/>
        </w:rPr>
        <w:t>可市场化交易的</w:t>
      </w:r>
      <w:r>
        <w:t>生态产品种类，选择核算指标形成生态产品清</w:t>
      </w:r>
      <w:r>
        <w:rPr>
          <w:spacing w:val="-5"/>
        </w:rPr>
        <w:t>单。参考附录表</w:t>
      </w:r>
      <w:r>
        <w:rPr>
          <w:rFonts w:ascii="Times New Roman" w:eastAsia="Times New Roman"/>
        </w:rPr>
        <w:t>A.1</w:t>
      </w:r>
      <w:r>
        <w:rPr>
          <w:spacing w:val="-3"/>
        </w:rPr>
        <w:t>内容约束性指标一般项目均需核算，可选指标按项目生态影响和评估需求选择。</w:t>
      </w:r>
    </w:p>
    <w:p w14:paraId="5A5666C3">
      <w:pPr>
        <w:pStyle w:val="67"/>
        <w:spacing w:before="156" w:after="156"/>
      </w:pPr>
      <w:r>
        <w:rPr>
          <w:rFonts w:hint="eastAsia"/>
        </w:rPr>
        <w:t>数据资料收集</w:t>
      </w:r>
    </w:p>
    <w:p w14:paraId="3FB1277F">
      <w:pPr>
        <w:pStyle w:val="58"/>
        <w:ind w:firstLine="420"/>
      </w:pPr>
      <w:r>
        <w:t>应开展必要的数据资料收集与实地调查，收集和利用评估区域内已有的常规现状数据资料，进行数</w:t>
      </w:r>
      <w:r>
        <w:rPr>
          <w:spacing w:val="-5"/>
        </w:rPr>
        <w:t>据预处理以及参数本地化，具体数据采集与评估质量控制要求可参照</w:t>
      </w:r>
      <w:r>
        <w:rPr>
          <w:rFonts w:ascii="Times New Roman" w:eastAsia="Times New Roman"/>
        </w:rPr>
        <w:t>8.1</w:t>
      </w:r>
      <w:r>
        <w:rPr>
          <w:spacing w:val="-3"/>
        </w:rPr>
        <w:t>规定。</w:t>
      </w:r>
    </w:p>
    <w:p w14:paraId="0A45191E">
      <w:pPr>
        <w:pStyle w:val="67"/>
        <w:spacing w:before="156" w:after="156"/>
      </w:pPr>
      <w:r>
        <w:rPr>
          <w:rFonts w:hint="eastAsia"/>
        </w:rPr>
        <w:t>核算生态产品价值</w:t>
      </w:r>
    </w:p>
    <w:p w14:paraId="17E14F8B">
      <w:pPr>
        <w:pStyle w:val="58"/>
        <w:ind w:firstLine="420"/>
        <w:rPr>
          <w:color w:val="0000FF"/>
          <w:spacing w:val="-5"/>
        </w:rPr>
      </w:pPr>
      <w:r>
        <w:rPr>
          <w:color w:val="0000FF"/>
        </w:rPr>
        <w:t>应根据项目评估要求、实际数据情况以及核算指标体系确定核算技术方法及参数，选取更能反映生</w:t>
      </w:r>
      <w:r>
        <w:rPr>
          <w:color w:val="0000FF"/>
          <w:spacing w:val="-5"/>
        </w:rPr>
        <w:t>态产品</w:t>
      </w:r>
      <w:r>
        <w:rPr>
          <w:rFonts w:hint="eastAsia"/>
          <w:color w:val="0000FF"/>
          <w:spacing w:val="-5"/>
        </w:rPr>
        <w:t>能够市场化变现</w:t>
      </w:r>
      <w:r>
        <w:rPr>
          <w:color w:val="0000FF"/>
          <w:spacing w:val="-5"/>
        </w:rPr>
        <w:t>实物量与价值量的方法，完成评估区域生态产品价值核算。</w:t>
      </w:r>
    </w:p>
    <w:p w14:paraId="39B55173">
      <w:pPr>
        <w:pStyle w:val="67"/>
        <w:spacing w:before="156" w:after="156"/>
      </w:pPr>
      <w:r>
        <w:rPr>
          <w:rFonts w:hint="eastAsia"/>
        </w:rPr>
        <w:t>生态产品价值变化评估</w:t>
      </w:r>
    </w:p>
    <w:p w14:paraId="7C028D54">
      <w:pPr>
        <w:pStyle w:val="58"/>
        <w:ind w:firstLine="388"/>
        <w:rPr>
          <w:spacing w:val="-6"/>
        </w:rPr>
      </w:pPr>
      <w:r>
        <w:rPr>
          <w:spacing w:val="-8"/>
        </w:rPr>
        <w:t xml:space="preserve">应按项目评估需求适时补充收集现时生态系统类型分布等资料，开展区域变化监测，按第 </w:t>
      </w:r>
      <w:r>
        <w:rPr>
          <w:rFonts w:ascii="Times New Roman" w:eastAsia="Times New Roman"/>
        </w:rPr>
        <w:t xml:space="preserve">7 </w:t>
      </w:r>
      <w:r>
        <w:rPr>
          <w:spacing w:val="-2"/>
        </w:rPr>
        <w:t>章规定</w:t>
      </w:r>
      <w:r>
        <w:t>核算生态产品价值变化，整理评估基础及过程数据形成空间数据库，根据结果编制项目生态产品价值评</w:t>
      </w:r>
      <w:r>
        <w:rPr>
          <w:spacing w:val="-6"/>
        </w:rPr>
        <w:t>估报告。</w:t>
      </w:r>
    </w:p>
    <w:p w14:paraId="08F4C695">
      <w:pPr>
        <w:pStyle w:val="58"/>
        <w:ind w:firstLine="420"/>
        <w:jc w:val="center"/>
      </w:pPr>
      <w:r>
        <w:rPr>
          <w:rFonts w:hint="eastAsia"/>
        </w:rPr>
        <w:object>
          <v:shape id="_x0000_i1025" o:spt="75" type="#_x0000_t75" style="height:256.45pt;width:363pt;" o:ole="t" filled="f" o:preferrelative="t" stroked="f" coordsize="21600,21600">
            <v:path/>
            <v:fill on="f" focussize="0,0"/>
            <v:stroke on="f" joinstyle="miter"/>
            <v:imagedata r:id="rId21" o:title=""/>
            <o:lock v:ext="edit" aspectratio="t"/>
            <w10:wrap type="none"/>
            <w10:anchorlock/>
          </v:shape>
          <o:OLEObject Type="Embed" ProgID="Visio.Drawing.15" ShapeID="_x0000_i1025" DrawAspect="Content" ObjectID="_1468075725" r:id="rId20">
            <o:LockedField>false</o:LockedField>
          </o:OLEObject>
        </w:object>
      </w:r>
    </w:p>
    <w:p w14:paraId="3172E75F">
      <w:pPr>
        <w:pStyle w:val="116"/>
        <w:spacing w:before="156" w:after="156"/>
        <w:rPr>
          <w:rFonts w:ascii="Times New Roman"/>
        </w:rPr>
      </w:pPr>
      <w:r>
        <w:rPr>
          <w:rFonts w:hint="eastAsia" w:ascii="Times New Roman"/>
        </w:rPr>
        <w:t>特定地域</w:t>
      </w:r>
      <w:r>
        <w:rPr>
          <w:rFonts w:ascii="Times New Roman"/>
        </w:rPr>
        <w:t>生态产品</w:t>
      </w:r>
      <w:r>
        <w:rPr>
          <w:rFonts w:hint="eastAsia" w:ascii="Times New Roman"/>
        </w:rPr>
        <w:t>价值</w:t>
      </w:r>
      <w:r>
        <w:rPr>
          <w:rFonts w:ascii="Times New Roman"/>
        </w:rPr>
        <w:t>核算工作流程示意图</w:t>
      </w:r>
    </w:p>
    <w:p w14:paraId="2022E58E">
      <w:pPr>
        <w:pStyle w:val="106"/>
        <w:spacing w:before="312" w:after="312"/>
        <w:rPr>
          <w:sz w:val="27"/>
        </w:rPr>
      </w:pPr>
      <w:bookmarkStart w:id="63" w:name="_Toc203399059"/>
      <w:bookmarkStart w:id="64" w:name="_Toc203399455"/>
      <w:r>
        <w:rPr>
          <w:rFonts w:hint="eastAsia"/>
        </w:rPr>
        <w:t>生态产品实物量和价值量核算方法</w:t>
      </w:r>
      <w:bookmarkEnd w:id="63"/>
      <w:bookmarkEnd w:id="64"/>
    </w:p>
    <w:p w14:paraId="75CD3B58">
      <w:pPr>
        <w:pStyle w:val="107"/>
        <w:spacing w:before="156" w:after="156"/>
      </w:pPr>
      <w:bookmarkStart w:id="65" w:name="_Toc203399456"/>
      <w:bookmarkStart w:id="66" w:name="_Toc203399060"/>
      <w:r>
        <w:rPr>
          <w:rFonts w:hint="eastAsia"/>
        </w:rPr>
        <w:t>核算单元</w:t>
      </w:r>
      <w:bookmarkEnd w:id="65"/>
      <w:bookmarkEnd w:id="66"/>
    </w:p>
    <w:p w14:paraId="5D6A991A">
      <w:pPr>
        <w:pStyle w:val="58"/>
        <w:ind w:firstLine="408"/>
        <w:rPr>
          <w:spacing w:val="-6"/>
        </w:rPr>
      </w:pPr>
      <w:r>
        <w:rPr>
          <w:spacing w:val="-3"/>
        </w:rPr>
        <w:t xml:space="preserve">生态产品价值核算的基本单元应与项目规划或施工的具体对象相对应，利用高分遥感及 </w:t>
      </w:r>
      <w:r>
        <w:rPr>
          <w:rFonts w:ascii="Times New Roman" w:eastAsia="Times New Roman"/>
        </w:rPr>
        <w:t>GIS</w:t>
      </w:r>
      <w:r>
        <w:rPr>
          <w:rFonts w:ascii="Times New Roman" w:eastAsia="Times New Roman"/>
          <w:spacing w:val="13"/>
        </w:rPr>
        <w:t xml:space="preserve"> </w:t>
      </w:r>
      <w:r>
        <w:rPr>
          <w:spacing w:val="-3"/>
        </w:rPr>
        <w:t>技术</w:t>
      </w:r>
      <w:r>
        <w:t>在空间上以生态地块形式精细化呈现生态产品，具体可参考生态系统遥感解译与野外核查规范直接解译</w:t>
      </w:r>
      <w:r>
        <w:rPr>
          <w:spacing w:val="-11"/>
        </w:rPr>
        <w:t>或读取地块的边界坐标。核算结果应反映每个生态地块或特定地域单元的生态产品价值，确保核算数据</w:t>
      </w:r>
      <w:r>
        <w:rPr>
          <w:spacing w:val="-6"/>
        </w:rPr>
        <w:t>有图可查、实地可核。</w:t>
      </w:r>
    </w:p>
    <w:p w14:paraId="5D805748">
      <w:pPr>
        <w:pStyle w:val="107"/>
        <w:spacing w:before="156" w:after="156"/>
      </w:pPr>
      <w:bookmarkStart w:id="67" w:name="_Toc203399061"/>
      <w:bookmarkStart w:id="68" w:name="_Toc203399457"/>
      <w:r>
        <w:rPr>
          <w:rFonts w:hint="eastAsia"/>
        </w:rPr>
        <w:t>生态产品实物量核算方法</w:t>
      </w:r>
      <w:bookmarkEnd w:id="67"/>
      <w:bookmarkEnd w:id="68"/>
    </w:p>
    <w:p w14:paraId="1FA14105">
      <w:pPr>
        <w:pStyle w:val="67"/>
        <w:spacing w:before="156" w:after="156"/>
      </w:pPr>
      <w:r>
        <w:rPr>
          <w:rFonts w:hint="eastAsia"/>
        </w:rPr>
        <w:t>物质供给</w:t>
      </w:r>
    </w:p>
    <w:p w14:paraId="08482AD2">
      <w:pPr>
        <w:pStyle w:val="96"/>
        <w:spacing w:before="156" w:after="156"/>
        <w:rPr>
          <w:rFonts w:ascii="Times New Roman"/>
        </w:rPr>
      </w:pPr>
      <w:r>
        <w:rPr>
          <w:rFonts w:hint="eastAsia"/>
        </w:rPr>
        <w:t>生物质</w:t>
      </w:r>
      <w:r>
        <w:rPr>
          <w:rFonts w:ascii="Times New Roman"/>
        </w:rPr>
        <w:t>供给实物量</w:t>
      </w:r>
    </w:p>
    <w:p w14:paraId="539F7123">
      <w:pPr>
        <w:pStyle w:val="115"/>
        <w:spacing w:before="156" w:after="156"/>
        <w:rPr>
          <w:rFonts w:hint="eastAsia" w:ascii="Times New Roman"/>
        </w:rPr>
      </w:pPr>
      <w:bookmarkStart w:id="69" w:name="_Hlk193821664"/>
      <w:r>
        <w:rPr>
          <w:rFonts w:ascii="Times New Roman"/>
        </w:rPr>
        <w:t>采用核算年份农林牧渔产品产量，作为生物质供给实物量核算指标。</w:t>
      </w:r>
      <w:bookmarkEnd w:id="69"/>
      <w:r>
        <w:rPr>
          <w:rFonts w:ascii="Times New Roman"/>
        </w:rPr>
        <w:t>按照公式（1）计算。</w:t>
      </w:r>
    </w:p>
    <w:p w14:paraId="26C4240F">
      <w:pPr>
        <w:pStyle w:val="115"/>
        <w:spacing w:before="156" w:after="156"/>
        <w:rPr>
          <w:rFonts w:ascii="Times New Roman" w:hAnsi="Times New Roman"/>
        </w:rPr>
      </w:pPr>
      <w:r>
        <w:tab/>
      </w:r>
      <w:bookmarkStart w:id="70" w:name="_Hlk193821613"/>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ms</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ms i</m:t>
                </m:r>
                <w:bookmarkEnd w:id="70"/>
                <m:ctrlPr>
                  <w:rPr>
                    <w:rFonts w:ascii="Cambria Math" w:hAnsi="Cambria Math"/>
                    <w:i/>
                  </w:rPr>
                </m:ctrlPr>
              </m:sub>
            </m:sSub>
            <m:ctrlPr>
              <w:rPr>
                <w:rFonts w:ascii="Cambria Math" w:hAnsi="Cambria Math"/>
                <w:i/>
              </w:rPr>
            </m:ctrlPr>
          </m:e>
        </m:nary>
      </m:oMath>
      <w:r>
        <w:rPr>
          <w:rFonts w:asci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DA80CD8">
      <w:pPr>
        <w:pStyle w:val="58"/>
        <w:ind w:firstLine="420"/>
      </w:pPr>
      <w:r>
        <w:t>式中：</w:t>
      </w:r>
    </w:p>
    <w:p w14:paraId="4301998E">
      <w:pPr>
        <w:pStyle w:val="57"/>
        <w:ind w:firstLine="420"/>
        <w:rPr>
          <w:rFonts w:ascii="Times New Roman" w:hAnsi="Times New Roman"/>
        </w:rPr>
      </w:pPr>
      <m:oMath>
        <m:sSub>
          <w:bookmarkStart w:id="71" w:name="_Hlk193821622"/>
          <m:sSubPr>
            <m:ctrlPr>
              <w:rPr>
                <w:rFonts w:ascii="Cambria Math" w:hAnsi="Cambria Math"/>
                <w:i/>
                <w:kern w:val="2"/>
              </w:rPr>
            </m:ctrlPr>
          </m:sSubPr>
          <m:e>
            <m:r>
              <m:rPr/>
              <w:rPr>
                <w:rFonts w:ascii="Cambria Math" w:hAnsi="Cambria Math"/>
              </w:rPr>
              <m:t>E</m:t>
            </m:r>
            <m:ctrlPr>
              <w:rPr>
                <w:rFonts w:ascii="Cambria Math" w:hAnsi="Cambria Math"/>
                <w:i/>
                <w:kern w:val="2"/>
              </w:rPr>
            </m:ctrlPr>
          </m:e>
          <m:sub>
            <m:r>
              <m:rPr/>
              <w:rPr>
                <w:rFonts w:ascii="Cambria Math" w:hAnsi="Cambria Math"/>
              </w:rPr>
              <m:t>ms</m:t>
            </m:r>
            <m:ctrlPr>
              <w:rPr>
                <w:rFonts w:ascii="Cambria Math" w:hAnsi="Cambria Math"/>
                <w:i/>
                <w:kern w:val="2"/>
              </w:rPr>
            </m:ctrlPr>
          </m:sub>
        </m:sSub>
      </m:oMath>
      <w:r>
        <w:rPr>
          <w:rFonts w:ascii="Times New Roman" w:hAnsi="Times New Roman"/>
        </w:rPr>
        <w:t>——生物质供给实物量，单位：t/a;</w:t>
      </w:r>
    </w:p>
    <w:p w14:paraId="2F6CA352">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ms i</m:t>
            </m:r>
            <m:ctrlPr>
              <w:rPr>
                <w:rFonts w:ascii="Cambria Math" w:hAnsi="Cambria Math"/>
                <w:i/>
                <w:kern w:val="2"/>
                <w:szCs w:val="21"/>
              </w:rPr>
            </m:ctrlPr>
          </m:sub>
        </m:sSub>
      </m:oMath>
      <w:r>
        <w:rPr>
          <w:rFonts w:ascii="Times New Roman"/>
        </w:rPr>
        <w:t>——第</w:t>
      </w:r>
      <m:oMath>
        <m:r>
          <m:rPr/>
          <w:rPr>
            <w:rFonts w:ascii="Cambria Math" w:hAnsi="Cambria Math"/>
          </w:rPr>
          <m:t>i</m:t>
        </m:r>
      </m:oMath>
      <w:r>
        <w:rPr>
          <w:rFonts w:ascii="Times New Roman"/>
        </w:rPr>
        <w:t>种农林牧渔产品年产量，单位：t/a;</w:t>
      </w:r>
    </w:p>
    <w:p w14:paraId="75C2463F">
      <w:pPr>
        <w:pStyle w:val="58"/>
        <w:ind w:firstLine="420"/>
        <w:rPr>
          <w:rFonts w:ascii="Times New Roman"/>
        </w:rPr>
      </w:pPr>
      <m:oMath>
        <m:r>
          <m:rPr/>
          <w:rPr>
            <w:rFonts w:ascii="Cambria Math" w:hAnsi="Cambria Math"/>
          </w:rPr>
          <m:t>i</m:t>
        </m:r>
      </m:oMath>
      <w:r>
        <w:rPr>
          <w:rFonts w:ascii="Times New Roman"/>
        </w:rPr>
        <w:t>——农林牧渔产品种类，应按照GB/T 4754规定的分类体系进行分类；</w:t>
      </w:r>
    </w:p>
    <w:p w14:paraId="390DC756">
      <w:pPr>
        <w:pStyle w:val="58"/>
        <w:ind w:firstLine="420"/>
        <w:rPr>
          <w:rFonts w:ascii="Times New Roman"/>
        </w:rPr>
      </w:pPr>
      <m:oMath>
        <m:r>
          <m:rPr/>
          <w:rPr>
            <w:rFonts w:ascii="Cambria Math" w:hAnsi="Cambria Math"/>
          </w:rPr>
          <m:t>n</m:t>
        </m:r>
      </m:oMath>
      <w:r>
        <w:rPr>
          <w:rFonts w:ascii="Times New Roman"/>
        </w:rPr>
        <w:t>——农林渔牧产品种类数量。</w:t>
      </w:r>
    </w:p>
    <w:bookmarkEnd w:id="71"/>
    <w:p w14:paraId="60A5102C">
      <w:pPr>
        <w:pStyle w:val="96"/>
        <w:spacing w:before="156" w:after="156"/>
        <w:rPr>
          <w:rFonts w:ascii="Times New Roman"/>
        </w:rPr>
      </w:pPr>
      <w:r>
        <w:rPr>
          <w:rFonts w:ascii="Times New Roman"/>
        </w:rPr>
        <w:t>水</w:t>
      </w:r>
      <w:bookmarkStart w:id="72" w:name="_Hlk193821724"/>
      <w:r>
        <w:rPr>
          <w:rFonts w:ascii="Times New Roman"/>
        </w:rPr>
        <w:t>资源供给实物量</w:t>
      </w:r>
      <w:bookmarkEnd w:id="72"/>
    </w:p>
    <w:p w14:paraId="376A5156">
      <w:pPr>
        <w:pStyle w:val="58"/>
        <w:ind w:firstLine="420"/>
        <w:rPr>
          <w:rFonts w:ascii="Times New Roman"/>
        </w:rPr>
      </w:pPr>
      <w:r>
        <w:rPr>
          <w:rFonts w:ascii="Times New Roman"/>
        </w:rPr>
        <w:t>采用达到或优于GB 3838规定的Ⅲ类标准地表水资源供给量，以及达到或优于GB/T 14848规定的Ⅲ类标准地下水资源供给量，作为水资源产品供给实物量。水资源产品供给量应包括本地使用量和向下游地区供给量，并扣除上游来水量。按照公式</w:t>
      </w:r>
      <w:bookmarkStart w:id="73" w:name="OLE_LINK23"/>
      <w:r>
        <w:rPr>
          <w:rFonts w:ascii="Times New Roman"/>
        </w:rPr>
        <w:t>（</w:t>
      </w:r>
      <w:bookmarkEnd w:id="73"/>
      <w:r>
        <w:rPr>
          <w:rFonts w:ascii="Times New Roman"/>
        </w:rPr>
        <w:t>2）计算。</w:t>
      </w:r>
    </w:p>
    <w:p w14:paraId="04BF128F">
      <w:pPr>
        <w:pStyle w:val="115"/>
        <w:spacing w:before="156" w:after="156"/>
        <w:rPr>
          <w:rFonts w:ascii="Times New Roman" w:hAnsi="Times New Roman"/>
          <w:i/>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ws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sw</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gw</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ow</m:t>
            </m:r>
            <m:ctrlPr>
              <w:rPr>
                <w:rFonts w:ascii="Cambria Math" w:hAnsi="Cambria Math"/>
                <w:i/>
              </w:rPr>
            </m:ctrlPr>
          </m:sub>
        </m:sSub>
        <m:r>
          <m:rPr/>
          <w:rPr>
            <w:rFonts w:ascii="Cambria Math" w:hAnsi="Cambria Math"/>
          </w:rPr>
          <m:t>−</m:t>
        </m:r>
        <w:bookmarkStart w:id="74" w:name="OLE_LINK1"/>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iw</m:t>
            </m:r>
            <w:bookmarkEnd w:id="74"/>
            <m:ctrlPr>
              <w:rPr>
                <w:rFonts w:ascii="Cambria Math" w:hAnsi="Cambria Math"/>
                <w:i/>
              </w:rPr>
            </m:ctrlPr>
          </m:sub>
        </m:sSub>
      </m:oMath>
      <w:r>
        <w:rPr>
          <w:rFonts w:ascii="Times New Roman" w:hAnsi="Times New Roman"/>
          <w:i/>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137A1E9">
      <w:pPr>
        <w:pStyle w:val="57"/>
        <w:ind w:firstLine="420"/>
        <w:rPr>
          <w:rFonts w:ascii="Times New Roman" w:hAnsi="Times New Roman"/>
        </w:rPr>
      </w:pPr>
      <w:r>
        <w:rPr>
          <w:rFonts w:ascii="Times New Roman" w:hAnsi="Times New Roman"/>
        </w:rPr>
        <w:t>式中：</w:t>
      </w:r>
    </w:p>
    <w:p w14:paraId="3E4B36B2">
      <w:pPr>
        <w:pStyle w:val="58"/>
        <w:ind w:firstLine="420"/>
        <w:rPr>
          <w:rFonts w:ascii="Times New Roman"/>
        </w:rPr>
      </w:pP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ws</m:t>
            </m:r>
            <m:ctrlPr>
              <w:rPr>
                <w:rFonts w:ascii="Cambria Math" w:hAnsi="Cambria Math"/>
                <w:i/>
              </w:rPr>
            </m:ctrlPr>
          </m:sub>
        </m:sSub>
      </m:oMath>
      <w:r>
        <w:rPr>
          <w:rFonts w:ascii="Times New Roman"/>
        </w:rPr>
        <w:t>——水资源产品供给量，单位：t/a</w:t>
      </w:r>
      <w:r>
        <w:rPr>
          <w:rFonts w:hint="eastAsia" w:ascii="Times New Roman"/>
        </w:rPr>
        <w:t>；</w:t>
      </w:r>
    </w:p>
    <w:p w14:paraId="667E1657">
      <w:pPr>
        <w:pStyle w:val="58"/>
        <w:ind w:firstLine="420"/>
        <w:rPr>
          <w:rFonts w:ascii="Times New Roman"/>
        </w:rPr>
      </w:pP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sw</m:t>
            </m:r>
            <m:ctrlPr>
              <w:rPr>
                <w:rFonts w:ascii="Cambria Math" w:hAnsi="Cambria Math"/>
                <w:i/>
              </w:rPr>
            </m:ctrlPr>
          </m:sub>
        </m:sSub>
      </m:oMath>
      <w:r>
        <w:rPr>
          <w:rFonts w:ascii="Times New Roman"/>
        </w:rPr>
        <w:t>——达到或优于GB 3838规定的Ⅲ类标准的本地生活用水地表水取水量，单位：t/a</w:t>
      </w:r>
      <w:r>
        <w:rPr>
          <w:rFonts w:hint="eastAsia" w:ascii="Times New Roman"/>
        </w:rPr>
        <w:t>；</w:t>
      </w:r>
    </w:p>
    <w:p w14:paraId="0E2BF2FB">
      <w:pPr>
        <w:pStyle w:val="58"/>
        <w:ind w:firstLine="420"/>
        <w:rPr>
          <w:rFonts w:ascii="Times New Roman"/>
        </w:rPr>
      </w:pP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gw</m:t>
            </m:r>
            <m:ctrlPr>
              <w:rPr>
                <w:rFonts w:ascii="Cambria Math" w:hAnsi="Cambria Math"/>
                <w:i/>
              </w:rPr>
            </m:ctrlPr>
          </m:sub>
        </m:sSub>
      </m:oMath>
      <w:r>
        <w:rPr>
          <w:rFonts w:ascii="Times New Roman"/>
        </w:rPr>
        <w:t>——达到或优于GB/T 14848规定的Ⅲ类标准的本地生活用水浅层地下水取水量，单位：t/a</w:t>
      </w:r>
      <w:r>
        <w:rPr>
          <w:rFonts w:hint="eastAsia" w:ascii="Times New Roman"/>
        </w:rPr>
        <w:t>；</w:t>
      </w:r>
    </w:p>
    <w:p w14:paraId="471545D3">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W</m:t>
            </m:r>
            <m:ctrlPr>
              <w:rPr>
                <w:rFonts w:ascii="Cambria Math" w:hAnsi="Cambria Math"/>
                <w:i/>
                <w:kern w:val="2"/>
                <w:szCs w:val="21"/>
              </w:rPr>
            </m:ctrlPr>
          </m:e>
          <m:sub>
            <m:r>
              <m:rPr/>
              <w:rPr>
                <w:rFonts w:ascii="Cambria Math" w:hAnsi="Cambria Math"/>
              </w:rPr>
              <m:t>ow</m:t>
            </m:r>
            <m:ctrlPr>
              <w:rPr>
                <w:rFonts w:ascii="Cambria Math" w:hAnsi="Cambria Math"/>
                <w:i/>
                <w:kern w:val="2"/>
                <w:szCs w:val="21"/>
              </w:rPr>
            </m:ctrlPr>
          </m:sub>
        </m:sSub>
      </m:oMath>
      <w:r>
        <w:rPr>
          <w:rFonts w:ascii="Times New Roman"/>
        </w:rPr>
        <w:t>——达到或优于GB 3838规定的Ⅲ类标准的出境水量，单位：t/a</w:t>
      </w:r>
      <w:r>
        <w:rPr>
          <w:rFonts w:hint="eastAsia" w:ascii="Times New Roman"/>
        </w:rPr>
        <w:t>；</w:t>
      </w:r>
    </w:p>
    <w:p w14:paraId="162483CD">
      <w:pPr>
        <w:pStyle w:val="58"/>
        <w:ind w:firstLine="420"/>
        <w:rPr>
          <w:rFonts w:ascii="Times New Roman"/>
        </w:rPr>
      </w:pP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iw</m:t>
            </m:r>
            <m:ctrlPr>
              <w:rPr>
                <w:rFonts w:ascii="Cambria Math" w:hAnsi="Cambria Math"/>
                <w:i/>
              </w:rPr>
            </m:ctrlPr>
          </m:sub>
        </m:sSub>
      </m:oMath>
      <w:r>
        <w:rPr>
          <w:rFonts w:ascii="Times New Roman"/>
        </w:rPr>
        <w:t>——达到或优于GB 3838规定的Ⅲ类标准的入境水量，单位：t/a。</w:t>
      </w:r>
    </w:p>
    <w:p w14:paraId="11E10247">
      <w:pPr>
        <w:pStyle w:val="96"/>
        <w:spacing w:before="156" w:after="156"/>
      </w:pPr>
      <w:r>
        <w:rPr>
          <w:rFonts w:hint="eastAsia"/>
        </w:rPr>
        <w:t>生物质能产品</w:t>
      </w:r>
    </w:p>
    <w:p w14:paraId="0021171E">
      <w:pPr>
        <w:pStyle w:val="58"/>
        <w:ind w:firstLine="420"/>
        <w:rPr>
          <w:rFonts w:ascii="Times New Roman"/>
        </w:rPr>
      </w:pPr>
      <w:r>
        <w:rPr>
          <w:rFonts w:ascii="Times New Roman"/>
        </w:rPr>
        <w:t>采用核算区域的生物质资源，经转化形成的生物发电量，作为生物质能源供给实物量。按照公式（3）计算。</w:t>
      </w:r>
    </w:p>
    <w:p w14:paraId="10808BA7">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be</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be i</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BPG</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E7A5086">
      <w:pPr>
        <w:pStyle w:val="57"/>
        <w:ind w:firstLine="420"/>
        <w:rPr>
          <w:rFonts w:ascii="Times New Roman" w:hAnsi="Times New Roman"/>
        </w:rPr>
      </w:pPr>
      <w:r>
        <w:rPr>
          <w:rFonts w:ascii="Times New Roman" w:hAnsi="Times New Roman"/>
        </w:rPr>
        <w:t>式中：</w:t>
      </w:r>
    </w:p>
    <w:p w14:paraId="256FF822">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be</m:t>
            </m:r>
            <m:ctrlPr>
              <w:rPr>
                <w:rFonts w:ascii="Cambria Math" w:hAnsi="Cambria Math"/>
                <w:i/>
                <w:kern w:val="2"/>
                <w:szCs w:val="21"/>
              </w:rPr>
            </m:ctrlPr>
          </m:sub>
        </m:sSub>
      </m:oMath>
      <w:r>
        <w:rPr>
          <w:rFonts w:ascii="Times New Roman"/>
        </w:rPr>
        <w:t>——生物质能供给量，单位：kW·h/a;</w:t>
      </w:r>
    </w:p>
    <w:p w14:paraId="538EF908">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be i</m:t>
            </m:r>
            <m:ctrlPr>
              <w:rPr>
                <w:rFonts w:ascii="Cambria Math" w:hAnsi="Cambria Math"/>
                <w:i/>
                <w:kern w:val="2"/>
                <w:szCs w:val="21"/>
              </w:rPr>
            </m:ctrlPr>
          </m:sub>
        </m:sSub>
      </m:oMath>
      <w:r>
        <w:rPr>
          <w:rFonts w:ascii="Times New Roman"/>
        </w:rPr>
        <w:t>——第</w:t>
      </w:r>
      <m:oMath>
        <m:r>
          <m:rPr/>
          <w:rPr>
            <w:rFonts w:ascii="Cambria Math" w:hAnsi="Cambria Math"/>
          </w:rPr>
          <m:t>i</m:t>
        </m:r>
      </m:oMath>
      <w:r>
        <w:rPr>
          <w:rFonts w:ascii="Times New Roman"/>
        </w:rPr>
        <w:t>个使用核算区域生物质作为原料的生物质电厂的年发电总量，单位：kW·h/a;</w:t>
      </w:r>
    </w:p>
    <w:p w14:paraId="2EF48917">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BPG</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ascii="Times New Roman"/>
        </w:rPr>
        <w:t>——第</w:t>
      </w:r>
      <m:oMath>
        <m:r>
          <m:rPr/>
          <w:rPr>
            <w:rFonts w:ascii="Cambria Math" w:hAnsi="Cambria Math"/>
          </w:rPr>
          <m:t>i</m:t>
        </m:r>
      </m:oMath>
      <w:r>
        <w:rPr>
          <w:rFonts w:ascii="Times New Roman"/>
        </w:rPr>
        <w:t>个使用核算区域生物质作为原料的生物质电厂，生物质转化形成的发电量占年发电总量的比例，单位:%；</w:t>
      </w:r>
    </w:p>
    <w:p w14:paraId="763C0162">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ascii="Times New Roman"/>
        </w:rPr>
        <w:t>——第</w:t>
      </w:r>
      <m:oMath>
        <m:r>
          <m:rPr/>
          <w:rPr>
            <w:rFonts w:ascii="Cambria Math" w:hAnsi="Cambria Math"/>
          </w:rPr>
          <m:t>i</m:t>
        </m:r>
      </m:oMath>
      <w:r>
        <w:rPr>
          <w:rFonts w:ascii="Times New Roman"/>
        </w:rPr>
        <w:t>个使用核算区域生物质作为原料的生物质电厂，生物质原料中，来自核算区域的比例，单位:%</w:t>
      </w:r>
      <w:r>
        <w:rPr>
          <w:rFonts w:hint="eastAsia" w:ascii="Times New Roman"/>
        </w:rPr>
        <w:t>;</w:t>
      </w:r>
    </w:p>
    <w:p w14:paraId="770DF81F">
      <w:pPr>
        <w:pStyle w:val="58"/>
        <w:ind w:firstLine="420"/>
        <w:rPr>
          <w:rFonts w:ascii="Times New Roman"/>
        </w:rPr>
      </w:pPr>
      <m:oMath>
        <m:r>
          <m:rPr/>
          <w:rPr>
            <w:rFonts w:ascii="Cambria Math" w:hAnsi="Cambria Math"/>
          </w:rPr>
          <m:t>i</m:t>
        </m:r>
      </m:oMath>
      <w:r>
        <w:rPr>
          <w:rFonts w:ascii="Times New Roman"/>
        </w:rPr>
        <w:t>——核算区域生物质资源供给的生物质电厂；</w:t>
      </w:r>
    </w:p>
    <w:p w14:paraId="6DF4B046">
      <w:pPr>
        <w:pStyle w:val="58"/>
        <w:ind w:firstLine="420"/>
        <w:rPr>
          <w:rFonts w:ascii="Times New Roman"/>
        </w:rPr>
      </w:pPr>
      <m:oMath>
        <m:r>
          <m:rPr/>
          <w:rPr>
            <w:rFonts w:ascii="Cambria Math" w:hAnsi="Cambria Math"/>
          </w:rPr>
          <m:t>n</m:t>
        </m:r>
      </m:oMath>
      <w:r>
        <w:rPr>
          <w:rFonts w:ascii="Times New Roman"/>
        </w:rPr>
        <w:t>——使用核算区域生物质资源进行发电的生物质电厂总数。</w:t>
      </w:r>
    </w:p>
    <w:p w14:paraId="5F1B66BD">
      <w:pPr>
        <w:pStyle w:val="181"/>
        <w:rPr>
          <w:rFonts w:ascii="Times New Roman"/>
        </w:rPr>
      </w:pPr>
      <w:r>
        <w:rPr>
          <w:rFonts w:ascii="Times New Roman"/>
        </w:rPr>
        <w:t>因生物质电厂发电往往需要掺烧煤等非生物质燃料，因此计算生物质转化形成的发电量占年发电总量的比例。</w:t>
      </w:r>
    </w:p>
    <w:p w14:paraId="39413D7F">
      <w:pPr>
        <w:pStyle w:val="67"/>
        <w:spacing w:before="156" w:after="156"/>
        <w:rPr>
          <w:sz w:val="15"/>
        </w:rPr>
      </w:pPr>
      <w:r>
        <w:rPr>
          <w:rFonts w:hint="eastAsia"/>
        </w:rPr>
        <w:t>调节服务</w:t>
      </w:r>
    </w:p>
    <w:p w14:paraId="16E10D00">
      <w:pPr>
        <w:pStyle w:val="96"/>
        <w:spacing w:before="156" w:after="156"/>
        <w:rPr>
          <w:sz w:val="15"/>
        </w:rPr>
      </w:pPr>
      <w:r>
        <w:rPr>
          <w:rFonts w:hint="eastAsia"/>
        </w:rPr>
        <w:t>水源涵养</w:t>
      </w:r>
    </w:p>
    <w:p w14:paraId="52BC8700">
      <w:pPr>
        <w:pStyle w:val="58"/>
        <w:ind w:firstLine="420"/>
        <w:rPr>
          <w:rFonts w:ascii="Times New Roman"/>
        </w:rPr>
      </w:pPr>
      <w:r>
        <w:rPr>
          <w:rFonts w:ascii="Times New Roman"/>
        </w:rPr>
        <w:t>采用核算年份的水源涵养量，作为水源涵养实物量核算指标。水源涵养量利用水量平衡模型计算，即水源涵养量为降水输入量与径流量和生态系统自身水分消耗量的差值。按照公式（4）计算。</w:t>
      </w:r>
    </w:p>
    <w:p w14:paraId="2593E836">
      <w:pPr>
        <w:pStyle w:val="115"/>
        <w:spacing w:before="156" w:after="156"/>
        <w:rPr>
          <w:rFonts w:hint="eastAsia"/>
        </w:rPr>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wr</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−E</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64037F5">
      <w:pPr>
        <w:pStyle w:val="57"/>
        <w:ind w:firstLine="420"/>
        <w:rPr>
          <w:rFonts w:ascii="Times New Roman" w:hAnsi="Times New Roman"/>
        </w:rPr>
      </w:pPr>
      <w:r>
        <w:rPr>
          <w:rFonts w:ascii="Times New Roman" w:hAnsi="Times New Roman"/>
        </w:rPr>
        <w:t>式中：</w:t>
      </w:r>
    </w:p>
    <w:p w14:paraId="58AF91C3">
      <w:pPr>
        <w:pStyle w:val="58"/>
        <w:ind w:firstLine="420"/>
        <w:rPr>
          <w:rFonts w:ascii="Times New Roman"/>
        </w:rPr>
      </w:pPr>
      <w:r>
        <w:rPr>
          <w:rFonts w:ascii="Times New Roman" w:eastAsia="Times New Roman"/>
          <w:i/>
        </w:rPr>
        <w:t>Q</w:t>
      </w:r>
      <w:r>
        <w:rPr>
          <w:rFonts w:ascii="Times New Roman" w:eastAsia="Times New Roman"/>
          <w:i/>
          <w:sz w:val="14"/>
        </w:rPr>
        <w:t>wr</w:t>
      </w:r>
      <w:r>
        <w:rPr>
          <w:rFonts w:ascii="Times New Roman"/>
        </w:rPr>
        <w:t>——水源涵养总量，单位为立方米</w:t>
      </w:r>
      <w:r>
        <w:rPr>
          <w:rFonts w:ascii="Times New Roman" w:eastAsia="Times New Roman"/>
        </w:rPr>
        <w:t>/</w:t>
      </w:r>
      <w:r>
        <w:rPr>
          <w:rFonts w:ascii="Times New Roman"/>
        </w:rPr>
        <w:t>年（</w:t>
      </w:r>
      <w:r>
        <w:rPr>
          <w:rFonts w:ascii="Times New Roman" w:eastAsia="Times New Roman"/>
        </w:rPr>
        <w:t>m</w:t>
      </w:r>
      <w:r>
        <w:rPr>
          <w:rFonts w:ascii="Times New Roman" w:eastAsia="Times New Roman"/>
          <w:vertAlign w:val="superscript"/>
        </w:rPr>
        <w:t>3</w:t>
      </w:r>
      <w:r>
        <w:rPr>
          <w:rFonts w:ascii="Times New Roman" w:eastAsia="Times New Roman"/>
        </w:rPr>
        <w:t>/a</w:t>
      </w:r>
      <w:r>
        <w:rPr>
          <w:rFonts w:ascii="Times New Roman"/>
        </w:rPr>
        <w:t>）；</w:t>
      </w:r>
    </w:p>
    <w:p w14:paraId="6277C4EC">
      <w:pPr>
        <w:pStyle w:val="58"/>
        <w:ind w:firstLine="420"/>
        <w:rPr>
          <w:rFonts w:ascii="Times New Roman"/>
        </w:rPr>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类生态系统面积，单位：m</w:t>
      </w:r>
      <w:r>
        <w:rPr>
          <w:rFonts w:ascii="Times New Roman"/>
          <w:vertAlign w:val="superscript"/>
        </w:rPr>
        <w:t>2</w:t>
      </w:r>
      <w:r>
        <w:rPr>
          <w:rFonts w:ascii="Times New Roman"/>
        </w:rPr>
        <w:t>；</w:t>
      </w:r>
    </w:p>
    <w:p w14:paraId="27CA7ED5">
      <w:pPr>
        <w:pStyle w:val="58"/>
        <w:ind w:firstLine="420"/>
        <w:rPr>
          <w:rFonts w:ascii="Times New Roman"/>
        </w:rPr>
      </w:pPr>
      <w:r>
        <w:rPr>
          <w:rFonts w:ascii="Times New Roman" w:eastAsia="Times New Roman"/>
          <w:i/>
        </w:rPr>
        <w:t>P</w:t>
      </w:r>
      <w:r>
        <w:rPr>
          <w:rFonts w:ascii="Times New Roman" w:eastAsia="Times New Roman"/>
          <w:i/>
          <w:sz w:val="14"/>
        </w:rPr>
        <w:t>i</w:t>
      </w:r>
      <w:r>
        <w:rPr>
          <w:rFonts w:ascii="Times New Roman"/>
        </w:rPr>
        <w:t>——年产流降雨量，单位为毫米</w:t>
      </w:r>
      <w:r>
        <w:rPr>
          <w:rFonts w:ascii="Times New Roman" w:eastAsia="Times New Roman"/>
        </w:rPr>
        <w:t>/</w:t>
      </w:r>
      <w:r>
        <w:rPr>
          <w:rFonts w:ascii="Times New Roman"/>
        </w:rPr>
        <w:t>年（</w:t>
      </w:r>
      <w:r>
        <w:rPr>
          <w:rFonts w:ascii="Times New Roman" w:eastAsia="Times New Roman"/>
        </w:rPr>
        <w:t>mm/a</w:t>
      </w:r>
      <w:r>
        <w:rPr>
          <w:rFonts w:ascii="Times New Roman"/>
        </w:rPr>
        <w:t>）；</w:t>
      </w:r>
    </w:p>
    <w:p w14:paraId="1E7076D7">
      <w:pPr>
        <w:pStyle w:val="58"/>
        <w:ind w:firstLine="420"/>
        <w:rPr>
          <w:rFonts w:ascii="Times New Roman"/>
        </w:rPr>
      </w:pPr>
      <w:r>
        <w:rPr>
          <w:rFonts w:ascii="Times New Roman" w:eastAsia="Times New Roman"/>
          <w:i/>
        </w:rPr>
        <w:t>R</w:t>
      </w:r>
      <w:r>
        <w:rPr>
          <w:rFonts w:ascii="Times New Roman" w:eastAsia="Times New Roman"/>
          <w:i/>
          <w:sz w:val="14"/>
        </w:rPr>
        <w:t>i</w:t>
      </w:r>
      <w:r>
        <w:rPr>
          <w:rFonts w:ascii="Times New Roman"/>
        </w:rPr>
        <w:t>——年地表径流量</w:t>
      </w:r>
      <w:bookmarkStart w:id="75" w:name="_Hlk199848030"/>
      <w:r>
        <w:rPr>
          <w:rFonts w:ascii="Times New Roman"/>
        </w:rPr>
        <w:t>（见附录C.3.1）</w:t>
      </w:r>
      <w:bookmarkEnd w:id="75"/>
      <w:r>
        <w:rPr>
          <w:rFonts w:ascii="Times New Roman"/>
        </w:rPr>
        <w:t>，单位为毫米</w:t>
      </w:r>
      <w:r>
        <w:rPr>
          <w:rFonts w:ascii="Times New Roman" w:eastAsia="Times New Roman"/>
        </w:rPr>
        <w:t>/</w:t>
      </w:r>
      <w:r>
        <w:rPr>
          <w:rFonts w:ascii="Times New Roman"/>
        </w:rPr>
        <w:t>年（</w:t>
      </w:r>
      <w:r>
        <w:rPr>
          <w:rFonts w:ascii="Times New Roman" w:eastAsia="Times New Roman"/>
        </w:rPr>
        <w:t>mm/a</w:t>
      </w:r>
      <w:r>
        <w:rPr>
          <w:rFonts w:ascii="Times New Roman"/>
        </w:rPr>
        <w:t>）；</w:t>
      </w:r>
    </w:p>
    <w:p w14:paraId="5B8BD831">
      <w:pPr>
        <w:pStyle w:val="58"/>
        <w:ind w:firstLine="420"/>
        <w:rPr>
          <w:rFonts w:ascii="Times New Roman"/>
        </w:rPr>
      </w:pPr>
      <w:r>
        <w:rPr>
          <w:rFonts w:ascii="Times New Roman" w:eastAsia="Times New Roman"/>
          <w:i/>
        </w:rPr>
        <w:t>ET</w:t>
      </w:r>
      <w:r>
        <w:rPr>
          <w:rFonts w:ascii="Times New Roman" w:eastAsia="Times New Roman"/>
          <w:i/>
          <w:sz w:val="14"/>
        </w:rPr>
        <w:t>i</w:t>
      </w:r>
      <w:r>
        <w:rPr>
          <w:rFonts w:ascii="Times New Roman"/>
        </w:rPr>
        <w:t>——年蒸散发量（见附录C3.2），单位为毫米</w:t>
      </w:r>
      <w:r>
        <w:rPr>
          <w:rFonts w:ascii="Times New Roman" w:eastAsia="Times New Roman"/>
        </w:rPr>
        <w:t>/</w:t>
      </w:r>
      <w:r>
        <w:rPr>
          <w:rFonts w:ascii="Times New Roman"/>
        </w:rPr>
        <w:t>年（</w:t>
      </w:r>
      <w:r>
        <w:rPr>
          <w:rFonts w:ascii="Times New Roman" w:eastAsia="Times New Roman"/>
        </w:rPr>
        <w:t>mm/a</w:t>
      </w:r>
      <w:r>
        <w:rPr>
          <w:rFonts w:ascii="Times New Roman"/>
        </w:rPr>
        <w:t>）；</w:t>
      </w:r>
    </w:p>
    <w:p w14:paraId="1EF1B196">
      <w:pPr>
        <w:pStyle w:val="58"/>
        <w:ind w:firstLine="420"/>
        <w:rPr>
          <w:rFonts w:ascii="Times New Roman"/>
        </w:rPr>
      </w:pPr>
      <m:oMath>
        <m:r>
          <m:rPr/>
          <w:rPr>
            <w:rFonts w:ascii="Cambria Math" w:hAnsi="Cambria Math"/>
          </w:rPr>
          <m:t>i</m:t>
        </m:r>
      </m:oMath>
      <w:r>
        <w:rPr>
          <w:rFonts w:ascii="Times New Roman"/>
        </w:rPr>
        <w:t>——生态系统类型；</w:t>
      </w:r>
    </w:p>
    <w:p w14:paraId="39367C8B">
      <w:pPr>
        <w:pStyle w:val="58"/>
        <w:ind w:firstLine="420"/>
      </w:pPr>
      <w:r>
        <w:rPr>
          <w:rFonts w:ascii="Times New Roman" w:eastAsia="Times New Roman"/>
          <w:i/>
        </w:rPr>
        <w:t>n</w:t>
      </w:r>
      <w:r>
        <w:t>——核算地域生态系统类型的数量。</w:t>
      </w:r>
    </w:p>
    <w:p w14:paraId="7A54AB0C">
      <w:pPr>
        <w:pStyle w:val="96"/>
        <w:spacing w:before="156" w:after="156"/>
      </w:pPr>
      <w:r>
        <w:rPr>
          <w:rFonts w:hint="eastAsia"/>
        </w:rPr>
        <w:t>土壤保持服务实物量</w:t>
      </w:r>
    </w:p>
    <w:p w14:paraId="1D32E14D">
      <w:pPr>
        <w:pStyle w:val="58"/>
        <w:ind w:firstLine="420"/>
      </w:pPr>
      <w:r>
        <w:rPr>
          <w:rFonts w:hint="eastAsia"/>
        </w:rPr>
        <w:t>采用核算年份的土壤保持量，作为土壤保持实物量核算指标。土壤保持量利用通用土壤侵蚀模型计算。按照公式（5）计算。</w:t>
      </w:r>
    </w:p>
    <w:p w14:paraId="43F9F6DA">
      <w:pPr>
        <w:tabs>
          <w:tab w:val="center" w:pos="4678"/>
          <w:tab w:val="right" w:leader="middleDot" w:pos="9356"/>
        </w:tabs>
        <w:spacing w:line="240" w:lineRule="auto"/>
        <w:rPr>
          <w:rFonts w:ascii="Times New Roman" w:hAnsi="Times New Roman"/>
        </w:rPr>
      </w:pPr>
      <w:r>
        <w:rPr>
          <w:rFonts w:ascii="Times New Roman" w:hAnsi="Times New Roman"/>
        </w:rPr>
        <w:tab/>
      </w:r>
      <w:bookmarkStart w:id="76" w:name="_Hlk193876851"/>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r>
          <m:rPr/>
          <w:rPr>
            <w:rFonts w:ascii="Cambria Math" w:hAnsi="Cambria Math"/>
          </w:rPr>
          <m:t>=</m:t>
        </m:r>
        <m:nary>
          <m:naryPr>
            <m:chr m:val="∑"/>
            <m:ctrlPr>
              <w:rPr>
                <w:rFonts w:ascii="Cambria Math" w:hAnsi="Cambria Math"/>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i/>
                      </w:rPr>
                    </m:ctrlPr>
                  </m:sub>
                </m:sSub>
                <m:r>
                  <m:rPr>
                    <m:sty m:val="p"/>
                  </m:rPr>
                  <w:rPr>
                    <w:rFonts w:ascii="Cambria Math" w:hAnsi="Cambria Math"/>
                  </w:rPr>
                  <m:t>×</m:t>
                </m:r>
                <m:d>
                  <m:dPr>
                    <m:ctrlPr>
                      <w:rPr>
                        <w:rFonts w:ascii="Cambria Math" w:hAnsi="Cambria Math"/>
                      </w:rPr>
                    </m:ctrlPr>
                  </m:dPr>
                  <m:e>
                    <m:r>
                      <m:rPr/>
                      <w:rPr>
                        <w:rFonts w:ascii="Cambria Math" w:hAnsi="Cambria Math"/>
                      </w:rPr>
                      <m:t>1−</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r>
                  <m:rPr>
                    <m:sty m:val="p"/>
                  </m:rPr>
                  <w:rPr>
                    <w:rFonts w:ascii="Cambria Math" w:hAnsi="Cambria Math"/>
                  </w:rPr>
                  <m:t>×</m:t>
                </m:r>
                <m:sSub>
                  <m:sSubPr>
                    <m:ctrlPr>
                      <w:rPr>
                        <w:rFonts w:ascii="Cambria Math" w:hAnsi="Cambria Math"/>
                        <w:i/>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i/>
                      </w:rPr>
                    </m:ctrlPr>
                  </m:sub>
                </m:sSub>
                <m:r>
                  <m:rPr>
                    <m:sty m:val="p"/>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rPr>
                    </m:ctrlPr>
                  </m:e>
                  <m:sup>
                    <m:r>
                      <m:rPr/>
                      <w:rPr>
                        <w:rFonts w:ascii="Cambria Math" w:hAnsi="Cambria Math"/>
                      </w:rPr>
                      <m:t>2</m:t>
                    </m:r>
                    <m:ctrlPr>
                      <w:rPr>
                        <w:rFonts w:ascii="Cambria Math" w:hAnsi="Cambria Math"/>
                        <w:i/>
                      </w:rPr>
                    </m:ctrlPr>
                  </m:sup>
                </m:sSup>
                <m:ctrlPr>
                  <w:rPr>
                    <w:rFonts w:ascii="Cambria Math" w:hAnsi="Cambria Math"/>
                    <w:i/>
                  </w:rPr>
                </m:ctrlPr>
              </m:e>
            </m:d>
            <m:ctrlPr>
              <w:rPr>
                <w:rFonts w:ascii="Cambria Math" w:hAnsi="Cambria Math"/>
              </w:rPr>
            </m:ctrlPr>
          </m:e>
        </m:nary>
      </m:oMath>
      <w:bookmarkStart w:id="77" w:name="_Hlk193876935"/>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bookmarkEnd w:id="76"/>
    <w:bookmarkEnd w:id="77"/>
    <w:p w14:paraId="677FE5A8">
      <w:pPr>
        <w:pStyle w:val="58"/>
        <w:ind w:firstLine="420"/>
      </w:pPr>
    </w:p>
    <w:p w14:paraId="309A3D6B">
      <w:pPr>
        <w:pStyle w:val="58"/>
        <w:ind w:firstLine="0" w:firstLineChars="0"/>
      </w:pPr>
    </w:p>
    <w:p w14:paraId="2832EE1D">
      <w:pPr>
        <w:pStyle w:val="58"/>
        <w:ind w:firstLine="420"/>
      </w:pPr>
      <w:r>
        <w:rPr>
          <w:rFonts w:hint="eastAsia"/>
        </w:rPr>
        <w:t>式中：</w:t>
      </w:r>
    </w:p>
    <w:p w14:paraId="44E5A9DF">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rPr>
        <w:t>——土壤保持量，单位：t/a;</w:t>
      </w:r>
    </w:p>
    <w:p w14:paraId="39B2B9F6">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R</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的降雨侵蚀力因子，单位：MJ·mm/(hm</w:t>
      </w:r>
      <w:r>
        <w:rPr>
          <w:rFonts w:ascii="Times New Roman" w:hAnsi="Times New Roman"/>
          <w:kern w:val="0"/>
          <w:szCs w:val="20"/>
          <w:vertAlign w:val="superscript"/>
        </w:rPr>
        <w:t>2</w:t>
      </w:r>
      <w:r>
        <w:rPr>
          <w:rFonts w:ascii="Times New Roman" w:hAnsi="Times New Roman"/>
          <w:kern w:val="0"/>
          <w:szCs w:val="20"/>
        </w:rPr>
        <w:t>·h·a)，见附录C.4.1;</w:t>
      </w:r>
    </w:p>
    <w:p w14:paraId="1894E611">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K</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的土壤可蚀性因子，单位：t·hm</w:t>
      </w:r>
      <w:r>
        <w:rPr>
          <w:rFonts w:ascii="Times New Roman" w:hAnsi="Times New Roman"/>
          <w:kern w:val="0"/>
          <w:szCs w:val="20"/>
          <w:vertAlign w:val="superscript"/>
        </w:rPr>
        <w:t>2</w:t>
      </w:r>
      <w:r>
        <w:rPr>
          <w:rFonts w:ascii="Times New Roman" w:hAnsi="Times New Roman"/>
          <w:kern w:val="0"/>
          <w:szCs w:val="20"/>
        </w:rPr>
        <w:t>·h/(hm</w:t>
      </w:r>
      <w:r>
        <w:rPr>
          <w:rFonts w:ascii="Times New Roman" w:hAnsi="Times New Roman"/>
          <w:kern w:val="0"/>
          <w:szCs w:val="20"/>
          <w:vertAlign w:val="superscript"/>
        </w:rPr>
        <w:t>2</w:t>
      </w:r>
      <w:r>
        <w:rPr>
          <w:rFonts w:ascii="Times New Roman" w:hAnsi="Times New Roman"/>
          <w:kern w:val="0"/>
          <w:szCs w:val="20"/>
        </w:rPr>
        <w:t>·MJ·mm)，见附录C.4.2;</w:t>
      </w:r>
    </w:p>
    <w:p w14:paraId="234AC988">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L</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的坡长因子，单位：无量纲，见附录C.4.3；</w:t>
      </w:r>
    </w:p>
    <w:p w14:paraId="07223875">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S</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的坡度因子，单位：无量纲，见附录C.4.3；</w:t>
      </w:r>
    </w:p>
    <w:p w14:paraId="46DC9002">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C</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的植被覆盖因子，单位：无量纲，见附录C.4.4；</w:t>
      </w:r>
    </w:p>
    <w:p w14:paraId="168D7CB6">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A</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——核算单元</w:t>
      </w:r>
      <m:oMath>
        <m:r>
          <m:rPr/>
          <w:rPr>
            <w:rFonts w:ascii="Cambria Math" w:hAnsi="Cambria Math"/>
            <w:kern w:val="0"/>
            <w:szCs w:val="20"/>
          </w:rPr>
          <m:t>i</m:t>
        </m:r>
      </m:oMath>
      <w:r>
        <w:rPr>
          <w:rFonts w:ascii="Times New Roman" w:hAnsi="Times New Roman"/>
          <w:kern w:val="0"/>
          <w:szCs w:val="20"/>
        </w:rPr>
        <w:t>的面积，单位：km</w:t>
      </w:r>
      <w:r>
        <w:rPr>
          <w:rFonts w:ascii="Times New Roman" w:hAnsi="Times New Roman"/>
          <w:kern w:val="0"/>
          <w:szCs w:val="20"/>
          <w:vertAlign w:val="superscript"/>
        </w:rPr>
        <w:t>2</w:t>
      </w:r>
      <w:r>
        <w:rPr>
          <w:rFonts w:hint="eastAsia" w:ascii="Times New Roman" w:hAnsi="Times New Roman"/>
          <w:kern w:val="0"/>
          <w:szCs w:val="20"/>
        </w:rPr>
        <w:t>；</w:t>
      </w:r>
    </w:p>
    <w:p w14:paraId="4CF61FBE">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i</m:t>
        </m:r>
      </m:oMath>
      <w:r>
        <w:rPr>
          <w:rFonts w:ascii="Times New Roman" w:hAnsi="Times New Roman"/>
          <w:kern w:val="0"/>
          <w:szCs w:val="20"/>
        </w:rPr>
        <w:t>——核算单元；</w:t>
      </w:r>
    </w:p>
    <w:p w14:paraId="192C9CC2">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i/>
          <w:iCs/>
          <w:kern w:val="0"/>
          <w:szCs w:val="20"/>
        </w:rPr>
        <w:t>n</w:t>
      </w:r>
      <w:r>
        <w:rPr>
          <w:rFonts w:ascii="Times New Roman" w:hAnsi="Times New Roman"/>
          <w:kern w:val="0"/>
          <w:szCs w:val="20"/>
        </w:rPr>
        <w:t>——核算单元数量。</w:t>
      </w:r>
    </w:p>
    <w:p w14:paraId="5F86850F">
      <w:pPr>
        <w:pStyle w:val="96"/>
        <w:spacing w:before="156" w:after="156"/>
      </w:pPr>
      <w:r>
        <w:t>洪水调蓄</w:t>
      </w:r>
    </w:p>
    <w:p w14:paraId="46AB6E56">
      <w:pPr>
        <w:pStyle w:val="58"/>
        <w:ind w:firstLine="420"/>
        <w:rPr>
          <w:rFonts w:ascii="Times New Roman"/>
        </w:rPr>
      </w:pPr>
      <w:r>
        <w:rPr>
          <w:rFonts w:ascii="Times New Roman"/>
        </w:rPr>
        <w:t>采用核算年份洪水调蓄总量，作为洪水调蓄实物量核算指标。应分别核算植被空间、水田空间、城市水域空间和湿地空间四类空间的洪水调蓄量，按照公式（6）汇总计算洪水调蓄总量。</w:t>
      </w:r>
    </w:p>
    <w:p w14:paraId="39B4A392">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fm</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vfm</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pfm</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cfm</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wfm</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1F3F912">
      <w:pPr>
        <w:pStyle w:val="57"/>
        <w:ind w:firstLine="420"/>
        <w:rPr>
          <w:rFonts w:ascii="Times New Roman" w:hAnsi="Times New Roman"/>
        </w:rPr>
      </w:pPr>
      <w:r>
        <w:rPr>
          <w:rFonts w:ascii="Times New Roman" w:hAnsi="Times New Roman"/>
        </w:rPr>
        <w:t>式中：</w:t>
      </w:r>
    </w:p>
    <w:p w14:paraId="67A709FE">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fm</m:t>
            </m:r>
            <m:ctrlPr>
              <w:rPr>
                <w:rFonts w:ascii="Cambria Math" w:hAnsi="Cambria Math"/>
              </w:rPr>
            </m:ctrlPr>
          </m:sub>
        </m:sSub>
      </m:oMath>
      <w:r>
        <w:rPr>
          <w:rFonts w:ascii="Times New Roman"/>
        </w:rPr>
        <w:t>——洪水调蓄总量，单位：m</w:t>
      </w:r>
      <w:r>
        <w:rPr>
          <w:rFonts w:ascii="Times New Roman"/>
          <w:vertAlign w:val="superscript"/>
        </w:rPr>
        <w:t>3</w:t>
      </w:r>
      <w:r>
        <w:rPr>
          <w:rFonts w:ascii="Times New Roman"/>
        </w:rPr>
        <w:t>/a；</w:t>
      </w:r>
    </w:p>
    <w:p w14:paraId="0E37490A">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vfm</m:t>
            </m:r>
            <m:ctrlPr>
              <w:rPr>
                <w:rFonts w:ascii="Cambria Math" w:hAnsi="Cambria Math"/>
                <w:i/>
              </w:rPr>
            </m:ctrlPr>
          </m:sub>
        </m:sSub>
      </m:oMath>
      <w:r>
        <w:rPr>
          <w:rFonts w:ascii="Times New Roman"/>
        </w:rPr>
        <w:t>——植被洪水调蓄量，单位：m</w:t>
      </w:r>
      <w:r>
        <w:rPr>
          <w:rFonts w:ascii="Times New Roman"/>
          <w:vertAlign w:val="superscript"/>
        </w:rPr>
        <w:t>3</w:t>
      </w:r>
      <w:r>
        <w:rPr>
          <w:rFonts w:ascii="Times New Roman"/>
        </w:rPr>
        <w:t>/a；</w:t>
      </w:r>
    </w:p>
    <w:p w14:paraId="79F9D075">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pfm</m:t>
            </m:r>
            <m:ctrlPr>
              <w:rPr>
                <w:rFonts w:ascii="Cambria Math" w:hAnsi="Cambria Math"/>
                <w:i/>
              </w:rPr>
            </m:ctrlPr>
          </m:sub>
        </m:sSub>
      </m:oMath>
      <w:r>
        <w:rPr>
          <w:rFonts w:ascii="Times New Roman"/>
        </w:rPr>
        <w:t>——水田洪水调蓄量，单位：m</w:t>
      </w:r>
      <w:r>
        <w:rPr>
          <w:rFonts w:ascii="Times New Roman"/>
          <w:vertAlign w:val="superscript"/>
        </w:rPr>
        <w:t>3</w:t>
      </w:r>
      <w:r>
        <w:rPr>
          <w:rFonts w:ascii="Times New Roman"/>
        </w:rPr>
        <w:t>/a；</w:t>
      </w:r>
    </w:p>
    <w:p w14:paraId="7FBF11CF">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cfm</m:t>
            </m:r>
            <m:ctrlPr>
              <w:rPr>
                <w:rFonts w:ascii="Cambria Math" w:hAnsi="Cambria Math"/>
                <w:i/>
              </w:rPr>
            </m:ctrlPr>
          </m:sub>
        </m:sSub>
      </m:oMath>
      <w:r>
        <w:rPr>
          <w:rFonts w:ascii="Times New Roman"/>
        </w:rPr>
        <w:t>——城市水域洪水调蓄量，单位：m</w:t>
      </w:r>
      <w:r>
        <w:rPr>
          <w:rFonts w:ascii="Times New Roman"/>
          <w:vertAlign w:val="superscript"/>
        </w:rPr>
        <w:t>3</w:t>
      </w:r>
      <w:r>
        <w:rPr>
          <w:rFonts w:ascii="Times New Roman"/>
        </w:rPr>
        <w:t>/a；</w:t>
      </w:r>
    </w:p>
    <w:p w14:paraId="601B3566">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wfm</m:t>
            </m:r>
            <m:ctrlPr>
              <w:rPr>
                <w:rFonts w:ascii="Cambria Math" w:hAnsi="Cambria Math"/>
                <w:i/>
              </w:rPr>
            </m:ctrlPr>
          </m:sub>
        </m:sSub>
      </m:oMath>
      <w:r>
        <w:rPr>
          <w:rFonts w:ascii="Times New Roman"/>
        </w:rPr>
        <w:t>——湿地洪水调蓄量，单位：m</w:t>
      </w:r>
      <w:r>
        <w:rPr>
          <w:rFonts w:ascii="Times New Roman"/>
          <w:vertAlign w:val="superscript"/>
        </w:rPr>
        <w:t>3</w:t>
      </w:r>
      <w:r>
        <w:rPr>
          <w:rFonts w:ascii="Times New Roman"/>
        </w:rPr>
        <w:t>/a。</w:t>
      </w:r>
    </w:p>
    <w:p w14:paraId="3841963E">
      <w:p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5.2.2.3.1　植被洪水调蓄量</w:t>
      </w:r>
    </w:p>
    <w:p w14:paraId="472DA19D">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森林生态系统（含灌丛）、草地生态系统、农田生态系统（旱地和园地）、城市生态系统（城市绿地）等植被空间的洪水调蓄量，按照公式（7）计算。</w:t>
      </w:r>
    </w:p>
    <w:p w14:paraId="3C9DDCC0">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vfm</m:t>
            </m:r>
            <m:ctrlPr>
              <w:rPr>
                <w:rFonts w:ascii="Cambria Math" w:hAnsi="Cambria Math"/>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ctrlPr>
                  <w:rPr>
                    <w:rFonts w:ascii="Cambria Math" w:hAnsi="Cambria Math"/>
                    <w:i/>
                  </w:rPr>
                </m:ctrlPr>
              </m:e>
            </m:d>
            <m:ctrlPr>
              <w:rPr>
                <w:rFonts w:ascii="Cambria Math" w:hAnsi="Cambria Math"/>
              </w:rPr>
            </m:ctrlPr>
          </m:e>
        </m:nary>
        <m:r>
          <m:rPr/>
          <w:rPr>
            <w:rFonts w:ascii="Cambria Math" w:hAnsi="Cambria Math"/>
          </w:rPr>
          <m:t>×</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F2A8DFD">
      <w:pPr>
        <w:snapToGrid w:val="0"/>
        <w:ind w:firstLine="420" w:firstLineChars="200"/>
        <w:rPr>
          <w:rFonts w:ascii="Times New Roman" w:hAnsi="Times New Roman"/>
          <w:kern w:val="0"/>
        </w:rPr>
      </w:pPr>
      <w:r>
        <w:rPr>
          <w:rFonts w:ascii="Times New Roman" w:hAnsi="Times New Roman"/>
          <w:kern w:val="0"/>
        </w:rPr>
        <w:t>式中：</w:t>
      </w:r>
    </w:p>
    <w:p w14:paraId="6E95ED63">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r>
              <m:rPr/>
              <w:rPr>
                <w:rFonts w:ascii="Cambria Math" w:hAnsi="Cambria Math"/>
                <w:kern w:val="0"/>
                <w:szCs w:val="20"/>
              </w:rPr>
              <m:t>vfm</m:t>
            </m:r>
            <m:ctrlPr>
              <w:rPr>
                <w:rFonts w:ascii="Cambria Math" w:hAnsi="Cambria Math"/>
                <w:kern w:val="0"/>
                <w:szCs w:val="20"/>
              </w:rPr>
            </m:ctrlPr>
          </m:sub>
        </m:sSub>
      </m:oMath>
      <w:r>
        <w:rPr>
          <w:rFonts w:ascii="Times New Roman" w:hAnsi="Times New Roman"/>
          <w:kern w:val="0"/>
          <w:szCs w:val="20"/>
        </w:rPr>
        <w:t>——植被洪水调蓄量，单位：m</w:t>
      </w:r>
      <w:r>
        <w:rPr>
          <w:rFonts w:ascii="Times New Roman" w:hAnsi="Times New Roman"/>
          <w:kern w:val="0"/>
          <w:szCs w:val="20"/>
          <w:vertAlign w:val="superscript"/>
        </w:rPr>
        <w:t>3</w:t>
      </w:r>
      <w:r>
        <w:rPr>
          <w:rFonts w:ascii="Times New Roman" w:hAnsi="Times New Roman"/>
          <w:kern w:val="0"/>
          <w:szCs w:val="20"/>
        </w:rPr>
        <w:t>/a；</w:t>
      </w:r>
    </w:p>
    <w:p w14:paraId="08C0DDF0">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P</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类生态系统暴雨降雨量，单位：mm/a，见附录C.5.1；</w:t>
      </w:r>
    </w:p>
    <w:p w14:paraId="6A0EF41C">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R</m:t>
            </m:r>
            <m:ctrlPr>
              <w:rPr>
                <w:rFonts w:ascii="Cambria Math" w:hAnsi="Cambria Math"/>
                <w:i/>
                <w:kern w:val="0"/>
                <w:szCs w:val="20"/>
              </w:rPr>
            </m:ctrlPr>
          </m:e>
          <m:sub>
            <m:r>
              <m:rPr/>
              <w:rPr>
                <w:rFonts w:ascii="Cambria Math" w:hAnsi="Cambria Math"/>
                <w:kern w:val="0"/>
                <w:szCs w:val="20"/>
              </w:rPr>
              <m:t>fi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类生态系统的暴雨径流量，单位：mm/a，见附录C.5.2；</w:t>
      </w:r>
    </w:p>
    <w:p w14:paraId="5AB7D1A7">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A</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类生态系统的面积，单位：km</w:t>
      </w:r>
      <w:r>
        <w:rPr>
          <w:rFonts w:ascii="Times New Roman" w:hAnsi="Times New Roman"/>
          <w:kern w:val="0"/>
          <w:szCs w:val="20"/>
          <w:vertAlign w:val="superscript"/>
        </w:rPr>
        <w:t>2</w:t>
      </w:r>
      <w:r>
        <w:rPr>
          <w:rFonts w:ascii="Times New Roman" w:hAnsi="Times New Roman"/>
          <w:kern w:val="0"/>
          <w:szCs w:val="20"/>
        </w:rPr>
        <w:t>；</w:t>
      </w:r>
    </w:p>
    <w:p w14:paraId="58F2DAB1">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i</m:t>
        </m:r>
      </m:oMath>
      <w:r>
        <w:rPr>
          <w:rFonts w:ascii="Times New Roman" w:hAnsi="Times New Roman"/>
          <w:kern w:val="0"/>
          <w:szCs w:val="20"/>
        </w:rPr>
        <w:t>——生态系统类型；</w:t>
      </w:r>
    </w:p>
    <w:p w14:paraId="77BCAF22">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n</m:t>
        </m:r>
      </m:oMath>
      <w:r>
        <w:rPr>
          <w:rFonts w:ascii="Times New Roman" w:hAnsi="Times New Roman"/>
          <w:kern w:val="0"/>
          <w:szCs w:val="20"/>
        </w:rPr>
        <w:t>——生态系统类型数量。</w:t>
      </w:r>
    </w:p>
    <w:p w14:paraId="1C97AEB4">
      <w:p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5.2.2.3.2　</w:t>
      </w:r>
      <w:r>
        <w:rPr>
          <w:rFonts w:ascii="Times New Roman" w:hAnsi="Times New Roman" w:eastAsia="黑体"/>
          <w:kern w:val="0"/>
          <w:szCs w:val="20"/>
        </w:rPr>
        <w:t>水田</w:t>
      </w:r>
      <w:r>
        <w:rPr>
          <w:rFonts w:hint="eastAsia" w:ascii="Times New Roman" w:hAnsi="Times New Roman" w:eastAsia="黑体"/>
          <w:kern w:val="0"/>
          <w:szCs w:val="20"/>
        </w:rPr>
        <w:t>洪水调蓄量</w:t>
      </w:r>
    </w:p>
    <w:p w14:paraId="0215F2E8">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农田生态系统中水田空间的洪水调蓄量，按照公式（8）计算。</w:t>
      </w:r>
    </w:p>
    <w:p w14:paraId="1F1454A6">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pfm</m:t>
            </m:r>
            <m:ctrlPr>
              <w:rPr>
                <w:rFonts w:ascii="Cambria Math" w:hAnsi="Cambria Math"/>
              </w:rPr>
            </m:ctrlPr>
          </m:sub>
        </m:sSub>
        <m:r>
          <m:rPr>
            <m:sty m:val="p"/>
          </m:rPr>
          <w:rPr>
            <w:rFonts w:ascii="Cambria Math" w:hAnsi="Cambria Math"/>
          </w:rPr>
          <m:t>=</m:t>
        </m:r>
        <m:d>
          <m:dPr>
            <m:ctrlPr>
              <w:rPr>
                <w:rFonts w:ascii="Cambria Math" w:hAnsi="Cambria Math"/>
              </w:rPr>
            </m:ctrlPr>
          </m:dPr>
          <m:e>
            <m:r>
              <m:rPr/>
              <w:rPr>
                <w:rFonts w:ascii="Cambria Math" w:hAnsi="Cambria Math"/>
              </w:rPr>
              <m:t>H</m:t>
            </m:r>
            <m:r>
              <m:rPr>
                <m:sty m:val="p"/>
              </m:rPr>
              <w:rPr>
                <w:rFonts w:ascii="Cambria Math" w:hAnsi="Cambria Math" w:eastAsia="MS Gothic"/>
              </w:rPr>
              <m:t>−</m:t>
            </m:r>
            <m:r>
              <m:rPr/>
              <w:rPr>
                <w:rFonts w:ascii="Cambria Math" w:hAnsi="Cambria Math"/>
              </w:rPr>
              <m:t>ℎ</m:t>
            </m:r>
            <m:ctrlPr>
              <w:rPr>
                <w:rFonts w:ascii="Cambria Math" w:hAnsi="Cambria Math"/>
              </w:rPr>
            </m:ctrlPr>
          </m:e>
        </m:d>
        <m:r>
          <m:rPr/>
          <w:rPr>
            <w:rFonts w:ascii="Cambria Math" w:hAnsi="Cambria Math"/>
          </w:rPr>
          <m:t>×S×d×</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6</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A0017C8">
      <w:pPr>
        <w:snapToGrid w:val="0"/>
        <w:ind w:firstLine="420" w:firstLineChars="200"/>
        <w:rPr>
          <w:rFonts w:ascii="Times New Roman" w:hAnsi="Times New Roman"/>
          <w:kern w:val="0"/>
        </w:rPr>
      </w:pPr>
      <w:r>
        <w:rPr>
          <w:rFonts w:ascii="Times New Roman" w:hAnsi="Times New Roman"/>
          <w:kern w:val="0"/>
        </w:rPr>
        <w:t>式中：</w:t>
      </w:r>
    </w:p>
    <w:p w14:paraId="209D3C55">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r>
              <m:rPr/>
              <w:rPr>
                <w:rFonts w:ascii="Cambria Math" w:hAnsi="Cambria Math"/>
                <w:kern w:val="0"/>
                <w:szCs w:val="20"/>
              </w:rPr>
              <m:t>pfm</m:t>
            </m:r>
            <m:ctrlPr>
              <w:rPr>
                <w:rFonts w:ascii="Cambria Math" w:hAnsi="Cambria Math"/>
                <w:kern w:val="0"/>
                <w:szCs w:val="20"/>
              </w:rPr>
            </m:ctrlPr>
          </m:sub>
        </m:sSub>
      </m:oMath>
      <w:r>
        <w:rPr>
          <w:rFonts w:ascii="Times New Roman" w:hAnsi="Times New Roman"/>
          <w:kern w:val="0"/>
          <w:szCs w:val="20"/>
        </w:rPr>
        <w:t>——水田洪水调蓄量，单位：m</w:t>
      </w:r>
      <w:r>
        <w:rPr>
          <w:rFonts w:ascii="Times New Roman" w:hAnsi="Times New Roman"/>
          <w:kern w:val="0"/>
          <w:szCs w:val="20"/>
          <w:vertAlign w:val="superscript"/>
        </w:rPr>
        <w:t>3</w:t>
      </w:r>
      <w:r>
        <w:rPr>
          <w:rFonts w:ascii="Times New Roman" w:hAnsi="Times New Roman"/>
          <w:kern w:val="0"/>
          <w:szCs w:val="20"/>
        </w:rPr>
        <w:t>/a；</w:t>
      </w:r>
    </w:p>
    <w:p w14:paraId="4B205934">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H</m:t>
        </m:r>
      </m:oMath>
      <w:r>
        <w:rPr>
          <w:rFonts w:ascii="Times New Roman" w:hAnsi="Times New Roman"/>
          <w:kern w:val="0"/>
          <w:szCs w:val="20"/>
        </w:rPr>
        <w:t>——水田田埂高度，单位：m，见附录C.5.3；</w:t>
      </w:r>
    </w:p>
    <w:p w14:paraId="330AEEF1">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ℎ</m:t>
        </m:r>
      </m:oMath>
      <w:r>
        <w:rPr>
          <w:rFonts w:ascii="Times New Roman" w:hAnsi="Times New Roman"/>
          <w:kern w:val="0"/>
          <w:szCs w:val="20"/>
        </w:rPr>
        <w:t>——水稻生育期平均蓄水高度，单位：m，见附录C.5.4；</w:t>
      </w:r>
    </w:p>
    <w:p w14:paraId="457D5F3A">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S</m:t>
        </m:r>
      </m:oMath>
      <w:r>
        <w:rPr>
          <w:rFonts w:ascii="Times New Roman" w:hAnsi="Times New Roman"/>
          <w:kern w:val="0"/>
          <w:szCs w:val="20"/>
        </w:rPr>
        <w:t>——水田面积，单位：km</w:t>
      </w:r>
      <w:r>
        <w:rPr>
          <w:rFonts w:ascii="Times New Roman" w:hAnsi="Times New Roman"/>
          <w:kern w:val="0"/>
          <w:szCs w:val="20"/>
          <w:vertAlign w:val="superscript"/>
        </w:rPr>
        <w:t>2</w:t>
      </w:r>
      <w:r>
        <w:rPr>
          <w:rFonts w:ascii="Times New Roman" w:hAnsi="Times New Roman"/>
          <w:kern w:val="0"/>
          <w:szCs w:val="20"/>
        </w:rPr>
        <w:t>；</w:t>
      </w:r>
    </w:p>
    <w:p w14:paraId="75BB1F71">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d</m:t>
        </m:r>
      </m:oMath>
      <w:r>
        <w:rPr>
          <w:rFonts w:ascii="Times New Roman" w:hAnsi="Times New Roman"/>
          <w:kern w:val="0"/>
          <w:szCs w:val="20"/>
        </w:rPr>
        <w:t>——洪水发生次数，单位：次。</w:t>
      </w:r>
    </w:p>
    <w:p w14:paraId="26B2170E">
      <w:p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5.2.2.3.3　</w:t>
      </w:r>
      <w:r>
        <w:rPr>
          <w:rFonts w:ascii="Times New Roman" w:hAnsi="Times New Roman" w:eastAsia="黑体"/>
          <w:kern w:val="0"/>
          <w:szCs w:val="20"/>
        </w:rPr>
        <w:t>城市水域</w:t>
      </w:r>
      <w:r>
        <w:rPr>
          <w:rFonts w:hint="eastAsia" w:ascii="Times New Roman" w:hAnsi="Times New Roman" w:eastAsia="黑体"/>
          <w:kern w:val="0"/>
          <w:szCs w:val="20"/>
        </w:rPr>
        <w:t>洪水调蓄量</w:t>
      </w:r>
    </w:p>
    <w:p w14:paraId="192B483C">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城市生态系统中城市水体空间的洪水调蓄量，按照公式（9）计算。</w:t>
      </w:r>
    </w:p>
    <w:p w14:paraId="2C7ED89A">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cfm</m:t>
            </m:r>
            <m:ctrlPr>
              <w:rPr>
                <w:rFonts w:ascii="Cambria Math" w:hAnsi="Cambria Math"/>
                <w:i/>
              </w:rPr>
            </m:ctrlPr>
          </m:sub>
        </m:sSub>
        <m:r>
          <m:rPr/>
          <w:rPr>
            <w:rFonts w:ascii="Cambria Math" w:hAnsi="Cambria Math"/>
          </w:rPr>
          <m:t>=S×H×</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6</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9484545">
      <w:pPr>
        <w:snapToGrid w:val="0"/>
        <w:ind w:firstLine="420" w:firstLineChars="200"/>
        <w:rPr>
          <w:rFonts w:ascii="Times New Roman" w:hAnsi="Times New Roman"/>
          <w:kern w:val="0"/>
        </w:rPr>
      </w:pPr>
      <w:r>
        <w:rPr>
          <w:rFonts w:ascii="Times New Roman" w:hAnsi="Times New Roman"/>
          <w:kern w:val="0"/>
        </w:rPr>
        <w:t xml:space="preserve">式中：               </w:t>
      </w:r>
    </w:p>
    <w:p w14:paraId="049619D3">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Q</m:t>
            </m:r>
            <m:ctrlPr>
              <w:rPr>
                <w:rFonts w:ascii="Cambria Math" w:hAnsi="Cambria Math"/>
                <w:i/>
                <w:kern w:val="0"/>
                <w:szCs w:val="20"/>
              </w:rPr>
            </m:ctrlPr>
          </m:e>
          <m:sub>
            <m:r>
              <m:rPr/>
              <w:rPr>
                <w:rFonts w:ascii="Cambria Math" w:hAnsi="Cambria Math"/>
                <w:kern w:val="0"/>
                <w:szCs w:val="20"/>
              </w:rPr>
              <m:t>cfm</m:t>
            </m:r>
            <m:ctrlPr>
              <w:rPr>
                <w:rFonts w:ascii="Cambria Math" w:hAnsi="Cambria Math"/>
                <w:i/>
                <w:kern w:val="0"/>
                <w:szCs w:val="20"/>
              </w:rPr>
            </m:ctrlPr>
          </m:sub>
        </m:sSub>
      </m:oMath>
      <w:r>
        <w:rPr>
          <w:rFonts w:ascii="Times New Roman" w:hAnsi="Times New Roman"/>
          <w:kern w:val="0"/>
          <w:szCs w:val="20"/>
        </w:rPr>
        <w:t>——城市水域洪水调蓄量，单位：m</w:t>
      </w:r>
      <w:r>
        <w:rPr>
          <w:rFonts w:ascii="Times New Roman" w:hAnsi="Times New Roman"/>
          <w:kern w:val="0"/>
          <w:szCs w:val="20"/>
          <w:vertAlign w:val="superscript"/>
        </w:rPr>
        <w:t>3</w:t>
      </w:r>
      <w:r>
        <w:rPr>
          <w:rFonts w:ascii="Times New Roman" w:hAnsi="Times New Roman"/>
          <w:kern w:val="0"/>
          <w:szCs w:val="20"/>
        </w:rPr>
        <w:t>/a；</w:t>
      </w:r>
    </w:p>
    <w:p w14:paraId="0D695825">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S</m:t>
        </m:r>
      </m:oMath>
      <w:r>
        <w:rPr>
          <w:rFonts w:ascii="Times New Roman" w:hAnsi="Times New Roman"/>
          <w:kern w:val="0"/>
          <w:szCs w:val="20"/>
        </w:rPr>
        <w:t>——城市水体面积，单位：km</w:t>
      </w:r>
      <w:r>
        <w:rPr>
          <w:rFonts w:ascii="Times New Roman" w:hAnsi="Times New Roman"/>
          <w:kern w:val="0"/>
          <w:szCs w:val="20"/>
          <w:vertAlign w:val="superscript"/>
        </w:rPr>
        <w:t>2</w:t>
      </w:r>
      <w:r>
        <w:rPr>
          <w:rFonts w:ascii="Times New Roman" w:hAnsi="Times New Roman"/>
          <w:kern w:val="0"/>
          <w:szCs w:val="20"/>
        </w:rPr>
        <w:t>；</w:t>
      </w:r>
    </w:p>
    <w:p w14:paraId="1D674887">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H</m:t>
        </m:r>
      </m:oMath>
      <w:r>
        <w:rPr>
          <w:rFonts w:ascii="Times New Roman" w:hAnsi="Times New Roman"/>
          <w:kern w:val="0"/>
          <w:szCs w:val="20"/>
        </w:rPr>
        <w:t>——洪水期城市水体平均滞水高度，单位：m，见附录C.5.5。</w:t>
      </w:r>
    </w:p>
    <w:p w14:paraId="1E5628A7">
      <w:p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5.2.2.3.4　</w:t>
      </w:r>
      <w:r>
        <w:rPr>
          <w:rFonts w:ascii="Times New Roman" w:hAnsi="Times New Roman" w:eastAsia="黑体"/>
          <w:kern w:val="0"/>
          <w:szCs w:val="20"/>
        </w:rPr>
        <w:t>湿地</w:t>
      </w:r>
      <w:r>
        <w:rPr>
          <w:rFonts w:hint="eastAsia" w:ascii="Times New Roman" w:hAnsi="Times New Roman" w:eastAsia="黑体"/>
          <w:kern w:val="0"/>
          <w:szCs w:val="20"/>
        </w:rPr>
        <w:t>洪水调蓄量</w:t>
      </w:r>
    </w:p>
    <w:p w14:paraId="6A625EB0">
      <w:pPr>
        <w:pStyle w:val="58"/>
        <w:ind w:firstLine="420"/>
        <w:rPr>
          <w:rFonts w:ascii="Times New Roman"/>
        </w:rPr>
      </w:pPr>
      <w:r>
        <w:rPr>
          <w:rFonts w:ascii="Times New Roman"/>
        </w:rPr>
        <w:t>湿地洪水调蓄量应汇总湖泊、水库、沼泽三类湿地空间的洪水调蓄量，按照公式（10）（11）（12）（13）（14）（15）计算。</w:t>
      </w:r>
    </w:p>
    <w:p w14:paraId="5AD785D7">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wfm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rfm</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lfm</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mfm</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9366545">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rfm</m:t>
            </m:r>
            <m:ctrlPr>
              <w:rPr>
                <w:rFonts w:ascii="Cambria Math" w:hAnsi="Cambria Math"/>
              </w:rPr>
            </m:ctrlPr>
          </m:sub>
        </m:sSub>
        <m:r>
          <m:rPr>
            <m:sty m:val="p"/>
          </m:rPr>
          <w:rPr>
            <w:rFonts w:ascii="Cambria Math" w:hAnsi="Cambria Math"/>
          </w:rPr>
          <m:t>=</m:t>
        </m:r>
        <m:r>
          <m:rPr/>
          <w:rPr>
            <w:rFonts w:ascii="Cambria Math" w:hAnsi="Cambria Math"/>
          </w:rPr>
          <m:t>ε</m:t>
        </m:r>
        <m:r>
          <m:rPr>
            <m:sty m:val="p"/>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ts</m:t>
            </m:r>
            <m:ctrlPr>
              <w:rPr>
                <w:rFonts w:ascii="Cambria Math" w:hAnsi="Cambria Math"/>
              </w:rPr>
            </m:ctrlPr>
          </m:sub>
        </m:sSub>
      </m:oMath>
      <w:r>
        <w:rPr>
          <w:rFonts w:ascii="Times New Roman" w:hAnsi="Times New Roman"/>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6D7CB93">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lfm</m:t>
            </m:r>
            <m:ctrlPr>
              <w:rPr>
                <w:rFonts w:ascii="Cambria Math" w:hAnsi="Cambria Math"/>
              </w:rPr>
            </m:ctrlP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e</m:t>
            </m:r>
            <m:ctrlPr>
              <w:rPr>
                <w:rFonts w:ascii="Cambria Math" w:hAnsi="Cambria Math"/>
              </w:rPr>
            </m:ctrlPr>
          </m:e>
          <m:sup>
            <m:r>
              <m:rPr>
                <m:sty m:val="p"/>
              </m:rPr>
              <w:rPr>
                <w:rFonts w:ascii="Cambria Math" w:hAnsi="Cambria Math"/>
              </w:rPr>
              <m:t>4.924</m:t>
            </m:r>
            <m:ctrlPr>
              <w:rPr>
                <w:rFonts w:ascii="Cambria Math" w:hAnsi="Cambria Math"/>
              </w:rPr>
            </m:ctrlPr>
          </m:sup>
        </m:sSup>
        <m:r>
          <m:rPr/>
          <w:rPr>
            <w:rFonts w:ascii="Cambria Math" w:hAnsi="Cambria Math"/>
          </w:rPr>
          <m:t>×</m:t>
        </m:r>
        <m:sSup>
          <m:sSupPr>
            <m:ctrlPr>
              <w:rPr>
                <w:rFonts w:ascii="Cambria Math" w:hAnsi="Cambria Math"/>
                <w:i/>
              </w:rPr>
            </m:ctrlPr>
          </m:sSupPr>
          <m:e>
            <m:r>
              <m:rPr/>
              <w:rPr>
                <w:rFonts w:ascii="Cambria Math" w:hAnsi="Cambria Math"/>
              </w:rPr>
              <m:t>A</m:t>
            </m:r>
            <m:ctrlPr>
              <w:rPr>
                <w:rFonts w:ascii="Cambria Math" w:hAnsi="Cambria Math"/>
                <w:i/>
              </w:rPr>
            </m:ctrlPr>
          </m:e>
          <m:sup>
            <m:r>
              <m:rPr/>
              <w:rPr>
                <w:rFonts w:ascii="Cambria Math" w:hAnsi="Cambria Math"/>
              </w:rPr>
              <m:t>1.128</m:t>
            </m:r>
            <m:ctrlPr>
              <w:rPr>
                <w:rFonts w:ascii="Cambria Math" w:hAnsi="Cambria Math"/>
                <w:i/>
              </w:rPr>
            </m:ctrlPr>
          </m:sup>
        </m:sSup>
        <m:r>
          <m:rPr/>
          <w:rPr>
            <w:rFonts w:ascii="Cambria Math" w:hAnsi="Cambria Math"/>
          </w:rPr>
          <m:t>×d×</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FA9B97E">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mfm</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sws</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D3DF09D">
      <w:pPr>
        <w:pStyle w:val="115"/>
        <w:spacing w:before="156" w:after="15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sws</m:t>
            </m:r>
            <m:ctrlPr>
              <w:rPr>
                <w:rFonts w:ascii="Cambria Math" w:hAnsi="Cambria Math"/>
                <w:i/>
              </w:rPr>
            </m:ctrlPr>
          </m:sub>
        </m:sSub>
        <m:r>
          <m:rPr/>
          <w:rPr>
            <w:rFonts w:ascii="Cambria Math" w:hAnsi="Cambria Math"/>
          </w:rPr>
          <m:t>=S×ℎ×ρ×DMC×</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6</m:t>
            </m:r>
            <m:ctrlPr>
              <w:rPr>
                <w:rFonts w:ascii="Cambria Math" w:hAnsi="Cambria Math"/>
                <w:i/>
              </w:rPr>
            </m:ctrlPr>
          </m:sup>
        </m:sSup>
        <m:r>
          <m:rPr/>
          <w:rPr>
            <w:rFonts w:ascii="Cambria Math" w:hAnsi="Cambria Math"/>
          </w:rPr>
          <m:t>/</m:t>
        </m:r>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w</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C4488B4">
      <w:pPr>
        <w:pStyle w:val="115"/>
        <w:spacing w:before="156" w:after="15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sr</m:t>
            </m:r>
            <m:ctrlPr>
              <w:rPr>
                <w:rFonts w:ascii="Cambria Math" w:hAnsi="Cambria Math"/>
                <w:i/>
              </w:rPr>
            </m:ctrlPr>
          </m:sub>
        </m:sSub>
        <m:r>
          <m:rPr/>
          <w:rPr>
            <w:rFonts w:ascii="Cambria Math" w:hAnsi="Cambria Math"/>
          </w:rPr>
          <m:t>=S×H×</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6</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C3D6125">
      <w:pPr>
        <w:pStyle w:val="57"/>
        <w:ind w:firstLine="420"/>
        <w:rPr>
          <w:rFonts w:ascii="Times New Roman" w:hAnsi="Times New Roman"/>
        </w:rPr>
      </w:pPr>
      <w:r>
        <w:rPr>
          <w:rFonts w:ascii="Times New Roman" w:hAnsi="Times New Roman"/>
        </w:rPr>
        <w:t>式中：</w:t>
      </w:r>
    </w:p>
    <w:p w14:paraId="79C496BD">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wfm</m:t>
            </m:r>
            <m:ctrlPr>
              <w:rPr>
                <w:rFonts w:ascii="Cambria Math" w:hAnsi="Cambria Math"/>
              </w:rPr>
            </m:ctrlPr>
          </m:sub>
        </m:sSub>
      </m:oMath>
      <w:r>
        <w:rPr>
          <w:rFonts w:ascii="Times New Roman"/>
        </w:rPr>
        <w:t>——湿地生态系统洪水调蓄量，单位：m</w:t>
      </w:r>
      <w:r>
        <w:rPr>
          <w:rFonts w:ascii="Times New Roman"/>
          <w:vertAlign w:val="superscript"/>
        </w:rPr>
        <w:t>3</w:t>
      </w:r>
      <w:r>
        <w:rPr>
          <w:rFonts w:ascii="Times New Roman"/>
        </w:rPr>
        <w:t>/a；</w:t>
      </w:r>
    </w:p>
    <w:p w14:paraId="05D7C9C0">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rfm</m:t>
            </m:r>
            <m:ctrlPr>
              <w:rPr>
                <w:rFonts w:ascii="Cambria Math" w:hAnsi="Cambria Math"/>
              </w:rPr>
            </m:ctrlPr>
          </m:sub>
        </m:sSub>
      </m:oMath>
      <w:r>
        <w:rPr>
          <w:rFonts w:ascii="Times New Roman"/>
        </w:rPr>
        <w:t>——水库洪水调蓄量，可使用核算区水库防洪库容量计算，也可通过水库库容换算，单位：m</w:t>
      </w:r>
      <w:r>
        <w:rPr>
          <w:rFonts w:ascii="Times New Roman"/>
          <w:vertAlign w:val="superscript"/>
        </w:rPr>
        <w:t>3</w:t>
      </w:r>
      <w:r>
        <w:rPr>
          <w:rFonts w:ascii="Times New Roman"/>
        </w:rPr>
        <w:t>/a；</w:t>
      </w:r>
    </w:p>
    <w:p w14:paraId="42636C3E">
      <w:pPr>
        <w:pStyle w:val="58"/>
        <w:ind w:firstLine="420"/>
        <w:rPr>
          <w:rFonts w:ascii="Times New Roman"/>
        </w:rPr>
      </w:pP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lfm</m:t>
            </m:r>
            <m:ctrlPr>
              <w:rPr>
                <w:rFonts w:ascii="Cambria Math" w:hAnsi="Cambria Math"/>
                <w:i/>
              </w:rPr>
            </m:ctrlPr>
          </m:sub>
        </m:sSub>
      </m:oMath>
      <w:r>
        <w:rPr>
          <w:rFonts w:ascii="Times New Roman"/>
        </w:rPr>
        <w:t>——湖泊洪水调蓄量，单位：m</w:t>
      </w:r>
      <w:r>
        <w:rPr>
          <w:rFonts w:ascii="Times New Roman"/>
          <w:vertAlign w:val="superscript"/>
        </w:rPr>
        <w:t>3</w:t>
      </w:r>
      <w:r>
        <w:rPr>
          <w:rFonts w:ascii="Times New Roman"/>
        </w:rPr>
        <w:t>/a；</w:t>
      </w:r>
    </w:p>
    <w:p w14:paraId="7B3C67C7">
      <w:pPr>
        <w:pStyle w:val="58"/>
        <w:ind w:firstLine="420"/>
        <w:rPr>
          <w:rFonts w:ascii="Times New Roman"/>
        </w:rPr>
      </w:pP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mfm</m:t>
            </m:r>
            <m:ctrlPr>
              <w:rPr>
                <w:rFonts w:ascii="Cambria Math" w:hAnsi="Cambria Math"/>
                <w:i/>
              </w:rPr>
            </m:ctrlPr>
          </m:sub>
        </m:sSub>
      </m:oMath>
      <w:r>
        <w:rPr>
          <w:rFonts w:ascii="Times New Roman"/>
        </w:rPr>
        <w:t>——沼泽洪水调蓄量，单位：m</w:t>
      </w:r>
      <w:r>
        <w:rPr>
          <w:rFonts w:ascii="Times New Roman"/>
          <w:vertAlign w:val="superscript"/>
        </w:rPr>
        <w:t>3</w:t>
      </w:r>
      <w:r>
        <w:rPr>
          <w:rFonts w:ascii="Times New Roman"/>
        </w:rPr>
        <w:t>/a；</w:t>
      </w:r>
    </w:p>
    <w:p w14:paraId="576634A7">
      <w:pPr>
        <w:pStyle w:val="58"/>
        <w:ind w:firstLine="420"/>
        <w:rPr>
          <w:rFonts w:ascii="Times New Roman"/>
        </w:rPr>
      </w:pPr>
      <m:oMath>
        <m:r>
          <m:rPr/>
          <w:rPr>
            <w:rFonts w:ascii="Cambria Math" w:hAnsi="Cambria Math"/>
          </w:rPr>
          <m:t>ε</m:t>
        </m:r>
      </m:oMath>
      <w:r>
        <w:rPr>
          <w:rFonts w:ascii="Times New Roman"/>
        </w:rPr>
        <w:t>——水库库容转换为防洪库容的系数，单位：无量纲，见附录C.5.6；</w:t>
      </w:r>
    </w:p>
    <w:p w14:paraId="06FED226">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ts</m:t>
            </m:r>
            <m:ctrlPr>
              <w:rPr>
                <w:rFonts w:ascii="Cambria Math" w:hAnsi="Cambria Math"/>
                <w:i/>
                <w:kern w:val="2"/>
                <w:szCs w:val="21"/>
              </w:rPr>
            </m:ctrlPr>
          </m:sub>
        </m:sSub>
      </m:oMath>
      <w:r>
        <w:rPr>
          <w:rFonts w:ascii="Times New Roman"/>
        </w:rPr>
        <w:t>——水库总库容，单位：m</w:t>
      </w:r>
      <w:r>
        <w:rPr>
          <w:rFonts w:ascii="Times New Roman"/>
          <w:vertAlign w:val="superscript"/>
        </w:rPr>
        <w:t>3</w:t>
      </w:r>
      <w:r>
        <w:rPr>
          <w:rFonts w:ascii="Times New Roman"/>
        </w:rPr>
        <w:t>；</w:t>
      </w:r>
    </w:p>
    <w:p w14:paraId="78D0A95C">
      <w:pPr>
        <w:pStyle w:val="58"/>
        <w:ind w:firstLine="420"/>
        <w:rPr>
          <w:rFonts w:ascii="Times New Roman"/>
        </w:rPr>
      </w:pPr>
      <m:oMath>
        <m:r>
          <m:rPr/>
          <w:rPr>
            <w:rFonts w:ascii="Cambria Math" w:hAnsi="Cambria Math"/>
          </w:rPr>
          <m:t>A</m:t>
        </m:r>
      </m:oMath>
      <w:r>
        <w:rPr>
          <w:rFonts w:ascii="Times New Roman"/>
        </w:rPr>
        <w:t>——湖泊面积，单位：km</w:t>
      </w:r>
      <w:r>
        <w:rPr>
          <w:rFonts w:ascii="Times New Roman"/>
          <w:vertAlign w:val="superscript"/>
        </w:rPr>
        <w:t>2</w:t>
      </w:r>
      <w:r>
        <w:rPr>
          <w:rFonts w:ascii="Times New Roman"/>
        </w:rPr>
        <w:t>；</w:t>
      </w:r>
    </w:p>
    <w:p w14:paraId="77FE190B">
      <w:pPr>
        <w:pStyle w:val="58"/>
        <w:ind w:firstLine="420"/>
        <w:rPr>
          <w:rFonts w:ascii="Times New Roman"/>
        </w:rPr>
      </w:pPr>
      <m:oMath>
        <m:r>
          <m:rPr/>
          <w:rPr>
            <w:rFonts w:ascii="Cambria Math" w:hAnsi="Cambria Math"/>
          </w:rPr>
          <m:t>d</m:t>
        </m:r>
      </m:oMath>
      <w:r>
        <w:rPr>
          <w:rFonts w:ascii="Times New Roman"/>
        </w:rPr>
        <w:t>——湖泊换水次数，单位：次/a，见附录C.5.7；</w:t>
      </w:r>
    </w:p>
    <w:p w14:paraId="6A13A71E">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sws</m:t>
            </m:r>
            <m:ctrlPr>
              <w:rPr>
                <w:rFonts w:ascii="Cambria Math" w:hAnsi="Cambria Math"/>
              </w:rPr>
            </m:ctrlPr>
          </m:sub>
        </m:sSub>
      </m:oMath>
      <w:r>
        <w:rPr>
          <w:rFonts w:ascii="Times New Roman"/>
        </w:rPr>
        <w:t>——沼泽土壤蓄水量，单位：m</w:t>
      </w:r>
      <w:r>
        <w:rPr>
          <w:rFonts w:ascii="Times New Roman"/>
          <w:vertAlign w:val="superscript"/>
        </w:rPr>
        <w:t>3</w:t>
      </w:r>
      <w:r>
        <w:rPr>
          <w:rFonts w:ascii="Times New Roman"/>
        </w:rPr>
        <w:t>/a；</w:t>
      </w:r>
    </w:p>
    <w:p w14:paraId="0EFF07F0">
      <w:pPr>
        <w:pStyle w:val="58"/>
        <w:ind w:firstLine="420"/>
        <w:rPr>
          <w:rFonts w:ascii="Times New Roman"/>
        </w:rPr>
      </w:pP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rPr>
        <w:t>——沼泽地表滞水量，单位：m</w:t>
      </w:r>
      <w:r>
        <w:rPr>
          <w:rFonts w:ascii="Times New Roman"/>
          <w:vertAlign w:val="superscript"/>
        </w:rPr>
        <w:t>3</w:t>
      </w:r>
      <w:r>
        <w:rPr>
          <w:rFonts w:ascii="Times New Roman"/>
        </w:rPr>
        <w:t>/a；</w:t>
      </w:r>
    </w:p>
    <w:p w14:paraId="68E03416">
      <w:pPr>
        <w:pStyle w:val="58"/>
        <w:ind w:firstLine="420"/>
        <w:rPr>
          <w:rFonts w:ascii="Times New Roman"/>
        </w:rPr>
      </w:pPr>
      <m:oMath>
        <m:r>
          <m:rPr/>
          <w:rPr>
            <w:rFonts w:ascii="Cambria Math" w:hAnsi="Cambria Math"/>
          </w:rPr>
          <m:t>S</m:t>
        </m:r>
      </m:oMath>
      <w:r>
        <w:rPr>
          <w:rFonts w:ascii="Times New Roman"/>
        </w:rPr>
        <w:t>——沼泽面积，单位：km</w:t>
      </w:r>
      <w:r>
        <w:rPr>
          <w:rFonts w:ascii="Times New Roman"/>
          <w:vertAlign w:val="superscript"/>
        </w:rPr>
        <w:t>2</w:t>
      </w:r>
      <w:r>
        <w:rPr>
          <w:rFonts w:ascii="Times New Roman"/>
        </w:rPr>
        <w:t>；</w:t>
      </w:r>
    </w:p>
    <w:p w14:paraId="7C3B2F24">
      <w:pPr>
        <w:pStyle w:val="58"/>
        <w:ind w:firstLine="420"/>
        <w:rPr>
          <w:rFonts w:ascii="Times New Roman"/>
        </w:rPr>
      </w:pPr>
      <m:oMath>
        <m:r>
          <m:rPr/>
          <w:rPr>
            <w:rFonts w:ascii="Cambria Math" w:hAnsi="Cambria Math"/>
          </w:rPr>
          <m:t>ℎ</m:t>
        </m:r>
      </m:oMath>
      <w:r>
        <w:rPr>
          <w:rFonts w:ascii="Times New Roman"/>
        </w:rPr>
        <w:t>——沼泽湿地土壤蓄水深度，单位：m，见附录C.5.8；</w:t>
      </w:r>
    </w:p>
    <w:p w14:paraId="058C81A6">
      <w:pPr>
        <w:pStyle w:val="58"/>
        <w:ind w:firstLine="420"/>
        <w:rPr>
          <w:rFonts w:ascii="Times New Roman"/>
        </w:rPr>
      </w:pPr>
      <m:oMath>
        <m:r>
          <m:rPr/>
          <w:rPr>
            <w:rFonts w:ascii="Cambria Math" w:hAnsi="Cambria Math"/>
          </w:rPr>
          <m:t>ρ</m:t>
        </m:r>
      </m:oMath>
      <w:r>
        <w:rPr>
          <w:rFonts w:ascii="Times New Roman"/>
        </w:rPr>
        <w:t>——沼泽湿地土壤容重，单位：t/m</w:t>
      </w:r>
      <w:r>
        <w:rPr>
          <w:rFonts w:ascii="Times New Roman"/>
          <w:vertAlign w:val="superscript"/>
        </w:rPr>
        <w:t>3</w:t>
      </w:r>
      <w:r>
        <w:rPr>
          <w:rFonts w:ascii="Times New Roman"/>
        </w:rPr>
        <w:t>；</w:t>
      </w:r>
    </w:p>
    <w:p w14:paraId="7A5683A9">
      <w:pPr>
        <w:pStyle w:val="58"/>
        <w:ind w:firstLine="420"/>
        <w:rPr>
          <w:rFonts w:ascii="Times New Roman"/>
        </w:rPr>
      </w:pPr>
      <m:oMath>
        <m:r>
          <m:rPr/>
          <w:rPr>
            <w:rFonts w:ascii="Cambria Math" w:hAnsi="Cambria Math"/>
          </w:rPr>
          <m:t>DMC</m:t>
        </m:r>
      </m:oMath>
      <w:r>
        <w:rPr>
          <w:rFonts w:ascii="Times New Roman"/>
        </w:rPr>
        <w:t>——汛期前后沼泽土壤含水率差值，单位：无量纲，见附录C.5.9；</w:t>
      </w:r>
    </w:p>
    <w:p w14:paraId="6405D9BC">
      <w:pPr>
        <w:pStyle w:val="58"/>
        <w:ind w:firstLine="420"/>
        <w:rPr>
          <w:rFonts w:ascii="Times New Roman"/>
        </w:rPr>
      </w:pPr>
      <m:oMath>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w</m:t>
            </m:r>
            <m:ctrlPr>
              <w:rPr>
                <w:rFonts w:ascii="Cambria Math" w:hAnsi="Cambria Math"/>
                <w:i/>
              </w:rPr>
            </m:ctrlPr>
          </m:sub>
        </m:sSub>
      </m:oMath>
      <w:r>
        <w:rPr>
          <w:rFonts w:ascii="Times New Roman"/>
        </w:rPr>
        <w:t>——水的密度，单位：t/m</w:t>
      </w:r>
      <w:r>
        <w:rPr>
          <w:rFonts w:ascii="Times New Roman"/>
          <w:vertAlign w:val="superscript"/>
        </w:rPr>
        <w:t>3</w:t>
      </w:r>
      <w:r>
        <w:rPr>
          <w:rFonts w:ascii="Times New Roman"/>
        </w:rPr>
        <w:t>，取值1 t/m</w:t>
      </w:r>
      <w:r>
        <w:rPr>
          <w:rFonts w:ascii="Times New Roman"/>
          <w:vertAlign w:val="superscript"/>
        </w:rPr>
        <w:t>3</w:t>
      </w:r>
      <w:r>
        <w:rPr>
          <w:rFonts w:ascii="Times New Roman"/>
        </w:rPr>
        <w:t>；</w:t>
      </w:r>
    </w:p>
    <w:p w14:paraId="4F7EFE80">
      <w:pPr>
        <w:pStyle w:val="58"/>
        <w:ind w:firstLine="420"/>
        <w:rPr>
          <w:rFonts w:ascii="Times New Roman"/>
        </w:rPr>
      </w:pPr>
      <m:oMath>
        <m:r>
          <m:rPr/>
          <w:rPr>
            <w:rFonts w:ascii="Cambria Math" w:hAnsi="Cambria Math"/>
          </w:rPr>
          <m:t>H</m:t>
        </m:r>
      </m:oMath>
      <w:r>
        <w:rPr>
          <w:rFonts w:ascii="Times New Roman"/>
        </w:rPr>
        <w:t>——洪水期沼泽湿地地表滞水高度，单位：m，见附录C.5.10。</w:t>
      </w:r>
    </w:p>
    <w:p w14:paraId="55F66258">
      <w:pPr>
        <w:pStyle w:val="96"/>
        <w:spacing w:before="156" w:after="156"/>
        <w:jc w:val="left"/>
        <w:rPr>
          <w:rFonts w:ascii="Times New Roman"/>
        </w:rPr>
      </w:pPr>
      <w:r>
        <w:rPr>
          <w:rFonts w:ascii="Times New Roman"/>
        </w:rPr>
        <w:t>空气净化服务</w:t>
      </w:r>
      <w:r>
        <w:rPr>
          <w:rFonts w:hint="eastAsia"/>
        </w:rPr>
        <w:t>实物量</w:t>
      </w:r>
    </w:p>
    <w:p w14:paraId="6827AEBF">
      <w:pPr>
        <w:pStyle w:val="58"/>
        <w:ind w:firstLine="420"/>
        <w:rPr>
          <w:rFonts w:ascii="Times New Roman"/>
        </w:rPr>
      </w:pPr>
      <w:r>
        <w:rPr>
          <w:rFonts w:ascii="Times New Roman"/>
        </w:rPr>
        <w:t>依据污染物浓度是否超过环境空气功能区质量标准，分别选用大气污染物排放量或空气净化能力，作为生态系统空气净化服务实物量核算指标。</w:t>
      </w:r>
    </w:p>
    <w:p w14:paraId="5567BAFD">
      <w:pPr>
        <w:pStyle w:val="100"/>
        <w:numPr>
          <w:ilvl w:val="5"/>
          <w:numId w:val="2"/>
        </w:numPr>
        <w:spacing w:before="156" w:after="156"/>
        <w:rPr>
          <w:rFonts w:ascii="Times New Roman"/>
        </w:rPr>
      </w:pPr>
      <w:r>
        <w:rPr>
          <w:rFonts w:ascii="Times New Roman"/>
        </w:rPr>
        <w:t>空气污染物浓度未超标</w:t>
      </w:r>
    </w:p>
    <w:p w14:paraId="077D6171">
      <w:pPr>
        <w:pStyle w:val="58"/>
        <w:ind w:firstLine="420"/>
        <w:rPr>
          <w:rFonts w:ascii="Times New Roman"/>
        </w:rPr>
      </w:pPr>
      <w:bookmarkStart w:id="78" w:name="OLE_LINK17"/>
      <w:r>
        <w:rPr>
          <w:rFonts w:ascii="Times New Roman"/>
        </w:rPr>
        <w:t>如果空气污染物浓度未超过</w:t>
      </w:r>
      <w:bookmarkStart w:id="79" w:name="OLE_LINK18"/>
      <w:r>
        <w:rPr>
          <w:rFonts w:ascii="Times New Roman"/>
        </w:rPr>
        <w:t>环境空气功能区质量标准</w:t>
      </w:r>
      <w:bookmarkEnd w:id="78"/>
      <w:bookmarkEnd w:id="79"/>
      <w:r>
        <w:rPr>
          <w:rFonts w:ascii="Times New Roman"/>
        </w:rPr>
        <w:t>，选用各类大气污染物排放量，核算生态系统空气净化服务实物量。按照公式（16）计算。环境空气功能区质量标准见附录C.6.1。</w:t>
      </w:r>
    </w:p>
    <w:p w14:paraId="700FE43F">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ap</m:t>
            </m:r>
            <m:ctrlPr>
              <w:rPr>
                <w:rFonts w:ascii="Cambria Math" w:hAnsi="Cambria Math"/>
              </w:rPr>
            </m:ctrlPr>
          </m:sub>
        </m:sSub>
        <m:r>
          <m:rPr/>
          <w:rPr>
            <w:rFonts w:ascii="Cambria Math" w:hAnsi="Cambria Math"/>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CB42792">
      <w:pPr>
        <w:pStyle w:val="57"/>
        <w:ind w:firstLine="420"/>
        <w:rPr>
          <w:rFonts w:ascii="Times New Roman" w:hAnsi="Times New Roman"/>
        </w:rPr>
      </w:pPr>
      <w:r>
        <w:rPr>
          <w:rFonts w:ascii="Times New Roman" w:hAnsi="Times New Roman"/>
        </w:rPr>
        <w:t>式中：</w:t>
      </w:r>
    </w:p>
    <w:p w14:paraId="165EC80F">
      <w:pPr>
        <w:pStyle w:val="58"/>
        <w:ind w:firstLine="420"/>
        <w:rPr>
          <w:rFonts w:ascii="Times New Roman"/>
        </w:rPr>
      </w:pPr>
      <m:oMath>
        <m:sSub>
          <m:sSubPr>
            <m:ctrlPr>
              <w:rPr>
                <w:rFonts w:ascii="Cambria Math" w:hAnsi="Cambria Math"/>
                <w:i/>
                <w:kern w:val="2"/>
                <w:szCs w:val="21"/>
              </w:rPr>
            </m:ctrlPr>
          </m:sSubPr>
          <m:e>
            <m:r>
              <m:rPr>
                <m:sty m:val="p"/>
              </m:rPr>
              <w:rPr>
                <w:rFonts w:ascii="Cambria Math" w:hAnsi="Cambria Math"/>
              </w:rPr>
              <m:t>Q</m:t>
            </m:r>
            <m:ctrlPr>
              <w:rPr>
                <w:rFonts w:ascii="Cambria Math" w:hAnsi="Cambria Math"/>
                <w:i/>
                <w:kern w:val="2"/>
                <w:szCs w:val="21"/>
              </w:rPr>
            </m:ctrlPr>
          </m:e>
          <m:sub>
            <m:r>
              <m:rPr>
                <m:sty m:val="p"/>
              </m:rPr>
              <w:rPr>
                <w:rFonts w:ascii="Cambria Math" w:hAnsi="Cambria Math"/>
              </w:rPr>
              <m:t>ap</m:t>
            </m:r>
            <m:ctrlPr>
              <w:rPr>
                <w:rFonts w:ascii="Cambria Math" w:hAnsi="Cambria Math"/>
                <w:i/>
                <w:kern w:val="2"/>
                <w:szCs w:val="21"/>
              </w:rPr>
            </m:ctrlPr>
          </m:sub>
        </m:sSub>
      </m:oMath>
      <w:r>
        <w:rPr>
          <w:rFonts w:ascii="Times New Roman"/>
          <w:kern w:val="2"/>
          <w:szCs w:val="21"/>
        </w:rPr>
        <w:t>——生态系统空气净化量</w:t>
      </w:r>
      <w:r>
        <w:rPr>
          <w:rFonts w:ascii="Times New Roman"/>
        </w:rPr>
        <w:t>，单位：t/a；</w:t>
      </w:r>
    </w:p>
    <w:p w14:paraId="4D2DADE2">
      <w:pPr>
        <w:pStyle w:val="58"/>
        <w:ind w:firstLine="420"/>
        <w:rPr>
          <w:rFonts w:ascii="Times New Roman"/>
        </w:rPr>
      </w:pPr>
      <m:oMath>
        <m:sSub>
          <m:sSubPr>
            <m:ctrlPr>
              <w:rPr>
                <w:rFonts w:ascii="Cambria Math" w:hAnsi="Cambria Math"/>
                <w:i/>
                <w:kern w:val="2"/>
                <w:szCs w:val="21"/>
              </w:rPr>
            </m:ctrlPr>
          </m:sSubPr>
          <m:e>
            <m:r>
              <m:rPr>
                <m:sty m:val="p"/>
              </m:rPr>
              <w:rPr>
                <w:rFonts w:ascii="Cambria Math" w:hAnsi="Cambria Math"/>
              </w:rPr>
              <m:t>Q</m:t>
            </m:r>
            <m:ctrlPr>
              <w:rPr>
                <w:rFonts w:ascii="Cambria Math" w:hAnsi="Cambria Math"/>
                <w:i/>
                <w:kern w:val="2"/>
                <w:szCs w:val="21"/>
              </w:rPr>
            </m:ctrlPr>
          </m:e>
          <m:sub>
            <m:r>
              <m:rPr>
                <m:sty m:val="p"/>
              </m:rPr>
              <w:rPr>
                <w:rFonts w:ascii="Cambria Math" w:hAnsi="Cambria Math"/>
              </w:rPr>
              <m:t>i</m:t>
            </m:r>
            <m:ctrlPr>
              <w:rPr>
                <w:rFonts w:ascii="Cambria Math" w:hAnsi="Cambria Math"/>
                <w:i/>
                <w:kern w:val="2"/>
                <w:szCs w:val="21"/>
              </w:rPr>
            </m:ctrlPr>
          </m:sub>
        </m:sSub>
      </m:oMath>
      <w:r>
        <w:rPr>
          <w:rFonts w:ascii="Times New Roman"/>
          <w:kern w:val="2"/>
          <w:szCs w:val="21"/>
        </w:rPr>
        <w:t>——第</w:t>
      </w:r>
      <m:oMath>
        <m:r>
          <m:rPr/>
          <w:rPr>
            <w:rFonts w:ascii="Cambria Math" w:hAnsi="Cambria Math"/>
          </w:rPr>
          <m:t>i</m:t>
        </m:r>
      </m:oMath>
      <w:r>
        <w:rPr>
          <w:rFonts w:ascii="Times New Roman"/>
        </w:rPr>
        <w:t>类超标的大气污染物排放量，单位：t/a</w:t>
      </w:r>
      <w:r>
        <w:rPr>
          <w:rFonts w:hint="eastAsia" w:ascii="Times New Roman"/>
        </w:rPr>
        <w:t>；</w:t>
      </w:r>
    </w:p>
    <w:p w14:paraId="6C74870C">
      <w:pPr>
        <w:pStyle w:val="58"/>
        <w:ind w:firstLine="420"/>
        <w:rPr>
          <w:rFonts w:ascii="Times New Roman"/>
        </w:rPr>
      </w:pPr>
      <m:oMath>
        <m:r>
          <m:rPr/>
          <w:rPr>
            <w:rFonts w:ascii="Cambria Math" w:hAnsi="Cambria Math"/>
          </w:rPr>
          <m:t>i</m:t>
        </m:r>
      </m:oMath>
      <w:r>
        <w:rPr>
          <w:rFonts w:ascii="Times New Roman"/>
        </w:rPr>
        <w:t>——主要大气污染物类别，默认为SO</w:t>
      </w:r>
      <w:r>
        <w:rPr>
          <w:rFonts w:ascii="Times New Roman"/>
          <w:vertAlign w:val="subscript"/>
        </w:rPr>
        <w:t>2</w:t>
      </w:r>
      <w:r>
        <w:rPr>
          <w:rFonts w:ascii="Times New Roman"/>
        </w:rPr>
        <w:t>、NO</w:t>
      </w:r>
      <w:r>
        <w:rPr>
          <w:rFonts w:ascii="Times New Roman"/>
          <w:vertAlign w:val="subscript"/>
        </w:rPr>
        <w:t>x</w:t>
      </w:r>
      <w:r>
        <w:rPr>
          <w:rFonts w:ascii="Times New Roman"/>
        </w:rPr>
        <w:t>、烟粉尘三类，可根据核算区域实际情况增加污染物类型</w:t>
      </w:r>
      <w:r>
        <w:rPr>
          <w:rFonts w:hint="eastAsia" w:ascii="Times New Roman"/>
        </w:rPr>
        <w:t>；</w:t>
      </w:r>
    </w:p>
    <w:p w14:paraId="4D6DD04B">
      <w:pPr>
        <w:pStyle w:val="58"/>
        <w:ind w:firstLine="420"/>
        <w:rPr>
          <w:rFonts w:ascii="Times New Roman"/>
        </w:rPr>
      </w:pPr>
      <m:oMath>
        <m:r>
          <m:rPr/>
          <w:rPr>
            <w:rFonts w:ascii="Cambria Math" w:hAnsi="Cambria Math"/>
          </w:rPr>
          <m:t>n</m:t>
        </m:r>
      </m:oMath>
      <w:r>
        <w:rPr>
          <w:rFonts w:ascii="Times New Roman"/>
        </w:rPr>
        <w:t>——大气污染物类别的数量。</w:t>
      </w:r>
    </w:p>
    <w:p w14:paraId="08DCADAF">
      <w:pPr>
        <w:pStyle w:val="100"/>
        <w:numPr>
          <w:ilvl w:val="5"/>
          <w:numId w:val="2"/>
        </w:numPr>
        <w:spacing w:before="156" w:after="156"/>
        <w:rPr>
          <w:rFonts w:ascii="Times New Roman"/>
        </w:rPr>
      </w:pPr>
      <w:r>
        <w:rPr>
          <w:rFonts w:ascii="Times New Roman"/>
        </w:rPr>
        <w:t>空气污染物浓度超标</w:t>
      </w:r>
    </w:p>
    <w:p w14:paraId="14FFBD49">
      <w:pPr>
        <w:pStyle w:val="58"/>
        <w:ind w:firstLine="420"/>
        <w:rPr>
          <w:rFonts w:ascii="Times New Roman"/>
        </w:rPr>
      </w:pPr>
      <w:r>
        <w:rPr>
          <w:rFonts w:ascii="Times New Roman"/>
        </w:rPr>
        <w:t>如果空气污染物浓度超过环境空气功能区质量标准，选用生态系统对大气污染物的自净能力，核算空气净化服务实物量。按照公式（17）计算。</w:t>
      </w:r>
    </w:p>
    <w:p w14:paraId="320D6187">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ap</m:t>
            </m:r>
            <m:ctrlPr>
              <w:rPr>
                <w:rFonts w:ascii="Cambria Math" w:hAnsi="Cambria Math"/>
              </w:rPr>
            </m:ctrlPr>
          </m:sub>
        </m:sSub>
        <m:r>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m</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ij</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j</m:t>
                    </m:r>
                    <m:ctrlPr>
                      <w:rPr>
                        <w:rFonts w:ascii="Cambria Math" w:hAnsi="Cambria Math"/>
                      </w:rPr>
                    </m:ctrlPr>
                  </m:sub>
                </m:sSub>
                <m:ctrlPr>
                  <w:rPr>
                    <w:rFonts w:ascii="Cambria Math" w:hAnsi="Cambria Math"/>
                  </w:rPr>
                </m:ctrlPr>
              </m:e>
            </m:nary>
            <m:ctrlPr>
              <w:rPr>
                <w:rFonts w:ascii="Cambria Math" w:hAnsi="Cambria Math"/>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66340E0">
      <w:pPr>
        <w:pStyle w:val="57"/>
        <w:ind w:firstLine="420"/>
        <w:rPr>
          <w:rFonts w:ascii="Times New Roman" w:hAnsi="Times New Roman"/>
        </w:rPr>
      </w:pPr>
      <w:r>
        <w:rPr>
          <w:rFonts w:ascii="Times New Roman" w:hAnsi="Times New Roman"/>
        </w:rPr>
        <w:t>式中：</w:t>
      </w:r>
    </w:p>
    <w:p w14:paraId="68BC9A21">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ap</m:t>
            </m:r>
            <m:ctrlPr>
              <w:rPr>
                <w:rFonts w:ascii="Cambria Math" w:hAnsi="Cambria Math"/>
                <w:i/>
              </w:rPr>
            </m:ctrlPr>
          </m:sub>
        </m:sSub>
      </m:oMath>
      <w:r>
        <w:rPr>
          <w:rFonts w:ascii="Times New Roman"/>
        </w:rPr>
        <w:t>——生态系统空气净化量，单位：t/a；</w:t>
      </w:r>
    </w:p>
    <w:p w14:paraId="2671CC24">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ij</m:t>
            </m:r>
            <m:ctrlPr>
              <w:rPr>
                <w:rFonts w:ascii="Cambria Math" w:hAnsi="Cambria Math"/>
                <w:i/>
              </w:rPr>
            </m:ctrlPr>
          </m:sub>
        </m:sSub>
      </m:oMath>
      <w:r>
        <w:rPr>
          <w:rFonts w:ascii="Times New Roman"/>
        </w:rPr>
        <w:t>——第</w:t>
      </w:r>
      <m:oMath>
        <m:r>
          <m:rPr/>
          <w:rPr>
            <w:rFonts w:ascii="Cambria Math" w:hAnsi="Cambria Math"/>
          </w:rPr>
          <m:t>j</m:t>
        </m:r>
      </m:oMath>
      <w:r>
        <w:rPr>
          <w:rFonts w:ascii="Times New Roman"/>
        </w:rPr>
        <w:t>类生态系统对第</w:t>
      </w:r>
      <m:oMath>
        <m:r>
          <m:rPr/>
          <w:rPr>
            <w:rFonts w:ascii="Cambria Math" w:hAnsi="Cambria Math"/>
          </w:rPr>
          <m:t>i</m:t>
        </m:r>
      </m:oMath>
      <w:r>
        <w:rPr>
          <w:rFonts w:ascii="Times New Roman"/>
        </w:rPr>
        <w:t>种大气污染物的单位面积净化量，单位：t/(km</w:t>
      </w:r>
      <w:r>
        <w:rPr>
          <w:rFonts w:ascii="Times New Roman"/>
          <w:vertAlign w:val="superscript"/>
        </w:rPr>
        <w:t>2</w:t>
      </w:r>
      <w:r>
        <w:rPr>
          <w:rFonts w:ascii="Times New Roman"/>
        </w:rPr>
        <w:t>·a)，见附录C.6；</w:t>
      </w:r>
    </w:p>
    <w:p w14:paraId="76B146FC">
      <w:pPr>
        <w:pStyle w:val="58"/>
        <w:ind w:firstLine="420"/>
        <w:rPr>
          <w:rFonts w:ascii="Times New Roman"/>
        </w:rPr>
      </w:pPr>
      <m:oMath>
        <m:r>
          <m:rPr/>
          <w:rPr>
            <w:rFonts w:ascii="Cambria Math" w:hAnsi="Cambria Math"/>
          </w:rPr>
          <m:t>i</m:t>
        </m:r>
      </m:oMath>
      <w:r>
        <w:rPr>
          <w:rFonts w:ascii="Times New Roman"/>
        </w:rPr>
        <w:t>——主要大气污染物类别，默认为SO</w:t>
      </w:r>
      <w:r>
        <w:rPr>
          <w:rFonts w:ascii="Times New Roman"/>
          <w:vertAlign w:val="subscript"/>
        </w:rPr>
        <w:t>2</w:t>
      </w:r>
      <w:r>
        <w:rPr>
          <w:rFonts w:ascii="Times New Roman"/>
        </w:rPr>
        <w:t>、NO</w:t>
      </w:r>
      <w:r>
        <w:rPr>
          <w:rFonts w:ascii="Times New Roman"/>
          <w:vertAlign w:val="subscript"/>
        </w:rPr>
        <w:t>x</w:t>
      </w:r>
      <w:r>
        <w:rPr>
          <w:rFonts w:ascii="Times New Roman"/>
        </w:rPr>
        <w:t>、烟粉尘三类，可根据核算区域实际情况增加污染物类型</w:t>
      </w:r>
      <w:r>
        <w:rPr>
          <w:rFonts w:hint="eastAsia" w:ascii="Times New Roman"/>
        </w:rPr>
        <w:t>；</w:t>
      </w:r>
    </w:p>
    <w:p w14:paraId="09FD1D72">
      <w:pPr>
        <w:pStyle w:val="58"/>
        <w:ind w:firstLine="420"/>
        <w:rPr>
          <w:rFonts w:ascii="Times New Roman"/>
        </w:rPr>
      </w:pPr>
      <m:oMath>
        <m:r>
          <m:rPr/>
          <w:rPr>
            <w:rFonts w:ascii="Cambria Math" w:hAnsi="Cambria Math"/>
          </w:rPr>
          <m:t>n</m:t>
        </m:r>
      </m:oMath>
      <w:r>
        <w:rPr>
          <w:rFonts w:ascii="Times New Roman"/>
        </w:rPr>
        <w:t>——大气污染物类别的数量；</w:t>
      </w:r>
    </w:p>
    <w:p w14:paraId="4E5F6778">
      <w:pPr>
        <w:pStyle w:val="58"/>
        <w:ind w:firstLine="420"/>
        <w:rPr>
          <w:rFonts w:ascii="Times New Roman"/>
        </w:rPr>
      </w:pPr>
      <m:oMath>
        <m:r>
          <m:rPr/>
          <w:rPr>
            <w:rFonts w:ascii="Cambria Math" w:hAnsi="Cambria Math"/>
          </w:rPr>
          <m:t>j</m:t>
        </m:r>
      </m:oMath>
      <w:r>
        <w:rPr>
          <w:rFonts w:ascii="Times New Roman"/>
        </w:rPr>
        <w:t>——生态系统类型；</w:t>
      </w:r>
    </w:p>
    <w:p w14:paraId="3D114441">
      <w:pPr>
        <w:pStyle w:val="58"/>
        <w:ind w:firstLine="420"/>
        <w:rPr>
          <w:rFonts w:ascii="Times New Roman"/>
        </w:rPr>
      </w:pPr>
      <m:oMath>
        <m:r>
          <m:rPr/>
          <w:rPr>
            <w:rFonts w:ascii="Cambria Math" w:hAnsi="Cambria Math"/>
          </w:rPr>
          <m:t>m</m:t>
        </m:r>
      </m:oMath>
      <w:r>
        <w:rPr>
          <w:rFonts w:ascii="Times New Roman"/>
        </w:rPr>
        <w:t>——生态系统类型数量；</w:t>
      </w:r>
    </w:p>
    <w:p w14:paraId="5A744D66">
      <w:pPr>
        <w:pStyle w:val="58"/>
        <w:ind w:firstLine="420"/>
        <w:rPr>
          <w:rFonts w:ascii="Times New Roman"/>
        </w:rPr>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j</m:t>
            </m:r>
            <m:ctrlPr>
              <w:rPr>
                <w:rFonts w:ascii="Cambria Math" w:hAnsi="Cambria Math"/>
                <w:i/>
              </w:rPr>
            </m:ctrlPr>
          </m:sub>
        </m:sSub>
      </m:oMath>
      <w:r>
        <w:rPr>
          <w:rFonts w:ascii="Times New Roman"/>
        </w:rPr>
        <w:t>——第</w:t>
      </w:r>
      <m:oMath>
        <m:r>
          <m:rPr/>
          <w:rPr>
            <w:rFonts w:ascii="Cambria Math" w:hAnsi="Cambria Math"/>
          </w:rPr>
          <m:t>j</m:t>
        </m:r>
      </m:oMath>
      <w:r>
        <w:rPr>
          <w:rFonts w:ascii="Times New Roman"/>
        </w:rPr>
        <w:t>类生态系统面积，单位：km</w:t>
      </w:r>
      <w:r>
        <w:rPr>
          <w:rFonts w:ascii="Times New Roman"/>
          <w:vertAlign w:val="superscript"/>
        </w:rPr>
        <w:t>2</w:t>
      </w:r>
      <w:r>
        <w:rPr>
          <w:rFonts w:ascii="Times New Roman"/>
        </w:rPr>
        <w:t>。</w:t>
      </w:r>
    </w:p>
    <w:p w14:paraId="3ACA2F73">
      <w:pPr>
        <w:pStyle w:val="96"/>
        <w:spacing w:before="156" w:after="156"/>
      </w:pPr>
      <w:r>
        <w:rPr>
          <w:rFonts w:hint="eastAsia"/>
        </w:rPr>
        <w:t>水质净化服务实物量</w:t>
      </w:r>
    </w:p>
    <w:p w14:paraId="798B301B">
      <w:pPr>
        <w:pStyle w:val="58"/>
        <w:ind w:firstLine="420"/>
      </w:pPr>
      <w:r>
        <w:rPr>
          <w:rFonts w:hint="eastAsia"/>
        </w:rPr>
        <w:t>依据污染物浓度是否超过地表水水域环境功能和保护目标，选用水体污染物排放量或水体净化能力，作为生态系统水质净化实物量核算指标。</w:t>
      </w:r>
    </w:p>
    <w:p w14:paraId="6BC17A23">
      <w:pPr>
        <w:pStyle w:val="100"/>
        <w:numPr>
          <w:ilvl w:val="5"/>
          <w:numId w:val="2"/>
        </w:numPr>
        <w:spacing w:before="156" w:after="156"/>
        <w:rPr>
          <w:rFonts w:ascii="Times New Roman"/>
        </w:rPr>
      </w:pPr>
      <w:bookmarkStart w:id="80" w:name="_Hlk199849438"/>
      <w:r>
        <w:rPr>
          <w:rFonts w:ascii="Times New Roman"/>
        </w:rPr>
        <w:t>水体污染物浓度未超标</w:t>
      </w:r>
    </w:p>
    <w:bookmarkEnd w:id="80"/>
    <w:p w14:paraId="78777424">
      <w:pPr>
        <w:pStyle w:val="58"/>
        <w:ind w:firstLine="420"/>
        <w:rPr>
          <w:rFonts w:ascii="Times New Roman"/>
        </w:rPr>
      </w:pPr>
      <w:r>
        <w:rPr>
          <w:rFonts w:ascii="Times New Roman"/>
        </w:rPr>
        <w:t>如果水体污染物浓度未超过地表水</w:t>
      </w:r>
      <w:bookmarkStart w:id="81" w:name="OLE_LINK19"/>
      <w:r>
        <w:rPr>
          <w:rFonts w:ascii="Times New Roman"/>
        </w:rPr>
        <w:t>水域环境功能</w:t>
      </w:r>
      <w:bookmarkEnd w:id="81"/>
      <w:r>
        <w:rPr>
          <w:rFonts w:ascii="Times New Roman"/>
        </w:rPr>
        <w:t>标准限值，选用各类水体污染物排放量，核算生态系统水质净化服务实物量。按照公式（18）计算。地表水水域环境功能标准限值见附录C.7.1。</w:t>
      </w:r>
    </w:p>
    <w:p w14:paraId="19AF8AC8">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wp</m:t>
            </m:r>
            <m:ctrlPr>
              <w:rPr>
                <w:rFonts w:ascii="Cambria Math" w:hAnsi="Cambria Math"/>
              </w:rPr>
            </m:ctrlPr>
          </m:sub>
        </m:sSub>
        <m:r>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d>
              <m:dPr>
                <m:ctrlPr>
                  <w:rPr>
                    <w:rFonts w:ascii="Cambria Math" w:hAnsi="Cambria Math"/>
                  </w:rPr>
                </m:ctrlPr>
              </m:dPr>
              <m:e>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ei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ai</m:t>
                    </m:r>
                    <m:ctrlPr>
                      <w:rPr>
                        <w:rFonts w:ascii="Cambria Math" w:hAnsi="Cambria Math"/>
                      </w:rPr>
                    </m:ctrlPr>
                  </m:sub>
                </m:sSub>
                <m:ctrlPr>
                  <w:rPr>
                    <w:rFonts w:ascii="Cambria Math" w:hAnsi="Cambria Math"/>
                  </w:rPr>
                </m:ctrlPr>
              </m:e>
            </m:d>
            <m:ctrlPr>
              <w:rPr>
                <w:rFonts w:ascii="Cambria Math" w:hAnsi="Cambria Math"/>
              </w:rPr>
            </m:ctrlPr>
          </m:e>
        </m:nary>
        <m:r>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di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si</m:t>
                </m:r>
                <m:ctrlPr>
                  <w:rPr>
                    <w:rFonts w:ascii="Cambria Math" w:hAnsi="Cambria Math"/>
                  </w:rPr>
                </m:ctrlPr>
              </m:sub>
            </m:sSub>
            <m:ctrlPr>
              <w:rPr>
                <w:rFonts w:ascii="Cambria Math" w:hAnsi="Cambria Math"/>
              </w:rPr>
            </m:ctrlPr>
          </m:e>
        </m:d>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E6BDE50">
      <w:pPr>
        <w:pStyle w:val="57"/>
        <w:ind w:firstLine="420"/>
        <w:rPr>
          <w:rFonts w:ascii="Times New Roman" w:hAnsi="Times New Roman"/>
        </w:rPr>
      </w:pPr>
      <w:r>
        <w:rPr>
          <w:rFonts w:ascii="Times New Roman" w:hAnsi="Times New Roman"/>
        </w:rPr>
        <w:t>式中：</w:t>
      </w:r>
    </w:p>
    <w:p w14:paraId="0B3CA418">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wp</m:t>
            </m:r>
            <m:ctrlPr>
              <w:rPr>
                <w:rFonts w:ascii="Cambria Math" w:hAnsi="Cambria Math"/>
              </w:rPr>
            </m:ctrlPr>
          </m:sub>
        </m:sSub>
      </m:oMath>
      <w:r>
        <w:rPr>
          <w:rFonts w:ascii="Times New Roman"/>
        </w:rPr>
        <w:t>——生态系统水质净化量，单位：t/a；</w:t>
      </w:r>
    </w:p>
    <w:p w14:paraId="306FD81A">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ei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类污染物的入境量，单位：t/a；</w:t>
      </w:r>
    </w:p>
    <w:p w14:paraId="4DC23DCD">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ai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类污染物的排放量，单位：t/a；</w:t>
      </w:r>
    </w:p>
    <w:p w14:paraId="2FC9D1F1">
      <w:pPr>
        <w:pStyle w:val="58"/>
        <w:ind w:firstLine="420"/>
        <w:rPr>
          <w:rFonts w:ascii="Times New Roman"/>
        </w:rPr>
      </w:pPr>
      <m:oMath>
        <m:sSub>
          <m:sSubPr>
            <m:ctrlPr>
              <w:rPr>
                <w:rFonts w:ascii="Cambria Math" w:hAnsi="Cambria Math"/>
                <w:i/>
                <w:kern w:val="2"/>
                <w:szCs w:val="21"/>
              </w:rPr>
            </m:ctrlPr>
          </m:sSubPr>
          <m:e>
            <m:r>
              <m:rPr>
                <m:sty m:val="p"/>
              </m:rPr>
              <w:rPr>
                <w:rFonts w:ascii="Cambria Math" w:hAnsi="Cambria Math"/>
              </w:rPr>
              <m:t>Q</m:t>
            </m:r>
            <m:ctrlPr>
              <w:rPr>
                <w:rFonts w:ascii="Cambria Math" w:hAnsi="Cambria Math"/>
                <w:i/>
                <w:kern w:val="2"/>
                <w:szCs w:val="21"/>
              </w:rPr>
            </m:ctrlPr>
          </m:e>
          <m:sub>
            <m:r>
              <m:rPr>
                <m:sty m:val="p"/>
              </m:rPr>
              <w:rPr>
                <w:rFonts w:ascii="Cambria Math" w:hAnsi="Cambria Math"/>
              </w:rPr>
              <m:t>di</m:t>
            </m:r>
            <m:ctrlPr>
              <w:rPr>
                <w:rFonts w:ascii="Cambria Math" w:hAnsi="Cambria Math"/>
                <w:i/>
                <w:kern w:val="2"/>
                <w:szCs w:val="21"/>
              </w:rPr>
            </m:ctrlPr>
          </m:sub>
        </m:sSub>
      </m:oMath>
      <w:r>
        <w:rPr>
          <w:rFonts w:ascii="Times New Roman"/>
        </w:rPr>
        <w:t>——第</w:t>
      </w:r>
      <m:oMath>
        <m:r>
          <m:rPr/>
          <w:rPr>
            <w:rFonts w:ascii="Cambria Math" w:hAnsi="Cambria Math"/>
          </w:rPr>
          <m:t>i</m:t>
        </m:r>
      </m:oMath>
      <w:r>
        <w:rPr>
          <w:rFonts w:ascii="Times New Roman"/>
        </w:rPr>
        <w:t>类污染物的出境量，单位：t/a；</w:t>
      </w:r>
    </w:p>
    <w:p w14:paraId="6C87D6AD">
      <w:pPr>
        <w:pStyle w:val="58"/>
        <w:ind w:firstLine="420"/>
        <w:rPr>
          <w:rFonts w:ascii="Times New Roman"/>
        </w:rPr>
      </w:pPr>
      <m:oMath>
        <m:sSub>
          <m:sSubPr>
            <m:ctrlPr>
              <w:rPr>
                <w:rFonts w:ascii="Cambria Math" w:hAnsi="Cambria Math"/>
                <w:i/>
                <w:kern w:val="2"/>
                <w:szCs w:val="21"/>
              </w:rPr>
            </m:ctrlPr>
          </m:sSubPr>
          <m:e>
            <m:r>
              <m:rPr>
                <m:sty m:val="p"/>
              </m:rPr>
              <w:rPr>
                <w:rFonts w:ascii="Cambria Math" w:hAnsi="Cambria Math"/>
              </w:rPr>
              <m:t>Q</m:t>
            </m:r>
            <m:ctrlPr>
              <w:rPr>
                <w:rFonts w:ascii="Cambria Math" w:hAnsi="Cambria Math"/>
                <w:i/>
                <w:kern w:val="2"/>
                <w:szCs w:val="21"/>
              </w:rPr>
            </m:ctrlPr>
          </m:e>
          <m:sub>
            <m:r>
              <m:rPr/>
              <w:rPr>
                <w:rFonts w:ascii="Cambria Math" w:hAnsi="Cambria Math"/>
              </w:rPr>
              <m:t>s</m:t>
            </m:r>
            <m:r>
              <m:rPr>
                <m:sty m:val="p"/>
              </m:rPr>
              <w:rPr>
                <w:rFonts w:ascii="Cambria Math" w:hAnsi="Cambria Math"/>
              </w:rPr>
              <m:t>i</m:t>
            </m:r>
            <m:ctrlPr>
              <w:rPr>
                <w:rFonts w:ascii="Cambria Math" w:hAnsi="Cambria Math"/>
                <w:i/>
                <w:kern w:val="2"/>
                <w:szCs w:val="21"/>
              </w:rPr>
            </m:ctrlPr>
          </m:sub>
        </m:sSub>
      </m:oMath>
      <w:r>
        <w:rPr>
          <w:rFonts w:ascii="Times New Roman"/>
        </w:rPr>
        <w:t>——污水处理厂对第</w:t>
      </w:r>
      <m:oMath>
        <m:r>
          <m:rPr/>
          <w:rPr>
            <w:rFonts w:ascii="Cambria Math" w:hAnsi="Cambria Math"/>
          </w:rPr>
          <m:t>i</m:t>
        </m:r>
      </m:oMath>
      <w:r>
        <w:rPr>
          <w:rFonts w:ascii="Times New Roman"/>
        </w:rPr>
        <w:t>类污染物的处理量，单位：t/a；</w:t>
      </w:r>
    </w:p>
    <w:p w14:paraId="324399AB">
      <w:pPr>
        <w:pStyle w:val="58"/>
        <w:ind w:firstLine="420"/>
        <w:rPr>
          <w:rFonts w:ascii="Times New Roman"/>
        </w:rPr>
      </w:pPr>
      <m:oMath>
        <m:r>
          <m:rPr/>
          <w:rPr>
            <w:rFonts w:ascii="Cambria Math" w:hAnsi="Cambria Math"/>
          </w:rPr>
          <m:t>i</m:t>
        </m:r>
      </m:oMath>
      <w:r>
        <w:rPr>
          <w:rFonts w:ascii="Times New Roman"/>
        </w:rPr>
        <w:t>——主要水体污染物类别，默认为化学需氧量、总氮、总磷三类，可根据核算区域实际情况增加污染物类型</w:t>
      </w:r>
      <w:r>
        <w:rPr>
          <w:rFonts w:hint="eastAsia" w:ascii="Times New Roman"/>
        </w:rPr>
        <w:t>；</w:t>
      </w:r>
    </w:p>
    <w:p w14:paraId="666B0179">
      <w:pPr>
        <w:pStyle w:val="58"/>
        <w:ind w:firstLine="420"/>
        <w:rPr>
          <w:rFonts w:ascii="Times New Roman"/>
        </w:rPr>
      </w:pPr>
      <m:oMath>
        <m:r>
          <m:rPr/>
          <w:rPr>
            <w:rFonts w:ascii="Cambria Math" w:hAnsi="Cambria Math"/>
          </w:rPr>
          <m:t>n</m:t>
        </m:r>
      </m:oMath>
      <w:r>
        <w:rPr>
          <w:rFonts w:ascii="Times New Roman"/>
        </w:rPr>
        <w:t>——水体污染物类别的数量</w:t>
      </w:r>
      <w:r>
        <w:rPr>
          <w:rFonts w:hint="eastAsia" w:ascii="Times New Roman"/>
        </w:rPr>
        <w:t>。</w:t>
      </w:r>
    </w:p>
    <w:p w14:paraId="32245C52">
      <w:pPr>
        <w:pStyle w:val="100"/>
        <w:numPr>
          <w:ilvl w:val="5"/>
          <w:numId w:val="2"/>
        </w:numPr>
        <w:spacing w:before="156" w:after="156"/>
        <w:rPr>
          <w:rFonts w:ascii="Times New Roman"/>
        </w:rPr>
      </w:pPr>
      <w:r>
        <w:rPr>
          <w:rFonts w:ascii="Times New Roman"/>
        </w:rPr>
        <w:t>水体污染物浓度超标</w:t>
      </w:r>
    </w:p>
    <w:p w14:paraId="37F675B4">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如果水体污染物浓度超过地表水水域环境功能标准限值，选用生态系统对水体污染物的自净能力，核算水质净化服务实物量。按照公式（19）计算。</w:t>
      </w:r>
    </w:p>
    <w:p w14:paraId="050E51E9">
      <w:pPr>
        <w:numPr>
          <w:ilvl w:val="0"/>
          <w:numId w:val="16"/>
        </w:num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wp</m:t>
            </m:r>
            <m:ctrlPr>
              <w:rPr>
                <w:rFonts w:ascii="Cambria Math" w:hAnsi="Cambria Math"/>
              </w:rPr>
            </m:ctrlPr>
          </m:sub>
        </m:sSub>
        <m:r>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m</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ij</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j</m:t>
                    </m:r>
                    <m:ctrlPr>
                      <w:rPr>
                        <w:rFonts w:ascii="Cambria Math" w:hAnsi="Cambria Math"/>
                      </w:rPr>
                    </m:ctrlPr>
                  </m:sub>
                </m:sSub>
                <m:ctrlPr>
                  <w:rPr>
                    <w:rFonts w:ascii="Cambria Math" w:hAnsi="Cambria Math"/>
                  </w:rPr>
                </m:ctrlPr>
              </m:e>
            </m:nary>
            <m:ctrlPr>
              <w:rPr>
                <w:rFonts w:ascii="Cambria Math" w:hAnsi="Cambria Math"/>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169111E">
      <w:pPr>
        <w:snapToGrid w:val="0"/>
        <w:ind w:firstLine="420" w:firstLineChars="200"/>
        <w:rPr>
          <w:rFonts w:ascii="Times New Roman" w:hAnsi="Times New Roman"/>
          <w:kern w:val="0"/>
        </w:rPr>
      </w:pPr>
      <w:r>
        <w:rPr>
          <w:rFonts w:ascii="Times New Roman" w:hAnsi="Times New Roman"/>
          <w:kern w:val="0"/>
        </w:rPr>
        <w:t>式中：</w:t>
      </w:r>
    </w:p>
    <w:p w14:paraId="06C26B97">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r>
              <m:rPr/>
              <w:rPr>
                <w:rFonts w:ascii="Cambria Math" w:hAnsi="Cambria Math"/>
                <w:kern w:val="0"/>
                <w:szCs w:val="20"/>
              </w:rPr>
              <m:t>wp</m:t>
            </m:r>
            <m:ctrlPr>
              <w:rPr>
                <w:rFonts w:ascii="Cambria Math" w:hAnsi="Cambria Math"/>
                <w:kern w:val="0"/>
                <w:szCs w:val="20"/>
              </w:rPr>
            </m:ctrlPr>
          </m:sub>
        </m:sSub>
      </m:oMath>
      <w:r>
        <w:rPr>
          <w:rFonts w:ascii="Times New Roman" w:hAnsi="Times New Roman"/>
          <w:kern w:val="0"/>
          <w:szCs w:val="20"/>
        </w:rPr>
        <w:t>——生态系统水质净化量，单位：t/a；</w:t>
      </w:r>
    </w:p>
    <w:p w14:paraId="6BA64277">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P</m:t>
            </m:r>
            <m:ctrlPr>
              <w:rPr>
                <w:rFonts w:ascii="Cambria Math" w:hAnsi="Cambria Math"/>
                <w:i/>
                <w:kern w:val="0"/>
                <w:szCs w:val="20"/>
              </w:rPr>
            </m:ctrlPr>
          </m:e>
          <m:sub>
            <m:r>
              <m:rPr/>
              <w:rPr>
                <w:rFonts w:ascii="Cambria Math" w:hAnsi="Cambria Math"/>
                <w:kern w:val="0"/>
                <w:szCs w:val="20"/>
              </w:rPr>
              <m:t>ij</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j</m:t>
        </m:r>
      </m:oMath>
      <w:r>
        <w:rPr>
          <w:rFonts w:ascii="Times New Roman" w:hAnsi="Times New Roman"/>
          <w:kern w:val="0"/>
          <w:szCs w:val="20"/>
        </w:rPr>
        <w:t>类生态系统对第</w:t>
      </w:r>
      <m:oMath>
        <m:r>
          <m:rPr/>
          <w:rPr>
            <w:rFonts w:ascii="Cambria Math" w:hAnsi="Cambria Math"/>
            <w:kern w:val="0"/>
            <w:szCs w:val="20"/>
          </w:rPr>
          <m:t>i</m:t>
        </m:r>
      </m:oMath>
      <w:r>
        <w:rPr>
          <w:rFonts w:ascii="Times New Roman" w:hAnsi="Times New Roman"/>
          <w:kern w:val="0"/>
          <w:szCs w:val="20"/>
        </w:rPr>
        <w:t>种水体污染物的单位面积净化量，单位：t/(km</w:t>
      </w:r>
      <w:r>
        <w:rPr>
          <w:rFonts w:ascii="Times New Roman" w:hAnsi="Times New Roman"/>
          <w:kern w:val="0"/>
          <w:szCs w:val="20"/>
          <w:vertAlign w:val="superscript"/>
        </w:rPr>
        <w:t>2</w:t>
      </w:r>
      <w:r>
        <w:rPr>
          <w:rFonts w:ascii="Times New Roman" w:hAnsi="Times New Roman"/>
          <w:kern w:val="0"/>
          <w:szCs w:val="20"/>
        </w:rPr>
        <w:t>·a)，见附录C.7.2；</w:t>
      </w:r>
    </w:p>
    <w:p w14:paraId="6450BB6D">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i</m:t>
        </m:r>
      </m:oMath>
      <w:r>
        <w:rPr>
          <w:rFonts w:ascii="Times New Roman" w:hAnsi="Times New Roman"/>
          <w:kern w:val="0"/>
          <w:szCs w:val="20"/>
        </w:rPr>
        <w:t>——主要水体污染物类别，默认为化学需氧量、总氮、总磷三类，可根据核算区域实际情况增加污染物类型；</w:t>
      </w:r>
    </w:p>
    <w:p w14:paraId="08332988">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n</m:t>
        </m:r>
      </m:oMath>
      <w:r>
        <w:rPr>
          <w:rFonts w:ascii="Times New Roman" w:hAnsi="Times New Roman"/>
          <w:kern w:val="0"/>
          <w:szCs w:val="20"/>
        </w:rPr>
        <w:t>——水体污染物类别的数量；</w:t>
      </w:r>
    </w:p>
    <w:p w14:paraId="2DCCED38">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j</m:t>
        </m:r>
      </m:oMath>
      <w:r>
        <w:rPr>
          <w:rFonts w:ascii="Times New Roman" w:hAnsi="Times New Roman"/>
          <w:kern w:val="0"/>
          <w:szCs w:val="20"/>
        </w:rPr>
        <w:t>——生态系统类型；</w:t>
      </w:r>
    </w:p>
    <w:p w14:paraId="29B55AA2">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m</m:t>
        </m:r>
      </m:oMath>
      <w:r>
        <w:rPr>
          <w:rFonts w:ascii="Times New Roman" w:hAnsi="Times New Roman"/>
          <w:kern w:val="0"/>
          <w:szCs w:val="20"/>
        </w:rPr>
        <w:t>——生态系统类型数量；</w:t>
      </w:r>
    </w:p>
    <w:p w14:paraId="2D62B1CC">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A</m:t>
            </m:r>
            <m:ctrlPr>
              <w:rPr>
                <w:rFonts w:ascii="Cambria Math" w:hAnsi="Cambria Math"/>
                <w:i/>
                <w:kern w:val="0"/>
                <w:szCs w:val="20"/>
              </w:rPr>
            </m:ctrlPr>
          </m:e>
          <m:sub>
            <m:r>
              <m:rPr/>
              <w:rPr>
                <w:rFonts w:ascii="Cambria Math" w:hAnsi="Cambria Math"/>
                <w:kern w:val="0"/>
                <w:szCs w:val="20"/>
              </w:rPr>
              <m:t>j</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j</m:t>
        </m:r>
      </m:oMath>
      <w:r>
        <w:rPr>
          <w:rFonts w:ascii="Times New Roman" w:hAnsi="Times New Roman"/>
          <w:kern w:val="0"/>
          <w:szCs w:val="20"/>
        </w:rPr>
        <w:t>类生态系统面积，单位：km</w:t>
      </w:r>
      <w:r>
        <w:rPr>
          <w:rFonts w:ascii="Times New Roman" w:hAnsi="Times New Roman"/>
          <w:kern w:val="0"/>
          <w:szCs w:val="20"/>
          <w:vertAlign w:val="superscript"/>
        </w:rPr>
        <w:t>2</w:t>
      </w:r>
      <w:r>
        <w:rPr>
          <w:rFonts w:ascii="Times New Roman" w:hAnsi="Times New Roman"/>
          <w:kern w:val="0"/>
          <w:szCs w:val="20"/>
        </w:rPr>
        <w:t>。</w:t>
      </w:r>
    </w:p>
    <w:p w14:paraId="3E4BBABF">
      <w:pPr>
        <w:pStyle w:val="58"/>
        <w:ind w:firstLine="420"/>
        <w:rPr>
          <w:rFonts w:ascii="Times New Roman"/>
        </w:rPr>
      </w:pPr>
    </w:p>
    <w:p w14:paraId="7A4810D8">
      <w:pPr>
        <w:pStyle w:val="96"/>
        <w:spacing w:before="156" w:after="156"/>
      </w:pPr>
      <w:r>
        <w:rPr>
          <w:rFonts w:hint="eastAsia"/>
        </w:rPr>
        <w:t>固碳服务实物量</w:t>
      </w:r>
    </w:p>
    <w:p w14:paraId="39BB180B">
      <w:pPr>
        <w:pStyle w:val="58"/>
        <w:ind w:firstLine="420"/>
      </w:pPr>
      <w:r>
        <w:t>固碳服务实物量由特定地域单元内各生态系统的固碳量累加核算，按式（</w:t>
      </w:r>
      <w:r>
        <w:rPr>
          <w:rFonts w:hint="eastAsia" w:ascii="Times New Roman" w:eastAsiaTheme="minorEastAsia"/>
        </w:rPr>
        <w:t>20</w:t>
      </w:r>
      <w:r>
        <w:t>）：</w:t>
      </w:r>
    </w:p>
    <w:p w14:paraId="59963549">
      <w:pPr>
        <w:pStyle w:val="115"/>
        <w:spacing w:before="156" w:after="156"/>
        <w:rPr>
          <w:rFonts w:ascii="Times New Roman" w:hAnsi="Times New Roman"/>
        </w:rPr>
      </w:pPr>
      <w: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=FCS+GCS+WCS+ASC</m:t>
        </m:r>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28722CF">
      <w:pPr>
        <w:pStyle w:val="57"/>
        <w:ind w:firstLine="420"/>
      </w:pPr>
      <w:r>
        <w:rPr>
          <w:rFonts w:hint="eastAsia"/>
        </w:rPr>
        <w:t>式中：</w:t>
      </w:r>
    </w:p>
    <w:p w14:paraId="454F519D">
      <w:pPr>
        <w:pStyle w:val="58"/>
        <w:ind w:firstLine="420"/>
      </w:pPr>
      <m:oMath>
        <m:sSub>
          <m:sSubPr>
            <m:ctrlPr>
              <w:rPr>
                <w:rFonts w:ascii="Cambria Math" w:hAnsi="Cambria Math"/>
                <w:i/>
                <w:kern w:val="2"/>
                <w:szCs w:val="21"/>
              </w:rPr>
            </m:ctrlPr>
          </m:sSubPr>
          <m:e>
            <m:r>
              <m:rPr/>
              <w:rPr>
                <w:rFonts w:ascii="Cambria Math" w:hAnsi="Cambria Math"/>
              </w:rPr>
              <m:t>Q</m:t>
            </m:r>
            <m:ctrlPr>
              <w:rPr>
                <w:rFonts w:ascii="Cambria Math" w:hAnsi="Cambria Math"/>
                <w:i/>
                <w:kern w:val="2"/>
                <w:szCs w:val="21"/>
              </w:rPr>
            </m:ctrlPr>
          </m:e>
          <m:sub>
            <m:sSub>
              <m:sSubPr>
                <m:ctrlPr>
                  <w:rPr>
                    <w:rFonts w:ascii="Cambria Math" w:hAnsi="Cambria Math"/>
                    <w:i/>
                    <w:kern w:val="2"/>
                    <w:szCs w:val="21"/>
                  </w:rPr>
                </m:ctrlPr>
              </m:sSubPr>
              <m:e>
                <m:r>
                  <m:rPr/>
                  <w:rPr>
                    <w:rFonts w:ascii="Cambria Math" w:hAnsi="Cambria Math"/>
                  </w:rPr>
                  <m:t>co</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ctrlPr>
              <w:rPr>
                <w:rFonts w:ascii="Cambria Math" w:hAnsi="Cambria Math"/>
                <w:i/>
                <w:kern w:val="2"/>
                <w:szCs w:val="21"/>
              </w:rPr>
            </m:ctrlPr>
          </m:sub>
        </m:sSub>
      </m:oMath>
      <w:r>
        <w:t>——生态系统固碳总量，单位为吨二氧化碳/年</w:t>
      </w:r>
      <w:r>
        <w:rPr>
          <w:rFonts w:hint="eastAsia" w:hAnsi="宋体" w:cs="宋体"/>
        </w:rPr>
        <w:t>（</w:t>
      </w:r>
      <w:r>
        <w:rPr>
          <w:rFonts w:ascii="Times New Roman" w:eastAsia="Times New Roman"/>
        </w:rPr>
        <w:t>tCO</w:t>
      </w:r>
      <w:r>
        <w:rPr>
          <w:rFonts w:ascii="Times New Roman" w:eastAsia="Times New Roman"/>
          <w:vertAlign w:val="subscript"/>
        </w:rPr>
        <w:t>2</w:t>
      </w:r>
      <w:r>
        <w:rPr>
          <w:rFonts w:ascii="Times New Roman" w:eastAsia="Times New Roman"/>
        </w:rPr>
        <w:t>/a</w:t>
      </w:r>
      <w:r>
        <w:rPr>
          <w:rFonts w:hint="eastAsia" w:hAnsi="宋体" w:cs="宋体"/>
        </w:rPr>
        <w:t>）</w:t>
      </w:r>
      <w:r>
        <w:t>；</w:t>
      </w:r>
    </w:p>
    <w:p w14:paraId="0EFADBF7">
      <w:pPr>
        <w:pStyle w:val="58"/>
        <w:ind w:firstLine="420"/>
      </w:pPr>
      <w:r>
        <w:rPr>
          <w:rFonts w:ascii="Times New Roman" w:eastAsia="Times New Roman"/>
          <w:i/>
          <w:iCs/>
        </w:rPr>
        <w:t>FCS</w:t>
      </w:r>
      <w:r>
        <w:t>——森林（及灌丛）固碳量，单位为吨二氧化碳/年</w:t>
      </w:r>
      <w:r>
        <w:rPr>
          <w:rFonts w:hint="eastAsia" w:hAnsi="宋体" w:cs="宋体"/>
        </w:rPr>
        <w:t>（</w:t>
      </w:r>
      <w:r>
        <w:rPr>
          <w:rFonts w:ascii="Times New Roman" w:eastAsia="Times New Roman"/>
        </w:rPr>
        <w:t>tCO</w:t>
      </w:r>
      <w:r>
        <w:rPr>
          <w:rFonts w:ascii="Times New Roman" w:eastAsia="Times New Roman"/>
          <w:vertAlign w:val="subscript"/>
        </w:rPr>
        <w:t>2</w:t>
      </w:r>
      <w:r>
        <w:rPr>
          <w:rFonts w:ascii="Times New Roman" w:eastAsia="Times New Roman"/>
        </w:rPr>
        <w:t>/a</w:t>
      </w:r>
      <w:r>
        <w:rPr>
          <w:rFonts w:hint="eastAsia" w:hAnsi="宋体" w:cs="宋体"/>
        </w:rPr>
        <w:t>）</w:t>
      </w:r>
      <w:r>
        <w:t>；</w:t>
      </w:r>
    </w:p>
    <w:p w14:paraId="48D543BC">
      <w:pPr>
        <w:pStyle w:val="58"/>
        <w:ind w:firstLine="420"/>
      </w:pPr>
      <w:r>
        <w:rPr>
          <w:rFonts w:ascii="Times New Roman" w:eastAsia="Times New Roman"/>
          <w:i/>
          <w:iCs/>
        </w:rPr>
        <w:t>GCS</w:t>
      </w:r>
      <w:r>
        <w:t>——草地固碳量，单位为吨二氧化碳/年</w:t>
      </w:r>
      <w:r>
        <w:rPr>
          <w:rFonts w:hint="eastAsia" w:hAnsi="宋体" w:cs="宋体"/>
        </w:rPr>
        <w:t>（</w:t>
      </w:r>
      <w:r>
        <w:rPr>
          <w:rFonts w:ascii="Times New Roman" w:eastAsia="Times New Roman"/>
        </w:rPr>
        <w:t>tCO</w:t>
      </w:r>
      <w:r>
        <w:rPr>
          <w:rFonts w:ascii="Times New Roman" w:eastAsia="Times New Roman"/>
          <w:vertAlign w:val="subscript"/>
        </w:rPr>
        <w:t>2</w:t>
      </w:r>
      <w:r>
        <w:rPr>
          <w:rFonts w:ascii="Times New Roman" w:eastAsia="Times New Roman"/>
        </w:rPr>
        <w:t>/a</w:t>
      </w:r>
      <w:r>
        <w:rPr>
          <w:rFonts w:hint="eastAsia" w:hAnsi="宋体" w:cs="宋体"/>
        </w:rPr>
        <w:t>）；</w:t>
      </w:r>
    </w:p>
    <w:p w14:paraId="38945532">
      <w:pPr>
        <w:pStyle w:val="58"/>
        <w:ind w:firstLine="420"/>
      </w:pPr>
      <w:r>
        <w:rPr>
          <w:rFonts w:ascii="Times New Roman" w:eastAsia="Times New Roman"/>
          <w:i/>
          <w:iCs/>
        </w:rPr>
        <w:t>WCS</w:t>
      </w:r>
      <w:r>
        <w:t>——湿地固碳量，单位为吨二氧化碳/年</w:t>
      </w:r>
      <w:r>
        <w:rPr>
          <w:rFonts w:hint="eastAsia" w:hAnsi="宋体" w:cs="宋体"/>
        </w:rPr>
        <w:t>（</w:t>
      </w:r>
      <w:r>
        <w:rPr>
          <w:rFonts w:ascii="Times New Roman" w:eastAsia="Times New Roman"/>
        </w:rPr>
        <w:t>tCO</w:t>
      </w:r>
      <w:r>
        <w:rPr>
          <w:rFonts w:ascii="Times New Roman" w:eastAsia="Times New Roman"/>
          <w:vertAlign w:val="subscript"/>
        </w:rPr>
        <w:t>2</w:t>
      </w:r>
      <w:r>
        <w:rPr>
          <w:rFonts w:ascii="Times New Roman" w:eastAsia="Times New Roman"/>
        </w:rPr>
        <w:t>/a</w:t>
      </w:r>
      <w:r>
        <w:rPr>
          <w:rFonts w:hint="eastAsia" w:hAnsi="宋体" w:cs="宋体"/>
        </w:rPr>
        <w:t>）</w:t>
      </w:r>
      <w:r>
        <w:t>；</w:t>
      </w:r>
    </w:p>
    <w:p w14:paraId="2D952719">
      <w:pPr>
        <w:pStyle w:val="58"/>
        <w:ind w:firstLine="420"/>
      </w:pPr>
      <w:r>
        <w:rPr>
          <w:rFonts w:hint="eastAsia" w:ascii="Times New Roman" w:eastAsiaTheme="minorEastAsia"/>
          <w:i/>
          <w:iCs/>
        </w:rPr>
        <w:t>A</w:t>
      </w:r>
      <w:r>
        <w:rPr>
          <w:rFonts w:ascii="Times New Roman" w:eastAsia="Times New Roman"/>
          <w:i/>
          <w:iCs/>
        </w:rPr>
        <w:t>CS</w:t>
      </w:r>
      <w:r>
        <w:t>——农田固碳量，单位为吨二氧化碳/年</w:t>
      </w:r>
      <w:r>
        <w:rPr>
          <w:rFonts w:hint="eastAsia" w:hAnsi="宋体" w:cs="宋体"/>
        </w:rPr>
        <w:t>（</w:t>
      </w:r>
      <w:r>
        <w:rPr>
          <w:rFonts w:ascii="Times New Roman" w:eastAsia="Times New Roman"/>
        </w:rPr>
        <w:t>tCO</w:t>
      </w:r>
      <w:r>
        <w:rPr>
          <w:rFonts w:ascii="Times New Roman" w:eastAsia="Times New Roman"/>
          <w:vertAlign w:val="subscript"/>
        </w:rPr>
        <w:t>2</w:t>
      </w:r>
      <w:r>
        <w:rPr>
          <w:rFonts w:ascii="Times New Roman" w:eastAsia="Times New Roman"/>
        </w:rPr>
        <w:t>/a</w:t>
      </w:r>
      <w:r>
        <w:rPr>
          <w:rFonts w:hint="eastAsia" w:hAnsi="宋体" w:cs="宋体"/>
        </w:rPr>
        <w:t>）</w:t>
      </w:r>
      <w:r>
        <w:t>。</w:t>
      </w:r>
    </w:p>
    <w:p w14:paraId="4E09ABF2">
      <w:p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5.2.2.6.1　森林生态系统固碳量</w:t>
      </w:r>
    </w:p>
    <w:p w14:paraId="64162FCA">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宜采用固碳速率法，计算森林生态系统（含灌木林）固碳量。按照公式（</w:t>
      </w:r>
      <w:r>
        <w:rPr>
          <w:rFonts w:hint="eastAsia" w:ascii="Times New Roman" w:hAnsi="Times New Roman"/>
          <w:kern w:val="0"/>
          <w:szCs w:val="20"/>
        </w:rPr>
        <w:t>21</w:t>
      </w:r>
      <w:r>
        <w:rPr>
          <w:rFonts w:ascii="Times New Roman" w:hAnsi="Times New Roman"/>
          <w:kern w:val="0"/>
          <w:szCs w:val="20"/>
        </w:rPr>
        <w:t>）计算。</w:t>
      </w:r>
    </w:p>
    <w:p w14:paraId="42344029">
      <w:pPr>
        <w:tabs>
          <w:tab w:val="center" w:pos="4678"/>
          <w:tab w:val="right" w:leader="middleDot" w:pos="9356"/>
        </w:tabs>
        <w:spacing w:line="240" w:lineRule="auto"/>
        <w:rPr>
          <w:rFonts w:ascii="Times New Roman" w:hAnsi="Times New Roman"/>
        </w:rPr>
      </w:pPr>
      <w:r>
        <w:rPr>
          <w:rFonts w:ascii="Times New Roman" w:hAnsi="Times New Roman"/>
        </w:rPr>
        <w:tab/>
      </w:r>
      <m:oMath>
        <m:r>
          <m:rPr/>
          <w:rPr>
            <w:rFonts w:ascii="Cambria Math" w:hAnsi="Cambria Math"/>
          </w:rPr>
          <m:t>FCS=</m:t>
        </m:r>
        <m:d>
          <m:dPr>
            <m:ctrlPr>
              <w:rPr>
                <w:rFonts w:ascii="Cambria Math" w:hAnsi="Cambria Math"/>
                <w:i/>
                <w:iCs/>
              </w:rPr>
            </m:ctrlPr>
          </m:dPr>
          <m:e>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FCS</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S</m:t>
                </m:r>
                <m:ctrlPr>
                  <w:rPr>
                    <w:rFonts w:ascii="Cambria Math" w:hAnsi="Cambria Math"/>
                    <w:i/>
                    <w:iCs/>
                  </w:rPr>
                </m:ctrlPr>
              </m:e>
              <m:sub>
                <m:r>
                  <m:rPr/>
                  <w:rPr>
                    <w:rFonts w:ascii="Cambria Math" w:hAnsi="Cambria Math"/>
                  </w:rPr>
                  <m:t>FCS</m:t>
                </m:r>
                <m:ctrlPr>
                  <w:rPr>
                    <w:rFonts w:ascii="Cambria Math" w:hAnsi="Cambria Math"/>
                    <w:i/>
                    <w:iCs/>
                  </w:rPr>
                </m:ctrlPr>
              </m:sub>
            </m:sSub>
            <m:ctrlPr>
              <w:rPr>
                <w:rFonts w:ascii="Cambria Math" w:hAnsi="Cambria Math"/>
                <w:i/>
                <w:iCs/>
              </w:rPr>
            </m:ctrlPr>
          </m:e>
        </m:d>
        <m:r>
          <m:rPr/>
          <w:rPr>
            <w:rFonts w:ascii="Cambria Math" w:hAnsi="Cambria Math"/>
          </w:rPr>
          <m:t>×</m:t>
        </m:r>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f</m:t>
            </m:r>
            <m:ctrlPr>
              <w:rPr>
                <w:rFonts w:ascii="Cambria Math" w:hAnsi="Cambria Math"/>
                <w:i/>
                <w:iCs/>
              </w:rPr>
            </m:ctrlPr>
          </m:sub>
        </m:sSub>
        <m:r>
          <m:rPr/>
          <w:rPr>
            <w:rFonts w:ascii="Cambria Math" w:hAnsi="Cambria Math"/>
          </w:rPr>
          <m:t>×</m:t>
        </m:r>
        <m:f>
          <m:fPr>
            <m:type m:val="lin"/>
            <m:ctrlPr>
              <w:rPr>
                <w:rFonts w:ascii="Cambria Math" w:hAnsi="Cambria Math"/>
                <w:i/>
              </w:rPr>
            </m:ctrlPr>
          </m:fPr>
          <m:num>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C</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c</m:t>
                </m:r>
                <m:ctrlPr>
                  <w:rPr>
                    <w:rFonts w:ascii="Cambria Math" w:hAnsi="Cambria Math"/>
                    <w:i/>
                  </w:rPr>
                </m:ctrlPr>
              </m:sub>
            </m:sSub>
            <m:ctrlPr>
              <w:rPr>
                <w:rFonts w:ascii="Cambria Math" w:hAnsi="Cambria Math"/>
                <w:i/>
              </w:rPr>
            </m:ctrlPr>
          </m:den>
        </m:f>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98E2E52">
      <w:pPr>
        <w:snapToGrid w:val="0"/>
        <w:ind w:firstLine="420" w:firstLineChars="200"/>
        <w:rPr>
          <w:rFonts w:ascii="Times New Roman" w:hAnsi="Times New Roman"/>
          <w:kern w:val="0"/>
        </w:rPr>
      </w:pPr>
      <w:r>
        <w:rPr>
          <w:rFonts w:ascii="Times New Roman" w:hAnsi="Times New Roman"/>
          <w:kern w:val="0"/>
        </w:rPr>
        <w:t>式中：</w:t>
      </w:r>
    </w:p>
    <w:p w14:paraId="0E94004B">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FCS</m:t>
        </m:r>
      </m:oMath>
      <w:r>
        <w:rPr>
          <w:rFonts w:ascii="Times New Roman" w:hAnsi="Times New Roman"/>
          <w:kern w:val="0"/>
          <w:szCs w:val="20"/>
        </w:rPr>
        <w:t>——森林生态系统固碳量，单位：tC/a；</w:t>
      </w:r>
    </w:p>
    <w:p w14:paraId="5EDC046D">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iCs/>
                <w:kern w:val="0"/>
                <w:szCs w:val="20"/>
              </w:rPr>
            </m:ctrlPr>
          </m:sSubPr>
          <m:e>
            <m:r>
              <m:rPr/>
              <w:rPr>
                <w:rFonts w:ascii="Cambria Math" w:hAnsi="Cambria Math"/>
                <w:kern w:val="0"/>
                <w:szCs w:val="20"/>
              </w:rPr>
              <m:t>V</m:t>
            </m:r>
            <m:ctrlPr>
              <w:rPr>
                <w:rFonts w:ascii="Cambria Math" w:hAnsi="Cambria Math"/>
                <w:i/>
                <w:iCs/>
                <w:kern w:val="0"/>
                <w:szCs w:val="20"/>
              </w:rPr>
            </m:ctrlPr>
          </m:e>
          <m:sub>
            <m:r>
              <m:rPr/>
              <w:rPr>
                <w:rFonts w:ascii="Cambria Math" w:hAnsi="Cambria Math"/>
                <w:kern w:val="0"/>
                <w:szCs w:val="20"/>
              </w:rPr>
              <m:t>FCS</m:t>
            </m:r>
            <m:ctrlPr>
              <w:rPr>
                <w:rFonts w:ascii="Cambria Math" w:hAnsi="Cambria Math"/>
                <w:i/>
                <w:iCs/>
                <w:kern w:val="0"/>
                <w:szCs w:val="20"/>
              </w:rPr>
            </m:ctrlPr>
          </m:sub>
        </m:sSub>
      </m:oMath>
      <w:r>
        <w:rPr>
          <w:rFonts w:ascii="Times New Roman" w:hAnsi="Times New Roman"/>
          <w:kern w:val="0"/>
          <w:szCs w:val="20"/>
        </w:rPr>
        <w:t>——森林生态系统植被固碳速率，单位：tC/(hm</w:t>
      </w:r>
      <w:r>
        <w:rPr>
          <w:rFonts w:ascii="Times New Roman" w:hAnsi="Times New Roman"/>
          <w:kern w:val="0"/>
          <w:szCs w:val="20"/>
          <w:vertAlign w:val="superscript"/>
        </w:rPr>
        <w:t>2</w:t>
      </w:r>
      <w:r>
        <w:rPr>
          <w:rFonts w:ascii="Times New Roman" w:hAnsi="Times New Roman"/>
          <w:kern w:val="0"/>
          <w:szCs w:val="20"/>
        </w:rPr>
        <w:t>·a)，见附录C8.1；</w:t>
      </w:r>
    </w:p>
    <w:p w14:paraId="39A2B8DE">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iCs/>
                <w:kern w:val="0"/>
                <w:szCs w:val="20"/>
              </w:rPr>
            </m:ctrlPr>
          </m:sSubPr>
          <m:e>
            <m:r>
              <m:rPr/>
              <w:rPr>
                <w:rFonts w:ascii="Cambria Math" w:hAnsi="Cambria Math"/>
                <w:kern w:val="0"/>
                <w:szCs w:val="20"/>
              </w:rPr>
              <m:t>S</m:t>
            </m:r>
            <m:ctrlPr>
              <w:rPr>
                <w:rFonts w:ascii="Cambria Math" w:hAnsi="Cambria Math"/>
                <w:i/>
                <w:iCs/>
                <w:kern w:val="0"/>
                <w:szCs w:val="20"/>
              </w:rPr>
            </m:ctrlPr>
          </m:e>
          <m:sub>
            <m:r>
              <m:rPr/>
              <w:rPr>
                <w:rFonts w:ascii="Cambria Math" w:hAnsi="Cambria Math"/>
                <w:kern w:val="0"/>
                <w:szCs w:val="20"/>
              </w:rPr>
              <m:t>FCS</m:t>
            </m:r>
            <m:ctrlPr>
              <w:rPr>
                <w:rFonts w:ascii="Cambria Math" w:hAnsi="Cambria Math"/>
                <w:i/>
                <w:iCs/>
                <w:kern w:val="0"/>
                <w:szCs w:val="20"/>
              </w:rPr>
            </m:ctrlPr>
          </m:sub>
        </m:sSub>
      </m:oMath>
      <w:r>
        <w:rPr>
          <w:rFonts w:ascii="Times New Roman" w:hAnsi="Times New Roman"/>
          <w:kern w:val="0"/>
          <w:szCs w:val="20"/>
        </w:rPr>
        <w:t>——森林生态系统土壤固碳速率，单位：tC/(hm</w:t>
      </w:r>
      <w:r>
        <w:rPr>
          <w:rFonts w:ascii="Times New Roman" w:hAnsi="Times New Roman"/>
          <w:kern w:val="0"/>
          <w:szCs w:val="20"/>
          <w:vertAlign w:val="superscript"/>
        </w:rPr>
        <w:t>2</w:t>
      </w:r>
      <w:r>
        <w:rPr>
          <w:rFonts w:ascii="Times New Roman" w:hAnsi="Times New Roman"/>
          <w:kern w:val="0"/>
          <w:szCs w:val="20"/>
        </w:rPr>
        <w:t>·a)，见附录C8.1；</w:t>
      </w:r>
    </w:p>
    <w:p w14:paraId="329AEC60">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iCs/>
                <w:kern w:val="0"/>
                <w:szCs w:val="20"/>
              </w:rPr>
            </m:ctrlPr>
          </m:sSubPr>
          <m:e>
            <m:r>
              <m:rPr/>
              <w:rPr>
                <w:rFonts w:ascii="Cambria Math" w:hAnsi="Cambria Math"/>
                <w:kern w:val="0"/>
                <w:szCs w:val="20"/>
              </w:rPr>
              <m:t>A</m:t>
            </m:r>
            <m:ctrlPr>
              <w:rPr>
                <w:rFonts w:ascii="Cambria Math" w:hAnsi="Cambria Math"/>
                <w:i/>
                <w:iCs/>
                <w:kern w:val="0"/>
                <w:szCs w:val="20"/>
              </w:rPr>
            </m:ctrlPr>
          </m:e>
          <m:sub>
            <m:r>
              <m:rPr/>
              <w:rPr>
                <w:rFonts w:ascii="Cambria Math" w:hAnsi="Cambria Math"/>
                <w:kern w:val="0"/>
                <w:szCs w:val="20"/>
              </w:rPr>
              <m:t>f</m:t>
            </m:r>
            <m:ctrlPr>
              <w:rPr>
                <w:rFonts w:ascii="Cambria Math" w:hAnsi="Cambria Math"/>
                <w:i/>
                <w:iCs/>
                <w:kern w:val="0"/>
                <w:szCs w:val="20"/>
              </w:rPr>
            </m:ctrlPr>
          </m:sub>
        </m:sSub>
      </m:oMath>
      <w:r>
        <w:rPr>
          <w:rFonts w:ascii="Times New Roman" w:hAnsi="Times New Roman"/>
          <w:kern w:val="0"/>
          <w:szCs w:val="20"/>
        </w:rPr>
        <w:t>——森林生态系统面积，单位：hm</w:t>
      </w:r>
      <w:r>
        <w:rPr>
          <w:rFonts w:ascii="Times New Roman" w:hAnsi="Times New Roman"/>
          <w:kern w:val="0"/>
          <w:szCs w:val="20"/>
          <w:vertAlign w:val="superscript"/>
        </w:rPr>
        <w:t>2</w:t>
      </w:r>
      <w:r>
        <w:rPr>
          <w:rFonts w:ascii="Times New Roman" w:hAnsi="Times New Roman"/>
          <w:kern w:val="0"/>
          <w:szCs w:val="20"/>
        </w:rPr>
        <w:t>；</w:t>
      </w:r>
    </w:p>
    <w:p w14:paraId="7C6ADC8A">
      <w:pPr>
        <w:widowControl/>
        <w:autoSpaceDE w:val="0"/>
        <w:autoSpaceDN w:val="0"/>
        <w:adjustRightInd/>
        <w:spacing w:line="240" w:lineRule="auto"/>
        <w:ind w:firstLine="420" w:firstLineChars="200"/>
        <w:rPr>
          <w:rFonts w:ascii="Times New Roman" w:hAnsi="Times New Roman"/>
          <w:kern w:val="0"/>
          <w:szCs w:val="20"/>
        </w:rPr>
      </w:pPr>
      <m:oMath>
        <m:f>
          <m:fPr>
            <m:type m:val="lin"/>
            <m:ctrlPr>
              <w:rPr>
                <w:rFonts w:ascii="Cambria Math" w:hAnsi="Cambria Math"/>
                <w:i/>
                <w:kern w:val="0"/>
                <w:szCs w:val="20"/>
              </w:rPr>
            </m:ctrlPr>
          </m:fPr>
          <m:num>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sSub>
                  <m:sSubPr>
                    <m:ctrlPr>
                      <w:rPr>
                        <w:rFonts w:ascii="Cambria Math" w:hAnsi="Cambria Math"/>
                        <w:i/>
                        <w:kern w:val="0"/>
                        <w:szCs w:val="20"/>
                      </w:rPr>
                    </m:ctrlPr>
                  </m:sSubPr>
                  <m:e>
                    <m:r>
                      <m:rPr/>
                      <w:rPr>
                        <w:rFonts w:ascii="Cambria Math" w:hAnsi="Cambria Math"/>
                        <w:kern w:val="0"/>
                        <w:szCs w:val="20"/>
                      </w:rPr>
                      <m:t>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num>
          <m:den>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ctrlPr>
                  <w:rPr>
                    <w:rFonts w:ascii="Cambria Math" w:hAnsi="Cambria Math"/>
                    <w:i/>
                    <w:kern w:val="0"/>
                    <w:szCs w:val="20"/>
                  </w:rPr>
                </m:ctrlPr>
              </m:sub>
            </m:sSub>
            <m:ctrlPr>
              <w:rPr>
                <w:rFonts w:ascii="Cambria Math" w:hAnsi="Cambria Math"/>
                <w:i/>
                <w:kern w:val="0"/>
                <w:szCs w:val="20"/>
              </w:rPr>
            </m:ctrlPr>
          </m:den>
        </m:f>
      </m:oMath>
      <w:r>
        <w:rPr>
          <w:rFonts w:ascii="Times New Roman" w:hAnsi="Times New Roman"/>
          <w:kern w:val="0"/>
          <w:szCs w:val="20"/>
        </w:rPr>
        <w:t>——碳转化为二氧化碳的系数，单位：无量纲，取值44/12。</w:t>
      </w:r>
    </w:p>
    <w:p w14:paraId="2A9B86C8">
      <w:pPr>
        <w:numPr>
          <w:ilvl w:val="5"/>
          <w:numId w:val="0"/>
        </w:num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5.2.2.6.2　</w:t>
      </w:r>
      <w:r>
        <w:rPr>
          <w:rFonts w:ascii="Times New Roman" w:hAnsi="Times New Roman" w:eastAsia="黑体"/>
          <w:kern w:val="0"/>
          <w:szCs w:val="20"/>
        </w:rPr>
        <w:t>草地生态系统固碳量</w:t>
      </w:r>
    </w:p>
    <w:p w14:paraId="2B8E68D2">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宜采用固碳速率法，计算草地生态系统固碳量。因草地植被每年枯落，固碳量不考虑植被固碳，仅计算土壤固碳。按照公式（</w:t>
      </w:r>
      <w:r>
        <w:rPr>
          <w:rFonts w:hint="eastAsia" w:ascii="Times New Roman" w:hAnsi="Times New Roman"/>
          <w:kern w:val="0"/>
          <w:szCs w:val="20"/>
        </w:rPr>
        <w:t>22</w:t>
      </w:r>
      <w:r>
        <w:rPr>
          <w:rFonts w:ascii="Times New Roman" w:hAnsi="Times New Roman"/>
          <w:kern w:val="0"/>
          <w:szCs w:val="20"/>
        </w:rPr>
        <w:t>）计算。</w:t>
      </w:r>
    </w:p>
    <w:p w14:paraId="115802AE">
      <w:pPr>
        <w:tabs>
          <w:tab w:val="center" w:pos="4678"/>
          <w:tab w:val="right" w:leader="middleDot" w:pos="9356"/>
        </w:tabs>
        <w:spacing w:line="240" w:lineRule="auto"/>
        <w:rPr>
          <w:rFonts w:ascii="Times New Roman" w:hAnsi="Times New Roman"/>
        </w:rPr>
      </w:pPr>
      <w:r>
        <w:rPr>
          <w:rFonts w:ascii="Times New Roman" w:hAnsi="Times New Roman"/>
        </w:rPr>
        <w:tab/>
      </w:r>
      <m:oMath>
        <m:r>
          <m:rPr/>
          <w:rPr>
            <w:rFonts w:ascii="Cambria Math" w:hAnsi="Cambria Math"/>
          </w:rPr>
          <m:t>GCS=</m:t>
        </m:r>
        <m:sSub>
          <m:sSubPr>
            <m:ctrlPr>
              <w:rPr>
                <w:rFonts w:ascii="Cambria Math" w:hAnsi="Cambria Math"/>
                <w:i/>
                <w:iCs/>
              </w:rPr>
            </m:ctrlPr>
          </m:sSubPr>
          <m:e>
            <m:r>
              <m:rPr/>
              <w:rPr>
                <w:rFonts w:ascii="Cambria Math" w:hAnsi="Cambria Math"/>
              </w:rPr>
              <m:t>R</m:t>
            </m:r>
            <m:ctrlPr>
              <w:rPr>
                <w:rFonts w:ascii="Cambria Math" w:hAnsi="Cambria Math"/>
                <w:i/>
                <w:iCs/>
              </w:rPr>
            </m:ctrlPr>
          </m:e>
          <m:sub>
            <m:r>
              <m:rPr/>
              <w:rPr>
                <w:rFonts w:ascii="Cambria Math" w:hAnsi="Cambria Math"/>
              </w:rPr>
              <m:t>GCS</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g</m:t>
            </m:r>
            <m:ctrlPr>
              <w:rPr>
                <w:rFonts w:ascii="Cambria Math" w:hAnsi="Cambria Math"/>
                <w:i/>
                <w:iCs/>
              </w:rPr>
            </m:ctrlPr>
          </m:sub>
        </m:sSub>
        <m:r>
          <m:rP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ctrlPr>
                  <w:rPr>
                    <w:rFonts w:ascii="Cambria Math" w:hAnsi="Cambria Math"/>
                    <w:i/>
                    <w:iCs/>
                  </w:rPr>
                </m:ctrlPr>
              </m:sub>
            </m:sSub>
            <m:ctrlPr>
              <w:rPr>
                <w:rFonts w:ascii="Cambria Math" w:hAnsi="Cambria Math"/>
                <w:i/>
                <w:iCs/>
              </w:rPr>
            </m:ctrlPr>
          </m:den>
        </m:f>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86B7E23">
      <w:pPr>
        <w:snapToGrid w:val="0"/>
        <w:ind w:firstLine="420" w:firstLineChars="200"/>
        <w:rPr>
          <w:rFonts w:ascii="Times New Roman" w:hAnsi="Times New Roman"/>
          <w:kern w:val="0"/>
        </w:rPr>
      </w:pPr>
      <w:r>
        <w:rPr>
          <w:rFonts w:ascii="Times New Roman" w:hAnsi="Times New Roman"/>
          <w:kern w:val="0"/>
        </w:rPr>
        <w:t>式中：</w:t>
      </w:r>
    </w:p>
    <w:p w14:paraId="4ED2F601">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GCS——草地生态系统固碳量，单位：tC/a；</w:t>
      </w:r>
    </w:p>
    <w:p w14:paraId="0E3476C8">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i/>
          <w:iCs/>
          <w:kern w:val="0"/>
          <w:szCs w:val="20"/>
        </w:rPr>
        <w:t>R</w:t>
      </w:r>
      <w:r>
        <w:rPr>
          <w:rFonts w:ascii="Times New Roman" w:hAnsi="Times New Roman"/>
          <w:i/>
          <w:iCs/>
          <w:kern w:val="0"/>
          <w:szCs w:val="20"/>
          <w:vertAlign w:val="subscript"/>
        </w:rPr>
        <w:t>GCS</w:t>
      </w:r>
      <w:r>
        <w:rPr>
          <w:rFonts w:ascii="Times New Roman" w:hAnsi="Times New Roman"/>
          <w:kern w:val="0"/>
          <w:szCs w:val="20"/>
        </w:rPr>
        <w:t xml:space="preserve"> ——草地生态系统土壤固碳速率，单位：tC/(hm</w:t>
      </w:r>
      <w:r>
        <w:rPr>
          <w:rFonts w:ascii="Times New Roman" w:hAnsi="Times New Roman"/>
          <w:kern w:val="0"/>
          <w:szCs w:val="20"/>
          <w:vertAlign w:val="superscript"/>
        </w:rPr>
        <w:t>2</w:t>
      </w:r>
      <w:r>
        <w:rPr>
          <w:rFonts w:ascii="Times New Roman" w:hAnsi="Times New Roman"/>
          <w:kern w:val="0"/>
          <w:szCs w:val="20"/>
        </w:rPr>
        <w:t>·a) ，见附录C8.2；</w:t>
      </w:r>
    </w:p>
    <w:p w14:paraId="0DBD9826">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i/>
          <w:iCs/>
          <w:kern w:val="0"/>
          <w:szCs w:val="20"/>
        </w:rPr>
        <w:t>A</w:t>
      </w:r>
      <w:r>
        <w:rPr>
          <w:rFonts w:ascii="Times New Roman" w:hAnsi="Times New Roman"/>
          <w:i/>
          <w:iCs/>
          <w:kern w:val="0"/>
          <w:szCs w:val="20"/>
          <w:vertAlign w:val="subscript"/>
        </w:rPr>
        <w:t>g</w:t>
      </w:r>
      <w:r>
        <w:rPr>
          <w:rFonts w:ascii="Times New Roman" w:hAnsi="Times New Roman"/>
          <w:kern w:val="0"/>
          <w:szCs w:val="20"/>
        </w:rPr>
        <w:t>——草地生态系统面积，单位：hm</w:t>
      </w:r>
      <w:r>
        <w:rPr>
          <w:rFonts w:ascii="Times New Roman" w:hAnsi="Times New Roman"/>
          <w:kern w:val="0"/>
          <w:szCs w:val="20"/>
          <w:vertAlign w:val="superscript"/>
        </w:rPr>
        <w:t>2</w:t>
      </w:r>
      <w:r>
        <w:rPr>
          <w:rFonts w:ascii="Times New Roman" w:hAnsi="Times New Roman"/>
          <w:kern w:val="0"/>
          <w:szCs w:val="20"/>
        </w:rPr>
        <w:t>；</w:t>
      </w:r>
    </w:p>
    <w:p w14:paraId="3D8293D7">
      <w:pPr>
        <w:widowControl/>
        <w:autoSpaceDE w:val="0"/>
        <w:autoSpaceDN w:val="0"/>
        <w:adjustRightInd/>
        <w:spacing w:line="240" w:lineRule="auto"/>
        <w:ind w:firstLine="420" w:firstLineChars="200"/>
        <w:rPr>
          <w:rFonts w:ascii="Times New Roman" w:hAnsi="Times New Roman"/>
          <w:kern w:val="0"/>
          <w:szCs w:val="20"/>
        </w:rPr>
      </w:pPr>
      <m:oMath>
        <m:f>
          <m:fPr>
            <m:type m:val="lin"/>
            <m:ctrlPr>
              <w:rPr>
                <w:rFonts w:ascii="Cambria Math" w:hAnsi="Cambria Math"/>
                <w:i/>
                <w:kern w:val="0"/>
                <w:szCs w:val="20"/>
              </w:rPr>
            </m:ctrlPr>
          </m:fPr>
          <m:num>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sSub>
                  <m:sSubPr>
                    <m:ctrlPr>
                      <w:rPr>
                        <w:rFonts w:ascii="Cambria Math" w:hAnsi="Cambria Math"/>
                        <w:i/>
                        <w:kern w:val="0"/>
                        <w:szCs w:val="20"/>
                      </w:rPr>
                    </m:ctrlPr>
                  </m:sSubPr>
                  <m:e>
                    <m:r>
                      <m:rPr/>
                      <w:rPr>
                        <w:rFonts w:ascii="Cambria Math" w:hAnsi="Cambria Math"/>
                        <w:kern w:val="0"/>
                        <w:szCs w:val="20"/>
                      </w:rPr>
                      <m:t>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num>
          <m:den>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ctrlPr>
                  <w:rPr>
                    <w:rFonts w:ascii="Cambria Math" w:hAnsi="Cambria Math"/>
                    <w:i/>
                    <w:kern w:val="0"/>
                    <w:szCs w:val="20"/>
                  </w:rPr>
                </m:ctrlPr>
              </m:sub>
            </m:sSub>
            <m:ctrlPr>
              <w:rPr>
                <w:rFonts w:ascii="Cambria Math" w:hAnsi="Cambria Math"/>
                <w:i/>
                <w:kern w:val="0"/>
                <w:szCs w:val="20"/>
              </w:rPr>
            </m:ctrlPr>
          </m:den>
        </m:f>
      </m:oMath>
      <w:r>
        <w:rPr>
          <w:rFonts w:ascii="Times New Roman" w:hAnsi="Times New Roman"/>
          <w:kern w:val="0"/>
          <w:szCs w:val="20"/>
        </w:rPr>
        <w:t>——碳转化为二氧化碳的系数，单位：无量纲，取值44/12。</w:t>
      </w:r>
    </w:p>
    <w:p w14:paraId="556E751F">
      <w:pPr>
        <w:numPr>
          <w:ilvl w:val="5"/>
          <w:numId w:val="0"/>
        </w:num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5.2.2.6.3　</w:t>
      </w:r>
      <w:r>
        <w:rPr>
          <w:rFonts w:ascii="Times New Roman" w:hAnsi="Times New Roman" w:eastAsia="黑体"/>
          <w:kern w:val="0"/>
          <w:szCs w:val="20"/>
        </w:rPr>
        <w:t>湿地生态系统固碳量</w:t>
      </w:r>
    </w:p>
    <w:p w14:paraId="0990142F">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宜采用固碳速率法，计算湿地生态系统固碳量。按照公式（2</w:t>
      </w:r>
      <w:r>
        <w:rPr>
          <w:rFonts w:hint="eastAsia" w:ascii="Times New Roman" w:hAnsi="Times New Roman"/>
          <w:kern w:val="0"/>
          <w:szCs w:val="20"/>
        </w:rPr>
        <w:t>3</w:t>
      </w:r>
      <w:r>
        <w:rPr>
          <w:rFonts w:ascii="Times New Roman" w:hAnsi="Times New Roman"/>
          <w:kern w:val="0"/>
          <w:szCs w:val="20"/>
        </w:rPr>
        <w:t>）计算。</w:t>
      </w:r>
    </w:p>
    <w:p w14:paraId="77631474">
      <w:pPr>
        <w:tabs>
          <w:tab w:val="center" w:pos="4678"/>
          <w:tab w:val="right" w:leader="middleDot" w:pos="9356"/>
        </w:tabs>
        <w:spacing w:line="240" w:lineRule="auto"/>
        <w:rPr>
          <w:rFonts w:ascii="Times New Roman" w:hAnsi="Times New Roman"/>
        </w:rPr>
      </w:pPr>
      <w:r>
        <w:rPr>
          <w:rFonts w:ascii="Times New Roman" w:hAnsi="Times New Roman"/>
        </w:rPr>
        <w:tab/>
      </w:r>
      <m:oMath>
        <m:r>
          <m:rPr/>
          <w:rPr>
            <w:rFonts w:ascii="Cambria Math" w:hAnsi="Cambria Math"/>
          </w:rPr>
          <m:t>WCS=</m:t>
        </m:r>
        <m:sSub>
          <m:sSubPr>
            <m:ctrlPr>
              <w:rPr>
                <w:rFonts w:ascii="Cambria Math" w:hAnsi="Cambria Math"/>
                <w:i/>
                <w:iCs/>
              </w:rPr>
            </m:ctrlPr>
          </m:sSubPr>
          <m:e>
            <m:r>
              <m:rPr/>
              <w:rPr>
                <w:rFonts w:ascii="Cambria Math" w:hAnsi="Cambria Math"/>
              </w:rPr>
              <m:t>R</m:t>
            </m:r>
            <m:ctrlPr>
              <w:rPr>
                <w:rFonts w:ascii="Cambria Math" w:hAnsi="Cambria Math"/>
                <w:i/>
                <w:iCs/>
              </w:rPr>
            </m:ctrlPr>
          </m:e>
          <m:sub>
            <m:r>
              <m:rPr/>
              <w:rPr>
                <w:rFonts w:ascii="Cambria Math" w:hAnsi="Cambria Math"/>
              </w:rPr>
              <m:t>wcs</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w</m:t>
            </m:r>
            <m:ctrlPr>
              <w:rPr>
                <w:rFonts w:ascii="Cambria Math" w:hAnsi="Cambria Math"/>
                <w:i/>
                <w:iCs/>
              </w:rPr>
            </m:ctrlPr>
          </m:sub>
        </m:sSub>
        <m:r>
          <m:rP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ctrlPr>
                  <w:rPr>
                    <w:rFonts w:ascii="Cambria Math" w:hAnsi="Cambria Math"/>
                    <w:i/>
                    <w:iCs/>
                  </w:rPr>
                </m:ctrlPr>
              </m:sub>
            </m:sSub>
            <m:ctrlPr>
              <w:rPr>
                <w:rFonts w:ascii="Cambria Math" w:hAnsi="Cambria Math"/>
                <w:i/>
                <w:iCs/>
              </w:rPr>
            </m:ctrlPr>
          </m:den>
        </m:f>
        <m:r>
          <m:rPr/>
          <w:rPr>
            <w:rFonts w:ascii="Cambria Math" w:hAnsi="Cambria Math"/>
          </w:rPr>
          <m:t>×</m:t>
        </m:r>
        <m:sSup>
          <m:sSupPr>
            <m:ctrlPr>
              <w:rPr>
                <w:rFonts w:ascii="Cambria Math" w:hAnsi="Cambria Math"/>
                <w:i/>
                <w:iCs/>
              </w:rPr>
            </m:ctrlPr>
          </m:sSupPr>
          <m:e>
            <m:r>
              <m:rPr/>
              <w:rPr>
                <w:rFonts w:ascii="Cambria Math" w:hAnsi="Cambria Math"/>
              </w:rPr>
              <m:t>10</m:t>
            </m:r>
            <m:ctrlPr>
              <w:rPr>
                <w:rFonts w:ascii="Cambria Math" w:hAnsi="Cambria Math"/>
                <w:i/>
                <w:iCs/>
              </w:rPr>
            </m:ctrlPr>
          </m:e>
          <m:sup>
            <m:r>
              <m:rPr/>
              <w:rPr>
                <w:rFonts w:ascii="Cambria Math" w:hAnsi="Cambria Math"/>
              </w:rPr>
              <m:t>−2</m:t>
            </m:r>
            <m:ctrlPr>
              <w:rPr>
                <w:rFonts w:ascii="Cambria Math" w:hAnsi="Cambria Math"/>
                <w:i/>
                <w:iCs/>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F14ADFD">
      <w:pPr>
        <w:snapToGrid w:val="0"/>
        <w:ind w:firstLine="420" w:firstLineChars="200"/>
        <w:rPr>
          <w:rFonts w:ascii="Times New Roman" w:hAnsi="Times New Roman"/>
          <w:kern w:val="0"/>
        </w:rPr>
      </w:pPr>
      <w:r>
        <w:rPr>
          <w:rFonts w:ascii="Times New Roman" w:hAnsi="Times New Roman"/>
          <w:kern w:val="0"/>
        </w:rPr>
        <w:t>式中：</w:t>
      </w:r>
    </w:p>
    <w:p w14:paraId="47638286">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WCS</m:t>
        </m:r>
      </m:oMath>
      <w:r>
        <w:rPr>
          <w:rFonts w:ascii="Times New Roman" w:hAnsi="Times New Roman"/>
          <w:kern w:val="0"/>
          <w:szCs w:val="20"/>
        </w:rPr>
        <w:t>——湿地生态系统固碳量，单位：tC/a；</w:t>
      </w:r>
    </w:p>
    <w:p w14:paraId="4F9330AF">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R</m:t>
            </m:r>
            <m:ctrlPr>
              <w:rPr>
                <w:rFonts w:ascii="Cambria Math" w:hAnsi="Cambria Math"/>
                <w:i/>
                <w:kern w:val="0"/>
                <w:szCs w:val="20"/>
              </w:rPr>
            </m:ctrlPr>
          </m:e>
          <m:sub>
            <m:sSub>
              <m:sSubPr>
                <m:ctrlPr>
                  <w:rPr>
                    <w:rFonts w:ascii="Cambria Math" w:hAnsi="Cambria Math"/>
                    <w:i/>
                    <w:kern w:val="0"/>
                    <w:szCs w:val="20"/>
                  </w:rPr>
                </m:ctrlPr>
              </m:sSubPr>
              <m:e>
                <m:r>
                  <m:rPr/>
                  <w:rPr>
                    <w:rFonts w:ascii="Cambria Math" w:hAnsi="Cambria Math"/>
                    <w:kern w:val="0"/>
                    <w:szCs w:val="20"/>
                  </w:rPr>
                  <m:t>WCS</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ctrlPr>
              <w:rPr>
                <w:rFonts w:ascii="Cambria Math" w:hAnsi="Cambria Math"/>
                <w:i/>
                <w:kern w:val="0"/>
                <w:szCs w:val="20"/>
              </w:rPr>
            </m:ctrlPr>
          </m:sub>
        </m:sSub>
      </m:oMath>
      <w:r>
        <w:rPr>
          <w:rFonts w:ascii="Times New Roman" w:hAnsi="Times New Roman"/>
          <w:kern w:val="0"/>
          <w:szCs w:val="20"/>
        </w:rPr>
        <w:t xml:space="preserve"> ——第</w:t>
      </w:r>
      <m:oMath>
        <m:r>
          <m:rPr/>
          <w:rPr>
            <w:rFonts w:ascii="Cambria Math" w:hAnsi="Cambria Math"/>
            <w:kern w:val="0"/>
            <w:szCs w:val="20"/>
          </w:rPr>
          <m:t>i</m:t>
        </m:r>
      </m:oMath>
      <w:r>
        <w:rPr>
          <w:rFonts w:ascii="Times New Roman" w:hAnsi="Times New Roman"/>
          <w:iCs/>
          <w:kern w:val="0"/>
          <w:szCs w:val="20"/>
        </w:rPr>
        <w:t>类</w:t>
      </w:r>
      <w:r>
        <w:rPr>
          <w:rFonts w:ascii="Times New Roman" w:hAnsi="Times New Roman"/>
          <w:kern w:val="0"/>
          <w:szCs w:val="20"/>
        </w:rPr>
        <w:t>湿地生态系统固碳速率，单位：gC/(m</w:t>
      </w:r>
      <w:r>
        <w:rPr>
          <w:rFonts w:ascii="Times New Roman" w:hAnsi="Times New Roman"/>
          <w:kern w:val="0"/>
          <w:szCs w:val="20"/>
          <w:vertAlign w:val="superscript"/>
        </w:rPr>
        <w:t>2</w:t>
      </w:r>
      <w:r>
        <w:rPr>
          <w:rFonts w:ascii="Times New Roman" w:hAnsi="Times New Roman"/>
          <w:kern w:val="0"/>
          <w:szCs w:val="20"/>
        </w:rPr>
        <w:t>·a)，见附录C8.3；</w:t>
      </w:r>
    </w:p>
    <w:p w14:paraId="5CBF99E4">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A</m:t>
            </m:r>
            <m:ctrlPr>
              <w:rPr>
                <w:rFonts w:ascii="Cambria Math" w:hAnsi="Cambria Math"/>
                <w:i/>
                <w:kern w:val="0"/>
                <w:szCs w:val="20"/>
              </w:rPr>
            </m:ctrlPr>
          </m:e>
          <m:sub>
            <m:sSub>
              <m:sSubPr>
                <m:ctrlPr>
                  <w:rPr>
                    <w:rFonts w:ascii="Cambria Math" w:hAnsi="Cambria Math"/>
                    <w:i/>
                    <w:kern w:val="0"/>
                    <w:szCs w:val="20"/>
                  </w:rPr>
                </m:ctrlPr>
              </m:sSubPr>
              <m:e>
                <m:r>
                  <m:rPr/>
                  <w:rPr>
                    <w:rFonts w:ascii="Cambria Math" w:hAnsi="Cambria Math"/>
                    <w:kern w:val="0"/>
                    <w:szCs w:val="20"/>
                  </w:rPr>
                  <m:t>w</m:t>
                </m:r>
                <m:ctrlPr>
                  <w:rPr>
                    <w:rFonts w:ascii="Cambria Math" w:hAnsi="Cambria Math"/>
                    <w:i/>
                    <w:kern w:val="0"/>
                    <w:szCs w:val="20"/>
                  </w:rPr>
                </m:ctrlPr>
              </m:e>
              <m:sub>
                <m:r>
                  <m:rPr/>
                  <w:rPr>
                    <w:rFonts w:ascii="Cambria Math" w:hAnsi="Cambria Math"/>
                    <w:kern w:val="0"/>
                    <w:szCs w:val="20"/>
                  </w:rPr>
                  <m:t>i</m:t>
                </m:r>
                <m:ctrlPr>
                  <w:rPr>
                    <w:rFonts w:ascii="Cambria Math" w:hAnsi="Cambria Math"/>
                    <w:i/>
                    <w:kern w:val="0"/>
                    <w:szCs w:val="20"/>
                  </w:rPr>
                </m:ctrlPr>
              </m:sub>
            </m:sSub>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类湿地生态系统面积，单位：hm</w:t>
      </w:r>
      <w:r>
        <w:rPr>
          <w:rFonts w:ascii="Times New Roman" w:hAnsi="Times New Roman"/>
          <w:kern w:val="0"/>
          <w:szCs w:val="20"/>
          <w:vertAlign w:val="superscript"/>
        </w:rPr>
        <w:t>2</w:t>
      </w:r>
      <w:r>
        <w:rPr>
          <w:rFonts w:ascii="Times New Roman" w:hAnsi="Times New Roman"/>
          <w:kern w:val="0"/>
          <w:szCs w:val="20"/>
        </w:rPr>
        <w:t>；</w:t>
      </w:r>
    </w:p>
    <w:p w14:paraId="3D7FA462">
      <w:pPr>
        <w:widowControl/>
        <w:autoSpaceDE w:val="0"/>
        <w:autoSpaceDN w:val="0"/>
        <w:adjustRightInd/>
        <w:spacing w:line="240" w:lineRule="auto"/>
        <w:ind w:firstLine="420" w:firstLineChars="200"/>
        <w:rPr>
          <w:rFonts w:ascii="Times New Roman" w:hAnsi="Times New Roman"/>
          <w:kern w:val="0"/>
          <w:szCs w:val="20"/>
        </w:rPr>
      </w:pPr>
      <m:oMath>
        <m:f>
          <m:fPr>
            <m:type m:val="lin"/>
            <m:ctrlPr>
              <w:rPr>
                <w:rFonts w:ascii="Cambria Math" w:hAnsi="Cambria Math"/>
                <w:i/>
                <w:kern w:val="0"/>
                <w:szCs w:val="20"/>
              </w:rPr>
            </m:ctrlPr>
          </m:fPr>
          <m:num>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sSub>
                  <m:sSubPr>
                    <m:ctrlPr>
                      <w:rPr>
                        <w:rFonts w:ascii="Cambria Math" w:hAnsi="Cambria Math"/>
                        <w:i/>
                        <w:kern w:val="0"/>
                        <w:szCs w:val="20"/>
                      </w:rPr>
                    </m:ctrlPr>
                  </m:sSubPr>
                  <m:e>
                    <m:r>
                      <m:rPr/>
                      <w:rPr>
                        <w:rFonts w:ascii="Cambria Math" w:hAnsi="Cambria Math"/>
                        <w:kern w:val="0"/>
                        <w:szCs w:val="20"/>
                      </w:rPr>
                      <m:t>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num>
          <m:den>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ctrlPr>
                  <w:rPr>
                    <w:rFonts w:ascii="Cambria Math" w:hAnsi="Cambria Math"/>
                    <w:i/>
                    <w:kern w:val="0"/>
                    <w:szCs w:val="20"/>
                  </w:rPr>
                </m:ctrlPr>
              </m:sub>
            </m:sSub>
            <m:ctrlPr>
              <w:rPr>
                <w:rFonts w:ascii="Cambria Math" w:hAnsi="Cambria Math"/>
                <w:i/>
                <w:kern w:val="0"/>
                <w:szCs w:val="20"/>
              </w:rPr>
            </m:ctrlPr>
          </m:den>
        </m:f>
      </m:oMath>
      <w:r>
        <w:rPr>
          <w:rFonts w:ascii="Times New Roman" w:hAnsi="Times New Roman"/>
          <w:kern w:val="0"/>
          <w:szCs w:val="20"/>
        </w:rPr>
        <w:t>——碳转化为二氧化碳的系数，单位：无量纲，取值44/12；</w:t>
      </w:r>
    </w:p>
    <w:p w14:paraId="64D2144C">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i</m:t>
        </m:r>
      </m:oMath>
      <w:r>
        <w:rPr>
          <w:rFonts w:ascii="Times New Roman" w:hAnsi="Times New Roman"/>
          <w:kern w:val="0"/>
          <w:szCs w:val="20"/>
        </w:rPr>
        <w:t>——湿地生态系统类型；</w:t>
      </w:r>
    </w:p>
    <w:p w14:paraId="6A619980">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n</m:t>
        </m:r>
      </m:oMath>
      <w:r>
        <w:rPr>
          <w:rFonts w:ascii="Times New Roman" w:hAnsi="Times New Roman"/>
          <w:kern w:val="0"/>
          <w:szCs w:val="20"/>
        </w:rPr>
        <w:t>——湿地生态系统类型数量。</w:t>
      </w:r>
    </w:p>
    <w:p w14:paraId="3D4AA0F0">
      <w:pPr>
        <w:numPr>
          <w:ilvl w:val="5"/>
          <w:numId w:val="0"/>
        </w:numPr>
        <w:adjustRightInd/>
        <w:spacing w:before="156" w:beforeLines="50" w:after="156" w:afterLines="50" w:line="240" w:lineRule="auto"/>
        <w:outlineLvl w:val="4"/>
        <w:rPr>
          <w:rFonts w:ascii="Times New Roman" w:hAnsi="Times New Roman" w:eastAsia="黑体"/>
          <w:kern w:val="0"/>
          <w:szCs w:val="20"/>
        </w:rPr>
      </w:pPr>
      <w:r>
        <w:rPr>
          <w:rFonts w:hint="eastAsia" w:ascii="Times New Roman" w:hAnsi="Times New Roman" w:eastAsia="黑体"/>
          <w:kern w:val="0"/>
          <w:szCs w:val="20"/>
        </w:rPr>
        <w:t>5.2.2.6.4　</w:t>
      </w:r>
      <w:r>
        <w:rPr>
          <w:rFonts w:ascii="Times New Roman" w:hAnsi="Times New Roman" w:eastAsia="黑体"/>
          <w:kern w:val="0"/>
          <w:szCs w:val="20"/>
        </w:rPr>
        <w:t>农田生态系统固碳量</w:t>
      </w:r>
    </w:p>
    <w:p w14:paraId="730CDE11">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宜采用固碳速率法，计算农田生态系统固碳量。农田植被每年都会被收获，其固定的碳又返还回大气或者进入土壤中，故不考虑农田植被的固碳量，只考虑农田的土壤固碳量。农田生态系统固碳速率应考虑秸秆还田等固碳措施影响。按照公式（2</w:t>
      </w:r>
      <w:r>
        <w:rPr>
          <w:rFonts w:hint="eastAsia" w:ascii="Times New Roman" w:hAnsi="Times New Roman"/>
          <w:kern w:val="0"/>
          <w:szCs w:val="20"/>
        </w:rPr>
        <w:t>4</w:t>
      </w:r>
      <w:r>
        <w:rPr>
          <w:rFonts w:ascii="Times New Roman" w:hAnsi="Times New Roman"/>
          <w:kern w:val="0"/>
          <w:szCs w:val="20"/>
        </w:rPr>
        <w:t>）计算。</w:t>
      </w:r>
    </w:p>
    <w:p w14:paraId="4FB02BEF">
      <w:pPr>
        <w:tabs>
          <w:tab w:val="center" w:pos="4678"/>
          <w:tab w:val="right" w:leader="middleDot" w:pos="9356"/>
        </w:tabs>
        <w:spacing w:line="240" w:lineRule="auto"/>
        <w:rPr>
          <w:rFonts w:ascii="Times New Roman" w:hAnsi="Times New Roman"/>
        </w:rPr>
      </w:pPr>
      <w:r>
        <w:rPr>
          <w:rFonts w:ascii="Times New Roman" w:hAnsi="Times New Roman"/>
        </w:rPr>
        <w:tab/>
      </w:r>
      <m:oMath>
        <m:r>
          <m:rPr/>
          <w:rPr>
            <w:rFonts w:ascii="Cambria Math" w:hAnsi="Cambria Math"/>
          </w:rPr>
          <m:t>ACS=</m:t>
        </m:r>
        <m:d>
          <m:dPr>
            <m:ctrlPr>
              <w:rPr>
                <w:rFonts w:ascii="Cambria Math" w:hAnsi="Cambria Math"/>
                <w:i/>
                <w:kern w:val="0"/>
                <w:szCs w:val="20"/>
              </w:rPr>
            </m:ctrlPr>
          </m:dPr>
          <m:e>
            <m:sSub>
              <m:sSubPr>
                <m:ctrlPr>
                  <w:rPr>
                    <w:rFonts w:ascii="Cambria Math" w:hAnsi="Cambria Math"/>
                    <w:i/>
                  </w:rPr>
                </m:ctrlPr>
              </m:sSubPr>
              <m:e>
                <m:r>
                  <m:rPr/>
                  <w:rPr>
                    <w:rFonts w:ascii="Cambria Math" w:hAnsi="Cambria Math"/>
                  </w:rPr>
                  <m:t>ACSR</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kern w:val="0"/>
                    <w:szCs w:val="20"/>
                  </w:rPr>
                </m:ctrlPr>
              </m:sSubPr>
              <m:e>
                <m:r>
                  <m:rPr/>
                  <w:rPr>
                    <w:rFonts w:ascii="Cambria Math" w:hAnsi="Cambria Math"/>
                  </w:rPr>
                  <m:t>SC</m:t>
                </m:r>
                <m:ctrlPr>
                  <w:rPr>
                    <w:rFonts w:ascii="Cambria Math" w:hAnsi="Cambria Math"/>
                    <w:i/>
                    <w:kern w:val="0"/>
                    <w:szCs w:val="20"/>
                  </w:rPr>
                </m:ctrlPr>
              </m:e>
              <m:sub>
                <m:r>
                  <m:rPr/>
                  <w:rPr>
                    <w:rFonts w:ascii="Cambria Math" w:hAnsi="Cambria Math"/>
                  </w:rPr>
                  <m:t>N</m:t>
                </m:r>
                <m:ctrlPr>
                  <w:rPr>
                    <w:rFonts w:ascii="Cambria Math" w:hAnsi="Cambria Math"/>
                    <w:i/>
                    <w:kern w:val="0"/>
                    <w:szCs w:val="20"/>
                  </w:rPr>
                </m:ctrlPr>
              </m:sub>
            </m:sSub>
            <m:r>
              <m:rPr/>
              <w:rPr>
                <w:rFonts w:ascii="Cambria Math" w:hAnsi="Cambria Math"/>
              </w:rPr>
              <m:t>+</m:t>
            </m:r>
            <m:sSub>
              <m:sSubPr>
                <m:ctrlPr>
                  <w:rPr>
                    <w:rFonts w:ascii="Cambria Math" w:hAnsi="Cambria Math"/>
                    <w:i/>
                  </w:rPr>
                </m:ctrlPr>
              </m:sSubPr>
              <m:e>
                <m:r>
                  <m:rPr/>
                  <w:rPr>
                    <w:rFonts w:ascii="Cambria Math" w:hAnsi="Cambria Math"/>
                  </w:rPr>
                  <m:t>ACSR</m:t>
                </m:r>
                <m:ctrlPr>
                  <w:rPr>
                    <w:rFonts w:ascii="Cambria Math" w:hAnsi="Cambria Math"/>
                    <w:i/>
                  </w:rPr>
                </m:ctrlPr>
              </m:e>
              <m:sub>
                <m:r>
                  <m:rPr/>
                  <w:rPr>
                    <w:rFonts w:ascii="Cambria Math" w:hAnsi="Cambria Math"/>
                  </w:rPr>
                  <m:t>S</m:t>
                </m:r>
                <m:ctrlPr>
                  <w:rPr>
                    <w:rFonts w:ascii="Cambria Math" w:hAnsi="Cambria Math"/>
                    <w:i/>
                  </w:rPr>
                </m:ctrlPr>
              </m:sub>
            </m:sSub>
            <m:r>
              <m:rPr/>
              <w:rPr>
                <w:rFonts w:ascii="Cambria Math" w:hAnsi="Cambria Math"/>
              </w:rPr>
              <m:t>×</m:t>
            </m:r>
            <m:sSub>
              <m:sSubPr>
                <m:ctrlPr>
                  <w:rPr>
                    <w:rFonts w:ascii="Cambria Math" w:hAnsi="Cambria Math"/>
                    <w:i/>
                    <w:kern w:val="0"/>
                    <w:szCs w:val="20"/>
                  </w:rPr>
                </m:ctrlPr>
              </m:sSubPr>
              <m:e>
                <m:r>
                  <m:rPr/>
                  <w:rPr>
                    <w:rFonts w:ascii="Cambria Math" w:hAnsi="Cambria Math"/>
                  </w:rPr>
                  <m:t>SC</m:t>
                </m:r>
                <m:ctrlPr>
                  <w:rPr>
                    <w:rFonts w:ascii="Cambria Math" w:hAnsi="Cambria Math"/>
                    <w:i/>
                    <w:kern w:val="0"/>
                    <w:szCs w:val="20"/>
                  </w:rPr>
                </m:ctrlPr>
              </m:e>
              <m:sub>
                <m:r>
                  <m:rPr/>
                  <w:rPr>
                    <w:rFonts w:ascii="Cambria Math" w:hAnsi="Cambria Math"/>
                  </w:rPr>
                  <m:t>S</m:t>
                </m:r>
                <m:ctrlPr>
                  <w:rPr>
                    <w:rFonts w:ascii="Cambria Math" w:hAnsi="Cambria Math"/>
                    <w:i/>
                    <w:kern w:val="0"/>
                    <w:szCs w:val="20"/>
                  </w:rPr>
                </m:ctrlPr>
              </m:sub>
            </m:sSub>
            <m:ctrlPr>
              <w:rPr>
                <w:rFonts w:ascii="Cambria Math" w:hAnsi="Cambria Math"/>
                <w:i/>
                <w:kern w:val="0"/>
                <w:szCs w:val="20"/>
              </w:rPr>
            </m:ctrlPr>
          </m:e>
        </m:d>
        <m:r>
          <m:rP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ctrlPr>
                  <w:rPr>
                    <w:rFonts w:ascii="Cambria Math" w:hAnsi="Cambria Math"/>
                    <w:i/>
                    <w:iCs/>
                  </w:rPr>
                </m:ctrlPr>
              </m:sub>
            </m:sSub>
            <m:ctrlPr>
              <w:rPr>
                <w:rFonts w:ascii="Cambria Math" w:hAnsi="Cambria Math"/>
                <w:i/>
                <w:iCs/>
              </w:rPr>
            </m:ctrlPr>
          </m:den>
        </m:f>
        <m:r>
          <m:rPr/>
          <w:rPr>
            <w:rFonts w:ascii="Cambria Math" w:hAnsi="Cambria Math"/>
          </w:rPr>
          <m:t xml:space="preserve"> </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492501C">
      <w:pPr>
        <w:snapToGrid w:val="0"/>
        <w:ind w:firstLine="420" w:firstLineChars="200"/>
        <w:rPr>
          <w:rFonts w:ascii="Times New Roman" w:hAnsi="Times New Roman"/>
          <w:kern w:val="0"/>
        </w:rPr>
      </w:pPr>
      <w:r>
        <w:rPr>
          <w:rFonts w:ascii="Times New Roman" w:hAnsi="Times New Roman"/>
          <w:kern w:val="0"/>
        </w:rPr>
        <w:t>式中：</w:t>
      </w:r>
    </w:p>
    <w:p w14:paraId="6C18054E">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ACS ——农田生态系统固碳量，单位：tC/a；</w:t>
      </w:r>
    </w:p>
    <w:p w14:paraId="709077F2">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ACSR</m:t>
            </m:r>
            <m:ctrlPr>
              <w:rPr>
                <w:rFonts w:ascii="Cambria Math" w:hAnsi="Cambria Math"/>
                <w:i/>
              </w:rPr>
            </m:ctrlPr>
          </m:e>
          <m:sub>
            <m:r>
              <m:rPr/>
              <w:rPr>
                <w:rFonts w:ascii="Cambria Math" w:hAnsi="Cambria Math"/>
                <w:kern w:val="0"/>
                <w:szCs w:val="20"/>
              </w:rPr>
              <m:t>N</m:t>
            </m:r>
            <m:ctrlPr>
              <w:rPr>
                <w:rFonts w:ascii="Cambria Math" w:hAnsi="Cambria Math"/>
                <w:i/>
              </w:rPr>
            </m:ctrlPr>
          </m:sub>
        </m:sSub>
      </m:oMath>
      <w:r>
        <w:rPr>
          <w:rFonts w:ascii="Times New Roman" w:hAnsi="Times New Roman"/>
          <w:kern w:val="0"/>
          <w:szCs w:val="20"/>
        </w:rPr>
        <w:t>——未秸秆还田的农田土壤固碳速率，单位：tC/(hm</w:t>
      </w:r>
      <w:r>
        <w:rPr>
          <w:rFonts w:ascii="Times New Roman" w:hAnsi="Times New Roman"/>
          <w:kern w:val="0"/>
          <w:szCs w:val="20"/>
          <w:vertAlign w:val="superscript"/>
        </w:rPr>
        <w:t>2</w:t>
      </w:r>
      <w:r>
        <w:rPr>
          <w:rFonts w:ascii="Times New Roman" w:hAnsi="Times New Roman"/>
          <w:kern w:val="0"/>
          <w:szCs w:val="20"/>
        </w:rPr>
        <w:t>·a)，见附录C8.4；</w:t>
      </w:r>
    </w:p>
    <w:p w14:paraId="71566D6E">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ACSR</m:t>
            </m:r>
            <m:ctrlPr>
              <w:rPr>
                <w:rFonts w:ascii="Cambria Math" w:hAnsi="Cambria Math"/>
                <w:i/>
              </w:rPr>
            </m:ctrlPr>
          </m:e>
          <m:sub>
            <m:r>
              <m:rPr/>
              <w:rPr>
                <w:rFonts w:ascii="Cambria Math" w:hAnsi="Cambria Math"/>
                <w:kern w:val="0"/>
                <w:szCs w:val="20"/>
              </w:rPr>
              <m:t>S</m:t>
            </m:r>
            <m:ctrlPr>
              <w:rPr>
                <w:rFonts w:ascii="Cambria Math" w:hAnsi="Cambria Math"/>
                <w:i/>
              </w:rPr>
            </m:ctrlPr>
          </m:sub>
        </m:sSub>
      </m:oMath>
      <w:r>
        <w:rPr>
          <w:rFonts w:ascii="Times New Roman" w:hAnsi="Times New Roman"/>
          <w:kern w:val="0"/>
          <w:szCs w:val="20"/>
        </w:rPr>
        <w:t>——秸秆还田的农田土壤固碳速率，单位：tC/(hm</w:t>
      </w:r>
      <w:r>
        <w:rPr>
          <w:rFonts w:ascii="Times New Roman" w:hAnsi="Times New Roman"/>
          <w:kern w:val="0"/>
          <w:szCs w:val="20"/>
          <w:vertAlign w:val="superscript"/>
        </w:rPr>
        <w:t>2</w:t>
      </w:r>
      <w:r>
        <w:rPr>
          <w:rFonts w:ascii="Times New Roman" w:hAnsi="Times New Roman"/>
          <w:kern w:val="0"/>
          <w:szCs w:val="20"/>
        </w:rPr>
        <w:t>·a)，见附录C8.5；</w:t>
      </w:r>
    </w:p>
    <w:p w14:paraId="1BB1122B">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SC</m:t>
            </m:r>
            <m:ctrlPr>
              <w:rPr>
                <w:rFonts w:ascii="Cambria Math" w:hAnsi="Cambria Math"/>
                <w:i/>
                <w:kern w:val="0"/>
                <w:szCs w:val="20"/>
              </w:rPr>
            </m:ctrlPr>
          </m:e>
          <m:sub>
            <m:r>
              <m:rPr/>
              <w:rPr>
                <w:rFonts w:ascii="Cambria Math" w:hAnsi="Cambria Math"/>
                <w:kern w:val="0"/>
                <w:szCs w:val="20"/>
              </w:rPr>
              <m:t>N</m:t>
            </m:r>
            <m:ctrlPr>
              <w:rPr>
                <w:rFonts w:ascii="Cambria Math" w:hAnsi="Cambria Math"/>
                <w:i/>
                <w:kern w:val="0"/>
                <w:szCs w:val="20"/>
              </w:rPr>
            </m:ctrlPr>
          </m:sub>
        </m:sSub>
      </m:oMath>
      <w:r>
        <w:rPr>
          <w:rFonts w:ascii="Times New Roman" w:hAnsi="Times New Roman"/>
          <w:kern w:val="0"/>
          <w:szCs w:val="20"/>
        </w:rPr>
        <w:t>——未秸秆还田的农田面积，单位：hm</w:t>
      </w:r>
      <w:r>
        <w:rPr>
          <w:rFonts w:ascii="Times New Roman" w:hAnsi="Times New Roman"/>
          <w:kern w:val="0"/>
          <w:szCs w:val="20"/>
          <w:vertAlign w:val="superscript"/>
        </w:rPr>
        <w:t>2</w:t>
      </w:r>
      <w:r>
        <w:rPr>
          <w:rFonts w:ascii="Times New Roman" w:hAnsi="Times New Roman"/>
          <w:kern w:val="0"/>
          <w:szCs w:val="20"/>
        </w:rPr>
        <w:t>；</w:t>
      </w:r>
    </w:p>
    <w:p w14:paraId="7312C32D">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SC</m:t>
            </m:r>
            <m:ctrlPr>
              <w:rPr>
                <w:rFonts w:ascii="Cambria Math" w:hAnsi="Cambria Math"/>
                <w:i/>
                <w:kern w:val="0"/>
                <w:szCs w:val="20"/>
              </w:rPr>
            </m:ctrlPr>
          </m:e>
          <m:sub>
            <m:r>
              <m:rPr/>
              <w:rPr>
                <w:rFonts w:ascii="Cambria Math" w:hAnsi="Cambria Math"/>
                <w:kern w:val="0"/>
                <w:szCs w:val="20"/>
              </w:rPr>
              <m:t>S</m:t>
            </m:r>
            <m:ctrlPr>
              <w:rPr>
                <w:rFonts w:ascii="Cambria Math" w:hAnsi="Cambria Math"/>
                <w:i/>
                <w:kern w:val="0"/>
                <w:szCs w:val="20"/>
              </w:rPr>
            </m:ctrlPr>
          </m:sub>
        </m:sSub>
      </m:oMath>
      <w:r>
        <w:rPr>
          <w:rFonts w:ascii="Times New Roman" w:hAnsi="Times New Roman"/>
          <w:kern w:val="0"/>
          <w:szCs w:val="20"/>
        </w:rPr>
        <w:t>——秸秆还田的农田面积，单位：hm</w:t>
      </w:r>
      <w:r>
        <w:rPr>
          <w:rFonts w:ascii="Times New Roman" w:hAnsi="Times New Roman"/>
          <w:kern w:val="0"/>
          <w:szCs w:val="20"/>
          <w:vertAlign w:val="superscript"/>
        </w:rPr>
        <w:t>2</w:t>
      </w:r>
      <w:r>
        <w:rPr>
          <w:rFonts w:ascii="Times New Roman" w:hAnsi="Times New Roman"/>
          <w:kern w:val="0"/>
          <w:szCs w:val="20"/>
        </w:rPr>
        <w:t>；</w:t>
      </w:r>
    </w:p>
    <w:p w14:paraId="31D68119">
      <w:pPr>
        <w:widowControl/>
        <w:autoSpaceDE w:val="0"/>
        <w:autoSpaceDN w:val="0"/>
        <w:adjustRightInd/>
        <w:spacing w:line="240" w:lineRule="auto"/>
        <w:ind w:firstLine="420" w:firstLineChars="200"/>
        <w:rPr>
          <w:rFonts w:ascii="Times New Roman" w:hAnsi="Times New Roman"/>
          <w:kern w:val="0"/>
          <w:szCs w:val="20"/>
        </w:rPr>
      </w:pPr>
      <m:oMath>
        <m:f>
          <m:fPr>
            <m:type m:val="lin"/>
            <m:ctrlPr>
              <w:rPr>
                <w:rFonts w:ascii="Cambria Math" w:hAnsi="Cambria Math"/>
                <w:i/>
                <w:kern w:val="0"/>
                <w:szCs w:val="20"/>
              </w:rPr>
            </m:ctrlPr>
          </m:fPr>
          <m:num>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sSub>
                  <m:sSubPr>
                    <m:ctrlPr>
                      <w:rPr>
                        <w:rFonts w:ascii="Cambria Math" w:hAnsi="Cambria Math"/>
                        <w:i/>
                        <w:kern w:val="0"/>
                        <w:szCs w:val="20"/>
                      </w:rPr>
                    </m:ctrlPr>
                  </m:sSubPr>
                  <m:e>
                    <m:r>
                      <m:rPr/>
                      <w:rPr>
                        <w:rFonts w:ascii="Cambria Math" w:hAnsi="Cambria Math"/>
                        <w:kern w:val="0"/>
                        <w:szCs w:val="20"/>
                      </w:rPr>
                      <m:t>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num>
          <m:den>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r>
                  <m:rPr/>
                  <w:rPr>
                    <w:rFonts w:ascii="Cambria Math" w:hAnsi="Cambria Math"/>
                    <w:kern w:val="0"/>
                    <w:szCs w:val="20"/>
                  </w:rPr>
                  <m:t>c</m:t>
                </m:r>
                <m:ctrlPr>
                  <w:rPr>
                    <w:rFonts w:ascii="Cambria Math" w:hAnsi="Cambria Math"/>
                    <w:i/>
                    <w:kern w:val="0"/>
                    <w:szCs w:val="20"/>
                  </w:rPr>
                </m:ctrlPr>
              </m:sub>
            </m:sSub>
            <m:ctrlPr>
              <w:rPr>
                <w:rFonts w:ascii="Cambria Math" w:hAnsi="Cambria Math"/>
                <w:i/>
                <w:kern w:val="0"/>
                <w:szCs w:val="20"/>
              </w:rPr>
            </m:ctrlPr>
          </m:den>
        </m:f>
      </m:oMath>
      <w:r>
        <w:rPr>
          <w:rFonts w:ascii="Times New Roman" w:hAnsi="Times New Roman"/>
          <w:kern w:val="0"/>
          <w:szCs w:val="20"/>
        </w:rPr>
        <w:t>——碳转化为二氧化碳的系数，单位：无量纲，取值44/12。</w:t>
      </w:r>
    </w:p>
    <w:p w14:paraId="0D23575B">
      <w:pPr>
        <w:pStyle w:val="96"/>
        <w:spacing w:before="156" w:after="156"/>
      </w:pPr>
      <w:r>
        <w:rPr>
          <w:rFonts w:hint="eastAsia"/>
        </w:rPr>
        <w:t>释氧服务实物量</w:t>
      </w:r>
    </w:p>
    <w:p w14:paraId="1FDAE52C">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采用核算年份森林、草地、湿地、农田等生态系统释氧总量作为释氧服务实物量核算指标。按照公式（2</w:t>
      </w:r>
      <w:r>
        <w:rPr>
          <w:rFonts w:hint="eastAsia" w:ascii="Times New Roman" w:hAnsi="Times New Roman"/>
          <w:kern w:val="0"/>
          <w:szCs w:val="20"/>
        </w:rPr>
        <w:t>5</w:t>
      </w:r>
      <w:r>
        <w:rPr>
          <w:rFonts w:ascii="Times New Roman" w:hAnsi="Times New Roman"/>
          <w:kern w:val="0"/>
          <w:szCs w:val="20"/>
        </w:rPr>
        <w:t>）计算。</w:t>
      </w:r>
    </w:p>
    <w:p w14:paraId="2B969BC8">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C</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m:rPr/>
                  <w:rPr>
                    <w:rFonts w:ascii="Cambria Math" w:hAnsi="Cambria Math"/>
                  </w:rPr>
                  <m:t>M</m:t>
                </m:r>
                <m:ctrlPr>
                  <w:rPr>
                    <w:rFonts w:ascii="Cambria Math" w:hAnsi="Cambria Math"/>
                    <w:i/>
                    <w:iCs/>
                  </w:rPr>
                </m:ctrlPr>
              </m:e>
              <m:sub>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sub>
            </m:sSub>
            <m:ctrlPr>
              <w:rPr>
                <w:rFonts w:ascii="Cambria Math" w:hAnsi="Cambria Math"/>
                <w:i/>
                <w:iCs/>
              </w:rPr>
            </m:ctrlPr>
          </m:num>
          <m:den>
            <m:sSub>
              <m:sSubPr>
                <m:ctrlPr>
                  <w:rPr>
                    <w:rFonts w:ascii="Cambria Math" w:hAnsi="Cambria Math"/>
                    <w:i/>
                    <w:iCs/>
                  </w:rPr>
                </m:ctrlPr>
              </m:sSubPr>
              <m:e>
                <m:r>
                  <m:rPr/>
                  <w:rPr>
                    <w:rFonts w:ascii="Cambria Math" w:hAnsi="Cambria Math"/>
                  </w:rPr>
                  <m:t>M</m:t>
                </m:r>
                <m:ctrlPr>
                  <w:rPr>
                    <w:rFonts w:ascii="Cambria Math" w:hAnsi="Cambria Math"/>
                    <w:i/>
                    <w:iCs/>
                  </w:rPr>
                </m:ctrlPr>
              </m:e>
              <m:sub>
                <m:r>
                  <m:rPr/>
                  <w:rPr>
                    <w:rFonts w:ascii="Cambria Math" w:hAnsi="Cambria Math"/>
                  </w:rPr>
                  <m:t>C</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sub>
            </m:sSub>
            <m:ctrlPr>
              <w:rPr>
                <w:rFonts w:ascii="Cambria Math" w:hAnsi="Cambria Math"/>
                <w:i/>
                <w:iCs/>
              </w:rPr>
            </m:ctrlPr>
          </m:den>
        </m:f>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BE3167B">
      <w:pPr>
        <w:snapToGrid w:val="0"/>
        <w:ind w:firstLine="420" w:firstLineChars="200"/>
        <w:rPr>
          <w:rFonts w:ascii="Times New Roman" w:hAnsi="Times New Roman"/>
          <w:kern w:val="0"/>
        </w:rPr>
      </w:pPr>
      <w:r>
        <w:rPr>
          <w:rFonts w:ascii="Times New Roman" w:hAnsi="Times New Roman"/>
          <w:kern w:val="0"/>
        </w:rPr>
        <w:t>式中：</w:t>
      </w:r>
    </w:p>
    <w:p w14:paraId="61E249D1">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Q</m:t>
            </m:r>
            <m:ctrlPr>
              <w:rPr>
                <w:rFonts w:ascii="Cambria Math" w:hAnsi="Cambria Math"/>
                <w:i/>
              </w:rPr>
            </m:ctrlPr>
          </m:e>
          <m:sub>
            <m:sSub>
              <m:sSubPr>
                <m:ctrlPr>
                  <w:rPr>
                    <w:rFonts w:ascii="Cambria Math" w:hAnsi="Cambria Math"/>
                    <w:i/>
                  </w:rPr>
                </m:ctrlPr>
              </m:sSubPr>
              <m:e>
                <m:r>
                  <m:rPr/>
                  <w:rPr>
                    <w:rFonts w:ascii="Cambria Math" w:hAnsi="Cambria Math"/>
                    <w:kern w:val="0"/>
                    <w:szCs w:val="20"/>
                  </w:rPr>
                  <m:t>O</m:t>
                </m:r>
                <m:ctrlPr>
                  <w:rPr>
                    <w:rFonts w:ascii="Cambria Math" w:hAnsi="Cambria Math"/>
                    <w:i/>
                  </w:rPr>
                </m:ctrlPr>
              </m:e>
              <m:sub>
                <m:r>
                  <m:rPr/>
                  <w:rPr>
                    <w:rFonts w:ascii="Cambria Math" w:hAnsi="Cambria Math"/>
                    <w:kern w:val="0"/>
                    <w:szCs w:val="20"/>
                  </w:rPr>
                  <m:t>2</m:t>
                </m:r>
                <m:ctrlPr>
                  <w:rPr>
                    <w:rFonts w:ascii="Cambria Math" w:hAnsi="Cambria Math"/>
                    <w:i/>
                  </w:rPr>
                </m:ctrlPr>
              </m:sub>
            </m:sSub>
            <m:ctrlPr>
              <w:rPr>
                <w:rFonts w:ascii="Cambria Math" w:hAnsi="Cambria Math"/>
                <w:i/>
              </w:rPr>
            </m:ctrlPr>
          </m:sub>
        </m:sSub>
      </m:oMath>
      <w:r>
        <w:rPr>
          <w:rFonts w:ascii="Times New Roman" w:hAnsi="Times New Roman"/>
          <w:kern w:val="0"/>
          <w:szCs w:val="20"/>
        </w:rPr>
        <w:t>——生态系统释氧总量，单位：t/a；</w:t>
      </w:r>
    </w:p>
    <w:p w14:paraId="4136CEA9">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rPr>
            </m:ctrlPr>
          </m:sSubPr>
          <m:e>
            <m:r>
              <m:rPr/>
              <w:rPr>
                <w:rFonts w:ascii="Cambria Math" w:hAnsi="Cambria Math"/>
                <w:kern w:val="0"/>
                <w:szCs w:val="20"/>
              </w:rPr>
              <m:t>Q</m:t>
            </m:r>
            <m:ctrlPr>
              <w:rPr>
                <w:rFonts w:ascii="Cambria Math" w:hAnsi="Cambria Math"/>
              </w:rPr>
            </m:ctrlPr>
          </m:e>
          <m:sub>
            <m:r>
              <m:rPr/>
              <w:rPr>
                <w:rFonts w:ascii="Cambria Math" w:hAnsi="Cambria Math"/>
                <w:kern w:val="0"/>
                <w:szCs w:val="20"/>
              </w:rPr>
              <m:t>C</m:t>
            </m:r>
            <m:sSub>
              <m:sSubPr>
                <m:ctrlPr>
                  <w:rPr>
                    <w:rFonts w:ascii="Cambria Math" w:hAnsi="Cambria Math"/>
                    <w:i/>
                  </w:rPr>
                </m:ctrlPr>
              </m:sSubPr>
              <m:e>
                <m:r>
                  <m:rPr/>
                  <w:rPr>
                    <w:rFonts w:ascii="Cambria Math" w:hAnsi="Cambria Math"/>
                    <w:kern w:val="0"/>
                    <w:szCs w:val="20"/>
                  </w:rPr>
                  <m:t>O</m:t>
                </m:r>
                <m:ctrlPr>
                  <w:rPr>
                    <w:rFonts w:ascii="Cambria Math" w:hAnsi="Cambria Math"/>
                    <w:i/>
                  </w:rPr>
                </m:ctrlPr>
              </m:e>
              <m:sub>
                <m:r>
                  <m:rPr/>
                  <w:rPr>
                    <w:rFonts w:ascii="Cambria Math" w:hAnsi="Cambria Math"/>
                    <w:kern w:val="0"/>
                    <w:szCs w:val="20"/>
                  </w:rPr>
                  <m:t>2</m:t>
                </m:r>
                <m:ctrlPr>
                  <w:rPr>
                    <w:rFonts w:ascii="Cambria Math" w:hAnsi="Cambria Math"/>
                    <w:i/>
                  </w:rPr>
                </m:ctrlPr>
              </m:sub>
            </m:sSub>
            <m:ctrlPr>
              <w:rPr>
                <w:rFonts w:ascii="Cambria Math" w:hAnsi="Cambria Math"/>
              </w:rPr>
            </m:ctrlPr>
          </m:sub>
        </m:sSub>
      </m:oMath>
      <w:r>
        <w:rPr>
          <w:rFonts w:ascii="Times New Roman" w:hAnsi="Times New Roman"/>
          <w:kern w:val="0"/>
          <w:szCs w:val="20"/>
        </w:rPr>
        <w:t>——生态系统固碳总量，单位：tC/a；</w:t>
      </w:r>
    </w:p>
    <w:p w14:paraId="6EA30D45">
      <w:pPr>
        <w:widowControl/>
        <w:autoSpaceDE w:val="0"/>
        <w:autoSpaceDN w:val="0"/>
        <w:adjustRightInd/>
        <w:spacing w:line="240" w:lineRule="auto"/>
        <w:ind w:firstLine="420" w:firstLineChars="200"/>
        <w:rPr>
          <w:rFonts w:ascii="Times New Roman" w:hAnsi="Times New Roman"/>
          <w:kern w:val="0"/>
          <w:szCs w:val="20"/>
        </w:rPr>
      </w:pPr>
      <m:oMath>
        <m:f>
          <m:fPr>
            <m:type m:val="lin"/>
            <m:ctrlPr>
              <w:rPr>
                <w:rFonts w:ascii="Cambria Math" w:hAnsi="Cambria Math"/>
                <w:i/>
                <w:kern w:val="0"/>
                <w:szCs w:val="20"/>
              </w:rPr>
            </m:ctrlPr>
          </m:fPr>
          <m:num>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sSub>
                  <m:sSubPr>
                    <m:ctrlPr>
                      <w:rPr>
                        <w:rFonts w:ascii="Cambria Math" w:hAnsi="Cambria Math"/>
                        <w:i/>
                        <w:kern w:val="0"/>
                        <w:szCs w:val="20"/>
                      </w:rPr>
                    </m:ctrlPr>
                  </m:sSubPr>
                  <m:e>
                    <m:r>
                      <m:rPr/>
                      <w:rPr>
                        <w:rFonts w:ascii="Cambria Math" w:hAnsi="Cambria Math"/>
                        <w:kern w:val="0"/>
                        <w:szCs w:val="20"/>
                      </w:rPr>
                      <m:t>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num>
          <m:den>
            <m:sSub>
              <m:sSubPr>
                <m:ctrlPr>
                  <w:rPr>
                    <w:rFonts w:ascii="Cambria Math" w:hAnsi="Cambria Math"/>
                    <w:i/>
                    <w:kern w:val="0"/>
                    <w:szCs w:val="20"/>
                  </w:rPr>
                </m:ctrlPr>
              </m:sSubPr>
              <m:e>
                <m:r>
                  <m:rPr/>
                  <w:rPr>
                    <w:rFonts w:ascii="Cambria Math" w:hAnsi="Cambria Math"/>
                    <w:kern w:val="0"/>
                    <w:szCs w:val="20"/>
                  </w:rPr>
                  <m:t>M</m:t>
                </m:r>
                <m:ctrlPr>
                  <w:rPr>
                    <w:rFonts w:ascii="Cambria Math" w:hAnsi="Cambria Math"/>
                    <w:i/>
                    <w:kern w:val="0"/>
                    <w:szCs w:val="20"/>
                  </w:rPr>
                </m:ctrlPr>
              </m:e>
              <m:sub>
                <m:sSub>
                  <m:sSubPr>
                    <m:ctrlPr>
                      <w:rPr>
                        <w:rFonts w:ascii="Cambria Math" w:hAnsi="Cambria Math"/>
                        <w:i/>
                        <w:kern w:val="0"/>
                        <w:szCs w:val="20"/>
                      </w:rPr>
                    </m:ctrlPr>
                  </m:sSubPr>
                  <m:e>
                    <m:r>
                      <m:rPr/>
                      <w:rPr>
                        <w:rFonts w:ascii="Cambria Math" w:hAnsi="Cambria Math"/>
                        <w:kern w:val="0"/>
                        <w:szCs w:val="20"/>
                      </w:rPr>
                      <m:t>CO</m:t>
                    </m:r>
                    <m:ctrlPr>
                      <w:rPr>
                        <w:rFonts w:ascii="Cambria Math" w:hAnsi="Cambria Math"/>
                        <w:i/>
                        <w:kern w:val="0"/>
                        <w:szCs w:val="20"/>
                      </w:rPr>
                    </m:ctrlPr>
                  </m:e>
                  <m:sub>
                    <m:r>
                      <m:rPr/>
                      <w:rPr>
                        <w:rFonts w:ascii="Cambria Math" w:hAnsi="Cambria Math"/>
                        <w:kern w:val="0"/>
                        <w:szCs w:val="20"/>
                      </w:rPr>
                      <m:t>2</m:t>
                    </m:r>
                    <m:ctrlPr>
                      <w:rPr>
                        <w:rFonts w:ascii="Cambria Math" w:hAnsi="Cambria Math"/>
                        <w:i/>
                        <w:kern w:val="0"/>
                        <w:szCs w:val="20"/>
                      </w:rPr>
                    </m:ctrlPr>
                  </m:sub>
                </m:sSub>
                <m:ctrlPr>
                  <w:rPr>
                    <w:rFonts w:ascii="Cambria Math" w:hAnsi="Cambria Math"/>
                    <w:i/>
                    <w:kern w:val="0"/>
                    <w:szCs w:val="20"/>
                  </w:rPr>
                </m:ctrlPr>
              </m:sub>
            </m:sSub>
            <m:ctrlPr>
              <w:rPr>
                <w:rFonts w:ascii="Cambria Math" w:hAnsi="Cambria Math"/>
                <w:i/>
                <w:kern w:val="0"/>
                <w:szCs w:val="20"/>
              </w:rPr>
            </m:ctrlPr>
          </m:den>
        </m:f>
      </m:oMath>
      <w:r>
        <w:rPr>
          <w:rFonts w:ascii="Times New Roman" w:hAnsi="Times New Roman"/>
          <w:kern w:val="0"/>
          <w:szCs w:val="20"/>
        </w:rPr>
        <w:t>——二氧化碳转化为氧气的系数，单位：无量纲，取值32/44。</w:t>
      </w:r>
    </w:p>
    <w:p w14:paraId="00411525">
      <w:pPr>
        <w:pStyle w:val="96"/>
        <w:spacing w:before="156" w:after="156"/>
      </w:pPr>
      <w:r>
        <w:rPr>
          <w:rFonts w:hint="eastAsia"/>
        </w:rPr>
        <w:t>局部气候调节服务实物量</w:t>
      </w:r>
    </w:p>
    <w:p w14:paraId="5BD4D055">
      <w:pPr>
        <w:pStyle w:val="58"/>
        <w:ind w:firstLine="420"/>
        <w:rPr>
          <w:rFonts w:ascii="Times New Roman"/>
        </w:rPr>
      </w:pPr>
      <w:r>
        <w:rPr>
          <w:rFonts w:ascii="Times New Roman"/>
        </w:rPr>
        <w:t>采用生态系统通过蒸腾和蒸发作用，调节</w:t>
      </w:r>
      <w:r>
        <w:rPr>
          <w:rFonts w:hint="eastAsia" w:ascii="Times New Roman"/>
        </w:rPr>
        <w:t>温度</w:t>
      </w:r>
      <w:r>
        <w:rPr>
          <w:rFonts w:ascii="Times New Roman"/>
        </w:rPr>
        <w:t>和湿度所消耗的总能量，作为局部气候调节服务实物量核算指标。为便于核算局部气候调节服务的价值量，生态系统蒸散发过程中消耗的总能量宜采用空调和加湿器消耗等量能量所需要的能量予以替代。在拥有可靠的地面气象监测数据时，可按照公式（26）（27）（28）计算；</w:t>
      </w:r>
      <w:bookmarkStart w:id="82" w:name="OLE_LINK5"/>
      <w:bookmarkStart w:id="83" w:name="OLE_LINK3"/>
      <w:r>
        <w:rPr>
          <w:rFonts w:ascii="Times New Roman"/>
        </w:rPr>
        <w:t>在缺少可靠的地面气象监测数据时</w:t>
      </w:r>
      <w:bookmarkEnd w:id="82"/>
      <w:r>
        <w:rPr>
          <w:rFonts w:ascii="Times New Roman"/>
        </w:rPr>
        <w:t>，</w:t>
      </w:r>
      <w:bookmarkStart w:id="84" w:name="OLE_LINK6"/>
      <w:r>
        <w:rPr>
          <w:rFonts w:ascii="Times New Roman"/>
        </w:rPr>
        <w:t>可采用遥感监测数据</w:t>
      </w:r>
      <w:bookmarkEnd w:id="83"/>
      <w:bookmarkEnd w:id="84"/>
      <w:r>
        <w:rPr>
          <w:rFonts w:ascii="Times New Roman"/>
        </w:rPr>
        <w:t>，按照公式（29）计算。</w:t>
      </w:r>
    </w:p>
    <w:p w14:paraId="0E4926F3">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pt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we</m:t>
            </m:r>
            <m:ctrlPr>
              <w:rPr>
                <w:rFonts w:ascii="Cambria Math" w:hAnsi="Cambria Math"/>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767E084">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pt</m:t>
            </m:r>
            <m:ctrlPr>
              <w:rPr>
                <w:rFonts w:ascii="Cambria Math" w:hAnsi="Cambria Math"/>
              </w:rPr>
            </m:ctrlPr>
          </m:sub>
        </m:sSub>
        <m:r>
          <m:rPr/>
          <w:rPr>
            <w:rFonts w:ascii="Cambria Math" w:hAnsi="Cambria Math"/>
          </w:rPr>
          <m:t>=</m:t>
        </m:r>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EPP</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×D</m:t>
            </m:r>
            <m:ctrlPr>
              <w:rPr>
                <w:rFonts w:ascii="Cambria Math" w:hAnsi="Cambria Math"/>
              </w:rPr>
            </m:ctrlPr>
          </m:e>
        </m:nary>
        <m:r>
          <m:rPr/>
          <w:rPr>
            <w:rFonts w:ascii="Cambria Math" w:hAnsi="Cambria Math"/>
          </w:rPr>
          <m:t>×</m:t>
        </m:r>
        <m:sSup>
          <m:sSupPr>
            <m:ctrlPr>
              <w:rPr>
                <w:rFonts w:ascii="Cambria Math" w:hAnsi="Cambria Math"/>
              </w:rPr>
            </m:ctrlPr>
          </m:sSupPr>
          <m:e>
            <m:r>
              <m:rPr/>
              <w:rPr>
                <w:rFonts w:ascii="Cambria Math" w:hAnsi="Cambria Math"/>
              </w:rPr>
              <m:t>10</m:t>
            </m:r>
            <m:ctrlPr>
              <w:rPr>
                <w:rFonts w:ascii="Cambria Math" w:hAnsi="Cambria Math"/>
              </w:rPr>
            </m:ctrlPr>
          </m:e>
          <m:sup>
            <m:r>
              <m:rPr/>
              <w:rPr>
                <w:rFonts w:ascii="Cambria Math" w:hAnsi="Cambria Math"/>
              </w:rPr>
              <m:t>6</m:t>
            </m:r>
            <m:ctrlPr>
              <w:rPr>
                <w:rFonts w:ascii="Cambria Math" w:hAnsi="Cambria Math"/>
              </w:rPr>
            </m:ctrlPr>
          </m:sup>
        </m:sSup>
        <m:r>
          <m:rPr/>
          <w:rPr>
            <w:rFonts w:ascii="Cambria Math" w:hAnsi="Cambria Math"/>
          </w:rPr>
          <m:t>/(3600×r)</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71CF02F">
      <w:pPr>
        <w:pStyle w:val="115"/>
        <w:spacing w:before="156" w:after="156"/>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we</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wt</m:t>
            </m:r>
            <m:ctrlPr>
              <w:rPr>
                <w:rFonts w:ascii="Cambria Math" w:hAnsi="Cambria Math"/>
              </w:rPr>
            </m:ctrlPr>
          </m:sub>
        </m:sSub>
        <m:r>
          <m:rPr/>
          <w:rPr>
            <w:rFonts w:ascii="Cambria Math" w:hAnsi="Cambria Math"/>
          </w:rPr>
          <m:t>×</m:t>
        </m:r>
        <m:sSub>
          <m:sSubPr>
            <m:ctrlPr>
              <w:rPr>
                <w:rFonts w:ascii="Cambria Math" w:hAnsi="Cambria Math"/>
                <w:iCs/>
              </w:rPr>
            </m:ctrlPr>
          </m:sSubPr>
          <m:e>
            <m:r>
              <m:rPr/>
              <w:rPr>
                <w:rFonts w:ascii="Cambria Math" w:hAnsi="Cambria Math"/>
              </w:rPr>
              <m:t>ρ</m:t>
            </m:r>
            <m:ctrlPr>
              <w:rPr>
                <w:rFonts w:ascii="Cambria Math" w:hAnsi="Cambria Math"/>
                <w:iCs/>
              </w:rPr>
            </m:ctrlPr>
          </m:e>
          <m:sub>
            <m:r>
              <m:rPr/>
              <w:rPr>
                <w:rFonts w:ascii="Cambria Math" w:hAnsi="Cambria Math"/>
                <w:vertAlign w:val="subscript"/>
              </w:rPr>
              <m:t>w</m:t>
            </m:r>
            <m:ctrlPr>
              <w:rPr>
                <w:rFonts w:ascii="Cambria Math" w:hAnsi="Cambria Math"/>
                <w:iCs/>
              </w:rPr>
            </m:ctrlPr>
          </m:sub>
        </m:sSub>
        <m:r>
          <m:rPr/>
          <w:rPr>
            <w:rFonts w:ascii="Cambria Math" w:hAnsi="Cambria Math"/>
          </w:rPr>
          <m:t>×q×</m:t>
        </m:r>
        <m:sSup>
          <m:sSupPr>
            <m:ctrlPr>
              <w:rPr>
                <w:rFonts w:ascii="Cambria Math" w:hAnsi="Cambria Math"/>
              </w:rPr>
            </m:ctrlPr>
          </m:sSupPr>
          <m:e>
            <m:r>
              <m:rPr/>
              <w:rPr>
                <w:rFonts w:ascii="Cambria Math" w:hAnsi="Cambria Math"/>
              </w:rPr>
              <m:t>10</m:t>
            </m:r>
            <m:ctrlPr>
              <w:rPr>
                <w:rFonts w:ascii="Cambria Math" w:hAnsi="Cambria Math"/>
              </w:rPr>
            </m:ctrlPr>
          </m:e>
          <m:sup>
            <m:r>
              <m:rPr/>
              <w:rPr>
                <w:rFonts w:ascii="Cambria Math" w:hAnsi="Cambria Math"/>
              </w:rPr>
              <m:t>3</m:t>
            </m:r>
            <m:ctrlPr>
              <w:rPr>
                <w:rFonts w:ascii="Cambria Math" w:hAnsi="Cambria Math"/>
              </w:rPr>
            </m:ctrlPr>
          </m:sup>
        </m:sSup>
        <m:r>
          <m:rPr/>
          <w:rPr>
            <w:rFonts w:ascii="Cambria Math" w:hAnsi="Cambria Math"/>
          </w:rPr>
          <m:t>/(3600×r)+</m:t>
        </m:r>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wℎ</m:t>
            </m:r>
            <m:ctrlPr>
              <w:rPr>
                <w:rFonts w:ascii="Cambria Math" w:hAnsi="Cambria Math"/>
              </w:rPr>
            </m:ctrlPr>
          </m:sub>
        </m:sSub>
        <m:r>
          <m:rPr/>
          <w:rPr>
            <w:rFonts w:ascii="Cambria Math" w:hAnsi="Cambria Math"/>
          </w:rPr>
          <m:t>×y</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C3718D0">
      <w:pPr>
        <w:pStyle w:val="115"/>
        <w:spacing w:before="156" w:after="156"/>
        <w:rPr>
          <w:rFonts w:ascii="Times New Roman" w:hAnsi="Times New Roman"/>
        </w:rPr>
      </w:pPr>
      <w:bookmarkStart w:id="85" w:name="_Hlk199849772"/>
      <w:r>
        <w:rPr>
          <w:rFonts w:ascii="Times New Roman" w:hAnsi="Times New Roman"/>
        </w:rPr>
        <w:tab/>
      </w: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tt</m:t>
            </m:r>
            <m:ctrlPr>
              <w:rPr>
                <w:rFonts w:ascii="Cambria Math" w:hAnsi="Cambria Math"/>
              </w:rPr>
            </m:ctrlPr>
          </m:sub>
        </m:sSub>
        <m:r>
          <m:rPr/>
          <w:rPr>
            <w:rFonts w:ascii="Cambria Math" w:hAnsi="Cambria Math"/>
          </w:rPr>
          <m:t>=</m:t>
        </m:r>
        <m:nary>
          <m:naryPr>
            <m:chr m:val="∑"/>
            <m:limLoc m:val="subSup"/>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D</m:t>
            </m:r>
            <m:ctrlPr>
              <w:rPr>
                <w:rFonts w:ascii="Cambria Math" w:hAnsi="Cambria Math"/>
              </w:rPr>
            </m:ctrlPr>
          </m:sup>
          <m:e>
            <m:d>
              <m:dPr>
                <m:begChr m:val="["/>
                <m:endChr m:val="]"/>
                <m:ctrlPr>
                  <w:rPr>
                    <w:rFonts w:ascii="Cambria Math" w:hAnsi="Cambria Math"/>
                  </w:rPr>
                </m:ctrlPr>
              </m:dPr>
              <m:e>
                <m:sSub>
                  <m:sSubPr>
                    <m:ctrlPr>
                      <w:rPr>
                        <w:rFonts w:ascii="Cambria Math" w:hAnsi="Cambria Math"/>
                      </w:rPr>
                    </m:ctrlPr>
                  </m:sSubPr>
                  <m:e>
                    <m:r>
                      <m:rPr/>
                      <w:rPr>
                        <w:rFonts w:ascii="Cambria Math" w:hAnsi="Cambria Math"/>
                      </w:rPr>
                      <m:t>ET</m:t>
                    </m:r>
                    <m:ctrlPr>
                      <w:rPr>
                        <w:rFonts w:ascii="Cambria Math" w:hAnsi="Cambria Math"/>
                      </w:rPr>
                    </m:ctrlPr>
                  </m:e>
                  <m:sub>
                    <m:r>
                      <m:rPr/>
                      <w:rPr>
                        <w:rFonts w:ascii="Cambria Math" w:hAnsi="Cambria Math"/>
                      </w:rPr>
                      <m:t>j</m:t>
                    </m:r>
                    <m:ctrlPr>
                      <w:rPr>
                        <w:rFonts w:ascii="Cambria Math" w:hAnsi="Cambria Math"/>
                      </w:rPr>
                    </m:ctrlPr>
                  </m:sub>
                </m:sSub>
                <m:r>
                  <m:rPr/>
                  <w:rPr>
                    <w:rFonts w:ascii="Cambria Math" w:hAnsi="Cambria Math"/>
                  </w:rPr>
                  <m:t>×2.45×</m:t>
                </m:r>
                <m:sSup>
                  <m:sSupPr>
                    <m:ctrlPr>
                      <w:rPr>
                        <w:rFonts w:ascii="Cambria Math" w:hAnsi="Cambria Math"/>
                      </w:rPr>
                    </m:ctrlPr>
                  </m:sSupPr>
                  <m:e>
                    <m:r>
                      <m:rPr/>
                      <w:rPr>
                        <w:rFonts w:ascii="Cambria Math" w:hAnsi="Cambria Math"/>
                      </w:rPr>
                      <m:t>10</m:t>
                    </m:r>
                    <m:ctrlPr>
                      <w:rPr>
                        <w:rFonts w:ascii="Cambria Math" w:hAnsi="Cambria Math"/>
                      </w:rPr>
                    </m:ctrlPr>
                  </m:e>
                  <m:sup>
                    <m:r>
                      <m:rPr/>
                      <w:rPr>
                        <w:rFonts w:ascii="Cambria Math" w:hAnsi="Cambria Math"/>
                      </w:rPr>
                      <m:t>3</m:t>
                    </m:r>
                    <m:ctrlPr>
                      <w:rPr>
                        <w:rFonts w:ascii="Cambria Math" w:hAnsi="Cambria Math"/>
                      </w:rPr>
                    </m:ctrlPr>
                  </m:sup>
                </m:sSup>
                <m:r>
                  <m:rPr/>
                  <w:rPr>
                    <w:rFonts w:ascii="Cambria Math" w:hAnsi="Cambria Math"/>
                  </w:rPr>
                  <m:t>/</m:t>
                </m:r>
                <m:d>
                  <m:dPr>
                    <m:ctrlPr>
                      <w:rPr>
                        <w:rFonts w:ascii="Cambria Math" w:hAnsi="Cambria Math"/>
                      </w:rPr>
                    </m:ctrlPr>
                  </m:dPr>
                  <m:e>
                    <m:r>
                      <m:rPr/>
                      <w:rPr>
                        <w:rFonts w:ascii="Cambria Math" w:hAnsi="Cambria Math"/>
                      </w:rPr>
                      <m:t>3600×r</m:t>
                    </m:r>
                    <m:ctrlPr>
                      <w:rPr>
                        <w:rFonts w:ascii="Cambria Math" w:hAnsi="Cambria Math"/>
                      </w:rPr>
                    </m:ctrlPr>
                  </m:e>
                </m:d>
                <m:ctrlPr>
                  <w:rPr>
                    <w:rFonts w:ascii="Cambria Math" w:hAnsi="Cambria Math"/>
                  </w:rPr>
                </m:ctrlPr>
              </m:e>
            </m:d>
            <m:ctrlPr>
              <w:rPr>
                <w:rFonts w:ascii="Cambria Math" w:hAnsi="Cambria Math"/>
              </w:rPr>
            </m:ctrlPr>
          </m:e>
        </m:nary>
        <m:r>
          <m:rPr/>
          <w:rPr>
            <w:rFonts w:ascii="Cambria Math" w:hAnsi="Cambria Math"/>
          </w:rPr>
          <m:t>+</m:t>
        </m:r>
        <m:nary>
          <m:naryPr>
            <m:chr m:val="∑"/>
            <m:limLoc m:val="undOvr"/>
            <m:ctrlPr>
              <w:rPr>
                <w:rFonts w:ascii="Cambria Math" w:hAnsi="Cambria Math"/>
              </w:rPr>
            </m:ctrlPr>
          </m:naryPr>
          <m:sub>
            <m:r>
              <m:rPr/>
              <w:rPr>
                <w:rFonts w:ascii="Cambria Math" w:hAnsi="Cambria Math"/>
              </w:rPr>
              <m:t>k=1</m:t>
            </m:r>
            <m:ctrlPr>
              <w:rPr>
                <w:rFonts w:ascii="Cambria Math" w:hAnsi="Cambria Math"/>
              </w:rPr>
            </m:ctrlPr>
          </m:sub>
          <m:sup>
            <m:r>
              <m:rPr/>
              <w:rPr>
                <w:rFonts w:ascii="Cambria Math" w:hAnsi="Cambria Math"/>
              </w:rPr>
              <m:t>H</m:t>
            </m:r>
            <m:ctrlPr>
              <w:rPr>
                <w:rFonts w:ascii="Cambria Math" w:hAnsi="Cambria Math"/>
              </w:rPr>
            </m:ctrlPr>
          </m:sup>
          <m:e>
            <m:d>
              <m:dPr>
                <m:ctrlPr>
                  <w:rPr>
                    <w:rFonts w:ascii="Cambria Math" w:hAnsi="Cambria Math"/>
                  </w:rPr>
                </m:ctrlPr>
              </m:dPr>
              <m:e>
                <m:sSub>
                  <m:sSubPr>
                    <m:ctrlPr>
                      <w:rPr>
                        <w:rFonts w:ascii="Cambria Math" w:hAnsi="Cambria Math"/>
                      </w:rPr>
                    </m:ctrlPr>
                  </m:sSubPr>
                  <m:e>
                    <m:r>
                      <m:rPr/>
                      <w:rPr>
                        <w:rFonts w:ascii="Cambria Math" w:hAnsi="Cambria Math"/>
                      </w:rPr>
                      <m:t>ET</m:t>
                    </m:r>
                    <m:ctrlPr>
                      <w:rPr>
                        <w:rFonts w:ascii="Cambria Math" w:hAnsi="Cambria Math"/>
                      </w:rPr>
                    </m:ctrlPr>
                  </m:e>
                  <m:sub>
                    <m:r>
                      <m:rPr/>
                      <w:rPr>
                        <w:rFonts w:ascii="Cambria Math" w:hAnsi="Cambria Math"/>
                      </w:rPr>
                      <m:t>k</m:t>
                    </m:r>
                    <m:ctrlPr>
                      <w:rPr>
                        <w:rFonts w:ascii="Cambria Math" w:hAnsi="Cambria Math"/>
                      </w:rPr>
                    </m:ctrlPr>
                  </m:sub>
                </m:sSub>
                <m:r>
                  <m:rPr/>
                  <w:rPr>
                    <w:rFonts w:ascii="Cambria Math" w:hAnsi="Cambria Math"/>
                  </w:rPr>
                  <m:t>×GA×</m:t>
                </m:r>
                <m:sSup>
                  <m:sSupPr>
                    <m:ctrlPr>
                      <w:rPr>
                        <w:rFonts w:ascii="Cambria Math" w:hAnsi="Cambria Math"/>
                      </w:rPr>
                    </m:ctrlPr>
                  </m:sSupPr>
                  <m:e>
                    <m:r>
                      <m:rPr/>
                      <w:rPr>
                        <w:rFonts w:ascii="Cambria Math" w:hAnsi="Cambria Math"/>
                      </w:rPr>
                      <m:t>y×10</m:t>
                    </m:r>
                    <m:ctrlPr>
                      <w:rPr>
                        <w:rFonts w:ascii="Cambria Math" w:hAnsi="Cambria Math"/>
                      </w:rPr>
                    </m:ctrlPr>
                  </m:e>
                  <m:sup>
                    <m:r>
                      <m:rPr/>
                      <w:rPr>
                        <w:rFonts w:ascii="Cambria Math" w:hAnsi="Cambria Math"/>
                      </w:rPr>
                      <m:t>−3</m:t>
                    </m:r>
                    <m:ctrlPr>
                      <w:rPr>
                        <w:rFonts w:ascii="Cambria Math" w:hAnsi="Cambria Math"/>
                      </w:rPr>
                    </m:ctrlPr>
                  </m:sup>
                </m:sSup>
                <m:ctrlPr>
                  <w:rPr>
                    <w:rFonts w:ascii="Cambria Math" w:hAnsi="Cambria Math"/>
                  </w:rPr>
                </m:ctrlPr>
              </m:e>
            </m:d>
            <m:ctrlPr>
              <w:rPr>
                <w:rFonts w:ascii="Cambria Math" w:hAnsi="Cambria Math"/>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bookmarkEnd w:id="85"/>
    <w:p w14:paraId="38BF9FF5">
      <w:pPr>
        <w:pStyle w:val="57"/>
        <w:ind w:firstLine="420"/>
        <w:rPr>
          <w:rFonts w:ascii="Times New Roman" w:hAnsi="Times New Roman"/>
        </w:rPr>
      </w:pPr>
      <w:r>
        <w:rPr>
          <w:rFonts w:ascii="Times New Roman" w:hAnsi="Times New Roman"/>
        </w:rPr>
        <w:t>式中：</w:t>
      </w:r>
    </w:p>
    <w:p w14:paraId="2A683CEB">
      <w:pPr>
        <w:pStyle w:val="58"/>
        <w:ind w:firstLine="420"/>
        <w:rPr>
          <w:rFonts w:ascii="Times New Roman"/>
        </w:rPr>
      </w:pPr>
      <m:oMath>
        <m:sSub>
          <m:sSubPr>
            <m:ctrlPr>
              <w:rPr>
                <w:rFonts w:ascii="Cambria Math" w:hAnsi="Cambria Math" w:eastAsia="方正仿宋_GBK"/>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Q</m:t>
            </m:r>
            <m:ctrlPr>
              <w:rPr>
                <w:rFonts w:ascii="Cambria Math" w:hAnsi="Cambria Math" w:eastAsia="方正仿宋_GBK"/>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tt</m:t>
            </m:r>
            <m:ctrlPr>
              <w:rPr>
                <w:rFonts w:ascii="Cambria Math" w:hAnsi="Cambria Math" w:eastAsia="方正仿宋_GBK"/>
                <w:color w:val="000000" w:themeColor="text1"/>
                <w:kern w:val="15"/>
                <w14:textFill>
                  <w14:solidFill>
                    <w14:schemeClr w14:val="tx1"/>
                  </w14:solidFill>
                </w14:textFill>
              </w:rPr>
            </m:ctrlPr>
          </m:sub>
        </m:sSub>
      </m:oMath>
      <w:r>
        <w:rPr>
          <w:rFonts w:ascii="Times New Roman"/>
        </w:rPr>
        <w:t>——生态系统通过蒸腾蒸发调节温湿度消耗的总能量，单位：kW·h/a；</w:t>
      </w:r>
    </w:p>
    <w:p w14:paraId="7BF5BEB6">
      <w:pPr>
        <w:pStyle w:val="58"/>
        <w:ind w:firstLine="420"/>
        <w:rPr>
          <w:rFonts w:ascii="Times New Roman"/>
        </w:rPr>
      </w:pPr>
      <m:oMath>
        <m:sSub>
          <m:sSubPr>
            <m:ctrlPr>
              <w:rPr>
                <w:rFonts w:ascii="Cambria Math" w:hAnsi="Cambria Math" w:eastAsia="方正仿宋_GBK"/>
                <w:i/>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Q</m:t>
            </m:r>
            <m:ctrlPr>
              <w:rPr>
                <w:rFonts w:ascii="Cambria Math" w:hAnsi="Cambria Math" w:eastAsia="方正仿宋_GBK"/>
                <w:i/>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pt</m:t>
            </m:r>
            <m:ctrlPr>
              <w:rPr>
                <w:rFonts w:ascii="Cambria Math" w:hAnsi="Cambria Math" w:eastAsia="方正仿宋_GBK"/>
                <w:i/>
                <w:color w:val="000000" w:themeColor="text1"/>
                <w:kern w:val="15"/>
                <w14:textFill>
                  <w14:solidFill>
                    <w14:schemeClr w14:val="tx1"/>
                  </w14:solidFill>
                </w14:textFill>
              </w:rPr>
            </m:ctrlPr>
          </m:sub>
        </m:sSub>
      </m:oMath>
      <w:r>
        <w:rPr>
          <w:rFonts w:ascii="Times New Roman"/>
        </w:rPr>
        <w:t>——森林、草地、农田、沼泽、城市绿地空间等各类生态系统蒸腾蒸发消耗的能量，单位：kW·h/a</w:t>
      </w:r>
      <w:r>
        <w:rPr>
          <w:rFonts w:hint="eastAsia" w:ascii="Times New Roman"/>
        </w:rPr>
        <w:t>；</w:t>
      </w:r>
    </w:p>
    <w:p w14:paraId="1DA246ED">
      <w:pPr>
        <w:pStyle w:val="58"/>
        <w:ind w:firstLine="420"/>
        <w:rPr>
          <w:rFonts w:ascii="Times New Roman"/>
        </w:rPr>
      </w:pPr>
      <m:oMath>
        <m:sSub>
          <m:sSubPr>
            <m:ctrlPr>
              <w:rPr>
                <w:rFonts w:ascii="Cambria Math" w:hAnsi="Cambria Math" w:eastAsia="方正仿宋_GBK"/>
                <w:i/>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Q</m:t>
            </m:r>
            <m:ctrlPr>
              <w:rPr>
                <w:rFonts w:ascii="Cambria Math" w:hAnsi="Cambria Math" w:eastAsia="方正仿宋_GBK"/>
                <w:i/>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we</m:t>
            </m:r>
            <m:ctrlPr>
              <w:rPr>
                <w:rFonts w:ascii="Cambria Math" w:hAnsi="Cambria Math" w:eastAsia="方正仿宋_GBK"/>
                <w:i/>
                <w:color w:val="000000" w:themeColor="text1"/>
                <w:kern w:val="15"/>
                <w14:textFill>
                  <w14:solidFill>
                    <w14:schemeClr w14:val="tx1"/>
                  </w14:solidFill>
                </w14:textFill>
              </w:rPr>
            </m:ctrlPr>
          </m:sub>
        </m:sSub>
      </m:oMath>
      <w:r>
        <w:rPr>
          <w:rFonts w:ascii="Times New Roman"/>
        </w:rPr>
        <w:t>——河流、湖泊、水库、城市水体空间等水面蒸发消耗的能量，单位：kWh/a；</w:t>
      </w:r>
    </w:p>
    <w:p w14:paraId="7587C0D8">
      <w:pPr>
        <w:pStyle w:val="58"/>
        <w:ind w:firstLine="420"/>
        <w:rPr>
          <w:rFonts w:ascii="Times New Roman"/>
        </w:rPr>
      </w:pPr>
      <m:oMath>
        <m:sSub>
          <m:sSubPr>
            <m:ctrlPr>
              <w:rPr>
                <w:rFonts w:ascii="Cambria Math" w:hAnsi="Cambria Math"/>
              </w:rPr>
            </m:ctrlPr>
          </m:sSubPr>
          <m:e>
            <m:r>
              <m:rPr/>
              <w:rPr>
                <w:rFonts w:ascii="Cambria Math" w:hAnsi="Cambria Math"/>
              </w:rPr>
              <m:t>EPP</m:t>
            </m:r>
            <m:ctrlPr>
              <w:rPr>
                <w:rFonts w:ascii="Cambria Math" w:hAnsi="Cambria Math"/>
              </w:rPr>
            </m:ctrlPr>
          </m:e>
          <m:sub>
            <m:r>
              <m:rPr/>
              <w:rPr>
                <w:rFonts w:ascii="Cambria Math" w:hAnsi="Cambria Math"/>
              </w:rPr>
              <m:t>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类生态系统单位面积蒸腾消耗热量，单位：kJ/（m</w:t>
      </w:r>
      <w:r>
        <w:rPr>
          <w:rFonts w:ascii="Times New Roman"/>
          <w:vertAlign w:val="superscript"/>
        </w:rPr>
        <w:t>2</w:t>
      </w:r>
      <w:r>
        <w:rPr>
          <w:rFonts w:ascii="Times New Roman"/>
        </w:rPr>
        <w:t>·d）；</w:t>
      </w:r>
    </w:p>
    <w:p w14:paraId="73FE1AFF">
      <w:pPr>
        <w:pStyle w:val="58"/>
        <w:ind w:firstLine="420"/>
        <w:rPr>
          <w:rFonts w:ascii="Times New Roman"/>
        </w:rPr>
      </w:pP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类生态系统面积，单位：km</w:t>
      </w:r>
      <w:r>
        <w:rPr>
          <w:rFonts w:ascii="Times New Roman"/>
          <w:vertAlign w:val="superscript"/>
        </w:rPr>
        <w:t>2</w:t>
      </w:r>
      <w:r>
        <w:rPr>
          <w:rFonts w:ascii="Times New Roman"/>
        </w:rPr>
        <w:t>；</w:t>
      </w:r>
    </w:p>
    <w:p w14:paraId="765EA4A4">
      <w:pPr>
        <w:pStyle w:val="58"/>
        <w:ind w:firstLine="420"/>
        <w:rPr>
          <w:rFonts w:ascii="Times New Roman"/>
        </w:rPr>
      </w:pPr>
      <w:r>
        <w:rPr>
          <w:rFonts w:ascii="Times New Roman"/>
          <w:i/>
          <w:iCs/>
        </w:rPr>
        <w:t>r</w:t>
      </w:r>
      <w:r>
        <w:rPr>
          <w:rFonts w:ascii="Times New Roman"/>
        </w:rPr>
        <w:t>——空调能效比，W/W，取值3；</w:t>
      </w:r>
    </w:p>
    <w:p w14:paraId="27DF1919">
      <w:pPr>
        <w:pStyle w:val="58"/>
        <w:ind w:firstLine="420"/>
        <w:rPr>
          <w:rFonts w:ascii="Times New Roman"/>
        </w:rPr>
      </w:pPr>
      <m:oMath>
        <m:r>
          <m:rPr/>
          <w:rPr>
            <w:rFonts w:ascii="Cambria Math" w:hAnsi="Cambria Math"/>
          </w:rPr>
          <m:t>D</m:t>
        </m:r>
      </m:oMath>
      <w:r>
        <w:rPr>
          <w:rFonts w:ascii="Times New Roman"/>
        </w:rPr>
        <w:t>——开放空调降温的天数，单位：d/a，见C.9.2；</w:t>
      </w:r>
    </w:p>
    <w:p w14:paraId="34D28EC0">
      <w:pPr>
        <w:pStyle w:val="58"/>
        <w:ind w:firstLine="420"/>
        <w:rPr>
          <w:rFonts w:ascii="Times New Roman"/>
        </w:rPr>
      </w:pPr>
      <m:oMath>
        <m:r>
          <m:rPr/>
          <w:rPr>
            <w:rFonts w:ascii="Cambria Math" w:hAnsi="Cambria Math"/>
          </w:rPr>
          <m:t>i</m:t>
        </m:r>
      </m:oMath>
      <w:r>
        <w:rPr>
          <w:rFonts w:ascii="Times New Roman"/>
        </w:rPr>
        <w:t>——生态系统类型；</w:t>
      </w:r>
    </w:p>
    <w:p w14:paraId="0CBB3E36">
      <w:pPr>
        <w:pStyle w:val="58"/>
        <w:ind w:firstLine="420"/>
        <w:rPr>
          <w:rFonts w:ascii="Times New Roman"/>
        </w:rPr>
      </w:pPr>
      <m:oMath>
        <w:bookmarkStart w:id="86" w:name="OLE_LINK12"/>
        <m:r>
          <m:rPr/>
          <w:rPr>
            <w:rFonts w:ascii="Cambria Math" w:hAnsi="Cambria Math"/>
          </w:rPr>
          <m:t>n</m:t>
        </m:r>
      </m:oMath>
      <w:r>
        <w:rPr>
          <w:rFonts w:ascii="Times New Roman"/>
        </w:rPr>
        <w:t>——生态系统类型数量；</w:t>
      </w:r>
    </w:p>
    <w:bookmarkEnd w:id="86"/>
    <w:p w14:paraId="064E44A9">
      <w:pPr>
        <w:pStyle w:val="58"/>
        <w:ind w:firstLine="420"/>
        <w:rPr>
          <w:rFonts w:ascii="Times New Roman"/>
        </w:rPr>
      </w:pPr>
      <m:oMath>
        <m:sSub>
          <m:sSubPr>
            <m:ctrlPr>
              <w:rPr>
                <w:rFonts w:ascii="Cambria Math" w:hAnsi="Cambria Math" w:eastAsia="方正仿宋_GBK"/>
                <w:i/>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E</m:t>
            </m:r>
            <m:ctrlPr>
              <w:rPr>
                <w:rFonts w:ascii="Cambria Math" w:hAnsi="Cambria Math" w:eastAsia="方正仿宋_GBK"/>
                <w:i/>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wt</m:t>
            </m:r>
            <m:ctrlPr>
              <w:rPr>
                <w:rFonts w:ascii="Cambria Math" w:hAnsi="Cambria Math" w:eastAsia="方正仿宋_GBK"/>
                <w:i/>
                <w:color w:val="000000" w:themeColor="text1"/>
                <w:kern w:val="15"/>
                <w14:textFill>
                  <w14:solidFill>
                    <w14:schemeClr w14:val="tx1"/>
                  </w14:solidFill>
                </w14:textFill>
              </w:rPr>
            </m:ctrlPr>
          </m:sub>
        </m:sSub>
      </m:oMath>
      <w:r>
        <w:rPr>
          <w:rFonts w:ascii="Times New Roman"/>
        </w:rPr>
        <w:t>——开放空调降温期间水体水面蒸发量，单位：m</w:t>
      </w:r>
      <w:r>
        <w:rPr>
          <w:rFonts w:ascii="Times New Roman"/>
          <w:vertAlign w:val="superscript"/>
        </w:rPr>
        <w:t>3</w:t>
      </w:r>
      <w:r>
        <w:rPr>
          <w:rFonts w:ascii="Times New Roman"/>
        </w:rPr>
        <w:t>/a，见C.9.1；</w:t>
      </w:r>
    </w:p>
    <w:p w14:paraId="03ACACDD">
      <w:pPr>
        <w:pStyle w:val="58"/>
        <w:ind w:firstLine="420"/>
        <w:rPr>
          <w:rFonts w:ascii="Times New Roman"/>
        </w:rPr>
      </w:pPr>
      <m:oMath>
        <m:sSub>
          <m:sSubPr>
            <m:ctrlPr>
              <w:rPr>
                <w:rFonts w:ascii="Cambria Math" w:hAnsi="Cambria Math" w:eastAsia="方正仿宋_GBK"/>
                <w:i/>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E</m:t>
            </m:r>
            <m:ctrlPr>
              <w:rPr>
                <w:rFonts w:ascii="Cambria Math" w:hAnsi="Cambria Math" w:eastAsia="方正仿宋_GBK"/>
                <w:i/>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wℎ</m:t>
            </m:r>
            <m:ctrlPr>
              <w:rPr>
                <w:rFonts w:ascii="Cambria Math" w:hAnsi="Cambria Math" w:eastAsia="方正仿宋_GBK"/>
                <w:i/>
                <w:color w:val="000000" w:themeColor="text1"/>
                <w:kern w:val="15"/>
                <w14:textFill>
                  <w14:solidFill>
                    <w14:schemeClr w14:val="tx1"/>
                  </w14:solidFill>
                </w14:textFill>
              </w:rPr>
            </m:ctrlPr>
          </m:sub>
        </m:sSub>
      </m:oMath>
      <w:r>
        <w:rPr>
          <w:rFonts w:ascii="Times New Roman"/>
        </w:rPr>
        <w:t>——开放加湿器增湿期间水体水面蒸发量，单位：m</w:t>
      </w:r>
      <w:r>
        <w:rPr>
          <w:rFonts w:ascii="Times New Roman"/>
          <w:vertAlign w:val="superscript"/>
        </w:rPr>
        <w:t>3</w:t>
      </w:r>
      <w:r>
        <w:rPr>
          <w:rFonts w:ascii="Times New Roman"/>
        </w:rPr>
        <w:t>/a，见C.9.1；</w:t>
      </w:r>
    </w:p>
    <w:p w14:paraId="127046DF">
      <w:pPr>
        <w:pStyle w:val="58"/>
        <w:ind w:firstLine="420"/>
        <w:rPr>
          <w:rFonts w:ascii="Times New Roman"/>
        </w:rPr>
      </w:pPr>
      <m:oMath>
        <m:sSub>
          <m:sSubPr>
            <m:ctrlPr>
              <w:rPr>
                <w:rFonts w:ascii="Cambria Math" w:hAnsi="Cambria Math" w:eastAsia="方正仿宋_GBK"/>
                <w:i/>
                <w:iCs/>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ρ</m:t>
            </m:r>
            <m:ctrlPr>
              <w:rPr>
                <w:rFonts w:ascii="Cambria Math" w:hAnsi="Cambria Math" w:eastAsia="方正仿宋_GBK"/>
                <w:i/>
                <w:iCs/>
                <w:color w:val="000000" w:themeColor="text1"/>
                <w:kern w:val="15"/>
                <w14:textFill>
                  <w14:solidFill>
                    <w14:schemeClr w14:val="tx1"/>
                  </w14:solidFill>
                </w14:textFill>
              </w:rPr>
            </m:ctrlPr>
          </m:e>
          <m:sub>
            <m:r>
              <m:rPr/>
              <w:rPr>
                <w:rFonts w:ascii="Cambria Math" w:hAnsi="Cambria Math" w:eastAsia="方正仿宋_GBK"/>
                <w:color w:val="000000" w:themeColor="text1"/>
                <w:kern w:val="15"/>
                <w:vertAlign w:val="subscript"/>
                <w14:textFill>
                  <w14:solidFill>
                    <w14:schemeClr w14:val="tx1"/>
                  </w14:solidFill>
                </w14:textFill>
              </w:rPr>
              <m:t>w</m:t>
            </m:r>
            <m:ctrlPr>
              <w:rPr>
                <w:rFonts w:ascii="Cambria Math" w:hAnsi="Cambria Math" w:eastAsia="方正仿宋_GBK"/>
                <w:i/>
                <w:iCs/>
                <w:color w:val="000000" w:themeColor="text1"/>
                <w:kern w:val="15"/>
                <w14:textFill>
                  <w14:solidFill>
                    <w14:schemeClr w14:val="tx1"/>
                  </w14:solidFill>
                </w14:textFill>
              </w:rPr>
            </m:ctrlPr>
          </m:sub>
        </m:sSub>
      </m:oMath>
      <w:r>
        <w:rPr>
          <w:rFonts w:ascii="Times New Roman"/>
        </w:rPr>
        <w:t>——水的密度，单位：g/cm</w:t>
      </w:r>
      <w:r>
        <w:rPr>
          <w:rFonts w:ascii="Times New Roman"/>
          <w:vertAlign w:val="superscript"/>
        </w:rPr>
        <w:t>3</w:t>
      </w:r>
      <w:r>
        <w:rPr>
          <w:rFonts w:ascii="Times New Roman"/>
        </w:rPr>
        <w:t>，取值1g/cm</w:t>
      </w:r>
      <w:r>
        <w:rPr>
          <w:rFonts w:ascii="Times New Roman"/>
          <w:vertAlign w:val="superscript"/>
        </w:rPr>
        <w:t>3</w:t>
      </w:r>
      <w:r>
        <w:rPr>
          <w:rFonts w:ascii="Times New Roman"/>
        </w:rPr>
        <w:t>；</w:t>
      </w:r>
    </w:p>
    <w:p w14:paraId="785B8F68">
      <w:pPr>
        <w:pStyle w:val="58"/>
        <w:ind w:firstLine="420"/>
        <w:rPr>
          <w:rFonts w:ascii="Times New Roman"/>
        </w:rPr>
      </w:pPr>
      <m:oMath>
        <m:r>
          <m:rPr/>
          <w:rPr>
            <w:rFonts w:ascii="Cambria Math" w:hAnsi="Cambria Math" w:eastAsia="方正仿宋_GBK"/>
            <w:color w:val="000000" w:themeColor="text1"/>
            <w:kern w:val="15"/>
            <w14:textFill>
              <w14:solidFill>
                <w14:schemeClr w14:val="tx1"/>
              </w14:solidFill>
            </w14:textFill>
          </w:rPr>
          <m:t>q</m:t>
        </m:r>
      </m:oMath>
      <w:r>
        <w:rPr>
          <w:rFonts w:ascii="Times New Roman"/>
        </w:rPr>
        <w:t>——水的挥发潜热，即蒸发1克水所需要的热量，单位：J/g，取值2260J/g；</w:t>
      </w:r>
    </w:p>
    <w:p w14:paraId="6B998409">
      <w:pPr>
        <w:pStyle w:val="58"/>
        <w:ind w:firstLine="420"/>
        <w:rPr>
          <w:rFonts w:ascii="Times New Roman"/>
        </w:rPr>
      </w:pPr>
      <m:oMath>
        <m:r>
          <m:rPr/>
          <w:rPr>
            <w:rFonts w:ascii="Cambria Math" w:hAnsi="Cambria Math" w:eastAsia="方正仿宋_GBK"/>
            <w:color w:val="000000" w:themeColor="text1"/>
            <w:kern w:val="15"/>
            <w14:textFill>
              <w14:solidFill>
                <w14:schemeClr w14:val="tx1"/>
              </w14:solidFill>
            </w14:textFill>
          </w:rPr>
          <m:t>y</m:t>
        </m:r>
      </m:oMath>
      <w:r>
        <w:rPr>
          <w:rFonts w:ascii="Times New Roman"/>
        </w:rPr>
        <w:t>——加湿器将1立方米水转化为水蒸气的耗电量，单位：kWh/m</w:t>
      </w:r>
      <w:r>
        <w:rPr>
          <w:rFonts w:ascii="Times New Roman"/>
          <w:vertAlign w:val="superscript"/>
        </w:rPr>
        <w:t>3</w:t>
      </w:r>
      <w:r>
        <w:rPr>
          <w:rFonts w:ascii="Times New Roman"/>
        </w:rPr>
        <w:t>，取值120kWh/m</w:t>
      </w:r>
      <w:r>
        <w:rPr>
          <w:rFonts w:ascii="Times New Roman"/>
          <w:vertAlign w:val="superscript"/>
        </w:rPr>
        <w:t>3</w:t>
      </w:r>
      <w:r>
        <w:rPr>
          <w:rFonts w:ascii="Times New Roman"/>
        </w:rPr>
        <w:t>；</w:t>
      </w:r>
    </w:p>
    <w:p w14:paraId="7B6B45D3">
      <w:pPr>
        <w:pStyle w:val="58"/>
        <w:ind w:firstLine="420"/>
        <w:rPr>
          <w:rFonts w:ascii="Times New Roman"/>
        </w:rPr>
      </w:pPr>
      <m:oMath>
        <m:sSub>
          <m:sSubPr>
            <m:ctrlPr>
              <w:rPr>
                <w:rFonts w:ascii="Cambria Math" w:hAnsi="Cambria Math"/>
              </w:rPr>
            </m:ctrlPr>
          </m:sSubPr>
          <m:e>
            <m:r>
              <m:rPr/>
              <w:rPr>
                <w:rFonts w:ascii="Cambria Math" w:hAnsi="Cambria Math"/>
              </w:rPr>
              <m:t>ET</m:t>
            </m:r>
            <m:ctrlPr>
              <w:rPr>
                <w:rFonts w:ascii="Cambria Math" w:hAnsi="Cambria Math"/>
              </w:rPr>
            </m:ctrlPr>
          </m:e>
          <m:sub>
            <m:r>
              <m:rPr/>
              <w:rPr>
                <w:rFonts w:ascii="Cambria Math" w:hAnsi="Cambria Math"/>
              </w:rPr>
              <m:t>j</m:t>
            </m:r>
            <m:ctrlPr>
              <w:rPr>
                <w:rFonts w:ascii="Cambria Math" w:hAnsi="Cambria Math"/>
              </w:rPr>
            </m:ctrlPr>
          </m:sub>
        </m:sSub>
      </m:oMath>
      <w:r>
        <w:rPr>
          <w:rFonts w:ascii="Times New Roman"/>
        </w:rPr>
        <w:t>——第</w:t>
      </w:r>
      <m:oMath>
        <m:r>
          <m:rPr/>
          <w:rPr>
            <w:rFonts w:ascii="Cambria Math" w:hAnsi="Cambria Math"/>
          </w:rPr>
          <m:t>j</m:t>
        </m:r>
      </m:oMath>
      <w:r>
        <w:rPr>
          <w:rFonts w:ascii="Times New Roman"/>
        </w:rPr>
        <w:t>个开放空调日的蒸散发量，单位：mm，数据获取自采用</w:t>
      </w:r>
      <w:bookmarkStart w:id="87" w:name="OLE_LINK7"/>
      <w:r>
        <w:rPr>
          <w:rFonts w:ascii="Times New Roman"/>
        </w:rPr>
        <w:t>遥感卫星蒸散发产品</w:t>
      </w:r>
      <w:bookmarkEnd w:id="87"/>
      <w:r>
        <w:rPr>
          <w:rFonts w:ascii="Times New Roman"/>
        </w:rPr>
        <w:t>；</w:t>
      </w:r>
    </w:p>
    <w:p w14:paraId="5D62B9E5">
      <w:pPr>
        <w:pStyle w:val="58"/>
        <w:ind w:firstLine="420"/>
        <w:rPr>
          <w:rFonts w:ascii="Times New Roman"/>
        </w:rPr>
      </w:pPr>
      <m:oMath>
        <m:sSub>
          <m:sSubPr>
            <m:ctrlPr>
              <w:rPr>
                <w:rFonts w:ascii="Cambria Math" w:hAnsi="Cambria Math"/>
              </w:rPr>
            </m:ctrlPr>
          </m:sSubPr>
          <m:e>
            <m:r>
              <m:rPr/>
              <w:rPr>
                <w:rFonts w:ascii="Cambria Math" w:hAnsi="Cambria Math"/>
              </w:rPr>
              <m:t>ET</m:t>
            </m:r>
            <m:ctrlPr>
              <w:rPr>
                <w:rFonts w:ascii="Cambria Math" w:hAnsi="Cambria Math"/>
              </w:rPr>
            </m:ctrlPr>
          </m:e>
          <m:sub>
            <m:r>
              <m:rPr/>
              <w:rPr>
                <w:rFonts w:ascii="Cambria Math" w:hAnsi="Cambria Math"/>
              </w:rPr>
              <m:t>k</m:t>
            </m:r>
            <m:ctrlPr>
              <w:rPr>
                <w:rFonts w:ascii="Cambria Math" w:hAnsi="Cambria Math"/>
              </w:rPr>
            </m:ctrlPr>
          </m:sub>
        </m:sSub>
      </m:oMath>
      <w:r>
        <w:rPr>
          <w:rFonts w:ascii="Times New Roman"/>
        </w:rPr>
        <w:t>——第</w:t>
      </w:r>
      <m:oMath>
        <m:r>
          <m:rPr/>
          <w:rPr>
            <w:rFonts w:ascii="Cambria Math" w:hAnsi="Cambria Math"/>
          </w:rPr>
          <m:t>k</m:t>
        </m:r>
      </m:oMath>
      <w:r>
        <w:rPr>
          <w:rFonts w:ascii="Times New Roman"/>
        </w:rPr>
        <w:t>个开放加湿器日的蒸散发量，单位：mm，数据获取自采用遥感卫星蒸散发产品；</w:t>
      </w:r>
    </w:p>
    <w:p w14:paraId="2F8264FA">
      <w:pPr>
        <w:pStyle w:val="58"/>
        <w:ind w:firstLine="420"/>
        <w:rPr>
          <w:rFonts w:ascii="Times New Roman"/>
        </w:rPr>
      </w:pPr>
      <m:oMath>
        <m:r>
          <m:rPr/>
          <w:rPr>
            <w:rFonts w:ascii="Cambria Math" w:hAnsi="Cambria Math"/>
          </w:rPr>
          <m:t>H</m:t>
        </m:r>
      </m:oMath>
      <w:r>
        <w:rPr>
          <w:rFonts w:ascii="Times New Roman"/>
        </w:rPr>
        <w:t>——开放加湿器增湿的天数，单位：d/a，</w:t>
      </w:r>
      <w:bookmarkStart w:id="88" w:name="OLE_LINK13"/>
      <w:r>
        <w:rPr>
          <w:rFonts w:ascii="Times New Roman"/>
        </w:rPr>
        <w:t>见C.9.3</w:t>
      </w:r>
      <w:bookmarkEnd w:id="88"/>
      <w:r>
        <w:rPr>
          <w:rFonts w:ascii="Times New Roman"/>
        </w:rPr>
        <w:t>；</w:t>
      </w:r>
    </w:p>
    <w:p w14:paraId="38689C0B">
      <w:pPr>
        <w:pStyle w:val="58"/>
        <w:ind w:firstLine="420"/>
        <w:rPr>
          <w:rFonts w:ascii="Times New Roman"/>
        </w:rPr>
      </w:pPr>
      <m:oMath>
        <m:r>
          <m:rPr/>
          <w:rPr>
            <w:rFonts w:ascii="Cambria Math" w:hAnsi="Cambria Math"/>
          </w:rPr>
          <m:t>GA</m:t>
        </m:r>
      </m:oMath>
      <w:r>
        <w:rPr>
          <w:rFonts w:ascii="Times New Roman"/>
        </w:rPr>
        <w:t>——遥感卫星蒸散发产品栅格面积，单位：m</w:t>
      </w:r>
      <w:r>
        <w:rPr>
          <w:rFonts w:ascii="Times New Roman"/>
          <w:vertAlign w:val="superscript"/>
        </w:rPr>
        <w:t>2</w:t>
      </w:r>
      <w:r>
        <w:rPr>
          <w:rFonts w:ascii="Times New Roman"/>
        </w:rPr>
        <w:t>。</w:t>
      </w:r>
    </w:p>
    <w:p w14:paraId="203727F1">
      <w:pPr>
        <w:pStyle w:val="96"/>
        <w:spacing w:before="156" w:after="156"/>
      </w:pPr>
      <w:r>
        <w:rPr>
          <w:rFonts w:hint="eastAsia"/>
        </w:rPr>
        <w:t>噪声消减服务实物量</w:t>
      </w:r>
    </w:p>
    <w:p w14:paraId="7F040923">
      <w:pPr>
        <w:pStyle w:val="58"/>
        <w:ind w:firstLine="420"/>
        <w:rPr>
          <w:rFonts w:ascii="Times New Roman"/>
        </w:rPr>
      </w:pPr>
      <w:r>
        <w:rPr>
          <w:rFonts w:ascii="Times New Roman"/>
        </w:rPr>
        <w:t>主要考虑交通噪声。按照公式（</w:t>
      </w:r>
      <w:r>
        <w:rPr>
          <w:rFonts w:hint="eastAsia" w:ascii="Times New Roman"/>
        </w:rPr>
        <w:t>30</w:t>
      </w:r>
      <w:r>
        <w:rPr>
          <w:rFonts w:ascii="Times New Roman"/>
        </w:rPr>
        <w:t>）计算。</w:t>
      </w:r>
    </w:p>
    <w:p w14:paraId="58DF7395">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na</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m</m:t>
            </m:r>
            <m:ctrlPr>
              <w:rPr>
                <w:rFonts w:ascii="Cambria Math" w:hAnsi="Cambria Math"/>
                <w:i/>
              </w:rPr>
            </m:ctrlPr>
          </m:sup>
          <m:e>
            <m:nary>
              <m:naryPr>
                <m:chr m:val="∑"/>
                <m:limLoc m:val="subSup"/>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NA</m:t>
                    </m:r>
                    <m:ctrlPr>
                      <w:rPr>
                        <w:rFonts w:ascii="Cambria Math" w:hAnsi="Cambria Math"/>
                        <w:i/>
                      </w:rPr>
                    </m:ctrlPr>
                  </m:e>
                  <m:sub>
                    <m:r>
                      <m:rPr/>
                      <w:rPr>
                        <w:rFonts w:ascii="Cambria Math" w:hAnsi="Cambria Math"/>
                      </w:rPr>
                      <m:t>i，j</m:t>
                    </m:r>
                    <m:ctrlPr>
                      <w:rPr>
                        <w:rFonts w:ascii="Cambria Math" w:hAnsi="Cambria Math"/>
                        <w:i/>
                      </w:rPr>
                    </m:ctrlPr>
                  </m:sub>
                </m:sSub>
                <m:ctrlPr>
                  <w:rPr>
                    <w:rFonts w:ascii="Cambria Math" w:hAnsi="Cambria Math"/>
                    <w:i/>
                  </w:rPr>
                </m:ctrlPr>
              </m:e>
            </m:nary>
            <m:ctrlPr>
              <w:rPr>
                <w:rFonts w:ascii="Cambria Math" w:hAnsi="Cambria Math"/>
                <w:i/>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F61FC50">
      <w:pPr>
        <w:pStyle w:val="57"/>
        <w:ind w:firstLine="420"/>
        <w:rPr>
          <w:rFonts w:ascii="Times New Roman" w:hAnsi="Times New Roman"/>
        </w:rPr>
      </w:pPr>
      <w:r>
        <w:rPr>
          <w:rFonts w:ascii="Times New Roman" w:hAnsi="Times New Roman"/>
        </w:rPr>
        <w:t>式中：</w:t>
      </w:r>
    </w:p>
    <w:p w14:paraId="3D195318">
      <w:pPr>
        <w:pStyle w:val="58"/>
        <w:ind w:firstLine="440"/>
        <w:rPr>
          <w:rFonts w:ascii="Times New Roman"/>
        </w:rPr>
      </w:pPr>
      <m:oMath>
        <m:sSub>
          <m:sSubPr>
            <m:ctrlPr>
              <w:rPr>
                <w:rFonts w:ascii="Cambria Math" w:hAnsi="Cambria Math"/>
                <w:i/>
                <w:sz w:val="22"/>
                <w:szCs w:val="22"/>
              </w:rPr>
            </m:ctrlPr>
          </m:sSubPr>
          <m:e>
            <m:r>
              <m:rPr/>
              <w:rPr>
                <w:rFonts w:ascii="Cambria Math" w:hAnsi="Cambria Math"/>
              </w:rPr>
              <m:t>Q</m:t>
            </m:r>
            <m:ctrlPr>
              <w:rPr>
                <w:rFonts w:ascii="Cambria Math" w:hAnsi="Cambria Math"/>
                <w:i/>
                <w:sz w:val="22"/>
                <w:szCs w:val="22"/>
              </w:rPr>
            </m:ctrlPr>
          </m:e>
          <m:sub>
            <m:r>
              <m:rPr/>
              <w:rPr>
                <w:rFonts w:ascii="Cambria Math" w:hAnsi="Cambria Math"/>
                <w:sz w:val="22"/>
                <w:szCs w:val="22"/>
              </w:rPr>
              <m:t>na</m:t>
            </m:r>
            <m:ctrlPr>
              <w:rPr>
                <w:rFonts w:ascii="Cambria Math" w:hAnsi="Cambria Math"/>
                <w:i/>
                <w:sz w:val="22"/>
                <w:szCs w:val="22"/>
              </w:rPr>
            </m:ctrlPr>
          </m:sub>
        </m:sSub>
      </m:oMath>
      <w:r>
        <w:rPr>
          <w:rFonts w:ascii="Times New Roman"/>
        </w:rPr>
        <w:t>——噪声消减量，单位：dB·km；</w:t>
      </w:r>
    </w:p>
    <w:p w14:paraId="0F9584E1">
      <w:pPr>
        <w:pStyle w:val="58"/>
        <w:ind w:firstLine="440"/>
        <w:rPr>
          <w:rFonts w:ascii="Times New Roman"/>
        </w:rPr>
      </w:pPr>
      <m:oMath>
        <m:sSub>
          <m:sSubPr>
            <m:ctrlPr>
              <w:rPr>
                <w:rFonts w:ascii="Cambria Math" w:hAnsi="Cambria Math"/>
                <w:i/>
                <w:sz w:val="22"/>
                <w:szCs w:val="22"/>
              </w:rPr>
            </m:ctrlPr>
          </m:sSubPr>
          <m:e>
            <m:r>
              <m:rPr/>
              <w:rPr>
                <w:rFonts w:ascii="Cambria Math" w:hAnsi="Cambria Math"/>
              </w:rPr>
              <m:t>NA</m:t>
            </m:r>
            <m:ctrlPr>
              <w:rPr>
                <w:rFonts w:ascii="Cambria Math" w:hAnsi="Cambria Math"/>
                <w:i/>
                <w:sz w:val="22"/>
                <w:szCs w:val="22"/>
              </w:rPr>
            </m:ctrlPr>
          </m:e>
          <m:sub>
            <m:r>
              <m:rPr/>
              <w:rPr>
                <w:rFonts w:ascii="Cambria Math" w:hAnsi="Cambria Math"/>
              </w:rPr>
              <m:t>i,j</m:t>
            </m:r>
            <m:ctrlPr>
              <w:rPr>
                <w:rFonts w:ascii="Cambria Math" w:hAnsi="Cambria Math"/>
                <w:i/>
                <w:sz w:val="22"/>
                <w:szCs w:val="22"/>
              </w:rPr>
            </m:ctrlPr>
          </m:sub>
        </m:sSub>
      </m:oMath>
      <w:r>
        <w:rPr>
          <w:rFonts w:ascii="Times New Roman"/>
        </w:rPr>
        <w:t>——绿化带宽度级别为</w:t>
      </w:r>
      <m:oMath>
        <m:r>
          <m:rPr/>
          <w:rPr>
            <w:rFonts w:ascii="Cambria Math" w:hAnsi="Cambria Math"/>
          </w:rPr>
          <m:t>i</m:t>
        </m:r>
      </m:oMath>
      <w:r>
        <w:rPr>
          <w:rFonts w:ascii="Times New Roman"/>
        </w:rPr>
        <w:t>,道路类型为</w:t>
      </w:r>
      <m:oMath>
        <m:r>
          <m:rPr/>
          <w:rPr>
            <w:rFonts w:ascii="Cambria Math" w:hAnsi="Cambria Math"/>
          </w:rPr>
          <m:t>j</m:t>
        </m:r>
      </m:oMath>
      <w:r>
        <w:rPr>
          <w:rFonts w:ascii="Times New Roman"/>
        </w:rPr>
        <w:t>的道路两侧的平均降噪分贝，降噪分贝数由绿化带近路侧和远路侧噪声差值确定，单位：dB；</w:t>
      </w:r>
    </w:p>
    <w:p w14:paraId="76177850">
      <w:pPr>
        <w:pStyle w:val="58"/>
        <w:ind w:firstLine="440"/>
        <w:rPr>
          <w:rFonts w:ascii="Times New Roman"/>
        </w:rPr>
      </w:pPr>
      <m:oMath>
        <m:sSub>
          <m:sSubPr>
            <m:ctrlPr>
              <w:rPr>
                <w:rFonts w:ascii="Cambria Math" w:hAnsi="Cambria Math"/>
                <w:i/>
                <w:sz w:val="22"/>
                <w:szCs w:val="22"/>
              </w:rPr>
            </m:ctrlPr>
          </m:sSubPr>
          <m:e>
            <m:r>
              <m:rPr/>
              <w:rPr>
                <w:rFonts w:ascii="Cambria Math" w:hAnsi="Cambria Math"/>
              </w:rPr>
              <m:t>R</m:t>
            </m:r>
            <m:ctrlPr>
              <w:rPr>
                <w:rFonts w:ascii="Cambria Math" w:hAnsi="Cambria Math"/>
                <w:i/>
                <w:sz w:val="22"/>
                <w:szCs w:val="22"/>
              </w:rPr>
            </m:ctrlPr>
          </m:e>
          <m:sub>
            <m:r>
              <m:rPr/>
              <w:rPr>
                <w:rFonts w:ascii="Cambria Math" w:hAnsi="Cambria Math"/>
              </w:rPr>
              <m:t>i,j</m:t>
            </m:r>
            <m:ctrlPr>
              <w:rPr>
                <w:rFonts w:ascii="Cambria Math" w:hAnsi="Cambria Math"/>
                <w:i/>
                <w:sz w:val="22"/>
                <w:szCs w:val="22"/>
              </w:rPr>
            </m:ctrlPr>
          </m:sub>
        </m:sSub>
      </m:oMath>
      <w:r>
        <w:rPr>
          <w:rFonts w:ascii="Times New Roman"/>
        </w:rPr>
        <w:t>——绿化带宽度级别为</w:t>
      </w:r>
      <m:oMath>
        <m:r>
          <m:rPr/>
          <w:rPr>
            <w:rFonts w:ascii="Cambria Math" w:hAnsi="Cambria Math"/>
          </w:rPr>
          <m:t>i</m:t>
        </m:r>
      </m:oMath>
      <w:r>
        <w:rPr>
          <w:rFonts w:ascii="Times New Roman"/>
        </w:rPr>
        <w:t>,道路类型为</w:t>
      </w:r>
      <m:oMath>
        <m:r>
          <m:rPr/>
          <w:rPr>
            <w:rFonts w:ascii="Cambria Math" w:hAnsi="Cambria Math"/>
          </w:rPr>
          <m:t>j</m:t>
        </m:r>
      </m:oMath>
      <w:r>
        <w:rPr>
          <w:rFonts w:ascii="Times New Roman"/>
        </w:rPr>
        <w:t>的道路的长度，单位：km；</w:t>
      </w:r>
    </w:p>
    <w:p w14:paraId="7D6F8753">
      <w:pPr>
        <w:pStyle w:val="58"/>
        <w:ind w:firstLine="420"/>
        <w:rPr>
          <w:rFonts w:ascii="Times New Roman"/>
        </w:rPr>
      </w:pPr>
      <m:oMath>
        <m:r>
          <m:rPr/>
          <w:rPr>
            <w:rFonts w:ascii="Cambria Math" w:hAnsi="Cambria Math"/>
          </w:rPr>
          <m:t>i</m:t>
        </m:r>
      </m:oMath>
      <w:r>
        <w:rPr>
          <w:rFonts w:ascii="Times New Roman"/>
        </w:rPr>
        <w:t>——绿化带宽度级别，见附录C.10.1；</w:t>
      </w:r>
    </w:p>
    <w:p w14:paraId="3AA77B81">
      <w:pPr>
        <w:pStyle w:val="58"/>
        <w:ind w:firstLine="420"/>
        <w:rPr>
          <w:rFonts w:ascii="Times New Roman"/>
        </w:rPr>
      </w:pPr>
      <m:oMath>
        <m:r>
          <m:rPr/>
          <w:rPr>
            <w:rFonts w:ascii="Cambria Math" w:hAnsi="Cambria Math"/>
          </w:rPr>
          <m:t>j</m:t>
        </m:r>
      </m:oMath>
      <w:r>
        <w:rPr>
          <w:rFonts w:ascii="Times New Roman"/>
        </w:rPr>
        <w:t>——道路类型；</w:t>
      </w:r>
    </w:p>
    <w:p w14:paraId="4639E38C">
      <w:pPr>
        <w:pStyle w:val="58"/>
        <w:ind w:firstLine="420"/>
        <w:rPr>
          <w:rFonts w:ascii="Times New Roman"/>
        </w:rPr>
      </w:pPr>
      <m:oMath>
        <m:r>
          <m:rPr/>
          <w:rPr>
            <w:rFonts w:ascii="Cambria Math" w:hAnsi="Cambria Math"/>
          </w:rPr>
          <m:t>m</m:t>
        </m:r>
      </m:oMath>
      <w:r>
        <w:rPr>
          <w:rFonts w:ascii="Times New Roman"/>
        </w:rPr>
        <w:t>——道路绿化带宽度分级数量；</w:t>
      </w:r>
    </w:p>
    <w:p w14:paraId="35DB49FA">
      <w:pPr>
        <w:pStyle w:val="58"/>
        <w:ind w:firstLine="420"/>
        <w:rPr>
          <w:rFonts w:ascii="Times New Roman"/>
        </w:rPr>
      </w:pPr>
      <m:oMath>
        <m:r>
          <m:rPr/>
          <w:rPr>
            <w:rFonts w:ascii="Cambria Math" w:hAnsi="Cambria Math"/>
          </w:rPr>
          <m:t>n</m:t>
        </m:r>
      </m:oMath>
      <w:r>
        <w:rPr>
          <w:rFonts w:ascii="Times New Roman"/>
        </w:rPr>
        <w:t>——道路类型数量。</w:t>
      </w:r>
    </w:p>
    <w:p w14:paraId="38B1C6AD">
      <w:pPr>
        <w:pStyle w:val="67"/>
        <w:spacing w:before="156" w:after="156"/>
      </w:pPr>
      <w:r>
        <w:rPr>
          <w:rFonts w:hint="eastAsia"/>
        </w:rPr>
        <w:t>文化服务</w:t>
      </w:r>
    </w:p>
    <w:p w14:paraId="171F9FEF">
      <w:pPr>
        <w:pStyle w:val="96"/>
        <w:spacing w:before="156" w:after="156"/>
      </w:pPr>
      <w:r>
        <w:rPr>
          <w:rFonts w:hint="eastAsia"/>
        </w:rPr>
        <w:t>旅游康养服务实物量</w:t>
      </w:r>
    </w:p>
    <w:p w14:paraId="3347596F">
      <w:pPr>
        <w:pStyle w:val="115"/>
        <w:spacing w:before="156" w:after="156"/>
        <w:ind w:firstLine="420" w:firstLineChars="200"/>
        <w:rPr>
          <w:rFonts w:ascii="Times New Roman" w:hAnsi="Times New Roman"/>
        </w:rPr>
      </w:pPr>
      <w:r>
        <w:rPr>
          <w:rFonts w:hint="eastAsia" w:hAnsi="Times New Roman"/>
          <w:kern w:val="0"/>
          <w:szCs w:val="20"/>
        </w:rPr>
        <w:t>采用核算区域内自然景区年接待旅游总人次，作为旅游康养服务实物量的核算指</w:t>
      </w:r>
      <w:r>
        <w:rPr>
          <w:rFonts w:hint="eastAsia" w:ascii="Times New Roman" w:hAnsi="Times New Roman"/>
          <w:kern w:val="0"/>
          <w:szCs w:val="20"/>
        </w:rPr>
        <w:t>标。按照公式（31）</w:t>
      </w:r>
      <w:r>
        <w:rPr>
          <w:rFonts w:hint="eastAsia" w:hAnsi="Times New Roman"/>
          <w:kern w:val="0"/>
          <w:szCs w:val="20"/>
        </w:rPr>
        <w:t>计算。</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ti</m:t>
                </m:r>
                <m:ctrlPr>
                  <w:rPr>
                    <w:rFonts w:ascii="Cambria Math" w:hAnsi="Cambria Math"/>
                    <w:i/>
                  </w:rPr>
                </m:ctrlPr>
              </m:sub>
            </m:sSub>
            <m:ctrlPr>
              <w:rPr>
                <w:rFonts w:ascii="Cambria Math" w:hAnsi="Cambria Math"/>
                <w:i/>
              </w:rPr>
            </m:ctrlPr>
          </m:e>
        </m:nary>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33EC759">
      <w:pPr>
        <w:pStyle w:val="58"/>
        <w:ind w:firstLine="420"/>
      </w:pPr>
      <w:r>
        <w:rPr>
          <w:rFonts w:hint="eastAsia"/>
        </w:rPr>
        <w:t>式中：</w:t>
      </w:r>
    </w:p>
    <w:p w14:paraId="2A727ADF">
      <w:pPr>
        <w:pStyle w:val="58"/>
        <w:ind w:firstLine="420"/>
        <w:rPr>
          <w:rFonts w:ascii="Times New Roma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rFonts w:ascii="Times New Roman" w:eastAsiaTheme="minorEastAsia"/>
        </w:rPr>
        <w:t>——</w:t>
      </w:r>
      <w:r>
        <w:rPr>
          <w:rFonts w:ascii="Times New Roman"/>
        </w:rPr>
        <w:t>游客总人次，单位：人次</w:t>
      </w:r>
      <w:r>
        <w:rPr>
          <w:rFonts w:ascii="Times New Roman" w:eastAsia="Times New Roman"/>
        </w:rPr>
        <w:t>/a</w:t>
      </w:r>
      <w:r>
        <w:rPr>
          <w:rFonts w:ascii="Times New Roman"/>
        </w:rPr>
        <w:t>；</w:t>
      </w:r>
    </w:p>
    <w:p w14:paraId="04E0992D">
      <w:pPr>
        <w:pStyle w:val="58"/>
        <w:ind w:firstLine="420"/>
        <w:rPr>
          <w:rFonts w:ascii="Times New Roma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ti</m:t>
            </m:r>
            <m:ctrlPr>
              <w:rPr>
                <w:rFonts w:ascii="Cambria Math" w:hAnsi="Cambria Math"/>
                <w:i/>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个自然景区的游客人次，单位：人次</w:t>
      </w:r>
      <w:r>
        <w:rPr>
          <w:rFonts w:ascii="Times New Roman" w:eastAsia="Times New Roman"/>
        </w:rPr>
        <w:t>/a</w:t>
      </w:r>
      <w:r>
        <w:rPr>
          <w:rFonts w:ascii="Times New Roman"/>
        </w:rPr>
        <w:t>；</w:t>
      </w:r>
    </w:p>
    <w:p w14:paraId="376116DC">
      <w:pPr>
        <w:pStyle w:val="58"/>
        <w:ind w:firstLine="420"/>
        <w:rPr>
          <w:rFonts w:ascii="Times New Roman"/>
        </w:rPr>
      </w:pPr>
      <m:oMath>
        <m:r>
          <m:rPr/>
          <w:rPr>
            <w:rFonts w:ascii="Cambria Math" w:hAnsi="Cambria Math"/>
          </w:rPr>
          <m:t>n</m:t>
        </m:r>
      </m:oMath>
      <w:r>
        <w:rPr>
          <w:rFonts w:ascii="Times New Roman"/>
        </w:rPr>
        <w:t>——核算区域的自然景区总数；</w:t>
      </w:r>
    </w:p>
    <w:p w14:paraId="22B6C2A7">
      <w:pPr>
        <w:pStyle w:val="96"/>
        <w:spacing w:before="156" w:after="156"/>
      </w:pPr>
      <w:r>
        <w:rPr>
          <w:rFonts w:hint="eastAsia"/>
        </w:rPr>
        <w:t>休闲游憩服务实物量</w:t>
      </w:r>
    </w:p>
    <w:p w14:paraId="58563424">
      <w:pPr>
        <w:pStyle w:val="58"/>
        <w:ind w:firstLine="420"/>
        <w:rPr>
          <w:rFonts w:ascii="Times New Roman"/>
          <w:spacing w:val="-1"/>
        </w:rPr>
      </w:pPr>
      <w:r>
        <w:rPr>
          <w:rFonts w:ascii="Times New Roman"/>
        </w:rPr>
        <w:t>采用核算区域内公园、绿地、河湖周边带等休闲活动型自然空间的休闲游憩总时间，</w:t>
      </w:r>
      <w:r>
        <w:rPr>
          <w:rFonts w:ascii="Times New Roman"/>
          <w:spacing w:val="-1"/>
        </w:rPr>
        <w:t>作为休闲游憩服务实物量的核算指标。按照公式（32）计算。</w:t>
      </w:r>
    </w:p>
    <w:p w14:paraId="7E1B411C">
      <w:pPr>
        <w:pStyle w:val="115"/>
        <w:spacing w:before="156" w:after="156"/>
        <w:rPr>
          <w:rFonts w:ascii="Times New Roman" w:hAnsi="Times New Roman"/>
        </w:rPr>
      </w:pPr>
      <w:r>
        <w:rPr>
          <w:rFonts w:ascii="Times New Roman" w:hAnsi="Times New Roman"/>
        </w:rPr>
        <w:tab/>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m:t>
            </m:r>
            <m:ctrlPr>
              <w:rPr>
                <w:rFonts w:ascii="Cambria Math" w:hAnsi="Cambria Math" w:eastAsiaTheme="minorEastAsia"/>
                <w:i/>
              </w:rPr>
            </m:ctrlPr>
          </m:sub>
        </m:sSub>
        <m:r>
          <m:rPr/>
          <w:rPr>
            <w:rFonts w:ascii="Cambria Math" w:hAnsi="Cambria Math" w:eastAsiaTheme="minorEastAsia"/>
          </w:rPr>
          <m:t>=</m:t>
        </m:r>
        <m:f>
          <m:fPr>
            <m:ctrlPr>
              <w:rPr>
                <w:rFonts w:ascii="Cambria Math" w:hAnsi="Cambria Math" w:eastAsiaTheme="minorEastAsia"/>
                <w:i/>
              </w:rPr>
            </m:ctrlPr>
          </m:fPr>
          <m:num>
            <m:nary>
              <m:naryPr>
                <m:chr m:val="∑"/>
                <m:limLoc m:val="subSup"/>
                <m:ctrlPr>
                  <w:rPr>
                    <w:rFonts w:ascii="Cambria Math" w:hAnsi="Cambria Math" w:eastAsiaTheme="minorEastAsia"/>
                    <w:i/>
                  </w:rPr>
                </m:ctrlPr>
              </m:naryPr>
              <m:sub>
                <m:r>
                  <m:rPr/>
                  <w:rPr>
                    <w:rFonts w:ascii="Cambria Math" w:hAnsi="Cambria Math" w:eastAsiaTheme="minorEastAsia"/>
                  </w:rPr>
                  <m:t>i=1</m:t>
                </m:r>
                <m:ctrlPr>
                  <w:rPr>
                    <w:rFonts w:ascii="Cambria Math" w:hAnsi="Cambria Math" w:eastAsiaTheme="minorEastAsia"/>
                    <w:i/>
                  </w:rPr>
                </m:ctrlPr>
              </m:sub>
              <m:sup>
                <m:r>
                  <m:rPr/>
                  <w:rPr>
                    <w:rFonts w:ascii="Cambria Math" w:hAnsi="Cambria Math" w:eastAsiaTheme="minorEastAsia"/>
                  </w:rPr>
                  <m:t>n</m:t>
                </m:r>
                <w:bookmarkStart w:id="89" w:name="_Hlk179206572"/>
                <m:ctrlPr>
                  <w:rPr>
                    <w:rFonts w:ascii="Cambria Math" w:hAnsi="Cambria Math" w:eastAsiaTheme="minorEastAsia"/>
                    <w:i/>
                  </w:rPr>
                </m:ctrlPr>
              </m:sup>
              <m:e>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 i</m:t>
                    </m:r>
                    <w:bookmarkEnd w:id="89"/>
                    <m:ctrlPr>
                      <w:rPr>
                        <w:rFonts w:ascii="Cambria Math" w:hAnsi="Cambria Math" w:eastAsiaTheme="minorEastAsia"/>
                        <w:i/>
                      </w:rPr>
                    </m:ctrlPr>
                  </m:sub>
                </m:sSub>
                <m:ctrlPr>
                  <w:rPr>
                    <w:rFonts w:ascii="Cambria Math" w:hAnsi="Cambria Math" w:eastAsiaTheme="minorEastAsia"/>
                    <w:i/>
                  </w:rPr>
                </m:ctrlPr>
              </m:e>
            </m:nary>
            <m:ctrlPr>
              <w:rPr>
                <w:rFonts w:ascii="Cambria Math" w:hAnsi="Cambria Math" w:eastAsiaTheme="minorEastAsia"/>
                <w:i/>
              </w:rPr>
            </m:ctrlPr>
          </m:num>
          <m:den>
            <m:r>
              <m:rPr/>
              <w:rPr>
                <w:rFonts w:ascii="Cambria Math" w:hAnsi="Cambria Math" w:eastAsiaTheme="minorEastAsia"/>
              </w:rPr>
              <m:t>n</m:t>
            </m:r>
            <m:ctrlPr>
              <w:rPr>
                <w:rFonts w:ascii="Cambria Math" w:hAnsi="Cambria Math" w:eastAsiaTheme="minorEastAsia"/>
                <w:i/>
              </w:rPr>
            </m:ctrlPr>
          </m:den>
        </m:f>
        <m:r>
          <m:rPr/>
          <w:rPr>
            <w:rFonts w:ascii="Cambria Math" w:hAnsi="Cambria Math"/>
          </w:rPr>
          <m:t>×Po×Pc</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69DCEEC">
      <w:pPr>
        <w:pStyle w:val="57"/>
        <w:ind w:firstLine="420"/>
        <w:rPr>
          <w:rFonts w:ascii="Times New Roman" w:hAnsi="Times New Roman"/>
        </w:rPr>
      </w:pPr>
      <w:r>
        <w:rPr>
          <w:rFonts w:ascii="Times New Roman" w:hAnsi="Times New Roman"/>
        </w:rPr>
        <w:t>式中：</w:t>
      </w:r>
    </w:p>
    <w:p w14:paraId="1F182866">
      <w:pPr>
        <w:pStyle w:val="58"/>
        <w:ind w:firstLine="420"/>
        <w:rPr>
          <w:rFonts w:ascii="Times New Roman"/>
        </w:rPr>
      </w:pP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m:t>
            </m:r>
            <m:ctrlPr>
              <w:rPr>
                <w:rFonts w:ascii="Cambria Math" w:hAnsi="Cambria Math" w:eastAsiaTheme="minorEastAsia"/>
                <w:i/>
              </w:rPr>
            </m:ctrlPr>
          </m:sub>
        </m:sSub>
      </m:oMath>
      <w:r>
        <w:rPr>
          <w:rFonts w:ascii="Times New Roman" w:eastAsiaTheme="minorEastAsia"/>
        </w:rPr>
        <w:t>——</w:t>
      </w:r>
      <w:r>
        <w:rPr>
          <w:rFonts w:ascii="Times New Roman"/>
        </w:rPr>
        <w:t>核算区域居民在自然空间休闲游憩总时间，单位：h</w:t>
      </w:r>
      <w:r>
        <w:rPr>
          <w:rFonts w:ascii="Times New Roman" w:eastAsia="Times New Roman"/>
        </w:rPr>
        <w:t>/a</w:t>
      </w:r>
      <w:r>
        <w:rPr>
          <w:rFonts w:ascii="Times New Roman"/>
        </w:rPr>
        <w:t>；</w:t>
      </w:r>
    </w:p>
    <w:p w14:paraId="7CD2A3D9">
      <w:pPr>
        <w:pStyle w:val="58"/>
        <w:ind w:firstLine="420"/>
        <w:rPr>
          <w:rFonts w:ascii="Times New Roman"/>
        </w:rPr>
      </w:pP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 i</m:t>
            </m:r>
            <m:ctrlPr>
              <w:rPr>
                <w:rFonts w:ascii="Cambria Math" w:hAnsi="Cambria Math" w:eastAsiaTheme="minorEastAsia"/>
                <w:i/>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个问卷受访者的年游憩时间，单位：h</w:t>
      </w:r>
      <w:r>
        <w:rPr>
          <w:rFonts w:ascii="Times New Roman" w:eastAsia="Cambria Math"/>
        </w:rPr>
        <w:t>/a</w:t>
      </w:r>
      <w:r>
        <w:rPr>
          <w:rFonts w:ascii="Times New Roman"/>
        </w:rPr>
        <w:t>；</w:t>
      </w:r>
    </w:p>
    <w:p w14:paraId="37E4B105">
      <w:pPr>
        <w:pStyle w:val="58"/>
        <w:ind w:firstLine="420"/>
        <w:rPr>
          <w:rFonts w:ascii="Times New Roman"/>
        </w:rPr>
      </w:pPr>
      <m:oMath>
        <m:r>
          <m:rPr/>
          <w:rPr>
            <w:rFonts w:ascii="Cambria Math" w:hAnsi="Cambria Math"/>
          </w:rPr>
          <m:t>n</m:t>
        </m:r>
      </m:oMath>
      <w:r>
        <w:rPr>
          <w:rFonts w:ascii="Times New Roman"/>
        </w:rPr>
        <w:t>——问卷调查样本数；</w:t>
      </w:r>
    </w:p>
    <w:p w14:paraId="5B67E9F3">
      <w:pPr>
        <w:pStyle w:val="58"/>
        <w:ind w:firstLine="420"/>
        <w:rPr>
          <w:rFonts w:ascii="Times New Roman"/>
        </w:rPr>
      </w:pPr>
      <m:oMath>
        <m:r>
          <m:rPr/>
          <w:rPr>
            <w:rFonts w:ascii="Cambria Math" w:hAnsi="Cambria Math"/>
          </w:rPr>
          <m:t>Po</m:t>
        </m:r>
      </m:oMath>
      <w:r>
        <w:rPr>
          <w:rFonts w:ascii="Times New Roman"/>
        </w:rPr>
        <w:t>——核算区域建成区常住人口，单位：人；</w:t>
      </w:r>
    </w:p>
    <w:p w14:paraId="3C870703">
      <w:pPr>
        <w:pStyle w:val="58"/>
        <w:ind w:firstLine="420"/>
        <w:rPr>
          <w:rFonts w:ascii="Times New Roman"/>
        </w:rPr>
      </w:pPr>
      <m:oMath>
        <m:r>
          <m:rPr/>
          <w:rPr>
            <w:rFonts w:ascii="Cambria Math" w:hAnsi="Cambria Math"/>
          </w:rPr>
          <m:t>Pc</m:t>
        </m:r>
      </m:oMath>
      <w:r>
        <w:rPr>
          <w:rFonts w:ascii="Times New Roman"/>
        </w:rPr>
        <w:t>——核算区域公园绿化活动场地服务半径覆盖率，单位：%，见附录C.12.1</w:t>
      </w:r>
      <w:r>
        <w:rPr>
          <w:rFonts w:hint="eastAsia" w:ascii="Times New Roman"/>
        </w:rPr>
        <w:t>。</w:t>
      </w:r>
    </w:p>
    <w:p w14:paraId="2324E1F9">
      <w:pPr>
        <w:pStyle w:val="181"/>
        <w:rPr>
          <w:rFonts w:ascii="Times New Roman"/>
        </w:rPr>
      </w:pPr>
      <w:r>
        <w:rPr>
          <w:rFonts w:ascii="Times New Roman"/>
        </w:rPr>
        <w:t>应采用问卷调查方式，开展休闲游憩服务实物量测算。问卷设计、调查方法、质量控制、结果使用等可参考DB11/T 2059-2022。</w:t>
      </w:r>
    </w:p>
    <w:p w14:paraId="58FDC5CD">
      <w:pPr>
        <w:pStyle w:val="96"/>
        <w:spacing w:before="156" w:after="156"/>
      </w:pPr>
      <w:r>
        <w:rPr>
          <w:rFonts w:hint="eastAsia"/>
        </w:rPr>
        <w:t>景观增值服务实物量</w:t>
      </w:r>
    </w:p>
    <w:p w14:paraId="1A9A3A18">
      <w:pPr>
        <w:pStyle w:val="58"/>
        <w:ind w:firstLine="420"/>
        <w:rPr>
          <w:rFonts w:ascii="Times New Roman"/>
        </w:rPr>
      </w:pPr>
      <w:r>
        <w:rPr>
          <w:rFonts w:ascii="Times New Roman"/>
        </w:rPr>
        <w:t>采用核算区域内直接从生态系统获得景观增值的酒店客房销售量与房产使用面积，作为景观增值服务实物量的评价指标。按照公式（</w:t>
      </w:r>
      <w:r>
        <w:rPr>
          <w:rFonts w:hint="eastAsia" w:ascii="Times New Roman"/>
        </w:rPr>
        <w:t>33</w:t>
      </w:r>
      <w:r>
        <w:rPr>
          <w:rFonts w:ascii="Times New Roman"/>
        </w:rPr>
        <w:t>）（3</w:t>
      </w:r>
      <w:r>
        <w:rPr>
          <w:rFonts w:hint="eastAsia" w:ascii="Times New Roman"/>
        </w:rPr>
        <w:t>4</w:t>
      </w:r>
      <w:r>
        <w:rPr>
          <w:rFonts w:ascii="Times New Roman"/>
        </w:rPr>
        <w:t>）计算。</w:t>
      </w:r>
    </w:p>
    <w:p w14:paraId="29B35E6C">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f>
          <m:fPr>
            <m:ctrlPr>
              <w:rPr>
                <w:rFonts w:ascii="Cambria Math" w:hAnsi="Cambria Math"/>
                <w:i/>
              </w:rPr>
            </m:ctrlPr>
          </m:fPr>
          <m:num>
            <m:nary>
              <m:naryPr>
                <m:chr m:val="∑"/>
                <m:limLoc m:val="undOvr"/>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n</m:t>
                </m:r>
                <m:ctrlPr>
                  <w:rPr>
                    <w:rFonts w:ascii="Cambria Math" w:hAnsi="Cambria Math"/>
                    <w:i/>
                    <w:iCs/>
                  </w:rPr>
                </m:ctrlPr>
              </m:sup>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eastAsia="MS Gothic"/>
                      </w:rPr>
                      <m:t xml:space="preserve">ℎ </m:t>
                    </m:r>
                    <m:r>
                      <m:rPr/>
                      <w:rPr>
                        <w:rFonts w:ascii="Cambria Math" w:hAnsi="Cambria Math" w:eastAsiaTheme="minorEastAsia"/>
                      </w:rPr>
                      <m:t>i</m:t>
                    </m:r>
                    <m:ctrlPr>
                      <w:rPr>
                        <w:rFonts w:ascii="Cambria Math" w:hAnsi="Cambria Math"/>
                        <w:i/>
                        <w:iCs/>
                      </w:rPr>
                    </m:ctrlPr>
                  </m:sub>
                </m:sSub>
                <m:ctrlPr>
                  <w:rPr>
                    <w:rFonts w:ascii="Cambria Math" w:hAnsi="Cambria Math"/>
                    <w:i/>
                    <w:iCs/>
                  </w:rPr>
                </m:ctrlPr>
              </m:e>
            </m:nary>
            <m:ctrlPr>
              <w:rPr>
                <w:rFonts w:ascii="Cambria Math" w:hAnsi="Cambria Math"/>
                <w:i/>
              </w:rPr>
            </m:ctrlPr>
          </m:num>
          <m:den>
            <m:sSub>
              <m:sSubPr>
                <m:ctrlPr>
                  <w:rPr>
                    <w:rFonts w:ascii="Cambria Math" w:hAnsi="Cambria Math"/>
                    <w:i/>
                  </w:rPr>
                </m:ctrlPr>
              </m:sSubPr>
              <m:e>
                <m:r>
                  <m:rPr/>
                  <w:rPr>
                    <w:rFonts w:ascii="Cambria Math" w:hAnsi="Cambria Math"/>
                  </w:rPr>
                  <m:t>SS</m:t>
                </m:r>
                <m:ctrlPr>
                  <w:rPr>
                    <w:rFonts w:ascii="Cambria Math" w:hAnsi="Cambria Math"/>
                    <w:i/>
                  </w:rPr>
                </m:ctrlPr>
              </m:e>
              <m:sub>
                <m:r>
                  <m:rPr/>
                  <w:rPr>
                    <w:rFonts w:ascii="Cambria Math" w:hAnsi="Cambria Math" w:eastAsia="MS Gothic"/>
                  </w:rPr>
                  <m:t>ℎ</m:t>
                </m:r>
                <m:ctrlPr>
                  <w:rPr>
                    <w:rFonts w:ascii="Cambria Math" w:hAnsi="Cambria Math"/>
                    <w:i/>
                  </w:rPr>
                </m:ctrlPr>
              </m:sub>
            </m:sSub>
            <m:ctrlPr>
              <w:rPr>
                <w:rFonts w:ascii="Cambria Math" w:hAnsi="Cambria Math"/>
                <w:i/>
              </w:rPr>
            </m:ctrlPr>
          </m:den>
        </m:f>
        <m:r>
          <m:rPr/>
          <w:rPr>
            <w:rFonts w:ascii="Cambria Math" w:hAnsi="Cambria Math"/>
          </w:rPr>
          <m:t>× HS</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13A1572">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m</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 j</m:t>
                    </m:r>
                    <m:ctrlPr>
                      <w:rPr>
                        <w:rFonts w:ascii="Cambria Math" w:hAnsi="Cambria Math"/>
                        <w:i/>
                      </w:rPr>
                    </m:ctrlPr>
                  </m:sub>
                </m:sSub>
                <m:ctrlPr>
                  <w:rPr>
                    <w:rFonts w:ascii="Cambria Math" w:hAnsi="Cambria Math"/>
                    <w:i/>
                  </w:rPr>
                </m:ctrlPr>
              </m:e>
            </m:nary>
            <m:ctrlPr>
              <w:rPr>
                <w:rFonts w:ascii="Cambria Math" w:hAnsi="Cambria Math"/>
                <w:i/>
              </w:rPr>
            </m:ctrlPr>
          </m:num>
          <m:den>
            <m:sSub>
              <m:sSubPr>
                <m:ctrlPr>
                  <w:rPr>
                    <w:rFonts w:ascii="Cambria Math" w:hAnsi="Cambria Math"/>
                    <w:i/>
                  </w:rPr>
                </m:ctrlPr>
              </m:sSubPr>
              <m:e>
                <m:r>
                  <m:rPr/>
                  <w:rPr>
                    <w:rFonts w:ascii="Cambria Math" w:hAnsi="Cambria Math"/>
                  </w:rPr>
                  <m:t>SS</m:t>
                </m:r>
                <m:ctrlPr>
                  <w:rPr>
                    <w:rFonts w:ascii="Cambria Math" w:hAnsi="Cambria Math"/>
                    <w:i/>
                  </w:rPr>
                </m:ctrlPr>
              </m:e>
              <m:sub>
                <m:r>
                  <m:rPr/>
                  <w:rPr>
                    <w:rFonts w:ascii="Cambria Math" w:hAnsi="Cambria Math" w:eastAsia="MS Gothic"/>
                  </w:rPr>
                  <m:t>ℎ</m:t>
                </m:r>
                <m:ctrlPr>
                  <w:rPr>
                    <w:rFonts w:ascii="Cambria Math" w:hAnsi="Cambria Math"/>
                    <w:i/>
                  </w:rPr>
                </m:ctrlPr>
              </m:sub>
            </m:sSub>
            <m:ctrlPr>
              <w:rPr>
                <w:rFonts w:ascii="Cambria Math" w:hAnsi="Cambria Math"/>
                <w:i/>
              </w:rPr>
            </m:ctrlPr>
          </m:den>
        </m:f>
        <m:r>
          <m:rPr/>
          <w:rPr>
            <w:rFonts w:ascii="Cambria Math" w:hAnsi="Cambria Math"/>
          </w:rPr>
          <m:t>×RS</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C55A9CF">
      <w:pPr>
        <w:pStyle w:val="57"/>
        <w:ind w:firstLine="420"/>
        <w:rPr>
          <w:rFonts w:ascii="Times New Roman" w:hAnsi="Times New Roman"/>
        </w:rPr>
      </w:pPr>
      <w:r>
        <w:rPr>
          <w:rFonts w:ascii="Times New Roman" w:hAnsi="Times New Roman"/>
        </w:rPr>
        <w:t>式中：</w:t>
      </w:r>
    </w:p>
    <w:p w14:paraId="4D60132F">
      <w:pPr>
        <w:pStyle w:val="58"/>
        <w:ind w:firstLine="420"/>
        <w:rPr>
          <w:rFonts w:ascii="Times New Roman"/>
          <w:iCs/>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MS Gothic"/>
              </w:rPr>
              <m:t>ℎ</m:t>
            </m:r>
            <m:ctrlPr>
              <w:rPr>
                <w:rFonts w:ascii="Cambria Math" w:hAnsi="Cambria Math"/>
                <w:i/>
              </w:rPr>
            </m:ctrlPr>
          </m:sub>
        </m:sSub>
      </m:oMath>
      <w:r>
        <w:rPr>
          <w:rFonts w:ascii="Times New Roman"/>
          <w:iCs/>
        </w:rPr>
        <w:t>——从城市生态景观获得升值的酒店景观房销售数，单位：间夜/a；</w:t>
      </w:r>
    </w:p>
    <w:p w14:paraId="79CCD99F">
      <w:pPr>
        <w:pStyle w:val="58"/>
        <w:ind w:firstLine="420"/>
        <w:rPr>
          <w:rFonts w:ascii="Times New Roman"/>
          <w:iCs/>
        </w:rPr>
      </w:pP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eastAsia="MS Gothic"/>
              </w:rPr>
              <m:t xml:space="preserve">ℎ </m:t>
            </m:r>
            <m:r>
              <m:rPr/>
              <w:rPr>
                <w:rFonts w:ascii="Cambria Math" w:hAnsi="Cambria Math" w:eastAsiaTheme="minorEastAsia"/>
              </w:rPr>
              <m:t>i</m:t>
            </m:r>
            <m:ctrlPr>
              <w:rPr>
                <w:rFonts w:ascii="Cambria Math" w:hAnsi="Cambria Math"/>
                <w:i/>
                <w:iCs/>
              </w:rPr>
            </m:ctrlPr>
          </m:sub>
        </m:sSub>
      </m:oMath>
      <w:r>
        <w:rPr>
          <w:rFonts w:ascii="Times New Roman"/>
          <w:iCs/>
        </w:rPr>
        <w:t>——调查抽样中，</w:t>
      </w:r>
      <w:r>
        <w:rPr>
          <w:rFonts w:ascii="Times New Roman"/>
        </w:rPr>
        <w:t>第</w:t>
      </w:r>
      <m:oMath>
        <m:r>
          <m:rPr/>
          <w:rPr>
            <w:rFonts w:ascii="Cambria Math" w:hAnsi="Cambria Math"/>
          </w:rPr>
          <m:t>i</m:t>
        </m:r>
      </m:oMath>
      <w:r>
        <w:rPr>
          <w:rFonts w:ascii="Times New Roman"/>
        </w:rPr>
        <w:t>家酒店从生态景观中获得升值的景观房销售数，单位</w:t>
      </w:r>
      <w:r>
        <w:rPr>
          <w:rFonts w:ascii="Times New Roman"/>
          <w:iCs/>
        </w:rPr>
        <w:t>：间夜/a；</w:t>
      </w:r>
    </w:p>
    <w:p w14:paraId="42C5AA03">
      <w:pPr>
        <w:pStyle w:val="58"/>
        <w:ind w:firstLine="420"/>
        <w:rPr>
          <w:rFonts w:ascii="Times New Roman"/>
          <w:iCs/>
        </w:rPr>
      </w:pPr>
      <m:oMath>
        <m:sSub>
          <m:sSubPr>
            <m:ctrlPr>
              <w:rPr>
                <w:rFonts w:ascii="Cambria Math" w:hAnsi="Cambria Math"/>
                <w:i/>
                <w:kern w:val="2"/>
                <w:szCs w:val="21"/>
              </w:rPr>
            </m:ctrlPr>
          </m:sSubPr>
          <m:e>
            <m:r>
              <m:rPr/>
              <w:rPr>
                <w:rFonts w:ascii="Cambria Math" w:hAnsi="Cambria Math"/>
              </w:rPr>
              <m:t>SS</m:t>
            </m:r>
            <m:ctrlPr>
              <w:rPr>
                <w:rFonts w:ascii="Cambria Math" w:hAnsi="Cambria Math"/>
                <w:i/>
                <w:kern w:val="2"/>
                <w:szCs w:val="21"/>
              </w:rPr>
            </m:ctrlPr>
          </m:e>
          <m:sub>
            <m:r>
              <m:rPr/>
              <w:rPr>
                <w:rFonts w:ascii="Cambria Math" w:hAnsi="Cambria Math" w:eastAsia="MS Gothic"/>
              </w:rPr>
              <m:t>ℎ</m:t>
            </m:r>
            <m:ctrlPr>
              <w:rPr>
                <w:rFonts w:ascii="Cambria Math" w:hAnsi="Cambria Math"/>
                <w:i/>
                <w:kern w:val="2"/>
                <w:szCs w:val="21"/>
              </w:rPr>
            </m:ctrlPr>
          </m:sub>
        </m:sSub>
      </m:oMath>
      <w:r>
        <w:rPr>
          <w:rFonts w:ascii="Times New Roman"/>
          <w:iCs/>
        </w:rPr>
        <w:t>——抽样调查中，总客房销售数，</w:t>
      </w:r>
      <w:r>
        <w:rPr>
          <w:rFonts w:ascii="Times New Roman"/>
        </w:rPr>
        <w:t>单位</w:t>
      </w:r>
      <w:r>
        <w:rPr>
          <w:rFonts w:ascii="Times New Roman"/>
          <w:iCs/>
        </w:rPr>
        <w:t>：间夜/a；</w:t>
      </w:r>
    </w:p>
    <w:p w14:paraId="34181BAB">
      <w:pPr>
        <w:pStyle w:val="58"/>
        <w:ind w:firstLine="420"/>
        <w:rPr>
          <w:rFonts w:ascii="Times New Roman"/>
          <w:iCs/>
        </w:rPr>
      </w:pPr>
      <m:oMath>
        <m:r>
          <m:rPr/>
          <w:rPr>
            <w:rFonts w:ascii="Cambria Math" w:hAnsi="Cambria Math"/>
          </w:rPr>
          <m:t>HS</m:t>
        </m:r>
      </m:oMath>
      <w:r>
        <w:rPr>
          <w:rFonts w:ascii="Times New Roman"/>
          <w:iCs/>
        </w:rPr>
        <w:t>——核算区域政府部门公布的酒店客房销售总数，单位：间夜/a；</w:t>
      </w:r>
    </w:p>
    <w:p w14:paraId="1BEA3C26">
      <w:pPr>
        <w:pStyle w:val="58"/>
        <w:ind w:firstLine="420"/>
        <w:rPr>
          <w:rFonts w:ascii="Times New Roman"/>
          <w:iCs/>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Theme="minorEastAsia"/>
              </w:rPr>
              <m:t>r</m:t>
            </m:r>
            <m:ctrlPr>
              <w:rPr>
                <w:rFonts w:ascii="Cambria Math" w:hAnsi="Cambria Math"/>
                <w:i/>
              </w:rPr>
            </m:ctrlPr>
          </m:sub>
        </m:sSub>
      </m:oMath>
      <w:r>
        <w:rPr>
          <w:rFonts w:ascii="Times New Roman"/>
          <w:iCs/>
        </w:rPr>
        <w:t>——从城市生态景观获得升值的自有住房景观房面积，单位：m</w:t>
      </w:r>
      <w:r>
        <w:rPr>
          <w:rFonts w:ascii="Times New Roman"/>
          <w:iCs/>
          <w:vertAlign w:val="superscript"/>
        </w:rPr>
        <w:t>2</w:t>
      </w:r>
      <w:r>
        <w:rPr>
          <w:rFonts w:ascii="Times New Roman"/>
          <w:iCs/>
        </w:rPr>
        <w:t>/a；</w:t>
      </w:r>
    </w:p>
    <w:p w14:paraId="04124D28">
      <w:pPr>
        <w:pStyle w:val="58"/>
        <w:ind w:firstLine="420"/>
        <w:rPr>
          <w:rFonts w:ascii="Times New Roman"/>
        </w:rPr>
      </w:pP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eastAsiaTheme="minorEastAsia"/>
              </w:rPr>
              <m:t>r</m:t>
            </m:r>
            <m:r>
              <m:rPr/>
              <w:rPr>
                <w:rFonts w:ascii="Cambria Math" w:hAnsi="Cambria Math" w:eastAsia="MS Gothic"/>
              </w:rPr>
              <m:t xml:space="preserve"> </m:t>
            </m:r>
            <m:r>
              <m:rPr/>
              <w:rPr>
                <w:rFonts w:ascii="Cambria Math" w:hAnsi="Cambria Math" w:eastAsiaTheme="minorEastAsia"/>
              </w:rPr>
              <m:t>i</m:t>
            </m:r>
            <m:ctrlPr>
              <w:rPr>
                <w:rFonts w:ascii="Cambria Math" w:hAnsi="Cambria Math"/>
                <w:i/>
                <w:iCs/>
              </w:rPr>
            </m:ctrlPr>
          </m:sub>
        </m:sSub>
      </m:oMath>
      <w:r>
        <w:rPr>
          <w:rFonts w:ascii="Times New Roman"/>
          <w:iCs/>
        </w:rPr>
        <w:t>——调查抽样中，</w:t>
      </w:r>
      <w:r>
        <w:rPr>
          <w:rFonts w:ascii="Times New Roman"/>
        </w:rPr>
        <w:t>第</w:t>
      </w:r>
      <m:oMath>
        <m:r>
          <m:rPr/>
          <w:rPr>
            <w:rFonts w:ascii="Cambria Math" w:hAnsi="Cambria Math"/>
          </w:rPr>
          <m:t>j</m:t>
        </m:r>
      </m:oMath>
      <w:r>
        <w:rPr>
          <w:rFonts w:ascii="Times New Roman"/>
        </w:rPr>
        <w:t>个小区中从生态景观获得升值的自有住房景观房面积，单位：m</w:t>
      </w:r>
      <w:r>
        <w:rPr>
          <w:rFonts w:ascii="Times New Roman"/>
          <w:vertAlign w:val="superscript"/>
        </w:rPr>
        <w:t>2</w:t>
      </w:r>
      <w:r>
        <w:rPr>
          <w:rFonts w:ascii="Times New Roman"/>
        </w:rPr>
        <w:t>。</w:t>
      </w:r>
    </w:p>
    <w:p w14:paraId="4D26B8B8">
      <w:pPr>
        <w:pStyle w:val="58"/>
        <w:ind w:firstLine="420"/>
        <w:rPr>
          <w:rFonts w:ascii="Times New Roman"/>
          <w:iCs/>
        </w:rPr>
      </w:pPr>
      <m:oMath>
        <m:sSub>
          <m:sSubPr>
            <m:ctrlPr>
              <w:rPr>
                <w:rFonts w:ascii="Cambria Math" w:hAnsi="Cambria Math"/>
                <w:i/>
                <w:kern w:val="2"/>
                <w:szCs w:val="21"/>
              </w:rPr>
            </m:ctrlPr>
          </m:sSubPr>
          <m:e>
            <m:r>
              <m:rPr/>
              <w:rPr>
                <w:rFonts w:ascii="Cambria Math" w:hAnsi="Cambria Math"/>
              </w:rPr>
              <m:t>SS</m:t>
            </m:r>
            <m:ctrlPr>
              <w:rPr>
                <w:rFonts w:ascii="Cambria Math" w:hAnsi="Cambria Math"/>
                <w:i/>
                <w:kern w:val="2"/>
                <w:szCs w:val="21"/>
              </w:rPr>
            </m:ctrlPr>
          </m:e>
          <m:sub>
            <m:r>
              <m:rPr/>
              <w:rPr>
                <w:rFonts w:ascii="Cambria Math" w:hAnsi="Cambria Math" w:eastAsiaTheme="minorEastAsia"/>
              </w:rPr>
              <m:t>r</m:t>
            </m:r>
            <m:ctrlPr>
              <w:rPr>
                <w:rFonts w:ascii="Cambria Math" w:hAnsi="Cambria Math"/>
                <w:i/>
                <w:kern w:val="2"/>
                <w:szCs w:val="21"/>
              </w:rPr>
            </m:ctrlPr>
          </m:sub>
        </m:sSub>
      </m:oMath>
      <w:r>
        <w:rPr>
          <w:rFonts w:ascii="Times New Roman"/>
          <w:iCs/>
        </w:rPr>
        <w:t>——抽样调查中，受访的总住房面积，</w:t>
      </w:r>
      <w:r>
        <w:rPr>
          <w:rFonts w:ascii="Times New Roman"/>
        </w:rPr>
        <w:t>单位</w:t>
      </w:r>
      <w:r>
        <w:rPr>
          <w:rFonts w:ascii="Times New Roman"/>
          <w:iCs/>
        </w:rPr>
        <w:t>：m</w:t>
      </w:r>
      <w:r>
        <w:rPr>
          <w:rFonts w:ascii="Times New Roman"/>
          <w:iCs/>
          <w:vertAlign w:val="superscript"/>
        </w:rPr>
        <w:t>2</w:t>
      </w:r>
      <w:r>
        <w:rPr>
          <w:rFonts w:ascii="Times New Roman"/>
          <w:iCs/>
        </w:rPr>
        <w:t>；</w:t>
      </w:r>
    </w:p>
    <w:p w14:paraId="618945BB">
      <w:pPr>
        <w:pStyle w:val="58"/>
        <w:ind w:firstLine="420"/>
        <w:rPr>
          <w:rFonts w:ascii="Times New Roman"/>
          <w:iCs/>
        </w:rPr>
      </w:pPr>
      <m:oMath>
        <m:r>
          <m:rPr/>
          <w:rPr>
            <w:rFonts w:ascii="Cambria Math" w:hAnsi="Cambria Math"/>
          </w:rPr>
          <m:t>RS</m:t>
        </m:r>
      </m:oMath>
      <w:r>
        <w:rPr>
          <w:rFonts w:ascii="Times New Roman"/>
          <w:iCs/>
        </w:rPr>
        <w:t>——政府部门公布的总住房面积，单位：m</w:t>
      </w:r>
      <w:r>
        <w:rPr>
          <w:rFonts w:ascii="Times New Roman"/>
          <w:iCs/>
          <w:vertAlign w:val="superscript"/>
        </w:rPr>
        <w:t>2</w:t>
      </w:r>
      <w:r>
        <w:rPr>
          <w:rFonts w:ascii="Times New Roman"/>
          <w:iCs/>
        </w:rPr>
        <w:t>；</w:t>
      </w:r>
    </w:p>
    <w:p w14:paraId="6A44FD6F">
      <w:pPr>
        <w:pStyle w:val="58"/>
        <w:ind w:firstLine="420"/>
        <w:rPr>
          <w:rFonts w:ascii="Times New Roman"/>
        </w:rPr>
      </w:pPr>
      <m:oMath>
        <m:r>
          <m:rPr/>
          <w:rPr>
            <w:rFonts w:ascii="Cambria Math" w:hAnsi="Cambria Math"/>
          </w:rPr>
          <m:t>n</m:t>
        </m:r>
      </m:oMath>
      <w:r>
        <w:rPr>
          <w:rFonts w:ascii="Times New Roman"/>
        </w:rPr>
        <w:t>——调查的酒店数量；</w:t>
      </w:r>
    </w:p>
    <w:p w14:paraId="73BB77BE">
      <w:pPr>
        <w:pStyle w:val="58"/>
        <w:ind w:firstLine="420"/>
        <w:rPr>
          <w:rFonts w:ascii="Times New Roman"/>
        </w:rPr>
      </w:pPr>
      <w:r>
        <w:rPr>
          <w:rFonts w:ascii="Times New Roman"/>
        </w:rPr>
        <w:t>m——调查的小区数量。</w:t>
      </w:r>
    </w:p>
    <w:p w14:paraId="79EDADDB">
      <w:pPr>
        <w:pStyle w:val="181"/>
        <w:rPr>
          <w:rFonts w:ascii="Times New Roman"/>
        </w:rPr>
      </w:pPr>
      <w:r>
        <w:rPr>
          <w:rFonts w:ascii="Times New Roman"/>
        </w:rPr>
        <w:t>应采用问卷调查方式，开展景观增值实物量测算。问卷设计、调查方法、质量控制、结果使用等可参考DB11/T 2059-2022。</w:t>
      </w:r>
    </w:p>
    <w:p w14:paraId="2E3391E3">
      <w:pPr>
        <w:pStyle w:val="107"/>
        <w:spacing w:before="156" w:after="156"/>
      </w:pPr>
      <w:bookmarkStart w:id="90" w:name="_Toc203399458"/>
      <w:bookmarkStart w:id="91" w:name="_Toc203399062"/>
      <w:r>
        <w:rPr>
          <w:rFonts w:hint="eastAsia"/>
        </w:rPr>
        <w:t>生态产品价值量核算方法</w:t>
      </w:r>
      <w:bookmarkEnd w:id="90"/>
      <w:bookmarkEnd w:id="91"/>
    </w:p>
    <w:p w14:paraId="0B707787">
      <w:pPr>
        <w:pStyle w:val="67"/>
        <w:spacing w:before="156" w:after="156"/>
      </w:pPr>
      <w:r>
        <w:rPr>
          <w:rFonts w:hint="eastAsia"/>
        </w:rPr>
        <w:t>物质供给</w:t>
      </w:r>
    </w:p>
    <w:p w14:paraId="74A62326">
      <w:pPr>
        <w:pStyle w:val="96"/>
        <w:spacing w:before="156" w:after="156"/>
      </w:pPr>
      <w:r>
        <w:rPr>
          <w:rFonts w:hint="eastAsia"/>
        </w:rPr>
        <w:t>生物质供给价值量</w:t>
      </w:r>
    </w:p>
    <w:p w14:paraId="249F4FFC">
      <w:pPr>
        <w:pStyle w:val="169"/>
        <w:ind w:firstLine="420" w:firstLineChars="200"/>
        <w:rPr>
          <w:rFonts w:ascii="Times New Roman" w:hAnsi="Times New Roman"/>
        </w:rPr>
      </w:pPr>
      <w:r>
        <w:rPr>
          <w:rFonts w:hint="eastAsia"/>
        </w:rPr>
        <w:t>采用农林牧渔产品价值，作为生物质供给价值量指标。</w:t>
      </w:r>
      <w:r>
        <w:rPr>
          <w:rFonts w:ascii="Times New Roman" w:hAnsi="Times New Roman"/>
        </w:rPr>
        <w:t>市场价格法，按照公式（3</w:t>
      </w:r>
      <w:r>
        <w:rPr>
          <w:rFonts w:hint="eastAsia" w:ascii="Times New Roman" w:hAnsi="Times New Roman"/>
        </w:rPr>
        <w:t>5</w:t>
      </w:r>
      <w:r>
        <w:rPr>
          <w:rFonts w:ascii="Times New Roman" w:hAnsi="Times New Roman"/>
        </w:rPr>
        <w:t>）计算。</w:t>
      </w:r>
    </w:p>
    <w:p w14:paraId="0ECC2EAC">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EMS</m:t>
            </m:r>
            <m:ctrlPr>
              <w:rPr>
                <w:rFonts w:ascii="Cambria Math" w:hAnsi="Cambria Math"/>
                <w:i/>
              </w:rPr>
            </m:ctrlPr>
          </m:sub>
        </m:sSub>
        <m:r>
          <m:rPr/>
          <w:rPr>
            <w:rFonts w:ascii="Cambria Math" w:hAnsi="Cambria Math"/>
          </w:rPr>
          <m:t>=</m:t>
        </m:r>
        <m:nary>
          <m:naryPr>
            <m:chr m:val="∑"/>
            <m:ctrlPr>
              <w:rPr>
                <w:rFonts w:ascii="Cambria Math" w:hAnsi="Cambria Math"/>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ms i</m:t>
                </m:r>
                <m:ctrlPr>
                  <w:rPr>
                    <w:rFonts w:ascii="Cambria Math" w:hAnsi="Cambria Math"/>
                    <w:i/>
                  </w:rPr>
                </m:ctrlPr>
              </m:sub>
            </m:sSub>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i/>
                      </w:rPr>
                    </m:ctrlPr>
                  </m:sub>
                </m:sSub>
                <m:ctrlPr>
                  <w:rPr>
                    <w:rFonts w:ascii="Cambria Math" w:hAnsi="Cambria Math"/>
                    <w:i/>
                  </w:rPr>
                </m:ctrlPr>
              </m:e>
            </m:d>
            <m:r>
              <m:rPr>
                <m:sty m:val="p"/>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rPr>
                </m:ctrlPr>
              </m:e>
              <m:sup>
                <m:r>
                  <m:rPr/>
                  <w:rPr>
                    <w:rFonts w:ascii="Cambria Math" w:hAnsi="Cambria Math"/>
                  </w:rPr>
                  <m:t>−1</m:t>
                </m:r>
                <m:ctrlPr>
                  <w:rPr>
                    <w:rFonts w:ascii="Cambria Math" w:hAnsi="Cambria Math"/>
                    <w:i/>
                  </w:rPr>
                </m:ctrlPr>
              </m:sup>
            </m:sSup>
            <m:ctrlPr>
              <w:rPr>
                <w:rFonts w:ascii="Cambria Math" w:hAnsi="Cambria Math"/>
                <w:i/>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A2731D5">
      <w:pPr>
        <w:snapToGrid w:val="0"/>
        <w:ind w:firstLine="420" w:firstLineChars="200"/>
        <w:rPr>
          <w:rFonts w:ascii="Times New Roman" w:hAnsi="Times New Roman"/>
          <w:kern w:val="0"/>
        </w:rPr>
      </w:pPr>
      <w:r>
        <w:rPr>
          <w:rFonts w:ascii="Times New Roman" w:hAnsi="Times New Roman"/>
          <w:kern w:val="0"/>
        </w:rPr>
        <w:t>式中：</w:t>
      </w:r>
    </w:p>
    <w:p w14:paraId="5CAF9ECE">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V</m:t>
            </m:r>
            <m:ctrlPr>
              <w:rPr>
                <w:rFonts w:ascii="Cambria Math" w:hAnsi="Cambria Math"/>
                <w:i/>
                <w:kern w:val="0"/>
                <w:szCs w:val="20"/>
              </w:rPr>
            </m:ctrlPr>
          </m:e>
          <m:sub>
            <m:r>
              <m:rPr/>
              <w:rPr>
                <w:rFonts w:ascii="Cambria Math" w:hAnsi="Cambria Math"/>
                <w:kern w:val="0"/>
                <w:szCs w:val="20"/>
              </w:rPr>
              <m:t>EMS</m:t>
            </m:r>
            <m:ctrlPr>
              <w:rPr>
                <w:rFonts w:ascii="Cambria Math" w:hAnsi="Cambria Math"/>
                <w:i/>
                <w:kern w:val="0"/>
                <w:szCs w:val="20"/>
              </w:rPr>
            </m:ctrlPr>
          </m:sub>
        </m:sSub>
      </m:oMath>
      <w:r>
        <w:rPr>
          <w:rFonts w:ascii="Times New Roman" w:hAnsi="Times New Roman"/>
          <w:kern w:val="0"/>
          <w:szCs w:val="20"/>
        </w:rPr>
        <w:t>——农林牧渔产品价值，单位：万元；</w:t>
      </w:r>
    </w:p>
    <w:p w14:paraId="586C2A4A">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E</m:t>
            </m:r>
            <m:ctrlPr>
              <w:rPr>
                <w:rFonts w:ascii="Cambria Math" w:hAnsi="Cambria Math"/>
                <w:i/>
              </w:rPr>
            </m:ctrlPr>
          </m:e>
          <m:sub>
            <m:r>
              <m:rPr/>
              <w:rPr>
                <w:rFonts w:ascii="Cambria Math" w:hAnsi="Cambria Math"/>
                <w:kern w:val="0"/>
                <w:szCs w:val="20"/>
              </w:rPr>
              <m:t>ms i</m:t>
            </m:r>
            <m:ctrlPr>
              <w:rPr>
                <w:rFonts w:ascii="Cambria Math" w:hAnsi="Cambria Math"/>
                <w:i/>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种农林牧渔产品年产量，单位：t</w:t>
      </w:r>
      <w:r>
        <w:rPr>
          <w:rFonts w:hint="eastAsia" w:ascii="Times New Roman" w:hAnsi="Times New Roman"/>
          <w:kern w:val="0"/>
          <w:szCs w:val="20"/>
        </w:rPr>
        <w:t>；</w:t>
      </w:r>
    </w:p>
    <w:p w14:paraId="489F3079">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P</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种农林牧渔产品价格，以价格部门公布的当年平均价格为准，单位：元/kg；</w:t>
      </w:r>
    </w:p>
    <w:p w14:paraId="1E1378C3">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i/>
          <w:kern w:val="0"/>
          <w:szCs w:val="20"/>
        </w:rPr>
        <w:t>δ</w:t>
      </w:r>
      <w:r>
        <w:rPr>
          <w:rFonts w:ascii="Times New Roman" w:hAnsi="Times New Roman"/>
          <w:i/>
          <w:kern w:val="0"/>
          <w:szCs w:val="20"/>
          <w:vertAlign w:val="subscript"/>
        </w:rPr>
        <w:t>i</w:t>
      </w:r>
      <w:r>
        <w:rPr>
          <w:rFonts w:ascii="Times New Roman" w:hAnsi="Times New Roman"/>
          <w:kern w:val="0"/>
          <w:szCs w:val="20"/>
        </w:rPr>
        <w:t>——调整系数，为生态环境优劣影响下产品市场价格调整系数</w:t>
      </w:r>
      <w:r>
        <w:rPr>
          <w:rFonts w:hint="eastAsia" w:ascii="Times New Roman" w:hAnsi="Times New Roman"/>
          <w:kern w:val="0"/>
          <w:szCs w:val="20"/>
        </w:rPr>
        <w:t>，</w:t>
      </w:r>
      <w:r>
        <w:rPr>
          <w:rFonts w:ascii="Times New Roman" w:hAnsi="Times New Roman"/>
          <w:kern w:val="0"/>
          <w:szCs w:val="20"/>
        </w:rPr>
        <w:t>见附录C.2.1</w:t>
      </w:r>
      <w:r>
        <w:rPr>
          <w:rFonts w:hint="eastAsia" w:ascii="Times New Roman" w:hAnsi="Times New Roman"/>
          <w:kern w:val="0"/>
          <w:szCs w:val="20"/>
        </w:rPr>
        <w:t>；</w:t>
      </w:r>
    </w:p>
    <w:p w14:paraId="6C0C8C68">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C</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种农林牧渔产品投入的单位产量成本，单位：元/kg；</w:t>
      </w:r>
    </w:p>
    <w:p w14:paraId="38735B22">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i</m:t>
        </m:r>
      </m:oMath>
      <w:r>
        <w:rPr>
          <w:rFonts w:ascii="Times New Roman" w:hAnsi="Times New Roman"/>
          <w:kern w:val="0"/>
          <w:szCs w:val="20"/>
        </w:rPr>
        <w:t>——农林牧渔产品种类，应按照GB/T 4754规定的分类体系进行分类；</w:t>
      </w:r>
    </w:p>
    <w:p w14:paraId="3C7BE9D0">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n</m:t>
        </m:r>
      </m:oMath>
      <w:r>
        <w:rPr>
          <w:rFonts w:ascii="Times New Roman" w:hAnsi="Times New Roman"/>
          <w:kern w:val="0"/>
          <w:szCs w:val="20"/>
        </w:rPr>
        <w:t>——</w:t>
      </w:r>
      <w:r>
        <w:rPr>
          <w:rFonts w:hint="eastAsia" w:ascii="Times New Roman" w:hAnsi="Times New Roman"/>
          <w:kern w:val="0"/>
          <w:szCs w:val="20"/>
        </w:rPr>
        <w:t>核算地域</w:t>
      </w:r>
      <w:r>
        <w:rPr>
          <w:rFonts w:ascii="Times New Roman" w:hAnsi="Times New Roman"/>
          <w:kern w:val="0"/>
          <w:szCs w:val="20"/>
        </w:rPr>
        <w:t>农林渔牧产品种类数量。</w:t>
      </w:r>
    </w:p>
    <w:p w14:paraId="78C5AED2">
      <w:pPr>
        <w:pStyle w:val="96"/>
        <w:spacing w:before="156" w:after="156"/>
      </w:pPr>
      <w:r>
        <w:rPr>
          <w:rFonts w:hint="eastAsia"/>
        </w:rPr>
        <w:t>水资源</w:t>
      </w:r>
      <w:r>
        <w:t>供给价值</w:t>
      </w:r>
    </w:p>
    <w:p w14:paraId="52D09B75">
      <w:pPr>
        <w:pStyle w:val="58"/>
        <w:ind w:firstLine="420"/>
        <w:rPr>
          <w:rFonts w:ascii="Times New Roman"/>
        </w:rPr>
      </w:pPr>
      <w:r>
        <w:rPr>
          <w:rFonts w:ascii="Times New Roman"/>
        </w:rPr>
        <w:t>水资源供给价值，宜采用市场价格法核算。按照公式（3</w:t>
      </w:r>
      <w:r>
        <w:rPr>
          <w:rFonts w:hint="eastAsia" w:ascii="Times New Roman"/>
        </w:rPr>
        <w:t>6</w:t>
      </w:r>
      <w:r>
        <w:rPr>
          <w:rFonts w:ascii="Times New Roman"/>
        </w:rPr>
        <w:t>）计算。</w:t>
      </w:r>
    </w:p>
    <w:p w14:paraId="27E8CA5F">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EWS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ws</m:t>
            </m:r>
            <m:ctrlPr>
              <w:rPr>
                <w:rFonts w:ascii="Cambria Math" w:hAnsi="Cambria Math"/>
                <w:i/>
              </w:rPr>
            </m:ctrlPr>
          </m:sub>
        </m:sSub>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i</m:t>
            </m:r>
            <m:ctrlPr>
              <w:rPr>
                <w:rFonts w:ascii="Cambria Math" w:hAnsi="Cambria Math"/>
                <w:i/>
              </w:rPr>
            </m:ctrlPr>
          </m:sub>
        </m:sSub>
        <m:r>
          <m:rPr>
            <m:sty m:val="p"/>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8A86373">
      <w:pPr>
        <w:pStyle w:val="57"/>
        <w:ind w:firstLine="420"/>
        <w:rPr>
          <w:rFonts w:ascii="Times New Roman" w:hAnsi="Times New Roman"/>
        </w:rPr>
      </w:pPr>
      <w:r>
        <w:rPr>
          <w:rFonts w:ascii="Times New Roman" w:hAnsi="Times New Roman"/>
        </w:rPr>
        <w:t>式中：</w:t>
      </w:r>
    </w:p>
    <w:p w14:paraId="5EFBEA73">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EWS</m:t>
            </m:r>
            <m:ctrlPr>
              <w:rPr>
                <w:rFonts w:ascii="Cambria Math" w:hAnsi="Cambria Math"/>
                <w:i/>
              </w:rPr>
            </m:ctrlPr>
          </m:sub>
        </m:sSub>
      </m:oMath>
      <w:r>
        <w:rPr>
          <w:rFonts w:ascii="Times New Roman"/>
        </w:rPr>
        <w:t>——水资源供给价值，单位：万元；</w:t>
      </w:r>
    </w:p>
    <w:p w14:paraId="015E160C">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w</m:t>
            </m:r>
            <m:ctrlPr>
              <w:rPr>
                <w:rFonts w:ascii="Cambria Math" w:hAnsi="Cambria Math"/>
                <w:i/>
                <w:kern w:val="2"/>
                <w:szCs w:val="21"/>
              </w:rPr>
            </m:ctrlPr>
          </m:sub>
        </m:sSub>
      </m:oMath>
      <w:r>
        <w:rPr>
          <w:rFonts w:ascii="Times New Roman"/>
        </w:rPr>
        <w:t>——核算区域核算年份水资源</w:t>
      </w:r>
      <w:r>
        <w:rPr>
          <w:rFonts w:hint="eastAsia" w:ascii="Times New Roman"/>
        </w:rPr>
        <w:t>价格</w:t>
      </w:r>
      <w:r>
        <w:rPr>
          <w:rFonts w:ascii="Times New Roman"/>
        </w:rPr>
        <w:t>，单位：元/</w:t>
      </w:r>
      <w:r>
        <w:rPr>
          <w:rFonts w:hint="eastAsia" w:ascii="Times New Roman"/>
        </w:rPr>
        <w:t>t</w:t>
      </w:r>
      <w:r>
        <w:rPr>
          <w:rFonts w:ascii="Times New Roman"/>
        </w:rPr>
        <w:t>;</w:t>
      </w:r>
    </w:p>
    <w:p w14:paraId="11807CCA">
      <w:pPr>
        <w:widowControl/>
        <w:autoSpaceDE w:val="0"/>
        <w:autoSpaceDN w:val="0"/>
        <w:adjustRightInd/>
        <w:spacing w:line="240" w:lineRule="auto"/>
        <w:ind w:firstLine="420" w:firstLineChars="200"/>
        <w:rPr>
          <w:rFonts w:ascii="Times New Roman" w:hAnsi="Times New Roman"/>
          <w:kern w:val="0"/>
          <w:szCs w:val="20"/>
        </w:rPr>
      </w:pPr>
      <w:r>
        <w:rPr>
          <w:rFonts w:ascii="Times New Roman" w:hAnsi="Times New Roman"/>
          <w:i/>
          <w:kern w:val="0"/>
          <w:szCs w:val="20"/>
        </w:rPr>
        <w:t>δ</w:t>
      </w:r>
      <w:r>
        <w:rPr>
          <w:rFonts w:ascii="Times New Roman" w:hAnsi="Times New Roman"/>
          <w:i/>
          <w:kern w:val="0"/>
          <w:szCs w:val="20"/>
          <w:vertAlign w:val="subscript"/>
        </w:rPr>
        <w:t>i</w:t>
      </w:r>
      <w:r>
        <w:rPr>
          <w:rFonts w:ascii="Times New Roman" w:hAnsi="Times New Roman"/>
          <w:kern w:val="0"/>
          <w:szCs w:val="20"/>
        </w:rPr>
        <w:t>——调整系数，为生态环境优劣影响下产品市场价格调整系数</w:t>
      </w:r>
      <w:r>
        <w:rPr>
          <w:rFonts w:hint="eastAsia" w:ascii="Times New Roman" w:hAnsi="Times New Roman"/>
          <w:kern w:val="0"/>
          <w:szCs w:val="20"/>
        </w:rPr>
        <w:t>，</w:t>
      </w:r>
      <w:r>
        <w:rPr>
          <w:rFonts w:ascii="Times New Roman" w:hAnsi="Times New Roman"/>
          <w:kern w:val="0"/>
          <w:szCs w:val="20"/>
        </w:rPr>
        <w:t>见附录C.2.1</w:t>
      </w:r>
      <w:r>
        <w:rPr>
          <w:rFonts w:hint="eastAsia" w:ascii="Times New Roman" w:hAnsi="Times New Roman"/>
          <w:kern w:val="0"/>
          <w:szCs w:val="20"/>
        </w:rPr>
        <w:t>；</w:t>
      </w:r>
    </w:p>
    <w:p w14:paraId="09400E3B">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ws</m:t>
            </m:r>
            <m:ctrlPr>
              <w:rPr>
                <w:rFonts w:ascii="Cambria Math" w:hAnsi="Cambria Math"/>
                <w:i/>
                <w:kern w:val="2"/>
                <w:szCs w:val="21"/>
              </w:rPr>
            </m:ctrlPr>
          </m:sub>
        </m:sSub>
      </m:oMath>
      <w:r>
        <w:rPr>
          <w:rFonts w:ascii="Times New Roman"/>
        </w:rPr>
        <w:t>——核算区域核算年份水资源产品供给量，单位：t。</w:t>
      </w:r>
    </w:p>
    <w:p w14:paraId="796E98ED">
      <w:pPr>
        <w:pStyle w:val="96"/>
        <w:spacing w:before="156" w:after="156"/>
      </w:pPr>
      <w:r>
        <w:rPr>
          <w:rFonts w:hint="eastAsia"/>
        </w:rPr>
        <w:t>生物质能产品</w:t>
      </w:r>
    </w:p>
    <w:p w14:paraId="22EDBA17">
      <w:pPr>
        <w:pStyle w:val="58"/>
        <w:ind w:firstLine="420"/>
        <w:rPr>
          <w:rFonts w:ascii="Times New Roman"/>
        </w:rPr>
      </w:pPr>
      <w:r>
        <w:rPr>
          <w:rFonts w:ascii="Times New Roman"/>
        </w:rPr>
        <w:t>生物质能供给价值，宜采用市场价格法核算。应考虑扣除生物质产品转化生物质能时，释放二氧化碳带来的生态损益。按照公式（3</w:t>
      </w:r>
      <w:r>
        <w:rPr>
          <w:rFonts w:hint="eastAsia" w:ascii="Times New Roman"/>
        </w:rPr>
        <w:t>7</w:t>
      </w:r>
      <w:r>
        <w:rPr>
          <w:rFonts w:ascii="Times New Roman"/>
        </w:rPr>
        <w:t>）计算。</w:t>
      </w:r>
    </w:p>
    <w:p w14:paraId="1508DB80">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EBE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be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e</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OC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rPr>
                    </m:ctrlPr>
                  </m:e>
                  <m:sub>
                    <m:r>
                      <m:rP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nary>
        <m:r>
          <m:rPr/>
          <w:rPr>
            <w:rFonts w:ascii="Cambria Math" w:hAnsi="Cambria Math"/>
          </w:rPr>
          <m:t>−BFU×EF×</m:t>
        </m:r>
        <m:sSub>
          <m:sSubPr>
            <m:ctrlPr>
              <w:rPr>
                <w:rFonts w:ascii="Cambria Math" w:hAnsi="Cambria Math"/>
              </w:rPr>
            </m:ctrlPr>
          </m:sSubPr>
          <m:e>
            <m:r>
              <m:rPr/>
              <w:rPr>
                <w:rFonts w:ascii="Cambria Math" w:hAnsi="Cambria Math"/>
              </w:rPr>
              <m:t>C</m:t>
            </m:r>
            <m:ctrlPr>
              <w:rPr>
                <w:rFonts w:ascii="Cambria Math" w:hAnsi="Cambria Math"/>
              </w:rPr>
            </m:ctrlPr>
          </m:e>
          <m:sub>
            <m:sSub>
              <m:sSubPr>
                <m:ctrlPr>
                  <w:rPr>
                    <w:rFonts w:ascii="Cambria Math" w:hAnsi="Cambria Math"/>
                  </w:rPr>
                </m:ctrlPr>
              </m:sSubPr>
              <m:e>
                <m:r>
                  <m:rPr/>
                  <w:rPr>
                    <w:rFonts w:ascii="Cambria Math" w:hAnsi="Cambria Math"/>
                  </w:rPr>
                  <m:t>CO</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−7</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FD97A7F">
      <w:pPr>
        <w:snapToGrid w:val="0"/>
        <w:ind w:firstLine="420" w:firstLineChars="200"/>
        <w:rPr>
          <w:rFonts w:ascii="Times New Roman" w:hAnsi="Times New Roman"/>
          <w:kern w:val="0"/>
        </w:rPr>
      </w:pPr>
      <w:r>
        <w:rPr>
          <w:rFonts w:ascii="Times New Roman" w:hAnsi="Times New Roman"/>
          <w:kern w:val="0"/>
        </w:rPr>
        <w:t>式中：</w:t>
      </w:r>
    </w:p>
    <w:p w14:paraId="253D0812">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V</m:t>
            </m:r>
            <m:ctrlPr>
              <w:rPr>
                <w:rFonts w:ascii="Cambria Math" w:hAnsi="Cambria Math"/>
                <w:i/>
              </w:rPr>
            </m:ctrlPr>
          </m:e>
          <m:sub>
            <m:r>
              <m:rPr/>
              <w:rPr>
                <w:rFonts w:ascii="Cambria Math" w:hAnsi="Cambria Math"/>
                <w:kern w:val="0"/>
                <w:szCs w:val="20"/>
              </w:rPr>
              <m:t>EBE</m:t>
            </m:r>
            <m:ctrlPr>
              <w:rPr>
                <w:rFonts w:ascii="Cambria Math" w:hAnsi="Cambria Math"/>
                <w:i/>
              </w:rPr>
            </m:ctrlPr>
          </m:sub>
        </m:sSub>
      </m:oMath>
      <w:r>
        <w:rPr>
          <w:rFonts w:ascii="Times New Roman" w:hAnsi="Times New Roman"/>
          <w:kern w:val="0"/>
          <w:szCs w:val="20"/>
        </w:rPr>
        <w:t>——生物质能供给价值，单位：万元；</w:t>
      </w:r>
    </w:p>
    <w:p w14:paraId="316B5B47">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E</m:t>
            </m:r>
            <m:ctrlPr>
              <w:rPr>
                <w:rFonts w:ascii="Cambria Math" w:hAnsi="Cambria Math"/>
                <w:i/>
              </w:rPr>
            </m:ctrlPr>
          </m:e>
          <m:sub>
            <m:r>
              <m:rPr/>
              <w:rPr>
                <w:rFonts w:ascii="Cambria Math" w:hAnsi="Cambria Math"/>
                <w:kern w:val="0"/>
                <w:szCs w:val="20"/>
              </w:rPr>
              <m:t>be</m:t>
            </m:r>
            <m:ctrlPr>
              <w:rPr>
                <w:rFonts w:ascii="Cambria Math" w:hAnsi="Cambria Math"/>
                <w:i/>
              </w:rPr>
            </m:ctrlPr>
          </m:sub>
        </m:sSub>
      </m:oMath>
      <w:r>
        <w:rPr>
          <w:rFonts w:ascii="Times New Roman" w:hAnsi="Times New Roman"/>
          <w:kern w:val="0"/>
          <w:szCs w:val="20"/>
        </w:rPr>
        <w:t>——生物质能供给量，单位：kW·h/a；</w:t>
      </w:r>
    </w:p>
    <w:p w14:paraId="7E998A3B">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P</m:t>
            </m:r>
            <m:ctrlPr>
              <w:rPr>
                <w:rFonts w:ascii="Cambria Math" w:hAnsi="Cambria Math"/>
                <w:i/>
              </w:rPr>
            </m:ctrlPr>
          </m:e>
          <m:sub>
            <m:r>
              <m:rPr/>
              <w:rPr>
                <w:rFonts w:ascii="Cambria Math" w:hAnsi="Cambria Math"/>
                <w:kern w:val="0"/>
                <w:szCs w:val="20"/>
              </w:rPr>
              <m:t>e</m:t>
            </m:r>
            <m:ctrlPr>
              <w:rPr>
                <w:rFonts w:ascii="Cambria Math" w:hAnsi="Cambria Math"/>
                <w:i/>
              </w:rPr>
            </m:ctrlPr>
          </m:sub>
        </m:sSub>
      </m:oMath>
      <w:r>
        <w:rPr>
          <w:rFonts w:ascii="Times New Roman" w:hAnsi="Times New Roman"/>
          <w:kern w:val="0"/>
          <w:szCs w:val="20"/>
        </w:rPr>
        <w:t>——生物质发电标杆上网电价，单位：元/kWh；</w:t>
      </w:r>
    </w:p>
    <w:p w14:paraId="6358F8A9">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OC</m:t>
            </m:r>
            <m:ctrlPr>
              <w:rPr>
                <w:rFonts w:ascii="Cambria Math" w:hAnsi="Cambria Math"/>
                <w:i/>
              </w:rPr>
            </m:ctrlPr>
          </m:e>
          <m:sub>
            <m:r>
              <m:rPr/>
              <w:rPr>
                <w:rFonts w:ascii="Cambria Math" w:hAnsi="Cambria Math"/>
                <w:kern w:val="0"/>
                <w:szCs w:val="20"/>
              </w:rPr>
              <m:t>i</m:t>
            </m:r>
            <m:ctrlPr>
              <w:rPr>
                <w:rFonts w:ascii="Cambria Math" w:hAnsi="Cambria Math"/>
                <w:i/>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个生物质发电企业的年运营成本，不包括生物质原料成本，单位：万元/a;</w:t>
      </w:r>
    </w:p>
    <w:p w14:paraId="674855B7">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CC</m:t>
            </m:r>
            <m:ctrlPr>
              <w:rPr>
                <w:rFonts w:ascii="Cambria Math" w:hAnsi="Cambria Math"/>
                <w:i/>
              </w:rPr>
            </m:ctrlPr>
          </m:e>
          <m:sub>
            <m:r>
              <m:rPr/>
              <w:rPr>
                <w:rFonts w:ascii="Cambria Math" w:hAnsi="Cambria Math"/>
                <w:kern w:val="0"/>
                <w:szCs w:val="20"/>
              </w:rPr>
              <m:t>i</m:t>
            </m:r>
            <m:ctrlPr>
              <w:rPr>
                <w:rFonts w:ascii="Cambria Math" w:hAnsi="Cambria Math"/>
                <w:i/>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个生物质发电企业的生物质发电项目工程造价，单位：万元;</w:t>
      </w:r>
    </w:p>
    <w:p w14:paraId="5D0D4404">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kern w:val="0"/>
                <w:szCs w:val="20"/>
              </w:rPr>
            </m:ctrlPr>
          </m:sSubPr>
          <m:e>
            <m:r>
              <m:rPr/>
              <w:rPr>
                <w:rFonts w:ascii="Cambria Math" w:hAnsi="Cambria Math"/>
                <w:kern w:val="0"/>
                <w:szCs w:val="20"/>
              </w:rPr>
              <m:t>D</m:t>
            </m:r>
            <m:ctrlPr>
              <w:rPr>
                <w:rFonts w:ascii="Cambria Math" w:hAnsi="Cambria Math"/>
                <w:kern w:val="0"/>
                <w:szCs w:val="20"/>
              </w:rPr>
            </m:ctrlPr>
          </m:e>
          <m:sub>
            <m:r>
              <m:rPr/>
              <w:rPr>
                <w:rFonts w:ascii="Cambria Math" w:hAnsi="Cambria Math"/>
                <w:kern w:val="0"/>
                <w:szCs w:val="20"/>
              </w:rPr>
              <m:t>i</m:t>
            </m:r>
            <m:ctrlPr>
              <w:rPr>
                <w:rFonts w:ascii="Cambria Math" w:hAnsi="Cambria Math"/>
                <w:i/>
                <w:kern w:val="0"/>
                <w:szCs w:val="20"/>
              </w:rPr>
            </m:ctrlPr>
          </m:sub>
        </m:sSub>
      </m:oMath>
      <w:r>
        <w:rPr>
          <w:rFonts w:ascii="Times New Roman" w:hAnsi="Times New Roman"/>
          <w:kern w:val="0"/>
          <w:szCs w:val="20"/>
        </w:rPr>
        <w:t>——第</w:t>
      </w:r>
      <m:oMath>
        <m:r>
          <m:rPr/>
          <w:rPr>
            <w:rFonts w:ascii="Cambria Math" w:hAnsi="Cambria Math"/>
            <w:kern w:val="0"/>
            <w:szCs w:val="20"/>
          </w:rPr>
          <m:t>i</m:t>
        </m:r>
      </m:oMath>
      <w:r>
        <w:rPr>
          <w:rFonts w:ascii="Times New Roman" w:hAnsi="Times New Roman"/>
          <w:kern w:val="0"/>
          <w:szCs w:val="20"/>
        </w:rPr>
        <w:t>个生物质发电企业的生物质发电项目折旧率，单位：%，见附录C.2.</w:t>
      </w:r>
      <w:r>
        <w:rPr>
          <w:rFonts w:hint="eastAsia" w:ascii="Times New Roman" w:hAnsi="Times New Roman"/>
          <w:kern w:val="0"/>
          <w:szCs w:val="20"/>
        </w:rPr>
        <w:t>2</w:t>
      </w:r>
      <w:r>
        <w:rPr>
          <w:rFonts w:ascii="Times New Roman" w:hAnsi="Times New Roman"/>
          <w:kern w:val="0"/>
          <w:szCs w:val="20"/>
        </w:rPr>
        <w:t>;</w:t>
      </w:r>
    </w:p>
    <w:p w14:paraId="60F734ED">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kern w:val="0"/>
            <w:szCs w:val="20"/>
          </w:rPr>
          <m:t>BFU</m:t>
        </m:r>
      </m:oMath>
      <w:r>
        <w:rPr>
          <w:rFonts w:ascii="Times New Roman" w:hAnsi="Times New Roman"/>
          <w:kern w:val="0"/>
          <w:szCs w:val="20"/>
        </w:rPr>
        <w:t>——核算区域生物质产品燃料化利用总量，单位：t/a;</w:t>
      </w:r>
    </w:p>
    <w:p w14:paraId="06B66262">
      <w:pPr>
        <w:widowControl/>
        <w:autoSpaceDE w:val="0"/>
        <w:autoSpaceDN w:val="0"/>
        <w:adjustRightInd/>
        <w:spacing w:line="240" w:lineRule="auto"/>
        <w:ind w:firstLine="420" w:firstLineChars="200"/>
        <w:rPr>
          <w:rFonts w:ascii="Times New Roman" w:hAnsi="Times New Roman"/>
          <w:kern w:val="0"/>
          <w:szCs w:val="20"/>
        </w:rPr>
      </w:pPr>
      <m:oMath>
        <m:r>
          <m:rPr/>
          <w:rPr>
            <w:rFonts w:ascii="Cambria Math" w:hAnsi="Cambria Math"/>
          </w:rPr>
          <m:t>EF</m:t>
        </m:r>
      </m:oMath>
      <w:r>
        <w:rPr>
          <w:rFonts w:ascii="Times New Roman" w:hAnsi="Times New Roman"/>
          <w:kern w:val="0"/>
          <w:szCs w:val="20"/>
        </w:rPr>
        <w:t>——生物质燃料排放因子，单位：g/kg，见附录C.2.</w:t>
      </w:r>
      <w:r>
        <w:rPr>
          <w:rFonts w:hint="eastAsia" w:ascii="Times New Roman" w:hAnsi="Times New Roman"/>
          <w:kern w:val="0"/>
          <w:szCs w:val="20"/>
        </w:rPr>
        <w:t>3</w:t>
      </w:r>
      <w:r>
        <w:rPr>
          <w:rFonts w:ascii="Times New Roman" w:hAnsi="Times New Roman"/>
          <w:kern w:val="0"/>
          <w:szCs w:val="20"/>
        </w:rPr>
        <w:t>;</w:t>
      </w:r>
    </w:p>
    <w:p w14:paraId="1DE90DDD">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C</m:t>
            </m:r>
            <m:ctrlPr>
              <w:rPr>
                <w:rFonts w:ascii="Cambria Math" w:hAnsi="Cambria Math"/>
                <w:kern w:val="0"/>
                <w:szCs w:val="20"/>
              </w:rPr>
            </m:ctrlPr>
          </m:e>
          <m:sub>
            <m:sSub>
              <m:sSubPr>
                <m:ctrlPr>
                  <w:rPr>
                    <w:rFonts w:ascii="Cambria Math" w:hAnsi="Cambria Math"/>
                    <w:kern w:val="0"/>
                    <w:szCs w:val="20"/>
                  </w:rPr>
                </m:ctrlPr>
              </m:sSubPr>
              <m:e>
                <m:r>
                  <m:rPr/>
                  <w:rPr>
                    <w:rFonts w:ascii="Cambria Math" w:hAnsi="Cambria Math"/>
                    <w:kern w:val="0"/>
                    <w:szCs w:val="20"/>
                  </w:rPr>
                  <m:t>CO</m:t>
                </m:r>
                <m:ctrlPr>
                  <w:rPr>
                    <w:rFonts w:ascii="Cambria Math" w:hAnsi="Cambria Math"/>
                    <w:kern w:val="0"/>
                    <w:szCs w:val="20"/>
                  </w:rPr>
                </m:ctrlPr>
              </m:e>
              <m:sub>
                <m:r>
                  <m:rPr>
                    <m:sty m:val="p"/>
                  </m:rPr>
                  <w:rPr>
                    <w:rFonts w:ascii="Cambria Math" w:hAnsi="Cambria Math"/>
                    <w:kern w:val="0"/>
                    <w:szCs w:val="20"/>
                  </w:rPr>
                  <m:t>2</m:t>
                </m:r>
                <m:ctrlPr>
                  <w:rPr>
                    <w:rFonts w:ascii="Cambria Math" w:hAnsi="Cambria Math"/>
                    <w:kern w:val="0"/>
                    <w:szCs w:val="20"/>
                  </w:rPr>
                </m:ctrlPr>
              </m:sub>
            </m:sSub>
            <m:ctrlPr>
              <w:rPr>
                <w:rFonts w:ascii="Cambria Math" w:hAnsi="Cambria Math"/>
                <w:kern w:val="0"/>
                <w:szCs w:val="20"/>
              </w:rPr>
            </m:ctrlPr>
          </m:sub>
        </m:sSub>
      </m:oMath>
      <w:r>
        <w:rPr>
          <w:rFonts w:ascii="Times New Roman" w:hAnsi="Times New Roman"/>
          <w:kern w:val="0"/>
          <w:szCs w:val="20"/>
        </w:rPr>
        <w:t>——碳交易价格，单位：元/t</w:t>
      </w:r>
      <w:r>
        <w:rPr>
          <w:rFonts w:hint="eastAsia" w:ascii="Times New Roman" w:hAnsi="Times New Roman"/>
          <w:kern w:val="0"/>
          <w:szCs w:val="20"/>
        </w:rPr>
        <w:t>。</w:t>
      </w:r>
    </w:p>
    <w:p w14:paraId="10C59CF9">
      <w:pPr>
        <w:pStyle w:val="67"/>
        <w:spacing w:before="156" w:after="156"/>
      </w:pPr>
      <w:r>
        <w:rPr>
          <w:rFonts w:hint="eastAsia"/>
        </w:rPr>
        <w:t>调节服务</w:t>
      </w:r>
    </w:p>
    <w:p w14:paraId="0823AD17">
      <w:pPr>
        <w:pStyle w:val="96"/>
        <w:spacing w:before="156" w:after="156"/>
      </w:pPr>
      <w:r>
        <w:rPr>
          <w:rFonts w:hint="eastAsia"/>
        </w:rPr>
        <w:t>水源涵养</w:t>
      </w:r>
    </w:p>
    <w:p w14:paraId="5BB3FA69">
      <w:pPr>
        <w:pStyle w:val="58"/>
        <w:ind w:firstLine="420"/>
        <w:rPr>
          <w:rFonts w:ascii="Times New Roman"/>
        </w:rPr>
      </w:pPr>
      <w:r>
        <w:rPr>
          <w:rFonts w:ascii="Times New Roman"/>
        </w:rPr>
        <w:t>水源涵养价值量，宜采用影子工程法核算，即以建设蓄水量与水源涵养量相当的水利设施所需成本作为水源涵养服务价值。按照公式（3</w:t>
      </w:r>
      <w:r>
        <w:rPr>
          <w:rFonts w:hint="eastAsia" w:ascii="Times New Roman"/>
        </w:rPr>
        <w:t>8</w:t>
      </w:r>
      <w:r>
        <w:rPr>
          <w:rFonts w:ascii="Times New Roman"/>
        </w:rPr>
        <w:t>）计算。</w:t>
      </w:r>
    </w:p>
    <w:p w14:paraId="229A6AAF">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wr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wr</m:t>
            </m:r>
            <m:ctrlPr>
              <w:rPr>
                <w:rFonts w:ascii="Cambria Math" w:hAnsi="Cambria Math"/>
                <w:i/>
              </w:rPr>
            </m:ctrlP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m:rPr/>
                  <w:rPr>
                    <w:rFonts w:ascii="Cambria Math" w:hAnsi="Cambria Math"/>
                  </w:rPr>
                  <m:t>C</m:t>
                </m:r>
                <m:ctrlPr>
                  <w:rPr>
                    <w:rFonts w:ascii="Cambria Math" w:hAnsi="Cambria Math"/>
                  </w:rPr>
                </m:ctrlPr>
              </m:e>
              <m:sub>
                <m:r>
                  <m:rPr/>
                  <w:rPr>
                    <w:rFonts w:ascii="Cambria Math" w:hAnsi="Cambria Math"/>
                  </w:rPr>
                  <m:t>we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we</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rPr>
                </m:ctrlPr>
              </m:e>
              <m:sub>
                <m:r>
                  <m:rPr/>
                  <w:rPr>
                    <w:rFonts w:ascii="Cambria Math" w:hAnsi="Cambria Math"/>
                  </w:rPr>
                  <m:t>r</m:t>
                </m:r>
                <m:ctrlPr>
                  <w:rPr>
                    <w:rFonts w:ascii="Cambria Math" w:hAnsi="Cambria Math"/>
                    <w:i/>
                  </w:rPr>
                </m:ctrlPr>
              </m:sub>
            </m:sSub>
            <m:ctrlPr>
              <w:rPr>
                <w:rFonts w:ascii="Cambria Math" w:hAnsi="Cambria Math"/>
                <w:i/>
              </w:rPr>
            </m:ctrlPr>
          </m:e>
        </m:d>
        <m:r>
          <m:rPr>
            <m:sty m:val="p"/>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8FB7B91">
      <w:pPr>
        <w:pStyle w:val="57"/>
        <w:ind w:firstLine="420"/>
        <w:rPr>
          <w:rFonts w:ascii="Times New Roman" w:hAnsi="Times New Roman"/>
        </w:rPr>
      </w:pPr>
      <w:r>
        <w:rPr>
          <w:rFonts w:ascii="Times New Roman" w:hAnsi="Times New Roman"/>
        </w:rPr>
        <w:t>式中：</w:t>
      </w:r>
    </w:p>
    <w:p w14:paraId="02C021CD">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wr</m:t>
            </m:r>
            <m:ctrlPr>
              <w:rPr>
                <w:rFonts w:ascii="Cambria Math" w:hAnsi="Cambria Math"/>
                <w:i/>
              </w:rPr>
            </m:ctrlPr>
          </m:sub>
        </m:sSub>
      </m:oMath>
      <w:r>
        <w:rPr>
          <w:rFonts w:ascii="Times New Roman"/>
        </w:rPr>
        <w:t>——水源涵养价值量，单位：万元；</w:t>
      </w:r>
    </w:p>
    <w:p w14:paraId="1FDD6AD3">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wr</m:t>
            </m:r>
            <m:ctrlPr>
              <w:rPr>
                <w:rFonts w:ascii="Cambria Math" w:hAnsi="Cambria Math"/>
                <w:i/>
              </w:rPr>
            </m:ctrlPr>
          </m:sub>
        </m:sSub>
      </m:oMath>
      <w:r>
        <w:rPr>
          <w:rFonts w:ascii="Times New Roman"/>
        </w:rPr>
        <w:t>——核算区域当年水源涵养量，单位：m</w:t>
      </w:r>
      <w:r>
        <w:rPr>
          <w:rFonts w:ascii="Times New Roman"/>
          <w:vertAlign w:val="superscript"/>
        </w:rPr>
        <w:t>3</w:t>
      </w:r>
      <w:r>
        <w:rPr>
          <w:rFonts w:ascii="Times New Roman"/>
        </w:rPr>
        <w:t>；</w:t>
      </w:r>
    </w:p>
    <w:p w14:paraId="0C57E0B9">
      <w:pPr>
        <w:pStyle w:val="58"/>
        <w:ind w:firstLine="420"/>
        <w:rPr>
          <w:rFonts w:ascii="Times New Roman"/>
        </w:rPr>
      </w:pPr>
      <m:oMath>
        <m:sSub>
          <m:sSubPr>
            <m:ctrlPr>
              <w:rPr>
                <w:rFonts w:ascii="Cambria Math" w:hAnsi="Cambria Math"/>
                <w:i/>
              </w:rPr>
            </m:ctrlPr>
          </m:sSubPr>
          <m:e>
            <m:r>
              <m:rPr/>
              <w:rPr>
                <w:rFonts w:ascii="Cambria Math" w:hAnsi="Cambria Math"/>
              </w:rPr>
              <m:t>C</m:t>
            </m:r>
            <m:ctrlPr>
              <w:rPr>
                <w:rFonts w:ascii="Cambria Math" w:hAnsi="Cambria Math"/>
              </w:rPr>
            </m:ctrlPr>
          </m:e>
          <m:sub>
            <m:r>
              <m:rPr/>
              <w:rPr>
                <w:rFonts w:ascii="Cambria Math" w:hAnsi="Cambria Math"/>
              </w:rPr>
              <m:t>we</m:t>
            </m:r>
            <m:ctrlPr>
              <w:rPr>
                <w:rFonts w:ascii="Cambria Math" w:hAnsi="Cambria Math"/>
                <w:i/>
              </w:rPr>
            </m:ctrlPr>
          </m:sub>
        </m:sSub>
      </m:oMath>
      <w:r>
        <w:rPr>
          <w:rFonts w:ascii="Times New Roman"/>
        </w:rPr>
        <w:t>——水库单位库容的年运营成本，单位：元/（m</w:t>
      </w:r>
      <w:r>
        <w:rPr>
          <w:rFonts w:ascii="Times New Roman"/>
          <w:vertAlign w:val="superscript"/>
        </w:rPr>
        <w:t>3</w:t>
      </w:r>
      <w:r>
        <w:rPr>
          <w:rFonts w:ascii="Times New Roman"/>
        </w:rPr>
        <w:t>·a）；</w:t>
      </w:r>
    </w:p>
    <w:p w14:paraId="2254C8F0">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we</m:t>
            </m:r>
            <m:ctrlPr>
              <w:rPr>
                <w:rFonts w:ascii="Cambria Math" w:hAnsi="Cambria Math"/>
                <w:i/>
              </w:rPr>
            </m:ctrlPr>
          </m:sub>
        </m:sSub>
      </m:oMath>
      <w:r>
        <w:rPr>
          <w:rFonts w:ascii="Times New Roman"/>
        </w:rPr>
        <w:t>——水库单位库容的工程造价，单位：元/m</w:t>
      </w:r>
      <w:r>
        <w:rPr>
          <w:rFonts w:ascii="Times New Roman"/>
          <w:vertAlign w:val="superscript"/>
        </w:rPr>
        <w:t>3</w:t>
      </w:r>
      <w:r>
        <w:rPr>
          <w:rFonts w:ascii="Times New Roman"/>
        </w:rPr>
        <w:t>；</w:t>
      </w:r>
    </w:p>
    <w:p w14:paraId="29AD6DB7">
      <w:pPr>
        <w:pStyle w:val="58"/>
        <w:ind w:firstLine="420"/>
        <w:rPr>
          <w:rFonts w:ascii="Times New Roman"/>
        </w:rPr>
      </w:pPr>
      <m:oMath>
        <m:sSub>
          <m:sSubPr>
            <m:ctrlPr>
              <w:rPr>
                <w:rFonts w:ascii="Cambria Math" w:hAnsi="Cambria Math"/>
                <w:i/>
              </w:rPr>
            </m:ctrlPr>
          </m:sSubPr>
          <m:e>
            <m:r>
              <m:rPr/>
              <w:rPr>
                <w:rFonts w:ascii="Cambria Math" w:hAnsi="Cambria Math"/>
              </w:rPr>
              <m:t>D</m:t>
            </m:r>
            <m:ctrlPr>
              <w:rPr>
                <w:rFonts w:ascii="Cambria Math" w:hAnsi="Cambria Math"/>
              </w:rPr>
            </m:ctrlPr>
          </m:e>
          <m:sub>
            <m:r>
              <m:rPr/>
              <w:rPr>
                <w:rFonts w:ascii="Cambria Math" w:hAnsi="Cambria Math"/>
              </w:rPr>
              <m:t>r</m:t>
            </m:r>
            <m:ctrlPr>
              <w:rPr>
                <w:rFonts w:ascii="Cambria Math" w:hAnsi="Cambria Math"/>
                <w:i/>
              </w:rPr>
            </m:ctrlPr>
          </m:sub>
        </m:sSub>
      </m:oMath>
      <w:r>
        <w:rPr>
          <w:rFonts w:ascii="Times New Roman"/>
        </w:rPr>
        <w:t>——水库年折旧率，单位：%，见附录C.3.3。</w:t>
      </w:r>
    </w:p>
    <w:p w14:paraId="7D56C6BD">
      <w:pPr>
        <w:pStyle w:val="96"/>
        <w:spacing w:before="156" w:after="156"/>
        <w:rPr>
          <w:rFonts w:ascii="Times New Roman"/>
        </w:rPr>
      </w:pPr>
      <w:r>
        <w:rPr>
          <w:rFonts w:ascii="Times New Roman"/>
        </w:rPr>
        <w:t>土壤保持服务价值量</w:t>
      </w:r>
    </w:p>
    <w:p w14:paraId="051348E2">
      <w:pPr>
        <w:pStyle w:val="169"/>
        <w:numPr>
          <w:ilvl w:val="5"/>
          <w:numId w:val="2"/>
        </w:numPr>
        <w:spacing w:before="156" w:after="156"/>
        <w:rPr>
          <w:rFonts w:ascii="Times New Roman" w:hAnsi="Times New Roman"/>
        </w:rPr>
      </w:pPr>
      <w:r>
        <w:rPr>
          <w:rFonts w:ascii="Times New Roman" w:hAnsi="Times New Roman"/>
        </w:rPr>
        <w:t>土壤保持服务价值，包括减少泥沙淤积价值和减少面源污染价值，按照公式（</w:t>
      </w:r>
      <w:r>
        <w:rPr>
          <w:rFonts w:hint="eastAsia" w:ascii="Times New Roman" w:hAnsi="Times New Roman"/>
        </w:rPr>
        <w:t>39</w:t>
      </w:r>
      <w:r>
        <w:rPr>
          <w:rFonts w:ascii="Times New Roman" w:hAnsi="Times New Roman"/>
        </w:rPr>
        <w:t>）计算。</w:t>
      </w:r>
    </w:p>
    <w:p w14:paraId="4FDFC245">
      <w:pPr>
        <w:pStyle w:val="115"/>
        <w:spacing w:before="156" w:after="15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dpd</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62CA56F">
      <w:pPr>
        <w:pStyle w:val="57"/>
        <w:ind w:firstLine="420"/>
        <w:rPr>
          <w:rFonts w:ascii="Times New Roman" w:hAnsi="Times New Roman"/>
        </w:rPr>
      </w:pPr>
      <w:r>
        <w:rPr>
          <w:rFonts w:ascii="Times New Roman" w:hAnsi="Times New Roman"/>
        </w:rPr>
        <w:t>式中：</w:t>
      </w:r>
    </w:p>
    <w:p w14:paraId="09D38166">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rPr>
        <w:t>——土壤保持服务价值量，单位：万元；</w:t>
      </w:r>
    </w:p>
    <w:p w14:paraId="1217D304">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sd</m:t>
            </m:r>
            <m:ctrlPr>
              <w:rPr>
                <w:rFonts w:ascii="Cambria Math" w:hAnsi="Cambria Math"/>
                <w:i/>
              </w:rPr>
            </m:ctrlPr>
          </m:sub>
        </m:sSub>
      </m:oMath>
      <w:r>
        <w:rPr>
          <w:rFonts w:ascii="Times New Roman"/>
        </w:rPr>
        <w:t>——减少泥沙淤积价值，单位：万元；</w:t>
      </w:r>
    </w:p>
    <w:p w14:paraId="3706F355">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dpd</m:t>
            </m:r>
            <m:ctrlPr>
              <w:rPr>
                <w:rFonts w:ascii="Cambria Math" w:hAnsi="Cambria Math"/>
                <w:i/>
              </w:rPr>
            </m:ctrlPr>
          </m:sub>
        </m:sSub>
      </m:oMath>
      <w:r>
        <w:rPr>
          <w:rFonts w:ascii="Times New Roman"/>
        </w:rPr>
        <w:t>——减少面源污染价值，单位：万元。</w:t>
      </w:r>
    </w:p>
    <w:p w14:paraId="20B1C42B">
      <w:pPr>
        <w:pStyle w:val="169"/>
        <w:numPr>
          <w:ilvl w:val="5"/>
          <w:numId w:val="2"/>
        </w:numPr>
        <w:spacing w:before="156" w:after="156"/>
        <w:rPr>
          <w:rFonts w:ascii="Times New Roman" w:hAnsi="Times New Roman"/>
        </w:rPr>
      </w:pPr>
      <w:r>
        <w:rPr>
          <w:rFonts w:ascii="Times New Roman" w:hAnsi="Times New Roman"/>
        </w:rPr>
        <w:t>减少泥沙淤积价值宜采用替代成本法核算，即以清理与土壤保持量相当的水库泥沙淤积所需的成本作为减少泥沙淤积价值。按照公式（4</w:t>
      </w:r>
      <w:r>
        <w:rPr>
          <w:rFonts w:hint="eastAsia" w:ascii="Times New Roman" w:hAnsi="Times New Roman"/>
        </w:rPr>
        <w:t>0</w:t>
      </w:r>
      <w:r>
        <w:rPr>
          <w:rFonts w:ascii="Times New Roman" w:hAnsi="Times New Roman"/>
        </w:rPr>
        <w:t>）计算。</w:t>
      </w:r>
    </w:p>
    <w:p w14:paraId="5EBF799D">
      <w:pPr>
        <w:pStyle w:val="115"/>
        <w:spacing w:before="156" w:after="15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sd</m:t>
            </m:r>
            <m:ctrlPr>
              <w:rPr>
                <w:rFonts w:ascii="Cambria Math" w:hAnsi="Cambria Math"/>
                <w:i/>
              </w:rPr>
            </m:ctrlPr>
          </m:sub>
        </m:sSub>
        <m:r>
          <m:rPr/>
          <w:rPr>
            <w:rFonts w:ascii="Cambria Math" w:hAnsi="Cambria Math"/>
          </w:rPr>
          <m:t>=λ×</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ctrlPr>
                  <w:rPr>
                    <w:rFonts w:ascii="Cambria Math" w:hAnsi="Cambria Math"/>
                    <w:i/>
                  </w:rPr>
                </m:ctrlPr>
              </m:num>
              <m:den>
                <m:r>
                  <m:rPr/>
                  <w:rPr>
                    <w:rFonts w:ascii="Cambria Math" w:hAnsi="Cambria Math"/>
                  </w:rPr>
                  <m:t>ρ</m:t>
                </m:r>
                <m:ctrlPr>
                  <w:rPr>
                    <w:rFonts w:ascii="Cambria Math" w:hAnsi="Cambria Math"/>
                    <w:i/>
                  </w:rPr>
                </m:ctrlPr>
              </m:den>
            </m:f>
            <m:ctrlPr>
              <w:rPr>
                <w:rFonts w:ascii="Cambria Math" w:hAnsi="Cambria Math"/>
                <w:i/>
              </w:rPr>
            </m:ctrlPr>
          </m:e>
        </m:d>
        <m:r>
          <m:rPr/>
          <w:rPr>
            <w:rFonts w:ascii="Cambria Math" w:hAnsi="Cambria Math"/>
          </w:rPr>
          <m:t>×c×</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2A96DA0">
      <w:pPr>
        <w:pStyle w:val="57"/>
        <w:ind w:firstLine="420"/>
        <w:rPr>
          <w:rFonts w:ascii="Times New Roman" w:hAnsi="Times New Roman"/>
        </w:rPr>
      </w:pPr>
      <w:r>
        <w:rPr>
          <w:rFonts w:ascii="Times New Roman" w:hAnsi="Times New Roman"/>
        </w:rPr>
        <w:t>式中：</w:t>
      </w:r>
    </w:p>
    <w:p w14:paraId="68DF7B0C">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sd</m:t>
            </m:r>
            <m:ctrlPr>
              <w:rPr>
                <w:rFonts w:ascii="Cambria Math" w:hAnsi="Cambria Math"/>
                <w:i/>
              </w:rPr>
            </m:ctrlPr>
          </m:sub>
        </m:sSub>
      </m:oMath>
      <w:r>
        <w:rPr>
          <w:rFonts w:ascii="Times New Roman"/>
        </w:rPr>
        <w:t>——减少泥沙淤积价值，单位：万元；</w:t>
      </w:r>
    </w:p>
    <w:p w14:paraId="6080792A">
      <w:pPr>
        <w:pStyle w:val="58"/>
        <w:ind w:firstLine="420"/>
        <w:rPr>
          <w:rFonts w:ascii="Times New Roman"/>
        </w:rPr>
      </w:pPr>
      <m:oMath>
        <m:r>
          <m:rPr/>
          <w:rPr>
            <w:rFonts w:ascii="Cambria Math" w:hAnsi="Cambria Math"/>
          </w:rPr>
          <m:t>λ</m:t>
        </m:r>
      </m:oMath>
      <w:r>
        <w:rPr>
          <w:rFonts w:ascii="Times New Roman"/>
        </w:rPr>
        <w:t>——泥沙淤积系数，即土壤侵蚀流失泥沙淤积于水库、河流、湖泊，需清淤作业的比例，单位：%，见附录C.4.5；</w:t>
      </w:r>
    </w:p>
    <w:p w14:paraId="3BB51920">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rPr>
        <w:t>——土壤保持量，单位：t/a</w:t>
      </w:r>
      <w:r>
        <w:rPr>
          <w:rFonts w:hint="eastAsia" w:ascii="Times New Roman"/>
        </w:rPr>
        <w:t>；</w:t>
      </w:r>
    </w:p>
    <w:p w14:paraId="2D91A470">
      <w:pPr>
        <w:pStyle w:val="58"/>
        <w:ind w:firstLine="420"/>
        <w:rPr>
          <w:rFonts w:ascii="Times New Roman"/>
        </w:rPr>
      </w:pPr>
      <m:oMath>
        <m:r>
          <m:rPr/>
          <w:rPr>
            <w:rFonts w:ascii="Cambria Math" w:hAnsi="Cambria Math"/>
          </w:rPr>
          <m:t>ρ</m:t>
        </m:r>
      </m:oMath>
      <w:r>
        <w:rPr>
          <w:rFonts w:ascii="Times New Roman"/>
        </w:rPr>
        <w:t>——土壤容重，单位t/m</w:t>
      </w:r>
      <w:r>
        <w:rPr>
          <w:rFonts w:ascii="Times New Roman"/>
          <w:vertAlign w:val="superscript"/>
        </w:rPr>
        <w:t>3</w:t>
      </w:r>
      <w:r>
        <w:rPr>
          <w:rFonts w:ascii="Times New Roman"/>
        </w:rPr>
        <w:t>，见附录C.4.6；</w:t>
      </w:r>
    </w:p>
    <w:p w14:paraId="475E1EED">
      <w:pPr>
        <w:pStyle w:val="58"/>
        <w:ind w:firstLine="420"/>
        <w:rPr>
          <w:rFonts w:ascii="Times New Roman"/>
        </w:rPr>
      </w:pPr>
      <m:oMath>
        <m:r>
          <m:rPr/>
          <w:rPr>
            <w:rFonts w:ascii="Cambria Math" w:hAnsi="Cambria Math"/>
          </w:rPr>
          <m:t>c</m:t>
        </m:r>
      </m:oMath>
      <w:r>
        <w:rPr>
          <w:rFonts w:ascii="Times New Roman"/>
        </w:rPr>
        <w:t>——水库单位库容清淤工程费用，单位：元/m</w:t>
      </w:r>
      <w:r>
        <w:rPr>
          <w:rFonts w:ascii="Times New Roman"/>
          <w:vertAlign w:val="superscript"/>
        </w:rPr>
        <w:t>3</w:t>
      </w:r>
      <w:r>
        <w:rPr>
          <w:rFonts w:ascii="Times New Roman"/>
        </w:rPr>
        <w:t>。</w:t>
      </w:r>
    </w:p>
    <w:p w14:paraId="00D53375">
      <w:pPr>
        <w:pStyle w:val="169"/>
        <w:numPr>
          <w:ilvl w:val="5"/>
          <w:numId w:val="2"/>
        </w:numPr>
        <w:spacing w:before="156" w:after="156"/>
        <w:rPr>
          <w:rFonts w:ascii="Times New Roman" w:hAnsi="Times New Roman"/>
        </w:rPr>
      </w:pPr>
      <w:r>
        <w:rPr>
          <w:rFonts w:ascii="Times New Roman" w:hAnsi="Times New Roman"/>
        </w:rPr>
        <w:t>减少面源污染价值宜采用替代成本法核算，即因生态系统作用，通过土壤保持减少土壤中氮、磷等物质形成的面源污染，从而节省的治污成本。按照公式（4</w:t>
      </w:r>
      <w:r>
        <w:rPr>
          <w:rFonts w:hint="eastAsia" w:ascii="Times New Roman" w:hAnsi="Times New Roman"/>
        </w:rPr>
        <w:t>1</w:t>
      </w:r>
      <w:r>
        <w:rPr>
          <w:rFonts w:ascii="Times New Roman" w:hAnsi="Times New Roman"/>
        </w:rPr>
        <w:t>）计算。</w:t>
      </w:r>
    </w:p>
    <w:p w14:paraId="0E23BC50">
      <w:pPr>
        <w:pStyle w:val="115"/>
        <w:spacing w:before="156" w:after="156"/>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dpd</m:t>
            </m:r>
            <m:ctrlPr>
              <w:rPr>
                <w:rFonts w:ascii="Cambria Math" w:hAnsi="Cambria Math"/>
                <w:i/>
              </w:rPr>
            </m:ctrlPr>
          </m:sub>
        </m:sSub>
        <m:r>
          <m:rPr/>
          <w:rPr>
            <w:rFonts w:ascii="Cambria Math" w:hAnsi="Cambria Math"/>
          </w:rPr>
          <m:t>=</m:t>
        </m:r>
        <m:nary>
          <m:naryPr>
            <m:chr m:val="∑"/>
            <m:ctrlPr>
              <w:rPr>
                <w:rFonts w:ascii="Cambria Math" w:hAnsi="Cambria Math"/>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r>
                  <m:rPr>
                    <m:sty m:val="p"/>
                  </m:rPr>
                  <w:rPr>
                    <w:rFonts w:ascii="Cambria Math" w:hAnsi="Cambria Math"/>
                  </w:rPr>
                  <m:t>×</m:t>
                </m:r>
                <m:r>
                  <m:rPr/>
                  <w:rPr>
                    <w:rFonts w:ascii="Cambria Math" w:hAnsi="Cambria Math"/>
                  </w:rPr>
                  <m:t>SC</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ctrlPr>
                  <w:rPr>
                    <w:rFonts w:ascii="Cambria Math" w:hAnsi="Cambria Math"/>
                    <w:i/>
                  </w:rPr>
                </m:ctrlPr>
              </m:e>
            </m:d>
            <m:ctrlPr>
              <w:rPr>
                <w:rFonts w:ascii="Cambria Math" w:hAnsi="Cambria Math"/>
              </w:rPr>
            </m:ctrlPr>
          </m:e>
        </m:nary>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BFC145F">
      <w:pPr>
        <w:pStyle w:val="57"/>
        <w:ind w:firstLine="420"/>
        <w:rPr>
          <w:rFonts w:ascii="Times New Roman" w:hAnsi="Times New Roman"/>
        </w:rPr>
      </w:pPr>
      <w:r>
        <w:rPr>
          <w:rFonts w:ascii="Times New Roman" w:hAnsi="Times New Roman"/>
        </w:rPr>
        <w:t>式中：</w:t>
      </w:r>
    </w:p>
    <w:p w14:paraId="60A62E2E">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dpd</m:t>
            </m:r>
            <m:ctrlPr>
              <w:rPr>
                <w:rFonts w:ascii="Cambria Math" w:hAnsi="Cambria Math"/>
                <w:i/>
              </w:rPr>
            </m:ctrlPr>
          </m:sub>
        </m:sSub>
      </m:oMath>
      <w:r>
        <w:rPr>
          <w:rFonts w:ascii="Times New Roman"/>
        </w:rPr>
        <w:t>——减少面源污染价值，单位：万元</w:t>
      </w:r>
      <w:r>
        <w:rPr>
          <w:rFonts w:hint="eastAsia" w:ascii="Times New Roman"/>
        </w:rPr>
        <w:t>；</w:t>
      </w:r>
    </w:p>
    <w:p w14:paraId="62467C9A">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sr</m:t>
            </m:r>
            <m:ctrlPr>
              <w:rPr>
                <w:rFonts w:ascii="Cambria Math" w:hAnsi="Cambria Math"/>
                <w:i/>
              </w:rPr>
            </m:ctrlPr>
          </m:sub>
        </m:sSub>
      </m:oMath>
      <w:r>
        <w:rPr>
          <w:rFonts w:ascii="Times New Roman"/>
        </w:rPr>
        <w:t>——土壤保持量，单位：t/a</w:t>
      </w:r>
      <w:r>
        <w:rPr>
          <w:rFonts w:hint="eastAsia" w:ascii="Times New Roman"/>
        </w:rPr>
        <w:t>；</w:t>
      </w:r>
    </w:p>
    <w:p w14:paraId="45271908">
      <w:pPr>
        <w:pStyle w:val="58"/>
        <w:ind w:firstLine="420"/>
        <w:rPr>
          <w:rFonts w:ascii="Times New Roman"/>
        </w:rPr>
      </w:pPr>
      <m:oMath>
        <m:r>
          <m:rPr/>
          <w:rPr>
            <w:rFonts w:ascii="Cambria Math" w:hAnsi="Cambria Math"/>
          </w:rPr>
          <m:t>SC</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——土壤中第</w:t>
      </w:r>
      <m:oMath>
        <m:r>
          <m:rPr/>
          <w:rPr>
            <w:rFonts w:ascii="Cambria Math" w:hAnsi="Cambria Math"/>
          </w:rPr>
          <m:t>i</m:t>
        </m:r>
      </m:oMath>
      <w:r>
        <w:rPr>
          <w:rFonts w:ascii="Times New Roman"/>
        </w:rPr>
        <w:t>类污染物的含量，单位：kg/t；</w:t>
      </w:r>
    </w:p>
    <w:p w14:paraId="07F80FC4">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种面源污染物的单位处理成本，单位：元/t；</w:t>
      </w:r>
    </w:p>
    <w:p w14:paraId="52818D19">
      <w:pPr>
        <w:pStyle w:val="58"/>
        <w:ind w:firstLine="420"/>
        <w:rPr>
          <w:rFonts w:ascii="Times New Roman"/>
        </w:rPr>
      </w:pPr>
      <m:oMath>
        <m:r>
          <m:rPr/>
          <w:rPr>
            <w:rFonts w:ascii="Cambria Math" w:hAnsi="Cambria Math"/>
          </w:rPr>
          <m:t>i</m:t>
        </m:r>
      </m:oMath>
      <w:r>
        <w:rPr>
          <w:rFonts w:ascii="Times New Roman"/>
        </w:rPr>
        <w:t>——土壤中的主要面源污染类别，一般为全氮和全磷；</w:t>
      </w:r>
    </w:p>
    <w:p w14:paraId="4F0EC914">
      <w:pPr>
        <w:pStyle w:val="58"/>
        <w:ind w:firstLine="420"/>
        <w:rPr>
          <w:rFonts w:ascii="Times New Roman"/>
        </w:rPr>
      </w:pPr>
      <m:oMath>
        <m:r>
          <m:rPr/>
          <w:rPr>
            <w:rFonts w:ascii="Cambria Math" w:hAnsi="Cambria Math"/>
          </w:rPr>
          <m:t>n</m:t>
        </m:r>
      </m:oMath>
      <w:r>
        <w:rPr>
          <w:rFonts w:ascii="Times New Roman"/>
        </w:rPr>
        <w:t>——土壤中的面源污染物类别数量。</w:t>
      </w:r>
    </w:p>
    <w:p w14:paraId="0544EBAC">
      <w:pPr>
        <w:pStyle w:val="96"/>
        <w:spacing w:before="156" w:after="156"/>
        <w:rPr>
          <w:rFonts w:ascii="Times New Roman"/>
        </w:rPr>
      </w:pPr>
      <w:r>
        <w:rPr>
          <w:rFonts w:ascii="Times New Roman"/>
        </w:rPr>
        <w:t>洪水调蓄服务价值量</w:t>
      </w:r>
    </w:p>
    <w:p w14:paraId="4011CC13">
      <w:pPr>
        <w:pStyle w:val="58"/>
        <w:ind w:firstLine="420"/>
        <w:rPr>
          <w:rFonts w:ascii="Times New Roman"/>
        </w:rPr>
      </w:pPr>
      <w:r>
        <w:rPr>
          <w:rFonts w:ascii="Times New Roman"/>
        </w:rPr>
        <w:t>洪水调蓄服务价值量，宜采用替代成本法核算，即因生态系统作用调蓄洪水，而节省的水库建设、运营成本。按照公式（</w:t>
      </w:r>
      <w:r>
        <w:rPr>
          <w:rFonts w:hint="eastAsia" w:ascii="Times New Roman"/>
        </w:rPr>
        <w:t>42</w:t>
      </w:r>
      <w:r>
        <w:rPr>
          <w:rFonts w:ascii="Times New Roman"/>
        </w:rPr>
        <w:t>）计算。</w:t>
      </w:r>
    </w:p>
    <w:p w14:paraId="05CEBD49">
      <w:pPr>
        <w:pStyle w:val="115"/>
        <w:rPr>
          <w:rFonts w:ascii="Times New Roman" w:hAnsi="Times New Roman"/>
        </w:rPr>
      </w:pPr>
      <w:r>
        <w:rPr>
          <w:rFonts w:ascii="Times New Roman" w:hAnsi="Times New Roman"/>
        </w:rPr>
        <w:tab/>
      </w:r>
      <m:oMath>
        <m:sSub>
          <m:sSubPr>
            <m:ctrlPr>
              <w:rPr>
                <w:rFonts w:ascii="Cambria Math" w:hAnsi="Cambria Math"/>
                <w:kern w:val="0"/>
                <w:szCs w:val="20"/>
              </w:rPr>
            </m:ctrlPr>
          </m:sSubPr>
          <m:e>
            <m:r>
              <m:rPr/>
              <w:rPr>
                <w:rFonts w:ascii="Cambria Math" w:hAnsi="Cambria Math"/>
                <w:kern w:val="0"/>
                <w:szCs w:val="20"/>
              </w:rPr>
              <m:t>V</m:t>
            </m:r>
            <m:ctrlPr>
              <w:rPr>
                <w:rFonts w:ascii="Cambria Math" w:hAnsi="Cambria Math"/>
                <w:kern w:val="0"/>
                <w:szCs w:val="20"/>
              </w:rPr>
            </m:ctrlPr>
          </m:e>
          <m:sub>
            <m:r>
              <m:rPr/>
              <w:rPr>
                <w:rFonts w:ascii="Cambria Math" w:hAnsi="Cambria Math"/>
                <w:kern w:val="0"/>
                <w:szCs w:val="20"/>
              </w:rPr>
              <m:t>fm</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r>
              <m:rPr/>
              <w:rPr>
                <w:rFonts w:ascii="Cambria Math" w:hAnsi="Cambria Math"/>
                <w:kern w:val="0"/>
                <w:szCs w:val="20"/>
              </w:rPr>
              <m:t>fm</m:t>
            </m:r>
            <m:ctrlPr>
              <w:rPr>
                <w:rFonts w:ascii="Cambria Math" w:hAnsi="Cambria Math"/>
                <w:kern w:val="0"/>
                <w:szCs w:val="20"/>
              </w:rPr>
            </m:ctrlPr>
          </m:sub>
        </m:sSub>
        <m:r>
          <m:rPr>
            <m:nor/>
            <m:sty m:val="p"/>
          </m:rPr>
          <w:rPr>
            <w:rFonts w:ascii="Times New Roman" w:hAnsi="Times New Roman"/>
            <w:b w:val="0"/>
            <w:i w:val="0"/>
            <w:kern w:val="0"/>
            <w:szCs w:val="20"/>
          </w:rPr>
          <m:t>×</m:t>
        </m:r>
        <m:sSub>
          <m:sSubPr>
            <m:ctrlPr>
              <w:rPr>
                <w:rFonts w:ascii="Cambria Math" w:hAnsi="Cambria Math"/>
                <w:kern w:val="0"/>
                <w:szCs w:val="20"/>
              </w:rPr>
            </m:ctrlPr>
          </m:sSubPr>
          <m:e>
            <m:r>
              <m:rPr>
                <m:sty m:val="p"/>
              </m:rPr>
              <w:rPr>
                <w:rFonts w:ascii="Cambria Math" w:hAnsi="Cambria Math"/>
                <w:kern w:val="0"/>
                <w:szCs w:val="20"/>
              </w:rPr>
              <m:t>(</m:t>
            </m:r>
            <m:r>
              <m:rPr/>
              <w:rPr>
                <w:rFonts w:ascii="Cambria Math" w:hAnsi="Cambria Math"/>
                <w:kern w:val="0"/>
                <w:szCs w:val="20"/>
              </w:rPr>
              <m:t>C</m:t>
            </m:r>
            <m:ctrlPr>
              <w:rPr>
                <w:rFonts w:ascii="Cambria Math" w:hAnsi="Cambria Math"/>
                <w:kern w:val="0"/>
                <w:szCs w:val="20"/>
              </w:rPr>
            </m:ctrlPr>
          </m:e>
          <m:sub>
            <m:r>
              <m:rPr/>
              <w:rPr>
                <w:rFonts w:ascii="Cambria Math" w:hAnsi="Cambria Math"/>
                <w:kern w:val="0"/>
                <w:szCs w:val="20"/>
              </w:rPr>
              <m:t>we</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w:rPr>
                <w:rFonts w:ascii="Cambria Math" w:hAnsi="Cambria Math"/>
                <w:kern w:val="0"/>
                <w:szCs w:val="20"/>
              </w:rPr>
              <m:t>P</m:t>
            </m:r>
            <m:ctrlPr>
              <w:rPr>
                <w:rFonts w:ascii="Cambria Math" w:hAnsi="Cambria Math"/>
                <w:kern w:val="0"/>
                <w:szCs w:val="20"/>
              </w:rPr>
            </m:ctrlPr>
          </m:e>
          <m:sub>
            <m:r>
              <m:rPr/>
              <w:rPr>
                <w:rFonts w:ascii="Cambria Math" w:hAnsi="Cambria Math"/>
                <w:kern w:val="0"/>
                <w:szCs w:val="20"/>
              </w:rPr>
              <m:t>we</m:t>
            </m:r>
            <m:ctrlPr>
              <w:rPr>
                <w:rFonts w:ascii="Cambria Math" w:hAnsi="Cambria Math"/>
                <w:kern w:val="0"/>
                <w:szCs w:val="20"/>
              </w:rPr>
            </m:ctrlPr>
          </m:sub>
        </m:sSub>
        <m:sSub>
          <m:sSubPr>
            <m:ctrlPr>
              <w:rPr>
                <w:rFonts w:ascii="Cambria Math" w:hAnsi="Cambria Math"/>
                <w:kern w:val="0"/>
                <w:szCs w:val="20"/>
              </w:rPr>
            </m:ctrlPr>
          </m:sSubPr>
          <m:e>
            <m:r>
              <m:rPr>
                <m:sty m:val="p"/>
              </m:rPr>
              <w:rPr>
                <w:rFonts w:ascii="Cambria Math" w:hAnsi="Cambria Math"/>
                <w:kern w:val="0"/>
                <w:szCs w:val="20"/>
              </w:rPr>
              <m:t>×</m:t>
            </m:r>
            <m:r>
              <m:rPr/>
              <w:rPr>
                <w:rFonts w:ascii="Cambria Math" w:hAnsi="Cambria Math"/>
                <w:kern w:val="0"/>
                <w:szCs w:val="20"/>
              </w:rPr>
              <m:t>D</m:t>
            </m:r>
            <m:ctrlPr>
              <w:rPr>
                <w:rFonts w:ascii="Cambria Math" w:hAnsi="Cambria Math"/>
                <w:kern w:val="0"/>
                <w:szCs w:val="20"/>
              </w:rPr>
            </m:ctrlPr>
          </m:e>
          <m:sub>
            <m:r>
              <m:rPr/>
              <w:rPr>
                <w:rFonts w:ascii="Cambria Math" w:hAnsi="Cambria Math"/>
                <w:kern w:val="0"/>
                <w:szCs w:val="20"/>
              </w:rPr>
              <m:t>r</m:t>
            </m:r>
            <m:ctrlPr>
              <w:rPr>
                <w:rFonts w:ascii="Cambria Math" w:hAnsi="Cambria Math"/>
                <w:kern w:val="0"/>
                <w:szCs w:val="20"/>
              </w:rPr>
            </m:ctrlPr>
          </m:sub>
        </m:sSub>
        <m:r>
          <m:rPr>
            <m:sty m:val="p"/>
          </m:rPr>
          <w:rPr>
            <w:rFonts w:ascii="Cambria Math" w:hAnsi="Cambria Math"/>
            <w:kern w:val="0"/>
            <w:szCs w:val="20"/>
          </w:rPr>
          <m:t>)</m:t>
        </m:r>
        <m:r>
          <m:rPr/>
          <w:rPr>
            <w:rFonts w:ascii="Cambria Math" w:hAnsi="Cambria Math"/>
          </w:rPr>
          <m:t xml:space="preserve"> ×</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7405ED3">
      <w:pPr>
        <w:pStyle w:val="57"/>
        <w:ind w:firstLine="420"/>
        <w:rPr>
          <w:rFonts w:ascii="Times New Roman" w:hAnsi="Times New Roman"/>
        </w:rPr>
      </w:pPr>
      <w:r>
        <w:rPr>
          <w:rFonts w:ascii="Times New Roman" w:hAnsi="Times New Roman"/>
        </w:rPr>
        <w:t>式中：</w:t>
      </w:r>
    </w:p>
    <w:p w14:paraId="2B82C588">
      <w:pPr>
        <w:pStyle w:val="58"/>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fm</m:t>
            </m:r>
            <m:ctrlPr>
              <w:rPr>
                <w:rFonts w:ascii="Cambria Math" w:hAnsi="Cambria Math"/>
              </w:rPr>
            </m:ctrlPr>
          </m:sub>
        </m:sSub>
      </m:oMath>
      <w:r>
        <w:rPr>
          <w:rFonts w:ascii="Times New Roman"/>
        </w:rPr>
        <w:t>——洪水调蓄服务价值量，单位：万元/a；</w:t>
      </w:r>
    </w:p>
    <w:p w14:paraId="52E0B611">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fm</m:t>
            </m:r>
            <m:ctrlPr>
              <w:rPr>
                <w:rFonts w:ascii="Cambria Math" w:hAnsi="Cambria Math"/>
              </w:rPr>
            </m:ctrlPr>
          </m:sub>
        </m:sSub>
      </m:oMath>
      <w:r>
        <w:rPr>
          <w:rFonts w:ascii="Times New Roman"/>
        </w:rPr>
        <w:t>——生态系统调蓄洪水量，单位：m</w:t>
      </w:r>
      <w:r>
        <w:rPr>
          <w:rFonts w:ascii="Times New Roman"/>
          <w:vertAlign w:val="superscript"/>
        </w:rPr>
        <w:t>3</w:t>
      </w:r>
      <w:r>
        <w:rPr>
          <w:rFonts w:ascii="Times New Roman"/>
        </w:rPr>
        <w:t>/a；</w:t>
      </w:r>
    </w:p>
    <w:p w14:paraId="11B584D8">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we</m:t>
            </m:r>
            <m:ctrlPr>
              <w:rPr>
                <w:rFonts w:ascii="Cambria Math" w:hAnsi="Cambria Math"/>
              </w:rPr>
            </m:ctrlPr>
          </m:sub>
        </m:sSub>
      </m:oMath>
      <w:r>
        <w:rPr>
          <w:rFonts w:ascii="Times New Roman"/>
        </w:rPr>
        <w:t>——水库单位库容的年运营成本，单位：元/（m</w:t>
      </w:r>
      <w:r>
        <w:rPr>
          <w:rFonts w:ascii="Times New Roman"/>
          <w:vertAlign w:val="superscript"/>
        </w:rPr>
        <w:t>3</w:t>
      </w:r>
      <w:r>
        <w:rPr>
          <w:rFonts w:ascii="Times New Roman"/>
        </w:rPr>
        <w:t>·a）；</w:t>
      </w:r>
    </w:p>
    <w:p w14:paraId="7BB5FDB3">
      <w:pPr>
        <w:pStyle w:val="58"/>
        <w:ind w:firstLine="420"/>
        <w:rPr>
          <w:rFonts w:ascii="Times New Roman"/>
        </w:r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we</m:t>
            </m:r>
            <m:ctrlPr>
              <w:rPr>
                <w:rFonts w:ascii="Cambria Math" w:hAnsi="Cambria Math"/>
              </w:rPr>
            </m:ctrlPr>
          </m:sub>
        </m:sSub>
      </m:oMath>
      <w:r>
        <w:rPr>
          <w:rFonts w:ascii="Times New Roman"/>
        </w:rPr>
        <w:t>——水库单位库容的工程造价，单位：元/m</w:t>
      </w:r>
      <w:r>
        <w:rPr>
          <w:rFonts w:ascii="Times New Roman"/>
          <w:vertAlign w:val="superscript"/>
        </w:rPr>
        <w:t>3</w:t>
      </w:r>
      <w:r>
        <w:rPr>
          <w:rFonts w:ascii="Times New Roman"/>
        </w:rPr>
        <w:t>；</w:t>
      </w:r>
    </w:p>
    <w:p w14:paraId="0FD2B4D1">
      <w:pPr>
        <w:pStyle w:val="58"/>
        <w:ind w:firstLine="420"/>
        <w:rPr>
          <w:rFonts w:ascii="Times New Roman"/>
        </w:rPr>
      </w:pP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r</m:t>
            </m:r>
            <m:ctrlPr>
              <w:rPr>
                <w:rFonts w:ascii="Cambria Math" w:hAnsi="Cambria Math"/>
              </w:rPr>
            </m:ctrlPr>
          </m:sub>
        </m:sSub>
      </m:oMath>
      <w:r>
        <w:rPr>
          <w:rFonts w:ascii="Times New Roman"/>
        </w:rPr>
        <w:t>——水库年折旧率。</w:t>
      </w:r>
    </w:p>
    <w:p w14:paraId="216F61E9">
      <w:pPr>
        <w:pStyle w:val="96"/>
        <w:spacing w:before="156" w:after="156"/>
        <w:rPr>
          <w:rFonts w:ascii="Times New Roman"/>
        </w:rPr>
      </w:pPr>
      <w:r>
        <w:rPr>
          <w:rFonts w:ascii="Times New Roman"/>
        </w:rPr>
        <w:t>空气净化价值量</w:t>
      </w:r>
    </w:p>
    <w:p w14:paraId="490BF306">
      <w:pPr>
        <w:pStyle w:val="58"/>
        <w:ind w:firstLine="420"/>
        <w:rPr>
          <w:rFonts w:ascii="Times New Roman"/>
        </w:rPr>
      </w:pPr>
      <w:r>
        <w:rPr>
          <w:rFonts w:ascii="Times New Roman"/>
        </w:rPr>
        <w:t>空气净化服务价值量，宜采用替代成本法（工业治理大气污染物成本）核算。主要核算SO</w:t>
      </w:r>
      <w:r>
        <w:rPr>
          <w:rFonts w:ascii="Times New Roman"/>
          <w:vertAlign w:val="subscript"/>
        </w:rPr>
        <w:t>2</w:t>
      </w:r>
      <w:r>
        <w:rPr>
          <w:rFonts w:ascii="Times New Roman"/>
        </w:rPr>
        <w:t>、NO</w:t>
      </w:r>
      <w:r>
        <w:rPr>
          <w:rFonts w:ascii="Times New Roman"/>
          <w:vertAlign w:val="subscript"/>
        </w:rPr>
        <w:t>x</w:t>
      </w:r>
      <w:r>
        <w:rPr>
          <w:rFonts w:ascii="Times New Roman"/>
        </w:rPr>
        <w:t>、烟粉尘等污染物净化服务价值。按照公式（</w:t>
      </w:r>
      <w:r>
        <w:rPr>
          <w:rFonts w:hint="eastAsia" w:ascii="Times New Roman"/>
        </w:rPr>
        <w:t>43</w:t>
      </w:r>
      <w:r>
        <w:rPr>
          <w:rFonts w:ascii="Times New Roman"/>
        </w:rPr>
        <w:t>）计算。</w:t>
      </w:r>
    </w:p>
    <w:p w14:paraId="6A76FCAD">
      <w:pPr>
        <w:pStyle w:val="115"/>
        <w:rPr>
          <w:rFonts w:ascii="Times New Roman" w:hAnsi="Times New Roman"/>
        </w:rPr>
      </w:pPr>
      <w:r>
        <w:rPr>
          <w:rFonts w:ascii="Times New Roman" w:hAnsi="Times New Roman"/>
        </w:rPr>
        <w:tab/>
      </w:r>
      <m:oMath>
        <m:sSub>
          <m:sSubPr>
            <m:ctrlPr>
              <w:rPr>
                <w:rFonts w:ascii="Cambria Math" w:hAnsi="Cambria Math"/>
                <w:szCs w:val="20"/>
              </w:rPr>
            </m:ctrlPr>
          </m:sSubPr>
          <m:e>
            <m:r>
              <m:rPr/>
              <w:rPr>
                <w:rFonts w:ascii="Cambria Math" w:hAnsi="Cambria Math"/>
                <w:szCs w:val="20"/>
              </w:rPr>
              <m:t>V</m:t>
            </m:r>
            <m:ctrlPr>
              <w:rPr>
                <w:rFonts w:ascii="Cambria Math" w:hAnsi="Cambria Math"/>
                <w:szCs w:val="20"/>
              </w:rPr>
            </m:ctrlPr>
          </m:e>
          <m:sub>
            <m:r>
              <m:rPr/>
              <w:rPr>
                <w:rFonts w:ascii="Cambria Math" w:hAnsi="Cambria Math"/>
                <w:szCs w:val="20"/>
              </w:rPr>
              <m:t>ap</m:t>
            </m:r>
            <m:ctrlPr>
              <w:rPr>
                <w:rFonts w:ascii="Cambria Math" w:hAnsi="Cambria Math"/>
                <w:szCs w:val="20"/>
              </w:rPr>
            </m:ctrlPr>
          </m:sub>
        </m:sSub>
        <m:r>
          <m:rPr>
            <m:sty m:val="p"/>
          </m:rPr>
          <w:rPr>
            <w:rFonts w:ascii="Cambria Math" w:hAnsi="Cambria Math"/>
            <w:szCs w:val="20"/>
          </w:rPr>
          <m:t>=</m:t>
        </m:r>
        <m:nary>
          <m:naryPr>
            <m:chr m:val="∑"/>
            <m:limLoc m:val="subSup"/>
            <m:ctrlPr>
              <w:rPr>
                <w:rFonts w:ascii="Cambria Math" w:hAnsi="Cambria Math"/>
                <w:szCs w:val="20"/>
              </w:rPr>
            </m:ctrlPr>
          </m:naryPr>
          <m:sub>
            <m:r>
              <m:rPr/>
              <w:rPr>
                <w:rFonts w:ascii="Cambria Math" w:hAnsi="Cambria Math"/>
                <w:szCs w:val="20"/>
              </w:rPr>
              <m:t>i</m:t>
            </m:r>
            <m:r>
              <m:rPr>
                <m:sty m:val="p"/>
              </m:rPr>
              <w:rPr>
                <w:rFonts w:ascii="Cambria Math" w:hAnsi="Cambria Math"/>
                <w:szCs w:val="20"/>
              </w:rPr>
              <m:t>=1</m:t>
            </m:r>
            <m:ctrlPr>
              <w:rPr>
                <w:rFonts w:ascii="Cambria Math" w:hAnsi="Cambria Math"/>
                <w:szCs w:val="20"/>
              </w:rPr>
            </m:ctrlPr>
          </m:sub>
          <m:sup>
            <m:r>
              <m:rPr/>
              <w:rPr>
                <w:rFonts w:ascii="Cambria Math" w:hAnsi="Cambria Math"/>
                <w:szCs w:val="20"/>
              </w:rPr>
              <m:t>n</m:t>
            </m:r>
            <m:ctrlPr>
              <w:rPr>
                <w:rFonts w:ascii="Cambria Math" w:hAnsi="Cambria Math"/>
                <w:szCs w:val="20"/>
              </w:rPr>
            </m:ctrlPr>
          </m:sup>
          <m:e>
            <m:sSub>
              <m:sSubPr>
                <m:ctrlPr>
                  <w:rPr>
                    <w:rFonts w:ascii="Cambria Math" w:hAnsi="Cambria Math"/>
                    <w:szCs w:val="20"/>
                  </w:rPr>
                </m:ctrlPr>
              </m:sSubPr>
              <m:e>
                <m:r>
                  <m:rPr/>
                  <w:rPr>
                    <w:rFonts w:ascii="Cambria Math" w:hAnsi="Cambria Math"/>
                    <w:szCs w:val="20"/>
                  </w:rPr>
                  <m:t>Q</m:t>
                </m:r>
                <m:ctrlPr>
                  <w:rPr>
                    <w:rFonts w:ascii="Cambria Math" w:hAnsi="Cambria Math"/>
                    <w:szCs w:val="20"/>
                  </w:rPr>
                </m:ctrlPr>
              </m:e>
              <m:sub>
                <m:r>
                  <m:rPr/>
                  <w:rPr>
                    <w:rFonts w:ascii="Cambria Math" w:hAnsi="Cambria Math"/>
                    <w:szCs w:val="20"/>
                  </w:rPr>
                  <m:t>ap i</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w:rPr>
                    <w:rFonts w:ascii="Cambria Math" w:hAnsi="Cambria Math"/>
                    <w:szCs w:val="20"/>
                  </w:rPr>
                  <m:t>c</m:t>
                </m:r>
                <m:ctrlPr>
                  <w:rPr>
                    <w:rFonts w:ascii="Cambria Math" w:hAnsi="Cambria Math"/>
                    <w:szCs w:val="20"/>
                  </w:rPr>
                </m:ctrlPr>
              </m:e>
              <m:sub>
                <m:r>
                  <m:rPr/>
                  <w:rPr>
                    <w:rFonts w:ascii="Cambria Math" w:hAnsi="Cambria Math"/>
                    <w:szCs w:val="20"/>
                  </w:rPr>
                  <m:t>i</m:t>
                </m:r>
                <m:ctrlPr>
                  <w:rPr>
                    <w:rFonts w:ascii="Cambria Math" w:hAnsi="Cambria Math"/>
                    <w:szCs w:val="20"/>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ctrlPr>
              <w:rPr>
                <w:rFonts w:ascii="Cambria Math" w:hAnsi="Cambria Math"/>
                <w:szCs w:val="20"/>
              </w:rPr>
            </m:ctrlPr>
          </m:e>
        </m:nary>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1C86E55">
      <w:pPr>
        <w:pStyle w:val="57"/>
        <w:ind w:firstLine="420"/>
        <w:rPr>
          <w:rFonts w:ascii="Times New Roman" w:hAnsi="Times New Roman"/>
        </w:rPr>
      </w:pPr>
      <w:r>
        <w:rPr>
          <w:rFonts w:ascii="Times New Roman" w:hAnsi="Times New Roman"/>
        </w:rPr>
        <w:t>式中：</w:t>
      </w:r>
    </w:p>
    <w:p w14:paraId="313DABE4">
      <w:pPr>
        <w:pStyle w:val="58"/>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ap</m:t>
            </m:r>
            <m:ctrlPr>
              <w:rPr>
                <w:rFonts w:ascii="Cambria Math" w:hAnsi="Cambria Math"/>
              </w:rPr>
            </m:ctrlPr>
          </m:sub>
        </m:sSub>
      </m:oMath>
      <w:r>
        <w:rPr>
          <w:rFonts w:ascii="Times New Roman"/>
        </w:rPr>
        <w:t>——生态系统空气净化服务价值量，单位：万元；</w:t>
      </w:r>
    </w:p>
    <w:p w14:paraId="25F80ACB">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ap 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种大气污染物的净化量，单位：t/a；</w:t>
      </w:r>
    </w:p>
    <w:p w14:paraId="37C2D3BB">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类大气污染物的治理成本，单位：元/t；</w:t>
      </w:r>
    </w:p>
    <w:p w14:paraId="4841796F">
      <w:pPr>
        <w:pStyle w:val="58"/>
        <w:ind w:firstLine="420"/>
        <w:rPr>
          <w:rFonts w:ascii="Times New Roman"/>
        </w:rPr>
      </w:pPr>
      <w:r>
        <w:rPr>
          <w:rFonts w:ascii="Times New Roman"/>
          <w:i/>
          <w:iCs/>
        </w:rPr>
        <w:t>i</w:t>
      </w:r>
      <w:r>
        <w:rPr>
          <w:rFonts w:ascii="Times New Roman"/>
        </w:rPr>
        <w:t>——大气污染物类别，默认为SO</w:t>
      </w:r>
      <w:r>
        <w:rPr>
          <w:rFonts w:ascii="Times New Roman"/>
          <w:vertAlign w:val="subscript"/>
        </w:rPr>
        <w:t>2</w:t>
      </w:r>
      <w:r>
        <w:rPr>
          <w:rFonts w:ascii="Times New Roman"/>
        </w:rPr>
        <w:t>、NO</w:t>
      </w:r>
      <w:r>
        <w:rPr>
          <w:rFonts w:ascii="Times New Roman"/>
          <w:vertAlign w:val="subscript"/>
        </w:rPr>
        <w:t>x</w:t>
      </w:r>
      <w:r>
        <w:rPr>
          <w:rFonts w:ascii="Times New Roman"/>
        </w:rPr>
        <w:t>、烟粉尘等三类；</w:t>
      </w:r>
    </w:p>
    <w:p w14:paraId="12DC82A0">
      <w:pPr>
        <w:pStyle w:val="58"/>
        <w:ind w:firstLine="420"/>
        <w:rPr>
          <w:rFonts w:ascii="Times New Roman"/>
        </w:rPr>
      </w:pPr>
      <w:r>
        <w:rPr>
          <w:rFonts w:ascii="Times New Roman"/>
          <w:i/>
          <w:iCs/>
        </w:rPr>
        <w:t>n</w:t>
      </w:r>
      <w:r>
        <w:rPr>
          <w:rFonts w:ascii="Times New Roman"/>
        </w:rPr>
        <w:t>——大气污染物类别的数量</w:t>
      </w:r>
      <w:r>
        <w:rPr>
          <w:rFonts w:hint="eastAsia" w:ascii="Times New Roman"/>
        </w:rPr>
        <w:t>。</w:t>
      </w:r>
    </w:p>
    <w:p w14:paraId="308BEBCC">
      <w:pPr>
        <w:pStyle w:val="96"/>
        <w:spacing w:before="156" w:after="156"/>
        <w:rPr>
          <w:rFonts w:ascii="Times New Roman"/>
        </w:rPr>
      </w:pPr>
      <w:r>
        <w:rPr>
          <w:rFonts w:ascii="Times New Roman"/>
        </w:rPr>
        <w:t>水质净化服务价值量</w:t>
      </w:r>
    </w:p>
    <w:p w14:paraId="02E1C961">
      <w:pPr>
        <w:pStyle w:val="58"/>
        <w:ind w:firstLine="420"/>
        <w:rPr>
          <w:rFonts w:ascii="Times New Roman"/>
        </w:rPr>
      </w:pPr>
      <w:r>
        <w:rPr>
          <w:rFonts w:ascii="Times New Roman"/>
        </w:rPr>
        <w:t>水质净化服务价值量，宜采用替代成本法（工业治理水污染物成本）核算，主要核算化学需氧量、总氮、总磷等污染物净化服务价值。按照公式（</w:t>
      </w:r>
      <w:r>
        <w:rPr>
          <w:rFonts w:hint="eastAsia" w:ascii="Times New Roman"/>
        </w:rPr>
        <w:t>44</w:t>
      </w:r>
      <w:r>
        <w:rPr>
          <w:rFonts w:ascii="Times New Roman"/>
        </w:rPr>
        <w:t>）计算。</w:t>
      </w:r>
    </w:p>
    <w:p w14:paraId="2AF740AB">
      <w:pPr>
        <w:pStyle w:val="115"/>
        <w:rPr>
          <w:rFonts w:ascii="Times New Roman" w:hAnsi="Times New Roman"/>
        </w:rPr>
      </w:pPr>
      <w:r>
        <w:rPr>
          <w:rFonts w:ascii="Times New Roman" w:hAnsi="Times New Roman"/>
        </w:rPr>
        <w:tab/>
      </w:r>
      <m:oMath>
        <m:sSub>
          <m:sSubPr>
            <m:ctrlPr>
              <w:rPr>
                <w:rFonts w:ascii="Cambria Math" w:hAnsi="Cambria Math"/>
                <w:szCs w:val="20"/>
              </w:rPr>
            </m:ctrlPr>
          </m:sSubPr>
          <m:e>
            <m:r>
              <m:rPr/>
              <w:rPr>
                <w:rFonts w:ascii="Cambria Math" w:hAnsi="Cambria Math"/>
                <w:szCs w:val="20"/>
              </w:rPr>
              <m:t>V</m:t>
            </m:r>
            <m:ctrlPr>
              <w:rPr>
                <w:rFonts w:ascii="Cambria Math" w:hAnsi="Cambria Math"/>
                <w:szCs w:val="20"/>
              </w:rPr>
            </m:ctrlPr>
          </m:e>
          <m:sub>
            <m:r>
              <m:rPr/>
              <w:rPr>
                <w:rFonts w:ascii="Cambria Math" w:hAnsi="Cambria Math"/>
                <w:szCs w:val="20"/>
              </w:rPr>
              <m:t>wp</m:t>
            </m:r>
            <m:ctrlPr>
              <w:rPr>
                <w:rFonts w:ascii="Cambria Math" w:hAnsi="Cambria Math"/>
                <w:szCs w:val="20"/>
              </w:rPr>
            </m:ctrlPr>
          </m:sub>
        </m:sSub>
        <m:r>
          <m:rPr>
            <m:sty m:val="p"/>
          </m:rPr>
          <w:rPr>
            <w:rFonts w:ascii="Cambria Math" w:hAnsi="Cambria Math"/>
            <w:szCs w:val="20"/>
          </w:rPr>
          <m:t>=</m:t>
        </m:r>
        <m:nary>
          <m:naryPr>
            <m:chr m:val="∑"/>
            <m:limLoc m:val="undOvr"/>
            <m:ctrlPr>
              <w:rPr>
                <w:rFonts w:ascii="Cambria Math" w:hAnsi="Cambria Math"/>
                <w:szCs w:val="20"/>
              </w:rPr>
            </m:ctrlPr>
          </m:naryPr>
          <m:sub>
            <m:r>
              <m:rPr/>
              <w:rPr>
                <w:rFonts w:ascii="Cambria Math" w:hAnsi="Cambria Math"/>
                <w:szCs w:val="20"/>
              </w:rPr>
              <m:t>i</m:t>
            </m:r>
            <m:r>
              <m:rPr>
                <m:sty m:val="p"/>
              </m:rPr>
              <w:rPr>
                <w:rFonts w:ascii="Cambria Math" w:hAnsi="Cambria Math"/>
                <w:szCs w:val="20"/>
              </w:rPr>
              <m:t>=1</m:t>
            </m:r>
            <m:ctrlPr>
              <w:rPr>
                <w:rFonts w:ascii="Cambria Math" w:hAnsi="Cambria Math"/>
                <w:szCs w:val="20"/>
              </w:rPr>
            </m:ctrlPr>
          </m:sub>
          <m:sup>
            <m:r>
              <m:rPr/>
              <w:rPr>
                <w:rFonts w:ascii="Cambria Math" w:hAnsi="Cambria Math"/>
                <w:szCs w:val="20"/>
              </w:rPr>
              <m:t>n</m:t>
            </m:r>
            <m:ctrlPr>
              <w:rPr>
                <w:rFonts w:ascii="Cambria Math" w:hAnsi="Cambria Math"/>
                <w:szCs w:val="20"/>
              </w:rPr>
            </m:ctrlPr>
          </m:sup>
          <m:e>
            <m:sSub>
              <m:sSubPr>
                <m:ctrlPr>
                  <w:rPr>
                    <w:rFonts w:ascii="Cambria Math" w:hAnsi="Cambria Math"/>
                    <w:szCs w:val="20"/>
                  </w:rPr>
                </m:ctrlPr>
              </m:sSubPr>
              <m:e>
                <m:r>
                  <m:rPr/>
                  <w:rPr>
                    <w:rFonts w:ascii="Cambria Math" w:hAnsi="Cambria Math"/>
                    <w:szCs w:val="20"/>
                  </w:rPr>
                  <m:t>Q</m:t>
                </m:r>
                <m:ctrlPr>
                  <w:rPr>
                    <w:rFonts w:ascii="Cambria Math" w:hAnsi="Cambria Math"/>
                    <w:szCs w:val="20"/>
                  </w:rPr>
                </m:ctrlPr>
              </m:e>
              <m:sub>
                <m:r>
                  <m:rPr/>
                  <w:rPr>
                    <w:rFonts w:ascii="Cambria Math" w:hAnsi="Cambria Math"/>
                    <w:szCs w:val="20"/>
                  </w:rPr>
                  <m:t>wpi</m:t>
                </m:r>
                <m:ctrlPr>
                  <w:rPr>
                    <w:rFonts w:ascii="Cambria Math" w:hAnsi="Cambria Math"/>
                    <w:szCs w:val="20"/>
                  </w:rPr>
                </m:ctrlPr>
              </m:sub>
            </m:sSub>
            <m:ctrlPr>
              <w:rPr>
                <w:rFonts w:ascii="Cambria Math" w:hAnsi="Cambria Math"/>
                <w:szCs w:val="20"/>
              </w:rPr>
            </m:ctrlPr>
          </m:e>
        </m:nary>
        <m:r>
          <m:rPr>
            <m:sty m:val="p"/>
          </m:rPr>
          <w:rPr>
            <w:rFonts w:ascii="Cambria Math" w:hAnsi="Cambria Math"/>
            <w:szCs w:val="20"/>
          </w:rPr>
          <m:t>×</m:t>
        </m:r>
        <m:sSub>
          <m:sSubPr>
            <m:ctrlPr>
              <w:rPr>
                <w:rFonts w:ascii="Cambria Math" w:hAnsi="Cambria Math"/>
                <w:szCs w:val="20"/>
              </w:rPr>
            </m:ctrlPr>
          </m:sSubPr>
          <m:e>
            <m:r>
              <m:rPr/>
              <w:rPr>
                <w:rFonts w:ascii="Cambria Math" w:hAnsi="Cambria Math"/>
                <w:szCs w:val="20"/>
              </w:rPr>
              <m:t>c</m:t>
            </m:r>
            <m:ctrlPr>
              <w:rPr>
                <w:rFonts w:ascii="Cambria Math" w:hAnsi="Cambria Math"/>
                <w:szCs w:val="20"/>
              </w:rPr>
            </m:ctrlPr>
          </m:e>
          <m:sub>
            <m:r>
              <m:rPr/>
              <w:rPr>
                <w:rFonts w:ascii="Cambria Math" w:hAnsi="Cambria Math"/>
                <w:szCs w:val="20"/>
              </w:rPr>
              <m:t>i</m:t>
            </m:r>
            <m:ctrlPr>
              <w:rPr>
                <w:rFonts w:ascii="Cambria Math" w:hAnsi="Cambria Math"/>
                <w:szCs w:val="20"/>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A789CF7">
      <w:pPr>
        <w:pStyle w:val="57"/>
        <w:ind w:firstLine="420"/>
        <w:rPr>
          <w:rFonts w:ascii="Times New Roman" w:hAnsi="Times New Roman"/>
        </w:rPr>
      </w:pPr>
      <w:r>
        <w:rPr>
          <w:rFonts w:ascii="Times New Roman" w:hAnsi="Times New Roman"/>
        </w:rPr>
        <w:t>式中：</w:t>
      </w:r>
    </w:p>
    <w:p w14:paraId="302A8D18">
      <w:pPr>
        <w:pStyle w:val="58"/>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wp</m:t>
            </m:r>
            <m:ctrlPr>
              <w:rPr>
                <w:rFonts w:ascii="Cambria Math" w:hAnsi="Cambria Math"/>
              </w:rPr>
            </m:ctrlPr>
          </m:sub>
        </m:sSub>
      </m:oMath>
      <w:r>
        <w:rPr>
          <w:rFonts w:ascii="Times New Roman"/>
        </w:rPr>
        <w:t>——生态系统水质净化服务价值量，单位：万元/a；</w:t>
      </w:r>
    </w:p>
    <w:p w14:paraId="6B7391A1">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wpi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类水体污染物的净化量，单位：t/a；</w:t>
      </w:r>
    </w:p>
    <w:p w14:paraId="4BA6CB5E">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i</m:t>
            </m:r>
            <m:ctrlPr>
              <w:rPr>
                <w:rFonts w:ascii="Cambria Math" w:hAnsi="Cambria Math"/>
              </w:rPr>
            </m:ctrlPr>
          </m:sub>
        </m:sSub>
      </m:oMath>
      <w:r>
        <w:rPr>
          <w:rFonts w:ascii="Times New Roman"/>
        </w:rPr>
        <w:t>——第</w:t>
      </w:r>
      <m:oMath>
        <m:r>
          <m:rPr/>
          <w:rPr>
            <w:rFonts w:ascii="Cambria Math" w:hAnsi="Cambria Math"/>
          </w:rPr>
          <m:t>i</m:t>
        </m:r>
      </m:oMath>
      <w:r>
        <w:rPr>
          <w:rFonts w:ascii="Times New Roman"/>
        </w:rPr>
        <w:t>类水体污染物的治理成本，单位：元/t；</w:t>
      </w:r>
    </w:p>
    <w:p w14:paraId="58D4B4FB">
      <w:pPr>
        <w:pStyle w:val="58"/>
        <w:ind w:firstLine="420"/>
        <w:rPr>
          <w:rFonts w:ascii="Times New Roman"/>
        </w:rPr>
      </w:pPr>
      <w:r>
        <w:rPr>
          <w:rFonts w:ascii="Times New Roman"/>
          <w:i/>
          <w:iCs/>
        </w:rPr>
        <w:t>i</w:t>
      </w:r>
      <w:r>
        <w:rPr>
          <w:rFonts w:ascii="Times New Roman"/>
        </w:rPr>
        <w:t>——水体污染物类别，默认为化学需氧量、总氮、总磷等三类；</w:t>
      </w:r>
    </w:p>
    <w:p w14:paraId="732FE73C">
      <w:pPr>
        <w:pStyle w:val="58"/>
        <w:ind w:firstLine="420"/>
        <w:rPr>
          <w:rFonts w:ascii="Times New Roman"/>
        </w:rPr>
      </w:pPr>
      <w:r>
        <w:rPr>
          <w:rFonts w:ascii="Times New Roman"/>
          <w:i/>
          <w:iCs/>
        </w:rPr>
        <w:t>n</w:t>
      </w:r>
      <w:r>
        <w:rPr>
          <w:rFonts w:ascii="Times New Roman"/>
        </w:rPr>
        <w:t>——水体污染物类别的数量；</w:t>
      </w:r>
    </w:p>
    <w:p w14:paraId="0FC6D1C6">
      <w:pPr>
        <w:pStyle w:val="96"/>
        <w:spacing w:before="156" w:after="156"/>
        <w:rPr>
          <w:rFonts w:ascii="Times New Roman"/>
        </w:rPr>
      </w:pPr>
      <w:r>
        <w:rPr>
          <w:rFonts w:ascii="Times New Roman"/>
        </w:rPr>
        <w:t>固碳服务价值量</w:t>
      </w:r>
    </w:p>
    <w:p w14:paraId="596A5ED6">
      <w:pPr>
        <w:pStyle w:val="58"/>
        <w:ind w:firstLine="420"/>
        <w:rPr>
          <w:rFonts w:ascii="Times New Roman"/>
        </w:rPr>
      </w:pPr>
      <w:r>
        <w:rPr>
          <w:rFonts w:ascii="Times New Roman"/>
        </w:rPr>
        <w:t>固碳服务价值量，宜采用市场价值法核算。</w:t>
      </w:r>
      <w:bookmarkStart w:id="92" w:name="_Hlk179207848"/>
      <w:r>
        <w:rPr>
          <w:rFonts w:ascii="Times New Roman"/>
        </w:rPr>
        <w:t>按照公式（</w:t>
      </w:r>
      <w:r>
        <w:rPr>
          <w:rFonts w:hint="eastAsia" w:ascii="Times New Roman"/>
        </w:rPr>
        <w:t>45</w:t>
      </w:r>
      <w:r>
        <w:rPr>
          <w:rFonts w:ascii="Times New Roman"/>
        </w:rPr>
        <w:t>）计算：</w:t>
      </w:r>
      <w:bookmarkEnd w:id="92"/>
    </w:p>
    <w:p w14:paraId="60C523A3">
      <w:pPr>
        <w:pStyle w:val="115"/>
        <w:rPr>
          <w:rFonts w:ascii="Times New Roman" w:hAnsi="Times New Roman"/>
        </w:rPr>
      </w:pPr>
      <w:r>
        <w:rPr>
          <w:rFonts w:ascii="Times New Roman" w:hAnsi="Times New Roman"/>
        </w:rPr>
        <w:tab/>
      </w:r>
      <m:oMath>
        <m:sSub>
          <m:sSubPr>
            <m:ctrlPr>
              <w:rPr>
                <w:rFonts w:ascii="Cambria Math" w:hAnsi="Cambria Math"/>
                <w:i/>
              </w:rPr>
            </m:ctrlPr>
          </m:sSubPr>
          <m:e>
            <m:r>
              <m:rPr>
                <m:nor/>
              </m:rPr>
              <w:rPr>
                <w:rFonts w:ascii="Times New Roman" w:hAnsi="Times New Roman"/>
                <w:i/>
              </w:rPr>
              <m:t>V</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m:nor/>
          </m:rPr>
          <w:rPr>
            <w:rFonts w:ascii="Times New Roman" w:hAnsi="Times New Roman"/>
            <w:i/>
          </w:rPr>
          <m:t xml:space="preserve">= </m:t>
        </m:r>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5F513A3">
      <w:pPr>
        <w:pStyle w:val="57"/>
        <w:ind w:firstLine="420"/>
        <w:rPr>
          <w:rFonts w:ascii="Times New Roman" w:hAnsi="Times New Roman"/>
        </w:rPr>
      </w:pPr>
      <w:r>
        <w:rPr>
          <w:rFonts w:ascii="Times New Roman" w:hAnsi="Times New Roman"/>
        </w:rPr>
        <w:t>式中：</w:t>
      </w:r>
    </w:p>
    <w:p w14:paraId="25FF0B84">
      <w:pPr>
        <w:widowControl/>
        <w:autoSpaceDE w:val="0"/>
        <w:autoSpaceDN w:val="0"/>
        <w:spacing w:line="240" w:lineRule="auto"/>
        <w:ind w:firstLine="420" w:firstLineChars="20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ctrlPr>
              <w:rPr>
                <w:rFonts w:ascii="Cambria Math" w:hAnsi="Cambria Math"/>
                <w:i/>
              </w:rPr>
            </m:ctrlPr>
          </m:e>
          <m:sub>
            <m:sSub>
              <m:sSubPr>
                <m:ctrlPr>
                  <w:rPr>
                    <w:rFonts w:ascii="Cambria Math" w:hAnsi="Cambria Math"/>
                    <w:i/>
                  </w:rPr>
                </m:ctrlPr>
              </m:sSubPr>
              <m:e>
                <m:r>
                  <m:rPr/>
                  <w:rPr>
                    <w:rFonts w:ascii="Cambria Math" w:hAnsi="Cambria Math"/>
                  </w:rPr>
                  <m:t>CO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oMath>
      <w:r>
        <w:rPr>
          <w:rFonts w:ascii="Times New Roman" w:hAnsi="Times New Roman"/>
          <w:kern w:val="0"/>
          <w:szCs w:val="20"/>
        </w:rPr>
        <w:t>——固碳服务价值</w:t>
      </w:r>
      <w:r>
        <w:rPr>
          <w:rFonts w:ascii="Times New Roman" w:hAnsi="Times New Roman"/>
        </w:rPr>
        <w:t>，单位：</w:t>
      </w:r>
      <w:r>
        <w:rPr>
          <w:rFonts w:hint="eastAsia" w:ascii="Times New Roman" w:hAnsi="Times New Roman"/>
        </w:rPr>
        <w:t>万</w:t>
      </w:r>
      <w:r>
        <w:rPr>
          <w:rFonts w:ascii="Times New Roman" w:hAnsi="Times New Roman"/>
        </w:rPr>
        <w:t>元/a</w:t>
      </w:r>
      <w:r>
        <w:rPr>
          <w:rFonts w:ascii="Times New Roman" w:hAnsi="Times New Roman"/>
          <w:kern w:val="0"/>
          <w:szCs w:val="20"/>
        </w:rPr>
        <w:t>；</w:t>
      </w:r>
    </w:p>
    <w:p w14:paraId="44697C61">
      <w:pPr>
        <w:widowControl/>
        <w:autoSpaceDE w:val="0"/>
        <w:autoSpaceDN w:val="0"/>
        <w:spacing w:line="240" w:lineRule="auto"/>
        <w:ind w:firstLine="420" w:firstLineChars="200"/>
        <w:jc w:val="left"/>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sSub>
              <m:sSubPr>
                <m:ctrlPr>
                  <w:rPr>
                    <w:rFonts w:ascii="Cambria Math" w:hAnsi="Cambria Math"/>
                    <w:kern w:val="0"/>
                    <w:szCs w:val="20"/>
                  </w:rPr>
                </m:ctrlPr>
              </m:sSubPr>
              <m:e>
                <m:r>
                  <m:rPr/>
                  <w:rPr>
                    <w:rFonts w:ascii="Cambria Math" w:hAnsi="Cambria Math"/>
                    <w:kern w:val="0"/>
                    <w:szCs w:val="20"/>
                  </w:rPr>
                  <m:t>CO</m:t>
                </m:r>
                <m:ctrlPr>
                  <w:rPr>
                    <w:rFonts w:ascii="Cambria Math" w:hAnsi="Cambria Math"/>
                    <w:kern w:val="0"/>
                    <w:szCs w:val="20"/>
                  </w:rPr>
                </m:ctrlPr>
              </m:e>
              <m:sub>
                <m:r>
                  <m:rPr>
                    <m:sty m:val="p"/>
                  </m:rPr>
                  <w:rPr>
                    <w:rFonts w:ascii="Cambria Math" w:hAnsi="Cambria Math"/>
                    <w:kern w:val="0"/>
                    <w:szCs w:val="20"/>
                  </w:rPr>
                  <m:t>2</m:t>
                </m:r>
                <m:ctrlPr>
                  <w:rPr>
                    <w:rFonts w:ascii="Cambria Math" w:hAnsi="Cambria Math"/>
                    <w:kern w:val="0"/>
                    <w:szCs w:val="20"/>
                  </w:rPr>
                </m:ctrlPr>
              </m:sub>
            </m:sSub>
            <m:ctrlPr>
              <w:rPr>
                <w:rFonts w:ascii="Cambria Math" w:hAnsi="Cambria Math"/>
                <w:kern w:val="0"/>
                <w:szCs w:val="20"/>
              </w:rPr>
            </m:ctrlPr>
          </m:sub>
        </m:sSub>
      </m:oMath>
      <w:r>
        <w:rPr>
          <w:rFonts w:ascii="Times New Roman" w:hAnsi="Times New Roman"/>
          <w:kern w:val="0"/>
          <w:szCs w:val="20"/>
        </w:rPr>
        <w:t>——生态系统固碳总量，单位：tC</w:t>
      </w:r>
      <w:r>
        <w:rPr>
          <w:rFonts w:ascii="Times New Roman" w:hAnsi="Times New Roman"/>
        </w:rPr>
        <w:t>/a</w:t>
      </w:r>
      <w:r>
        <w:rPr>
          <w:rFonts w:ascii="Times New Roman" w:hAnsi="Times New Roman"/>
          <w:kern w:val="0"/>
          <w:szCs w:val="20"/>
        </w:rPr>
        <w:t>；</w:t>
      </w:r>
    </w:p>
    <w:p w14:paraId="1DD55C46">
      <w:pPr>
        <w:widowControl/>
        <w:autoSpaceDE w:val="0"/>
        <w:autoSpaceDN w:val="0"/>
        <w:spacing w:line="240" w:lineRule="auto"/>
        <w:ind w:firstLine="420" w:firstLineChars="200"/>
        <w:jc w:val="left"/>
        <w:rPr>
          <w:rFonts w:ascii="Times New Roman" w:hAns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sSub>
              <m:sSubPr>
                <m:ctrlPr>
                  <w:rPr>
                    <w:rFonts w:ascii="Cambria Math" w:hAnsi="Cambria Math"/>
                  </w:rPr>
                </m:ctrlPr>
              </m:sSubPr>
              <m:e>
                <m:r>
                  <m:rPr/>
                  <w:rPr>
                    <w:rFonts w:ascii="Cambria Math" w:hAnsi="Cambria Math"/>
                  </w:rPr>
                  <m:t>CO</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kern w:val="0"/>
          <w:szCs w:val="20"/>
        </w:rPr>
        <w:t>——</w:t>
      </w:r>
      <w:r>
        <w:rPr>
          <w:rFonts w:ascii="Times New Roman" w:hAnsi="Times New Roman"/>
        </w:rPr>
        <w:t>碳交易价格</w:t>
      </w:r>
      <w:r>
        <w:rPr>
          <w:rFonts w:ascii="Times New Roman" w:hAnsi="Times New Roman"/>
          <w:kern w:val="0"/>
          <w:szCs w:val="20"/>
        </w:rPr>
        <w:t>，</w:t>
      </w:r>
      <w:r>
        <w:rPr>
          <w:rFonts w:ascii="Times New Roman" w:hAnsi="Times New Roman"/>
        </w:rPr>
        <w:t>单位：元/tC。</w:t>
      </w:r>
    </w:p>
    <w:p w14:paraId="1D41A467">
      <w:pPr>
        <w:pStyle w:val="96"/>
        <w:spacing w:before="156" w:after="156"/>
        <w:rPr>
          <w:rFonts w:ascii="Times New Roman"/>
        </w:rPr>
      </w:pPr>
      <w:r>
        <w:rPr>
          <w:rFonts w:ascii="Times New Roman"/>
        </w:rPr>
        <w:t>释氧服务价值量</w:t>
      </w:r>
    </w:p>
    <w:p w14:paraId="7A4CB504">
      <w:pPr>
        <w:pStyle w:val="58"/>
        <w:ind w:firstLine="420"/>
        <w:rPr>
          <w:rFonts w:ascii="Times New Roman"/>
        </w:rPr>
      </w:pPr>
      <w:r>
        <w:rPr>
          <w:rFonts w:ascii="Times New Roman"/>
        </w:rPr>
        <w:t>释氧服务价值量，宜采用市场价值法核算。按照公式（4</w:t>
      </w:r>
      <w:r>
        <w:rPr>
          <w:rFonts w:hint="eastAsia" w:ascii="Times New Roman"/>
        </w:rPr>
        <w:t>6</w:t>
      </w:r>
      <w:r>
        <w:rPr>
          <w:rFonts w:ascii="Times New Roman"/>
        </w:rPr>
        <w:t>）计算：</w:t>
      </w:r>
    </w:p>
    <w:p w14:paraId="6BC96418">
      <w:pPr>
        <w:pStyle w:val="115"/>
        <w:rPr>
          <w:rFonts w:ascii="Times New Roman" w:hAnsi="Times New Roman"/>
        </w:rPr>
      </w:pPr>
      <w:r>
        <w:rPr>
          <w:rFonts w:ascii="Times New Roman" w:hAnsi="Times New Roman"/>
        </w:rPr>
        <w:tab/>
      </w:r>
      <m:oMath>
        <m:sSub>
          <m:sSubPr>
            <m:ctrlPr>
              <w:rPr>
                <w:rFonts w:ascii="Cambria Math" w:hAnsi="Cambria Math"/>
                <w:i/>
              </w:rPr>
            </m:ctrlPr>
          </m:sSubPr>
          <m:e>
            <m:r>
              <m:rPr>
                <m:nor/>
              </m:rPr>
              <w:rPr>
                <w:rFonts w:ascii="Times New Roman" w:hAnsi="Times New Roman"/>
                <w:i/>
              </w:rPr>
              <m:t>V</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m:nor/>
          </m:rPr>
          <w:rPr>
            <w:rFonts w:ascii="Times New Roman" w:hAnsi="Times New Roman"/>
            <w:i/>
          </w:rPr>
          <m:t xml:space="preserve">= </m:t>
        </m:r>
        <m:sSub>
          <m:sSubPr>
            <m:ctrlPr>
              <w:rPr>
                <w:rFonts w:ascii="Cambria Math" w:hAnsi="Cambria Math"/>
                <w:i/>
              </w:rPr>
            </m:ctrlPr>
          </m:sSubPr>
          <m:e>
            <m:r>
              <m:rPr/>
              <w:rPr>
                <w:rFonts w:ascii="Cambria Math" w:hAnsi="Cambria Math"/>
              </w:rPr>
              <m:t>Q</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811E07C">
      <w:pPr>
        <w:pStyle w:val="57"/>
        <w:spacing w:line="240" w:lineRule="auto"/>
        <w:ind w:firstLine="420"/>
        <w:rPr>
          <w:rFonts w:ascii="Times New Roman" w:hAnsi="Times New Roman"/>
        </w:rPr>
      </w:pPr>
      <w:r>
        <w:rPr>
          <w:rFonts w:ascii="Times New Roman" w:hAnsi="Times New Roman"/>
        </w:rPr>
        <w:t>式中：</w:t>
      </w:r>
    </w:p>
    <w:p w14:paraId="50DDC0F3">
      <w:pPr>
        <w:widowControl/>
        <w:autoSpaceDE w:val="0"/>
        <w:autoSpaceDN w:val="0"/>
        <w:spacing w:line="240" w:lineRule="auto"/>
        <w:ind w:firstLine="420" w:firstLineChars="200"/>
        <w:jc w:val="left"/>
        <w:rPr>
          <w:rFonts w:ascii="Times New Roman" w:hAnsi="Times New Roman"/>
          <w:kern w:val="0"/>
          <w:szCs w:val="20"/>
        </w:rPr>
      </w:pPr>
      <m:oMath>
        <m:sSub>
          <m:sSubPr>
            <m:ctrlPr>
              <w:rPr>
                <w:rFonts w:ascii="Cambria Math" w:hAnsi="Cambria Math"/>
                <w:i/>
              </w:rPr>
            </m:ctrlPr>
          </m:sSubPr>
          <m:e>
            <m:r>
              <m:rPr>
                <m:nor/>
              </m:rPr>
              <w:rPr>
                <w:rFonts w:ascii="Times New Roman" w:hAnsi="Times New Roman"/>
                <w:i/>
              </w:rPr>
              <m:t>V</m:t>
            </m:r>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b>
        </m:sSub>
      </m:oMath>
      <w:r>
        <w:rPr>
          <w:rFonts w:ascii="Times New Roman" w:hAnsi="Times New Roman"/>
          <w:kern w:val="0"/>
          <w:szCs w:val="20"/>
        </w:rPr>
        <w:t>——生态系统释氧服务价值</w:t>
      </w:r>
      <w:r>
        <w:rPr>
          <w:rFonts w:ascii="Times New Roman" w:hAnsi="Times New Roman"/>
        </w:rPr>
        <w:t>，单位：万元/a</w:t>
      </w:r>
      <w:r>
        <w:rPr>
          <w:rFonts w:ascii="Times New Roman" w:hAnsi="Times New Roman"/>
          <w:kern w:val="0"/>
          <w:szCs w:val="20"/>
        </w:rPr>
        <w:t>；</w:t>
      </w:r>
    </w:p>
    <w:p w14:paraId="66400430">
      <w:pPr>
        <w:widowControl/>
        <w:autoSpaceDE w:val="0"/>
        <w:autoSpaceDN w:val="0"/>
        <w:spacing w:line="240" w:lineRule="auto"/>
        <w:ind w:firstLine="420" w:firstLineChars="200"/>
        <w:jc w:val="left"/>
        <w:rPr>
          <w:rFonts w:ascii="Times New Roman" w:hAnsi="Times New Roman"/>
          <w:kern w:val="0"/>
          <w:szCs w:val="20"/>
        </w:rPr>
      </w:pPr>
      <m:oMath>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sSub>
              <m:sSubPr>
                <m:ctrlPr>
                  <w:rPr>
                    <w:rFonts w:ascii="Cambria Math" w:hAnsi="Cambria Math"/>
                    <w:kern w:val="0"/>
                    <w:szCs w:val="20"/>
                  </w:rPr>
                </m:ctrlPr>
              </m:sSubPr>
              <m:e>
                <m:r>
                  <m:rPr/>
                  <w:rPr>
                    <w:rFonts w:ascii="Cambria Math" w:hAnsi="Cambria Math"/>
                    <w:kern w:val="0"/>
                    <w:szCs w:val="20"/>
                  </w:rPr>
                  <m:t>O</m:t>
                </m:r>
                <m:ctrlPr>
                  <w:rPr>
                    <w:rFonts w:ascii="Cambria Math" w:hAnsi="Cambria Math"/>
                    <w:kern w:val="0"/>
                    <w:szCs w:val="20"/>
                  </w:rPr>
                </m:ctrlPr>
              </m:e>
              <m:sub>
                <m:r>
                  <m:rPr>
                    <m:sty m:val="p"/>
                  </m:rPr>
                  <w:rPr>
                    <w:rFonts w:ascii="Cambria Math" w:hAnsi="Cambria Math"/>
                    <w:kern w:val="0"/>
                    <w:szCs w:val="20"/>
                  </w:rPr>
                  <m:t>2</m:t>
                </m:r>
                <m:ctrlPr>
                  <w:rPr>
                    <w:rFonts w:ascii="Cambria Math" w:hAnsi="Cambria Math"/>
                    <w:kern w:val="0"/>
                    <w:szCs w:val="20"/>
                  </w:rPr>
                </m:ctrlPr>
              </m:sub>
            </m:sSub>
            <m:ctrlPr>
              <w:rPr>
                <w:rFonts w:ascii="Cambria Math" w:hAnsi="Cambria Math"/>
                <w:kern w:val="0"/>
                <w:szCs w:val="20"/>
              </w:rPr>
            </m:ctrlPr>
          </m:sub>
        </m:sSub>
      </m:oMath>
      <w:r>
        <w:rPr>
          <w:rFonts w:ascii="Times New Roman" w:hAnsi="Times New Roman"/>
          <w:kern w:val="0"/>
          <w:szCs w:val="20"/>
        </w:rPr>
        <w:t>——生态系统释氧总量，单位：t</w:t>
      </w:r>
      <w:r>
        <w:rPr>
          <w:rFonts w:ascii="Times New Roman" w:hAnsi="Times New Roman"/>
        </w:rPr>
        <w:t>/a</w:t>
      </w:r>
      <w:r>
        <w:rPr>
          <w:rFonts w:ascii="Times New Roman" w:hAnsi="Times New Roman"/>
          <w:kern w:val="0"/>
          <w:szCs w:val="20"/>
        </w:rPr>
        <w:t>；</w:t>
      </w:r>
    </w:p>
    <w:p w14:paraId="40EDA471">
      <w:pPr>
        <w:widowControl/>
        <w:autoSpaceDE w:val="0"/>
        <w:autoSpaceDN w:val="0"/>
        <w:spacing w:line="240" w:lineRule="auto"/>
        <w:ind w:firstLine="420" w:firstLineChars="200"/>
        <w:jc w:val="left"/>
        <w:rPr>
          <w:rFonts w:ascii="Times New Roman" w:hAns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sSub>
              <m:sSubPr>
                <m:ctrlPr>
                  <w:rPr>
                    <w:rFonts w:ascii="Cambria Math" w:hAnsi="Cambria Math"/>
                  </w:rPr>
                </m:ctrlPr>
              </m:sSubPr>
              <m:e>
                <m:r>
                  <m:rPr/>
                  <w:rPr>
                    <w:rFonts w:ascii="Cambria Math" w:hAnsi="Cambria Math"/>
                  </w:rPr>
                  <m:t>O</m:t>
                </m:r>
                <m:ctrlPr>
                  <w:rPr>
                    <w:rFonts w:ascii="Cambria Math" w:hAnsi="Cambria Math"/>
                  </w:rPr>
                </m:ctrlPr>
              </m:e>
              <m:sub>
                <m:r>
                  <m:rPr>
                    <m:sty m:val="p"/>
                  </m:rPr>
                  <w:rPr>
                    <w:rFonts w:ascii="Cambria Math" w:hAnsi="Cambria Math"/>
                  </w:rPr>
                  <m:t>2</m:t>
                </m:r>
                <m:ctrlPr>
                  <w:rPr>
                    <w:rFonts w:ascii="Cambria Math" w:hAnsi="Cambria Math"/>
                  </w:rPr>
                </m:ctrlPr>
              </m:sub>
            </m:sSub>
            <m:ctrlPr>
              <w:rPr>
                <w:rFonts w:ascii="Cambria Math" w:hAnsi="Cambria Math"/>
              </w:rPr>
            </m:ctrlPr>
          </m:sub>
        </m:sSub>
      </m:oMath>
      <w:r>
        <w:rPr>
          <w:rFonts w:ascii="Times New Roman" w:hAnsi="Times New Roman"/>
          <w:kern w:val="0"/>
          <w:szCs w:val="20"/>
        </w:rPr>
        <w:t>——</w:t>
      </w:r>
      <w:r>
        <w:rPr>
          <w:rFonts w:ascii="Times New Roman" w:hAnsi="Times New Roman"/>
        </w:rPr>
        <w:t>工业氧</w:t>
      </w:r>
      <w:r>
        <w:rPr>
          <w:rFonts w:hint="eastAsia" w:ascii="Times New Roman" w:hAnsi="Times New Roman"/>
        </w:rPr>
        <w:t>销售</w:t>
      </w:r>
      <w:r>
        <w:rPr>
          <w:rFonts w:ascii="Times New Roman" w:hAnsi="Times New Roman"/>
        </w:rPr>
        <w:t>价格</w:t>
      </w:r>
      <w:r>
        <w:rPr>
          <w:rFonts w:ascii="Times New Roman" w:hAnsi="Times New Roman"/>
          <w:kern w:val="0"/>
          <w:szCs w:val="20"/>
        </w:rPr>
        <w:t>，</w:t>
      </w:r>
      <w:r>
        <w:rPr>
          <w:rFonts w:ascii="Times New Roman" w:hAnsi="Times New Roman"/>
        </w:rPr>
        <w:t>单位：元/t。</w:t>
      </w:r>
    </w:p>
    <w:p w14:paraId="77CA5851">
      <w:pPr>
        <w:pStyle w:val="96"/>
        <w:spacing w:before="156" w:after="156"/>
        <w:rPr>
          <w:rFonts w:ascii="Times New Roman"/>
        </w:rPr>
      </w:pPr>
      <w:r>
        <w:rPr>
          <w:rFonts w:ascii="Times New Roman"/>
        </w:rPr>
        <w:t>局部气候调节服务价值量</w:t>
      </w:r>
    </w:p>
    <w:p w14:paraId="28AB1064">
      <w:pPr>
        <w:pStyle w:val="58"/>
        <w:ind w:firstLine="420"/>
        <w:rPr>
          <w:rFonts w:ascii="Times New Roman"/>
        </w:rPr>
      </w:pPr>
      <w:r>
        <w:rPr>
          <w:rFonts w:ascii="Times New Roman"/>
        </w:rPr>
        <w:t>局部气候调节服务价值量，采用替代成本法核算，即因生态系统作用调节局部气候，而节省的人工调节温度和湿度所需耗电量。按照公式（4</w:t>
      </w:r>
      <w:r>
        <w:rPr>
          <w:rFonts w:hint="eastAsia" w:ascii="Times New Roman"/>
        </w:rPr>
        <w:t>7</w:t>
      </w:r>
      <w:r>
        <w:rPr>
          <w:rFonts w:ascii="Times New Roman"/>
        </w:rPr>
        <w:t>）计算。</w:t>
      </w:r>
    </w:p>
    <w:p w14:paraId="45A094A2">
      <w:pPr>
        <w:pStyle w:val="115"/>
        <w:rPr>
          <w:rFonts w:ascii="Times New Roman" w:hAnsi="Times New Roman"/>
        </w:rPr>
      </w:pPr>
      <w:r>
        <w:rPr>
          <w:rFonts w:ascii="Times New Roman" w:hAnsi="Times New Roman"/>
        </w:rPr>
        <w:tab/>
      </w:r>
      <m:oMath>
        <m:sSub>
          <m:sSubPr>
            <m:ctrlPr>
              <w:rPr>
                <w:rFonts w:ascii="Cambria Math" w:hAnsi="Cambria Math"/>
                <w:kern w:val="0"/>
                <w:szCs w:val="20"/>
              </w:rPr>
            </m:ctrlPr>
          </m:sSubPr>
          <m:e>
            <m:r>
              <m:rPr/>
              <w:rPr>
                <w:rFonts w:ascii="Cambria Math" w:hAnsi="Cambria Math"/>
                <w:kern w:val="0"/>
                <w:szCs w:val="20"/>
              </w:rPr>
              <m:t>V</m:t>
            </m:r>
            <m:ctrlPr>
              <w:rPr>
                <w:rFonts w:ascii="Cambria Math" w:hAnsi="Cambria Math"/>
                <w:kern w:val="0"/>
                <w:szCs w:val="20"/>
              </w:rPr>
            </m:ctrlPr>
          </m:e>
          <m:sub>
            <m:r>
              <m:rPr/>
              <w:rPr>
                <w:rFonts w:ascii="Cambria Math" w:hAnsi="Cambria Math"/>
                <w:kern w:val="0"/>
                <w:szCs w:val="20"/>
              </w:rPr>
              <m:t>tt</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w:rPr>
                <w:rFonts w:ascii="Cambria Math" w:hAnsi="Cambria Math"/>
                <w:kern w:val="0"/>
                <w:szCs w:val="20"/>
              </w:rPr>
              <m:t>Q</m:t>
            </m:r>
            <m:ctrlPr>
              <w:rPr>
                <w:rFonts w:ascii="Cambria Math" w:hAnsi="Cambria Math"/>
                <w:kern w:val="0"/>
                <w:szCs w:val="20"/>
              </w:rPr>
            </m:ctrlPr>
          </m:e>
          <m:sub>
            <m:r>
              <m:rPr/>
              <w:rPr>
                <w:rFonts w:ascii="Cambria Math" w:hAnsi="Cambria Math"/>
                <w:kern w:val="0"/>
                <w:szCs w:val="20"/>
              </w:rPr>
              <m:t>tt</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w:rPr>
                <w:rFonts w:ascii="Cambria Math" w:hAnsi="Cambria Math"/>
                <w:kern w:val="0"/>
                <w:szCs w:val="20"/>
              </w:rPr>
              <m:t>P</m:t>
            </m:r>
            <m:ctrlPr>
              <w:rPr>
                <w:rFonts w:ascii="Cambria Math" w:hAnsi="Cambria Math"/>
                <w:kern w:val="0"/>
                <w:szCs w:val="20"/>
              </w:rPr>
            </m:ctrlPr>
          </m:e>
          <m:sub>
            <m:r>
              <m:rPr/>
              <w:rPr>
                <w:rFonts w:ascii="Cambria Math" w:hAnsi="Cambria Math"/>
                <w:kern w:val="0"/>
                <w:szCs w:val="20"/>
              </w:rPr>
              <m:t>e</m:t>
            </m:r>
            <m:ctrlPr>
              <w:rPr>
                <w:rFonts w:ascii="Cambria Math" w:hAnsi="Cambria Math"/>
                <w:kern w:val="0"/>
                <w:szCs w:val="20"/>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C72EF8E">
      <w:pPr>
        <w:pStyle w:val="57"/>
        <w:ind w:firstLine="420"/>
        <w:rPr>
          <w:rFonts w:ascii="Times New Roman" w:hAnsi="Times New Roman"/>
        </w:rPr>
      </w:pPr>
      <w:r>
        <w:rPr>
          <w:rFonts w:ascii="Times New Roman" w:hAnsi="Times New Roman"/>
        </w:rPr>
        <w:t>式中：</w:t>
      </w:r>
    </w:p>
    <w:p w14:paraId="205CF939">
      <w:pPr>
        <w:pStyle w:val="58"/>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tt</m:t>
            </m:r>
            <m:ctrlPr>
              <w:rPr>
                <w:rFonts w:ascii="Cambria Math" w:hAnsi="Cambria Math"/>
              </w:rPr>
            </m:ctrlPr>
          </m:sub>
        </m:sSub>
      </m:oMath>
      <w:r>
        <w:rPr>
          <w:rFonts w:ascii="Times New Roman"/>
        </w:rPr>
        <w:t>——局部气候调节服务价值量，单位：万元/a；</w:t>
      </w:r>
    </w:p>
    <w:p w14:paraId="29D1C2FF">
      <w:pPr>
        <w:pStyle w:val="58"/>
        <w:ind w:firstLine="420"/>
        <w:rPr>
          <w:rFonts w:ascii="Times New Roman"/>
        </w:rPr>
      </w:pPr>
      <m:oMath>
        <m:sSub>
          <m:sSubPr>
            <m:ctrlPr>
              <w:rPr>
                <w:rFonts w:ascii="Cambria Math" w:hAnsi="Cambria Math"/>
              </w:rPr>
            </m:ctrlPr>
          </m:sSubPr>
          <m:e>
            <m:r>
              <m:rPr/>
              <w:rPr>
                <w:rFonts w:ascii="Cambria Math" w:hAnsi="Cambria Math"/>
              </w:rPr>
              <m:t>Q</m:t>
            </m:r>
            <m:ctrlPr>
              <w:rPr>
                <w:rFonts w:ascii="Cambria Math" w:hAnsi="Cambria Math"/>
              </w:rPr>
            </m:ctrlPr>
          </m:e>
          <m:sub>
            <m:r>
              <m:rPr/>
              <w:rPr>
                <w:rFonts w:ascii="Cambria Math" w:hAnsi="Cambria Math"/>
              </w:rPr>
              <m:t>tt</m:t>
            </m:r>
            <m:ctrlPr>
              <w:rPr>
                <w:rFonts w:ascii="Cambria Math" w:hAnsi="Cambria Math"/>
              </w:rPr>
            </m:ctrlPr>
          </m:sub>
        </m:sSub>
      </m:oMath>
      <w:r>
        <w:rPr>
          <w:rFonts w:ascii="Times New Roman"/>
        </w:rPr>
        <w:t>——生态系统通过蒸腾蒸发调节温湿度消耗的总能量，单位：kW·h/a；</w:t>
      </w:r>
    </w:p>
    <w:p w14:paraId="6F326875">
      <w:pPr>
        <w:pStyle w:val="169"/>
        <w:ind w:firstLine="420" w:firstLineChars="200"/>
        <w:rPr>
          <w:rFonts w:ascii="Times New Roman" w:hAnsi="Times New Roman"/>
        </w:rPr>
      </w:pPr>
      <m:oMath>
        <m:sSub>
          <m:sSubPr>
            <m:ctrlPr>
              <w:rPr>
                <w:rFonts w:ascii="Cambria Math" w:hAnsi="Cambria Math"/>
                <w:szCs w:val="20"/>
              </w:rPr>
            </m:ctrlPr>
          </m:sSubPr>
          <m:e>
            <m:r>
              <m:rPr/>
              <w:rPr>
                <w:rFonts w:ascii="Cambria Math" w:hAnsi="Cambria Math"/>
                <w:szCs w:val="20"/>
              </w:rPr>
              <m:t>P</m:t>
            </m:r>
            <m:ctrlPr>
              <w:rPr>
                <w:rFonts w:ascii="Cambria Math" w:hAnsi="Cambria Math"/>
                <w:szCs w:val="20"/>
              </w:rPr>
            </m:ctrlPr>
          </m:e>
          <m:sub>
            <m:r>
              <m:rPr/>
              <w:rPr>
                <w:rFonts w:ascii="Cambria Math" w:hAnsi="Cambria Math"/>
                <w:szCs w:val="20"/>
              </w:rPr>
              <m:t>e</m:t>
            </m:r>
            <m:ctrlPr>
              <w:rPr>
                <w:rFonts w:ascii="Cambria Math" w:hAnsi="Cambria Math"/>
                <w:szCs w:val="20"/>
              </w:rPr>
            </m:ctrlPr>
          </m:sub>
        </m:sSub>
      </m:oMath>
      <w:r>
        <w:rPr>
          <w:rFonts w:ascii="Times New Roman" w:hAnsi="Times New Roman"/>
          <w:szCs w:val="20"/>
        </w:rPr>
        <w:t>——</w:t>
      </w:r>
      <w:r>
        <w:rPr>
          <w:rFonts w:ascii="Times New Roman" w:hAnsi="Times New Roman"/>
        </w:rPr>
        <w:t>当地用电价格，单位：元/kW·h。</w:t>
      </w:r>
    </w:p>
    <w:p w14:paraId="7BDE36B4">
      <w:pPr>
        <w:pStyle w:val="96"/>
        <w:spacing w:before="156" w:after="156"/>
        <w:rPr>
          <w:rFonts w:ascii="Times New Roman"/>
        </w:rPr>
      </w:pPr>
      <w:bookmarkStart w:id="93" w:name="_Hlk196813442"/>
      <w:r>
        <w:rPr>
          <w:rFonts w:ascii="Times New Roman"/>
        </w:rPr>
        <w:t>噪声消减服务价值量</w:t>
      </w:r>
    </w:p>
    <w:bookmarkEnd w:id="93"/>
    <w:p w14:paraId="16E58E4E">
      <w:pPr>
        <w:pStyle w:val="58"/>
        <w:ind w:firstLine="420"/>
        <w:rPr>
          <w:rFonts w:ascii="Times New Roman"/>
        </w:rPr>
      </w:pPr>
      <w:r>
        <w:rPr>
          <w:rFonts w:ascii="Times New Roman"/>
        </w:rPr>
        <w:t>宜采用替代成本法核算噪声（主要指交通噪声）消减服务价值量，即因生态系统阻隔或消减噪声污染，从而节省隔音墙建设的费用。按照公式（</w:t>
      </w:r>
      <w:r>
        <w:rPr>
          <w:rFonts w:hint="eastAsia" w:ascii="Times New Roman"/>
        </w:rPr>
        <w:t>48</w:t>
      </w:r>
      <w:r>
        <w:rPr>
          <w:rFonts w:ascii="Times New Roman"/>
        </w:rPr>
        <w:t>）计算。</w:t>
      </w:r>
    </w:p>
    <w:p w14:paraId="7F910400">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na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na</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na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na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na</m:t>
                    </m:r>
                    <m:ctrlPr>
                      <w:rPr>
                        <w:rFonts w:ascii="Cambria Math" w:hAnsi="Cambria Math"/>
                        <w:i/>
                      </w:rPr>
                    </m:ctrlPr>
                  </m:sub>
                </m:sSub>
                <m:ctrlPr>
                  <w:rPr>
                    <w:rFonts w:ascii="Cambria Math" w:hAnsi="Cambria Math"/>
                    <w:i/>
                  </w:rPr>
                </m:ctrlPr>
              </m:e>
            </m:d>
            <m:ctrlPr>
              <w:rPr>
                <w:rFonts w:ascii="Cambria Math" w:hAnsi="Cambria Math"/>
                <w:i/>
              </w:rPr>
            </m:ctrlPr>
          </m:num>
          <m:den>
            <m:r>
              <m:rPr/>
              <w:rPr>
                <w:rFonts w:ascii="Cambria Math" w:hAnsi="Cambria Math"/>
              </w:rPr>
              <m:t>na</m:t>
            </m:r>
            <m:ctrlPr>
              <w:rPr>
                <w:rFonts w:ascii="Cambria Math" w:hAnsi="Cambria Math"/>
                <w:i/>
              </w:rPr>
            </m:ctrlPr>
          </m:den>
        </m:f>
        <m:r>
          <m:rPr/>
          <w:rPr>
            <w:rFonts w:ascii="Cambria Math" w:hAnsi="Cambria Math"/>
          </w:rPr>
          <m:t xml:space="preserve"> ×</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95360A5">
      <w:pPr>
        <w:pStyle w:val="57"/>
        <w:ind w:firstLine="420"/>
        <w:rPr>
          <w:rFonts w:ascii="Times New Roman" w:hAnsi="Times New Roman"/>
        </w:rPr>
      </w:pPr>
      <w:bookmarkStart w:id="94" w:name="_Hlk196814112"/>
      <w:r>
        <w:rPr>
          <w:rFonts w:ascii="Times New Roman" w:hAnsi="Times New Roman"/>
        </w:rPr>
        <w:t>式中：</w:t>
      </w:r>
    </w:p>
    <w:p w14:paraId="0EAF8278">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na</m:t>
            </m:r>
            <m:ctrlPr>
              <w:rPr>
                <w:rFonts w:ascii="Cambria Math" w:hAnsi="Cambria Math"/>
                <w:i/>
              </w:rPr>
            </m:ctrlPr>
          </m:sub>
        </m:sSub>
      </m:oMath>
      <w:r>
        <w:rPr>
          <w:rFonts w:ascii="Times New Roman" w:eastAsiaTheme="minorEastAsia"/>
        </w:rPr>
        <w:t>——</w:t>
      </w:r>
      <w:r>
        <w:rPr>
          <w:rFonts w:ascii="Times New Roman"/>
        </w:rPr>
        <w:t>生态系统噪声消减价值，单位：万元</w:t>
      </w:r>
      <w:r>
        <w:rPr>
          <w:rFonts w:ascii="Times New Roman" w:eastAsia="Cambria Math"/>
        </w:rPr>
        <w:t>/a</w:t>
      </w:r>
      <w:r>
        <w:rPr>
          <w:rFonts w:ascii="Times New Roman"/>
        </w:rPr>
        <w:t>；</w:t>
      </w:r>
    </w:p>
    <w:p w14:paraId="7E2CF80D">
      <w:pPr>
        <w:pStyle w:val="58"/>
        <w:ind w:firstLine="420"/>
        <w:rPr>
          <w:rFonts w:ascii="Times New Roman" w:eastAsia="Cambria Math"/>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na</m:t>
            </m:r>
            <m:ctrlPr>
              <w:rPr>
                <w:rFonts w:ascii="Cambria Math" w:hAnsi="Cambria Math"/>
                <w:i/>
              </w:rPr>
            </m:ctrlPr>
          </m:sub>
        </m:sSub>
      </m:oMath>
      <w:r>
        <w:rPr>
          <w:rFonts w:ascii="Times New Roman" w:eastAsiaTheme="minorEastAsia"/>
        </w:rPr>
        <w:t>——</w:t>
      </w:r>
      <w:r>
        <w:rPr>
          <w:rFonts w:ascii="Times New Roman"/>
        </w:rPr>
        <w:t>生态系统噪声消减量，单位：</w:t>
      </w:r>
      <w:r>
        <w:rPr>
          <w:rFonts w:ascii="Times New Roman" w:eastAsia="Cambria Math"/>
        </w:rPr>
        <w:t>dB·km</w:t>
      </w:r>
      <w:r>
        <w:rPr>
          <w:rFonts w:ascii="Times New Roman"/>
        </w:rPr>
        <w:t>；</w:t>
      </w:r>
    </w:p>
    <w:p w14:paraId="1E350F59">
      <w:pPr>
        <w:pStyle w:val="58"/>
        <w:ind w:firstLine="420"/>
        <w:rPr>
          <w:rFonts w:ascii="Times New Roman" w:eastAsia="Cambria Math"/>
        </w:rPr>
      </w:pP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na</m:t>
            </m:r>
            <m:ctrlPr>
              <w:rPr>
                <w:rFonts w:ascii="Cambria Math" w:hAnsi="Cambria Math"/>
                <w:i/>
              </w:rPr>
            </m:ctrlPr>
          </m:sub>
        </m:sSub>
      </m:oMath>
      <w:r>
        <w:rPr>
          <w:rFonts w:ascii="Times New Roman" w:eastAsiaTheme="minorEastAsia"/>
        </w:rPr>
        <w:t>——</w:t>
      </w:r>
      <w:r>
        <w:rPr>
          <w:rFonts w:ascii="Times New Roman"/>
        </w:rPr>
        <w:t>隔音墙维护成本，每千米隔音墙的年维护成本，单位：元</w:t>
      </w:r>
      <w:r>
        <w:rPr>
          <w:rFonts w:ascii="Times New Roman" w:eastAsia="Cambria Math"/>
        </w:rPr>
        <w:t>/km</w:t>
      </w:r>
      <w:r>
        <w:rPr>
          <w:rFonts w:ascii="Times New Roman" w:eastAsiaTheme="minorEastAsia"/>
        </w:rPr>
        <w:t>·</w:t>
      </w:r>
      <w:r>
        <w:rPr>
          <w:rFonts w:ascii="Times New Roman" w:eastAsia="Cambria Math"/>
        </w:rPr>
        <w:t>a</w:t>
      </w:r>
      <w:r>
        <w:rPr>
          <w:rFonts w:ascii="Times New Roman"/>
        </w:rPr>
        <w:t>；</w:t>
      </w:r>
    </w:p>
    <w:p w14:paraId="749A9049">
      <w:pPr>
        <w:pStyle w:val="58"/>
        <w:ind w:firstLine="420"/>
        <w:rPr>
          <w:rFonts w:ascii="Times New Roman" w:eastAsia="Cambria Math"/>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na</m:t>
            </m:r>
            <m:ctrlPr>
              <w:rPr>
                <w:rFonts w:ascii="Cambria Math" w:hAnsi="Cambria Math"/>
                <w:i/>
              </w:rPr>
            </m:ctrlPr>
          </m:sub>
        </m:sSub>
      </m:oMath>
      <w:r>
        <w:rPr>
          <w:rFonts w:ascii="Times New Roman" w:eastAsiaTheme="minorEastAsia"/>
        </w:rPr>
        <w:t>——</w:t>
      </w:r>
      <w:r>
        <w:rPr>
          <w:rFonts w:ascii="Times New Roman"/>
        </w:rPr>
        <w:t>隔音墙建造成本，每千米隔音墙的建设总成本，单位：元</w:t>
      </w:r>
      <w:r>
        <w:rPr>
          <w:rFonts w:ascii="Times New Roman" w:eastAsia="Cambria Math"/>
        </w:rPr>
        <w:t>km</w:t>
      </w:r>
      <w:r>
        <w:rPr>
          <w:rFonts w:ascii="Times New Roman"/>
        </w:rPr>
        <w:t>；</w:t>
      </w:r>
    </w:p>
    <w:p w14:paraId="689E413F">
      <w:pPr>
        <w:pStyle w:val="58"/>
        <w:ind w:firstLine="420"/>
        <w:rPr>
          <w:rFonts w:ascii="Times New Roman"/>
        </w:rPr>
      </w:pP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na</m:t>
            </m:r>
            <m:ctrlPr>
              <w:rPr>
                <w:rFonts w:ascii="Cambria Math" w:hAnsi="Cambria Math"/>
                <w:i/>
              </w:rPr>
            </m:ctrlPr>
          </m:sub>
        </m:sSub>
      </m:oMath>
      <w:r>
        <w:rPr>
          <w:rFonts w:ascii="Times New Roman" w:eastAsiaTheme="minorEastAsia"/>
        </w:rPr>
        <w:t>——</w:t>
      </w:r>
      <w:r>
        <w:rPr>
          <w:rFonts w:ascii="Times New Roman"/>
        </w:rPr>
        <w:t>隔音墙年折旧率，单位：%，见</w:t>
      </w:r>
      <w:r>
        <w:rPr>
          <w:rFonts w:ascii="Times New Roman"/>
          <w:iCs/>
        </w:rPr>
        <w:t>附录</w:t>
      </w:r>
      <w:r>
        <w:rPr>
          <w:rFonts w:ascii="Times New Roman"/>
        </w:rPr>
        <w:t>C10.2；</w:t>
      </w:r>
    </w:p>
    <w:p w14:paraId="1A39EA20">
      <w:pPr>
        <w:pStyle w:val="58"/>
        <w:ind w:firstLine="420"/>
        <w:rPr>
          <w:rFonts w:ascii="Times New Roman"/>
        </w:rPr>
      </w:pPr>
      <m:oMath>
        <m:r>
          <m:rPr/>
          <w:rPr>
            <w:rFonts w:ascii="Cambria Math" w:hAnsi="Cambria Math"/>
          </w:rPr>
          <m:t>na</m:t>
        </m:r>
      </m:oMath>
      <w:r>
        <w:rPr>
          <w:rFonts w:ascii="Times New Roman" w:eastAsiaTheme="minorEastAsia"/>
        </w:rPr>
        <w:t>——</w:t>
      </w:r>
      <w:r>
        <w:rPr>
          <w:rFonts w:ascii="Times New Roman"/>
        </w:rPr>
        <w:t>隔音墙降噪水平，单位：dB</w:t>
      </w:r>
      <w:r>
        <w:rPr>
          <w:rFonts w:hint="eastAsia" w:ascii="Times New Roman"/>
        </w:rPr>
        <w:t>，见附录C10.3。</w:t>
      </w:r>
    </w:p>
    <w:bookmarkEnd w:id="94"/>
    <w:p w14:paraId="3AD7981B">
      <w:pPr>
        <w:pStyle w:val="96"/>
        <w:spacing w:before="156" w:after="156"/>
        <w:rPr>
          <w:rFonts w:ascii="Times New Roman"/>
        </w:rPr>
      </w:pPr>
      <w:r>
        <w:rPr>
          <w:rFonts w:hint="eastAsia" w:ascii="Times New Roman"/>
        </w:rPr>
        <w:t>区域调节</w:t>
      </w:r>
      <w:r>
        <w:rPr>
          <w:rFonts w:ascii="Times New Roman"/>
        </w:rPr>
        <w:t>服务价值</w:t>
      </w:r>
      <w:r>
        <w:rPr>
          <w:rFonts w:hint="eastAsia" w:ascii="Times New Roman"/>
        </w:rPr>
        <w:t>总</w:t>
      </w:r>
      <w:r>
        <w:rPr>
          <w:rFonts w:ascii="Times New Roman"/>
        </w:rPr>
        <w:t>量</w:t>
      </w:r>
    </w:p>
    <w:p w14:paraId="7BF30C69">
      <w:pPr>
        <w:pStyle w:val="58"/>
        <w:ind w:firstLine="420"/>
        <w:rPr>
          <w:rFonts w:ascii="Times New Roman"/>
        </w:rPr>
      </w:pPr>
      <w:r>
        <w:rPr>
          <w:rFonts w:hint="eastAsia" w:ascii="Times New Roman"/>
        </w:rPr>
        <w:t>调节服务价值总量为可市场交易服务价值与生态补偿价值的总和，综合反映生态系统调节服务的市场经济价值及区域间补偿机制。按照公式（49）计算：</w:t>
      </w:r>
    </w:p>
    <w:p w14:paraId="363018B9">
      <w:pPr>
        <w:pStyle w:val="58"/>
        <w:ind w:firstLine="420"/>
        <w:jc w:val="right"/>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p</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mt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ec</m:t>
            </m:r>
            <m:ctrlPr>
              <w:rPr>
                <w:rFonts w:ascii="Cambria Math" w:hAnsi="Cambria Math"/>
                <w:i/>
              </w:rPr>
            </m:ctrlPr>
          </m:sub>
        </m:sSub>
      </m:oMath>
      <w:r>
        <w:rPr>
          <w:rFonts w:ascii="Times New Roman"/>
        </w:rPr>
        <w:tab/>
      </w:r>
      <w:r>
        <w:rPr>
          <w:rFonts w:hint="eastAsia" w:ascii="Times New Roman"/>
        </w:rPr>
        <w:t xml:space="preserve">                                  </w:t>
      </w:r>
      <w:r>
        <w:rPr>
          <w:rFonts w:ascii="Times New Roman"/>
        </w:rPr>
        <w:t>(</w:t>
      </w:r>
      <w:r>
        <w:rPr>
          <w:rFonts w:ascii="Times New Roman"/>
        </w:rPr>
        <w:fldChar w:fldCharType="begin"/>
      </w:r>
      <w:r>
        <w:rPr>
          <w:rFonts w:ascii="Times New Roman"/>
        </w:rPr>
        <w:instrText xml:space="preserve"> AUTONUM </w:instrText>
      </w:r>
      <w:r>
        <w:rPr>
          <w:rFonts w:ascii="Times New Roman"/>
        </w:rPr>
        <w:fldChar w:fldCharType="end"/>
      </w:r>
      <w:r>
        <w:rPr>
          <w:rFonts w:ascii="Times New Roman"/>
        </w:rPr>
        <w:t>)</w:t>
      </w:r>
    </w:p>
    <w:p w14:paraId="6E313F5B">
      <w:pPr>
        <w:pStyle w:val="57"/>
        <w:ind w:firstLine="420"/>
        <w:rPr>
          <w:rFonts w:ascii="Times New Roman" w:hAnsi="Times New Roman"/>
        </w:rPr>
      </w:pPr>
      <w:r>
        <w:rPr>
          <w:rFonts w:ascii="Times New Roman" w:hAnsi="Times New Roman"/>
        </w:rPr>
        <w:t>式中：</w:t>
      </w:r>
    </w:p>
    <w:p w14:paraId="72587134">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p</m:t>
            </m:r>
            <m:ctrlPr>
              <w:rPr>
                <w:rFonts w:ascii="Cambria Math" w:hAnsi="Cambria Math"/>
                <w:i/>
              </w:rPr>
            </m:ctrlPr>
          </m:sub>
        </m:sSub>
      </m:oMath>
      <w:r>
        <w:rPr>
          <w:rFonts w:ascii="Times New Roman" w:eastAsiaTheme="minorEastAsia"/>
        </w:rPr>
        <w:t>——</w:t>
      </w:r>
      <w:r>
        <w:rPr>
          <w:rFonts w:hint="eastAsia" w:ascii="Times New Roman"/>
        </w:rPr>
        <w:t>调节服务价值总量</w:t>
      </w:r>
      <w:r>
        <w:rPr>
          <w:rFonts w:ascii="Times New Roman"/>
        </w:rPr>
        <w:t>，单位：万元</w:t>
      </w:r>
      <w:r>
        <w:rPr>
          <w:rFonts w:ascii="Times New Roman" w:eastAsia="Cambria Math"/>
        </w:rPr>
        <w:t>/a</w:t>
      </w:r>
      <w:r>
        <w:rPr>
          <w:rFonts w:ascii="Times New Roman"/>
        </w:rPr>
        <w:t>；</w:t>
      </w:r>
    </w:p>
    <w:p w14:paraId="45FBCE81">
      <w:pPr>
        <w:pStyle w:val="58"/>
        <w:ind w:firstLine="420"/>
        <w:rPr>
          <w:rFonts w:ascii="Times New Roman" w:eastAsia="Cambria Math"/>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mt</m:t>
            </m:r>
            <m:ctrlPr>
              <w:rPr>
                <w:rFonts w:ascii="Cambria Math" w:hAnsi="Cambria Math"/>
                <w:i/>
              </w:rPr>
            </m:ctrlPr>
          </m:sub>
        </m:sSub>
      </m:oMath>
      <w:r>
        <w:rPr>
          <w:rFonts w:ascii="Times New Roman" w:eastAsiaTheme="minorEastAsia"/>
        </w:rPr>
        <w:t>——</w:t>
      </w:r>
      <w:r>
        <w:rPr>
          <w:rFonts w:ascii="Times New Roman"/>
        </w:rPr>
        <w:t>可市场交易服务价值量，单位：万元/a，</w:t>
      </w:r>
      <w:r>
        <w:rPr>
          <w:rFonts w:hint="eastAsia" w:ascii="Times New Roman"/>
        </w:rPr>
        <w:t>即</w:t>
      </w:r>
      <w:r>
        <w:rPr>
          <w:rFonts w:ascii="Times New Roman"/>
        </w:rPr>
        <w:t>水源涵养、洪水调蓄、空气净化、水质净化、固碳、释氧、局部气候调节、噪声消减</w:t>
      </w:r>
      <w:r>
        <w:rPr>
          <w:rFonts w:hint="eastAsia" w:ascii="Times New Roman"/>
        </w:rPr>
        <w:t>中</w:t>
      </w:r>
      <w:r>
        <w:rPr>
          <w:rFonts w:ascii="Times New Roman"/>
        </w:rPr>
        <w:t>可通过市场交易量化的服务价值总和</w:t>
      </w:r>
      <w:r>
        <w:rPr>
          <w:rFonts w:hint="eastAsia" w:ascii="Times New Roman"/>
        </w:rPr>
        <w:t>；</w:t>
      </w:r>
    </w:p>
    <w:p w14:paraId="682DF304">
      <w:pPr>
        <w:pStyle w:val="58"/>
        <w:ind w:firstLine="420"/>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ec</m:t>
            </m:r>
            <m:ctrlPr>
              <w:rPr>
                <w:rFonts w:ascii="Cambria Math" w:hAnsi="Cambria Math"/>
                <w:i/>
              </w:rPr>
            </m:ctrlPr>
          </m:sub>
        </m:sSub>
      </m:oMath>
      <w:r>
        <w:rPr>
          <w:rFonts w:ascii="Times New Roman" w:eastAsiaTheme="minorEastAsia"/>
        </w:rPr>
        <w:t>——</w:t>
      </w:r>
      <w:r>
        <w:rPr>
          <w:rFonts w:hint="eastAsia" w:ascii="Times New Roman"/>
        </w:rPr>
        <w:t xml:space="preserve">生态补偿总值，单位：万元/a。包含横向流域补偿与纵向政府补偿等非市场调节价值。 </w:t>
      </w:r>
    </w:p>
    <w:p w14:paraId="45D0DD95">
      <w:pPr>
        <w:pStyle w:val="67"/>
        <w:spacing w:before="156" w:after="156"/>
      </w:pPr>
      <w:r>
        <w:rPr>
          <w:rFonts w:hint="eastAsia"/>
        </w:rPr>
        <w:t>文化服务</w:t>
      </w:r>
    </w:p>
    <w:p w14:paraId="78D18401">
      <w:pPr>
        <w:pStyle w:val="96"/>
        <w:spacing w:before="156" w:after="156"/>
      </w:pPr>
      <w:r>
        <w:rPr>
          <w:rFonts w:ascii="宋体"/>
        </w:rPr>
        <w:t>旅游康养服务价值量</w:t>
      </w:r>
    </w:p>
    <w:p w14:paraId="18C20344">
      <w:pPr>
        <w:pStyle w:val="58"/>
        <w:ind w:firstLine="420"/>
        <w:rPr>
          <w:rFonts w:ascii="Times New Roman"/>
        </w:rPr>
      </w:pPr>
      <w:bookmarkStart w:id="95" w:name="_Hlk193892167"/>
      <w:r>
        <w:rPr>
          <w:rFonts w:ascii="Times New Roman"/>
        </w:rPr>
        <w:t>旅游康养服务价值量，宜采用旅行费用法核算。按照公式（</w:t>
      </w:r>
      <w:r>
        <w:rPr>
          <w:rFonts w:hint="eastAsia" w:ascii="Times New Roman"/>
        </w:rPr>
        <w:t>50</w:t>
      </w:r>
      <w:r>
        <w:rPr>
          <w:rFonts w:ascii="Times New Roman"/>
        </w:rPr>
        <w:t>）计算。</w:t>
      </w:r>
    </w:p>
    <w:p w14:paraId="66040691">
      <w:pPr>
        <w:pStyle w:val="115"/>
        <w:rPr>
          <w:rFonts w:ascii="Times New Roman" w:hAnsi="Times New Roman"/>
        </w:rPr>
      </w:pPr>
      <w:r>
        <w:rPr>
          <w:rFonts w:ascii="Times New Roman" w:hAnsi="Times New Roman"/>
        </w:rPr>
        <w:tab/>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d>
          <m:dPr>
            <m:ctrlPr>
              <w:rPr>
                <w:rFonts w:ascii="Cambria Math" w:hAnsi="Cambria Math"/>
              </w:rPr>
            </m:ctrlPr>
          </m:dPr>
          <m:e>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nary>
                  <m:naryPr>
                    <m:chr m:val="∑"/>
                    <m:limLoc m:val="undOvr"/>
                    <m:ctrlPr>
                      <w:rPr>
                        <w:rFonts w:ascii="Cambria Math" w:hAnsi="Cambria Math"/>
                      </w:rPr>
                    </m:ctrlPr>
                  </m:naryPr>
                  <m:sub>
                    <m:r>
                      <m:rPr/>
                      <w:rPr>
                        <w:rFonts w:ascii="Cambria Math" w:hAnsi="Cambria Math"/>
                      </w:rPr>
                      <m:t>j=1</m:t>
                    </m:r>
                    <m:ctrlPr>
                      <w:rPr>
                        <w:rFonts w:ascii="Cambria Math" w:hAnsi="Cambria Math"/>
                      </w:rPr>
                    </m:ctrlPr>
                  </m:sub>
                  <m:sup>
                    <m:r>
                      <m:rPr/>
                      <w:rPr>
                        <w:rFonts w:ascii="Cambria Math" w:hAnsi="Cambria Math"/>
                      </w:rPr>
                      <m:t>m</m:t>
                    </m:r>
                    <m:ctrlPr>
                      <w:rPr>
                        <w:rFonts w:ascii="Cambria Math" w:hAnsi="Cambria Math"/>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i,j</m:t>
                        </m:r>
                        <m:ctrlPr>
                          <w:rPr>
                            <w:rFonts w:ascii="Cambria Math" w:hAnsi="Cambria Math"/>
                            <w:i/>
                          </w:rPr>
                        </m:ctrlPr>
                      </m:sub>
                    </m:sSub>
                    <m:r>
                      <m:rPr/>
                      <w:rPr>
                        <w:rFonts w:ascii="Cambria Math" w:hAnsi="Cambria Math"/>
                      </w:rPr>
                      <m:t>×T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i,j</m:t>
                        </m:r>
                        <m:ctrlPr>
                          <w:rPr>
                            <w:rFonts w:ascii="Cambria Math" w:hAnsi="Cambria Math"/>
                            <w:i/>
                          </w:rPr>
                        </m:ctrlPr>
                      </m:sub>
                    </m:sSub>
                    <m:r>
                      <m:rPr/>
                      <w:rPr>
                        <w:rFonts w:ascii="Cambria Math" w:hAnsi="Cambria Math"/>
                      </w:rPr>
                      <m:t>×N</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i,j</m:t>
                        </m:r>
                        <m:ctrlPr>
                          <w:rPr>
                            <w:rFonts w:ascii="Cambria Math" w:hAnsi="Cambria Math"/>
                            <w:i/>
                          </w:rPr>
                        </m:ctrlPr>
                      </m:sub>
                    </m:sSub>
                    <m:ctrlPr>
                      <w:rPr>
                        <w:rFonts w:ascii="Cambria Math" w:hAnsi="Cambria Math"/>
                      </w:rPr>
                    </m:ctrlPr>
                  </m:e>
                </m:nary>
                <m:ctrlPr>
                  <w:rPr>
                    <w:rFonts w:ascii="Cambria Math" w:hAnsi="Cambria Math"/>
                    <w:i/>
                  </w:rPr>
                </m:ctrlPr>
              </m:e>
            </m:nary>
            <m:ctrlPr>
              <w:rPr>
                <w:rFonts w:ascii="Cambria Math" w:hAnsi="Cambria Math"/>
              </w:rPr>
            </m:ctrlPr>
          </m:e>
        </m:d>
        <m:r>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rPr>
            </m:ctrlPr>
          </m:num>
          <m:den>
            <m:r>
              <m:rPr/>
              <w:rPr>
                <w:rFonts w:ascii="Cambria Math" w:hAnsi="Cambria Math"/>
              </w:rPr>
              <m:t>PP</m:t>
            </m:r>
            <m:ctrlPr>
              <w:rPr>
                <w:rFonts w:ascii="Cambria Math" w:hAnsi="Cambria Math"/>
              </w:rPr>
            </m:ctrlPr>
          </m:den>
        </m:f>
        <m:r>
          <m:rPr/>
          <w:rPr>
            <w:rFonts w:ascii="Cambria Math" w:hAnsi="Cambria Math"/>
          </w:rPr>
          <m:t xml:space="preserve"> ×</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37CD1BA">
      <w:pPr>
        <w:pStyle w:val="57"/>
        <w:ind w:firstLine="420"/>
        <w:rPr>
          <w:rFonts w:ascii="Times New Roman" w:hAnsi="Times New Roman"/>
        </w:rPr>
      </w:pPr>
      <w:r>
        <w:rPr>
          <w:rFonts w:ascii="Times New Roman" w:hAnsi="Times New Roman"/>
        </w:rPr>
        <w:t>式中：</w:t>
      </w:r>
    </w:p>
    <w:p w14:paraId="26869960">
      <w:pPr>
        <w:pStyle w:val="58"/>
        <w:ind w:firstLine="420"/>
        <w:rPr>
          <w:rFonts w:ascii="Times New Roman"/>
        </w:rPr>
      </w:pPr>
      <m:oMath>
        <m:sSub>
          <m:sSubPr>
            <m:ctrlPr>
              <w:rPr>
                <w:rFonts w:ascii="Cambria Math" w:hAnsi="Cambria Math"/>
              </w:rPr>
            </m:ctrlPr>
          </m:sSubPr>
          <m:e>
            <m:r>
              <m:rPr>
                <m:sty m:val="p"/>
              </m:rPr>
              <w:rPr>
                <w:rFonts w:ascii="Cambria Math" w:hAnsi="Cambria Math"/>
              </w:rPr>
              <m:t>V</m:t>
            </m:r>
            <m:ctrlPr>
              <w:rPr>
                <w:rFonts w:ascii="Cambria Math" w:hAnsi="Cambria Math"/>
              </w:rPr>
            </m:ctrlPr>
          </m:e>
          <m:sub>
            <m:r>
              <m:rPr/>
              <w:rPr>
                <w:rFonts w:ascii="Cambria Math" w:hAnsi="Cambria Math"/>
              </w:rPr>
              <m:t>t</m:t>
            </m:r>
            <m:ctrlPr>
              <w:rPr>
                <w:rFonts w:ascii="Cambria Math" w:hAnsi="Cambria Math"/>
              </w:rPr>
            </m:ctrlPr>
          </m:sub>
        </m:sSub>
      </m:oMath>
      <w:r>
        <w:rPr>
          <w:rFonts w:ascii="Times New Roman"/>
        </w:rPr>
        <w:t>——旅游康养服务价值量，单位：万元/a；</w:t>
      </w:r>
    </w:p>
    <w:p w14:paraId="14B6B252">
      <w:pPr>
        <w:pStyle w:val="58"/>
        <w:ind w:firstLine="420"/>
        <w:rPr>
          <w:rFonts w:ascii="Times New Roman"/>
        </w:rPr>
      </w:pPr>
      <m:oMath>
        <m:sSub>
          <m:sSubPr>
            <m:ctrlPr>
              <w:rPr>
                <w:rFonts w:ascii="Cambria Math" w:hAnsi="Cambria Math"/>
                <w:i/>
                <w:szCs w:val="21"/>
              </w:rPr>
            </m:ctrlPr>
          </m:sSubPr>
          <m:e>
            <m:r>
              <m:rPr/>
              <w:rPr>
                <w:rFonts w:ascii="Cambria Math" w:hAnsi="Cambria Math"/>
                <w:szCs w:val="21"/>
              </w:rPr>
              <m:t>N</m:t>
            </m:r>
            <m:ctrlPr>
              <w:rPr>
                <w:rFonts w:ascii="Cambria Math" w:hAnsi="Cambria Math"/>
                <w:i/>
                <w:szCs w:val="21"/>
              </w:rPr>
            </m:ctrlPr>
          </m:e>
          <m:sub>
            <m:r>
              <m:rPr/>
              <w:rPr>
                <w:rFonts w:ascii="Cambria Math" w:hAnsi="Cambria Math"/>
                <w:szCs w:val="21"/>
              </w:rPr>
              <m:t>i,j</m:t>
            </m:r>
            <m:ctrlPr>
              <w:rPr>
                <w:rFonts w:ascii="Cambria Math" w:hAnsi="Cambria Math"/>
                <w:i/>
                <w:szCs w:val="21"/>
              </w:rPr>
            </m:ctrlPr>
          </m:sub>
        </m:sSub>
      </m:oMath>
      <w:r>
        <w:rPr>
          <w:rFonts w:ascii="Times New Roman"/>
        </w:rPr>
        <w:t>——抽样调查中，第</w:t>
      </w:r>
      <m:oMath>
        <m:r>
          <m:rPr/>
          <w:rPr>
            <w:rFonts w:ascii="Cambria Math" w:hAnsi="Cambria Math"/>
          </w:rPr>
          <m:t>i</m:t>
        </m:r>
      </m:oMath>
      <w:r>
        <w:rPr>
          <w:rFonts w:ascii="Times New Roman"/>
          <w:iCs/>
        </w:rPr>
        <w:t>个自然旅游景区第</w:t>
      </w:r>
      <m:oMath>
        <m:r>
          <m:rPr/>
          <w:rPr>
            <w:rFonts w:ascii="Cambria Math" w:hAnsi="Cambria Math"/>
          </w:rPr>
          <m:t>j</m:t>
        </m:r>
      </m:oMath>
      <w:r>
        <w:rPr>
          <w:rFonts w:ascii="Times New Roman"/>
        </w:rPr>
        <w:t>类游客的总人次，单位：人次/a；</w:t>
      </w:r>
    </w:p>
    <w:p w14:paraId="3FE3C157">
      <w:pPr>
        <w:pStyle w:val="58"/>
        <w:ind w:firstLine="420"/>
        <w:rPr>
          <w:rFonts w:ascii="Times New Roman"/>
        </w:rPr>
      </w:pPr>
      <m:oMath>
        <m:r>
          <m:rPr/>
          <w:rPr>
            <w:rFonts w:ascii="Cambria Math" w:hAnsi="Cambria Math"/>
            <w:szCs w:val="21"/>
          </w:rPr>
          <m:t>T</m:t>
        </m:r>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i,j</m:t>
            </m:r>
            <m:ctrlPr>
              <w:rPr>
                <w:rFonts w:ascii="Cambria Math" w:hAnsi="Cambria Math"/>
                <w:i/>
                <w:szCs w:val="21"/>
              </w:rPr>
            </m:ctrlPr>
          </m:sub>
        </m:sSub>
      </m:oMath>
      <w:r>
        <w:rPr>
          <w:rFonts w:ascii="Times New Roman" w:eastAsiaTheme="minorEastAsia"/>
        </w:rPr>
        <w:t>——</w:t>
      </w:r>
      <w:r>
        <w:rPr>
          <w:rFonts w:ascii="Times New Roman"/>
        </w:rPr>
        <w:t>抽样调查中，第</w:t>
      </w:r>
      <m:oMath>
        <m:r>
          <m:rPr/>
          <w:rPr>
            <w:rFonts w:ascii="Cambria Math" w:hAnsi="Cambria Math"/>
          </w:rPr>
          <m:t>i</m:t>
        </m:r>
      </m:oMath>
      <w:r>
        <w:rPr>
          <w:rFonts w:ascii="Times New Roman"/>
          <w:iCs/>
        </w:rPr>
        <w:t>个自然旅游景区第</w:t>
      </w:r>
      <m:oMath>
        <m:r>
          <m:rPr/>
          <w:rPr>
            <w:rFonts w:ascii="Cambria Math" w:hAnsi="Cambria Math"/>
          </w:rPr>
          <m:t>j</m:t>
        </m:r>
      </m:oMath>
      <w:r>
        <w:rPr>
          <w:rFonts w:ascii="Times New Roman"/>
        </w:rPr>
        <w:t>类游客的平均旅行成本，单位：元</w:t>
      </w:r>
      <w:r>
        <w:rPr>
          <w:rFonts w:ascii="Times New Roman" w:eastAsia="Times New Roman"/>
        </w:rPr>
        <w:t>/</w:t>
      </w:r>
      <w:r>
        <w:rPr>
          <w:rFonts w:ascii="Times New Roman"/>
        </w:rPr>
        <w:t>人次，见</w:t>
      </w:r>
      <w:r>
        <w:rPr>
          <w:rFonts w:ascii="Times New Roman"/>
          <w:iCs/>
        </w:rPr>
        <w:t>附录</w:t>
      </w:r>
      <w:r>
        <w:rPr>
          <w:rFonts w:ascii="Times New Roman"/>
        </w:rPr>
        <w:t>C11.1；</w:t>
      </w:r>
    </w:p>
    <w:p w14:paraId="1F7D005F">
      <w:pPr>
        <w:pStyle w:val="58"/>
        <w:ind w:firstLine="420"/>
        <w:rPr>
          <w:rFonts w:ascii="Times New Roman"/>
          <w:iCs/>
        </w:rPr>
      </w:pPr>
      <m:oMath>
        <m:r>
          <m:rPr/>
          <w:rPr>
            <w:rFonts w:ascii="Cambria Math" w:hAnsi="Cambria Math"/>
            <w:szCs w:val="21"/>
          </w:rPr>
          <m:t>N</m:t>
        </m:r>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i,j</m:t>
            </m:r>
            <m:ctrlPr>
              <w:rPr>
                <w:rFonts w:ascii="Cambria Math" w:hAnsi="Cambria Math"/>
                <w:i/>
                <w:szCs w:val="21"/>
              </w:rPr>
            </m:ctrlPr>
          </m:sub>
        </m:sSub>
      </m:oMath>
      <w:r>
        <w:rPr>
          <w:rFonts w:ascii="Times New Roman" w:eastAsiaTheme="minorEastAsia"/>
        </w:rPr>
        <w:t>——</w:t>
      </w:r>
      <w:r>
        <w:rPr>
          <w:rFonts w:ascii="Times New Roman"/>
        </w:rPr>
        <w:t>抽样调查中，第</w:t>
      </w:r>
      <m:oMath>
        <m:r>
          <m:rPr/>
          <w:rPr>
            <w:rFonts w:ascii="Cambria Math" w:hAnsi="Cambria Math"/>
          </w:rPr>
          <m:t>i</m:t>
        </m:r>
      </m:oMath>
      <w:r>
        <w:rPr>
          <w:rFonts w:ascii="Times New Roman"/>
          <w:iCs/>
        </w:rPr>
        <w:t>个自然旅游景区第</w:t>
      </w:r>
      <m:oMath>
        <m:r>
          <m:rPr/>
          <w:rPr>
            <w:rFonts w:ascii="Cambria Math" w:hAnsi="Cambria Math"/>
          </w:rPr>
          <m:t>j</m:t>
        </m:r>
      </m:oMath>
      <w:r>
        <w:rPr>
          <w:rFonts w:ascii="Times New Roman"/>
        </w:rPr>
        <w:t>类游客自然景观倾向度</w:t>
      </w:r>
      <w:r>
        <w:rPr>
          <w:rFonts w:ascii="Times New Roman"/>
          <w:iCs/>
        </w:rPr>
        <w:t>，单位：%，</w:t>
      </w:r>
      <w:r>
        <w:rPr>
          <w:rFonts w:ascii="Times New Roman"/>
        </w:rPr>
        <w:t>见</w:t>
      </w:r>
      <w:r>
        <w:rPr>
          <w:rFonts w:ascii="Times New Roman"/>
          <w:iCs/>
        </w:rPr>
        <w:t>附录</w:t>
      </w:r>
      <w:r>
        <w:rPr>
          <w:rFonts w:ascii="Times New Roman"/>
        </w:rPr>
        <w:t>C11.2；</w:t>
      </w:r>
    </w:p>
    <w:p w14:paraId="19840738">
      <w:pPr>
        <w:pStyle w:val="58"/>
        <w:ind w:firstLine="420"/>
        <w:rPr>
          <w:rFonts w:ascii="Times New Roman"/>
        </w:rPr>
      </w:pPr>
      <m:oMath>
        <m:sSub>
          <m:sSubPr>
            <m:ctrlPr>
              <w:rPr>
                <w:rFonts w:ascii="Cambria Math" w:hAnsi="Cambria Math"/>
                <w:i/>
                <w:szCs w:val="21"/>
              </w:rPr>
            </m:ctrlPr>
          </m:sSubPr>
          <m:e>
            <m:r>
              <m:rPr/>
              <w:rPr>
                <w:rFonts w:ascii="Cambria Math" w:hAnsi="Cambria Math"/>
                <w:szCs w:val="21"/>
              </w:rPr>
              <m:t>N</m:t>
            </m:r>
            <m:ctrlPr>
              <w:rPr>
                <w:rFonts w:ascii="Cambria Math" w:hAnsi="Cambria Math"/>
                <w:i/>
                <w:szCs w:val="21"/>
              </w:rPr>
            </m:ctrlPr>
          </m:e>
          <m:sub>
            <m:r>
              <m:rPr/>
              <w:rPr>
                <w:rFonts w:ascii="Cambria Math" w:hAnsi="Cambria Math"/>
              </w:rPr>
              <m:t>t</m:t>
            </m:r>
            <m:ctrlPr>
              <w:rPr>
                <w:rFonts w:ascii="Cambria Math" w:hAnsi="Cambria Math"/>
                <w:i/>
                <w:szCs w:val="21"/>
              </w:rPr>
            </m:ctrlPr>
          </m:sub>
        </m:sSub>
      </m:oMath>
      <w:r>
        <w:rPr>
          <w:rFonts w:ascii="Times New Roman"/>
          <w:iCs/>
        </w:rPr>
        <w:t>——</w:t>
      </w:r>
      <w:r>
        <w:rPr>
          <w:rFonts w:ascii="Times New Roman"/>
        </w:rPr>
        <w:t>游客总人次，单位：人次</w:t>
      </w:r>
      <w:r>
        <w:rPr>
          <w:rFonts w:ascii="Times New Roman" w:eastAsia="Times New Roman"/>
        </w:rPr>
        <w:t>/a</w:t>
      </w:r>
      <w:r>
        <w:rPr>
          <w:rFonts w:ascii="Times New Roman"/>
        </w:rPr>
        <w:t>；</w:t>
      </w:r>
    </w:p>
    <w:p w14:paraId="7915A67D">
      <w:pPr>
        <w:pStyle w:val="58"/>
        <w:ind w:firstLine="420"/>
        <w:rPr>
          <w:rFonts w:ascii="Times New Roman"/>
          <w:i/>
          <w:szCs w:val="21"/>
        </w:rPr>
      </w:pPr>
      <m:oMath>
        <m:r>
          <m:rPr/>
          <w:rPr>
            <w:rFonts w:ascii="Cambria Math" w:hAnsi="Cambria Math"/>
            <w:szCs w:val="21"/>
          </w:rPr>
          <m:t>PP</m:t>
        </m:r>
      </m:oMath>
      <w:r>
        <w:rPr>
          <w:rFonts w:ascii="Times New Roman"/>
          <w:i/>
          <w:szCs w:val="21"/>
        </w:rPr>
        <w:t>——</w:t>
      </w:r>
      <w:r>
        <w:rPr>
          <w:rFonts w:ascii="Times New Roman"/>
          <w:iCs/>
          <w:szCs w:val="21"/>
        </w:rPr>
        <w:t>抽样调查受访人次，单位：人次。</w:t>
      </w:r>
    </w:p>
    <w:p w14:paraId="4EA0FDA0">
      <w:pPr>
        <w:pStyle w:val="181"/>
        <w:rPr>
          <w:rFonts w:ascii="Times New Roman"/>
        </w:rPr>
      </w:pPr>
      <w:r>
        <w:rPr>
          <w:rFonts w:ascii="Times New Roman"/>
        </w:rPr>
        <w:t>应采用问卷调查方式，开展旅游康养服务价值量测算。问卷设计、调查方法、质量控制、结果使用等可参考DB11/T 2059-2022。</w:t>
      </w:r>
      <w:bookmarkEnd w:id="95"/>
    </w:p>
    <w:p w14:paraId="112EB27A">
      <w:pPr>
        <w:pStyle w:val="96"/>
        <w:spacing w:before="156" w:after="156"/>
      </w:pPr>
      <w:r>
        <w:rPr>
          <w:rFonts w:hint="eastAsia"/>
        </w:rPr>
        <w:t>休闲游憩</w:t>
      </w:r>
      <w:r>
        <w:rPr>
          <w:rFonts w:ascii="Times New Roman"/>
        </w:rPr>
        <w:t>服务价值量</w:t>
      </w:r>
    </w:p>
    <w:p w14:paraId="4781B382">
      <w:pPr>
        <w:pStyle w:val="58"/>
        <w:ind w:firstLine="420"/>
        <w:rPr>
          <w:rFonts w:ascii="Times New Roman"/>
        </w:rPr>
      </w:pPr>
      <w:r>
        <w:rPr>
          <w:rFonts w:ascii="Times New Roman"/>
        </w:rPr>
        <w:t>游憩服务价值量，宜采用替代成本法核算。按照公式（</w:t>
      </w:r>
      <w:r>
        <w:rPr>
          <w:rFonts w:hint="eastAsia" w:ascii="Times New Roman"/>
        </w:rPr>
        <w:t>51</w:t>
      </w:r>
      <w:r>
        <w:rPr>
          <w:rFonts w:ascii="Times New Roman"/>
        </w:rPr>
        <w:t>）计算。</w:t>
      </w:r>
    </w:p>
    <w:p w14:paraId="55D05D1D">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 xml:space="preserve">r </m:t>
            </m:r>
            <m:ctrlPr>
              <w:rPr>
                <w:rFonts w:ascii="Cambria Math" w:hAnsi="Cambria Math"/>
                <w:i/>
              </w:rPr>
            </m:ctrlPr>
          </m:sub>
        </m:sSub>
        <m:r>
          <m:rPr/>
          <w:rPr>
            <w:rFonts w:ascii="Cambria Math" w:hAnsi="Cambria Math"/>
          </w:rPr>
          <m:t>×E×NC×</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591080A">
      <w:pPr>
        <w:pStyle w:val="57"/>
        <w:ind w:firstLine="420"/>
        <w:rPr>
          <w:rFonts w:ascii="Times New Roman" w:hAnsi="Times New Roman"/>
        </w:rPr>
      </w:pPr>
      <w:r>
        <w:rPr>
          <w:rFonts w:ascii="Times New Roman" w:hAnsi="Times New Roman"/>
        </w:rPr>
        <w:t>式中：</w:t>
      </w:r>
    </w:p>
    <w:p w14:paraId="17EE2DB2">
      <w:pPr>
        <w:pStyle w:val="57"/>
        <w:ind w:firstLine="420"/>
        <w:rPr>
          <w:rFonts w:ascii="Times New Roman" w:hAns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r</m:t>
            </m:r>
            <m:ctrlPr>
              <w:rPr>
                <w:rFonts w:ascii="Cambria Math" w:hAnsi="Cambria Math"/>
                <w:i/>
              </w:rPr>
            </m:ctrlPr>
          </m:sub>
        </m:sSub>
      </m:oMath>
      <w:r>
        <w:rPr>
          <w:rFonts w:ascii="Times New Roman" w:hAnsi="Times New Roman"/>
        </w:rPr>
        <w:t>——休闲游憩服务价值量，单位：万元</w:t>
      </w:r>
      <w:r>
        <w:rPr>
          <w:rFonts w:ascii="Times New Roman" w:hAnsi="Times New Roman" w:eastAsia="Times New Roman"/>
        </w:rPr>
        <w:t>/a</w:t>
      </w:r>
      <w:r>
        <w:rPr>
          <w:rFonts w:ascii="Times New Roman" w:hAnsi="Times New Roman"/>
        </w:rPr>
        <w:t>；</w:t>
      </w:r>
    </w:p>
    <w:p w14:paraId="275BB2C6">
      <w:pPr>
        <w:pStyle w:val="58"/>
        <w:ind w:firstLine="420"/>
        <w:rPr>
          <w:rFonts w:ascii="Times New Roma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 xml:space="preserve">r </m:t>
            </m:r>
            <m:ctrlPr>
              <w:rPr>
                <w:rFonts w:ascii="Cambria Math" w:hAnsi="Cambria Math"/>
                <w:i/>
              </w:rPr>
            </m:ctrlPr>
          </m:sub>
        </m:sSub>
      </m:oMath>
      <w:r>
        <w:rPr>
          <w:rFonts w:ascii="Times New Roman"/>
        </w:rPr>
        <w:t>——核算区域居民在自然空间休闲游憩总时间，单位：h</w:t>
      </w:r>
      <w:r>
        <w:rPr>
          <w:rFonts w:ascii="Times New Roman" w:eastAsia="Times New Roman"/>
        </w:rPr>
        <w:t>/a</w:t>
      </w:r>
      <w:r>
        <w:rPr>
          <w:rFonts w:ascii="Times New Roman"/>
        </w:rPr>
        <w:t>；</w:t>
      </w:r>
    </w:p>
    <w:p w14:paraId="03E616BF">
      <w:pPr>
        <w:pStyle w:val="58"/>
        <w:ind w:firstLine="420"/>
        <w:rPr>
          <w:rFonts w:ascii="Times New Roman"/>
        </w:rPr>
      </w:pPr>
      <m:oMath>
        <m:r>
          <m:rPr/>
          <w:rPr>
            <w:rFonts w:ascii="Cambria Math" w:hAnsi="Cambria Math"/>
          </w:rPr>
          <m:t>E</m:t>
        </m:r>
      </m:oMath>
      <w:r>
        <w:rPr>
          <w:rFonts w:ascii="Times New Roman"/>
        </w:rPr>
        <w:t>——核算区域单位时间人均时薪，单位：元/h;</w:t>
      </w:r>
    </w:p>
    <w:p w14:paraId="2D03556F">
      <w:pPr>
        <w:pStyle w:val="58"/>
        <w:ind w:firstLine="420"/>
        <w:rPr>
          <w:rFonts w:ascii="Times New Roman"/>
          <w:iCs/>
        </w:rPr>
      </w:pPr>
      <m:oMath>
        <m:r>
          <m:rPr/>
          <w:rPr>
            <w:rFonts w:ascii="Cambria Math" w:hAnsi="Cambria Math"/>
          </w:rPr>
          <m:t>NC</m:t>
        </m:r>
      </m:oMath>
      <w:r>
        <w:rPr>
          <w:rFonts w:ascii="Times New Roman"/>
        </w:rPr>
        <w:t>——休闲游憩自然景观倾向度</w:t>
      </w:r>
      <w:r>
        <w:rPr>
          <w:rFonts w:ascii="Times New Roman"/>
          <w:iCs/>
        </w:rPr>
        <w:t>，单位：%，见C.12.2。</w:t>
      </w:r>
    </w:p>
    <w:p w14:paraId="73F15811">
      <w:pPr>
        <w:pStyle w:val="181"/>
        <w:rPr>
          <w:rFonts w:ascii="Times New Roman"/>
        </w:rPr>
      </w:pPr>
      <w:r>
        <w:rPr>
          <w:rFonts w:ascii="Times New Roman"/>
        </w:rPr>
        <w:t>应采用问卷调查方式，开展休闲游憩服务价值量测算。问卷设计、调查方法、质量控制、结果使用等可参考DB11/T 2059-2022。</w:t>
      </w:r>
    </w:p>
    <w:p w14:paraId="0CCC6EBA">
      <w:pPr>
        <w:pStyle w:val="96"/>
        <w:spacing w:before="156" w:after="156"/>
      </w:pPr>
      <w:r>
        <w:rPr>
          <w:rFonts w:hint="eastAsia"/>
        </w:rPr>
        <w:t>景观增值</w:t>
      </w:r>
      <w:r>
        <w:rPr>
          <w:rFonts w:ascii="Times New Roman"/>
        </w:rPr>
        <w:t>服务价值量</w:t>
      </w:r>
    </w:p>
    <w:p w14:paraId="19C09470">
      <w:pPr>
        <w:pStyle w:val="58"/>
        <w:ind w:firstLine="420"/>
        <w:rPr>
          <w:rFonts w:ascii="Times New Roman"/>
        </w:rPr>
      </w:pPr>
      <w:r>
        <w:rPr>
          <w:rFonts w:ascii="Times New Roman"/>
        </w:rPr>
        <w:t>生态系统景观增值服务价值量包括酒店宾馆景观增值和自有住房景观增值。宜采用市场价值法核算生态系统景观增值服务价值量。按照公式（</w:t>
      </w:r>
      <w:r>
        <w:rPr>
          <w:rFonts w:hint="eastAsia" w:ascii="Times New Roman"/>
        </w:rPr>
        <w:t>52</w:t>
      </w:r>
      <w:r>
        <w:rPr>
          <w:rFonts w:ascii="Times New Roman"/>
        </w:rPr>
        <w:t>）（</w:t>
      </w:r>
      <w:r>
        <w:rPr>
          <w:rFonts w:hint="eastAsia" w:ascii="Times New Roman"/>
        </w:rPr>
        <w:t>53</w:t>
      </w:r>
      <w:r>
        <w:rPr>
          <w:rFonts w:ascii="Times New Roman"/>
        </w:rPr>
        <w:t>）（</w:t>
      </w:r>
      <w:r>
        <w:rPr>
          <w:rFonts w:hint="eastAsia" w:ascii="Times New Roman"/>
        </w:rPr>
        <w:t>54</w:t>
      </w:r>
      <w:r>
        <w:rPr>
          <w:rFonts w:ascii="Times New Roman"/>
        </w:rPr>
        <w:t>）核算。</w:t>
      </w:r>
    </w:p>
    <w:p w14:paraId="0C0B4F61">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l</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r</m:t>
            </m:r>
            <m:ctrlPr>
              <w:rPr>
                <w:rFonts w:ascii="Cambria Math" w:hAnsi="Cambria Math"/>
                <w:i/>
              </w:rPr>
            </m:ctrlPr>
          </m:sub>
        </m:sSub>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8F0E2AE">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3C34E7A8">
      <w:pPr>
        <w:tabs>
          <w:tab w:val="center" w:pos="4678"/>
          <w:tab w:val="right" w:leader="middleDot" w:pos="9356"/>
        </w:tabs>
        <w:spacing w:line="240" w:lineRule="auto"/>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eastAsia="等线"/>
              </w:rPr>
              <m:t>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等线"/>
              </w:rPr>
              <m:t>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eastAsia="等线"/>
              </w:rPr>
              <m:t>r</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−4</m:t>
            </m:r>
            <m:ctrlPr>
              <w:rPr>
                <w:rFonts w:ascii="Cambria Math" w:hAnsi="Cambria Math"/>
                <w:i/>
              </w:rPr>
            </m:ctrlPr>
          </m:sup>
        </m:sSup>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4A7E595">
      <w:pPr>
        <w:snapToGrid w:val="0"/>
        <w:ind w:firstLine="420" w:firstLineChars="200"/>
        <w:rPr>
          <w:rFonts w:ascii="Times New Roman" w:hAnsi="Times New Roman"/>
          <w:kern w:val="0"/>
        </w:rPr>
      </w:pPr>
      <w:r>
        <w:rPr>
          <w:rFonts w:ascii="Times New Roman" w:hAnsi="Times New Roman"/>
          <w:kern w:val="0"/>
        </w:rPr>
        <w:t>式中：</w:t>
      </w:r>
    </w:p>
    <w:p w14:paraId="481F5EE5">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V</m:t>
            </m:r>
            <m:ctrlPr>
              <w:rPr>
                <w:rFonts w:ascii="Cambria Math" w:hAnsi="Cambria Math"/>
                <w:i/>
              </w:rPr>
            </m:ctrlPr>
          </m:e>
          <m:sub>
            <m:r>
              <m:rPr/>
              <w:rPr>
                <w:rFonts w:ascii="Cambria Math" w:hAnsi="Cambria Math"/>
                <w:kern w:val="0"/>
                <w:szCs w:val="20"/>
              </w:rPr>
              <m:t>l</m:t>
            </m:r>
            <m:ctrlPr>
              <w:rPr>
                <w:rFonts w:ascii="Cambria Math" w:hAnsi="Cambria Math"/>
                <w:i/>
              </w:rPr>
            </m:ctrlPr>
          </m:sub>
        </m:sSub>
      </m:oMath>
      <w:r>
        <w:rPr>
          <w:rFonts w:ascii="Times New Roman" w:hAnsi="Times New Roman"/>
          <w:kern w:val="0"/>
          <w:szCs w:val="20"/>
        </w:rPr>
        <w:t>——景观增值服务价值量，单位：万元/a；</w:t>
      </w:r>
    </w:p>
    <w:p w14:paraId="768841E4">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V</m:t>
            </m:r>
            <m:ctrlPr>
              <w:rPr>
                <w:rFonts w:ascii="Cambria Math" w:hAnsi="Cambria Math"/>
                <w:i/>
              </w:rPr>
            </m:ctrlPr>
          </m:e>
          <m:sub>
            <m:r>
              <m:rPr/>
              <w:rPr>
                <w:rFonts w:ascii="Cambria Math" w:hAnsi="Cambria Math" w:eastAsia="MS Gothic"/>
                <w:kern w:val="0"/>
                <w:szCs w:val="20"/>
              </w:rPr>
              <m:t>ℎ</m:t>
            </m:r>
            <m:ctrlPr>
              <w:rPr>
                <w:rFonts w:ascii="Cambria Math" w:hAnsi="Cambria Math"/>
                <w:i/>
              </w:rPr>
            </m:ctrlPr>
          </m:sub>
        </m:sSub>
      </m:oMath>
      <w:r>
        <w:rPr>
          <w:rFonts w:ascii="Times New Roman" w:hAnsi="Times New Roman"/>
          <w:kern w:val="0"/>
          <w:szCs w:val="20"/>
        </w:rPr>
        <w:t>——酒店景观增值价值量，单位：万元/a；</w:t>
      </w:r>
    </w:p>
    <w:p w14:paraId="6454CBB3">
      <w:pPr>
        <w:widowControl/>
        <w:autoSpaceDE w:val="0"/>
        <w:autoSpaceDN w:val="0"/>
        <w:adjustRightInd/>
        <w:spacing w:line="240" w:lineRule="auto"/>
        <w:ind w:firstLine="420" w:firstLineChars="200"/>
        <w:rPr>
          <w:rFonts w:ascii="Times New Roman" w:hAnsi="Times New Roman"/>
          <w:kern w:val="0"/>
          <w:szCs w:val="20"/>
        </w:rPr>
      </w:pPr>
      <m:oMath>
        <m:sSub>
          <m:sSubPr>
            <m:ctrlPr>
              <w:rPr>
                <w:rFonts w:ascii="Cambria Math" w:hAnsi="Cambria Math"/>
                <w:i/>
              </w:rPr>
            </m:ctrlPr>
          </m:sSubPr>
          <m:e>
            <m:r>
              <m:rPr/>
              <w:rPr>
                <w:rFonts w:ascii="Cambria Math" w:hAnsi="Cambria Math"/>
                <w:kern w:val="0"/>
                <w:szCs w:val="20"/>
              </w:rPr>
              <m:t>V</m:t>
            </m:r>
            <m:ctrlPr>
              <w:rPr>
                <w:rFonts w:ascii="Cambria Math" w:hAnsi="Cambria Math"/>
                <w:i/>
              </w:rPr>
            </m:ctrlPr>
          </m:e>
          <m:sub>
            <m:r>
              <m:rPr/>
              <w:rPr>
                <w:rFonts w:ascii="Cambria Math" w:hAnsi="Cambria Math"/>
                <w:kern w:val="0"/>
                <w:szCs w:val="20"/>
              </w:rPr>
              <m:t>r</m:t>
            </m:r>
            <m:ctrlPr>
              <w:rPr>
                <w:rFonts w:ascii="Cambria Math" w:hAnsi="Cambria Math"/>
                <w:i/>
              </w:rPr>
            </m:ctrlPr>
          </m:sub>
        </m:sSub>
      </m:oMath>
      <w:r>
        <w:rPr>
          <w:rFonts w:ascii="Times New Roman" w:hAnsi="Times New Roman"/>
          <w:kern w:val="0"/>
          <w:szCs w:val="20"/>
        </w:rPr>
        <w:t>——自有住房景观增值价值量，单位：万元/a；</w:t>
      </w:r>
    </w:p>
    <w:p w14:paraId="2417863E">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kern w:val="0"/>
                <w:szCs w:val="20"/>
              </w:rPr>
            </m:ctrlPr>
          </m:sSubPr>
          <m:e>
            <m:r>
              <m:rPr/>
              <w:rPr>
                <w:rFonts w:ascii="Cambria Math" w:hAnsi="Cambria Math"/>
                <w:kern w:val="0"/>
                <w:szCs w:val="20"/>
              </w:rPr>
              <m:t>N</m:t>
            </m:r>
            <m:ctrlPr>
              <w:rPr>
                <w:rFonts w:ascii="Cambria Math" w:hAnsi="Cambria Math"/>
                <w:i/>
                <w:kern w:val="0"/>
                <w:szCs w:val="20"/>
              </w:rPr>
            </m:ctrlPr>
          </m:e>
          <m:sub>
            <m:r>
              <m:rPr/>
              <w:rPr>
                <w:rFonts w:ascii="Cambria Math" w:hAnsi="Cambria Math" w:eastAsia="MS Gothic"/>
                <w:kern w:val="0"/>
                <w:szCs w:val="20"/>
              </w:rPr>
              <m:t>ℎ</m:t>
            </m:r>
            <m:ctrlPr>
              <w:rPr>
                <w:rFonts w:ascii="Cambria Math" w:hAnsi="Cambria Math"/>
                <w:i/>
                <w:kern w:val="0"/>
                <w:szCs w:val="20"/>
              </w:rPr>
            </m:ctrlPr>
          </m:sub>
        </m:sSub>
      </m:oMath>
      <w:r>
        <w:rPr>
          <w:rFonts w:ascii="Times New Roman" w:hAnsi="Times New Roman"/>
          <w:iCs/>
          <w:kern w:val="0"/>
          <w:szCs w:val="20"/>
        </w:rPr>
        <w:t>——酒店景观房销售数，单位：间夜/a；</w:t>
      </w:r>
    </w:p>
    <w:p w14:paraId="3585C7CC">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rPr>
            </m:ctrlPr>
          </m:sSubPr>
          <m:e>
            <m:r>
              <m:rPr/>
              <w:rPr>
                <w:rFonts w:ascii="Cambria Math" w:hAnsi="Cambria Math"/>
                <w:kern w:val="0"/>
                <w:szCs w:val="20"/>
              </w:rPr>
              <m:t>P</m:t>
            </m:r>
            <m:ctrlPr>
              <w:rPr>
                <w:rFonts w:ascii="Cambria Math" w:hAnsi="Cambria Math"/>
                <w:i/>
              </w:rPr>
            </m:ctrlPr>
          </m:e>
          <m:sub>
            <m:r>
              <m:rPr/>
              <w:rPr>
                <w:rFonts w:ascii="Cambria Math" w:hAnsi="Cambria Math" w:eastAsia="MS Gothic"/>
                <w:kern w:val="0"/>
                <w:szCs w:val="20"/>
              </w:rPr>
              <m:t>ℎ</m:t>
            </m:r>
            <m:ctrlPr>
              <w:rPr>
                <w:rFonts w:ascii="Cambria Math" w:hAnsi="Cambria Math"/>
                <w:i/>
              </w:rPr>
            </m:ctrlPr>
          </m:sub>
        </m:sSub>
      </m:oMath>
      <w:r>
        <w:rPr>
          <w:rFonts w:ascii="Times New Roman" w:hAnsi="Times New Roman"/>
          <w:iCs/>
          <w:kern w:val="0"/>
          <w:szCs w:val="20"/>
        </w:rPr>
        <w:t>——酒店景观房平均单价，单位：元/间夜，见附录C13.1；</w:t>
      </w:r>
    </w:p>
    <w:p w14:paraId="684EBDB1">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rPr>
            </m:ctrlPr>
          </m:sSubPr>
          <m:e>
            <m:r>
              <m:rPr/>
              <w:rPr>
                <w:rFonts w:ascii="Cambria Math" w:hAnsi="Cambria Math"/>
                <w:kern w:val="0"/>
                <w:szCs w:val="20"/>
              </w:rPr>
              <m:t>R</m:t>
            </m:r>
            <m:ctrlPr>
              <w:rPr>
                <w:rFonts w:ascii="Cambria Math" w:hAnsi="Cambria Math"/>
                <w:i/>
              </w:rPr>
            </m:ctrlPr>
          </m:e>
          <m:sub>
            <m:r>
              <m:rPr/>
              <w:rPr>
                <w:rFonts w:ascii="Cambria Math" w:hAnsi="Cambria Math" w:eastAsia="MS Gothic"/>
                <w:kern w:val="0"/>
                <w:szCs w:val="20"/>
              </w:rPr>
              <m:t>ℎ</m:t>
            </m:r>
            <m:ctrlPr>
              <w:rPr>
                <w:rFonts w:ascii="Cambria Math" w:hAnsi="Cambria Math"/>
                <w:i/>
              </w:rPr>
            </m:ctrlPr>
          </m:sub>
        </m:sSub>
      </m:oMath>
      <w:r>
        <w:rPr>
          <w:rFonts w:ascii="Times New Roman" w:hAnsi="Times New Roman"/>
          <w:iCs/>
          <w:kern w:val="0"/>
          <w:szCs w:val="20"/>
        </w:rPr>
        <w:t>——酒店景观房景观溢价系数，单位：%，见附录C13.2；</w:t>
      </w:r>
    </w:p>
    <w:p w14:paraId="2FD00E50">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kern w:val="0"/>
                <w:szCs w:val="20"/>
              </w:rPr>
            </m:ctrlPr>
          </m:sSubPr>
          <m:e>
            <m:r>
              <m:rPr/>
              <w:rPr>
                <w:rFonts w:ascii="Cambria Math" w:hAnsi="Cambria Math"/>
                <w:kern w:val="0"/>
                <w:szCs w:val="20"/>
              </w:rPr>
              <m:t>N</m:t>
            </m:r>
            <m:ctrlPr>
              <w:rPr>
                <w:rFonts w:ascii="Cambria Math" w:hAnsi="Cambria Math"/>
                <w:i/>
                <w:kern w:val="0"/>
                <w:szCs w:val="20"/>
              </w:rPr>
            </m:ctrlPr>
          </m:e>
          <m:sub>
            <m:r>
              <m:rPr/>
              <w:rPr>
                <w:rFonts w:ascii="Cambria Math" w:hAnsi="Cambria Math" w:eastAsia="等线"/>
                <w:kern w:val="0"/>
                <w:szCs w:val="20"/>
              </w:rPr>
              <m:t>r</m:t>
            </m:r>
            <m:ctrlPr>
              <w:rPr>
                <w:rFonts w:ascii="Cambria Math" w:hAnsi="Cambria Math"/>
                <w:i/>
                <w:kern w:val="0"/>
                <w:szCs w:val="20"/>
              </w:rPr>
            </m:ctrlPr>
          </m:sub>
        </m:sSub>
      </m:oMath>
      <w:r>
        <w:rPr>
          <w:rFonts w:ascii="Times New Roman" w:hAnsi="Times New Roman"/>
          <w:iCs/>
          <w:kern w:val="0"/>
          <w:szCs w:val="20"/>
        </w:rPr>
        <w:t>——自有住房景观房面积，单位：m</w:t>
      </w:r>
      <w:r>
        <w:rPr>
          <w:rFonts w:ascii="Times New Roman" w:hAnsi="Times New Roman"/>
          <w:iCs/>
          <w:kern w:val="0"/>
          <w:szCs w:val="20"/>
          <w:vertAlign w:val="superscript"/>
        </w:rPr>
        <w:t>2</w:t>
      </w:r>
      <w:r>
        <w:rPr>
          <w:rFonts w:ascii="Times New Roman" w:hAnsi="Times New Roman"/>
          <w:iCs/>
          <w:kern w:val="0"/>
          <w:szCs w:val="20"/>
        </w:rPr>
        <w:t>/a；</w:t>
      </w:r>
    </w:p>
    <w:p w14:paraId="5BC1D2D3">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rPr>
            </m:ctrlPr>
          </m:sSubPr>
          <m:e>
            <m:r>
              <m:rPr/>
              <w:rPr>
                <w:rFonts w:ascii="Cambria Math" w:hAnsi="Cambria Math"/>
                <w:kern w:val="0"/>
                <w:szCs w:val="20"/>
              </w:rPr>
              <m:t>P</m:t>
            </m:r>
            <m:ctrlPr>
              <w:rPr>
                <w:rFonts w:ascii="Cambria Math" w:hAnsi="Cambria Math"/>
                <w:i/>
              </w:rPr>
            </m:ctrlPr>
          </m:e>
          <m:sub>
            <m:r>
              <m:rPr/>
              <w:rPr>
                <w:rFonts w:ascii="Cambria Math" w:hAnsi="Cambria Math" w:eastAsia="等线"/>
                <w:kern w:val="0"/>
                <w:szCs w:val="20"/>
              </w:rPr>
              <m:t>r</m:t>
            </m:r>
            <m:ctrlPr>
              <w:rPr>
                <w:rFonts w:ascii="Cambria Math" w:hAnsi="Cambria Math"/>
                <w:i/>
              </w:rPr>
            </m:ctrlPr>
          </m:sub>
        </m:sSub>
      </m:oMath>
      <w:r>
        <w:rPr>
          <w:rFonts w:ascii="Times New Roman" w:hAnsi="Times New Roman"/>
          <w:iCs/>
          <w:kern w:val="0"/>
          <w:szCs w:val="20"/>
        </w:rPr>
        <w:t>——</w:t>
      </w:r>
      <w:r>
        <w:rPr>
          <w:rFonts w:ascii="Times New Roman" w:hAnsi="Times New Roman"/>
          <w:kern w:val="0"/>
          <w:szCs w:val="20"/>
        </w:rPr>
        <w:t>自有住房景观房平均年租金</w:t>
      </w:r>
      <w:r>
        <w:rPr>
          <w:rFonts w:ascii="Times New Roman" w:hAnsi="Times New Roman"/>
          <w:iCs/>
          <w:kern w:val="0"/>
          <w:szCs w:val="20"/>
        </w:rPr>
        <w:t>，单位：元/m</w:t>
      </w:r>
      <w:r>
        <w:rPr>
          <w:rFonts w:ascii="Times New Roman" w:hAnsi="Times New Roman"/>
          <w:iCs/>
          <w:kern w:val="0"/>
          <w:szCs w:val="20"/>
          <w:vertAlign w:val="superscript"/>
        </w:rPr>
        <w:t>2</w:t>
      </w:r>
      <w:r>
        <w:rPr>
          <w:rFonts w:ascii="Times New Roman" w:hAnsi="Times New Roman"/>
          <w:iCs/>
          <w:kern w:val="0"/>
          <w:szCs w:val="20"/>
        </w:rPr>
        <w:t>·a，见附录C13.3；</w:t>
      </w:r>
    </w:p>
    <w:p w14:paraId="35C1D899">
      <w:pPr>
        <w:widowControl/>
        <w:autoSpaceDE w:val="0"/>
        <w:autoSpaceDN w:val="0"/>
        <w:adjustRightInd/>
        <w:spacing w:line="240" w:lineRule="auto"/>
        <w:ind w:firstLine="420" w:firstLineChars="200"/>
        <w:rPr>
          <w:rFonts w:ascii="Times New Roman" w:hAnsi="Times New Roman"/>
          <w:iCs/>
          <w:kern w:val="0"/>
          <w:szCs w:val="20"/>
        </w:rPr>
      </w:pPr>
      <m:oMath>
        <m:sSub>
          <m:sSubPr>
            <m:ctrlPr>
              <w:rPr>
                <w:rFonts w:ascii="Cambria Math" w:hAnsi="Cambria Math"/>
                <w:i/>
              </w:rPr>
            </m:ctrlPr>
          </m:sSubPr>
          <m:e>
            <m:r>
              <m:rPr/>
              <w:rPr>
                <w:rFonts w:ascii="Cambria Math" w:hAnsi="Cambria Math"/>
                <w:kern w:val="0"/>
                <w:szCs w:val="20"/>
              </w:rPr>
              <m:t>R</m:t>
            </m:r>
            <m:ctrlPr>
              <w:rPr>
                <w:rFonts w:ascii="Cambria Math" w:hAnsi="Cambria Math"/>
                <w:i/>
              </w:rPr>
            </m:ctrlPr>
          </m:e>
          <m:sub>
            <m:r>
              <m:rPr/>
              <w:rPr>
                <w:rFonts w:ascii="Cambria Math" w:hAnsi="Cambria Math" w:eastAsia="MS Gothic"/>
                <w:kern w:val="0"/>
                <w:szCs w:val="20"/>
              </w:rPr>
              <m:t>ℎ</m:t>
            </m:r>
            <m:ctrlPr>
              <w:rPr>
                <w:rFonts w:ascii="Cambria Math" w:hAnsi="Cambria Math"/>
                <w:i/>
              </w:rPr>
            </m:ctrlPr>
          </m:sub>
        </m:sSub>
      </m:oMath>
      <w:r>
        <w:rPr>
          <w:rFonts w:ascii="Times New Roman" w:hAnsi="Times New Roman"/>
          <w:iCs/>
          <w:kern w:val="0"/>
          <w:szCs w:val="20"/>
        </w:rPr>
        <w:t>——自有住房景观房景观溢价系数，单位：%，见附录C13.4。</w:t>
      </w:r>
    </w:p>
    <w:p w14:paraId="689F274B">
      <w:pPr>
        <w:pStyle w:val="106"/>
        <w:spacing w:before="312" w:after="312"/>
      </w:pPr>
      <w:bookmarkStart w:id="96" w:name="_Toc203399063"/>
      <w:bookmarkStart w:id="97" w:name="_Toc203399459"/>
      <w:bookmarkStart w:id="98" w:name="_Hlk196830401"/>
      <w:r>
        <w:rPr>
          <w:rFonts w:hint="eastAsia"/>
        </w:rPr>
        <w:t>生态产品价值变化评估</w:t>
      </w:r>
      <w:bookmarkEnd w:id="96"/>
      <w:bookmarkEnd w:id="97"/>
    </w:p>
    <w:bookmarkEnd w:id="98"/>
    <w:p w14:paraId="3CB34D8D">
      <w:pPr>
        <w:pStyle w:val="107"/>
        <w:spacing w:before="156" w:after="156"/>
      </w:pPr>
      <w:bookmarkStart w:id="99" w:name="_Toc203399065"/>
      <w:bookmarkStart w:id="100" w:name="_Toc203399461"/>
      <w:r>
        <w:rPr>
          <w:rFonts w:hint="eastAsia"/>
        </w:rPr>
        <w:t>生态产品价值评估</w:t>
      </w:r>
      <w:bookmarkEnd w:id="99"/>
      <w:bookmarkEnd w:id="100"/>
    </w:p>
    <w:p w14:paraId="45B2E3E1">
      <w:pPr>
        <w:pStyle w:val="58"/>
        <w:ind w:firstLine="420"/>
        <w:rPr>
          <w:spacing w:val="-5"/>
        </w:rPr>
      </w:pPr>
      <w:bookmarkStart w:id="101" w:name="_Hlk196830795"/>
      <w:r>
        <w:t>特定地域单元生态产品价值评估综合生态系统物质供给价值、调节服务价值和文化服务价值及其变</w:t>
      </w:r>
      <w:r>
        <w:rPr>
          <w:spacing w:val="-5"/>
        </w:rPr>
        <w:t>化，根据不同项目需求及评估方式，确定生态产品价值构成及其变化</w:t>
      </w:r>
      <w:bookmarkEnd w:id="101"/>
      <w:r>
        <w:rPr>
          <w:spacing w:val="-5"/>
        </w:rPr>
        <w:t>，具体可按如下方式选择：</w:t>
      </w:r>
    </w:p>
    <w:p w14:paraId="7ADCF76A">
      <w:pPr>
        <w:pStyle w:val="58"/>
        <w:ind w:firstLine="420"/>
        <w:rPr>
          <w:rFonts w:ascii="Times New Roman"/>
        </w:rPr>
      </w:pPr>
      <w:r>
        <w:rPr>
          <w:rFonts w:ascii="Times New Roman"/>
        </w:rPr>
        <w:t>a</w:t>
      </w:r>
      <w:r>
        <w:rPr>
          <w:rFonts w:hint="eastAsia" w:ascii="Times New Roman"/>
        </w:rPr>
        <w:t>）</w:t>
      </w:r>
      <w:r>
        <w:rPr>
          <w:rFonts w:ascii="Times New Roman"/>
        </w:rPr>
        <w:t>当前时点生态产品价值评估按所选生态产品统计，按式（</w:t>
      </w:r>
      <w:r>
        <w:rPr>
          <w:rFonts w:hint="eastAsia" w:ascii="Times New Roman"/>
        </w:rPr>
        <w:t>55</w:t>
      </w:r>
      <w:r>
        <w:rPr>
          <w:rFonts w:ascii="Times New Roman"/>
        </w:rPr>
        <w:t>）。</w:t>
      </w:r>
    </w:p>
    <w:p w14:paraId="0A0CA50F">
      <w:pPr>
        <w:pStyle w:val="115"/>
        <w:spacing w:before="156" w:after="156"/>
        <w:rPr>
          <w:rFonts w:ascii="Times New Roman" w:hAnsi="Times New Roman"/>
        </w:rPr>
      </w:pPr>
      <w:r>
        <w:tab/>
      </w:r>
      <m:oMath>
        <m:r>
          <m:rPr/>
          <w:rPr>
            <w:rFonts w:ascii="Cambria Math" w:hAnsi="Cambria Math" w:cs="Cambria Math"/>
          </w:rPr>
          <m:t>VEP=EPV+ERV+ECV</m:t>
        </m:r>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224D431">
      <w:pPr>
        <w:pStyle w:val="57"/>
        <w:ind w:firstLine="420"/>
      </w:pPr>
      <w:r>
        <w:rPr>
          <w:rFonts w:hint="eastAsia"/>
        </w:rPr>
        <w:t>式中：</w:t>
      </w:r>
    </w:p>
    <w:p w14:paraId="79ED27ED">
      <w:pPr>
        <w:pStyle w:val="58"/>
        <w:ind w:firstLine="420"/>
      </w:pPr>
      <w:r>
        <w:rPr>
          <w:rFonts w:ascii="Times New Roman" w:eastAsia="Times New Roman"/>
          <w:i/>
        </w:rPr>
        <w:t>VEP</w:t>
      </w:r>
      <w:r>
        <w:t xml:space="preserve">——特定地域单元的生态产品价值； </w:t>
      </w:r>
    </w:p>
    <w:p w14:paraId="1A219DEB">
      <w:pPr>
        <w:pStyle w:val="58"/>
        <w:ind w:firstLine="420"/>
      </w:pPr>
      <w:r>
        <w:rPr>
          <w:rFonts w:ascii="Times New Roman" w:eastAsia="Times New Roman"/>
          <w:i/>
        </w:rPr>
        <w:t>EPV</w:t>
      </w:r>
      <w:r>
        <w:t>——生态系统物质供给价值；</w:t>
      </w:r>
    </w:p>
    <w:p w14:paraId="16B40CBA">
      <w:pPr>
        <w:pStyle w:val="58"/>
        <w:ind w:firstLine="420"/>
      </w:pPr>
      <w:r>
        <w:rPr>
          <w:rFonts w:ascii="Times New Roman" w:eastAsia="Times New Roman"/>
          <w:i/>
        </w:rPr>
        <w:t>ERV</w:t>
      </w:r>
      <w:r>
        <w:t>——生态系统调节服务价值；</w:t>
      </w:r>
    </w:p>
    <w:p w14:paraId="1458F292">
      <w:pPr>
        <w:pStyle w:val="58"/>
        <w:ind w:firstLine="420"/>
      </w:pPr>
      <w:r>
        <w:rPr>
          <w:rFonts w:ascii="Times New Roman" w:eastAsia="Times New Roman"/>
          <w:i/>
        </w:rPr>
        <w:t>ECV</w:t>
      </w:r>
      <w:r>
        <w:t>——生态系统文化服务价值。</w:t>
      </w:r>
    </w:p>
    <w:p w14:paraId="335E8AF4">
      <w:pPr>
        <w:pStyle w:val="176"/>
        <w:numPr>
          <w:ilvl w:val="0"/>
          <w:numId w:val="0"/>
        </w:numPr>
        <w:ind w:left="851" w:hanging="426"/>
        <w:rPr>
          <w:rFonts w:ascii="Times New Roman"/>
        </w:rPr>
      </w:pPr>
      <w:r>
        <w:rPr>
          <w:rFonts w:ascii="Times New Roman"/>
        </w:rPr>
        <w:t>b）预评估项目重点核算调节服务价值及其可能变化，按式（5</w:t>
      </w:r>
      <w:r>
        <w:rPr>
          <w:rFonts w:hint="eastAsia" w:ascii="Times New Roman"/>
        </w:rPr>
        <w:t>6</w:t>
      </w:r>
      <w:r>
        <w:rPr>
          <w:rFonts w:ascii="Times New Roman"/>
        </w:rPr>
        <w:t>）。</w:t>
      </w:r>
    </w:p>
    <w:p w14:paraId="4D058A28">
      <w:pPr>
        <w:pStyle w:val="115"/>
        <w:spacing w:before="156" w:after="156"/>
        <w:rPr>
          <w:rFonts w:ascii="Times New Roman" w:hAnsi="Times New Roman"/>
        </w:rPr>
      </w:pPr>
      <w:r>
        <w:tab/>
      </w:r>
      <m:oMath>
        <m:r>
          <m:rPr/>
          <w:rPr>
            <w:rFonts w:ascii="Cambria Math" w:hAnsi="Cambria Math" w:eastAsia="Times New Roman" w:cs="Cambria Math"/>
          </w:rPr>
          <m:t>VEP=∆ERV</m:t>
        </m:r>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892005D">
      <w:pPr>
        <w:pStyle w:val="57"/>
        <w:ind w:firstLine="420"/>
      </w:pPr>
      <w:r>
        <w:rPr>
          <w:rFonts w:hint="eastAsia"/>
        </w:rPr>
        <w:t>式中：</w:t>
      </w:r>
    </w:p>
    <w:p w14:paraId="4424D5D6">
      <w:pPr>
        <w:pStyle w:val="58"/>
        <w:ind w:firstLine="420"/>
      </w:pPr>
      <w:r>
        <w:rPr>
          <w:rFonts w:ascii="Times New Roman" w:eastAsia="Times New Roman"/>
          <w:i/>
        </w:rPr>
        <w:t>VEP</w:t>
      </w:r>
      <w:r>
        <w:t xml:space="preserve">——特定地域单元的生态产品价值； </w:t>
      </w:r>
    </w:p>
    <w:p w14:paraId="542C5BB7">
      <w:pPr>
        <w:pStyle w:val="58"/>
        <w:ind w:firstLine="420"/>
      </w:pPr>
      <w:r>
        <w:rPr>
          <w:rFonts w:ascii="Times New Roman" w:eastAsia="Times New Roman"/>
          <w:i/>
        </w:rPr>
        <w:t>ERV</w:t>
      </w:r>
      <w:r>
        <w:t>——生态系统调节服务价值</w:t>
      </w:r>
      <w:r>
        <w:rPr>
          <w:rFonts w:hint="eastAsia"/>
        </w:rPr>
        <w:t>。</w:t>
      </w:r>
    </w:p>
    <w:p w14:paraId="44C767AD">
      <w:pPr>
        <w:pStyle w:val="176"/>
        <w:numPr>
          <w:ilvl w:val="0"/>
          <w:numId w:val="0"/>
        </w:numPr>
        <w:ind w:firstLine="425"/>
      </w:pPr>
      <w:r>
        <w:rPr>
          <w:rFonts w:ascii="Times New Roman"/>
        </w:rPr>
        <w:t>c</w:t>
      </w:r>
      <w:r>
        <w:rPr>
          <w:rFonts w:hint="eastAsia"/>
        </w:rPr>
        <w:t xml:space="preserve">） </w:t>
      </w:r>
      <w:r>
        <w:t>后评估与监测评估项目按需核算物质供给价值、调节服务价值和文化服务价值的变化，按式（</w:t>
      </w:r>
      <w:r>
        <w:rPr>
          <w:rFonts w:hint="eastAsia" w:ascii="Times New Roman"/>
        </w:rPr>
        <w:t>57</w:t>
      </w:r>
      <w:r>
        <w:t>）。</w:t>
      </w:r>
    </w:p>
    <w:p w14:paraId="30E13CC7">
      <w:pPr>
        <w:pStyle w:val="115"/>
        <w:spacing w:before="156" w:after="156"/>
        <w:rPr>
          <w:rFonts w:ascii="Times New Roman" w:hAnsi="Times New Roman"/>
        </w:rPr>
      </w:pPr>
      <w:r>
        <w:tab/>
      </w:r>
      <m:oMath>
        <m:r>
          <m:rPr/>
          <w:rPr>
            <w:rFonts w:ascii="Cambria Math" w:hAnsi="Cambria Math" w:eastAsia="Times New Roman" w:cs="Cambria Math"/>
          </w:rPr>
          <m:t>VEP=∆EPV+∆ERV+∆ECV</m:t>
        </m:r>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BE56B78">
      <w:pPr>
        <w:pStyle w:val="57"/>
        <w:ind w:firstLine="420"/>
      </w:pPr>
      <w:r>
        <w:rPr>
          <w:rFonts w:hint="eastAsia"/>
        </w:rPr>
        <w:t>式中：</w:t>
      </w:r>
    </w:p>
    <w:p w14:paraId="3B58B7E1">
      <w:pPr>
        <w:pStyle w:val="58"/>
        <w:ind w:firstLine="420"/>
      </w:pPr>
      <w:r>
        <w:rPr>
          <w:rFonts w:ascii="Times New Roman" w:eastAsia="Times New Roman"/>
          <w:i/>
        </w:rPr>
        <w:t>VEP</w:t>
      </w:r>
      <w:r>
        <w:t xml:space="preserve">——特定地域单元的生态产品价值； </w:t>
      </w:r>
    </w:p>
    <w:p w14:paraId="5593120C">
      <w:pPr>
        <w:pStyle w:val="58"/>
        <w:ind w:firstLine="420"/>
      </w:pPr>
      <w:r>
        <w:rPr>
          <w:rFonts w:ascii="Times New Roman" w:eastAsia="Times New Roman"/>
          <w:i/>
        </w:rPr>
        <w:t>EPV</w:t>
      </w:r>
      <w:r>
        <w:t>——生态系统物质供给价值；</w:t>
      </w:r>
    </w:p>
    <w:p w14:paraId="06283200">
      <w:pPr>
        <w:pStyle w:val="58"/>
        <w:ind w:firstLine="420"/>
      </w:pPr>
      <w:r>
        <w:rPr>
          <w:rFonts w:ascii="Times New Roman" w:eastAsia="Times New Roman"/>
          <w:i/>
        </w:rPr>
        <w:t>ERV</w:t>
      </w:r>
      <w:r>
        <w:t>——生态系统调节服务价值；</w:t>
      </w:r>
    </w:p>
    <w:p w14:paraId="4F12E318">
      <w:pPr>
        <w:pStyle w:val="58"/>
        <w:ind w:firstLine="420"/>
      </w:pPr>
      <w:r>
        <w:rPr>
          <w:rFonts w:ascii="Times New Roman" w:eastAsia="Times New Roman"/>
          <w:i/>
        </w:rPr>
        <w:t>ECV</w:t>
      </w:r>
      <w:r>
        <w:t>——生态系统文化服务价值。</w:t>
      </w:r>
    </w:p>
    <w:p w14:paraId="229EF94B">
      <w:pPr>
        <w:pStyle w:val="58"/>
        <w:ind w:firstLine="420"/>
      </w:pPr>
      <w:r>
        <w:rPr>
          <w:rFonts w:ascii="Times New Roman"/>
        </w:rPr>
        <w:t>d）</w:t>
      </w:r>
      <w:r>
        <w:t>监测评估项目根据监测间隔连续评估项目期内各类价值变化，按式（</w:t>
      </w:r>
      <w:r>
        <w:rPr>
          <w:rFonts w:hint="eastAsia" w:ascii="Times New Roman"/>
        </w:rPr>
        <w:t>58</w:t>
      </w:r>
      <w:r>
        <w:t>）。</w:t>
      </w:r>
    </w:p>
    <w:p w14:paraId="47CE8976">
      <w:pPr>
        <w:pStyle w:val="115"/>
        <w:spacing w:before="156" w:after="156"/>
        <w:rPr>
          <w:rFonts w:ascii="Times New Roman" w:hAnsi="Times New Roman"/>
        </w:rPr>
      </w:pPr>
      <w:r>
        <w:tab/>
      </w:r>
      <m:oMath>
        <m:r>
          <m:rPr/>
          <w:rPr>
            <w:rFonts w:hint="eastAsia" w:ascii="Cambria Math" w:hAnsi="Cambria Math" w:eastAsia="Times New Roman"/>
          </w:rPr>
          <m:t>VEP=</m:t>
        </m:r>
        <m:nary>
          <m:naryPr>
            <m:chr m:val="∑"/>
            <m:limLoc m:val="subSup"/>
            <m:ctrlPr>
              <w:rPr>
                <w:rFonts w:ascii="Cambria Math" w:hAnsi="Cambria Math" w:eastAsia="Times New Roman"/>
                <w:i/>
              </w:rPr>
            </m:ctrlPr>
          </m:naryPr>
          <m:sub>
            <m:r>
              <m:rPr/>
              <w:rPr>
                <w:rFonts w:ascii="Cambria Math" w:hAnsi="Cambria Math" w:eastAsia="Times New Roman"/>
              </w:rPr>
              <m:t>i=1</m:t>
            </m:r>
            <m:ctrlPr>
              <w:rPr>
                <w:rFonts w:ascii="Cambria Math" w:hAnsi="Cambria Math" w:eastAsia="Times New Roman"/>
                <w:i/>
              </w:rPr>
            </m:ctrlPr>
          </m:sub>
          <m:sup>
            <m:r>
              <m:rPr/>
              <w:rPr>
                <w:rFonts w:ascii="Cambria Math" w:hAnsi="Cambria Math" w:eastAsia="Times New Roman"/>
              </w:rPr>
              <m:t>m</m:t>
            </m:r>
            <m:ctrlPr>
              <w:rPr>
                <w:rFonts w:ascii="Cambria Math" w:hAnsi="Cambria Math" w:eastAsia="Times New Roman"/>
                <w:i/>
              </w:rPr>
            </m:ctrlPr>
          </m:sup>
          <m:e>
            <m:sSub>
              <m:sSubPr>
                <m:ctrlPr>
                  <w:rPr>
                    <w:rFonts w:ascii="Cambria Math" w:hAnsi="Cambria Math" w:eastAsia="Times New Roman"/>
                    <w:i/>
                  </w:rPr>
                </m:ctrlPr>
              </m:sSubPr>
              <m:e>
                <m:r>
                  <m:rPr/>
                  <w:rPr>
                    <w:rFonts w:ascii="Cambria Math" w:hAnsi="Cambria Math"/>
                  </w:rPr>
                  <m:t>∆EPV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r>
              <m:rPr/>
              <w:rPr>
                <w:rFonts w:ascii="Cambria Math" w:hAnsi="Cambria Math" w:eastAsia="Times New Roman"/>
              </w:rPr>
              <m:t>+</m:t>
            </m:r>
            <m:sSub>
              <m:sSubPr>
                <m:ctrlPr>
                  <w:rPr>
                    <w:rFonts w:ascii="Cambria Math" w:hAnsi="Cambria Math" w:eastAsia="Times New Roman"/>
                    <w:i/>
                  </w:rPr>
                </m:ctrlPr>
              </m:sSubPr>
              <m:e>
                <m:r>
                  <m:rPr/>
                  <w:rPr>
                    <w:rFonts w:ascii="Cambria Math" w:hAnsi="Cambria Math"/>
                  </w:rPr>
                  <m:t>∆ERV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r>
              <m:rPr/>
              <w:rPr>
                <w:rFonts w:ascii="Cambria Math" w:hAnsi="Cambria Math" w:eastAsia="Times New Roman"/>
              </w:rPr>
              <m:t>+</m:t>
            </m:r>
            <m:sSub>
              <m:sSubPr>
                <m:ctrlPr>
                  <w:rPr>
                    <w:rFonts w:ascii="Cambria Math" w:hAnsi="Cambria Math" w:eastAsia="Times New Roman"/>
                    <w:i/>
                  </w:rPr>
                </m:ctrlPr>
              </m:sSubPr>
              <m:e>
                <m:r>
                  <m:rPr/>
                  <w:rPr>
                    <w:rFonts w:ascii="Cambria Math" w:hAnsi="Cambria Math"/>
                  </w:rPr>
                  <m:t>∆ECV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ctrlPr>
              <w:rPr>
                <w:rFonts w:ascii="Cambria Math" w:hAnsi="Cambria Math" w:eastAsia="Times New Roman"/>
                <w:i/>
              </w:rPr>
            </m:ctrlPr>
          </m:e>
        </m:nary>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97C5E30">
      <w:pPr>
        <w:pStyle w:val="57"/>
        <w:ind w:firstLine="420"/>
      </w:pPr>
      <w:r>
        <w:rPr>
          <w:rFonts w:hint="eastAsia"/>
        </w:rPr>
        <w:t>式中：</w:t>
      </w:r>
    </w:p>
    <w:p w14:paraId="13364DFA">
      <w:pPr>
        <w:pStyle w:val="58"/>
        <w:ind w:firstLine="420"/>
      </w:pPr>
      <w:r>
        <w:rPr>
          <w:rFonts w:ascii="Times New Roman" w:eastAsia="Times New Roman"/>
          <w:i/>
        </w:rPr>
        <w:t>VEP</w:t>
      </w:r>
      <w:r>
        <w:t xml:space="preserve">——特定地域单元的生态产品价值； </w:t>
      </w:r>
    </w:p>
    <w:p w14:paraId="255A30EF">
      <w:pPr>
        <w:pStyle w:val="58"/>
        <w:ind w:firstLine="420"/>
      </w:pPr>
      <w:r>
        <w:rPr>
          <w:rFonts w:ascii="Times New Roman" w:eastAsia="Times New Roman"/>
          <w:i/>
        </w:rPr>
        <w:t>EPV</w:t>
      </w:r>
      <w:r>
        <w:t>——生态系统物质供给价值；</w:t>
      </w:r>
    </w:p>
    <w:p w14:paraId="101414BF">
      <w:pPr>
        <w:pStyle w:val="58"/>
        <w:ind w:firstLine="420"/>
      </w:pPr>
      <w:r>
        <w:rPr>
          <w:rFonts w:ascii="Times New Roman" w:eastAsia="Times New Roman"/>
          <w:i/>
        </w:rPr>
        <w:t>ERV</w:t>
      </w:r>
      <w:r>
        <w:t>——生态系统调节服务价值；</w:t>
      </w:r>
    </w:p>
    <w:p w14:paraId="6D6CA7A5">
      <w:pPr>
        <w:pStyle w:val="58"/>
        <w:ind w:firstLine="420"/>
      </w:pPr>
      <w:r>
        <w:rPr>
          <w:rFonts w:ascii="Times New Roman" w:eastAsia="Times New Roman"/>
          <w:i/>
        </w:rPr>
        <w:t>ECV</w:t>
      </w:r>
      <w:r>
        <w:t>——生态系统文化服务价值。</w:t>
      </w:r>
    </w:p>
    <w:p w14:paraId="7C6850FC">
      <w:pPr>
        <w:pStyle w:val="176"/>
        <w:numPr>
          <w:ilvl w:val="0"/>
          <w:numId w:val="0"/>
        </w:numPr>
        <w:ind w:firstLine="420" w:firstLineChars="200"/>
      </w:pPr>
      <w:r>
        <w:rPr>
          <w:rFonts w:ascii="Times New Roman"/>
        </w:rPr>
        <w:t>e）</w:t>
      </w:r>
      <w:r>
        <w:rPr>
          <w:rFonts w:hint="eastAsia"/>
        </w:rPr>
        <w:t>长期评估项目根据情景对比预估各类价值未来收益的现值（根据特定地域内生态类型，一般预</w:t>
      </w:r>
      <w:r>
        <w:rPr>
          <w:rFonts w:hint="eastAsia" w:ascii="Times New Roman"/>
        </w:rPr>
        <w:t>估未来</w:t>
      </w:r>
      <w:r>
        <w:rPr>
          <w:rFonts w:ascii="Times New Roman"/>
        </w:rPr>
        <w:t xml:space="preserve"> 30 </w:t>
      </w:r>
      <w:r>
        <w:rPr>
          <w:rFonts w:hint="eastAsia" w:ascii="Times New Roman"/>
        </w:rPr>
        <w:t>年），按</w:t>
      </w:r>
      <w:r>
        <w:rPr>
          <w:rFonts w:hint="eastAsia"/>
        </w:rPr>
        <w:t>式</w:t>
      </w:r>
      <w:r>
        <w:t>（</w:t>
      </w:r>
      <w:r>
        <w:rPr>
          <w:rFonts w:hint="eastAsia" w:ascii="Times New Roman"/>
        </w:rPr>
        <w:t>59</w:t>
      </w:r>
      <w:r>
        <w:t>）</w:t>
      </w:r>
      <w:r>
        <w:rPr>
          <w:rFonts w:hint="eastAsia"/>
        </w:rPr>
        <w:t>。</w:t>
      </w:r>
    </w:p>
    <w:p w14:paraId="48F7D10D">
      <w:pPr>
        <w:pStyle w:val="115"/>
        <w:spacing w:before="156" w:after="156"/>
        <w:rPr>
          <w:rFonts w:ascii="Times New Roman" w:hAnsi="Times New Roman"/>
        </w:rPr>
      </w:pPr>
      <w:r>
        <w:tab/>
      </w:r>
      <m:oMath>
        <m:r>
          <m:rPr/>
          <w:rPr>
            <w:rFonts w:ascii="Cambria Math" w:hAnsi="Cambria Math" w:cs="Cambria Math"/>
          </w:rPr>
          <m:t>VEP=</m:t>
        </m:r>
        <m:nary>
          <m:naryPr>
            <m:chr m:val="∑"/>
            <m:limLoc m:val="subSup"/>
            <m:ctrlPr>
              <w:rPr>
                <w:rFonts w:ascii="Cambria Math" w:hAnsi="Cambria Math" w:cs="Cambria Math"/>
                <w:i/>
                <w:iCs/>
              </w:rPr>
            </m:ctrlPr>
          </m:naryPr>
          <m:sub>
            <m:r>
              <m:rPr/>
              <w:rPr>
                <w:rFonts w:ascii="Cambria Math" w:hAnsi="Cambria Math" w:cs="Cambria Math"/>
              </w:rPr>
              <m:t>i=1</m:t>
            </m:r>
            <m:ctrlPr>
              <w:rPr>
                <w:rFonts w:ascii="Cambria Math" w:hAnsi="Cambria Math" w:cs="Cambria Math"/>
                <w:i/>
                <w:iCs/>
              </w:rPr>
            </m:ctrlPr>
          </m:sub>
          <m:sup>
            <m:r>
              <m:rPr/>
              <w:rPr>
                <w:rFonts w:ascii="Cambria Math" w:hAnsi="Cambria Math" w:cs="Cambria Math"/>
              </w:rPr>
              <m:t>n</m:t>
            </m:r>
            <m:ctrlPr>
              <w:rPr>
                <w:rFonts w:ascii="Cambria Math" w:hAnsi="Cambria Math" w:cs="Cambria Math"/>
                <w:i/>
                <w:iCs/>
              </w:rPr>
            </m:ctrlPr>
          </m:sup>
          <m:e>
            <m:f>
              <m:fPr>
                <m:ctrlPr>
                  <w:rPr>
                    <w:rFonts w:ascii="Cambria Math" w:hAnsi="Cambria Math" w:cs="Cambria Math"/>
                    <w:i/>
                    <w:iCs/>
                  </w:rPr>
                </m:ctrlPr>
              </m:fPr>
              <m:num>
                <m:sSub>
                  <m:sSubPr>
                    <m:ctrlPr>
                      <w:rPr>
                        <w:rFonts w:ascii="Cambria Math" w:hAnsi="Cambria Math" w:eastAsia="Times New Roman"/>
                        <w:i/>
                      </w:rPr>
                    </m:ctrlPr>
                  </m:sSubPr>
                  <m:e>
                    <m:r>
                      <m:rPr/>
                      <w:rPr>
                        <w:rFonts w:ascii="Cambria Math" w:hAnsi="Cambria Math"/>
                      </w:rPr>
                      <m:t>∆EPV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r>
                  <m:rPr/>
                  <w:rPr>
                    <w:rFonts w:ascii="Cambria Math" w:hAnsi="Cambria Math" w:eastAsia="Times New Roman"/>
                  </w:rPr>
                  <m:t xml:space="preserve"> +</m:t>
                </m:r>
                <m:sSub>
                  <m:sSubPr>
                    <m:ctrlPr>
                      <w:rPr>
                        <w:rFonts w:ascii="Cambria Math" w:hAnsi="Cambria Math" w:eastAsia="Times New Roman"/>
                        <w:i/>
                      </w:rPr>
                    </m:ctrlPr>
                  </m:sSubPr>
                  <m:e>
                    <m:r>
                      <m:rPr/>
                      <w:rPr>
                        <w:rFonts w:ascii="Cambria Math" w:hAnsi="Cambria Math"/>
                      </w:rPr>
                      <m:t>∆ERV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r>
                  <m:rPr/>
                  <w:rPr>
                    <w:rFonts w:ascii="Cambria Math" w:hAnsi="Cambria Math" w:eastAsia="Times New Roman"/>
                  </w:rPr>
                  <m:t xml:space="preserve">+ </m:t>
                </m:r>
                <m:sSub>
                  <m:sSubPr>
                    <m:ctrlPr>
                      <w:rPr>
                        <w:rFonts w:ascii="Cambria Math" w:hAnsi="Cambria Math" w:eastAsia="Times New Roman"/>
                        <w:i/>
                      </w:rPr>
                    </m:ctrlPr>
                  </m:sSubPr>
                  <m:e>
                    <m:r>
                      <m:rPr/>
                      <w:rPr>
                        <w:rFonts w:ascii="Cambria Math" w:hAnsi="Cambria Math"/>
                      </w:rPr>
                      <m:t>∆ECV</m:t>
                    </m:r>
                    <m:ctrlPr>
                      <w:rPr>
                        <w:rFonts w:ascii="Cambria Math" w:hAnsi="Cambria Math" w:eastAsia="Times New Roman"/>
                        <w:i/>
                      </w:rPr>
                    </m:ctrlPr>
                  </m:e>
                  <m:sub>
                    <m:r>
                      <m:rPr/>
                      <w:rPr>
                        <w:rFonts w:ascii="Cambria Math" w:hAnsi="Cambria Math" w:eastAsia="Times New Roman"/>
                      </w:rPr>
                      <m:t>i</m:t>
                    </m:r>
                    <m:ctrlPr>
                      <w:rPr>
                        <w:rFonts w:ascii="Cambria Math" w:hAnsi="Cambria Math" w:eastAsia="Times New Roman"/>
                        <w:i/>
                      </w:rPr>
                    </m:ctrlPr>
                  </m:sub>
                </m:sSub>
                <m:ctrlPr>
                  <w:rPr>
                    <w:rFonts w:ascii="Cambria Math" w:hAnsi="Cambria Math" w:cs="Cambria Math"/>
                    <w:i/>
                    <w:iCs/>
                  </w:rPr>
                </m:ctrlPr>
              </m:num>
              <m:den>
                <m:sSup>
                  <m:sSupPr>
                    <m:ctrlPr>
                      <w:rPr>
                        <w:rFonts w:ascii="Cambria Math" w:hAnsi="Cambria Math" w:cs="Cambria Math"/>
                        <w:i/>
                        <w:iCs/>
                      </w:rPr>
                    </m:ctrlPr>
                  </m:sSupPr>
                  <m:e>
                    <m:r>
                      <m:rPr/>
                      <w:rPr>
                        <w:rFonts w:ascii="Cambria Math" w:hAnsi="Cambria Math" w:cs="Cambria Math"/>
                      </w:rPr>
                      <m:t>(1+r)</m:t>
                    </m:r>
                    <m:ctrlPr>
                      <w:rPr>
                        <w:rFonts w:ascii="Cambria Math" w:hAnsi="Cambria Math" w:cs="Cambria Math"/>
                        <w:i/>
                        <w:iCs/>
                      </w:rPr>
                    </m:ctrlPr>
                  </m:e>
                  <m:sup>
                    <m:r>
                      <m:rPr/>
                      <w:rPr>
                        <w:rFonts w:ascii="Cambria Math" w:hAnsi="Cambria Math" w:cs="Cambria Math"/>
                      </w:rPr>
                      <m:t>i</m:t>
                    </m:r>
                    <m:ctrlPr>
                      <w:rPr>
                        <w:rFonts w:ascii="Cambria Math" w:hAnsi="Cambria Math" w:cs="Cambria Math"/>
                        <w:i/>
                        <w:iCs/>
                      </w:rPr>
                    </m:ctrlPr>
                  </m:sup>
                </m:sSup>
                <m:ctrlPr>
                  <w:rPr>
                    <w:rFonts w:ascii="Cambria Math" w:hAnsi="Cambria Math" w:cs="Cambria Math"/>
                    <w:i/>
                    <w:iCs/>
                  </w:rPr>
                </m:ctrlPr>
              </m:den>
            </m:f>
            <m:ctrlPr>
              <w:rPr>
                <w:rFonts w:ascii="Cambria Math" w:hAnsi="Cambria Math" w:cs="Cambria Math"/>
                <w:i/>
                <w:iCs/>
              </w:rPr>
            </m:ctrlPr>
          </m:e>
        </m:nary>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61BC327">
      <w:pPr>
        <w:pStyle w:val="57"/>
        <w:ind w:firstLine="420"/>
      </w:pPr>
      <w:r>
        <w:rPr>
          <w:rFonts w:hint="eastAsia"/>
        </w:rPr>
        <w:t>式中：</w:t>
      </w:r>
    </w:p>
    <w:p w14:paraId="521A8A6E">
      <w:pPr>
        <w:pStyle w:val="58"/>
        <w:ind w:firstLine="420"/>
      </w:pPr>
      <w:r>
        <w:rPr>
          <w:rFonts w:ascii="Times New Roman" w:eastAsia="Times New Roman"/>
          <w:i/>
        </w:rPr>
        <w:t>VEP</w:t>
      </w:r>
      <w:r>
        <w:t xml:space="preserve">——特定地域单元的生态产品价值； </w:t>
      </w:r>
    </w:p>
    <w:p w14:paraId="5F3D80F1">
      <w:pPr>
        <w:pStyle w:val="58"/>
        <w:ind w:firstLine="420"/>
      </w:pPr>
      <w:r>
        <w:rPr>
          <w:rFonts w:ascii="Times New Roman" w:eastAsia="Times New Roman"/>
          <w:i/>
        </w:rPr>
        <w:t>m</w:t>
      </w:r>
      <w:r>
        <w:t>——评估期内监测间隔数；</w:t>
      </w:r>
    </w:p>
    <w:p w14:paraId="5588755E">
      <w:pPr>
        <w:pStyle w:val="58"/>
        <w:ind w:firstLine="420"/>
      </w:pPr>
      <w:r>
        <w:rPr>
          <w:rFonts w:ascii="Times New Roman" w:eastAsia="Times New Roman"/>
          <w:i/>
        </w:rPr>
        <w:t>n</w:t>
      </w:r>
      <w:r>
        <w:t>——未来收益年限；</w:t>
      </w:r>
    </w:p>
    <w:p w14:paraId="6F0B6C7D">
      <w:pPr>
        <w:pStyle w:val="58"/>
        <w:ind w:firstLine="420"/>
      </w:pPr>
      <w:r>
        <w:rPr>
          <w:rFonts w:ascii="Times New Roman" w:eastAsia="Times New Roman"/>
          <w:i/>
        </w:rPr>
        <w:t>r</w:t>
      </w:r>
      <w:r>
        <w:t>——</w:t>
      </w:r>
      <w:r>
        <w:rPr>
          <w:rFonts w:hint="eastAsia"/>
        </w:rPr>
        <w:t>生态产品</w:t>
      </w:r>
      <w:r>
        <w:t>折现率</w:t>
      </w:r>
      <w:r>
        <w:rPr>
          <w:rFonts w:hint="eastAsia"/>
        </w:rPr>
        <w:t>，参照同期地方政府债券收益率合理确定</w:t>
      </w:r>
      <w:r>
        <w:t>；</w:t>
      </w:r>
    </w:p>
    <w:p w14:paraId="244DF358">
      <w:pPr>
        <w:pStyle w:val="58"/>
        <w:ind w:firstLine="420"/>
      </w:pPr>
      <w:r>
        <w:rPr>
          <w:rFonts w:ascii="Times New Roman" w:eastAsia="Times New Roman"/>
          <w:i/>
        </w:rPr>
        <w:t>EPV</w:t>
      </w:r>
      <w:r>
        <w:t>——生态系统物质供给价值；</w:t>
      </w:r>
    </w:p>
    <w:p w14:paraId="5D7D3B3A">
      <w:pPr>
        <w:pStyle w:val="58"/>
        <w:ind w:firstLine="420"/>
      </w:pPr>
      <w:r>
        <w:rPr>
          <w:rFonts w:ascii="Times New Roman" w:eastAsia="Times New Roman"/>
          <w:i/>
        </w:rPr>
        <w:t>ERV</w:t>
      </w:r>
      <w:r>
        <w:t>——生态系统调节服务价值；</w:t>
      </w:r>
    </w:p>
    <w:p w14:paraId="28560C1E">
      <w:pPr>
        <w:pStyle w:val="58"/>
        <w:ind w:firstLine="420"/>
      </w:pPr>
      <w:r>
        <w:rPr>
          <w:rFonts w:ascii="Times New Roman" w:eastAsia="Times New Roman"/>
          <w:i/>
        </w:rPr>
        <w:t>ECV</w:t>
      </w:r>
      <w:r>
        <w:t>——生态系统文化服务价值。</w:t>
      </w:r>
    </w:p>
    <w:p w14:paraId="081BB1E5">
      <w:pPr>
        <w:pStyle w:val="107"/>
        <w:spacing w:before="156" w:after="156"/>
      </w:pPr>
      <w:bookmarkStart w:id="102" w:name="_Toc203399462"/>
      <w:bookmarkStart w:id="103" w:name="_Toc203399066"/>
      <w:bookmarkStart w:id="104" w:name="_Hlk196831137"/>
      <w:r>
        <w:rPr>
          <w:rFonts w:hint="eastAsia"/>
        </w:rPr>
        <w:t>生态产品转化率评估</w:t>
      </w:r>
      <w:bookmarkEnd w:id="102"/>
      <w:bookmarkEnd w:id="103"/>
    </w:p>
    <w:bookmarkEnd w:id="104"/>
    <w:p w14:paraId="29844D40">
      <w:pPr>
        <w:pStyle w:val="58"/>
        <w:ind w:firstLine="420"/>
        <w:rPr>
          <w:rFonts w:ascii="Times New Roman"/>
        </w:rPr>
      </w:pPr>
      <w:r>
        <w:rPr>
          <w:rFonts w:hint="eastAsia"/>
        </w:rPr>
        <w:t>生态产品转化率包含已转化的供给、调节和文化服务</w:t>
      </w:r>
      <w:bookmarkStart w:id="105" w:name="_Hlk196831148"/>
      <w:r>
        <w:rPr>
          <w:rFonts w:hint="eastAsia"/>
        </w:rPr>
        <w:t>，展现评估年生态系统服务对经济的直接贡献及自然资源有效利用程度</w:t>
      </w:r>
      <w:bookmarkEnd w:id="105"/>
      <w:r>
        <w:rPr>
          <w:rFonts w:hint="eastAsia"/>
        </w:rPr>
        <w:t>。</w:t>
      </w:r>
      <w:r>
        <w:rPr>
          <w:rFonts w:ascii="Times New Roman"/>
        </w:rPr>
        <w:t>按照公式（</w:t>
      </w:r>
      <w:r>
        <w:rPr>
          <w:rFonts w:hint="eastAsia" w:ascii="Times New Roman"/>
        </w:rPr>
        <w:t>60</w:t>
      </w:r>
      <w:r>
        <w:rPr>
          <w:rFonts w:ascii="Times New Roman"/>
        </w:rPr>
        <w:t>）核算。</w:t>
      </w:r>
    </w:p>
    <w:p w14:paraId="5394466C">
      <w:pPr>
        <w:tabs>
          <w:tab w:val="center" w:pos="4678"/>
          <w:tab w:val="right" w:leader="middleDot" w:pos="9356"/>
        </w:tabs>
        <w:spacing w:line="240" w:lineRule="auto"/>
        <w:rPr>
          <w:rFonts w:ascii="Times New Roman" w:hAnsi="Times New Roman"/>
        </w:rPr>
      </w:pPr>
      <w:r>
        <w:rPr>
          <w:rFonts w:ascii="Times New Roman" w:hAnsi="Times New Roman"/>
        </w:rPr>
        <w:tab/>
      </w:r>
      <m:oMath>
        <m:r>
          <m:rPr/>
          <w:rPr>
            <w:rFonts w:ascii="Cambria Math" w:hAnsi="Cambria Math"/>
          </w:rPr>
          <m:t>Y=</m:t>
        </m:r>
        <m:f>
          <m:fPr>
            <m:ctrlPr>
              <w:rPr>
                <w:rFonts w:ascii="Cambria Math" w:hAnsi="宋体" w:cs="宋体"/>
                <w:i/>
              </w:rPr>
            </m:ctrlPr>
          </m:fPr>
          <m:num>
            <m:r>
              <m:rPr/>
              <w:rPr>
                <w:rFonts w:ascii="Cambria Math" w:hAnsi="Cambria Math"/>
              </w:rPr>
              <m:t>U</m:t>
            </m:r>
            <m:ctrlPr>
              <w:rPr>
                <w:rFonts w:ascii="Cambria Math" w:hAnsi="Cambria Math"/>
                <w:i/>
              </w:rPr>
            </m:ctrlPr>
          </m:num>
          <m:den>
            <m:r>
              <m:rPr/>
              <w:rPr>
                <w:rFonts w:ascii="Cambria Math" w:hAnsi="宋体" w:cs="宋体"/>
              </w:rPr>
              <m:t>GEP</m:t>
            </m:r>
            <m:ctrlPr>
              <w:rPr>
                <w:rFonts w:ascii="Cambria Math" w:hAnsi="宋体" w:cs="宋体"/>
                <w:i/>
              </w:rPr>
            </m:ctrlPr>
          </m:den>
        </m:f>
        <m:r>
          <m:rPr/>
          <w:rPr>
            <w:rFonts w:ascii="Cambria Math" w:hAnsi="Cambria Math" w:cs="宋体"/>
          </w:rPr>
          <m:t>×</m:t>
        </m:r>
        <m:r>
          <m:rPr/>
          <w:rPr>
            <w:rFonts w:ascii="Cambria Math" w:hAnsi="宋体" w:cs="宋体"/>
          </w:rPr>
          <m:t>100%</m:t>
        </m:r>
      </m:oMath>
      <w:r>
        <w:rPr>
          <w:rFonts w:ascii="Times New Roman" w:hAnsi="Times New Roman"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A5E8395">
      <w:pPr>
        <w:pStyle w:val="57"/>
        <w:ind w:firstLine="420"/>
        <w:rPr>
          <w:rFonts w:ascii="宋体" w:hAnsi="Times New Roman"/>
          <w:szCs w:val="20"/>
        </w:rPr>
      </w:pPr>
      <w:r>
        <w:rPr>
          <w:rFonts w:hint="eastAsia" w:ascii="宋体" w:hAnsi="Times New Roman"/>
          <w:szCs w:val="20"/>
        </w:rPr>
        <w:t>式中：</w:t>
      </w:r>
    </w:p>
    <w:p w14:paraId="16EAEFFB">
      <w:pPr>
        <w:pStyle w:val="58"/>
        <w:ind w:firstLine="420"/>
      </w:pPr>
      <w:r>
        <w:rPr>
          <w:rFonts w:hint="eastAsia"/>
          <w:i/>
          <w:iCs/>
        </w:rPr>
        <w:t>Y</w:t>
      </w:r>
      <w:r>
        <w:t>——</w:t>
      </w:r>
      <w:r>
        <w:rPr>
          <w:rFonts w:hint="eastAsia"/>
        </w:rPr>
        <w:t>生态产品转化率，%；</w:t>
      </w:r>
    </w:p>
    <w:p w14:paraId="4E05259B">
      <w:pPr>
        <w:pStyle w:val="58"/>
        <w:ind w:firstLine="420"/>
      </w:pPr>
      <w:r>
        <w:rPr>
          <w:rFonts w:ascii="Times New Roman"/>
          <w:i/>
          <w:iCs/>
        </w:rPr>
        <w:t>U</w:t>
      </w:r>
      <w:r>
        <w:t>——</w:t>
      </w:r>
      <w:r>
        <w:rPr>
          <w:rFonts w:hint="eastAsia"/>
        </w:rPr>
        <w:t>年度已转化的生态产品获得值，单位：万元</w:t>
      </w:r>
      <w:r>
        <w:t>；</w:t>
      </w:r>
    </w:p>
    <w:p w14:paraId="368098B4">
      <w:pPr>
        <w:pStyle w:val="58"/>
        <w:ind w:firstLine="420"/>
      </w:pPr>
      <w:bookmarkStart w:id="106" w:name="_bookmark9"/>
      <w:bookmarkEnd w:id="106"/>
      <w:r>
        <w:rPr>
          <w:rFonts w:hint="eastAsia" w:ascii="Times New Roman" w:eastAsiaTheme="minorEastAsia"/>
          <w:i/>
        </w:rPr>
        <w:t>GEP</w:t>
      </w:r>
      <w:r>
        <w:t>——</w:t>
      </w:r>
      <w:r>
        <w:rPr>
          <w:rFonts w:hint="eastAsia"/>
        </w:rPr>
        <w:t>年度生态产品总值，单位：万元。</w:t>
      </w:r>
    </w:p>
    <w:p w14:paraId="7E6F12B8">
      <w:pPr>
        <w:pStyle w:val="107"/>
        <w:spacing w:before="156" w:after="156"/>
      </w:pPr>
      <w:bookmarkStart w:id="107" w:name="_Toc203399064"/>
      <w:bookmarkStart w:id="108" w:name="_Toc203399460"/>
      <w:r>
        <w:rPr>
          <w:rFonts w:hint="eastAsia"/>
        </w:rPr>
        <w:t>调节服务价值变化</w:t>
      </w:r>
      <w:bookmarkEnd w:id="107"/>
      <w:bookmarkEnd w:id="108"/>
      <w:r>
        <w:rPr>
          <w:rFonts w:hint="eastAsia"/>
        </w:rPr>
        <w:t>的影响预测</w:t>
      </w:r>
    </w:p>
    <w:p w14:paraId="062E1B2D">
      <w:pPr>
        <w:pStyle w:val="58"/>
        <w:ind w:firstLine="388"/>
        <w:rPr>
          <w:spacing w:val="-5"/>
        </w:rPr>
      </w:pPr>
      <w:r>
        <w:rPr>
          <w:spacing w:val="-8"/>
        </w:rPr>
        <w:t>在特定地域单元内进行遥感及地面监测，分析地块边界形态及整体变化，根据实际变化程度不同可</w:t>
      </w:r>
      <w:r>
        <w:t>按如下方式之一进行调节服务价值变化核算，形成价值变化空间分布数据，</w:t>
      </w:r>
      <w:bookmarkStart w:id="109" w:name="_Hlk196830433"/>
      <w:r>
        <w:t>评估特定地域单元生态产品</w:t>
      </w:r>
      <w:r>
        <w:rPr>
          <w:spacing w:val="-5"/>
        </w:rPr>
        <w:t>价值变化情况，对超出规划预期的部分及时预警并建议，</w:t>
      </w:r>
      <w:bookmarkEnd w:id="109"/>
      <w:r>
        <w:rPr>
          <w:spacing w:val="-5"/>
        </w:rPr>
        <w:t>价值及变化按照项目实际情况确定评估周期。</w:t>
      </w:r>
    </w:p>
    <w:p w14:paraId="31D54A6A">
      <w:pPr>
        <w:pStyle w:val="58"/>
        <w:ind w:firstLine="420"/>
        <w:rPr>
          <w:rFonts w:ascii="Times New Roman"/>
        </w:rPr>
      </w:pPr>
      <w:r>
        <w:rPr>
          <w:rFonts w:ascii="Times New Roman"/>
        </w:rPr>
        <w:t>a）叠加分析基线情景和项目情景下生态系统分布情况形成变化地块，以地块为基础单元构建生态系统类型转移矩阵（参考TD/T 1010-2015 土地利用动态遥感监测规程），分析生态系统类型的转化情况，通过变化量与邻近生态地块单价实时核算调节服务价值变化量，按式（</w:t>
      </w:r>
      <w:r>
        <w:rPr>
          <w:rFonts w:hint="eastAsia" w:ascii="Times New Roman"/>
        </w:rPr>
        <w:t>61</w:t>
      </w:r>
      <w:r>
        <w:rPr>
          <w:rFonts w:ascii="Times New Roman"/>
        </w:rPr>
        <w:t>）。</w:t>
      </w:r>
      <w:bookmarkStart w:id="110" w:name="_Hlk194063725"/>
    </w:p>
    <w:bookmarkEnd w:id="110"/>
    <w:p w14:paraId="5E949FC5">
      <w:pPr>
        <w:pStyle w:val="115"/>
        <w:spacing w:before="156" w:after="156"/>
        <w:rPr>
          <w:rFonts w:ascii="Times New Roman" w:hAnsi="Times New Roman"/>
        </w:rPr>
      </w:pPr>
      <w:r>
        <w:tab/>
      </w:r>
      <m:oMath>
        <m:r>
          <m:rPr/>
          <w:rPr>
            <w:rFonts w:ascii="Cambria Math" w:hAnsi="Cambria Math"/>
          </w:rPr>
          <m:t>∆ERP=</m:t>
        </m:r>
        <m:nary>
          <m:naryPr>
            <m:chr m:val="∑"/>
            <m:limLoc m:val="subSup"/>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n</m:t>
            </m:r>
            <m:ctrlPr>
              <w:rPr>
                <w:rFonts w:ascii="Cambria Math" w:hAnsi="Cambria Math"/>
                <w:i/>
                <w:iCs/>
              </w:rPr>
            </m:ctrlPr>
          </m:sup>
          <m:e>
            <m:r>
              <m:rPr/>
              <w:rPr>
                <w:rFonts w:ascii="Cambria Math" w:hAnsi="Cambria Math"/>
              </w:rPr>
              <m:t>∆P×</m:t>
            </m:r>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e>
        </m:nary>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6C22B8D">
      <w:pPr>
        <w:pStyle w:val="57"/>
        <w:ind w:firstLine="420"/>
      </w:pPr>
      <w:r>
        <w:rPr>
          <w:rFonts w:hint="eastAsia"/>
        </w:rPr>
        <w:t>式中：</w:t>
      </w:r>
    </w:p>
    <w:p w14:paraId="620D71AC">
      <w:pPr>
        <w:pStyle w:val="58"/>
        <w:ind w:firstLine="420"/>
      </w:pPr>
      <w:r>
        <w:rPr>
          <w:rFonts w:ascii="Times New Roman" w:eastAsia="Times New Roman"/>
          <w:i/>
        </w:rPr>
        <w:t>Δp</w:t>
      </w:r>
      <w:r>
        <w:t>——邻近地块的单位面积调节服务价值变化量；</w:t>
      </w:r>
    </w:p>
    <w:p w14:paraId="38CECF31">
      <w:pPr>
        <w:pStyle w:val="58"/>
        <w:ind w:firstLine="420"/>
      </w:pPr>
      <w:r>
        <w:rPr>
          <w:rFonts w:ascii="Times New Roman" w:eastAsia="Times New Roman"/>
          <w:i/>
          <w:position w:val="2"/>
        </w:rPr>
        <w:t>A</w:t>
      </w:r>
      <w:r>
        <w:rPr>
          <w:rFonts w:ascii="Times New Roman" w:eastAsia="Times New Roman"/>
          <w:i/>
          <w:sz w:val="14"/>
        </w:rPr>
        <w:t>i</w:t>
      </w:r>
      <w:r>
        <w:rPr>
          <w:position w:val="2"/>
        </w:rPr>
        <w:t>——变化地块的面积；</w:t>
      </w:r>
    </w:p>
    <w:p w14:paraId="70EF605E">
      <w:pPr>
        <w:pStyle w:val="58"/>
        <w:ind w:firstLine="420"/>
      </w:pPr>
      <w:r>
        <w:rPr>
          <w:rFonts w:ascii="Times New Roman" w:eastAsia="Times New Roman"/>
          <w:i/>
        </w:rPr>
        <w:t>n</w:t>
      </w:r>
      <w:r>
        <w:t>——变化的生态地块数量。</w:t>
      </w:r>
    </w:p>
    <w:p w14:paraId="2A50E0A0">
      <w:pPr>
        <w:pStyle w:val="58"/>
        <w:ind w:firstLine="420"/>
        <w:rPr>
          <w:rFonts w:ascii="Times New Roman"/>
        </w:rPr>
      </w:pPr>
      <w:r>
        <w:rPr>
          <w:rFonts w:ascii="Times New Roman"/>
        </w:rPr>
        <w:t>b</w:t>
      </w:r>
      <w:r>
        <w:rPr>
          <w:rFonts w:hint="eastAsia" w:ascii="Times New Roman"/>
        </w:rPr>
        <w:t>）</w:t>
      </w:r>
      <w:r>
        <w:rPr>
          <w:rFonts w:ascii="Times New Roman"/>
        </w:rPr>
        <w:t>根据项目情景下生态系统分布情况重新核算评估区域内调节服务各产品价值量，通过与基线情景下价值比较形成调节服务价值变化量，按式（</w:t>
      </w:r>
      <w:r>
        <w:rPr>
          <w:rFonts w:hint="eastAsia" w:ascii="Times New Roman"/>
        </w:rPr>
        <w:t>62</w:t>
      </w:r>
      <w:r>
        <w:rPr>
          <w:rFonts w:ascii="Times New Roman"/>
        </w:rPr>
        <w:t>）</w:t>
      </w:r>
    </w:p>
    <w:p w14:paraId="7BC611F1">
      <w:pPr>
        <w:pStyle w:val="115"/>
        <w:spacing w:before="156" w:after="156"/>
        <w:rPr>
          <w:rFonts w:ascii="Times New Roman" w:hAnsi="Times New Roman"/>
        </w:rPr>
      </w:pPr>
      <w:r>
        <w:tab/>
      </w:r>
      <m:oMath>
        <m:r>
          <m:rPr/>
          <w:rPr>
            <w:rFonts w:ascii="Cambria Math" w:hAnsi="Cambria Math"/>
          </w:rPr>
          <m:t>∆ERP=</m:t>
        </m:r>
        <m:sSub>
          <m:sSubPr>
            <m:ctrlPr>
              <w:rPr>
                <w:rFonts w:ascii="Cambria Math" w:hAnsi="Cambria Math"/>
                <w:i/>
                <w:iCs/>
              </w:rPr>
            </m:ctrlPr>
          </m:sSubPr>
          <m:e>
            <m:r>
              <m:rPr/>
              <w:rPr>
                <w:rFonts w:ascii="Cambria Math" w:hAnsi="Cambria Math"/>
              </w:rPr>
              <m:t>ERP</m:t>
            </m:r>
            <m:ctrlPr>
              <w:rPr>
                <w:rFonts w:ascii="Cambria Math" w:hAnsi="Cambria Math"/>
                <w:i/>
                <w:iCs/>
              </w:rPr>
            </m:ctrlPr>
          </m:e>
          <m:sub>
            <m:r>
              <m:rPr/>
              <w:rPr>
                <w:rFonts w:ascii="Cambria Math" w:hAnsi="Cambria Math"/>
              </w:rPr>
              <m:t>proj</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ERP</m:t>
            </m:r>
            <m:ctrlPr>
              <w:rPr>
                <w:rFonts w:ascii="Cambria Math" w:hAnsi="Cambria Math"/>
                <w:i/>
                <w:iCs/>
              </w:rPr>
            </m:ctrlPr>
          </m:e>
          <m:sub>
            <m:r>
              <m:rPr/>
              <w:rPr>
                <w:rFonts w:ascii="Cambria Math" w:hAnsi="Cambria Math"/>
              </w:rPr>
              <m:t>base</m:t>
            </m:r>
            <m:ctrlPr>
              <w:rPr>
                <w:rFonts w:ascii="Cambria Math" w:hAnsi="Cambria Math"/>
                <w:i/>
                <w:iCs/>
              </w:rPr>
            </m:ctrlPr>
          </m:sub>
        </m:sSub>
      </m:oMath>
      <w:r>
        <w:rPr>
          <w:rFonts w:ascii="微软雅黑" w:hAnsi="微软雅黑" w:eastAsia="微软雅黑"/>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8AB571D">
      <w:pPr>
        <w:pStyle w:val="57"/>
        <w:ind w:firstLine="420"/>
      </w:pPr>
      <w:r>
        <w:rPr>
          <w:rFonts w:hint="eastAsia"/>
        </w:rPr>
        <w:t>式中：</w:t>
      </w:r>
    </w:p>
    <w:p w14:paraId="6039EA72">
      <w:pPr>
        <w:pStyle w:val="58"/>
        <w:ind w:firstLine="420"/>
      </w:pPr>
      <w:r>
        <w:rPr>
          <w:rFonts w:ascii="Times New Roman" w:eastAsia="Times New Roman"/>
          <w:i/>
        </w:rPr>
        <w:t>ΔERP</w:t>
      </w:r>
      <w:r>
        <w:t>——调节服务价值变化量；</w:t>
      </w:r>
    </w:p>
    <w:p w14:paraId="28E3FB72">
      <w:pPr>
        <w:pStyle w:val="58"/>
        <w:ind w:firstLine="420"/>
        <w:rPr>
          <w:position w:val="2"/>
        </w:rPr>
      </w:pPr>
      <w:r>
        <w:rPr>
          <w:rFonts w:ascii="Times New Roman" w:eastAsia="Times New Roman"/>
          <w:i/>
          <w:position w:val="2"/>
        </w:rPr>
        <w:t>ERP</w:t>
      </w:r>
      <w:r>
        <w:rPr>
          <w:rFonts w:ascii="Times New Roman" w:eastAsia="Times New Roman"/>
          <w:i/>
          <w:sz w:val="14"/>
        </w:rPr>
        <w:t>proj</w:t>
      </w:r>
      <w:r>
        <w:rPr>
          <w:position w:val="2"/>
        </w:rPr>
        <w:t>——项目情景下调节服务价值；</w:t>
      </w:r>
    </w:p>
    <w:p w14:paraId="4D320AB2">
      <w:pPr>
        <w:pStyle w:val="58"/>
        <w:ind w:firstLine="420"/>
      </w:pPr>
      <w:r>
        <w:rPr>
          <w:rFonts w:ascii="Times New Roman" w:eastAsia="Times New Roman"/>
          <w:i/>
          <w:position w:val="2"/>
        </w:rPr>
        <w:t>ERP</w:t>
      </w:r>
      <w:r>
        <w:rPr>
          <w:rFonts w:ascii="Times New Roman" w:eastAsia="Times New Roman"/>
          <w:i/>
          <w:sz w:val="14"/>
        </w:rPr>
        <w:t>base</w:t>
      </w:r>
      <w:r>
        <w:rPr>
          <w:position w:val="2"/>
        </w:rPr>
        <w:t>——基线情景下调节服务价值。</w:t>
      </w:r>
    </w:p>
    <w:p w14:paraId="13D1370B">
      <w:pPr>
        <w:pStyle w:val="106"/>
        <w:spacing w:before="312" w:after="312"/>
      </w:pPr>
      <w:bookmarkStart w:id="111" w:name="_Toc203399067"/>
      <w:bookmarkStart w:id="112" w:name="_Toc203399463"/>
      <w:r>
        <w:rPr>
          <w:rFonts w:hint="eastAsia"/>
        </w:rPr>
        <w:t>数据采集与质量控制</w:t>
      </w:r>
      <w:bookmarkEnd w:id="111"/>
      <w:bookmarkEnd w:id="112"/>
    </w:p>
    <w:p w14:paraId="5C395572">
      <w:pPr>
        <w:pStyle w:val="107"/>
        <w:spacing w:before="156" w:after="156"/>
      </w:pPr>
      <w:bookmarkStart w:id="113" w:name="_Toc203399068"/>
      <w:bookmarkStart w:id="114" w:name="_Toc203399464"/>
      <w:r>
        <w:rPr>
          <w:rFonts w:hint="eastAsia"/>
        </w:rPr>
        <w:t>规范基础数据</w:t>
      </w:r>
      <w:bookmarkEnd w:id="113"/>
      <w:bookmarkEnd w:id="114"/>
    </w:p>
    <w:p w14:paraId="1E8FD5F3">
      <w:pPr>
        <w:pStyle w:val="67"/>
        <w:spacing w:before="156" w:after="156"/>
      </w:pPr>
      <w:r>
        <w:rPr>
          <w:rFonts w:hint="eastAsia"/>
        </w:rPr>
        <w:t>遥感数据规范</w:t>
      </w:r>
    </w:p>
    <w:p w14:paraId="0F0F9576">
      <w:pPr>
        <w:pStyle w:val="58"/>
        <w:ind w:firstLine="420"/>
      </w:pPr>
      <w:r>
        <w:t>特定地域单元调查与评估所采用的遥感影像应满足如下要求：</w:t>
      </w:r>
    </w:p>
    <w:p w14:paraId="63E57C99">
      <w:pPr>
        <w:pStyle w:val="176"/>
        <w:numPr>
          <w:ilvl w:val="0"/>
          <w:numId w:val="32"/>
        </w:numPr>
      </w:pPr>
      <w:r>
        <w:t>用于生态地块图斑提取与解译的遥感影像空间分辨率一般应优于</w:t>
      </w:r>
      <w:r>
        <w:rPr>
          <w:rFonts w:ascii="Times New Roman" w:eastAsia="Times New Roman"/>
        </w:rPr>
        <w:t>5</w:t>
      </w:r>
      <w:r>
        <w:rPr>
          <w:spacing w:val="-8"/>
        </w:rPr>
        <w:t>米，多时相影像匹配误差小于</w:t>
      </w:r>
      <w:r>
        <w:rPr>
          <w:rFonts w:ascii="Times New Roman" w:eastAsia="Times New Roman"/>
          <w:spacing w:val="-8"/>
        </w:rPr>
        <w:t>1</w:t>
      </w:r>
      <w:r>
        <w:t>个像元；</w:t>
      </w:r>
    </w:p>
    <w:p w14:paraId="75E9E447">
      <w:pPr>
        <w:pStyle w:val="176"/>
      </w:pPr>
      <w:r>
        <w:rPr>
          <w:spacing w:val="-12"/>
        </w:rPr>
        <w:t>用于专题图制作底图的遥感影像应层次丰富、色彩鲜艳、饱和度较高，预处理过程可参考《</w:t>
      </w:r>
      <w:r>
        <w:rPr>
          <w:rFonts w:ascii="Times New Roman" w:eastAsia="Times New Roman"/>
          <w:spacing w:val="-12"/>
        </w:rPr>
        <w:t>TD/T 1055-2019</w:t>
      </w:r>
      <w:r>
        <w:rPr>
          <w:rFonts w:ascii="Times New Roman" w:eastAsia="Times New Roman"/>
          <w:spacing w:val="51"/>
        </w:rPr>
        <w:t xml:space="preserve"> </w:t>
      </w:r>
      <w:r>
        <w:t>第三次全国国土调查技术规程》；</w:t>
      </w:r>
    </w:p>
    <w:p w14:paraId="28E76ACF">
      <w:pPr>
        <w:pStyle w:val="176"/>
        <w:rPr>
          <w:sz w:val="15"/>
        </w:rPr>
      </w:pPr>
      <w:r>
        <w:t>可适当采用无人机、地面调查等补充数据。</w:t>
      </w:r>
    </w:p>
    <w:p w14:paraId="50F95A25">
      <w:pPr>
        <w:pStyle w:val="67"/>
        <w:spacing w:before="156" w:after="156"/>
      </w:pPr>
      <w:r>
        <w:rPr>
          <w:rFonts w:hint="eastAsia"/>
        </w:rPr>
        <w:t>调查统计数据规范</w:t>
      </w:r>
    </w:p>
    <w:p w14:paraId="09041A35">
      <w:pPr>
        <w:pStyle w:val="58"/>
        <w:ind w:firstLine="420"/>
      </w:pPr>
      <w:r>
        <w:t>特定地域单元内生态产品定价及来源可参考附录</w:t>
      </w:r>
      <w:r>
        <w:rPr>
          <w:rFonts w:ascii="Times New Roman" w:eastAsia="Times New Roman"/>
        </w:rPr>
        <w:t>C</w:t>
      </w:r>
      <w:r>
        <w:t>中的表</w:t>
      </w:r>
      <w:r>
        <w:rPr>
          <w:rFonts w:ascii="Times New Roman" w:eastAsia="Times New Roman"/>
        </w:rPr>
        <w:t>C.</w:t>
      </w:r>
      <w:r>
        <w:rPr>
          <w:rFonts w:hint="eastAsia" w:ascii="Times New Roman" w:eastAsiaTheme="minorEastAsia"/>
        </w:rPr>
        <w:t>16</w:t>
      </w:r>
      <w:r>
        <w:t>规定，尚未形成地方市场化的产品价格或溢价系数可暂时采用</w:t>
      </w:r>
      <w:r>
        <w:rPr>
          <w:rFonts w:hint="eastAsia"/>
        </w:rPr>
        <w:t>安徽省</w:t>
      </w:r>
      <w:r>
        <w:t>统一定价。</w:t>
      </w:r>
    </w:p>
    <w:p w14:paraId="7D6E11C8">
      <w:pPr>
        <w:pStyle w:val="58"/>
        <w:ind w:firstLine="420"/>
        <w:rPr>
          <w:spacing w:val="-3"/>
        </w:rPr>
      </w:pPr>
      <w:r>
        <w:t>特定地域单元内生态产品价值评估应输入基础地理、气象、生态环境监测、社会经济等多类别数据，具体数据要求按附录</w:t>
      </w:r>
      <w:r>
        <w:rPr>
          <w:rFonts w:hint="eastAsia" w:ascii="Times New Roman" w:eastAsiaTheme="minorEastAsia"/>
          <w:spacing w:val="3"/>
        </w:rPr>
        <w:t>D</w:t>
      </w:r>
      <w:r>
        <w:t>中的表</w:t>
      </w:r>
      <w:r>
        <w:rPr>
          <w:rFonts w:hint="eastAsia" w:ascii="Times New Roman" w:eastAsiaTheme="minorEastAsia"/>
        </w:rPr>
        <w:t>D</w:t>
      </w:r>
      <w:r>
        <w:rPr>
          <w:rFonts w:ascii="Times New Roman" w:eastAsia="Times New Roman"/>
        </w:rPr>
        <w:t>.1</w:t>
      </w:r>
      <w:r>
        <w:t>规定。根据项目实际情况，由项目委托方、承建方、第三方专业机构</w:t>
      </w:r>
      <w:r>
        <w:rPr>
          <w:spacing w:val="-3"/>
        </w:rPr>
        <w:t>等多方协商确定，有村镇统计参考数据的可按平均测算，有遥感数据的可按标准解译应用。</w:t>
      </w:r>
    </w:p>
    <w:p w14:paraId="02AD1E25">
      <w:pPr>
        <w:pStyle w:val="67"/>
        <w:spacing w:before="156" w:after="156"/>
      </w:pPr>
      <w:r>
        <w:rPr>
          <w:rFonts w:hint="eastAsia"/>
        </w:rPr>
        <w:t>其他辅助数据</w:t>
      </w:r>
    </w:p>
    <w:p w14:paraId="466A27EA">
      <w:pPr>
        <w:pStyle w:val="58"/>
        <w:ind w:firstLine="420"/>
        <w:rPr>
          <w:spacing w:val="-5"/>
        </w:rPr>
      </w:pPr>
      <w:r>
        <w:t>当核算时段或范围特殊性不能满足数据完整性要求时，可利用相关研究、相邻区域监测数据，鼓励</w:t>
      </w:r>
      <w:r>
        <w:rPr>
          <w:spacing w:val="-5"/>
        </w:rPr>
        <w:t>通过创新项目的开展整合空间大数据并用于核算评估。</w:t>
      </w:r>
    </w:p>
    <w:p w14:paraId="718A17DF">
      <w:pPr>
        <w:pStyle w:val="107"/>
        <w:spacing w:before="156" w:after="156"/>
      </w:pPr>
      <w:bookmarkStart w:id="115" w:name="_Toc203399069"/>
      <w:bookmarkStart w:id="116" w:name="_Toc203399465"/>
      <w:r>
        <w:rPr>
          <w:rFonts w:hint="eastAsia"/>
        </w:rPr>
        <w:t>规范评估管理</w:t>
      </w:r>
      <w:bookmarkEnd w:id="115"/>
      <w:bookmarkEnd w:id="116"/>
    </w:p>
    <w:p w14:paraId="59C2AB04">
      <w:pPr>
        <w:pStyle w:val="58"/>
        <w:ind w:firstLine="420"/>
      </w:pPr>
      <w:r>
        <w:t>特定地域单元内生态产品价值</w:t>
      </w:r>
      <w:r>
        <w:rPr>
          <w:rFonts w:hint="eastAsia"/>
        </w:rPr>
        <w:t>核算</w:t>
      </w:r>
      <w:r>
        <w:t>应按照第</w:t>
      </w:r>
      <w:r>
        <w:rPr>
          <w:rFonts w:hint="eastAsia" w:ascii="Times New Roman" w:eastAsiaTheme="minorEastAsia"/>
        </w:rPr>
        <w:t>5-6</w:t>
      </w:r>
      <w:r>
        <w:t>章的规定开展</w:t>
      </w:r>
      <w:r>
        <w:rPr>
          <w:rFonts w:hint="eastAsia"/>
        </w:rPr>
        <w:t>实物</w:t>
      </w:r>
      <w:r>
        <w:t>量和价值量核算</w:t>
      </w:r>
      <w:r>
        <w:rPr>
          <w:rFonts w:hint="eastAsia"/>
        </w:rPr>
        <w:t>以及开展变化</w:t>
      </w:r>
      <w:r>
        <w:t>评估，并实行自检、互检、技术负责人检查和专家验收的“三检一验”制度，检验内容包括每个核算科目的数据来源、实物量和价值量核算与评估。</w:t>
      </w:r>
    </w:p>
    <w:p w14:paraId="1C278C9A">
      <w:pPr>
        <w:pStyle w:val="107"/>
        <w:spacing w:before="156" w:after="156"/>
      </w:pPr>
      <w:bookmarkStart w:id="117" w:name="_Toc203399466"/>
      <w:bookmarkStart w:id="118" w:name="_Toc203399070"/>
      <w:r>
        <w:rPr>
          <w:rFonts w:hint="eastAsia"/>
        </w:rPr>
        <w:t>规范过程控制</w:t>
      </w:r>
      <w:bookmarkEnd w:id="117"/>
      <w:bookmarkEnd w:id="118"/>
    </w:p>
    <w:p w14:paraId="3449A2BF">
      <w:pPr>
        <w:pStyle w:val="58"/>
        <w:ind w:firstLine="392"/>
        <w:rPr>
          <w:spacing w:val="-6"/>
        </w:rPr>
      </w:pPr>
      <w:r>
        <w:rPr>
          <w:spacing w:val="-7"/>
        </w:rPr>
        <w:t>生态产品价值评估单位应按生态产品实物量和价值量核算方法，针对各类生态产品的指标协同开发</w:t>
      </w:r>
      <w:r>
        <w:t>统一的数据处理、参数设置以及核算评估数字化模块，为不同区域不同项目生态产品价值核算评估提供</w:t>
      </w:r>
      <w:r>
        <w:rPr>
          <w:spacing w:val="-6"/>
        </w:rPr>
        <w:t>标准统一、科学便捷的工具。</w:t>
      </w:r>
    </w:p>
    <w:p w14:paraId="07F55913">
      <w:pPr>
        <w:pStyle w:val="107"/>
        <w:spacing w:before="156" w:after="156"/>
      </w:pPr>
      <w:bookmarkStart w:id="119" w:name="_Toc203399467"/>
      <w:bookmarkStart w:id="120" w:name="_Toc203399071"/>
      <w:r>
        <w:rPr>
          <w:rFonts w:hint="eastAsia"/>
        </w:rPr>
        <w:t>规范成果形式</w:t>
      </w:r>
      <w:bookmarkEnd w:id="119"/>
      <w:bookmarkEnd w:id="120"/>
    </w:p>
    <w:p w14:paraId="6A66DFA7">
      <w:pPr>
        <w:pStyle w:val="67"/>
        <w:spacing w:before="156" w:after="156"/>
      </w:pPr>
      <w:r>
        <w:rPr>
          <w:rFonts w:hint="eastAsia"/>
        </w:rPr>
        <w:t>数据格式</w:t>
      </w:r>
    </w:p>
    <w:p w14:paraId="079EFAE3">
      <w:pPr>
        <w:pStyle w:val="58"/>
        <w:ind w:firstLine="420"/>
      </w:pPr>
      <w:r>
        <w:t>除文字、表册和多媒体外，其他空间数据需转换为</w:t>
      </w:r>
      <w:r>
        <w:rPr>
          <w:rFonts w:ascii="Times New Roman" w:eastAsia="Times New Roman"/>
        </w:rPr>
        <w:t>GEOTIFF</w:t>
      </w:r>
      <w:r>
        <w:t>格式（栅格数据格式）或</w:t>
      </w:r>
      <w:r>
        <w:rPr>
          <w:rFonts w:ascii="Times New Roman" w:eastAsia="Times New Roman"/>
        </w:rPr>
        <w:t xml:space="preserve">SHAPEFILE </w:t>
      </w:r>
      <w:r>
        <w:t>格式（矢量数据格式）。</w:t>
      </w:r>
    </w:p>
    <w:p w14:paraId="790B9B8C">
      <w:pPr>
        <w:pStyle w:val="67"/>
        <w:spacing w:before="156" w:after="156"/>
      </w:pPr>
      <w:r>
        <w:rPr>
          <w:rFonts w:hint="eastAsia"/>
        </w:rPr>
        <w:t>制图标准</w:t>
      </w:r>
    </w:p>
    <w:p w14:paraId="4D5B35D5">
      <w:pPr>
        <w:pStyle w:val="58"/>
        <w:ind w:firstLine="420"/>
      </w:pPr>
      <w:r>
        <w:t>项目生态产品价值核算与评估结果的空间专题图制作应遵循附录</w:t>
      </w:r>
      <w:r>
        <w:rPr>
          <w:rFonts w:hint="eastAsia" w:ascii="Times New Roman" w:eastAsiaTheme="minorEastAsia"/>
        </w:rPr>
        <w:t>D</w:t>
      </w:r>
      <w:r>
        <w:t>中的表</w:t>
      </w:r>
      <w:r>
        <w:rPr>
          <w:rFonts w:hint="eastAsia" w:ascii="Times New Roman" w:eastAsiaTheme="minorEastAsia"/>
        </w:rPr>
        <w:t>D.2</w:t>
      </w:r>
      <w:r>
        <w:t>规定。</w:t>
      </w:r>
    </w:p>
    <w:p w14:paraId="3F2CFC7A">
      <w:pPr>
        <w:pStyle w:val="106"/>
        <w:spacing w:before="312" w:after="312"/>
      </w:pPr>
      <w:bookmarkStart w:id="121" w:name="_bookmark10"/>
      <w:bookmarkEnd w:id="121"/>
      <w:bookmarkStart w:id="122" w:name="_Toc203399468"/>
      <w:bookmarkStart w:id="123" w:name="_Toc203399072"/>
      <w:r>
        <w:rPr>
          <w:rFonts w:hint="eastAsia"/>
        </w:rPr>
        <w:t>成果汇总</w:t>
      </w:r>
      <w:bookmarkEnd w:id="122"/>
      <w:bookmarkEnd w:id="123"/>
    </w:p>
    <w:p w14:paraId="3BDEB4D4">
      <w:pPr>
        <w:pStyle w:val="107"/>
        <w:spacing w:before="156" w:after="156"/>
      </w:pPr>
      <w:bookmarkStart w:id="124" w:name="_Toc203399073"/>
      <w:bookmarkStart w:id="125" w:name="_Toc203399469"/>
      <w:r>
        <w:rPr>
          <w:rFonts w:hint="eastAsia"/>
        </w:rPr>
        <w:t>成果类型</w:t>
      </w:r>
      <w:bookmarkEnd w:id="124"/>
      <w:bookmarkEnd w:id="125"/>
    </w:p>
    <w:p w14:paraId="69CC010E">
      <w:pPr>
        <w:pStyle w:val="67"/>
        <w:spacing w:before="156" w:after="156"/>
      </w:pPr>
      <w:r>
        <w:rPr>
          <w:rFonts w:hint="eastAsia"/>
        </w:rPr>
        <w:t>图件成果</w:t>
      </w:r>
    </w:p>
    <w:p w14:paraId="52516055">
      <w:pPr>
        <w:pStyle w:val="58"/>
        <w:ind w:firstLine="420"/>
      </w:pPr>
      <w:r>
        <w:t xml:space="preserve">图件成果包括下列形式： </w:t>
      </w:r>
    </w:p>
    <w:p w14:paraId="16E98C73">
      <w:pPr>
        <w:pStyle w:val="134"/>
      </w:pPr>
      <w:r>
        <w:t>生态系统分类标准产品，即在土地利用调查数据或遥感专题信息提取成果的基础上，经过转换形成满足项目生态产品价值评估的生态系统分类标准产品；</w:t>
      </w:r>
    </w:p>
    <w:p w14:paraId="18BDDD04">
      <w:pPr>
        <w:pStyle w:val="134"/>
      </w:pPr>
      <w:r>
        <w:t>专题图件，即根据</w:t>
      </w:r>
      <w:r>
        <w:rPr>
          <w:rFonts w:hint="eastAsia"/>
        </w:rPr>
        <w:t>特定地域单元生态产品价值</w:t>
      </w:r>
      <w:r>
        <w:rPr>
          <w:rFonts w:hint="eastAsia" w:hAnsi="宋体" w:cs="宋体"/>
        </w:rPr>
        <w:t>（</w:t>
      </w:r>
      <w:r>
        <w:rPr>
          <w:rFonts w:hint="eastAsia" w:ascii="Times New Roman" w:eastAsia="Times New Roman"/>
        </w:rPr>
        <w:t>VEP</w:t>
      </w:r>
      <w:r>
        <w:rPr>
          <w:rFonts w:hint="eastAsia" w:hAnsi="宋体" w:cs="宋体"/>
        </w:rPr>
        <w:t>）</w:t>
      </w:r>
      <w:r>
        <w:rPr>
          <w:rFonts w:hint="eastAsia"/>
        </w:rPr>
        <w:t>核算技术规</w:t>
      </w:r>
      <w:r>
        <w:rPr>
          <w:rFonts w:hint="eastAsia"/>
          <w:spacing w:val="-10"/>
        </w:rPr>
        <w:t>范</w:t>
      </w:r>
      <w:r>
        <w:rPr>
          <w:spacing w:val="-10"/>
        </w:rPr>
        <w:t>，所有调节服务产品应制作相应的</w:t>
      </w:r>
      <w:r>
        <w:rPr>
          <w:spacing w:val="-5"/>
        </w:rPr>
        <w:t>实物量和价值量专题图件；</w:t>
      </w:r>
    </w:p>
    <w:p w14:paraId="46D48FA3">
      <w:pPr>
        <w:pStyle w:val="134"/>
      </w:pPr>
      <w:r>
        <w:t>表册成果，包括打印签字版或盖章扫描版的数据来源确认表、问卷调查表、核算结果汇总表等；</w:t>
      </w:r>
    </w:p>
    <w:p w14:paraId="639727FF">
      <w:pPr>
        <w:pStyle w:val="134"/>
      </w:pPr>
      <w:r>
        <w:t>文本成果，即特定地域单元生态产品价值评估报告。</w:t>
      </w:r>
    </w:p>
    <w:p w14:paraId="38E63BED">
      <w:pPr>
        <w:pStyle w:val="67"/>
        <w:spacing w:before="156" w:after="156"/>
      </w:pPr>
      <w:r>
        <w:rPr>
          <w:rFonts w:hint="eastAsia"/>
        </w:rPr>
        <w:t>数字化成果</w:t>
      </w:r>
    </w:p>
    <w:p w14:paraId="7395C837">
      <w:pPr>
        <w:pStyle w:val="58"/>
        <w:ind w:firstLine="420"/>
      </w:pPr>
      <w:r>
        <w:t>数字化成果包括下列形式：</w:t>
      </w:r>
    </w:p>
    <w:p w14:paraId="542ECD02">
      <w:pPr>
        <w:pStyle w:val="134"/>
      </w:pPr>
      <w:r>
        <w:t>多媒体成果，包括核算评估工作中的照片和音视频等；</w:t>
      </w:r>
    </w:p>
    <w:p w14:paraId="227B9647">
      <w:pPr>
        <w:pStyle w:val="134"/>
      </w:pPr>
      <w:r>
        <w:t>平台成果，即用以展示项目基础数据、数字地图、多维度分析等结果的数字平台。</w:t>
      </w:r>
    </w:p>
    <w:p w14:paraId="7A40DF61">
      <w:pPr>
        <w:pStyle w:val="107"/>
        <w:spacing w:before="156" w:after="156"/>
      </w:pPr>
      <w:bookmarkStart w:id="126" w:name="_Toc203399470"/>
      <w:bookmarkStart w:id="127" w:name="_Toc203399074"/>
      <w:r>
        <w:rPr>
          <w:rFonts w:hint="eastAsia"/>
        </w:rPr>
        <w:t>成果文件组织</w:t>
      </w:r>
      <w:bookmarkEnd w:id="126"/>
      <w:bookmarkEnd w:id="127"/>
    </w:p>
    <w:p w14:paraId="25C69848">
      <w:pPr>
        <w:pStyle w:val="58"/>
        <w:ind w:firstLine="420"/>
        <w:rPr>
          <w:spacing w:val="-3"/>
        </w:rPr>
      </w:pPr>
      <w:r>
        <w:t>应以特定地域单元为单位，以文件夹形式统一管理成果。成果管理文件夹命名采用</w:t>
      </w:r>
      <w:r>
        <w:rPr>
          <w:rFonts w:hint="eastAsia"/>
          <w:spacing w:val="-3"/>
        </w:rPr>
        <w:t>“</w:t>
      </w:r>
      <w:r>
        <w:t>特定地域单元名称</w:t>
      </w:r>
      <w:r>
        <w:rPr>
          <w:rFonts w:ascii="Times New Roman" w:eastAsia="Times New Roman"/>
        </w:rPr>
        <w:t>-</w:t>
      </w:r>
      <w:r>
        <w:rPr>
          <w:spacing w:val="-3"/>
        </w:rPr>
        <w:t>生态产品价值评估</w:t>
      </w:r>
      <w:r>
        <w:rPr>
          <w:rFonts w:hint="eastAsia"/>
          <w:spacing w:val="-3"/>
        </w:rPr>
        <w:t>”</w:t>
      </w:r>
      <w:r>
        <w:rPr>
          <w:spacing w:val="-3"/>
        </w:rPr>
        <w:t>。</w:t>
      </w:r>
    </w:p>
    <w:p w14:paraId="4ECCC85D">
      <w:pPr>
        <w:pStyle w:val="107"/>
        <w:spacing w:before="156" w:after="156"/>
      </w:pPr>
      <w:bookmarkStart w:id="128" w:name="_Toc203399471"/>
      <w:bookmarkStart w:id="129" w:name="_Toc203399075"/>
      <w:r>
        <w:rPr>
          <w:rFonts w:hint="eastAsia"/>
        </w:rPr>
        <w:t>成果审核</w:t>
      </w:r>
      <w:bookmarkEnd w:id="128"/>
      <w:bookmarkEnd w:id="129"/>
    </w:p>
    <w:p w14:paraId="212F7932">
      <w:pPr>
        <w:pStyle w:val="58"/>
        <w:ind w:firstLine="420"/>
      </w:pPr>
      <w:r>
        <w:t>需公开发布的评估成果应由项目主管单位审核确认，不应发布涉及国家秘密的资料和数据。</w:t>
      </w:r>
    </w:p>
    <w:p w14:paraId="35492BBC">
      <w:pPr>
        <w:pStyle w:val="107"/>
        <w:spacing w:before="156" w:after="156"/>
      </w:pPr>
      <w:bookmarkStart w:id="130" w:name="_Toc203399472"/>
      <w:bookmarkStart w:id="131" w:name="_Toc203399076"/>
      <w:r>
        <w:rPr>
          <w:rFonts w:hint="eastAsia"/>
        </w:rPr>
        <w:t>成果安全</w:t>
      </w:r>
      <w:bookmarkEnd w:id="130"/>
      <w:bookmarkEnd w:id="131"/>
    </w:p>
    <w:p w14:paraId="531FAA74">
      <w:pPr>
        <w:pStyle w:val="58"/>
        <w:ind w:firstLine="420"/>
        <w:rPr>
          <w:sz w:val="26"/>
        </w:rPr>
      </w:pPr>
      <w:r>
        <w:t>生态产品价值核算和评估过程中涉及国家秘密的资料和数据，应按保密规定进行管理，不得发生失</w:t>
      </w:r>
      <w:r>
        <w:rPr>
          <w:spacing w:val="-5"/>
        </w:rPr>
        <w:t>密、泄密问题。</w:t>
      </w:r>
    </w:p>
    <w:p w14:paraId="00DB1835">
      <w:pPr>
        <w:pStyle w:val="58"/>
        <w:ind w:firstLine="420"/>
        <w:sectPr>
          <w:pgSz w:w="11906" w:h="16838"/>
          <w:pgMar w:top="1928" w:right="1134" w:bottom="1134" w:left="1134" w:header="1418" w:footer="1134" w:gutter="284"/>
          <w:pgNumType w:start="1"/>
          <w:cols w:space="425" w:num="1"/>
          <w:formProt w:val="0"/>
          <w:docGrid w:type="lines" w:linePitch="312" w:charSpace="0"/>
        </w:sectPr>
      </w:pPr>
    </w:p>
    <w:bookmarkEnd w:id="25"/>
    <w:p w14:paraId="703C6A97">
      <w:pPr>
        <w:pStyle w:val="200"/>
        <w:rPr>
          <w:rFonts w:hint="eastAsia"/>
          <w:vanish w:val="0"/>
        </w:rPr>
      </w:pPr>
      <w:bookmarkStart w:id="132" w:name="BookMark5"/>
    </w:p>
    <w:p w14:paraId="58D20BAE">
      <w:pPr>
        <w:pStyle w:val="201"/>
        <w:rPr>
          <w:vanish w:val="0"/>
        </w:rPr>
      </w:pPr>
    </w:p>
    <w:p w14:paraId="0D16FC17">
      <w:pPr>
        <w:pStyle w:val="78"/>
        <w:spacing w:after="156"/>
      </w:pPr>
      <w:r>
        <w:br w:type="textWrapping"/>
      </w:r>
      <w:bookmarkStart w:id="133" w:name="_Toc203399077"/>
      <w:bookmarkStart w:id="134" w:name="_Toc203399473"/>
      <w:r>
        <w:rPr>
          <w:rFonts w:hint="eastAsia"/>
        </w:rPr>
        <w:t>（资料性）</w:t>
      </w:r>
      <w:r>
        <w:br w:type="textWrapping"/>
      </w:r>
      <w:r>
        <w:rPr>
          <w:rFonts w:hint="eastAsia"/>
        </w:rPr>
        <w:t>生态产品类别与生态系统类型</w:t>
      </w:r>
      <w:bookmarkEnd w:id="133"/>
      <w:bookmarkEnd w:id="134"/>
    </w:p>
    <w:p w14:paraId="45D1A4B8">
      <w:pPr>
        <w:pStyle w:val="213"/>
      </w:pPr>
      <w:r>
        <w:t>表</w:t>
      </w:r>
      <w:r>
        <w:rPr>
          <w:rFonts w:ascii="Times New Roman" w:eastAsia="Times New Roman"/>
        </w:rPr>
        <w:t>A.1</w:t>
      </w:r>
      <w:r>
        <w:rPr>
          <w:rFonts w:hint="eastAsia" w:ascii="Times New Roman"/>
        </w:rPr>
        <w:t xml:space="preserve"> </w:t>
      </w:r>
      <w:r>
        <w:t>给出了生态产品清单。</w:t>
      </w:r>
    </w:p>
    <w:p w14:paraId="16A900B0">
      <w:pPr>
        <w:pStyle w:val="79"/>
        <w:spacing w:before="156" w:after="156"/>
      </w:pPr>
      <w:r>
        <w:t>生态产品清单</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425"/>
        <w:gridCol w:w="992"/>
        <w:gridCol w:w="1276"/>
        <w:gridCol w:w="6225"/>
      </w:tblGrid>
      <w:tr w14:paraId="488A84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6" w:type="dxa"/>
            <w:tcBorders>
              <w:top w:val="single" w:color="auto" w:sz="8" w:space="0"/>
              <w:bottom w:val="single" w:color="auto" w:sz="8" w:space="0"/>
            </w:tcBorders>
            <w:shd w:val="clear" w:color="auto" w:fill="auto"/>
            <w:vAlign w:val="center"/>
          </w:tcPr>
          <w:p w14:paraId="6C8C0B3E">
            <w:pPr>
              <w:pStyle w:val="180"/>
              <w:rPr>
                <w:rFonts w:ascii="Times New Roman"/>
              </w:rPr>
            </w:pPr>
            <w:r>
              <w:rPr>
                <w:rFonts w:ascii="Times New Roman"/>
              </w:rPr>
              <w:t>序号</w:t>
            </w:r>
          </w:p>
        </w:tc>
        <w:tc>
          <w:tcPr>
            <w:tcW w:w="425" w:type="dxa"/>
            <w:tcBorders>
              <w:top w:val="single" w:color="auto" w:sz="8" w:space="0"/>
              <w:bottom w:val="single" w:color="auto" w:sz="8" w:space="0"/>
            </w:tcBorders>
            <w:shd w:val="clear" w:color="auto" w:fill="auto"/>
            <w:vAlign w:val="center"/>
          </w:tcPr>
          <w:p w14:paraId="53984946">
            <w:pPr>
              <w:pStyle w:val="180"/>
              <w:rPr>
                <w:rFonts w:ascii="Times New Roman"/>
              </w:rPr>
            </w:pPr>
            <w:r>
              <w:rPr>
                <w:rFonts w:ascii="Times New Roman"/>
              </w:rPr>
              <w:t>类别</w:t>
            </w:r>
          </w:p>
        </w:tc>
        <w:tc>
          <w:tcPr>
            <w:tcW w:w="2268" w:type="dxa"/>
            <w:gridSpan w:val="2"/>
            <w:tcBorders>
              <w:top w:val="single" w:color="auto" w:sz="8" w:space="0"/>
              <w:bottom w:val="single" w:color="auto" w:sz="8" w:space="0"/>
            </w:tcBorders>
            <w:shd w:val="clear" w:color="auto" w:fill="auto"/>
            <w:vAlign w:val="center"/>
          </w:tcPr>
          <w:p w14:paraId="143FF719">
            <w:pPr>
              <w:pStyle w:val="180"/>
              <w:rPr>
                <w:rFonts w:ascii="Times New Roman"/>
              </w:rPr>
            </w:pPr>
            <w:r>
              <w:rPr>
                <w:rFonts w:ascii="Times New Roman"/>
              </w:rPr>
              <w:t>核算科目</w:t>
            </w:r>
          </w:p>
        </w:tc>
        <w:tc>
          <w:tcPr>
            <w:tcW w:w="6225" w:type="dxa"/>
            <w:tcBorders>
              <w:top w:val="single" w:color="auto" w:sz="8" w:space="0"/>
              <w:bottom w:val="single" w:color="auto" w:sz="8" w:space="0"/>
            </w:tcBorders>
            <w:shd w:val="clear" w:color="auto" w:fill="auto"/>
            <w:vAlign w:val="center"/>
          </w:tcPr>
          <w:p w14:paraId="74F72670">
            <w:pPr>
              <w:pStyle w:val="180"/>
              <w:rPr>
                <w:rFonts w:ascii="Times New Roman"/>
              </w:rPr>
            </w:pPr>
            <w:r>
              <w:rPr>
                <w:rFonts w:ascii="Times New Roman"/>
              </w:rPr>
              <w:t>具体内容</w:t>
            </w:r>
          </w:p>
        </w:tc>
      </w:tr>
      <w:tr w14:paraId="555B2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restart"/>
            <w:tcBorders>
              <w:top w:val="single" w:color="auto" w:sz="8" w:space="0"/>
            </w:tcBorders>
            <w:shd w:val="clear" w:color="auto" w:fill="auto"/>
            <w:vAlign w:val="center"/>
          </w:tcPr>
          <w:p w14:paraId="0519999E">
            <w:pPr>
              <w:pStyle w:val="180"/>
              <w:rPr>
                <w:rFonts w:ascii="Times New Roman"/>
              </w:rPr>
            </w:pPr>
            <w:r>
              <w:rPr>
                <w:rFonts w:ascii="Times New Roman"/>
              </w:rPr>
              <w:t>1</w:t>
            </w:r>
          </w:p>
        </w:tc>
        <w:tc>
          <w:tcPr>
            <w:tcW w:w="425" w:type="dxa"/>
            <w:vMerge w:val="restart"/>
            <w:tcBorders>
              <w:top w:val="single" w:color="auto" w:sz="8" w:space="0"/>
            </w:tcBorders>
            <w:shd w:val="clear" w:color="auto" w:fill="auto"/>
            <w:vAlign w:val="center"/>
          </w:tcPr>
          <w:p w14:paraId="4226F400">
            <w:pPr>
              <w:pStyle w:val="180"/>
              <w:rPr>
                <w:rFonts w:ascii="Times New Roman"/>
              </w:rPr>
            </w:pPr>
            <w:r>
              <w:rPr>
                <w:rFonts w:ascii="Times New Roman"/>
              </w:rPr>
              <w:t>物质供给</w:t>
            </w:r>
          </w:p>
        </w:tc>
        <w:tc>
          <w:tcPr>
            <w:tcW w:w="992" w:type="dxa"/>
            <w:vMerge w:val="restart"/>
            <w:tcBorders>
              <w:top w:val="single" w:color="auto" w:sz="8" w:space="0"/>
            </w:tcBorders>
            <w:shd w:val="clear" w:color="auto" w:fill="auto"/>
            <w:vAlign w:val="center"/>
          </w:tcPr>
          <w:p w14:paraId="6B6B8747">
            <w:pPr>
              <w:pStyle w:val="180"/>
              <w:rPr>
                <w:rFonts w:ascii="Times New Roman"/>
              </w:rPr>
            </w:pPr>
            <w:r>
              <w:rPr>
                <w:rFonts w:ascii="Times New Roman"/>
              </w:rPr>
              <w:t>农产品</w:t>
            </w:r>
          </w:p>
        </w:tc>
        <w:tc>
          <w:tcPr>
            <w:tcW w:w="1276" w:type="dxa"/>
            <w:tcBorders>
              <w:top w:val="single" w:color="auto" w:sz="8" w:space="0"/>
            </w:tcBorders>
            <w:shd w:val="clear" w:color="auto" w:fill="auto"/>
            <w:vAlign w:val="center"/>
          </w:tcPr>
          <w:p w14:paraId="1731A27C">
            <w:pPr>
              <w:pStyle w:val="180"/>
              <w:rPr>
                <w:rFonts w:ascii="Times New Roman"/>
              </w:rPr>
            </w:pPr>
            <w:r>
              <w:rPr>
                <w:rFonts w:ascii="Times New Roman"/>
              </w:rPr>
              <w:t>野生农产品</w:t>
            </w:r>
          </w:p>
        </w:tc>
        <w:tc>
          <w:tcPr>
            <w:tcW w:w="6225" w:type="dxa"/>
            <w:tcBorders>
              <w:top w:val="single" w:color="auto" w:sz="8" w:space="0"/>
            </w:tcBorders>
            <w:shd w:val="clear" w:color="auto" w:fill="auto"/>
            <w:vAlign w:val="center"/>
          </w:tcPr>
          <w:p w14:paraId="663333E7">
            <w:pPr>
              <w:pStyle w:val="180"/>
              <w:rPr>
                <w:rFonts w:ascii="Times New Roman"/>
              </w:rPr>
            </w:pPr>
            <w:r>
              <w:rPr>
                <w:rFonts w:ascii="Times New Roman"/>
              </w:rPr>
              <w:t>从自然生态系统中获得的野生初级农产品，如药材、茶叶、蔬菜、水果、食用菌等。</w:t>
            </w:r>
          </w:p>
        </w:tc>
      </w:tr>
      <w:tr w14:paraId="46708A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24418CB8">
            <w:pPr>
              <w:pStyle w:val="180"/>
              <w:rPr>
                <w:rFonts w:ascii="Times New Roman"/>
              </w:rPr>
            </w:pPr>
          </w:p>
        </w:tc>
        <w:tc>
          <w:tcPr>
            <w:tcW w:w="425" w:type="dxa"/>
            <w:vMerge w:val="continue"/>
            <w:shd w:val="clear" w:color="auto" w:fill="auto"/>
            <w:vAlign w:val="center"/>
          </w:tcPr>
          <w:p w14:paraId="01C04743">
            <w:pPr>
              <w:pStyle w:val="180"/>
              <w:rPr>
                <w:rFonts w:ascii="Times New Roman"/>
              </w:rPr>
            </w:pPr>
          </w:p>
        </w:tc>
        <w:tc>
          <w:tcPr>
            <w:tcW w:w="992" w:type="dxa"/>
            <w:vMerge w:val="continue"/>
            <w:shd w:val="clear" w:color="auto" w:fill="auto"/>
            <w:vAlign w:val="center"/>
          </w:tcPr>
          <w:p w14:paraId="487A95B4">
            <w:pPr>
              <w:pStyle w:val="180"/>
              <w:rPr>
                <w:rFonts w:ascii="Times New Roman"/>
              </w:rPr>
            </w:pPr>
          </w:p>
        </w:tc>
        <w:tc>
          <w:tcPr>
            <w:tcW w:w="1276" w:type="dxa"/>
            <w:shd w:val="clear" w:color="auto" w:fill="auto"/>
            <w:vAlign w:val="center"/>
          </w:tcPr>
          <w:p w14:paraId="21CDF55C">
            <w:pPr>
              <w:pStyle w:val="180"/>
              <w:rPr>
                <w:rFonts w:ascii="Times New Roman"/>
              </w:rPr>
            </w:pPr>
            <w:r>
              <w:rPr>
                <w:rFonts w:ascii="Times New Roman"/>
              </w:rPr>
              <w:t>集约化种植农产品</w:t>
            </w:r>
          </w:p>
        </w:tc>
        <w:tc>
          <w:tcPr>
            <w:tcW w:w="6225" w:type="dxa"/>
            <w:shd w:val="clear" w:color="auto" w:fill="auto"/>
            <w:vAlign w:val="center"/>
          </w:tcPr>
          <w:p w14:paraId="754A822A">
            <w:pPr>
              <w:pStyle w:val="180"/>
              <w:rPr>
                <w:rFonts w:ascii="Times New Roman"/>
              </w:rPr>
            </w:pPr>
            <w:r>
              <w:rPr>
                <w:rFonts w:ascii="Times New Roman"/>
              </w:rPr>
              <w:t>从集约化种植的生态系统中收获的初级农产品，如稻谷、小麦、玉米、薯类、豆类、油料作物、糖料作物、棉花、烟叶、茶叶、蔬菜、水果、食用菌等。</w:t>
            </w:r>
          </w:p>
        </w:tc>
      </w:tr>
      <w:tr w14:paraId="3DCA5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restart"/>
            <w:shd w:val="clear" w:color="auto" w:fill="auto"/>
            <w:vAlign w:val="center"/>
          </w:tcPr>
          <w:p w14:paraId="668BC84D">
            <w:pPr>
              <w:pStyle w:val="180"/>
              <w:rPr>
                <w:rFonts w:ascii="Times New Roman"/>
              </w:rPr>
            </w:pPr>
            <w:r>
              <w:rPr>
                <w:rFonts w:ascii="Times New Roman"/>
              </w:rPr>
              <w:t>2</w:t>
            </w:r>
          </w:p>
        </w:tc>
        <w:tc>
          <w:tcPr>
            <w:tcW w:w="425" w:type="dxa"/>
            <w:vMerge w:val="continue"/>
            <w:shd w:val="clear" w:color="auto" w:fill="auto"/>
            <w:vAlign w:val="center"/>
          </w:tcPr>
          <w:p w14:paraId="1B901C86">
            <w:pPr>
              <w:pStyle w:val="180"/>
              <w:rPr>
                <w:rFonts w:ascii="Times New Roman"/>
              </w:rPr>
            </w:pPr>
          </w:p>
        </w:tc>
        <w:tc>
          <w:tcPr>
            <w:tcW w:w="992" w:type="dxa"/>
            <w:vMerge w:val="restart"/>
            <w:shd w:val="clear" w:color="auto" w:fill="auto"/>
            <w:vAlign w:val="center"/>
          </w:tcPr>
          <w:p w14:paraId="02A2FF66">
            <w:pPr>
              <w:pStyle w:val="180"/>
              <w:rPr>
                <w:rFonts w:ascii="Times New Roman"/>
              </w:rPr>
            </w:pPr>
            <w:r>
              <w:rPr>
                <w:rFonts w:ascii="Times New Roman"/>
              </w:rPr>
              <w:t>林产品</w:t>
            </w:r>
          </w:p>
        </w:tc>
        <w:tc>
          <w:tcPr>
            <w:tcW w:w="1276" w:type="dxa"/>
            <w:shd w:val="clear" w:color="auto" w:fill="auto"/>
            <w:vAlign w:val="center"/>
          </w:tcPr>
          <w:p w14:paraId="422CA0CE">
            <w:pPr>
              <w:pStyle w:val="180"/>
              <w:rPr>
                <w:rFonts w:ascii="Times New Roman"/>
              </w:rPr>
            </w:pPr>
            <w:r>
              <w:rPr>
                <w:rFonts w:ascii="Times New Roman"/>
              </w:rPr>
              <w:t>野生林产品</w:t>
            </w:r>
          </w:p>
        </w:tc>
        <w:tc>
          <w:tcPr>
            <w:tcW w:w="6225" w:type="dxa"/>
            <w:shd w:val="clear" w:color="auto" w:fill="auto"/>
            <w:vAlign w:val="center"/>
          </w:tcPr>
          <w:p w14:paraId="4521D3E2">
            <w:pPr>
              <w:pStyle w:val="180"/>
              <w:rPr>
                <w:rFonts w:ascii="Times New Roman"/>
              </w:rPr>
            </w:pPr>
            <w:r>
              <w:rPr>
                <w:rFonts w:ascii="Times New Roman"/>
              </w:rPr>
              <w:t>从自然生态系统中获得的林木产品、林产品以及与森林资源相关的初级产品，如木材、竹材、森林水果、香料原料、中药材、林菌、林菜、藤材、蜂产品、松脂、生漆、木本粮油、苗木花卉、石斛、香榧等。</w:t>
            </w:r>
          </w:p>
        </w:tc>
      </w:tr>
      <w:tr w14:paraId="590B8A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164A6501">
            <w:pPr>
              <w:pStyle w:val="180"/>
              <w:rPr>
                <w:rFonts w:ascii="Times New Roman"/>
              </w:rPr>
            </w:pPr>
          </w:p>
        </w:tc>
        <w:tc>
          <w:tcPr>
            <w:tcW w:w="425" w:type="dxa"/>
            <w:vMerge w:val="continue"/>
            <w:shd w:val="clear" w:color="auto" w:fill="auto"/>
            <w:vAlign w:val="center"/>
          </w:tcPr>
          <w:p w14:paraId="3F118E70">
            <w:pPr>
              <w:pStyle w:val="180"/>
              <w:rPr>
                <w:rFonts w:ascii="Times New Roman"/>
              </w:rPr>
            </w:pPr>
          </w:p>
        </w:tc>
        <w:tc>
          <w:tcPr>
            <w:tcW w:w="992" w:type="dxa"/>
            <w:vMerge w:val="continue"/>
            <w:shd w:val="clear" w:color="auto" w:fill="auto"/>
            <w:vAlign w:val="center"/>
          </w:tcPr>
          <w:p w14:paraId="1F922592">
            <w:pPr>
              <w:pStyle w:val="180"/>
              <w:rPr>
                <w:rFonts w:ascii="Times New Roman"/>
              </w:rPr>
            </w:pPr>
          </w:p>
        </w:tc>
        <w:tc>
          <w:tcPr>
            <w:tcW w:w="1276" w:type="dxa"/>
            <w:shd w:val="clear" w:color="auto" w:fill="auto"/>
            <w:vAlign w:val="center"/>
          </w:tcPr>
          <w:p w14:paraId="44B8256F">
            <w:pPr>
              <w:pStyle w:val="180"/>
              <w:rPr>
                <w:rFonts w:ascii="Times New Roman"/>
              </w:rPr>
            </w:pPr>
            <w:r>
              <w:rPr>
                <w:rFonts w:ascii="Times New Roman"/>
              </w:rPr>
              <w:t>集约化种植林产品</w:t>
            </w:r>
          </w:p>
        </w:tc>
        <w:tc>
          <w:tcPr>
            <w:tcW w:w="6225" w:type="dxa"/>
            <w:shd w:val="clear" w:color="auto" w:fill="auto"/>
            <w:vAlign w:val="center"/>
          </w:tcPr>
          <w:p w14:paraId="6780F388">
            <w:pPr>
              <w:pStyle w:val="180"/>
              <w:rPr>
                <w:rFonts w:ascii="Times New Roman"/>
              </w:rPr>
            </w:pPr>
            <w:r>
              <w:rPr>
                <w:rFonts w:ascii="Times New Roman"/>
              </w:rPr>
              <w:t>从集约化管理的生态系统中获得的林木产品、林产品以及与森林资源相关的初级产品，如木材、竹材、森林水果、香料原料、中药材、林菌、林菜、蜂产品、松脂、生漆、木本粮油、苗木花卉、石斛、香榧等。</w:t>
            </w:r>
          </w:p>
        </w:tc>
      </w:tr>
      <w:tr w14:paraId="14D21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ADDED8F">
            <w:pPr>
              <w:pStyle w:val="180"/>
              <w:rPr>
                <w:rFonts w:ascii="Times New Roman"/>
              </w:rPr>
            </w:pPr>
            <w:r>
              <w:rPr>
                <w:rFonts w:ascii="Times New Roman"/>
              </w:rPr>
              <w:t>3</w:t>
            </w:r>
          </w:p>
        </w:tc>
        <w:tc>
          <w:tcPr>
            <w:tcW w:w="425" w:type="dxa"/>
            <w:vMerge w:val="continue"/>
            <w:shd w:val="clear" w:color="auto" w:fill="auto"/>
            <w:vAlign w:val="center"/>
          </w:tcPr>
          <w:p w14:paraId="1EEF4EA8">
            <w:pPr>
              <w:pStyle w:val="180"/>
              <w:rPr>
                <w:rFonts w:ascii="Times New Roman"/>
              </w:rPr>
            </w:pPr>
          </w:p>
        </w:tc>
        <w:tc>
          <w:tcPr>
            <w:tcW w:w="2268" w:type="dxa"/>
            <w:gridSpan w:val="2"/>
            <w:shd w:val="clear" w:color="auto" w:fill="auto"/>
            <w:vAlign w:val="center"/>
          </w:tcPr>
          <w:p w14:paraId="5DA9565A">
            <w:pPr>
              <w:pStyle w:val="180"/>
              <w:rPr>
                <w:rFonts w:ascii="Times New Roman"/>
              </w:rPr>
            </w:pPr>
            <w:r>
              <w:rPr>
                <w:rFonts w:ascii="Times New Roman"/>
              </w:rPr>
              <w:t>放养畜牧产品</w:t>
            </w:r>
          </w:p>
        </w:tc>
        <w:tc>
          <w:tcPr>
            <w:tcW w:w="6225" w:type="dxa"/>
            <w:shd w:val="clear" w:color="auto" w:fill="auto"/>
            <w:vAlign w:val="center"/>
          </w:tcPr>
          <w:p w14:paraId="446293EF">
            <w:pPr>
              <w:pStyle w:val="180"/>
              <w:rPr>
                <w:rFonts w:ascii="Times New Roman"/>
              </w:rPr>
            </w:pPr>
            <w:r>
              <w:rPr>
                <w:rFonts w:ascii="Times New Roman"/>
              </w:rPr>
              <w:t>利用放牧获得的畜牧产品，如牛、羊、奶类、野生禽蛋、蜂蜜等。</w:t>
            </w:r>
          </w:p>
        </w:tc>
      </w:tr>
      <w:tr w14:paraId="2D25A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416" w:type="dxa"/>
            <w:vMerge w:val="restart"/>
            <w:shd w:val="clear" w:color="auto" w:fill="auto"/>
            <w:vAlign w:val="center"/>
          </w:tcPr>
          <w:p w14:paraId="5BE80250">
            <w:pPr>
              <w:pStyle w:val="180"/>
              <w:rPr>
                <w:rFonts w:ascii="Times New Roman"/>
              </w:rPr>
            </w:pPr>
            <w:r>
              <w:rPr>
                <w:rFonts w:ascii="Times New Roman"/>
              </w:rPr>
              <w:t>4</w:t>
            </w:r>
          </w:p>
        </w:tc>
        <w:tc>
          <w:tcPr>
            <w:tcW w:w="425" w:type="dxa"/>
            <w:vMerge w:val="continue"/>
            <w:shd w:val="clear" w:color="auto" w:fill="auto"/>
            <w:vAlign w:val="center"/>
          </w:tcPr>
          <w:p w14:paraId="6EADA8A7">
            <w:pPr>
              <w:pStyle w:val="180"/>
              <w:rPr>
                <w:rFonts w:ascii="Times New Roman"/>
              </w:rPr>
            </w:pPr>
          </w:p>
        </w:tc>
        <w:tc>
          <w:tcPr>
            <w:tcW w:w="992" w:type="dxa"/>
            <w:vMerge w:val="restart"/>
            <w:shd w:val="clear" w:color="auto" w:fill="auto"/>
            <w:vAlign w:val="center"/>
          </w:tcPr>
          <w:p w14:paraId="172BF699">
            <w:pPr>
              <w:pStyle w:val="180"/>
              <w:rPr>
                <w:rFonts w:ascii="Times New Roman"/>
              </w:rPr>
            </w:pPr>
            <w:r>
              <w:rPr>
                <w:rFonts w:ascii="Times New Roman"/>
              </w:rPr>
              <w:t>渔产品</w:t>
            </w:r>
          </w:p>
        </w:tc>
        <w:tc>
          <w:tcPr>
            <w:tcW w:w="1276" w:type="dxa"/>
            <w:shd w:val="clear" w:color="auto" w:fill="auto"/>
            <w:vAlign w:val="center"/>
          </w:tcPr>
          <w:p w14:paraId="0C9FFCAA">
            <w:pPr>
              <w:pStyle w:val="180"/>
              <w:rPr>
                <w:rFonts w:ascii="Times New Roman"/>
              </w:rPr>
            </w:pPr>
            <w:r>
              <w:rPr>
                <w:rFonts w:ascii="Times New Roman"/>
              </w:rPr>
              <w:t>野生渔产品</w:t>
            </w:r>
          </w:p>
        </w:tc>
        <w:tc>
          <w:tcPr>
            <w:tcW w:w="6225" w:type="dxa"/>
            <w:shd w:val="clear" w:color="auto" w:fill="auto"/>
            <w:vAlign w:val="center"/>
          </w:tcPr>
          <w:p w14:paraId="70ACB842">
            <w:pPr>
              <w:pStyle w:val="180"/>
              <w:rPr>
                <w:rFonts w:ascii="Times New Roman"/>
              </w:rPr>
            </w:pPr>
            <w:r>
              <w:rPr>
                <w:rFonts w:ascii="Times New Roman"/>
              </w:rPr>
              <w:t>在陆域自然水体中通过捕捞获取的水产品，如鱼类、贝类、其他水生动物等。</w:t>
            </w:r>
          </w:p>
        </w:tc>
      </w:tr>
      <w:tr w14:paraId="17DF5E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1863E87B">
            <w:pPr>
              <w:pStyle w:val="180"/>
              <w:rPr>
                <w:rFonts w:ascii="Times New Roman"/>
              </w:rPr>
            </w:pPr>
          </w:p>
        </w:tc>
        <w:tc>
          <w:tcPr>
            <w:tcW w:w="425" w:type="dxa"/>
            <w:vMerge w:val="continue"/>
            <w:shd w:val="clear" w:color="auto" w:fill="auto"/>
            <w:vAlign w:val="center"/>
          </w:tcPr>
          <w:p w14:paraId="4BDA8702">
            <w:pPr>
              <w:pStyle w:val="180"/>
              <w:rPr>
                <w:rFonts w:ascii="Times New Roman"/>
              </w:rPr>
            </w:pPr>
          </w:p>
        </w:tc>
        <w:tc>
          <w:tcPr>
            <w:tcW w:w="992" w:type="dxa"/>
            <w:vMerge w:val="continue"/>
            <w:shd w:val="clear" w:color="auto" w:fill="auto"/>
            <w:vAlign w:val="center"/>
          </w:tcPr>
          <w:p w14:paraId="197A26C7">
            <w:pPr>
              <w:pStyle w:val="180"/>
              <w:rPr>
                <w:rFonts w:ascii="Times New Roman"/>
              </w:rPr>
            </w:pPr>
          </w:p>
        </w:tc>
        <w:tc>
          <w:tcPr>
            <w:tcW w:w="1276" w:type="dxa"/>
            <w:shd w:val="clear" w:color="auto" w:fill="auto"/>
            <w:vAlign w:val="center"/>
          </w:tcPr>
          <w:p w14:paraId="7E2E6BF8">
            <w:pPr>
              <w:pStyle w:val="180"/>
              <w:rPr>
                <w:rFonts w:ascii="Times New Roman"/>
              </w:rPr>
            </w:pPr>
            <w:r>
              <w:rPr>
                <w:rFonts w:ascii="Times New Roman"/>
              </w:rPr>
              <w:t>集约化养殖渔产品</w:t>
            </w:r>
          </w:p>
        </w:tc>
        <w:tc>
          <w:tcPr>
            <w:tcW w:w="6225" w:type="dxa"/>
            <w:shd w:val="clear" w:color="auto" w:fill="auto"/>
            <w:vAlign w:val="center"/>
          </w:tcPr>
          <w:p w14:paraId="55F0F477">
            <w:pPr>
              <w:pStyle w:val="180"/>
              <w:rPr>
                <w:rFonts w:ascii="Times New Roman"/>
              </w:rPr>
            </w:pPr>
            <w:r>
              <w:rPr>
                <w:rFonts w:ascii="Times New Roman"/>
              </w:rPr>
              <w:t>在人工管理的水生态系统中，养殖生产的水产品，如鱼类、贝类、其他水生动物等。</w:t>
            </w:r>
          </w:p>
        </w:tc>
      </w:tr>
      <w:tr w14:paraId="5A8AB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F31D7CF">
            <w:pPr>
              <w:pStyle w:val="180"/>
              <w:rPr>
                <w:rFonts w:ascii="Times New Roman"/>
              </w:rPr>
            </w:pPr>
            <w:r>
              <w:rPr>
                <w:rFonts w:ascii="Times New Roman"/>
              </w:rPr>
              <w:t>5</w:t>
            </w:r>
          </w:p>
        </w:tc>
        <w:tc>
          <w:tcPr>
            <w:tcW w:w="425" w:type="dxa"/>
            <w:vMerge w:val="continue"/>
            <w:shd w:val="clear" w:color="auto" w:fill="auto"/>
            <w:vAlign w:val="center"/>
          </w:tcPr>
          <w:p w14:paraId="66311B9B">
            <w:pPr>
              <w:pStyle w:val="180"/>
              <w:rPr>
                <w:rFonts w:ascii="Times New Roman"/>
              </w:rPr>
            </w:pPr>
          </w:p>
        </w:tc>
        <w:tc>
          <w:tcPr>
            <w:tcW w:w="2268" w:type="dxa"/>
            <w:gridSpan w:val="2"/>
            <w:shd w:val="clear" w:color="auto" w:fill="auto"/>
            <w:vAlign w:val="center"/>
          </w:tcPr>
          <w:p w14:paraId="04FCE972">
            <w:pPr>
              <w:pStyle w:val="180"/>
              <w:rPr>
                <w:rFonts w:ascii="Times New Roman"/>
              </w:rPr>
            </w:pPr>
            <w:r>
              <w:rPr>
                <w:rFonts w:ascii="Times New Roman"/>
              </w:rPr>
              <w:t>淡水资源产品</w:t>
            </w:r>
          </w:p>
        </w:tc>
        <w:tc>
          <w:tcPr>
            <w:tcW w:w="6225" w:type="dxa"/>
            <w:shd w:val="clear" w:color="auto" w:fill="auto"/>
            <w:vAlign w:val="center"/>
          </w:tcPr>
          <w:p w14:paraId="75946F9C">
            <w:pPr>
              <w:pStyle w:val="180"/>
              <w:rPr>
                <w:rFonts w:ascii="Times New Roman"/>
              </w:rPr>
            </w:pPr>
            <w:r>
              <w:rPr>
                <w:rFonts w:ascii="Times New Roman"/>
              </w:rPr>
              <w:t>生态系统对本地和下游提供的达到或优于GB 3838规定的Ⅲ类标准的淡水资源。</w:t>
            </w:r>
          </w:p>
        </w:tc>
      </w:tr>
      <w:tr w14:paraId="1D8D1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5EFAC74">
            <w:pPr>
              <w:pStyle w:val="180"/>
              <w:rPr>
                <w:rFonts w:ascii="Times New Roman"/>
              </w:rPr>
            </w:pPr>
            <w:r>
              <w:rPr>
                <w:rFonts w:ascii="Times New Roman"/>
              </w:rPr>
              <w:t>6</w:t>
            </w:r>
          </w:p>
        </w:tc>
        <w:tc>
          <w:tcPr>
            <w:tcW w:w="425" w:type="dxa"/>
            <w:vMerge w:val="continue"/>
            <w:shd w:val="clear" w:color="auto" w:fill="auto"/>
            <w:vAlign w:val="center"/>
          </w:tcPr>
          <w:p w14:paraId="26B79597">
            <w:pPr>
              <w:pStyle w:val="180"/>
              <w:rPr>
                <w:rFonts w:ascii="Times New Roman"/>
              </w:rPr>
            </w:pPr>
          </w:p>
        </w:tc>
        <w:tc>
          <w:tcPr>
            <w:tcW w:w="2268" w:type="dxa"/>
            <w:gridSpan w:val="2"/>
            <w:shd w:val="clear" w:color="auto" w:fill="auto"/>
            <w:vAlign w:val="center"/>
          </w:tcPr>
          <w:p w14:paraId="6BF28537">
            <w:pPr>
              <w:pStyle w:val="180"/>
              <w:rPr>
                <w:rFonts w:ascii="Times New Roman"/>
              </w:rPr>
            </w:pPr>
            <w:r>
              <w:rPr>
                <w:rFonts w:ascii="Times New Roman"/>
              </w:rPr>
              <w:t>生物质能产品</w:t>
            </w:r>
          </w:p>
        </w:tc>
        <w:tc>
          <w:tcPr>
            <w:tcW w:w="6225" w:type="dxa"/>
            <w:shd w:val="clear" w:color="auto" w:fill="auto"/>
            <w:vAlign w:val="center"/>
          </w:tcPr>
          <w:p w14:paraId="51ED7422">
            <w:pPr>
              <w:pStyle w:val="180"/>
              <w:rPr>
                <w:rFonts w:ascii="Times New Roman"/>
              </w:rPr>
            </w:pPr>
            <w:r>
              <w:rPr>
                <w:rFonts w:ascii="Times New Roman"/>
              </w:rPr>
              <w:t>来自生态系统的秸秆、薪柴等。</w:t>
            </w:r>
          </w:p>
        </w:tc>
      </w:tr>
      <w:tr w14:paraId="0850C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9DB18FD">
            <w:pPr>
              <w:pStyle w:val="180"/>
              <w:rPr>
                <w:rFonts w:ascii="Times New Roman"/>
              </w:rPr>
            </w:pPr>
          </w:p>
        </w:tc>
        <w:tc>
          <w:tcPr>
            <w:tcW w:w="425" w:type="dxa"/>
            <w:shd w:val="clear" w:color="auto" w:fill="auto"/>
            <w:vAlign w:val="center"/>
          </w:tcPr>
          <w:p w14:paraId="755A7A19">
            <w:pPr>
              <w:pStyle w:val="180"/>
              <w:rPr>
                <w:rFonts w:ascii="Times New Roman"/>
              </w:rPr>
            </w:pPr>
          </w:p>
        </w:tc>
        <w:tc>
          <w:tcPr>
            <w:tcW w:w="2268" w:type="dxa"/>
            <w:gridSpan w:val="2"/>
            <w:shd w:val="clear" w:color="auto" w:fill="auto"/>
            <w:vAlign w:val="center"/>
          </w:tcPr>
          <w:p w14:paraId="2B0B0945">
            <w:pPr>
              <w:pStyle w:val="180"/>
              <w:rPr>
                <w:rFonts w:ascii="Times New Roman"/>
              </w:rPr>
            </w:pPr>
            <w:r>
              <w:rPr>
                <w:rFonts w:ascii="Times New Roman"/>
              </w:rPr>
              <w:t>其他物质产品</w:t>
            </w:r>
          </w:p>
        </w:tc>
        <w:tc>
          <w:tcPr>
            <w:tcW w:w="6225" w:type="dxa"/>
            <w:shd w:val="clear" w:color="auto" w:fill="auto"/>
            <w:vAlign w:val="center"/>
          </w:tcPr>
          <w:p w14:paraId="616F5D07">
            <w:pPr>
              <w:pStyle w:val="180"/>
              <w:rPr>
                <w:rFonts w:ascii="Times New Roman"/>
              </w:rPr>
            </w:pPr>
            <w:r>
              <w:rPr>
                <w:rFonts w:ascii="Times New Roman"/>
              </w:rPr>
              <w:t>种子、水产苗种、牧草产品、草本花卉、水生蔬菜、淡水藻类、装饰产品、盆景、假山石等。</w:t>
            </w:r>
          </w:p>
        </w:tc>
      </w:tr>
      <w:tr w14:paraId="4220D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D2B1455">
            <w:pPr>
              <w:pStyle w:val="180"/>
              <w:rPr>
                <w:rFonts w:ascii="Times New Roman"/>
              </w:rPr>
            </w:pPr>
            <w:r>
              <w:rPr>
                <w:rFonts w:ascii="Times New Roman"/>
              </w:rPr>
              <w:t>7</w:t>
            </w:r>
          </w:p>
        </w:tc>
        <w:tc>
          <w:tcPr>
            <w:tcW w:w="425" w:type="dxa"/>
            <w:vMerge w:val="restart"/>
            <w:shd w:val="clear" w:color="auto" w:fill="auto"/>
            <w:vAlign w:val="center"/>
          </w:tcPr>
          <w:p w14:paraId="18B7C5D1">
            <w:pPr>
              <w:pStyle w:val="180"/>
              <w:rPr>
                <w:rFonts w:ascii="Times New Roman"/>
              </w:rPr>
            </w:pPr>
            <w:r>
              <w:rPr>
                <w:rFonts w:ascii="Times New Roman"/>
              </w:rPr>
              <w:t>调节服务</w:t>
            </w:r>
          </w:p>
        </w:tc>
        <w:tc>
          <w:tcPr>
            <w:tcW w:w="2268" w:type="dxa"/>
            <w:gridSpan w:val="2"/>
            <w:shd w:val="clear" w:color="auto" w:fill="auto"/>
            <w:vAlign w:val="center"/>
          </w:tcPr>
          <w:p w14:paraId="5D2C9A99">
            <w:pPr>
              <w:pStyle w:val="180"/>
              <w:rPr>
                <w:rFonts w:ascii="Times New Roman"/>
              </w:rPr>
            </w:pPr>
            <w:r>
              <w:rPr>
                <w:rFonts w:ascii="Times New Roman"/>
              </w:rPr>
              <w:t>水源涵养</w:t>
            </w:r>
          </w:p>
        </w:tc>
        <w:tc>
          <w:tcPr>
            <w:tcW w:w="6225" w:type="dxa"/>
            <w:shd w:val="clear" w:color="auto" w:fill="auto"/>
            <w:vAlign w:val="center"/>
          </w:tcPr>
          <w:p w14:paraId="1333B7DA">
            <w:pPr>
              <w:pStyle w:val="180"/>
              <w:rPr>
                <w:rFonts w:ascii="Times New Roman"/>
              </w:rPr>
            </w:pPr>
            <w:r>
              <w:rPr>
                <w:rFonts w:ascii="Times New Roman"/>
              </w:rPr>
              <w:t>生态系统通过其结构和过程拦截滞蓄降水，增强土壤下渗，涵养土壤水分和补充地下水、调节河川流量，增加可利用水资源量的功能。</w:t>
            </w:r>
          </w:p>
        </w:tc>
      </w:tr>
      <w:tr w14:paraId="2532D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restart"/>
            <w:shd w:val="clear" w:color="auto" w:fill="auto"/>
            <w:vAlign w:val="center"/>
          </w:tcPr>
          <w:p w14:paraId="01232EF9">
            <w:pPr>
              <w:pStyle w:val="180"/>
              <w:rPr>
                <w:rFonts w:ascii="Times New Roman"/>
              </w:rPr>
            </w:pPr>
            <w:r>
              <w:rPr>
                <w:rFonts w:ascii="Times New Roman"/>
              </w:rPr>
              <w:t>8</w:t>
            </w:r>
          </w:p>
        </w:tc>
        <w:tc>
          <w:tcPr>
            <w:tcW w:w="425" w:type="dxa"/>
            <w:vMerge w:val="continue"/>
            <w:shd w:val="clear" w:color="auto" w:fill="auto"/>
            <w:vAlign w:val="center"/>
          </w:tcPr>
          <w:p w14:paraId="3DCDA674">
            <w:pPr>
              <w:pStyle w:val="180"/>
              <w:rPr>
                <w:rFonts w:ascii="Times New Roman"/>
              </w:rPr>
            </w:pPr>
          </w:p>
        </w:tc>
        <w:tc>
          <w:tcPr>
            <w:tcW w:w="992" w:type="dxa"/>
            <w:vMerge w:val="restart"/>
            <w:shd w:val="clear" w:color="auto" w:fill="auto"/>
            <w:vAlign w:val="center"/>
          </w:tcPr>
          <w:p w14:paraId="15777920">
            <w:pPr>
              <w:pStyle w:val="180"/>
              <w:rPr>
                <w:rFonts w:ascii="Times New Roman"/>
              </w:rPr>
            </w:pPr>
            <w:r>
              <w:rPr>
                <w:rFonts w:ascii="Times New Roman"/>
              </w:rPr>
              <w:t>土壤保持</w:t>
            </w:r>
          </w:p>
        </w:tc>
        <w:tc>
          <w:tcPr>
            <w:tcW w:w="1276" w:type="dxa"/>
            <w:shd w:val="clear" w:color="auto" w:fill="auto"/>
            <w:vAlign w:val="center"/>
          </w:tcPr>
          <w:p w14:paraId="236E7C6B">
            <w:pPr>
              <w:pStyle w:val="180"/>
              <w:rPr>
                <w:rFonts w:ascii="Times New Roman"/>
              </w:rPr>
            </w:pPr>
            <w:r>
              <w:rPr>
                <w:rFonts w:ascii="Times New Roman"/>
              </w:rPr>
              <w:t>减少泥沙淤积</w:t>
            </w:r>
          </w:p>
        </w:tc>
        <w:tc>
          <w:tcPr>
            <w:tcW w:w="6225" w:type="dxa"/>
            <w:shd w:val="clear" w:color="auto" w:fill="auto"/>
            <w:vAlign w:val="center"/>
          </w:tcPr>
          <w:p w14:paraId="60A7ECC3">
            <w:pPr>
              <w:pStyle w:val="180"/>
              <w:rPr>
                <w:rFonts w:ascii="Times New Roman"/>
              </w:rPr>
            </w:pPr>
            <w:r>
              <w:rPr>
                <w:rFonts w:ascii="Times New Roman"/>
              </w:rPr>
              <w:t>生态系统通过其结构与过程保护土壤、降低雨水的侵蚀能力，减少土壤流失，减少泥沙淤塞水利设施和河道的功能。</w:t>
            </w:r>
          </w:p>
        </w:tc>
      </w:tr>
      <w:tr w14:paraId="7BC95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vMerge w:val="continue"/>
            <w:shd w:val="clear" w:color="auto" w:fill="auto"/>
            <w:vAlign w:val="center"/>
          </w:tcPr>
          <w:p w14:paraId="298E969E">
            <w:pPr>
              <w:pStyle w:val="180"/>
              <w:rPr>
                <w:rFonts w:ascii="Times New Roman"/>
              </w:rPr>
            </w:pPr>
          </w:p>
        </w:tc>
        <w:tc>
          <w:tcPr>
            <w:tcW w:w="425" w:type="dxa"/>
            <w:vMerge w:val="continue"/>
            <w:shd w:val="clear" w:color="auto" w:fill="auto"/>
            <w:vAlign w:val="center"/>
          </w:tcPr>
          <w:p w14:paraId="5E34EFE2">
            <w:pPr>
              <w:pStyle w:val="180"/>
              <w:rPr>
                <w:rFonts w:ascii="Times New Roman"/>
              </w:rPr>
            </w:pPr>
          </w:p>
        </w:tc>
        <w:tc>
          <w:tcPr>
            <w:tcW w:w="992" w:type="dxa"/>
            <w:vMerge w:val="continue"/>
            <w:shd w:val="clear" w:color="auto" w:fill="auto"/>
            <w:vAlign w:val="center"/>
          </w:tcPr>
          <w:p w14:paraId="2FE38BB1">
            <w:pPr>
              <w:pStyle w:val="180"/>
              <w:rPr>
                <w:rFonts w:ascii="Times New Roman"/>
              </w:rPr>
            </w:pPr>
          </w:p>
        </w:tc>
        <w:tc>
          <w:tcPr>
            <w:tcW w:w="1276" w:type="dxa"/>
            <w:shd w:val="clear" w:color="auto" w:fill="auto"/>
            <w:vAlign w:val="center"/>
          </w:tcPr>
          <w:p w14:paraId="4772CFEE">
            <w:pPr>
              <w:pStyle w:val="180"/>
              <w:rPr>
                <w:rFonts w:ascii="Times New Roman"/>
              </w:rPr>
            </w:pPr>
            <w:r>
              <w:rPr>
                <w:rFonts w:ascii="Times New Roman"/>
              </w:rPr>
              <w:t>削减面源污染</w:t>
            </w:r>
          </w:p>
        </w:tc>
        <w:tc>
          <w:tcPr>
            <w:tcW w:w="6225" w:type="dxa"/>
            <w:shd w:val="clear" w:color="auto" w:fill="auto"/>
            <w:vAlign w:val="center"/>
          </w:tcPr>
          <w:p w14:paraId="1A9FB401">
            <w:pPr>
              <w:pStyle w:val="180"/>
              <w:rPr>
                <w:rFonts w:ascii="Times New Roman"/>
              </w:rPr>
            </w:pPr>
            <w:r>
              <w:rPr>
                <w:rFonts w:ascii="Times New Roman"/>
              </w:rPr>
              <w:t>生态系统通过保持土壤，减少氮、磷等土壤物质进入下游水体（包括河流、湖泊、水库等），减少下游水体的面源污染的功能。</w:t>
            </w:r>
          </w:p>
        </w:tc>
      </w:tr>
      <w:tr w14:paraId="6B5D3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6E81E23">
            <w:pPr>
              <w:pStyle w:val="180"/>
              <w:rPr>
                <w:rFonts w:ascii="Times New Roman"/>
              </w:rPr>
            </w:pPr>
            <w:r>
              <w:rPr>
                <w:rFonts w:ascii="Times New Roman"/>
              </w:rPr>
              <w:t>9</w:t>
            </w:r>
          </w:p>
        </w:tc>
        <w:tc>
          <w:tcPr>
            <w:tcW w:w="425" w:type="dxa"/>
            <w:vMerge w:val="continue"/>
            <w:shd w:val="clear" w:color="auto" w:fill="auto"/>
            <w:vAlign w:val="center"/>
          </w:tcPr>
          <w:p w14:paraId="41D92F42">
            <w:pPr>
              <w:pStyle w:val="180"/>
              <w:rPr>
                <w:rFonts w:ascii="Times New Roman"/>
              </w:rPr>
            </w:pPr>
          </w:p>
        </w:tc>
        <w:tc>
          <w:tcPr>
            <w:tcW w:w="2268" w:type="dxa"/>
            <w:gridSpan w:val="2"/>
            <w:shd w:val="clear" w:color="auto" w:fill="auto"/>
            <w:vAlign w:val="center"/>
          </w:tcPr>
          <w:p w14:paraId="43F6CB45">
            <w:pPr>
              <w:pStyle w:val="180"/>
              <w:rPr>
                <w:rFonts w:ascii="Times New Roman"/>
              </w:rPr>
            </w:pPr>
            <w:r>
              <w:rPr>
                <w:rFonts w:ascii="Times New Roman"/>
              </w:rPr>
              <w:t>洪水调蓄</w:t>
            </w:r>
          </w:p>
        </w:tc>
        <w:tc>
          <w:tcPr>
            <w:tcW w:w="6225" w:type="dxa"/>
            <w:shd w:val="clear" w:color="auto" w:fill="auto"/>
            <w:vAlign w:val="center"/>
          </w:tcPr>
          <w:p w14:paraId="6DE0FD2A">
            <w:pPr>
              <w:pStyle w:val="180"/>
              <w:rPr>
                <w:rFonts w:ascii="Times New Roman"/>
              </w:rPr>
            </w:pPr>
            <w:r>
              <w:rPr>
                <w:rFonts w:ascii="Times New Roman"/>
              </w:rPr>
              <w:t>生态系统通过调节暴雨径流、削减洪峰，减轻洪水危害的功能。</w:t>
            </w:r>
          </w:p>
        </w:tc>
      </w:tr>
      <w:tr w14:paraId="3ECB6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15668C0">
            <w:pPr>
              <w:pStyle w:val="180"/>
              <w:rPr>
                <w:rFonts w:ascii="Times New Roman"/>
              </w:rPr>
            </w:pPr>
            <w:r>
              <w:rPr>
                <w:rFonts w:ascii="Times New Roman"/>
              </w:rPr>
              <w:t>10</w:t>
            </w:r>
          </w:p>
        </w:tc>
        <w:tc>
          <w:tcPr>
            <w:tcW w:w="425" w:type="dxa"/>
            <w:vMerge w:val="continue"/>
            <w:shd w:val="clear" w:color="auto" w:fill="auto"/>
            <w:vAlign w:val="center"/>
          </w:tcPr>
          <w:p w14:paraId="1AFD7EF8">
            <w:pPr>
              <w:pStyle w:val="180"/>
              <w:rPr>
                <w:rFonts w:ascii="Times New Roman"/>
              </w:rPr>
            </w:pPr>
          </w:p>
        </w:tc>
        <w:tc>
          <w:tcPr>
            <w:tcW w:w="2268" w:type="dxa"/>
            <w:gridSpan w:val="2"/>
            <w:shd w:val="clear" w:color="auto" w:fill="auto"/>
            <w:vAlign w:val="center"/>
          </w:tcPr>
          <w:p w14:paraId="09FCB542">
            <w:pPr>
              <w:pStyle w:val="180"/>
              <w:rPr>
                <w:rFonts w:ascii="Times New Roman"/>
              </w:rPr>
            </w:pPr>
            <w:r>
              <w:rPr>
                <w:rFonts w:ascii="Times New Roman"/>
              </w:rPr>
              <w:t>固碳</w:t>
            </w:r>
          </w:p>
        </w:tc>
        <w:tc>
          <w:tcPr>
            <w:tcW w:w="6225" w:type="dxa"/>
            <w:shd w:val="clear" w:color="auto" w:fill="auto"/>
            <w:vAlign w:val="center"/>
          </w:tcPr>
          <w:p w14:paraId="3EC24B31">
            <w:pPr>
              <w:pStyle w:val="180"/>
              <w:rPr>
                <w:rFonts w:ascii="Times New Roman"/>
              </w:rPr>
            </w:pPr>
            <w:r>
              <w:rPr>
                <w:rFonts w:ascii="Times New Roman"/>
              </w:rPr>
              <w:t>生态系统通过有机体吸收二氧化碳合成有机物质，将大气中的碳固定在植物和土壤中，以降低其在大气中二氧化碳浓度的功能。</w:t>
            </w:r>
          </w:p>
        </w:tc>
      </w:tr>
      <w:tr w14:paraId="7F9CCF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B966D4F">
            <w:pPr>
              <w:pStyle w:val="180"/>
              <w:rPr>
                <w:rFonts w:ascii="Times New Roman"/>
              </w:rPr>
            </w:pPr>
            <w:r>
              <w:rPr>
                <w:rFonts w:ascii="Times New Roman"/>
              </w:rPr>
              <w:t>11</w:t>
            </w:r>
          </w:p>
        </w:tc>
        <w:tc>
          <w:tcPr>
            <w:tcW w:w="425" w:type="dxa"/>
            <w:vMerge w:val="continue"/>
            <w:shd w:val="clear" w:color="auto" w:fill="auto"/>
            <w:vAlign w:val="center"/>
          </w:tcPr>
          <w:p w14:paraId="74EC21F9">
            <w:pPr>
              <w:pStyle w:val="180"/>
              <w:rPr>
                <w:rFonts w:ascii="Times New Roman"/>
              </w:rPr>
            </w:pPr>
          </w:p>
        </w:tc>
        <w:tc>
          <w:tcPr>
            <w:tcW w:w="2268" w:type="dxa"/>
            <w:gridSpan w:val="2"/>
            <w:shd w:val="clear" w:color="auto" w:fill="auto"/>
            <w:vAlign w:val="center"/>
          </w:tcPr>
          <w:p w14:paraId="21E04917">
            <w:pPr>
              <w:pStyle w:val="180"/>
              <w:rPr>
                <w:rFonts w:ascii="Times New Roman"/>
              </w:rPr>
            </w:pPr>
            <w:r>
              <w:rPr>
                <w:rFonts w:ascii="Times New Roman"/>
              </w:rPr>
              <w:t>释氧</w:t>
            </w:r>
          </w:p>
        </w:tc>
        <w:tc>
          <w:tcPr>
            <w:tcW w:w="6225" w:type="dxa"/>
            <w:shd w:val="clear" w:color="auto" w:fill="auto"/>
            <w:vAlign w:val="center"/>
          </w:tcPr>
          <w:p w14:paraId="3460C61B">
            <w:pPr>
              <w:pStyle w:val="180"/>
              <w:rPr>
                <w:rFonts w:ascii="Times New Roman"/>
              </w:rPr>
            </w:pPr>
            <w:r>
              <w:rPr>
                <w:rFonts w:ascii="Times New Roman"/>
              </w:rPr>
              <w:t>生态系统通过有机体吸收二氧化碳释放氧气，提高大气中氧气含量的功能。</w:t>
            </w:r>
          </w:p>
        </w:tc>
      </w:tr>
      <w:tr w14:paraId="55874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DE37F50">
            <w:pPr>
              <w:pStyle w:val="180"/>
              <w:rPr>
                <w:rFonts w:ascii="Times New Roman"/>
              </w:rPr>
            </w:pPr>
            <w:r>
              <w:rPr>
                <w:rFonts w:ascii="Times New Roman"/>
              </w:rPr>
              <w:t>12</w:t>
            </w:r>
          </w:p>
        </w:tc>
        <w:tc>
          <w:tcPr>
            <w:tcW w:w="425" w:type="dxa"/>
            <w:vMerge w:val="continue"/>
            <w:shd w:val="clear" w:color="auto" w:fill="auto"/>
            <w:vAlign w:val="center"/>
          </w:tcPr>
          <w:p w14:paraId="5B9803A4">
            <w:pPr>
              <w:pStyle w:val="180"/>
              <w:rPr>
                <w:rFonts w:ascii="Times New Roman"/>
              </w:rPr>
            </w:pPr>
          </w:p>
        </w:tc>
        <w:tc>
          <w:tcPr>
            <w:tcW w:w="2268" w:type="dxa"/>
            <w:gridSpan w:val="2"/>
            <w:shd w:val="clear" w:color="auto" w:fill="auto"/>
            <w:vAlign w:val="center"/>
          </w:tcPr>
          <w:p w14:paraId="71D093C6">
            <w:pPr>
              <w:pStyle w:val="180"/>
              <w:rPr>
                <w:rFonts w:ascii="Times New Roman"/>
              </w:rPr>
            </w:pPr>
            <w:r>
              <w:rPr>
                <w:rFonts w:ascii="Times New Roman"/>
              </w:rPr>
              <w:t>空气净化</w:t>
            </w:r>
          </w:p>
        </w:tc>
        <w:tc>
          <w:tcPr>
            <w:tcW w:w="6225" w:type="dxa"/>
            <w:shd w:val="clear" w:color="auto" w:fill="auto"/>
            <w:vAlign w:val="center"/>
          </w:tcPr>
          <w:p w14:paraId="69C21407">
            <w:pPr>
              <w:pStyle w:val="180"/>
              <w:rPr>
                <w:rFonts w:ascii="Times New Roman"/>
              </w:rPr>
            </w:pPr>
            <w:r>
              <w:rPr>
                <w:rFonts w:ascii="Times New Roman"/>
              </w:rPr>
              <w:t>生态系统吸收、阻滤大气中的污染物，如 SO</w:t>
            </w:r>
            <w:r>
              <w:rPr>
                <w:rFonts w:ascii="Times New Roman"/>
                <w:vertAlign w:val="subscript"/>
              </w:rPr>
              <w:t>2</w:t>
            </w:r>
            <w:r>
              <w:rPr>
                <w:rFonts w:ascii="Times New Roman"/>
              </w:rPr>
              <w:t>、NO</w:t>
            </w:r>
            <w:r>
              <w:rPr>
                <w:rFonts w:ascii="Times New Roman"/>
                <w:vertAlign w:val="subscript"/>
              </w:rPr>
              <w:t>x</w:t>
            </w:r>
            <w:r>
              <w:rPr>
                <w:rFonts w:ascii="Times New Roman"/>
              </w:rPr>
              <w:t>、烟粉尘等，降低空气污染浓度，改善空气环境的功能。</w:t>
            </w:r>
          </w:p>
        </w:tc>
      </w:tr>
      <w:tr w14:paraId="455BCB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3038321">
            <w:pPr>
              <w:pStyle w:val="180"/>
              <w:rPr>
                <w:rFonts w:ascii="Times New Roman"/>
              </w:rPr>
            </w:pPr>
            <w:r>
              <w:rPr>
                <w:rFonts w:ascii="Times New Roman"/>
              </w:rPr>
              <w:t>13</w:t>
            </w:r>
          </w:p>
        </w:tc>
        <w:tc>
          <w:tcPr>
            <w:tcW w:w="425" w:type="dxa"/>
            <w:vMerge w:val="continue"/>
            <w:shd w:val="clear" w:color="auto" w:fill="auto"/>
            <w:vAlign w:val="center"/>
          </w:tcPr>
          <w:p w14:paraId="78CA5796">
            <w:pPr>
              <w:pStyle w:val="180"/>
              <w:rPr>
                <w:rFonts w:ascii="Times New Roman"/>
              </w:rPr>
            </w:pPr>
          </w:p>
        </w:tc>
        <w:tc>
          <w:tcPr>
            <w:tcW w:w="2268" w:type="dxa"/>
            <w:gridSpan w:val="2"/>
            <w:shd w:val="clear" w:color="auto" w:fill="auto"/>
            <w:vAlign w:val="center"/>
          </w:tcPr>
          <w:p w14:paraId="058F0417">
            <w:pPr>
              <w:pStyle w:val="180"/>
              <w:rPr>
                <w:rFonts w:ascii="Times New Roman"/>
              </w:rPr>
            </w:pPr>
            <w:r>
              <w:rPr>
                <w:rFonts w:ascii="Times New Roman"/>
              </w:rPr>
              <w:t>水质净化</w:t>
            </w:r>
          </w:p>
        </w:tc>
        <w:tc>
          <w:tcPr>
            <w:tcW w:w="6225" w:type="dxa"/>
            <w:shd w:val="clear" w:color="auto" w:fill="auto"/>
            <w:vAlign w:val="center"/>
          </w:tcPr>
          <w:p w14:paraId="5A9C9DBA">
            <w:pPr>
              <w:pStyle w:val="180"/>
              <w:rPr>
                <w:rFonts w:ascii="Times New Roman"/>
              </w:rPr>
            </w:pPr>
            <w:r>
              <w:rPr>
                <w:rFonts w:ascii="Times New Roman"/>
              </w:rPr>
              <w:t>生态系统通过物理和生化过程对水体污染物吸附、降解以及生物吸收等方式，降低化学需氧量、总磷、总氮等水体污染物浓度，净化水环境的功能。</w:t>
            </w:r>
          </w:p>
        </w:tc>
      </w:tr>
    </w:tbl>
    <w:p w14:paraId="6D94186D">
      <w:pPr>
        <w:pStyle w:val="58"/>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表A.1  生态产品目录清单</w:t>
      </w:r>
      <w:r>
        <w:rPr>
          <w:rFonts w:hint="eastAsia" w:hAnsi="宋体"/>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425"/>
        <w:gridCol w:w="992"/>
        <w:gridCol w:w="992"/>
        <w:gridCol w:w="6509"/>
      </w:tblGrid>
      <w:tr w14:paraId="453EE8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579EF4D">
            <w:pPr>
              <w:pStyle w:val="180"/>
              <w:rPr>
                <w:rFonts w:ascii="Times New Roman"/>
              </w:rPr>
            </w:pPr>
            <w:r>
              <w:rPr>
                <w:rFonts w:ascii="Times New Roman"/>
              </w:rPr>
              <w:t>14</w:t>
            </w:r>
          </w:p>
        </w:tc>
        <w:tc>
          <w:tcPr>
            <w:tcW w:w="425" w:type="dxa"/>
            <w:vMerge w:val="restart"/>
            <w:shd w:val="clear" w:color="auto" w:fill="auto"/>
            <w:vAlign w:val="center"/>
          </w:tcPr>
          <w:p w14:paraId="11DE57C9">
            <w:pPr>
              <w:pStyle w:val="180"/>
              <w:rPr>
                <w:rFonts w:ascii="Times New Roman"/>
              </w:rPr>
            </w:pPr>
            <w:r>
              <w:rPr>
                <w:rFonts w:ascii="Times New Roman"/>
              </w:rPr>
              <w:t>调节服务</w:t>
            </w:r>
          </w:p>
        </w:tc>
        <w:tc>
          <w:tcPr>
            <w:tcW w:w="992" w:type="dxa"/>
            <w:vMerge w:val="restart"/>
            <w:shd w:val="clear" w:color="auto" w:fill="auto"/>
            <w:vAlign w:val="center"/>
          </w:tcPr>
          <w:p w14:paraId="19DA6255">
            <w:pPr>
              <w:pStyle w:val="180"/>
              <w:rPr>
                <w:rFonts w:ascii="Times New Roman"/>
              </w:rPr>
            </w:pPr>
            <w:r>
              <w:rPr>
                <w:rFonts w:ascii="Times New Roman"/>
              </w:rPr>
              <w:t>局部气候调节</w:t>
            </w:r>
          </w:p>
        </w:tc>
        <w:tc>
          <w:tcPr>
            <w:tcW w:w="992" w:type="dxa"/>
            <w:shd w:val="clear" w:color="auto" w:fill="auto"/>
            <w:vAlign w:val="center"/>
          </w:tcPr>
          <w:p w14:paraId="69FB2613">
            <w:pPr>
              <w:pStyle w:val="180"/>
              <w:rPr>
                <w:rFonts w:ascii="Times New Roman"/>
              </w:rPr>
            </w:pPr>
            <w:r>
              <w:rPr>
                <w:rFonts w:ascii="Times New Roman"/>
              </w:rPr>
              <w:t>温度调节</w:t>
            </w:r>
          </w:p>
        </w:tc>
        <w:tc>
          <w:tcPr>
            <w:tcW w:w="6509" w:type="dxa"/>
            <w:shd w:val="clear" w:color="auto" w:fill="auto"/>
            <w:vAlign w:val="center"/>
          </w:tcPr>
          <w:p w14:paraId="62F0A6E1">
            <w:pPr>
              <w:pStyle w:val="180"/>
              <w:rPr>
                <w:rFonts w:ascii="Times New Roman"/>
              </w:rPr>
            </w:pPr>
            <w:r>
              <w:rPr>
                <w:rFonts w:ascii="Times New Roman"/>
              </w:rPr>
              <w:t>生态系统通过植被蒸腾作用和水体蒸发过程吸收能量，调节环境温度的功能。</w:t>
            </w:r>
          </w:p>
        </w:tc>
      </w:tr>
      <w:tr w14:paraId="3A9030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9787267">
            <w:pPr>
              <w:pStyle w:val="180"/>
              <w:rPr>
                <w:rFonts w:ascii="Times New Roman"/>
              </w:rPr>
            </w:pPr>
            <w:r>
              <w:rPr>
                <w:rFonts w:ascii="Times New Roman"/>
              </w:rPr>
              <w:t>15</w:t>
            </w:r>
          </w:p>
        </w:tc>
        <w:tc>
          <w:tcPr>
            <w:tcW w:w="425" w:type="dxa"/>
            <w:vMerge w:val="continue"/>
            <w:shd w:val="clear" w:color="auto" w:fill="auto"/>
            <w:vAlign w:val="center"/>
          </w:tcPr>
          <w:p w14:paraId="3CC9A685">
            <w:pPr>
              <w:pStyle w:val="180"/>
              <w:rPr>
                <w:rFonts w:ascii="Times New Roman"/>
              </w:rPr>
            </w:pPr>
          </w:p>
        </w:tc>
        <w:tc>
          <w:tcPr>
            <w:tcW w:w="992" w:type="dxa"/>
            <w:vMerge w:val="continue"/>
            <w:shd w:val="clear" w:color="auto" w:fill="auto"/>
            <w:vAlign w:val="center"/>
          </w:tcPr>
          <w:p w14:paraId="1F0612A3">
            <w:pPr>
              <w:pStyle w:val="180"/>
              <w:rPr>
                <w:rFonts w:ascii="Times New Roman"/>
              </w:rPr>
            </w:pPr>
          </w:p>
        </w:tc>
        <w:tc>
          <w:tcPr>
            <w:tcW w:w="992" w:type="dxa"/>
            <w:shd w:val="clear" w:color="auto" w:fill="auto"/>
            <w:vAlign w:val="center"/>
          </w:tcPr>
          <w:p w14:paraId="4705B448">
            <w:pPr>
              <w:pStyle w:val="180"/>
              <w:rPr>
                <w:rFonts w:ascii="Times New Roman"/>
              </w:rPr>
            </w:pPr>
            <w:r>
              <w:rPr>
                <w:rFonts w:ascii="Times New Roman"/>
              </w:rPr>
              <w:t>湿度调节</w:t>
            </w:r>
          </w:p>
        </w:tc>
        <w:tc>
          <w:tcPr>
            <w:tcW w:w="6509" w:type="dxa"/>
            <w:shd w:val="clear" w:color="auto" w:fill="auto"/>
            <w:vAlign w:val="center"/>
          </w:tcPr>
          <w:p w14:paraId="40E2096B">
            <w:pPr>
              <w:pStyle w:val="180"/>
              <w:rPr>
                <w:rFonts w:ascii="Times New Roman"/>
              </w:rPr>
            </w:pPr>
            <w:r>
              <w:rPr>
                <w:rFonts w:ascii="Times New Roman"/>
              </w:rPr>
              <w:t>生态系统通过植被蒸腾作用和水体蒸发，调节环境湿度的功能。</w:t>
            </w:r>
          </w:p>
        </w:tc>
      </w:tr>
      <w:tr w14:paraId="26700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8AEF303">
            <w:pPr>
              <w:pStyle w:val="180"/>
              <w:rPr>
                <w:rFonts w:ascii="Times New Roman"/>
              </w:rPr>
            </w:pPr>
            <w:r>
              <w:rPr>
                <w:rFonts w:ascii="Times New Roman"/>
                <w:kern w:val="2"/>
                <w:sz w:val="21"/>
                <w:szCs w:val="21"/>
              </w:rPr>
              <w:br w:type="page"/>
            </w:r>
            <w:r>
              <w:rPr>
                <w:rFonts w:ascii="Times New Roman"/>
              </w:rPr>
              <w:t>16</w:t>
            </w:r>
          </w:p>
        </w:tc>
        <w:tc>
          <w:tcPr>
            <w:tcW w:w="425" w:type="dxa"/>
            <w:vMerge w:val="continue"/>
            <w:shd w:val="clear" w:color="auto" w:fill="auto"/>
            <w:vAlign w:val="center"/>
          </w:tcPr>
          <w:p w14:paraId="7AAD8F6E">
            <w:pPr>
              <w:pStyle w:val="180"/>
              <w:rPr>
                <w:rFonts w:ascii="Times New Roman"/>
              </w:rPr>
            </w:pPr>
          </w:p>
        </w:tc>
        <w:tc>
          <w:tcPr>
            <w:tcW w:w="1984" w:type="dxa"/>
            <w:gridSpan w:val="2"/>
            <w:shd w:val="clear" w:color="auto" w:fill="auto"/>
            <w:vAlign w:val="center"/>
          </w:tcPr>
          <w:p w14:paraId="6F646AE4">
            <w:pPr>
              <w:pStyle w:val="180"/>
              <w:rPr>
                <w:rFonts w:ascii="Times New Roman"/>
              </w:rPr>
            </w:pPr>
            <w:r>
              <w:rPr>
                <w:rFonts w:ascii="Times New Roman"/>
              </w:rPr>
              <w:t>噪声消减</w:t>
            </w:r>
            <w:r>
              <w:rPr>
                <w:rFonts w:ascii="Times New Roman"/>
                <w:vertAlign w:val="superscript"/>
              </w:rPr>
              <w:t>d</w:t>
            </w:r>
          </w:p>
        </w:tc>
        <w:tc>
          <w:tcPr>
            <w:tcW w:w="6509" w:type="dxa"/>
            <w:shd w:val="clear" w:color="auto" w:fill="auto"/>
            <w:vAlign w:val="center"/>
          </w:tcPr>
          <w:p w14:paraId="7A659773">
            <w:pPr>
              <w:pStyle w:val="180"/>
              <w:rPr>
                <w:rFonts w:ascii="Times New Roman"/>
              </w:rPr>
            </w:pPr>
            <w:r>
              <w:rPr>
                <w:rFonts w:ascii="Times New Roman"/>
              </w:rPr>
              <w:t>生态系统通过植物反射和吸收声波能量，起到的消减交通噪声的功能。</w:t>
            </w:r>
          </w:p>
        </w:tc>
      </w:tr>
      <w:tr w14:paraId="592E5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22C0F97">
            <w:pPr>
              <w:pStyle w:val="180"/>
              <w:rPr>
                <w:rFonts w:ascii="Times New Roman"/>
                <w:kern w:val="2"/>
                <w:sz w:val="21"/>
                <w:szCs w:val="21"/>
              </w:rPr>
            </w:pPr>
            <w:r>
              <w:rPr>
                <w:rFonts w:ascii="Times New Roman"/>
                <w:kern w:val="2"/>
                <w:sz w:val="21"/>
                <w:szCs w:val="21"/>
              </w:rPr>
              <w:t>17</w:t>
            </w:r>
          </w:p>
        </w:tc>
        <w:tc>
          <w:tcPr>
            <w:tcW w:w="425" w:type="dxa"/>
            <w:vMerge w:val="restart"/>
            <w:shd w:val="clear" w:color="auto" w:fill="auto"/>
            <w:vAlign w:val="center"/>
          </w:tcPr>
          <w:p w14:paraId="5F5EEC1F">
            <w:pPr>
              <w:pStyle w:val="180"/>
              <w:rPr>
                <w:rFonts w:ascii="Times New Roman"/>
              </w:rPr>
            </w:pPr>
            <w:r>
              <w:rPr>
                <w:rFonts w:ascii="Times New Roman"/>
              </w:rPr>
              <w:t>文化服务</w:t>
            </w:r>
          </w:p>
        </w:tc>
        <w:tc>
          <w:tcPr>
            <w:tcW w:w="1984" w:type="dxa"/>
            <w:gridSpan w:val="2"/>
            <w:shd w:val="clear" w:color="auto" w:fill="auto"/>
            <w:vAlign w:val="center"/>
          </w:tcPr>
          <w:p w14:paraId="57953A0D">
            <w:pPr>
              <w:pStyle w:val="180"/>
              <w:rPr>
                <w:rFonts w:ascii="Times New Roman"/>
              </w:rPr>
            </w:pPr>
            <w:r>
              <w:rPr>
                <w:rFonts w:ascii="Times New Roman"/>
              </w:rPr>
              <w:t>旅游康养</w:t>
            </w:r>
          </w:p>
        </w:tc>
        <w:tc>
          <w:tcPr>
            <w:tcW w:w="6509" w:type="dxa"/>
            <w:shd w:val="clear" w:color="auto" w:fill="auto"/>
            <w:vAlign w:val="center"/>
          </w:tcPr>
          <w:p w14:paraId="12E0E7EE">
            <w:pPr>
              <w:pStyle w:val="180"/>
              <w:rPr>
                <w:rFonts w:ascii="Times New Roman"/>
              </w:rPr>
            </w:pPr>
            <w:r>
              <w:rPr>
                <w:rFonts w:ascii="Times New Roman"/>
              </w:rPr>
              <w:t>生态系统为人类提供旅游观光、娱乐、休养等服务,使其获得审美享受、身心恢复等非物质惠益。</w:t>
            </w:r>
          </w:p>
        </w:tc>
      </w:tr>
      <w:tr w14:paraId="328F97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2855044">
            <w:pPr>
              <w:pStyle w:val="180"/>
              <w:rPr>
                <w:rFonts w:ascii="Times New Roman"/>
              </w:rPr>
            </w:pPr>
            <w:r>
              <w:rPr>
                <w:rFonts w:ascii="Times New Roman"/>
              </w:rPr>
              <w:t>18</w:t>
            </w:r>
          </w:p>
        </w:tc>
        <w:tc>
          <w:tcPr>
            <w:tcW w:w="425" w:type="dxa"/>
            <w:vMerge w:val="continue"/>
            <w:shd w:val="clear" w:color="auto" w:fill="auto"/>
            <w:vAlign w:val="center"/>
          </w:tcPr>
          <w:p w14:paraId="2F653DC3">
            <w:pPr>
              <w:pStyle w:val="180"/>
              <w:rPr>
                <w:rFonts w:ascii="Times New Roman"/>
              </w:rPr>
            </w:pPr>
          </w:p>
        </w:tc>
        <w:tc>
          <w:tcPr>
            <w:tcW w:w="1984" w:type="dxa"/>
            <w:gridSpan w:val="2"/>
            <w:shd w:val="clear" w:color="auto" w:fill="auto"/>
            <w:vAlign w:val="center"/>
          </w:tcPr>
          <w:p w14:paraId="59FF1B62">
            <w:pPr>
              <w:pStyle w:val="180"/>
              <w:rPr>
                <w:rFonts w:ascii="Times New Roman"/>
              </w:rPr>
            </w:pPr>
            <w:r>
              <w:rPr>
                <w:rFonts w:ascii="Times New Roman"/>
              </w:rPr>
              <w:t>休闲游憩</w:t>
            </w:r>
            <w:r>
              <w:rPr>
                <w:rFonts w:ascii="Times New Roman"/>
                <w:vertAlign w:val="superscript"/>
              </w:rPr>
              <w:t>d</w:t>
            </w:r>
          </w:p>
        </w:tc>
        <w:tc>
          <w:tcPr>
            <w:tcW w:w="6509" w:type="dxa"/>
            <w:shd w:val="clear" w:color="auto" w:fill="auto"/>
            <w:vAlign w:val="center"/>
          </w:tcPr>
          <w:p w14:paraId="2ACA6BA0">
            <w:pPr>
              <w:pStyle w:val="180"/>
              <w:rPr>
                <w:rFonts w:ascii="Times New Roman"/>
              </w:rPr>
            </w:pPr>
            <w:r>
              <w:rPr>
                <w:rFonts w:ascii="Times New Roman"/>
              </w:rPr>
              <w:t>生态系统为人类日常业余时间提供的经常性休闲、健身等文体活动等服务的功能。</w:t>
            </w:r>
          </w:p>
        </w:tc>
      </w:tr>
      <w:tr w14:paraId="54E6A2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9B84E9B">
            <w:pPr>
              <w:pStyle w:val="180"/>
              <w:rPr>
                <w:rFonts w:ascii="Times New Roman"/>
              </w:rPr>
            </w:pPr>
            <w:r>
              <w:rPr>
                <w:rFonts w:ascii="Times New Roman"/>
              </w:rPr>
              <w:t>19</w:t>
            </w:r>
          </w:p>
        </w:tc>
        <w:tc>
          <w:tcPr>
            <w:tcW w:w="425" w:type="dxa"/>
            <w:vMerge w:val="continue"/>
            <w:shd w:val="clear" w:color="auto" w:fill="auto"/>
            <w:vAlign w:val="center"/>
          </w:tcPr>
          <w:p w14:paraId="3EAC71B7">
            <w:pPr>
              <w:pStyle w:val="180"/>
              <w:rPr>
                <w:rFonts w:ascii="Times New Roman"/>
              </w:rPr>
            </w:pPr>
          </w:p>
        </w:tc>
        <w:tc>
          <w:tcPr>
            <w:tcW w:w="1984" w:type="dxa"/>
            <w:gridSpan w:val="2"/>
            <w:shd w:val="clear" w:color="auto" w:fill="auto"/>
            <w:vAlign w:val="center"/>
          </w:tcPr>
          <w:p w14:paraId="78935869">
            <w:pPr>
              <w:pStyle w:val="180"/>
              <w:rPr>
                <w:rFonts w:ascii="Times New Roman"/>
              </w:rPr>
            </w:pPr>
            <w:r>
              <w:rPr>
                <w:rFonts w:ascii="Times New Roman"/>
              </w:rPr>
              <w:t>景观增值</w:t>
            </w:r>
            <w:r>
              <w:rPr>
                <w:rFonts w:ascii="Times New Roman"/>
                <w:vertAlign w:val="superscript"/>
              </w:rPr>
              <w:t>d</w:t>
            </w:r>
          </w:p>
        </w:tc>
        <w:tc>
          <w:tcPr>
            <w:tcW w:w="6509" w:type="dxa"/>
            <w:shd w:val="clear" w:color="auto" w:fill="auto"/>
            <w:vAlign w:val="center"/>
          </w:tcPr>
          <w:p w14:paraId="47B3B9AB">
            <w:pPr>
              <w:pStyle w:val="180"/>
              <w:rPr>
                <w:rFonts w:ascii="Times New Roman"/>
              </w:rPr>
            </w:pPr>
            <w:r>
              <w:rPr>
                <w:rFonts w:ascii="Times New Roman"/>
              </w:rPr>
              <w:t>生态系统为人类提供美学体验、精神愉悦等服务，从而提高周边酒店客房销售和房产使用价值，产生酒店客房和房产使用过程中的自然景观溢价的功能。</w:t>
            </w:r>
          </w:p>
        </w:tc>
      </w:tr>
      <w:tr w14:paraId="39A75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bottom w:val="single" w:color="auto" w:sz="8" w:space="0"/>
            </w:tcBorders>
            <w:shd w:val="clear" w:color="auto" w:fill="auto"/>
            <w:vAlign w:val="center"/>
          </w:tcPr>
          <w:p w14:paraId="2F06F9BC">
            <w:pPr>
              <w:pStyle w:val="103"/>
              <w:spacing w:before="156" w:after="156"/>
              <w:rPr>
                <w:rFonts w:ascii="Times New Roman" w:hAnsi="Times New Roman"/>
              </w:rPr>
            </w:pPr>
            <w:r>
              <w:rPr>
                <w:rFonts w:ascii="Times New Roman" w:hAnsi="Times New Roman"/>
              </w:rPr>
              <w:t>核算区为城市时，核算其噪声消减、休闲游憩和景观增值等价值。</w:t>
            </w:r>
          </w:p>
        </w:tc>
      </w:tr>
    </w:tbl>
    <w:p w14:paraId="646EB5F6">
      <w:pPr>
        <w:pStyle w:val="58"/>
        <w:ind w:firstLine="0" w:firstLineChars="0"/>
      </w:pPr>
    </w:p>
    <w:p w14:paraId="06478480">
      <w:pPr>
        <w:pStyle w:val="58"/>
        <w:ind w:firstLine="420"/>
      </w:pPr>
    </w:p>
    <w:p w14:paraId="00B2C5B8">
      <w:pPr>
        <w:pStyle w:val="58"/>
        <w:ind w:firstLine="420"/>
        <w:sectPr>
          <w:pgSz w:w="11906" w:h="16838"/>
          <w:pgMar w:top="1928" w:right="1134" w:bottom="1134" w:left="1134" w:header="1418" w:footer="1134" w:gutter="284"/>
          <w:cols w:space="425" w:num="1"/>
          <w:formProt w:val="0"/>
          <w:docGrid w:type="lines" w:linePitch="312" w:charSpace="0"/>
        </w:sectPr>
      </w:pPr>
    </w:p>
    <w:p w14:paraId="6557E58E">
      <w:pPr>
        <w:pStyle w:val="200"/>
        <w:rPr>
          <w:rFonts w:hint="eastAsia"/>
          <w:vanish w:val="0"/>
        </w:rPr>
      </w:pPr>
    </w:p>
    <w:p w14:paraId="780E5DE3">
      <w:pPr>
        <w:pStyle w:val="201"/>
        <w:rPr>
          <w:vanish w:val="0"/>
        </w:rPr>
      </w:pPr>
    </w:p>
    <w:p w14:paraId="5A34C8F2">
      <w:pPr>
        <w:pStyle w:val="78"/>
        <w:spacing w:after="156"/>
        <w:rPr>
          <w:rFonts w:ascii="Times New Roman"/>
        </w:rPr>
      </w:pPr>
      <w:bookmarkStart w:id="135" w:name="_Hlk193895886"/>
      <w:r>
        <w:rPr>
          <w:rFonts w:ascii="Times New Roman"/>
        </w:rPr>
        <w:br w:type="textWrapping"/>
      </w:r>
      <w:bookmarkStart w:id="136" w:name="_Toc203399474"/>
      <w:bookmarkStart w:id="137" w:name="_Toc179674306"/>
      <w:bookmarkStart w:id="138" w:name="_Toc203399078"/>
      <w:bookmarkStart w:id="139" w:name="_Toc192077516"/>
      <w:r>
        <w:rPr>
          <w:rFonts w:ascii="Times New Roman"/>
        </w:rPr>
        <w:t>（资料性）</w:t>
      </w:r>
      <w:r>
        <w:rPr>
          <w:rFonts w:ascii="Times New Roman"/>
        </w:rPr>
        <w:br w:type="textWrapping"/>
      </w:r>
      <w:r>
        <w:rPr>
          <w:rFonts w:ascii="Times New Roman"/>
        </w:rPr>
        <w:t>生态系统类型与土地利用类型对照</w:t>
      </w:r>
      <w:bookmarkEnd w:id="136"/>
      <w:bookmarkEnd w:id="137"/>
      <w:bookmarkEnd w:id="138"/>
      <w:bookmarkEnd w:id="139"/>
    </w:p>
    <w:p w14:paraId="360DD2F1">
      <w:pPr>
        <w:pStyle w:val="213"/>
        <w:rPr>
          <w:rFonts w:ascii="Times New Roman"/>
        </w:rPr>
      </w:pPr>
      <w:bookmarkStart w:id="140" w:name="_Hlk193895960"/>
      <w:r>
        <w:rPr>
          <w:rFonts w:ascii="Times New Roman"/>
        </w:rPr>
        <w:t>在调查或观测数据无法获取或不完整时，可利用自然资源部门第三次全国国土调查分类土地利用调查及年度更新结果，对照确定生态系统类型。可按照B.1进行对照参比。</w:t>
      </w:r>
    </w:p>
    <w:p w14:paraId="4B623806">
      <w:pPr>
        <w:pStyle w:val="213"/>
        <w:rPr>
          <w:rFonts w:ascii="Times New Roman"/>
        </w:rPr>
      </w:pPr>
      <w:r>
        <w:rPr>
          <w:rFonts w:ascii="Times New Roman"/>
        </w:rPr>
        <w:t>生态系统分类及含义参考HJ1172-2012和《生态产品总值核算规范（试行）》，土地利用类型及含义参考TD/T 1055-2019。</w:t>
      </w:r>
    </w:p>
    <w:bookmarkEnd w:id="140"/>
    <w:p w14:paraId="120C1B2B">
      <w:pPr>
        <w:pStyle w:val="79"/>
        <w:spacing w:before="156" w:after="156"/>
        <w:ind w:firstLine="420"/>
        <w:rPr>
          <w:rFonts w:ascii="Times New Roman"/>
        </w:rPr>
      </w:pPr>
      <w:r>
        <w:rPr>
          <w:rFonts w:ascii="Times New Roman"/>
        </w:rPr>
        <w:t>生态系统分类与土地利用类型对照</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1418"/>
        <w:gridCol w:w="1417"/>
        <w:gridCol w:w="5233"/>
      </w:tblGrid>
      <w:tr w14:paraId="35D1C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01" w:type="dxa"/>
            <w:gridSpan w:val="3"/>
            <w:tcBorders>
              <w:top w:val="single" w:color="auto" w:sz="8" w:space="0"/>
              <w:bottom w:val="single" w:color="auto" w:sz="8" w:space="0"/>
            </w:tcBorders>
            <w:shd w:val="clear" w:color="auto" w:fill="auto"/>
            <w:vAlign w:val="center"/>
          </w:tcPr>
          <w:p w14:paraId="757B040E">
            <w:pPr>
              <w:pStyle w:val="180"/>
              <w:rPr>
                <w:rFonts w:ascii="Times New Roman"/>
              </w:rPr>
            </w:pPr>
            <w:r>
              <w:rPr>
                <w:rFonts w:ascii="Times New Roman"/>
              </w:rPr>
              <w:t>生态系统分类</w:t>
            </w:r>
          </w:p>
        </w:tc>
        <w:tc>
          <w:tcPr>
            <w:tcW w:w="5233" w:type="dxa"/>
            <w:tcBorders>
              <w:top w:val="single" w:color="auto" w:sz="8" w:space="0"/>
              <w:bottom w:val="single" w:color="auto" w:sz="8" w:space="0"/>
            </w:tcBorders>
            <w:shd w:val="clear" w:color="auto" w:fill="auto"/>
            <w:vAlign w:val="center"/>
          </w:tcPr>
          <w:p w14:paraId="0B577936">
            <w:pPr>
              <w:pStyle w:val="180"/>
              <w:rPr>
                <w:rFonts w:ascii="Times New Roman"/>
              </w:rPr>
            </w:pPr>
            <w:r>
              <w:rPr>
                <w:rFonts w:ascii="Times New Roman"/>
              </w:rPr>
              <w:t>土地利用分类</w:t>
            </w:r>
          </w:p>
        </w:tc>
      </w:tr>
      <w:tr w14:paraId="384B0E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shd w:val="clear" w:color="auto" w:fill="auto"/>
            <w:vAlign w:val="center"/>
          </w:tcPr>
          <w:p w14:paraId="4B642326">
            <w:pPr>
              <w:pStyle w:val="180"/>
              <w:rPr>
                <w:rFonts w:ascii="Times New Roman"/>
              </w:rPr>
            </w:pPr>
            <w:r>
              <w:rPr>
                <w:rFonts w:ascii="Times New Roman"/>
              </w:rPr>
              <w:t>Ⅰ级分类</w:t>
            </w:r>
          </w:p>
        </w:tc>
        <w:tc>
          <w:tcPr>
            <w:tcW w:w="1418" w:type="dxa"/>
            <w:tcBorders>
              <w:top w:val="single" w:color="auto" w:sz="8" w:space="0"/>
            </w:tcBorders>
            <w:shd w:val="clear" w:color="auto" w:fill="auto"/>
            <w:vAlign w:val="center"/>
          </w:tcPr>
          <w:p w14:paraId="5BA54198">
            <w:pPr>
              <w:pStyle w:val="180"/>
              <w:rPr>
                <w:rFonts w:ascii="Times New Roman"/>
              </w:rPr>
            </w:pPr>
            <w:r>
              <w:rPr>
                <w:rFonts w:ascii="Times New Roman"/>
              </w:rPr>
              <w:t>Ⅱ级分类</w:t>
            </w:r>
          </w:p>
        </w:tc>
        <w:tc>
          <w:tcPr>
            <w:tcW w:w="1417" w:type="dxa"/>
            <w:tcBorders>
              <w:top w:val="single" w:color="auto" w:sz="8" w:space="0"/>
            </w:tcBorders>
            <w:shd w:val="clear" w:color="auto" w:fill="auto"/>
            <w:vAlign w:val="center"/>
          </w:tcPr>
          <w:p w14:paraId="6DD2476C">
            <w:pPr>
              <w:pStyle w:val="180"/>
              <w:rPr>
                <w:rFonts w:ascii="Times New Roman"/>
              </w:rPr>
            </w:pPr>
            <w:r>
              <w:rPr>
                <w:rFonts w:ascii="Times New Roman"/>
              </w:rPr>
              <w:t>Ⅲ级分类</w:t>
            </w:r>
          </w:p>
        </w:tc>
        <w:tc>
          <w:tcPr>
            <w:tcW w:w="5233" w:type="dxa"/>
            <w:tcBorders>
              <w:top w:val="single" w:color="auto" w:sz="8" w:space="0"/>
            </w:tcBorders>
            <w:shd w:val="clear" w:color="auto" w:fill="auto"/>
            <w:vAlign w:val="center"/>
          </w:tcPr>
          <w:p w14:paraId="370AE6F5">
            <w:pPr>
              <w:pStyle w:val="180"/>
              <w:rPr>
                <w:rFonts w:ascii="Times New Roman"/>
              </w:rPr>
            </w:pPr>
            <w:r>
              <w:rPr>
                <w:rFonts w:ascii="Times New Roman"/>
              </w:rPr>
              <w:t>二级类</w:t>
            </w:r>
          </w:p>
        </w:tc>
      </w:tr>
      <w:tr w14:paraId="1AE397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3267331C">
            <w:pPr>
              <w:pStyle w:val="180"/>
              <w:rPr>
                <w:rFonts w:ascii="Times New Roman"/>
              </w:rPr>
            </w:pPr>
            <w:r>
              <w:rPr>
                <w:rFonts w:ascii="Times New Roman"/>
              </w:rPr>
              <w:t>森林生态系统</w:t>
            </w:r>
          </w:p>
        </w:tc>
        <w:tc>
          <w:tcPr>
            <w:tcW w:w="1418" w:type="dxa"/>
            <w:vMerge w:val="restart"/>
            <w:shd w:val="clear" w:color="auto" w:fill="auto"/>
            <w:vAlign w:val="center"/>
          </w:tcPr>
          <w:p w14:paraId="3C2094F6">
            <w:pPr>
              <w:pStyle w:val="180"/>
              <w:rPr>
                <w:rFonts w:ascii="Times New Roman"/>
              </w:rPr>
            </w:pPr>
            <w:r>
              <w:rPr>
                <w:rFonts w:ascii="Times New Roman"/>
              </w:rPr>
              <w:t>阔叶林</w:t>
            </w:r>
          </w:p>
        </w:tc>
        <w:tc>
          <w:tcPr>
            <w:tcW w:w="1417" w:type="dxa"/>
            <w:shd w:val="clear" w:color="auto" w:fill="auto"/>
            <w:vAlign w:val="center"/>
          </w:tcPr>
          <w:p w14:paraId="48FF6866">
            <w:pPr>
              <w:pStyle w:val="180"/>
              <w:rPr>
                <w:rFonts w:ascii="Times New Roman"/>
              </w:rPr>
            </w:pPr>
            <w:r>
              <w:rPr>
                <w:rFonts w:ascii="Times New Roman"/>
              </w:rPr>
              <w:t>常绿阔叶林</w:t>
            </w:r>
          </w:p>
        </w:tc>
        <w:tc>
          <w:tcPr>
            <w:tcW w:w="5233" w:type="dxa"/>
            <w:vMerge w:val="restart"/>
            <w:shd w:val="clear" w:color="auto" w:fill="auto"/>
            <w:vAlign w:val="center"/>
          </w:tcPr>
          <w:p w14:paraId="0954F264">
            <w:pPr>
              <w:pStyle w:val="180"/>
              <w:rPr>
                <w:rFonts w:ascii="Times New Roman"/>
              </w:rPr>
            </w:pPr>
            <w:r>
              <w:rPr>
                <w:rFonts w:ascii="Times New Roman"/>
              </w:rPr>
              <w:t>乔木林地、竹林地</w:t>
            </w:r>
          </w:p>
        </w:tc>
      </w:tr>
      <w:tr w14:paraId="2D0EF7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284868BE">
            <w:pPr>
              <w:pStyle w:val="180"/>
              <w:rPr>
                <w:rFonts w:ascii="Times New Roman"/>
              </w:rPr>
            </w:pPr>
          </w:p>
        </w:tc>
        <w:tc>
          <w:tcPr>
            <w:tcW w:w="1418" w:type="dxa"/>
            <w:vMerge w:val="continue"/>
            <w:shd w:val="clear" w:color="auto" w:fill="auto"/>
            <w:vAlign w:val="center"/>
          </w:tcPr>
          <w:p w14:paraId="7CE70E59">
            <w:pPr>
              <w:pStyle w:val="180"/>
              <w:rPr>
                <w:rFonts w:ascii="Times New Roman"/>
              </w:rPr>
            </w:pPr>
          </w:p>
        </w:tc>
        <w:tc>
          <w:tcPr>
            <w:tcW w:w="1417" w:type="dxa"/>
            <w:shd w:val="clear" w:color="auto" w:fill="auto"/>
            <w:vAlign w:val="center"/>
          </w:tcPr>
          <w:p w14:paraId="471E578E">
            <w:pPr>
              <w:pStyle w:val="180"/>
              <w:rPr>
                <w:rFonts w:ascii="Times New Roman"/>
              </w:rPr>
            </w:pPr>
            <w:r>
              <w:rPr>
                <w:rFonts w:ascii="Times New Roman"/>
              </w:rPr>
              <w:t>落叶阔叶林</w:t>
            </w:r>
          </w:p>
        </w:tc>
        <w:tc>
          <w:tcPr>
            <w:tcW w:w="5233" w:type="dxa"/>
            <w:vMerge w:val="continue"/>
            <w:shd w:val="clear" w:color="auto" w:fill="auto"/>
            <w:vAlign w:val="center"/>
          </w:tcPr>
          <w:p w14:paraId="7211B9BA">
            <w:pPr>
              <w:pStyle w:val="180"/>
              <w:rPr>
                <w:rFonts w:ascii="Times New Roman"/>
              </w:rPr>
            </w:pPr>
          </w:p>
        </w:tc>
      </w:tr>
      <w:tr w14:paraId="379EA8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324A138B">
            <w:pPr>
              <w:pStyle w:val="180"/>
              <w:rPr>
                <w:rFonts w:ascii="Times New Roman"/>
              </w:rPr>
            </w:pPr>
          </w:p>
        </w:tc>
        <w:tc>
          <w:tcPr>
            <w:tcW w:w="1418" w:type="dxa"/>
            <w:vMerge w:val="restart"/>
            <w:shd w:val="clear" w:color="auto" w:fill="auto"/>
            <w:vAlign w:val="center"/>
          </w:tcPr>
          <w:p w14:paraId="5EDC8A2B">
            <w:pPr>
              <w:pStyle w:val="180"/>
              <w:rPr>
                <w:rFonts w:ascii="Times New Roman"/>
              </w:rPr>
            </w:pPr>
            <w:r>
              <w:rPr>
                <w:rFonts w:ascii="Times New Roman"/>
              </w:rPr>
              <w:t>针叶林</w:t>
            </w:r>
          </w:p>
        </w:tc>
        <w:tc>
          <w:tcPr>
            <w:tcW w:w="1417" w:type="dxa"/>
            <w:shd w:val="clear" w:color="auto" w:fill="auto"/>
            <w:vAlign w:val="center"/>
          </w:tcPr>
          <w:p w14:paraId="4DAD892F">
            <w:pPr>
              <w:pStyle w:val="180"/>
              <w:rPr>
                <w:rFonts w:ascii="Times New Roman"/>
              </w:rPr>
            </w:pPr>
            <w:r>
              <w:rPr>
                <w:rFonts w:ascii="Times New Roman"/>
              </w:rPr>
              <w:t>常绿针叶林</w:t>
            </w:r>
          </w:p>
        </w:tc>
        <w:tc>
          <w:tcPr>
            <w:tcW w:w="5233" w:type="dxa"/>
            <w:vMerge w:val="continue"/>
            <w:shd w:val="clear" w:color="auto" w:fill="auto"/>
            <w:vAlign w:val="center"/>
          </w:tcPr>
          <w:p w14:paraId="1574A9B1">
            <w:pPr>
              <w:pStyle w:val="180"/>
              <w:rPr>
                <w:rFonts w:ascii="Times New Roman"/>
              </w:rPr>
            </w:pPr>
          </w:p>
        </w:tc>
      </w:tr>
      <w:tr w14:paraId="5B997F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5CA279ED">
            <w:pPr>
              <w:pStyle w:val="180"/>
              <w:rPr>
                <w:rFonts w:ascii="Times New Roman"/>
              </w:rPr>
            </w:pPr>
          </w:p>
        </w:tc>
        <w:tc>
          <w:tcPr>
            <w:tcW w:w="1418" w:type="dxa"/>
            <w:vMerge w:val="continue"/>
            <w:shd w:val="clear" w:color="auto" w:fill="auto"/>
            <w:vAlign w:val="center"/>
          </w:tcPr>
          <w:p w14:paraId="602C6C8F">
            <w:pPr>
              <w:pStyle w:val="180"/>
              <w:rPr>
                <w:rFonts w:ascii="Times New Roman"/>
              </w:rPr>
            </w:pPr>
          </w:p>
        </w:tc>
        <w:tc>
          <w:tcPr>
            <w:tcW w:w="1417" w:type="dxa"/>
            <w:shd w:val="clear" w:color="auto" w:fill="auto"/>
            <w:vAlign w:val="center"/>
          </w:tcPr>
          <w:p w14:paraId="234DA6A2">
            <w:pPr>
              <w:pStyle w:val="180"/>
              <w:rPr>
                <w:rFonts w:ascii="Times New Roman"/>
              </w:rPr>
            </w:pPr>
            <w:r>
              <w:rPr>
                <w:rFonts w:ascii="Times New Roman"/>
              </w:rPr>
              <w:t>落叶针叶林</w:t>
            </w:r>
          </w:p>
        </w:tc>
        <w:tc>
          <w:tcPr>
            <w:tcW w:w="5233" w:type="dxa"/>
            <w:vMerge w:val="continue"/>
            <w:shd w:val="clear" w:color="auto" w:fill="auto"/>
            <w:vAlign w:val="center"/>
          </w:tcPr>
          <w:p w14:paraId="74FE51EA">
            <w:pPr>
              <w:pStyle w:val="180"/>
              <w:rPr>
                <w:rFonts w:ascii="Times New Roman"/>
              </w:rPr>
            </w:pPr>
          </w:p>
        </w:tc>
      </w:tr>
      <w:tr w14:paraId="4EB4F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2AC24CFC">
            <w:pPr>
              <w:pStyle w:val="180"/>
              <w:rPr>
                <w:rFonts w:ascii="Times New Roman"/>
              </w:rPr>
            </w:pPr>
          </w:p>
        </w:tc>
        <w:tc>
          <w:tcPr>
            <w:tcW w:w="1418" w:type="dxa"/>
            <w:shd w:val="clear" w:color="auto" w:fill="auto"/>
            <w:vAlign w:val="center"/>
          </w:tcPr>
          <w:p w14:paraId="7B101EEF">
            <w:pPr>
              <w:pStyle w:val="180"/>
              <w:rPr>
                <w:rFonts w:ascii="Times New Roman"/>
              </w:rPr>
            </w:pPr>
            <w:r>
              <w:rPr>
                <w:rFonts w:ascii="Times New Roman"/>
              </w:rPr>
              <w:t>针阔混交林</w:t>
            </w:r>
          </w:p>
        </w:tc>
        <w:tc>
          <w:tcPr>
            <w:tcW w:w="1417" w:type="dxa"/>
            <w:shd w:val="clear" w:color="auto" w:fill="auto"/>
            <w:vAlign w:val="center"/>
          </w:tcPr>
          <w:p w14:paraId="347FAA4A">
            <w:pPr>
              <w:pStyle w:val="180"/>
              <w:rPr>
                <w:rFonts w:ascii="Times New Roman"/>
              </w:rPr>
            </w:pPr>
            <w:r>
              <w:rPr>
                <w:rFonts w:ascii="Times New Roman"/>
              </w:rPr>
              <w:t>针阔混交林</w:t>
            </w:r>
          </w:p>
        </w:tc>
        <w:tc>
          <w:tcPr>
            <w:tcW w:w="5233" w:type="dxa"/>
            <w:vMerge w:val="continue"/>
            <w:shd w:val="clear" w:color="auto" w:fill="auto"/>
            <w:vAlign w:val="center"/>
          </w:tcPr>
          <w:p w14:paraId="20B4AF47">
            <w:pPr>
              <w:pStyle w:val="180"/>
              <w:rPr>
                <w:rFonts w:ascii="Times New Roman"/>
              </w:rPr>
            </w:pPr>
          </w:p>
        </w:tc>
      </w:tr>
      <w:tr w14:paraId="57114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10076E29">
            <w:pPr>
              <w:pStyle w:val="180"/>
              <w:rPr>
                <w:rFonts w:ascii="Times New Roman"/>
              </w:rPr>
            </w:pPr>
          </w:p>
        </w:tc>
        <w:tc>
          <w:tcPr>
            <w:tcW w:w="1418" w:type="dxa"/>
            <w:shd w:val="clear" w:color="auto" w:fill="auto"/>
            <w:vAlign w:val="center"/>
          </w:tcPr>
          <w:p w14:paraId="0819D7E4">
            <w:pPr>
              <w:pStyle w:val="180"/>
              <w:rPr>
                <w:rFonts w:ascii="Times New Roman"/>
              </w:rPr>
            </w:pPr>
            <w:r>
              <w:rPr>
                <w:rFonts w:ascii="Times New Roman"/>
              </w:rPr>
              <w:t>稀疏林</w:t>
            </w:r>
          </w:p>
        </w:tc>
        <w:tc>
          <w:tcPr>
            <w:tcW w:w="1417" w:type="dxa"/>
            <w:shd w:val="clear" w:color="auto" w:fill="auto"/>
            <w:vAlign w:val="center"/>
          </w:tcPr>
          <w:p w14:paraId="627BF3C2">
            <w:pPr>
              <w:pStyle w:val="180"/>
              <w:rPr>
                <w:rFonts w:ascii="Times New Roman"/>
              </w:rPr>
            </w:pPr>
            <w:r>
              <w:rPr>
                <w:rFonts w:ascii="Times New Roman"/>
              </w:rPr>
              <w:t>稀疏林</w:t>
            </w:r>
          </w:p>
        </w:tc>
        <w:tc>
          <w:tcPr>
            <w:tcW w:w="5233" w:type="dxa"/>
            <w:shd w:val="clear" w:color="auto" w:fill="auto"/>
            <w:vAlign w:val="center"/>
          </w:tcPr>
          <w:p w14:paraId="48434094">
            <w:pPr>
              <w:pStyle w:val="180"/>
              <w:rPr>
                <w:rFonts w:ascii="Times New Roman"/>
              </w:rPr>
            </w:pPr>
            <w:r>
              <w:rPr>
                <w:rFonts w:ascii="Times New Roman"/>
              </w:rPr>
              <w:t>其他林地</w:t>
            </w:r>
          </w:p>
        </w:tc>
      </w:tr>
      <w:tr w14:paraId="2282B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4C98DB1E">
            <w:pPr>
              <w:pStyle w:val="180"/>
              <w:rPr>
                <w:rFonts w:ascii="Times New Roman"/>
              </w:rPr>
            </w:pPr>
            <w:r>
              <w:rPr>
                <w:rFonts w:ascii="Times New Roman"/>
              </w:rPr>
              <w:t>灌丛生态系统</w:t>
            </w:r>
          </w:p>
        </w:tc>
        <w:tc>
          <w:tcPr>
            <w:tcW w:w="1418" w:type="dxa"/>
            <w:vMerge w:val="restart"/>
            <w:shd w:val="clear" w:color="auto" w:fill="auto"/>
            <w:vAlign w:val="center"/>
          </w:tcPr>
          <w:p w14:paraId="1F1AF813">
            <w:pPr>
              <w:pStyle w:val="180"/>
              <w:rPr>
                <w:rFonts w:ascii="Times New Roman"/>
              </w:rPr>
            </w:pPr>
            <w:r>
              <w:rPr>
                <w:rFonts w:ascii="Times New Roman"/>
              </w:rPr>
              <w:t>阔叶灌丛</w:t>
            </w:r>
          </w:p>
        </w:tc>
        <w:tc>
          <w:tcPr>
            <w:tcW w:w="1417" w:type="dxa"/>
            <w:shd w:val="clear" w:color="auto" w:fill="auto"/>
            <w:vAlign w:val="center"/>
          </w:tcPr>
          <w:p w14:paraId="68ABB323">
            <w:pPr>
              <w:pStyle w:val="180"/>
              <w:rPr>
                <w:rFonts w:ascii="Times New Roman"/>
              </w:rPr>
            </w:pPr>
            <w:r>
              <w:rPr>
                <w:rFonts w:ascii="Times New Roman"/>
              </w:rPr>
              <w:t>常绿阔叶灌木林</w:t>
            </w:r>
          </w:p>
        </w:tc>
        <w:tc>
          <w:tcPr>
            <w:tcW w:w="5233" w:type="dxa"/>
            <w:vMerge w:val="restart"/>
            <w:shd w:val="clear" w:color="auto" w:fill="auto"/>
            <w:vAlign w:val="center"/>
          </w:tcPr>
          <w:p w14:paraId="1E04356F">
            <w:pPr>
              <w:pStyle w:val="180"/>
              <w:rPr>
                <w:rFonts w:ascii="Times New Roman"/>
              </w:rPr>
            </w:pPr>
            <w:r>
              <w:rPr>
                <w:rFonts w:ascii="Times New Roman"/>
              </w:rPr>
              <w:t>灌木林地</w:t>
            </w:r>
          </w:p>
        </w:tc>
      </w:tr>
      <w:tr w14:paraId="644EAA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0B9FF171">
            <w:pPr>
              <w:pStyle w:val="180"/>
              <w:rPr>
                <w:rFonts w:ascii="Times New Roman"/>
              </w:rPr>
            </w:pPr>
          </w:p>
        </w:tc>
        <w:tc>
          <w:tcPr>
            <w:tcW w:w="1418" w:type="dxa"/>
            <w:vMerge w:val="continue"/>
            <w:shd w:val="clear" w:color="auto" w:fill="auto"/>
            <w:vAlign w:val="center"/>
          </w:tcPr>
          <w:p w14:paraId="11FE4496">
            <w:pPr>
              <w:pStyle w:val="180"/>
              <w:rPr>
                <w:rFonts w:ascii="Times New Roman"/>
              </w:rPr>
            </w:pPr>
          </w:p>
        </w:tc>
        <w:tc>
          <w:tcPr>
            <w:tcW w:w="1417" w:type="dxa"/>
            <w:shd w:val="clear" w:color="auto" w:fill="auto"/>
            <w:vAlign w:val="center"/>
          </w:tcPr>
          <w:p w14:paraId="6299DB5F">
            <w:pPr>
              <w:pStyle w:val="180"/>
              <w:rPr>
                <w:rFonts w:ascii="Times New Roman"/>
              </w:rPr>
            </w:pPr>
            <w:r>
              <w:rPr>
                <w:rFonts w:ascii="Times New Roman"/>
              </w:rPr>
              <w:t>落叶阔叶灌木林</w:t>
            </w:r>
          </w:p>
        </w:tc>
        <w:tc>
          <w:tcPr>
            <w:tcW w:w="5233" w:type="dxa"/>
            <w:vMerge w:val="continue"/>
            <w:shd w:val="clear" w:color="auto" w:fill="auto"/>
            <w:vAlign w:val="center"/>
          </w:tcPr>
          <w:p w14:paraId="4381C425">
            <w:pPr>
              <w:pStyle w:val="180"/>
              <w:rPr>
                <w:rFonts w:ascii="Times New Roman"/>
              </w:rPr>
            </w:pPr>
          </w:p>
        </w:tc>
      </w:tr>
      <w:tr w14:paraId="53E7C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38E4D39A">
            <w:pPr>
              <w:pStyle w:val="180"/>
              <w:rPr>
                <w:rFonts w:ascii="Times New Roman"/>
              </w:rPr>
            </w:pPr>
          </w:p>
        </w:tc>
        <w:tc>
          <w:tcPr>
            <w:tcW w:w="1418" w:type="dxa"/>
            <w:shd w:val="clear" w:color="auto" w:fill="auto"/>
            <w:vAlign w:val="center"/>
          </w:tcPr>
          <w:p w14:paraId="3D9689B2">
            <w:pPr>
              <w:pStyle w:val="180"/>
              <w:rPr>
                <w:rFonts w:ascii="Times New Roman"/>
              </w:rPr>
            </w:pPr>
            <w:r>
              <w:rPr>
                <w:rFonts w:ascii="Times New Roman"/>
              </w:rPr>
              <w:t>针叶灌丛</w:t>
            </w:r>
          </w:p>
        </w:tc>
        <w:tc>
          <w:tcPr>
            <w:tcW w:w="1417" w:type="dxa"/>
            <w:shd w:val="clear" w:color="auto" w:fill="auto"/>
            <w:vAlign w:val="center"/>
          </w:tcPr>
          <w:p w14:paraId="532D47D5">
            <w:pPr>
              <w:pStyle w:val="180"/>
              <w:rPr>
                <w:rFonts w:ascii="Times New Roman"/>
              </w:rPr>
            </w:pPr>
            <w:r>
              <w:rPr>
                <w:rFonts w:ascii="Times New Roman"/>
              </w:rPr>
              <w:t>常绿针叶灌木林</w:t>
            </w:r>
          </w:p>
        </w:tc>
        <w:tc>
          <w:tcPr>
            <w:tcW w:w="5233" w:type="dxa"/>
            <w:vMerge w:val="continue"/>
            <w:shd w:val="clear" w:color="auto" w:fill="auto"/>
            <w:vAlign w:val="center"/>
          </w:tcPr>
          <w:p w14:paraId="0B298BE0">
            <w:pPr>
              <w:pStyle w:val="180"/>
              <w:rPr>
                <w:rFonts w:ascii="Times New Roman"/>
              </w:rPr>
            </w:pPr>
          </w:p>
        </w:tc>
      </w:tr>
      <w:tr w14:paraId="0F00E8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7EC4232E">
            <w:pPr>
              <w:pStyle w:val="180"/>
              <w:rPr>
                <w:rFonts w:ascii="Times New Roman"/>
              </w:rPr>
            </w:pPr>
          </w:p>
        </w:tc>
        <w:tc>
          <w:tcPr>
            <w:tcW w:w="1418" w:type="dxa"/>
            <w:shd w:val="clear" w:color="auto" w:fill="auto"/>
            <w:vAlign w:val="center"/>
          </w:tcPr>
          <w:p w14:paraId="4586A0EF">
            <w:pPr>
              <w:pStyle w:val="180"/>
              <w:rPr>
                <w:rFonts w:ascii="Times New Roman"/>
              </w:rPr>
            </w:pPr>
            <w:r>
              <w:rPr>
                <w:rFonts w:ascii="Times New Roman"/>
              </w:rPr>
              <w:t>稀疏灌丛</w:t>
            </w:r>
          </w:p>
        </w:tc>
        <w:tc>
          <w:tcPr>
            <w:tcW w:w="1417" w:type="dxa"/>
            <w:shd w:val="clear" w:color="auto" w:fill="auto"/>
            <w:vAlign w:val="center"/>
          </w:tcPr>
          <w:p w14:paraId="58D8C92A">
            <w:pPr>
              <w:pStyle w:val="180"/>
              <w:rPr>
                <w:rFonts w:ascii="Times New Roman"/>
              </w:rPr>
            </w:pPr>
            <w:r>
              <w:rPr>
                <w:rFonts w:ascii="Times New Roman"/>
              </w:rPr>
              <w:t>稀疏灌木林</w:t>
            </w:r>
          </w:p>
        </w:tc>
        <w:tc>
          <w:tcPr>
            <w:tcW w:w="5233" w:type="dxa"/>
            <w:vMerge w:val="continue"/>
            <w:shd w:val="clear" w:color="auto" w:fill="auto"/>
            <w:vAlign w:val="center"/>
          </w:tcPr>
          <w:p w14:paraId="0FAA3005">
            <w:pPr>
              <w:pStyle w:val="180"/>
              <w:rPr>
                <w:rFonts w:ascii="Times New Roman"/>
              </w:rPr>
            </w:pPr>
          </w:p>
        </w:tc>
      </w:tr>
      <w:tr w14:paraId="3C0F80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14:paraId="30E5BCDE">
            <w:pPr>
              <w:pStyle w:val="180"/>
              <w:rPr>
                <w:rFonts w:ascii="Times New Roman"/>
              </w:rPr>
            </w:pPr>
            <w:r>
              <w:rPr>
                <w:rFonts w:ascii="Times New Roman"/>
              </w:rPr>
              <w:t>草地生态系统</w:t>
            </w:r>
          </w:p>
        </w:tc>
        <w:tc>
          <w:tcPr>
            <w:tcW w:w="1418" w:type="dxa"/>
            <w:shd w:val="clear" w:color="auto" w:fill="auto"/>
            <w:vAlign w:val="center"/>
          </w:tcPr>
          <w:p w14:paraId="788B561B">
            <w:pPr>
              <w:pStyle w:val="180"/>
              <w:rPr>
                <w:rFonts w:ascii="Times New Roman"/>
              </w:rPr>
            </w:pPr>
            <w:r>
              <w:rPr>
                <w:rFonts w:ascii="Times New Roman"/>
              </w:rPr>
              <w:t>/</w:t>
            </w:r>
            <w:r>
              <w:rPr>
                <w:rFonts w:hint="eastAsia" w:ascii="Times New Roman"/>
                <w:vertAlign w:val="superscript"/>
              </w:rPr>
              <w:t>d</w:t>
            </w:r>
          </w:p>
        </w:tc>
        <w:tc>
          <w:tcPr>
            <w:tcW w:w="1417" w:type="dxa"/>
            <w:shd w:val="clear" w:color="auto" w:fill="auto"/>
            <w:vAlign w:val="center"/>
          </w:tcPr>
          <w:p w14:paraId="14733243">
            <w:pPr>
              <w:pStyle w:val="180"/>
              <w:rPr>
                <w:rFonts w:ascii="Times New Roman"/>
              </w:rPr>
            </w:pPr>
            <w:r>
              <w:rPr>
                <w:rFonts w:ascii="Times New Roman"/>
              </w:rPr>
              <w:t>/</w:t>
            </w:r>
            <w:r>
              <w:rPr>
                <w:rFonts w:hint="eastAsia" w:ascii="Times New Roman"/>
                <w:vertAlign w:val="superscript"/>
              </w:rPr>
              <w:t>d</w:t>
            </w:r>
          </w:p>
        </w:tc>
        <w:tc>
          <w:tcPr>
            <w:tcW w:w="5233" w:type="dxa"/>
            <w:shd w:val="clear" w:color="auto" w:fill="auto"/>
            <w:vAlign w:val="center"/>
          </w:tcPr>
          <w:p w14:paraId="225BEFE9">
            <w:pPr>
              <w:pStyle w:val="180"/>
              <w:rPr>
                <w:rFonts w:ascii="Times New Roman"/>
              </w:rPr>
            </w:pPr>
            <w:r>
              <w:rPr>
                <w:rFonts w:ascii="Times New Roman"/>
              </w:rPr>
              <w:t>天然牧草地、人工牧草地、其他草地</w:t>
            </w:r>
          </w:p>
        </w:tc>
      </w:tr>
      <w:tr w14:paraId="1B7C8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39C6892A">
            <w:pPr>
              <w:pStyle w:val="180"/>
              <w:rPr>
                <w:rFonts w:ascii="Times New Roman"/>
              </w:rPr>
            </w:pPr>
            <w:r>
              <w:rPr>
                <w:rFonts w:ascii="Times New Roman"/>
              </w:rPr>
              <w:t>湿地生态系统</w:t>
            </w:r>
          </w:p>
        </w:tc>
        <w:tc>
          <w:tcPr>
            <w:tcW w:w="1418" w:type="dxa"/>
            <w:vMerge w:val="restart"/>
            <w:shd w:val="clear" w:color="auto" w:fill="auto"/>
            <w:vAlign w:val="center"/>
          </w:tcPr>
          <w:p w14:paraId="1088E096">
            <w:pPr>
              <w:pStyle w:val="180"/>
              <w:rPr>
                <w:rFonts w:ascii="Times New Roman"/>
              </w:rPr>
            </w:pPr>
            <w:r>
              <w:rPr>
                <w:rFonts w:ascii="Times New Roman"/>
              </w:rPr>
              <w:t>沼泽</w:t>
            </w:r>
          </w:p>
        </w:tc>
        <w:tc>
          <w:tcPr>
            <w:tcW w:w="1417" w:type="dxa"/>
            <w:shd w:val="clear" w:color="auto" w:fill="auto"/>
            <w:vAlign w:val="center"/>
          </w:tcPr>
          <w:p w14:paraId="6E1C832D">
            <w:pPr>
              <w:pStyle w:val="180"/>
              <w:rPr>
                <w:rFonts w:ascii="Times New Roman"/>
              </w:rPr>
            </w:pPr>
            <w:r>
              <w:rPr>
                <w:rFonts w:ascii="Times New Roman"/>
              </w:rPr>
              <w:t>灌丛沼泽</w:t>
            </w:r>
          </w:p>
        </w:tc>
        <w:tc>
          <w:tcPr>
            <w:tcW w:w="5233" w:type="dxa"/>
            <w:shd w:val="clear" w:color="auto" w:fill="auto"/>
            <w:vAlign w:val="center"/>
          </w:tcPr>
          <w:p w14:paraId="56E14763">
            <w:pPr>
              <w:pStyle w:val="180"/>
              <w:rPr>
                <w:rFonts w:ascii="Times New Roman"/>
              </w:rPr>
            </w:pPr>
            <w:r>
              <w:rPr>
                <w:rFonts w:ascii="Times New Roman"/>
              </w:rPr>
              <w:t>灌丛沼泽</w:t>
            </w:r>
          </w:p>
        </w:tc>
      </w:tr>
      <w:tr w14:paraId="3E129B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142663FD">
            <w:pPr>
              <w:pStyle w:val="180"/>
              <w:rPr>
                <w:rFonts w:ascii="Times New Roman"/>
              </w:rPr>
            </w:pPr>
          </w:p>
        </w:tc>
        <w:tc>
          <w:tcPr>
            <w:tcW w:w="1418" w:type="dxa"/>
            <w:vMerge w:val="continue"/>
            <w:shd w:val="clear" w:color="auto" w:fill="auto"/>
            <w:vAlign w:val="center"/>
          </w:tcPr>
          <w:p w14:paraId="1FD6ACD1">
            <w:pPr>
              <w:pStyle w:val="180"/>
              <w:rPr>
                <w:rFonts w:ascii="Times New Roman"/>
              </w:rPr>
            </w:pPr>
          </w:p>
        </w:tc>
        <w:tc>
          <w:tcPr>
            <w:tcW w:w="1417" w:type="dxa"/>
            <w:shd w:val="clear" w:color="auto" w:fill="auto"/>
            <w:vAlign w:val="center"/>
          </w:tcPr>
          <w:p w14:paraId="09B0817B">
            <w:pPr>
              <w:pStyle w:val="180"/>
              <w:rPr>
                <w:rFonts w:ascii="Times New Roman"/>
              </w:rPr>
            </w:pPr>
            <w:r>
              <w:rPr>
                <w:rFonts w:ascii="Times New Roman"/>
              </w:rPr>
              <w:t>草本沼泽</w:t>
            </w:r>
          </w:p>
        </w:tc>
        <w:tc>
          <w:tcPr>
            <w:tcW w:w="5233" w:type="dxa"/>
            <w:shd w:val="clear" w:color="auto" w:fill="auto"/>
            <w:vAlign w:val="center"/>
          </w:tcPr>
          <w:p w14:paraId="5363FDF6">
            <w:pPr>
              <w:pStyle w:val="180"/>
              <w:rPr>
                <w:rFonts w:ascii="Times New Roman"/>
              </w:rPr>
            </w:pPr>
            <w:r>
              <w:rPr>
                <w:rFonts w:ascii="Times New Roman"/>
              </w:rPr>
              <w:t>沼泽地</w:t>
            </w:r>
          </w:p>
        </w:tc>
      </w:tr>
      <w:tr w14:paraId="1AE94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6AE98AD0">
            <w:pPr>
              <w:pStyle w:val="180"/>
              <w:rPr>
                <w:rFonts w:ascii="Times New Roman"/>
              </w:rPr>
            </w:pPr>
          </w:p>
        </w:tc>
        <w:tc>
          <w:tcPr>
            <w:tcW w:w="1418" w:type="dxa"/>
            <w:vMerge w:val="restart"/>
            <w:shd w:val="clear" w:color="auto" w:fill="auto"/>
            <w:vAlign w:val="center"/>
          </w:tcPr>
          <w:p w14:paraId="1C7F3C29">
            <w:pPr>
              <w:pStyle w:val="180"/>
              <w:rPr>
                <w:rFonts w:ascii="Times New Roman"/>
              </w:rPr>
            </w:pPr>
            <w:r>
              <w:rPr>
                <w:rFonts w:ascii="Times New Roman"/>
              </w:rPr>
              <w:t>湖库</w:t>
            </w:r>
          </w:p>
        </w:tc>
        <w:tc>
          <w:tcPr>
            <w:tcW w:w="1417" w:type="dxa"/>
            <w:shd w:val="clear" w:color="auto" w:fill="auto"/>
            <w:vAlign w:val="center"/>
          </w:tcPr>
          <w:p w14:paraId="5833A844">
            <w:pPr>
              <w:pStyle w:val="180"/>
              <w:rPr>
                <w:rFonts w:ascii="Times New Roman"/>
              </w:rPr>
            </w:pPr>
            <w:r>
              <w:rPr>
                <w:rFonts w:ascii="Times New Roman"/>
              </w:rPr>
              <w:t>湖泊</w:t>
            </w:r>
          </w:p>
        </w:tc>
        <w:tc>
          <w:tcPr>
            <w:tcW w:w="5233" w:type="dxa"/>
            <w:shd w:val="clear" w:color="auto" w:fill="auto"/>
            <w:vAlign w:val="center"/>
          </w:tcPr>
          <w:p w14:paraId="50CB1B75">
            <w:pPr>
              <w:pStyle w:val="180"/>
              <w:rPr>
                <w:rFonts w:ascii="Times New Roman"/>
              </w:rPr>
            </w:pPr>
            <w:r>
              <w:rPr>
                <w:rFonts w:ascii="Times New Roman"/>
              </w:rPr>
              <w:t>湖泊水面、内陆滩涂</w:t>
            </w:r>
            <w:r>
              <w:rPr>
                <w:rFonts w:hint="eastAsia" w:ascii="Times New Roman"/>
                <w:vertAlign w:val="superscript"/>
              </w:rPr>
              <w:t>e</w:t>
            </w:r>
            <w:r>
              <w:rPr>
                <w:rFonts w:ascii="Times New Roman"/>
              </w:rPr>
              <w:t>、水工建筑用地</w:t>
            </w:r>
            <w:r>
              <w:rPr>
                <w:rFonts w:hint="eastAsia" w:ascii="Times New Roman"/>
                <w:vertAlign w:val="superscript"/>
              </w:rPr>
              <w:t>f</w:t>
            </w:r>
          </w:p>
        </w:tc>
      </w:tr>
      <w:tr w14:paraId="2D4CE6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0166F401">
            <w:pPr>
              <w:pStyle w:val="180"/>
              <w:rPr>
                <w:rFonts w:ascii="Times New Roman"/>
              </w:rPr>
            </w:pPr>
          </w:p>
        </w:tc>
        <w:tc>
          <w:tcPr>
            <w:tcW w:w="1418" w:type="dxa"/>
            <w:vMerge w:val="continue"/>
            <w:shd w:val="clear" w:color="auto" w:fill="auto"/>
            <w:vAlign w:val="center"/>
          </w:tcPr>
          <w:p w14:paraId="65AB7871">
            <w:pPr>
              <w:pStyle w:val="180"/>
              <w:rPr>
                <w:rFonts w:ascii="Times New Roman"/>
              </w:rPr>
            </w:pPr>
          </w:p>
        </w:tc>
        <w:tc>
          <w:tcPr>
            <w:tcW w:w="1417" w:type="dxa"/>
            <w:shd w:val="clear" w:color="auto" w:fill="auto"/>
            <w:vAlign w:val="center"/>
          </w:tcPr>
          <w:p w14:paraId="7E387C16">
            <w:pPr>
              <w:pStyle w:val="180"/>
              <w:rPr>
                <w:rFonts w:ascii="Times New Roman"/>
              </w:rPr>
            </w:pPr>
            <w:r>
              <w:rPr>
                <w:rFonts w:ascii="Times New Roman"/>
              </w:rPr>
              <w:t>水库/坑塘</w:t>
            </w:r>
          </w:p>
        </w:tc>
        <w:tc>
          <w:tcPr>
            <w:tcW w:w="5233" w:type="dxa"/>
            <w:shd w:val="clear" w:color="auto" w:fill="auto"/>
            <w:vAlign w:val="center"/>
          </w:tcPr>
          <w:p w14:paraId="57FD5905">
            <w:pPr>
              <w:pStyle w:val="180"/>
              <w:rPr>
                <w:rFonts w:ascii="Times New Roman"/>
              </w:rPr>
            </w:pPr>
            <w:r>
              <w:rPr>
                <w:rFonts w:ascii="Times New Roman"/>
              </w:rPr>
              <w:t>水库水面、坑塘水面、水工建筑用地</w:t>
            </w:r>
            <w:r>
              <w:rPr>
                <w:rFonts w:hint="eastAsia" w:ascii="Times New Roman"/>
                <w:vertAlign w:val="superscript"/>
              </w:rPr>
              <w:t>f</w:t>
            </w:r>
          </w:p>
        </w:tc>
      </w:tr>
      <w:tr w14:paraId="0E2A7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7A3602AB">
            <w:pPr>
              <w:pStyle w:val="180"/>
              <w:rPr>
                <w:rFonts w:ascii="Times New Roman"/>
              </w:rPr>
            </w:pPr>
          </w:p>
        </w:tc>
        <w:tc>
          <w:tcPr>
            <w:tcW w:w="1418" w:type="dxa"/>
            <w:vMerge w:val="restart"/>
            <w:shd w:val="clear" w:color="auto" w:fill="auto"/>
            <w:vAlign w:val="center"/>
          </w:tcPr>
          <w:p w14:paraId="05114A98">
            <w:pPr>
              <w:pStyle w:val="180"/>
              <w:rPr>
                <w:rFonts w:ascii="Times New Roman"/>
              </w:rPr>
            </w:pPr>
            <w:r>
              <w:rPr>
                <w:rFonts w:ascii="Times New Roman"/>
              </w:rPr>
              <w:t>河流</w:t>
            </w:r>
          </w:p>
        </w:tc>
        <w:tc>
          <w:tcPr>
            <w:tcW w:w="1417" w:type="dxa"/>
            <w:shd w:val="clear" w:color="auto" w:fill="auto"/>
            <w:vAlign w:val="center"/>
          </w:tcPr>
          <w:p w14:paraId="03674F10">
            <w:pPr>
              <w:pStyle w:val="180"/>
              <w:rPr>
                <w:rFonts w:ascii="Times New Roman"/>
              </w:rPr>
            </w:pPr>
            <w:r>
              <w:rPr>
                <w:rFonts w:ascii="Times New Roman"/>
              </w:rPr>
              <w:t>河流</w:t>
            </w:r>
          </w:p>
        </w:tc>
        <w:tc>
          <w:tcPr>
            <w:tcW w:w="5233" w:type="dxa"/>
            <w:shd w:val="clear" w:color="auto" w:fill="auto"/>
            <w:vAlign w:val="center"/>
          </w:tcPr>
          <w:p w14:paraId="2D50C1E0">
            <w:pPr>
              <w:pStyle w:val="180"/>
              <w:rPr>
                <w:rFonts w:ascii="Times New Roman"/>
              </w:rPr>
            </w:pPr>
            <w:r>
              <w:rPr>
                <w:rFonts w:ascii="Times New Roman"/>
              </w:rPr>
              <w:t>河流水面、内陆滩涂</w:t>
            </w:r>
            <w:r>
              <w:rPr>
                <w:rFonts w:hint="eastAsia" w:ascii="Times New Roman"/>
                <w:vertAlign w:val="superscript"/>
              </w:rPr>
              <w:t>e</w:t>
            </w:r>
            <w:r>
              <w:rPr>
                <w:rFonts w:ascii="Times New Roman"/>
              </w:rPr>
              <w:t>、水工建筑用地</w:t>
            </w:r>
            <w:r>
              <w:rPr>
                <w:rFonts w:hint="eastAsia" w:ascii="Times New Roman"/>
                <w:vertAlign w:val="superscript"/>
              </w:rPr>
              <w:t>f</w:t>
            </w:r>
          </w:p>
        </w:tc>
      </w:tr>
      <w:tr w14:paraId="04E0C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0E12162D">
            <w:pPr>
              <w:pStyle w:val="180"/>
              <w:rPr>
                <w:rFonts w:ascii="Times New Roman"/>
              </w:rPr>
            </w:pPr>
          </w:p>
        </w:tc>
        <w:tc>
          <w:tcPr>
            <w:tcW w:w="1418" w:type="dxa"/>
            <w:vMerge w:val="continue"/>
            <w:shd w:val="clear" w:color="auto" w:fill="auto"/>
            <w:vAlign w:val="center"/>
          </w:tcPr>
          <w:p w14:paraId="66E97CDC">
            <w:pPr>
              <w:pStyle w:val="180"/>
              <w:rPr>
                <w:rFonts w:ascii="Times New Roman"/>
              </w:rPr>
            </w:pPr>
          </w:p>
        </w:tc>
        <w:tc>
          <w:tcPr>
            <w:tcW w:w="1417" w:type="dxa"/>
            <w:shd w:val="clear" w:color="auto" w:fill="auto"/>
            <w:vAlign w:val="center"/>
          </w:tcPr>
          <w:p w14:paraId="2667ECD3">
            <w:pPr>
              <w:pStyle w:val="180"/>
              <w:rPr>
                <w:rFonts w:ascii="Times New Roman"/>
              </w:rPr>
            </w:pPr>
            <w:r>
              <w:rPr>
                <w:rFonts w:ascii="Times New Roman"/>
              </w:rPr>
              <w:t>运河/水渠</w:t>
            </w:r>
          </w:p>
        </w:tc>
        <w:tc>
          <w:tcPr>
            <w:tcW w:w="5233" w:type="dxa"/>
            <w:shd w:val="clear" w:color="auto" w:fill="auto"/>
            <w:vAlign w:val="center"/>
          </w:tcPr>
          <w:p w14:paraId="7BF51984">
            <w:pPr>
              <w:pStyle w:val="180"/>
              <w:rPr>
                <w:rFonts w:ascii="Times New Roman"/>
              </w:rPr>
            </w:pPr>
            <w:r>
              <w:rPr>
                <w:rFonts w:ascii="Times New Roman"/>
              </w:rPr>
              <w:t>沟渠、水工建筑用地</w:t>
            </w:r>
            <w:r>
              <w:rPr>
                <w:rFonts w:hint="eastAsia" w:ascii="Times New Roman"/>
                <w:vertAlign w:val="superscript"/>
              </w:rPr>
              <w:t>f</w:t>
            </w:r>
          </w:p>
        </w:tc>
      </w:tr>
      <w:tr w14:paraId="26F4FF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3E18E151">
            <w:pPr>
              <w:pStyle w:val="180"/>
              <w:rPr>
                <w:rFonts w:ascii="Times New Roman"/>
              </w:rPr>
            </w:pPr>
            <w:r>
              <w:rPr>
                <w:rFonts w:ascii="Times New Roman"/>
              </w:rPr>
              <w:t>农田生态系统</w:t>
            </w:r>
          </w:p>
        </w:tc>
        <w:tc>
          <w:tcPr>
            <w:tcW w:w="1418" w:type="dxa"/>
            <w:vMerge w:val="restart"/>
            <w:shd w:val="clear" w:color="auto" w:fill="auto"/>
            <w:vAlign w:val="center"/>
          </w:tcPr>
          <w:p w14:paraId="5B88A8CE">
            <w:pPr>
              <w:pStyle w:val="180"/>
              <w:rPr>
                <w:rFonts w:ascii="Times New Roman"/>
              </w:rPr>
            </w:pPr>
            <w:r>
              <w:rPr>
                <w:rFonts w:ascii="Times New Roman"/>
              </w:rPr>
              <w:t>耕地</w:t>
            </w:r>
          </w:p>
        </w:tc>
        <w:tc>
          <w:tcPr>
            <w:tcW w:w="1417" w:type="dxa"/>
            <w:shd w:val="clear" w:color="auto" w:fill="auto"/>
            <w:vAlign w:val="center"/>
          </w:tcPr>
          <w:p w14:paraId="24C0D283">
            <w:pPr>
              <w:pStyle w:val="180"/>
              <w:rPr>
                <w:rFonts w:ascii="Times New Roman"/>
              </w:rPr>
            </w:pPr>
            <w:r>
              <w:rPr>
                <w:rFonts w:ascii="Times New Roman"/>
              </w:rPr>
              <w:t>水田</w:t>
            </w:r>
          </w:p>
        </w:tc>
        <w:tc>
          <w:tcPr>
            <w:tcW w:w="5233" w:type="dxa"/>
            <w:shd w:val="clear" w:color="auto" w:fill="auto"/>
            <w:vAlign w:val="center"/>
          </w:tcPr>
          <w:p w14:paraId="14589FBE">
            <w:pPr>
              <w:pStyle w:val="180"/>
              <w:rPr>
                <w:rFonts w:ascii="Times New Roman"/>
              </w:rPr>
            </w:pPr>
            <w:r>
              <w:rPr>
                <w:rFonts w:ascii="Times New Roman"/>
              </w:rPr>
              <w:t>水田、田坎</w:t>
            </w:r>
            <w:r>
              <w:rPr>
                <w:rFonts w:hint="eastAsia" w:ascii="Times New Roman"/>
                <w:vertAlign w:val="superscript"/>
              </w:rPr>
              <w:t>g</w:t>
            </w:r>
          </w:p>
        </w:tc>
      </w:tr>
      <w:tr w14:paraId="2D482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2001B73D">
            <w:pPr>
              <w:pStyle w:val="180"/>
              <w:rPr>
                <w:rFonts w:ascii="Times New Roman"/>
              </w:rPr>
            </w:pPr>
          </w:p>
        </w:tc>
        <w:tc>
          <w:tcPr>
            <w:tcW w:w="1418" w:type="dxa"/>
            <w:vMerge w:val="continue"/>
            <w:shd w:val="clear" w:color="auto" w:fill="auto"/>
            <w:vAlign w:val="center"/>
          </w:tcPr>
          <w:p w14:paraId="7CDF70C1">
            <w:pPr>
              <w:pStyle w:val="180"/>
              <w:rPr>
                <w:rFonts w:ascii="Times New Roman"/>
              </w:rPr>
            </w:pPr>
          </w:p>
        </w:tc>
        <w:tc>
          <w:tcPr>
            <w:tcW w:w="1417" w:type="dxa"/>
            <w:shd w:val="clear" w:color="auto" w:fill="auto"/>
            <w:vAlign w:val="center"/>
          </w:tcPr>
          <w:p w14:paraId="22F594E6">
            <w:pPr>
              <w:pStyle w:val="180"/>
              <w:rPr>
                <w:rFonts w:ascii="Times New Roman"/>
              </w:rPr>
            </w:pPr>
            <w:r>
              <w:rPr>
                <w:rFonts w:ascii="Times New Roman"/>
              </w:rPr>
              <w:t>旱地</w:t>
            </w:r>
          </w:p>
        </w:tc>
        <w:tc>
          <w:tcPr>
            <w:tcW w:w="5233" w:type="dxa"/>
            <w:shd w:val="clear" w:color="auto" w:fill="auto"/>
            <w:vAlign w:val="center"/>
          </w:tcPr>
          <w:p w14:paraId="425E0DE7">
            <w:pPr>
              <w:pStyle w:val="180"/>
              <w:rPr>
                <w:rFonts w:ascii="Times New Roman"/>
              </w:rPr>
            </w:pPr>
            <w:r>
              <w:rPr>
                <w:rFonts w:ascii="Times New Roman"/>
              </w:rPr>
              <w:t>旱地、水浇地、设施农用地、田坎</w:t>
            </w:r>
            <w:r>
              <w:rPr>
                <w:rFonts w:hint="eastAsia" w:ascii="Times New Roman"/>
                <w:vertAlign w:val="superscript"/>
              </w:rPr>
              <w:t>g</w:t>
            </w:r>
          </w:p>
        </w:tc>
      </w:tr>
      <w:tr w14:paraId="1DC31F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43588D1C">
            <w:pPr>
              <w:pStyle w:val="180"/>
              <w:rPr>
                <w:rFonts w:ascii="Times New Roman"/>
              </w:rPr>
            </w:pPr>
          </w:p>
        </w:tc>
        <w:tc>
          <w:tcPr>
            <w:tcW w:w="1418" w:type="dxa"/>
            <w:vMerge w:val="restart"/>
            <w:shd w:val="clear" w:color="auto" w:fill="auto"/>
            <w:vAlign w:val="center"/>
          </w:tcPr>
          <w:p w14:paraId="372A3A4C">
            <w:pPr>
              <w:pStyle w:val="180"/>
              <w:rPr>
                <w:rFonts w:ascii="Times New Roman"/>
              </w:rPr>
            </w:pPr>
            <w:r>
              <w:rPr>
                <w:rFonts w:ascii="Times New Roman"/>
              </w:rPr>
              <w:t>园地</w:t>
            </w:r>
          </w:p>
        </w:tc>
        <w:tc>
          <w:tcPr>
            <w:tcW w:w="1417" w:type="dxa"/>
            <w:shd w:val="clear" w:color="auto" w:fill="auto"/>
            <w:vAlign w:val="center"/>
          </w:tcPr>
          <w:p w14:paraId="6A0B4841">
            <w:pPr>
              <w:pStyle w:val="180"/>
              <w:rPr>
                <w:rFonts w:ascii="Times New Roman"/>
              </w:rPr>
            </w:pPr>
            <w:r>
              <w:rPr>
                <w:rFonts w:ascii="Times New Roman"/>
              </w:rPr>
              <w:t>乔木园地</w:t>
            </w:r>
          </w:p>
        </w:tc>
        <w:tc>
          <w:tcPr>
            <w:tcW w:w="5233" w:type="dxa"/>
            <w:shd w:val="clear" w:color="auto" w:fill="auto"/>
            <w:vAlign w:val="center"/>
          </w:tcPr>
          <w:p w14:paraId="4DDFCCDD">
            <w:pPr>
              <w:pStyle w:val="180"/>
              <w:rPr>
                <w:rFonts w:ascii="Times New Roman"/>
              </w:rPr>
            </w:pPr>
            <w:r>
              <w:rPr>
                <w:rFonts w:ascii="Times New Roman"/>
              </w:rPr>
              <w:t>果园</w:t>
            </w:r>
          </w:p>
        </w:tc>
      </w:tr>
      <w:tr w14:paraId="09015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61A28D61">
            <w:pPr>
              <w:pStyle w:val="180"/>
              <w:rPr>
                <w:rFonts w:ascii="Times New Roman"/>
              </w:rPr>
            </w:pPr>
          </w:p>
        </w:tc>
        <w:tc>
          <w:tcPr>
            <w:tcW w:w="1418" w:type="dxa"/>
            <w:vMerge w:val="continue"/>
            <w:shd w:val="clear" w:color="auto" w:fill="auto"/>
            <w:vAlign w:val="center"/>
          </w:tcPr>
          <w:p w14:paraId="3416AD29">
            <w:pPr>
              <w:pStyle w:val="180"/>
              <w:rPr>
                <w:rFonts w:ascii="Times New Roman"/>
              </w:rPr>
            </w:pPr>
          </w:p>
        </w:tc>
        <w:tc>
          <w:tcPr>
            <w:tcW w:w="1417" w:type="dxa"/>
            <w:shd w:val="clear" w:color="auto" w:fill="auto"/>
            <w:vAlign w:val="center"/>
          </w:tcPr>
          <w:p w14:paraId="64FDDF73">
            <w:pPr>
              <w:pStyle w:val="180"/>
              <w:rPr>
                <w:rFonts w:ascii="Times New Roman"/>
              </w:rPr>
            </w:pPr>
            <w:r>
              <w:rPr>
                <w:rFonts w:ascii="Times New Roman"/>
              </w:rPr>
              <w:t>灌木园地</w:t>
            </w:r>
          </w:p>
        </w:tc>
        <w:tc>
          <w:tcPr>
            <w:tcW w:w="5233" w:type="dxa"/>
            <w:shd w:val="clear" w:color="auto" w:fill="auto"/>
            <w:vAlign w:val="center"/>
          </w:tcPr>
          <w:p w14:paraId="7A722BA5">
            <w:pPr>
              <w:pStyle w:val="180"/>
              <w:rPr>
                <w:rFonts w:ascii="Times New Roman"/>
              </w:rPr>
            </w:pPr>
            <w:r>
              <w:rPr>
                <w:rFonts w:ascii="Times New Roman"/>
              </w:rPr>
              <w:t>茶园、其他园地</w:t>
            </w:r>
          </w:p>
        </w:tc>
      </w:tr>
      <w:tr w14:paraId="25A476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13559729">
            <w:pPr>
              <w:pStyle w:val="180"/>
              <w:rPr>
                <w:rFonts w:ascii="Times New Roman"/>
              </w:rPr>
            </w:pPr>
            <w:r>
              <w:rPr>
                <w:rFonts w:ascii="Times New Roman"/>
              </w:rPr>
              <w:t>城市生态系统（建成区）</w:t>
            </w:r>
          </w:p>
        </w:tc>
        <w:tc>
          <w:tcPr>
            <w:tcW w:w="1418" w:type="dxa"/>
            <w:vMerge w:val="restart"/>
            <w:shd w:val="clear" w:color="auto" w:fill="auto"/>
            <w:vAlign w:val="center"/>
          </w:tcPr>
          <w:p w14:paraId="5594BA30">
            <w:pPr>
              <w:pStyle w:val="180"/>
              <w:rPr>
                <w:rFonts w:ascii="Times New Roman"/>
              </w:rPr>
            </w:pPr>
            <w:r>
              <w:rPr>
                <w:rFonts w:ascii="Times New Roman"/>
              </w:rPr>
              <w:t>/</w:t>
            </w:r>
          </w:p>
        </w:tc>
        <w:tc>
          <w:tcPr>
            <w:tcW w:w="1417" w:type="dxa"/>
            <w:shd w:val="clear" w:color="auto" w:fill="auto"/>
            <w:vAlign w:val="center"/>
          </w:tcPr>
          <w:p w14:paraId="45B7A96A">
            <w:pPr>
              <w:pStyle w:val="180"/>
              <w:rPr>
                <w:rFonts w:ascii="Times New Roman"/>
              </w:rPr>
            </w:pPr>
            <w:r>
              <w:rPr>
                <w:rFonts w:ascii="Times New Roman"/>
              </w:rPr>
              <w:t>居住地</w:t>
            </w:r>
          </w:p>
        </w:tc>
        <w:tc>
          <w:tcPr>
            <w:tcW w:w="5233" w:type="dxa"/>
            <w:shd w:val="clear" w:color="auto" w:fill="auto"/>
            <w:vAlign w:val="center"/>
          </w:tcPr>
          <w:p w14:paraId="31EB2984">
            <w:pPr>
              <w:pStyle w:val="180"/>
              <w:rPr>
                <w:rFonts w:ascii="Times New Roman"/>
              </w:rPr>
            </w:pPr>
            <w:r>
              <w:rPr>
                <w:rFonts w:ascii="Times New Roman"/>
              </w:rPr>
              <w:t>城市、建制镇、村庄</w:t>
            </w:r>
          </w:p>
        </w:tc>
      </w:tr>
      <w:tr w14:paraId="3DF46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317286D6">
            <w:pPr>
              <w:pStyle w:val="180"/>
              <w:rPr>
                <w:rFonts w:ascii="Times New Roman"/>
              </w:rPr>
            </w:pPr>
          </w:p>
        </w:tc>
        <w:tc>
          <w:tcPr>
            <w:tcW w:w="1418" w:type="dxa"/>
            <w:vMerge w:val="continue"/>
            <w:shd w:val="clear" w:color="auto" w:fill="auto"/>
            <w:vAlign w:val="center"/>
          </w:tcPr>
          <w:p w14:paraId="11AB9071">
            <w:pPr>
              <w:pStyle w:val="180"/>
              <w:rPr>
                <w:rFonts w:ascii="Times New Roman"/>
              </w:rPr>
            </w:pPr>
          </w:p>
        </w:tc>
        <w:tc>
          <w:tcPr>
            <w:tcW w:w="1417" w:type="dxa"/>
            <w:shd w:val="clear" w:color="auto" w:fill="auto"/>
            <w:vAlign w:val="center"/>
          </w:tcPr>
          <w:p w14:paraId="7DD10A93">
            <w:pPr>
              <w:pStyle w:val="180"/>
              <w:rPr>
                <w:rFonts w:ascii="Times New Roman"/>
              </w:rPr>
            </w:pPr>
            <w:r>
              <w:rPr>
                <w:rFonts w:ascii="Times New Roman"/>
              </w:rPr>
              <w:t>交通用地</w:t>
            </w:r>
          </w:p>
        </w:tc>
        <w:tc>
          <w:tcPr>
            <w:tcW w:w="5233" w:type="dxa"/>
            <w:shd w:val="clear" w:color="auto" w:fill="auto"/>
            <w:vAlign w:val="center"/>
          </w:tcPr>
          <w:p w14:paraId="578FAD33">
            <w:pPr>
              <w:pStyle w:val="180"/>
              <w:rPr>
                <w:rFonts w:ascii="Times New Roman"/>
              </w:rPr>
            </w:pPr>
            <w:r>
              <w:rPr>
                <w:rFonts w:ascii="Times New Roman"/>
              </w:rPr>
              <w:t>铁路交通用地、轨道交通用地、公路用地、农村道路、机场用地、港口码头用地、管道运输用地</w:t>
            </w:r>
          </w:p>
        </w:tc>
      </w:tr>
      <w:tr w14:paraId="7079D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64B3E132">
            <w:pPr>
              <w:pStyle w:val="180"/>
              <w:rPr>
                <w:rFonts w:ascii="Times New Roman"/>
              </w:rPr>
            </w:pPr>
          </w:p>
        </w:tc>
        <w:tc>
          <w:tcPr>
            <w:tcW w:w="1418" w:type="dxa"/>
            <w:vMerge w:val="continue"/>
            <w:shd w:val="clear" w:color="auto" w:fill="auto"/>
            <w:vAlign w:val="center"/>
          </w:tcPr>
          <w:p w14:paraId="63D31740">
            <w:pPr>
              <w:pStyle w:val="180"/>
              <w:rPr>
                <w:rFonts w:ascii="Times New Roman"/>
              </w:rPr>
            </w:pPr>
          </w:p>
        </w:tc>
        <w:tc>
          <w:tcPr>
            <w:tcW w:w="1417" w:type="dxa"/>
            <w:shd w:val="clear" w:color="auto" w:fill="auto"/>
            <w:vAlign w:val="center"/>
          </w:tcPr>
          <w:p w14:paraId="342FD528">
            <w:pPr>
              <w:pStyle w:val="180"/>
              <w:rPr>
                <w:rFonts w:ascii="Times New Roman"/>
              </w:rPr>
            </w:pPr>
            <w:r>
              <w:rPr>
                <w:rFonts w:ascii="Times New Roman"/>
              </w:rPr>
              <w:t>采矿场</w:t>
            </w:r>
          </w:p>
        </w:tc>
        <w:tc>
          <w:tcPr>
            <w:tcW w:w="5233" w:type="dxa"/>
            <w:shd w:val="clear" w:color="auto" w:fill="auto"/>
            <w:vAlign w:val="center"/>
          </w:tcPr>
          <w:p w14:paraId="2A113061">
            <w:pPr>
              <w:pStyle w:val="180"/>
              <w:rPr>
                <w:rFonts w:ascii="Times New Roman"/>
              </w:rPr>
            </w:pPr>
            <w:r>
              <w:rPr>
                <w:rFonts w:ascii="Times New Roman"/>
              </w:rPr>
              <w:t>采矿用地</w:t>
            </w:r>
          </w:p>
        </w:tc>
      </w:tr>
      <w:tr w14:paraId="1A0C1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14:paraId="0C951896">
            <w:pPr>
              <w:pStyle w:val="180"/>
              <w:rPr>
                <w:rFonts w:ascii="Times New Roman"/>
              </w:rPr>
            </w:pPr>
            <w:r>
              <w:rPr>
                <w:rFonts w:ascii="Times New Roman"/>
              </w:rPr>
              <w:t>荒漠生态系统</w:t>
            </w:r>
            <w:r>
              <w:rPr>
                <w:rFonts w:ascii="Times New Roman"/>
                <w:vertAlign w:val="superscript"/>
              </w:rPr>
              <w:t>i</w:t>
            </w:r>
          </w:p>
        </w:tc>
        <w:tc>
          <w:tcPr>
            <w:tcW w:w="1418" w:type="dxa"/>
            <w:vMerge w:val="restart"/>
            <w:shd w:val="clear" w:color="auto" w:fill="auto"/>
            <w:vAlign w:val="center"/>
          </w:tcPr>
          <w:p w14:paraId="4EDCFA33">
            <w:pPr>
              <w:pStyle w:val="180"/>
              <w:rPr>
                <w:rFonts w:ascii="Times New Roman"/>
              </w:rPr>
            </w:pPr>
            <w:r>
              <w:rPr>
                <w:rFonts w:ascii="Times New Roman"/>
              </w:rPr>
              <w:t>沙地</w:t>
            </w:r>
          </w:p>
        </w:tc>
        <w:tc>
          <w:tcPr>
            <w:tcW w:w="1417" w:type="dxa"/>
            <w:shd w:val="clear" w:color="auto" w:fill="auto"/>
            <w:vAlign w:val="center"/>
          </w:tcPr>
          <w:p w14:paraId="0E7749DA">
            <w:pPr>
              <w:pStyle w:val="180"/>
              <w:rPr>
                <w:rFonts w:ascii="Times New Roman"/>
              </w:rPr>
            </w:pPr>
            <w:r>
              <w:rPr>
                <w:rFonts w:ascii="Times New Roman"/>
              </w:rPr>
              <w:t>沙地</w:t>
            </w:r>
          </w:p>
        </w:tc>
        <w:tc>
          <w:tcPr>
            <w:tcW w:w="5233" w:type="dxa"/>
            <w:shd w:val="clear" w:color="auto" w:fill="auto"/>
            <w:vAlign w:val="center"/>
          </w:tcPr>
          <w:p w14:paraId="1158E313">
            <w:pPr>
              <w:pStyle w:val="180"/>
              <w:rPr>
                <w:rFonts w:ascii="Times New Roman"/>
              </w:rPr>
            </w:pPr>
            <w:r>
              <w:rPr>
                <w:rFonts w:ascii="Times New Roman"/>
              </w:rPr>
              <w:t>沙地</w:t>
            </w:r>
          </w:p>
        </w:tc>
      </w:tr>
      <w:tr w14:paraId="163302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14:paraId="5BD5FBCB">
            <w:pPr>
              <w:pStyle w:val="180"/>
              <w:rPr>
                <w:rFonts w:ascii="Times New Roman"/>
              </w:rPr>
            </w:pPr>
          </w:p>
        </w:tc>
        <w:tc>
          <w:tcPr>
            <w:tcW w:w="1418" w:type="dxa"/>
            <w:vMerge w:val="continue"/>
            <w:shd w:val="clear" w:color="auto" w:fill="auto"/>
            <w:vAlign w:val="center"/>
          </w:tcPr>
          <w:p w14:paraId="3B298C57">
            <w:pPr>
              <w:pStyle w:val="180"/>
              <w:rPr>
                <w:rFonts w:ascii="Times New Roman"/>
              </w:rPr>
            </w:pPr>
          </w:p>
        </w:tc>
        <w:tc>
          <w:tcPr>
            <w:tcW w:w="1417" w:type="dxa"/>
            <w:shd w:val="clear" w:color="auto" w:fill="auto"/>
            <w:vAlign w:val="center"/>
          </w:tcPr>
          <w:p w14:paraId="43F9A72B">
            <w:pPr>
              <w:pStyle w:val="180"/>
              <w:rPr>
                <w:rFonts w:ascii="Times New Roman"/>
              </w:rPr>
            </w:pPr>
            <w:r>
              <w:rPr>
                <w:rFonts w:ascii="Times New Roman"/>
              </w:rPr>
              <w:t>裸岩</w:t>
            </w:r>
          </w:p>
        </w:tc>
        <w:tc>
          <w:tcPr>
            <w:tcW w:w="5233" w:type="dxa"/>
            <w:shd w:val="clear" w:color="auto" w:fill="auto"/>
            <w:vAlign w:val="center"/>
          </w:tcPr>
          <w:p w14:paraId="5B8EF3FC">
            <w:pPr>
              <w:pStyle w:val="180"/>
              <w:rPr>
                <w:rFonts w:ascii="Times New Roman"/>
              </w:rPr>
            </w:pPr>
            <w:r>
              <w:rPr>
                <w:rFonts w:ascii="Times New Roman"/>
              </w:rPr>
              <w:t>裸岩石砾地</w:t>
            </w:r>
          </w:p>
        </w:tc>
      </w:tr>
    </w:tbl>
    <w:p w14:paraId="3DFF8721">
      <w:pPr>
        <w:pStyle w:val="58"/>
        <w:pageBreakBefore/>
        <w:spacing w:before="156" w:beforeLines="50" w:after="156" w:afterLines="50"/>
        <w:ind w:firstLine="0" w:firstLineChars="0"/>
        <w:jc w:val="center"/>
        <w:rPr>
          <w:rFonts w:ascii="Times New Roman" w:eastAsia="黑体"/>
        </w:rPr>
      </w:pPr>
      <w:r>
        <w:rPr>
          <w:rFonts w:ascii="Times New Roman" w:eastAsia="黑体"/>
        </w:rPr>
        <w:t>表B.1 生态系统分类与土地利用类型对照</w:t>
      </w:r>
      <w:r>
        <w:rPr>
          <w:rFonts w:ascii="Times New Roman"/>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34"/>
      </w:tblGrid>
      <w:tr w14:paraId="5B8240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tcBorders>
              <w:top w:val="single" w:color="auto" w:sz="8" w:space="0"/>
              <w:bottom w:val="single" w:color="auto" w:sz="8" w:space="0"/>
            </w:tcBorders>
            <w:shd w:val="clear" w:color="auto" w:fill="auto"/>
            <w:vAlign w:val="center"/>
          </w:tcPr>
          <w:p w14:paraId="0EEFE538">
            <w:pPr>
              <w:pStyle w:val="103"/>
              <w:rPr>
                <w:rFonts w:ascii="Times New Roman" w:hAnsi="Times New Roman"/>
              </w:rPr>
            </w:pPr>
            <w:r>
              <w:rPr>
                <w:rFonts w:hint="eastAsia" w:ascii="Times New Roman" w:hAnsi="Times New Roman"/>
              </w:rPr>
              <w:t>“/”指无法准确对照至某一项或几项分类；</w:t>
            </w:r>
          </w:p>
          <w:p w14:paraId="24393BDC">
            <w:pPr>
              <w:pStyle w:val="103"/>
              <w:rPr>
                <w:rFonts w:ascii="Times New Roman" w:hAnsi="Times New Roman"/>
              </w:rPr>
            </w:pPr>
            <w:r>
              <w:rPr>
                <w:rFonts w:hint="eastAsia" w:ascii="Times New Roman" w:hAnsi="Times New Roman"/>
              </w:rPr>
              <w:t>湖泊沿岸的内陆滩涂用地，对照至湖泊生态系统；河流沿岸的内陆滩涂用地，对照至河流生态系统；</w:t>
            </w:r>
          </w:p>
          <w:p w14:paraId="42BA2856">
            <w:pPr>
              <w:pStyle w:val="103"/>
              <w:rPr>
                <w:rFonts w:ascii="Times New Roman" w:hAnsi="Times New Roman"/>
              </w:rPr>
            </w:pPr>
            <w:r>
              <w:rPr>
                <w:rFonts w:hint="eastAsia" w:ascii="Times New Roman" w:hAnsi="Times New Roman"/>
              </w:rPr>
              <w:t>湖泊周边的水工建筑用地，对照至湖泊生态系统；水库和坑塘周边的水工建筑用地，对照至水库/坑塘生态系统；河流周边的水工建筑用地，对照至河流生态系统；沟渠周边的水工建筑用地，对照至运河/水渠生态系统；</w:t>
            </w:r>
          </w:p>
          <w:p w14:paraId="7AAA34AB">
            <w:pPr>
              <w:pStyle w:val="103"/>
              <w:rPr>
                <w:rFonts w:ascii="Times New Roman" w:hAnsi="Times New Roman"/>
              </w:rPr>
            </w:pPr>
            <w:r>
              <w:rPr>
                <w:rFonts w:hint="eastAsia" w:ascii="Times New Roman" w:hAnsi="Times New Roman"/>
              </w:rPr>
              <w:t>紧邻水田的田坎，对照至水田生态系统；紧邻旱地、水浇地、设施农用地的田坎，对照至旱地生态系统；</w:t>
            </w:r>
          </w:p>
          <w:p w14:paraId="6EB3849F">
            <w:pPr>
              <w:pStyle w:val="103"/>
              <w:rPr>
                <w:rFonts w:ascii="Times New Roman" w:hAnsi="Times New Roman"/>
              </w:rPr>
            </w:pPr>
            <w:r>
              <w:rPr>
                <w:rFonts w:hint="eastAsia" w:ascii="Times New Roman" w:hAnsi="Times New Roman"/>
              </w:rPr>
              <w:t>安徽省荒漠生态系统面积较小，一般不纳入GEP评估；</w:t>
            </w:r>
          </w:p>
          <w:p w14:paraId="77F3B561">
            <w:pPr>
              <w:pStyle w:val="103"/>
              <w:rPr>
                <w:rFonts w:ascii="Times New Roman" w:hAnsi="Times New Roman"/>
              </w:rPr>
            </w:pPr>
            <w:r>
              <w:rPr>
                <w:rFonts w:hint="eastAsia" w:ascii="Times New Roman" w:hAnsi="Times New Roman"/>
              </w:rPr>
              <w:t>风景名胜及特殊用地，根据实际情况，分别对照至森林生态系统、草地生态系统、湿地生态系统、城市生态系统。</w:t>
            </w:r>
          </w:p>
        </w:tc>
      </w:tr>
      <w:bookmarkEnd w:id="135"/>
    </w:tbl>
    <w:p w14:paraId="2EF333DF">
      <w:pPr>
        <w:pStyle w:val="78"/>
        <w:spacing w:after="156"/>
        <w:rPr>
          <w:rFonts w:ascii="Times New Roman"/>
        </w:rPr>
      </w:pPr>
      <w:r>
        <w:rPr>
          <w:rFonts w:ascii="Times New Roman"/>
        </w:rPr>
        <w:br w:type="textWrapping"/>
      </w:r>
      <w:bookmarkStart w:id="141" w:name="_Toc192077517"/>
      <w:bookmarkStart w:id="142" w:name="_Toc179674307"/>
      <w:bookmarkStart w:id="143" w:name="_Toc203399079"/>
      <w:bookmarkStart w:id="144" w:name="_Toc203399475"/>
      <w:r>
        <w:rPr>
          <w:rFonts w:ascii="Times New Roman"/>
        </w:rPr>
        <w:t>（资料性）</w:t>
      </w:r>
      <w:r>
        <w:rPr>
          <w:rFonts w:ascii="Times New Roman"/>
        </w:rPr>
        <w:br w:type="textWrapping"/>
      </w:r>
      <w:r>
        <w:rPr>
          <w:rFonts w:ascii="Times New Roman"/>
        </w:rPr>
        <w:t>生态产品实物量和价值量核算关键参数</w:t>
      </w:r>
      <w:bookmarkEnd w:id="141"/>
      <w:bookmarkEnd w:id="142"/>
      <w:bookmarkEnd w:id="143"/>
      <w:bookmarkEnd w:id="144"/>
    </w:p>
    <w:p w14:paraId="4319B2E6">
      <w:pPr>
        <w:pStyle w:val="80"/>
        <w:spacing w:before="156" w:after="156"/>
        <w:rPr>
          <w:rFonts w:ascii="Times New Roman"/>
        </w:rPr>
      </w:pPr>
      <w:bookmarkStart w:id="145" w:name="_Toc203399080"/>
      <w:bookmarkStart w:id="146" w:name="_Toc192077518"/>
      <w:bookmarkStart w:id="147" w:name="_Toc203399476"/>
      <w:r>
        <w:rPr>
          <w:rFonts w:ascii="Times New Roman"/>
        </w:rPr>
        <w:t>参数计算的总体要求</w:t>
      </w:r>
      <w:bookmarkEnd w:id="145"/>
      <w:bookmarkEnd w:id="146"/>
      <w:bookmarkEnd w:id="147"/>
    </w:p>
    <w:p w14:paraId="4BF106EF">
      <w:pPr>
        <w:pStyle w:val="58"/>
        <w:ind w:firstLine="420"/>
        <w:rPr>
          <w:rFonts w:ascii="Times New Roman"/>
        </w:rPr>
      </w:pPr>
      <w:r>
        <w:rPr>
          <w:rFonts w:ascii="Times New Roman"/>
        </w:rPr>
        <w:t>本文件提供的参数计算方法和缺省值主要来自文献、书籍、研究报告等，仅作为数据缺乏时的参考。核算实践中，建议优先选择实际调查监测数据，有条件的地区可结合本地实际对参数进一步优化。</w:t>
      </w:r>
    </w:p>
    <w:p w14:paraId="78A3CF72">
      <w:pPr>
        <w:pStyle w:val="80"/>
        <w:spacing w:before="156" w:after="156"/>
        <w:rPr>
          <w:rFonts w:ascii="Times New Roman"/>
        </w:rPr>
      </w:pPr>
      <w:bookmarkStart w:id="148" w:name="_Toc203399081"/>
      <w:bookmarkStart w:id="149" w:name="_Toc179674308"/>
      <w:bookmarkStart w:id="150" w:name="_Toc203399477"/>
      <w:bookmarkStart w:id="151" w:name="_Toc192077519"/>
      <w:r>
        <w:rPr>
          <w:rFonts w:ascii="Times New Roman"/>
        </w:rPr>
        <w:t>物质供给核算主要参数</w:t>
      </w:r>
      <w:bookmarkEnd w:id="148"/>
      <w:bookmarkEnd w:id="149"/>
      <w:bookmarkEnd w:id="150"/>
      <w:bookmarkEnd w:id="151"/>
    </w:p>
    <w:p w14:paraId="3F5A3356">
      <w:pPr>
        <w:pStyle w:val="81"/>
        <w:spacing w:before="156" w:after="156"/>
        <w:rPr>
          <w:rFonts w:ascii="Times New Roman"/>
        </w:rPr>
      </w:pPr>
      <w:r>
        <w:rPr>
          <w:rFonts w:hint="eastAsia" w:ascii="Times New Roman"/>
        </w:rPr>
        <w:t>生物质</w:t>
      </w:r>
      <w:r>
        <w:rPr>
          <w:rFonts w:ascii="Times New Roman"/>
          <w:kern w:val="0"/>
        </w:rPr>
        <w:t>产品市场价格调整系数</w:t>
      </w:r>
    </w:p>
    <w:p w14:paraId="02704BE1">
      <w:pPr>
        <w:pStyle w:val="58"/>
        <w:ind w:firstLine="420"/>
        <w:rPr>
          <w:rFonts w:ascii="Times New Roman"/>
        </w:rPr>
      </w:pPr>
      <w:bookmarkStart w:id="152" w:name="_Hlk196830339"/>
      <w:r>
        <w:rPr>
          <w:rFonts w:ascii="Times New Roman"/>
        </w:rPr>
        <w:t>生态环境优劣影响下产品市场价格调整系数</w:t>
      </w:r>
      <w:r>
        <w:rPr>
          <w:rFonts w:hint="eastAsia" w:ascii="Times New Roman"/>
        </w:rPr>
        <w:t>，</w:t>
      </w:r>
      <w:r>
        <w:rPr>
          <w:rFonts w:ascii="Times New Roman"/>
        </w:rPr>
        <w:t>为实际市场价与公布价格之比，</w:t>
      </w:r>
      <w:r>
        <w:rPr>
          <w:rFonts w:hint="eastAsia" w:ascii="Times New Roman"/>
        </w:rPr>
        <w:t>可</w:t>
      </w:r>
      <w:r>
        <w:rPr>
          <w:rFonts w:ascii="Times New Roman"/>
        </w:rPr>
        <w:t>根据生态环境评估结果分级赋值</w:t>
      </w:r>
      <w:r>
        <w:rPr>
          <w:rFonts w:hint="eastAsia" w:ascii="Times New Roman"/>
        </w:rPr>
        <w:t>，</w:t>
      </w:r>
      <w:r>
        <w:rPr>
          <w:rFonts w:ascii="Times New Roman"/>
        </w:rPr>
        <w:t>默认</w:t>
      </w:r>
      <w:r>
        <w:rPr>
          <w:rFonts w:hint="eastAsia" w:ascii="Times New Roman"/>
        </w:rPr>
        <w:t>取</w:t>
      </w:r>
      <w:r>
        <w:rPr>
          <w:rFonts w:ascii="Times New Roman"/>
        </w:rPr>
        <w:t>1</w:t>
      </w:r>
      <w:r>
        <w:rPr>
          <w:rFonts w:hint="eastAsia" w:ascii="Times New Roman"/>
        </w:rPr>
        <w:t>。</w:t>
      </w:r>
      <w:r>
        <w:rPr>
          <w:rFonts w:ascii="Times New Roman"/>
        </w:rPr>
        <w:t>按照公式（C.1）计算</w:t>
      </w:r>
      <w:r>
        <w:rPr>
          <w:rFonts w:hint="eastAsia" w:ascii="Times New Roman"/>
        </w:rPr>
        <w:t>市场价格调整系数。</w:t>
      </w:r>
    </w:p>
    <w:bookmarkEnd w:id="152"/>
    <w:p w14:paraId="291B9DDA">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δ</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实际，i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公布，i</m:t>
                </m:r>
                <m:ctrlPr>
                  <w:rPr>
                    <w:rFonts w:ascii="Cambria Math" w:hAnsi="Cambria Math"/>
                    <w:i/>
                  </w:rPr>
                </m:ctrlPr>
              </m:sub>
            </m:sSub>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1</w:t>
      </w:r>
      <w:r>
        <w:rPr>
          <w:rFonts w:ascii="Times New Roman" w:hAnsi="Times New Roman"/>
        </w:rPr>
        <w:t>)</w:t>
      </w:r>
    </w:p>
    <w:p w14:paraId="238386FF">
      <w:pPr>
        <w:pStyle w:val="115"/>
        <w:rPr>
          <w:rFonts w:ascii="Times New Roman" w:hAnsi="Times New Roman"/>
        </w:rPr>
      </w:pPr>
      <w:r>
        <w:rPr>
          <w:rFonts w:hint="eastAsia" w:ascii="Times New Roman" w:hAnsi="Times New Roman"/>
        </w:rPr>
        <w:t>式中：</w:t>
      </w:r>
    </w:p>
    <w:p w14:paraId="07DEA41B">
      <w:pPr>
        <w:pStyle w:val="58"/>
        <w:ind w:firstLine="420"/>
        <w:rPr>
          <w:rFonts w:ascii="Times New Roman"/>
        </w:rPr>
      </w:pPr>
      <m:oMath>
        <m:sSub>
          <m:sSubPr>
            <m:ctrlPr>
              <w:rPr>
                <w:rFonts w:ascii="Cambria Math" w:hAnsi="Cambria Math"/>
              </w:rPr>
            </m:ctrlPr>
          </m:sSubPr>
          <m:e>
            <m:r>
              <m:rPr/>
              <w:rPr>
                <w:rFonts w:ascii="Cambria Math" w:hAnsi="Cambria Math"/>
              </w:rPr>
              <m:t>δ</m:t>
            </m:r>
            <m:ctrlPr>
              <w:rPr>
                <w:rFonts w:ascii="Cambria Math" w:hAnsi="Cambria Math"/>
              </w:rPr>
            </m:ctrlPr>
          </m:e>
          <m:sub>
            <m:r>
              <m:rPr/>
              <w:rPr>
                <w:rFonts w:ascii="Cambria Math" w:hAnsi="Cambria Math"/>
              </w:rPr>
              <m:t>i</m:t>
            </m:r>
            <m:ctrlPr>
              <w:rPr>
                <w:rFonts w:ascii="Cambria Math" w:hAnsi="Cambria Math"/>
              </w:rPr>
            </m:ctrlPr>
          </m:sub>
        </m:sSub>
      </m:oMath>
      <w:r>
        <w:rPr>
          <w:rFonts w:ascii="Times New Roman"/>
        </w:rPr>
        <w:t>——第</w:t>
      </w:r>
      <w:r>
        <w:rPr>
          <w:rFonts w:ascii="Times New Roman"/>
          <w:i/>
          <w:iCs/>
        </w:rPr>
        <w:t>i</w:t>
      </w:r>
      <w:r>
        <w:rPr>
          <w:rFonts w:ascii="Times New Roman"/>
        </w:rPr>
        <w:t>种产品的生态环境优劣价格调整系数，无量纲；</w:t>
      </w:r>
    </w:p>
    <w:p w14:paraId="034A4D85">
      <w:pPr>
        <w:pStyle w:val="58"/>
        <w:ind w:firstLine="420"/>
        <w:rPr>
          <w:rFonts w:ascii="Times New Roman"/>
        </w:rPr>
      </w:pPr>
      <w:r>
        <w:rPr>
          <w:rFonts w:hint="eastAsia" w:ascii="Times New Roman"/>
          <w:i/>
          <w:iCs/>
        </w:rPr>
        <w:t>P</w:t>
      </w:r>
      <w:r>
        <w:rPr>
          <w:rFonts w:hint="eastAsia" w:ascii="Times New Roman"/>
          <w:sz w:val="24"/>
          <w:szCs w:val="22"/>
          <w:vertAlign w:val="subscript"/>
        </w:rPr>
        <w:t>实际,</w:t>
      </w:r>
      <w:r>
        <w:rPr>
          <w:rFonts w:hint="eastAsia" w:ascii="Times New Roman"/>
          <w:i/>
          <w:iCs/>
          <w:sz w:val="24"/>
          <w:szCs w:val="22"/>
          <w:vertAlign w:val="subscript"/>
        </w:rPr>
        <w:t>i</w:t>
      </w:r>
      <w:r>
        <w:rPr>
          <w:rFonts w:ascii="Times New Roman"/>
        </w:rPr>
        <w:t>——第</w:t>
      </w:r>
      <w:r>
        <w:rPr>
          <w:rFonts w:ascii="Times New Roman"/>
          <w:i/>
          <w:iCs/>
        </w:rPr>
        <w:t>i</w:t>
      </w:r>
      <w:r>
        <w:rPr>
          <w:rFonts w:ascii="Times New Roman"/>
        </w:rPr>
        <w:t>种产品在生态环境影响下的实际市场交易均价，单位：元/千克（元/kg）；</w:t>
      </w:r>
    </w:p>
    <w:p w14:paraId="548C9326">
      <w:pPr>
        <w:pStyle w:val="58"/>
        <w:ind w:firstLine="420"/>
        <w:rPr>
          <w:rFonts w:ascii="Times New Roman"/>
        </w:rPr>
      </w:pPr>
      <w:r>
        <w:rPr>
          <w:rFonts w:hint="eastAsia" w:ascii="Times New Roman"/>
          <w:i/>
          <w:iCs/>
        </w:rPr>
        <w:t>P</w:t>
      </w:r>
      <w:r>
        <w:rPr>
          <w:rFonts w:hint="eastAsia" w:ascii="Times New Roman"/>
          <w:sz w:val="24"/>
          <w:szCs w:val="22"/>
          <w:vertAlign w:val="subscript"/>
        </w:rPr>
        <w:t>公布,</w:t>
      </w:r>
      <w:r>
        <w:rPr>
          <w:rFonts w:hint="eastAsia" w:ascii="Times New Roman"/>
          <w:i/>
          <w:iCs/>
          <w:sz w:val="24"/>
          <w:szCs w:val="22"/>
          <w:vertAlign w:val="subscript"/>
        </w:rPr>
        <w:t>i</w:t>
      </w:r>
      <w:r>
        <w:rPr>
          <w:rFonts w:ascii="Times New Roman"/>
        </w:rPr>
        <w:t>——第</w:t>
      </w:r>
      <w:r>
        <w:rPr>
          <w:rFonts w:ascii="Times New Roman"/>
          <w:i/>
          <w:iCs/>
        </w:rPr>
        <w:t>i</w:t>
      </w:r>
      <w:r>
        <w:rPr>
          <w:rFonts w:ascii="Times New Roman"/>
        </w:rPr>
        <w:t>种产品的政府或统计部门公布的年均基准价格，单位：元/千克（元/kg）。</w:t>
      </w:r>
    </w:p>
    <w:p w14:paraId="2FF5FC9D">
      <w:pPr>
        <w:pStyle w:val="81"/>
        <w:spacing w:before="156" w:after="156"/>
        <w:rPr>
          <w:rFonts w:ascii="Times New Roman"/>
        </w:rPr>
      </w:pPr>
      <w:r>
        <w:rPr>
          <w:rFonts w:ascii="Times New Roman"/>
        </w:rPr>
        <w:t>生物质发电项目折旧率</w:t>
      </w:r>
    </w:p>
    <w:p w14:paraId="0AE8DB6B">
      <w:pPr>
        <w:pStyle w:val="58"/>
        <w:ind w:firstLine="420"/>
        <w:rPr>
          <w:rFonts w:ascii="Times New Roman"/>
        </w:rPr>
      </w:pPr>
      <w:r>
        <w:rPr>
          <w:rFonts w:ascii="Times New Roman"/>
        </w:rPr>
        <w:t>生物质发电项目折旧率宜参考各项目设计使用寿命计算，默认取3.33%。</w:t>
      </w:r>
    </w:p>
    <w:p w14:paraId="22365D2F">
      <w:pPr>
        <w:pStyle w:val="81"/>
        <w:spacing w:before="156" w:after="156"/>
        <w:rPr>
          <w:rFonts w:ascii="Times New Roman"/>
        </w:rPr>
      </w:pPr>
      <w:r>
        <w:rPr>
          <w:rFonts w:ascii="Times New Roman"/>
        </w:rPr>
        <w:t>生物质燃料排放因子</w:t>
      </w:r>
    </w:p>
    <w:p w14:paraId="1AA1883A">
      <w:pPr>
        <w:pStyle w:val="58"/>
        <w:ind w:firstLine="420"/>
        <w:rPr>
          <w:rFonts w:ascii="Times New Roman"/>
        </w:rPr>
      </w:pPr>
      <w:r>
        <w:rPr>
          <w:rFonts w:ascii="Times New Roman"/>
        </w:rPr>
        <w:t>生物质燃料排放因子即单位生物质燃料燃烧过程中，二氧化碳的排放量，默认取1390.4g/kg。</w:t>
      </w:r>
    </w:p>
    <w:p w14:paraId="41F3DCBB">
      <w:pPr>
        <w:pStyle w:val="80"/>
        <w:spacing w:before="156" w:after="156"/>
        <w:jc w:val="left"/>
        <w:rPr>
          <w:rFonts w:ascii="Times New Roman"/>
        </w:rPr>
      </w:pPr>
      <w:bookmarkStart w:id="153" w:name="_Toc203399082"/>
      <w:bookmarkStart w:id="154" w:name="_Toc192077520"/>
      <w:bookmarkStart w:id="155" w:name="_Toc203399478"/>
      <w:bookmarkStart w:id="156" w:name="_Toc179674310"/>
      <w:r>
        <w:rPr>
          <w:rFonts w:ascii="Times New Roman"/>
        </w:rPr>
        <w:t>水源涵养服务核算主要参数</w:t>
      </w:r>
      <w:bookmarkEnd w:id="153"/>
      <w:bookmarkEnd w:id="154"/>
      <w:bookmarkEnd w:id="155"/>
      <w:bookmarkEnd w:id="156"/>
    </w:p>
    <w:p w14:paraId="4367CC99">
      <w:pPr>
        <w:pStyle w:val="81"/>
        <w:spacing w:before="156" w:after="156"/>
        <w:rPr>
          <w:rFonts w:ascii="Times New Roman"/>
        </w:rPr>
      </w:pPr>
      <w:bookmarkStart w:id="157" w:name="_Toc179674311"/>
      <w:r>
        <w:rPr>
          <w:rFonts w:ascii="Times New Roman"/>
        </w:rPr>
        <w:t>径流量</w:t>
      </w:r>
      <w:bookmarkEnd w:id="157"/>
    </w:p>
    <w:p w14:paraId="0020DB2F">
      <w:pPr>
        <w:pStyle w:val="215"/>
        <w:rPr>
          <w:rFonts w:ascii="Times New Roman"/>
        </w:rPr>
      </w:pPr>
      <w:r>
        <w:rPr>
          <w:rFonts w:ascii="Times New Roman"/>
        </w:rPr>
        <w:t>测算径流量，可采用实测径流系数法或SCS概念模型法或估测径流系数法3种方法。</w:t>
      </w:r>
    </w:p>
    <w:p w14:paraId="07854623">
      <w:pPr>
        <w:pStyle w:val="215"/>
        <w:rPr>
          <w:rFonts w:ascii="Times New Roman"/>
        </w:rPr>
      </w:pPr>
      <w:r>
        <w:rPr>
          <w:rFonts w:ascii="Times New Roman"/>
        </w:rPr>
        <w:t>有实测径流系数时，宜优先选择实测径流系数法，按照公式（C.</w:t>
      </w:r>
      <w:r>
        <w:rPr>
          <w:rFonts w:hint="eastAsia" w:ascii="Times New Roman"/>
        </w:rPr>
        <w:t>2</w:t>
      </w:r>
      <w:r>
        <w:rPr>
          <w:rFonts w:ascii="Times New Roman"/>
        </w:rPr>
        <w:t>）计算地表径流量。</w:t>
      </w:r>
    </w:p>
    <w:p w14:paraId="1EE058B4">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rPr>
            </m:ctrlPr>
          </m:e>
          <m:sub>
            <m:r>
              <m:rPr/>
              <w:rPr>
                <w:rFonts w:ascii="Cambria Math" w:hAnsi="Cambria Math"/>
              </w:rPr>
              <m:t>i</m:t>
            </m:r>
            <m:ctrlPr>
              <w:rPr>
                <w:rFonts w:ascii="Cambria Math" w:hAnsi="Cambria Math"/>
                <w:i/>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2</w:t>
      </w:r>
      <w:r>
        <w:rPr>
          <w:rFonts w:ascii="Times New Roman" w:hAnsi="Times New Roman"/>
        </w:rPr>
        <w:t>)</w:t>
      </w:r>
    </w:p>
    <w:p w14:paraId="1FB7A4C9">
      <w:pPr>
        <w:pStyle w:val="57"/>
        <w:ind w:firstLine="420"/>
        <w:rPr>
          <w:rFonts w:ascii="Times New Roman" w:hAnsi="Times New Roman"/>
        </w:rPr>
      </w:pPr>
      <w:r>
        <w:rPr>
          <w:rFonts w:ascii="Times New Roman" w:hAnsi="Times New Roman"/>
        </w:rPr>
        <w:t>式中：</w:t>
      </w:r>
    </w:p>
    <w:p w14:paraId="63396E79">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类生态系统地表年径流量，单位：mm；</w:t>
      </w:r>
    </w:p>
    <w:p w14:paraId="2D500A09">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类生态系统年降水量，使用气象部门提供的年降水量空间插值数据，单位：mm；</w:t>
      </w:r>
    </w:p>
    <w:p w14:paraId="729DD6FB">
      <w:pPr>
        <w:pStyle w:val="58"/>
        <w:ind w:firstLine="420"/>
        <w:rPr>
          <w:rFonts w:ascii="Times New Roman"/>
        </w:rPr>
      </w:pPr>
      <m:oMath>
        <m:sSub>
          <m:sSubPr>
            <m:ctrlPr>
              <w:rPr>
                <w:rFonts w:ascii="Cambria Math" w:hAnsi="Cambria Math"/>
                <w:i/>
              </w:rPr>
            </m:ctrlPr>
          </m:sSubPr>
          <m:e>
            <m:r>
              <m:rPr/>
              <w:rPr>
                <w:rFonts w:ascii="Cambria Math" w:hAnsi="Cambria Math"/>
              </w:rPr>
              <m:t>R</m:t>
            </m:r>
            <m:ctrlPr>
              <w:rPr>
                <w:rFonts w:ascii="Cambria Math" w:hAnsi="Cambria Math"/>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类生态系统的实测地表径流系数，单位：%</w:t>
      </w:r>
      <w:r>
        <w:rPr>
          <w:rFonts w:hint="eastAsia" w:ascii="Times New Roman"/>
        </w:rPr>
        <w:t>;</w:t>
      </w:r>
    </w:p>
    <w:p w14:paraId="2C4D419D">
      <w:pPr>
        <w:pStyle w:val="58"/>
        <w:ind w:firstLine="420"/>
        <w:rPr>
          <w:rFonts w:ascii="Times New Roman"/>
        </w:rPr>
      </w:pPr>
      <m:oMath>
        <m:r>
          <m:rPr/>
          <w:rPr>
            <w:rFonts w:ascii="Cambria Math" w:hAnsi="Cambria Math"/>
          </w:rPr>
          <m:t>i</m:t>
        </m:r>
      </m:oMath>
      <w:r>
        <w:rPr>
          <w:rFonts w:ascii="Times New Roman"/>
        </w:rPr>
        <w:t>——生态系统类型。</w:t>
      </w:r>
    </w:p>
    <w:p w14:paraId="2ADAE334">
      <w:pPr>
        <w:pStyle w:val="215"/>
        <w:rPr>
          <w:rFonts w:ascii="Times New Roman"/>
        </w:rPr>
      </w:pPr>
      <w:r>
        <w:rPr>
          <w:rFonts w:ascii="Times New Roman"/>
        </w:rPr>
        <w:t>无实测径流系数，但有评估期间内的逐日降水数据和土壤质地数据，宜选择SCS概念模型法，按照公式（C.</w:t>
      </w:r>
      <w:r>
        <w:rPr>
          <w:rFonts w:hint="eastAsia" w:ascii="Times New Roman"/>
        </w:rPr>
        <w:t>3</w:t>
      </w:r>
      <w:r>
        <w:rPr>
          <w:rFonts w:ascii="Times New Roman"/>
        </w:rPr>
        <w:t>）（C.</w:t>
      </w:r>
      <w:r>
        <w:rPr>
          <w:rFonts w:hint="eastAsia" w:ascii="Times New Roman"/>
        </w:rPr>
        <w:t>4</w:t>
      </w:r>
      <w:r>
        <w:rPr>
          <w:rFonts w:ascii="Times New Roman"/>
        </w:rPr>
        <w:t>）（C.</w:t>
      </w:r>
      <w:r>
        <w:rPr>
          <w:rFonts w:hint="eastAsia" w:ascii="Times New Roman"/>
        </w:rPr>
        <w:t>5</w:t>
      </w:r>
      <w:r>
        <w:rPr>
          <w:rFonts w:ascii="Times New Roman"/>
        </w:rPr>
        <w:t>）（C.</w:t>
      </w:r>
      <w:r>
        <w:rPr>
          <w:rFonts w:hint="eastAsia" w:ascii="Times New Roman"/>
        </w:rPr>
        <w:t>6</w:t>
      </w:r>
      <w:r>
        <w:rPr>
          <w:rFonts w:ascii="Times New Roman"/>
        </w:rPr>
        <w:t>）（C.</w:t>
      </w:r>
      <w:r>
        <w:rPr>
          <w:rFonts w:hint="eastAsia" w:ascii="Times New Roman"/>
        </w:rPr>
        <w:t>7</w:t>
      </w:r>
      <w:r>
        <w:rPr>
          <w:rFonts w:ascii="Times New Roman"/>
        </w:rPr>
        <w:t>）（C.</w:t>
      </w:r>
      <w:r>
        <w:rPr>
          <w:rFonts w:hint="eastAsia" w:ascii="Times New Roman"/>
        </w:rPr>
        <w:t>8</w:t>
      </w:r>
      <w:r>
        <w:rPr>
          <w:rFonts w:ascii="Times New Roman"/>
        </w:rPr>
        <w:t>）计算地表径流量。</w:t>
      </w:r>
    </w:p>
    <w:p w14:paraId="2A4AFA17">
      <w:pPr>
        <w:pStyle w:val="115"/>
        <w:rPr>
          <w:rFonts w:ascii="Times New Roman" w:hAnsi="Times New Roman"/>
        </w:rPr>
      </w:pPr>
      <w:r>
        <w:rPr>
          <w:rFonts w:ascii="Times New Roman" w:hAnsi="Times New Roman"/>
        </w:rPr>
        <w:tab/>
      </w:r>
      <m:oMath>
        <m:r>
          <m:rPr/>
          <w:rPr>
            <w:rFonts w:ascii="Cambria Math" w:hAnsi="Cambria Math"/>
          </w:rPr>
          <m:t>R=</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i/>
              </w:rPr>
            </m:ctrlPr>
          </m:e>
        </m:nary>
      </m:oMath>
      <w:r>
        <w:rPr>
          <w:rFonts w:ascii="Times New Roman" w:hAnsi="Times New Roman" w:eastAsia="微软雅黑"/>
        </w:rPr>
        <w:tab/>
      </w:r>
      <w:r>
        <w:rPr>
          <w:rFonts w:ascii="Times New Roman" w:hAnsi="Times New Roman"/>
        </w:rPr>
        <w:t>(C.</w:t>
      </w:r>
      <w:r>
        <w:rPr>
          <w:rFonts w:hint="eastAsia" w:ascii="Times New Roman" w:hAnsi="Times New Roman"/>
        </w:rPr>
        <w:t>3</w:t>
      </w:r>
      <w:r>
        <w:rPr>
          <w:rFonts w:ascii="Times New Roman" w:hAnsi="Times New Roman"/>
        </w:rPr>
        <w:t>)</w:t>
      </w:r>
    </w:p>
    <w:p w14:paraId="196900AD">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−0.2S</m:t>
                              </m:r>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+0.8S</m:t>
                      </m:r>
                      <m:ctrlPr>
                        <w:rPr>
                          <w:rFonts w:ascii="Cambria Math" w:hAnsi="Cambria Math"/>
                          <w:i/>
                        </w:rPr>
                      </m:ctrlPr>
                    </m:den>
                  </m:f>
                  <m:ctrlPr>
                    <w:rPr>
                      <w:rFonts w:ascii="Cambria Math" w:hAnsi="Cambria Math"/>
                      <w:i/>
                    </w:rPr>
                  </m:ctrlPr>
                </m:e>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≥0.2S</m:t>
                  </m:r>
                  <m:ctrlPr>
                    <w:rPr>
                      <w:rFonts w:ascii="Cambria Math" w:hAnsi="Cambria Math"/>
                      <w:i/>
                    </w:rPr>
                  </m:ctrlPr>
                </m:e>
              </m:mr>
              <m:mr>
                <m:e>
                  <m:r>
                    <m:rPr/>
                    <w:rPr>
                      <w:rFonts w:ascii="Cambria Math" w:hAnsi="Cambria Math"/>
                    </w:rPr>
                    <m:t>0</m:t>
                  </m:r>
                  <m:ctrlPr>
                    <w:rPr>
                      <w:rFonts w:ascii="Cambria Math" w:hAnsi="Cambria Math"/>
                      <w:i/>
                    </w:rPr>
                  </m:ctrlPr>
                </m:e>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&lt;0.2S</m:t>
                  </m:r>
                  <m:ctrlPr>
                    <w:rPr>
                      <w:rFonts w:ascii="Cambria Math" w:hAnsi="Cambria Math"/>
                      <w:i/>
                    </w:rPr>
                  </m:ctrlPr>
                </m:e>
              </m:mr>
            </m:m>
            <m:ctrlPr>
              <w:rPr>
                <w:rFonts w:ascii="Cambria Math" w:hAnsi="Cambria Math"/>
                <w:i/>
              </w:rPr>
            </m:ctrlPr>
          </m:e>
        </m:d>
      </m:oMath>
      <w:r>
        <w:rPr>
          <w:rFonts w:ascii="Times New Roman" w:hAnsi="Times New Roman" w:eastAsia="微软雅黑"/>
        </w:rPr>
        <w:tab/>
      </w:r>
      <w:r>
        <w:rPr>
          <w:rFonts w:ascii="Times New Roman" w:hAnsi="Times New Roman"/>
        </w:rPr>
        <w:t>(C.</w:t>
      </w:r>
      <w:r>
        <w:rPr>
          <w:rFonts w:hint="eastAsia" w:ascii="Times New Roman" w:hAnsi="Times New Roman"/>
        </w:rPr>
        <w:t>4</w:t>
      </w:r>
      <w:r>
        <w:rPr>
          <w:rFonts w:ascii="Times New Roman" w:hAnsi="Times New Roman"/>
        </w:rPr>
        <w:t>)</w:t>
      </w:r>
    </w:p>
    <w:p w14:paraId="6C4BA8CA">
      <w:pPr>
        <w:pStyle w:val="115"/>
        <w:rPr>
          <w:rFonts w:ascii="Times New Roman" w:hAnsi="Times New Roman"/>
        </w:rPr>
      </w:pPr>
      <w:r>
        <w:rPr>
          <w:rFonts w:ascii="Times New Roman" w:hAnsi="Times New Roman"/>
        </w:rPr>
        <w:tab/>
      </w:r>
      <m:oMath>
        <m:r>
          <m:rPr/>
          <w:rPr>
            <w:rFonts w:ascii="Cambria Math" w:hAnsi="Cambria Math"/>
          </w:rPr>
          <m:t>S=</m:t>
        </m:r>
        <m:f>
          <m:fPr>
            <m:ctrlPr>
              <w:rPr>
                <w:rFonts w:ascii="Cambria Math" w:hAnsi="Cambria Math"/>
                <w:i/>
                <w:iCs/>
              </w:rPr>
            </m:ctrlPr>
          </m:fPr>
          <m:num>
            <m:r>
              <m:rPr/>
              <w:rPr>
                <w:rFonts w:ascii="Cambria Math" w:hAnsi="Cambria Math"/>
              </w:rPr>
              <m:t>25400</m:t>
            </m:r>
            <m:ctrlPr>
              <w:rPr>
                <w:rFonts w:ascii="Cambria Math" w:hAnsi="Cambria Math"/>
                <w:i/>
                <w:iCs/>
              </w:rPr>
            </m:ctrlPr>
          </m:num>
          <m:den>
            <m:r>
              <m:rPr/>
              <w:rPr>
                <w:rFonts w:ascii="Cambria Math" w:hAnsi="Cambria Math"/>
              </w:rPr>
              <m:t>CN</m:t>
            </m:r>
            <m:ctrlPr>
              <w:rPr>
                <w:rFonts w:ascii="Cambria Math" w:hAnsi="Cambria Math"/>
                <w:i/>
                <w:iCs/>
              </w:rPr>
            </m:ctrlPr>
          </m:den>
        </m:f>
        <m:r>
          <m:rPr/>
          <w:rPr>
            <w:rFonts w:ascii="Cambria Math" w:hAnsi="Cambria Math"/>
          </w:rPr>
          <m:t>−254</m:t>
        </m:r>
      </m:oMath>
      <w:r>
        <w:rPr>
          <w:rFonts w:ascii="Times New Roman" w:hAnsi="Times New Roman" w:eastAsia="微软雅黑"/>
        </w:rPr>
        <w:tab/>
      </w:r>
      <w:r>
        <w:rPr>
          <w:rFonts w:ascii="Times New Roman" w:hAnsi="Times New Roman"/>
        </w:rPr>
        <w:t>(C.</w:t>
      </w:r>
      <w:r>
        <w:rPr>
          <w:rFonts w:hint="eastAsia" w:ascii="Times New Roman" w:hAnsi="Times New Roman"/>
        </w:rPr>
        <w:t>5</w:t>
      </w:r>
      <w:r>
        <w:rPr>
          <w:rFonts w:ascii="Times New Roman" w:hAnsi="Times New Roman"/>
        </w:rPr>
        <w:t>)</w:t>
      </w:r>
    </w:p>
    <w:p w14:paraId="2D973336">
      <w:pPr>
        <w:pStyle w:val="115"/>
        <w:rPr>
          <w:rFonts w:ascii="Times New Roman" w:hAnsi="Times New Roman"/>
        </w:rPr>
      </w:pPr>
      <w:r>
        <w:rPr>
          <w:rFonts w:ascii="Times New Roman" w:hAnsi="Times New Roman"/>
        </w:rPr>
        <w:tab/>
      </w:r>
      <m:oMath>
        <m:r>
          <m:rPr/>
          <w:rPr>
            <w:rFonts w:ascii="Cambria Math" w:hAnsi="Cambria Math"/>
          </w:rPr>
          <m:t>CN=f</m:t>
        </m:r>
        <m:d>
          <m:dPr>
            <m:ctrlPr>
              <w:rPr>
                <w:rFonts w:ascii="Cambria Math" w:hAnsi="Cambria Math"/>
                <w:i/>
                <w:iCs/>
              </w:rPr>
            </m:ctrlPr>
          </m:dPr>
          <m:e>
            <m:r>
              <m:rPr/>
              <w:rPr>
                <w:rFonts w:ascii="Cambria Math" w:hAnsi="Cambria Math"/>
              </w:rPr>
              <m:t>LC,AMC,K</m:t>
            </m:r>
            <m:ctrlPr>
              <w:rPr>
                <w:rFonts w:ascii="Cambria Math" w:hAnsi="Cambria Math"/>
                <w:i/>
                <w:iCs/>
              </w:rPr>
            </m:ctrlPr>
          </m:e>
        </m:d>
      </m:oMath>
      <w:r>
        <w:rPr>
          <w:rFonts w:ascii="Times New Roman" w:hAnsi="Times New Roman" w:eastAsia="微软雅黑"/>
        </w:rPr>
        <w:tab/>
      </w:r>
      <w:r>
        <w:rPr>
          <w:rFonts w:ascii="Times New Roman" w:hAnsi="Times New Roman"/>
        </w:rPr>
        <w:t>(C.</w:t>
      </w:r>
      <w:r>
        <w:rPr>
          <w:rFonts w:hint="eastAsia" w:ascii="Times New Roman" w:hAnsi="Times New Roman"/>
        </w:rPr>
        <w:t>6</w:t>
      </w:r>
      <w:r>
        <w:rPr>
          <w:rFonts w:ascii="Times New Roman" w:hAnsi="Times New Roman"/>
        </w:rPr>
        <w:t>)</w:t>
      </w:r>
    </w:p>
    <w:p w14:paraId="1C9472C4">
      <w:pPr>
        <w:pStyle w:val="115"/>
        <w:rPr>
          <w:rFonts w:ascii="Times New Roman" w:hAnsi="Times New Roman"/>
        </w:rPr>
      </w:pPr>
      <w:r>
        <w:rPr>
          <w:rFonts w:ascii="Times New Roman" w:hAnsi="Times New Roman"/>
        </w:rPr>
        <w:tab/>
      </w:r>
      <m:oMath>
        <m:r>
          <m:rPr/>
          <w:rPr>
            <w:rFonts w:ascii="Cambria Math" w:hAnsi="Cambria Math"/>
          </w:rPr>
          <m:t>K=</m:t>
        </m:r>
        <m:d>
          <m:dPr>
            <m:begChr m:val="{"/>
            <m:endChr m:val=""/>
            <m:ctrlPr>
              <w:rPr>
                <w:rFonts w:ascii="Cambria Math" w:hAnsi="Cambria Math"/>
                <w:i/>
                <w:iCs/>
              </w:rPr>
            </m:ctrlPr>
          </m:dPr>
          <m:e>
            <m:eqArr>
              <m:eqArrPr>
                <m:ctrlPr>
                  <w:rPr>
                    <w:rFonts w:ascii="Cambria Math" w:hAnsi="Cambria Math"/>
                    <w:i/>
                    <w:iCs/>
                  </w:rPr>
                </m:ctrlPr>
              </m:eqArrPr>
              <m:e>
                <m:m>
                  <m:mPr>
                    <m:mcs>
                      <m:mc>
                        <m:mcPr>
                          <m:count m:val="2"/>
                          <m:mcJc m:val="center"/>
                        </m:mcPr>
                      </m:mc>
                    </m:mcs>
                    <m:ctrlPr>
                      <w:rPr>
                        <w:rFonts w:ascii="Cambria Math" w:hAnsi="Cambria Math"/>
                        <w:i/>
                        <w:iCs/>
                      </w:rPr>
                    </m:ctrlPr>
                  </m:mPr>
                  <m:mr>
                    <m:e>
                      <m:r>
                        <m:rPr/>
                        <w:rPr>
                          <w:rFonts w:ascii="Cambria Math" w:hAnsi="Cambria Math"/>
                        </w:rPr>
                        <m:t>A</m:t>
                      </m:r>
                      <m:ctrlPr>
                        <w:rPr>
                          <w:rFonts w:ascii="Cambria Math" w:hAnsi="Cambria Math"/>
                          <w:i/>
                          <w:iCs/>
                        </w:rPr>
                      </m:ctrlPr>
                    </m:e>
                    <m:e>
                      <m:r>
                        <m:rPr/>
                        <w:rPr>
                          <w:rFonts w:ascii="Cambria Math" w:hAnsi="Cambria Math"/>
                        </w:rPr>
                        <m:t>K'≥180</m:t>
                      </m:r>
                      <m:ctrlPr>
                        <w:rPr>
                          <w:rFonts w:ascii="Cambria Math" w:hAnsi="Cambria Math"/>
                          <w:i/>
                          <w:iCs/>
                        </w:rPr>
                      </m:ctrlPr>
                    </m:e>
                  </m:mr>
                </m:m>
                <m:r>
                  <m:rPr/>
                  <w:rPr>
                    <w:rFonts w:ascii="Cambria Math" w:hAnsi="Cambria Math"/>
                  </w:rPr>
                  <m:t xml:space="preserve">           </m:t>
                </m:r>
                <m:ctrlPr>
                  <w:rPr>
                    <w:rFonts w:ascii="Cambria Math" w:hAnsi="Cambria Math"/>
                    <w:i/>
                    <w:iCs/>
                  </w:rPr>
                </m:ctrlPr>
              </m:e>
              <m:e>
                <m:m>
                  <m:mPr>
                    <m:mcs>
                      <m:mc>
                        <m:mcPr>
                          <m:count m:val="2"/>
                          <m:mcJc m:val="center"/>
                        </m:mcPr>
                      </m:mc>
                    </m:mcs>
                    <m:ctrlPr>
                      <w:rPr>
                        <w:rFonts w:ascii="Cambria Math" w:hAnsi="Cambria Math"/>
                        <w:i/>
                        <w:iCs/>
                      </w:rPr>
                    </m:ctrlPr>
                  </m:mPr>
                  <m:mr>
                    <m:e>
                      <m:r>
                        <m:rPr/>
                        <w:rPr>
                          <w:rFonts w:ascii="Cambria Math" w:hAnsi="Cambria Math"/>
                        </w:rPr>
                        <m:t>B</m:t>
                      </m:r>
                      <m:ctrlPr>
                        <w:rPr>
                          <w:rFonts w:ascii="Cambria Math" w:hAnsi="Cambria Math"/>
                          <w:i/>
                          <w:iCs/>
                        </w:rPr>
                      </m:ctrlPr>
                    </m:e>
                    <m:e>
                      <m:r>
                        <m:rPr/>
                        <w:rPr>
                          <w:rFonts w:ascii="Cambria Math" w:hAnsi="Cambria Math"/>
                        </w:rPr>
                        <m:t>180&gt;K'≥18</m:t>
                      </m:r>
                      <m:ctrlPr>
                        <w:rPr>
                          <w:rFonts w:ascii="Cambria Math" w:hAnsi="Cambria Math"/>
                          <w:i/>
                          <w:iCs/>
                        </w:rPr>
                      </m:ctrlPr>
                    </m:e>
                  </m:mr>
                </m:m>
                <m:ctrlPr>
                  <w:rPr>
                    <w:rFonts w:ascii="Cambria Math" w:hAnsi="Cambria Math"/>
                    <w:i/>
                    <w:iCs/>
                  </w:rPr>
                </m:ctrlPr>
              </m:e>
              <m:e>
                <m:m>
                  <m:mPr>
                    <m:mcs>
                      <m:mc>
                        <m:mcPr>
                          <m:count m:val="1"/>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r>
                              <m:rPr/>
                              <w:rPr>
                                <w:rFonts w:ascii="Cambria Math" w:hAnsi="Cambria Math"/>
                              </w:rPr>
                              <m:t>C</m:t>
                            </m:r>
                            <m:ctrlPr>
                              <w:rPr>
                                <w:rFonts w:ascii="Cambria Math" w:hAnsi="Cambria Math"/>
                                <w:i/>
                                <w:iCs/>
                              </w:rPr>
                            </m:ctrlPr>
                          </m:e>
                          <m:e>
                            <m:r>
                              <m:rPr/>
                              <w:rPr>
                                <w:rFonts w:ascii="Cambria Math" w:hAnsi="Cambria Math"/>
                              </w:rPr>
                              <m:t xml:space="preserve">18&gt;K'≥1.8 </m:t>
                            </m:r>
                            <m:ctrlPr>
                              <w:rPr>
                                <w:rFonts w:ascii="Cambria Math" w:hAnsi="Cambria Math"/>
                                <w:i/>
                                <w:iCs/>
                              </w:rPr>
                            </m:ctrlPr>
                          </m:e>
                        </m:mr>
                      </m:m>
                      <m:ctrlPr>
                        <w:rPr>
                          <w:rFonts w:ascii="Cambria Math" w:hAnsi="Cambria Math"/>
                          <w:i/>
                          <w:iCs/>
                        </w:rPr>
                      </m:ctrlPr>
                    </m:e>
                  </m:mr>
                  <m:mr>
                    <m:e>
                      <m:m>
                        <m:mPr>
                          <m:mcs>
                            <m:mc>
                              <m:mcPr>
                                <m:count m:val="2"/>
                                <m:mcJc m:val="center"/>
                              </m:mcPr>
                            </m:mc>
                          </m:mcs>
                          <m:ctrlPr>
                            <w:rPr>
                              <w:rFonts w:ascii="Cambria Math" w:hAnsi="Cambria Math"/>
                              <w:i/>
                              <w:iCs/>
                            </w:rPr>
                          </m:ctrlPr>
                        </m:mPr>
                        <m:mr>
                          <m:e>
                            <m:r>
                              <m:rPr/>
                              <w:rPr>
                                <w:rFonts w:ascii="Cambria Math" w:hAnsi="Cambria Math"/>
                              </w:rPr>
                              <m:t>D</m:t>
                            </m:r>
                            <m:ctrlPr>
                              <w:rPr>
                                <w:rFonts w:ascii="Cambria Math" w:hAnsi="Cambria Math"/>
                                <w:i/>
                                <w:iCs/>
                              </w:rPr>
                            </m:ctrlPr>
                          </m:e>
                          <m:e>
                            <m:r>
                              <m:rPr/>
                              <w:rPr>
                                <w:rFonts w:ascii="Cambria Math" w:hAnsi="Cambria Math"/>
                              </w:rPr>
                              <m:t>K'≤1.8</m:t>
                            </m:r>
                            <m:ctrlPr>
                              <w:rPr>
                                <w:rFonts w:ascii="Cambria Math" w:hAnsi="Cambria Math"/>
                                <w:i/>
                                <w:iCs/>
                              </w:rPr>
                            </m:ctrlPr>
                          </m:e>
                        </m:mr>
                      </m:m>
                      <m:r>
                        <m:rPr/>
                        <w:rPr>
                          <w:rFonts w:ascii="Cambria Math" w:hAnsi="Cambria Math"/>
                        </w:rPr>
                        <m:t xml:space="preserve">           </m:t>
                      </m:r>
                      <m:ctrlPr>
                        <w:rPr>
                          <w:rFonts w:ascii="Cambria Math" w:hAnsi="Cambria Math"/>
                          <w:i/>
                          <w:iCs/>
                        </w:rPr>
                      </m:ctrlPr>
                    </m:e>
                  </m:mr>
                </m:m>
                <m:r>
                  <m:rPr/>
                  <w:rPr>
                    <w:rFonts w:ascii="Cambria Math" w:hAnsi="Cambria Math"/>
                  </w:rPr>
                  <m:t xml:space="preserve"> </m:t>
                </m:r>
                <m:ctrlPr>
                  <w:rPr>
                    <w:rFonts w:ascii="Cambria Math" w:hAnsi="Cambria Math"/>
                    <w:i/>
                    <w:iCs/>
                  </w:rPr>
                </m:ctrlPr>
              </m:e>
            </m:eqArr>
            <m:ctrlPr>
              <w:rPr>
                <w:rFonts w:ascii="Cambria Math" w:hAnsi="Cambria Math"/>
                <w:i/>
                <w:iCs/>
              </w:rPr>
            </m:ctrlPr>
          </m:e>
        </m:d>
      </m:oMath>
      <w:r>
        <w:rPr>
          <w:rFonts w:ascii="Times New Roman" w:hAnsi="Times New Roman" w:eastAsia="微软雅黑"/>
        </w:rPr>
        <w:tab/>
      </w:r>
      <w:r>
        <w:rPr>
          <w:rFonts w:ascii="Times New Roman" w:hAnsi="Times New Roman"/>
        </w:rPr>
        <w:t>(C.</w:t>
      </w:r>
      <w:r>
        <w:rPr>
          <w:rFonts w:hint="eastAsia" w:ascii="Times New Roman" w:hAnsi="Times New Roman"/>
        </w:rPr>
        <w:t>7</w:t>
      </w:r>
      <w:r>
        <w:rPr>
          <w:rFonts w:ascii="Times New Roman" w:hAnsi="Times New Roman"/>
        </w:rPr>
        <w:t>)</w:t>
      </w:r>
    </w:p>
    <w:p w14:paraId="06037C02">
      <w:pPr>
        <w:pStyle w:val="115"/>
        <w:rPr>
          <w:rFonts w:ascii="Times New Roman" w:hAnsi="Times New Roman"/>
        </w:rPr>
      </w:pPr>
      <w:r>
        <w:rPr>
          <w:rFonts w:ascii="Times New Roman" w:hAnsi="Times New Roman"/>
        </w:rPr>
        <w:tab/>
      </w:r>
      <m:oMath>
        <m:sSup>
          <m:sSupPr>
            <m:ctrlPr>
              <w:rPr>
                <w:rFonts w:ascii="Cambria Math" w:hAnsi="Cambria Math"/>
                <w:i/>
              </w:rPr>
            </m:ctrlPr>
          </m:sSupPr>
          <m:e>
            <m:r>
              <m:rPr/>
              <w:rPr>
                <w:rFonts w:ascii="Cambria Math" w:hAnsi="Cambria Math"/>
              </w:rPr>
              <m:t>K</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m:t>
        </m:r>
        <m:d>
          <m:dPr>
            <m:ctrlPr>
              <w:rPr>
                <w:rFonts w:ascii="Cambria Math" w:hAnsi="Cambria Math"/>
                <w:i/>
              </w:rPr>
            </m:ctrlPr>
          </m:dPr>
          <m:e>
            <m:r>
              <m:rPr/>
              <w:rPr>
                <w:rFonts w:ascii="Cambria Math" w:hAnsi="Cambria Math"/>
              </w:rPr>
              <m:t>0.056×Clay+0.016×Sand+0.231×OM−0.693</m:t>
            </m:r>
            <m:ctrlPr>
              <w:rPr>
                <w:rFonts w:ascii="Cambria Math" w:hAnsi="Cambria Math"/>
                <w:i/>
              </w:rPr>
            </m:ctrlPr>
          </m:e>
        </m:d>
        <m:r>
          <m:rPr/>
          <w:rPr>
            <w:rFonts w:ascii="Cambria Math" w:hAnsi="Cambria Math"/>
          </w:rPr>
          <m:t>×60</m:t>
        </m:r>
      </m:oMath>
      <w:r>
        <w:rPr>
          <w:rFonts w:ascii="Times New Roman" w:hAnsi="Times New Roman" w:eastAsia="微软雅黑"/>
        </w:rPr>
        <w:tab/>
      </w:r>
      <w:r>
        <w:rPr>
          <w:rFonts w:ascii="Times New Roman" w:hAnsi="Times New Roman"/>
        </w:rPr>
        <w:t>(C.</w:t>
      </w:r>
      <w:r>
        <w:rPr>
          <w:rFonts w:hint="eastAsia" w:ascii="Times New Roman" w:hAnsi="Times New Roman"/>
        </w:rPr>
        <w:t>8</w:t>
      </w:r>
      <w:r>
        <w:rPr>
          <w:rFonts w:ascii="Times New Roman" w:hAnsi="Times New Roman"/>
        </w:rPr>
        <w:t>)</w:t>
      </w:r>
    </w:p>
    <w:p w14:paraId="4EB9120C">
      <w:pPr>
        <w:pStyle w:val="57"/>
        <w:ind w:firstLine="420"/>
        <w:rPr>
          <w:rFonts w:ascii="Times New Roman" w:hAnsi="Times New Roman"/>
        </w:rPr>
      </w:pPr>
      <w:r>
        <w:rPr>
          <w:rFonts w:ascii="Times New Roman" w:hAnsi="Times New Roman"/>
        </w:rPr>
        <w:t>式中：</w:t>
      </w:r>
    </w:p>
    <w:p w14:paraId="2CF62E7A">
      <w:pPr>
        <w:pStyle w:val="58"/>
        <w:ind w:firstLine="420"/>
        <w:rPr>
          <w:rFonts w:ascii="Times New Roman"/>
        </w:rPr>
      </w:pPr>
      <m:oMath>
        <m:r>
          <m:rPr/>
          <w:rPr>
            <w:rFonts w:ascii="Cambria Math" w:hAnsi="Cambria Math"/>
          </w:rPr>
          <m:t>R</m:t>
        </m:r>
      </m:oMath>
      <w:r>
        <w:rPr>
          <w:rFonts w:ascii="Times New Roman"/>
        </w:rPr>
        <w:t>——年径流量，单位：mm；</w:t>
      </w:r>
    </w:p>
    <w:p w14:paraId="7B61C92C">
      <w:pPr>
        <w:pStyle w:val="58"/>
        <w:ind w:firstLine="420"/>
        <w:rPr>
          <w:rFonts w:ascii="Times New Roman"/>
        </w:rPr>
      </w:p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d</m:t>
            </m:r>
            <m:ctrlPr>
              <w:rPr>
                <w:rFonts w:ascii="Cambria Math" w:hAnsi="Cambria Math"/>
                <w:i/>
              </w:rPr>
            </m:ctrlPr>
          </m:sub>
        </m:sSub>
      </m:oMath>
      <w:r>
        <w:rPr>
          <w:rFonts w:ascii="Times New Roman"/>
        </w:rPr>
        <w:t>——第d日径流量，单位：mm；</w:t>
      </w:r>
    </w:p>
    <w:p w14:paraId="716F886E">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i/>
              </w:rPr>
            </m:ctrlPr>
          </m:sub>
        </m:sSub>
      </m:oMath>
      <w:r>
        <w:rPr>
          <w:rFonts w:ascii="Times New Roman"/>
        </w:rPr>
        <w:t>——第d日降水量，使用气象部门提供的日降水量空间插值数据，单位：mm；</w:t>
      </w:r>
    </w:p>
    <w:p w14:paraId="5ED1D015">
      <w:pPr>
        <w:pStyle w:val="58"/>
        <w:ind w:firstLine="420"/>
        <w:rPr>
          <w:rFonts w:ascii="Times New Roman"/>
        </w:rPr>
      </w:pPr>
      <m:oMath>
        <m:r>
          <m:rPr/>
          <w:rPr>
            <w:rFonts w:ascii="Cambria Math" w:hAnsi="Cambria Math"/>
          </w:rPr>
          <m:t>S</m:t>
        </m:r>
      </m:oMath>
      <w:r>
        <w:rPr>
          <w:rFonts w:ascii="Times New Roman"/>
        </w:rPr>
        <w:t>——土壤的潜在最大蓄水载荷，单位：mm；</w:t>
      </w:r>
    </w:p>
    <w:p w14:paraId="322893AA">
      <w:pPr>
        <w:pStyle w:val="58"/>
        <w:ind w:firstLine="420"/>
        <w:rPr>
          <w:rFonts w:ascii="Times New Roman"/>
        </w:rPr>
      </w:pPr>
      <m:oMath>
        <m:r>
          <m:rPr/>
          <w:rPr>
            <w:rFonts w:ascii="Cambria Math" w:hAnsi="Cambria Math"/>
          </w:rPr>
          <m:t>CN</m:t>
        </m:r>
      </m:oMath>
      <w:r>
        <w:rPr>
          <w:rFonts w:ascii="Times New Roman"/>
        </w:rPr>
        <w:t>——径流曲线数值，单位：无量纲，取值方法见表C.1；</w:t>
      </w:r>
    </w:p>
    <w:p w14:paraId="59B5B906">
      <w:pPr>
        <w:pStyle w:val="58"/>
        <w:ind w:firstLine="420"/>
        <w:rPr>
          <w:rFonts w:ascii="Times New Roman"/>
        </w:rPr>
      </w:pPr>
      <m:oMath>
        <m:r>
          <m:rPr/>
          <w:rPr>
            <w:rFonts w:ascii="Cambria Math" w:hAnsi="Cambria Math"/>
          </w:rPr>
          <m:t>LC</m:t>
        </m:r>
      </m:oMath>
      <w:r>
        <w:rPr>
          <w:rFonts w:ascii="Times New Roman"/>
        </w:rPr>
        <w:t>——地表覆盖类型，单位：无量纲，分类方法见表B.1；</w:t>
      </w:r>
    </w:p>
    <w:p w14:paraId="2B87F3F9">
      <w:pPr>
        <w:pStyle w:val="58"/>
        <w:ind w:firstLine="420"/>
        <w:rPr>
          <w:rFonts w:ascii="Times New Roman"/>
        </w:rPr>
      </w:pPr>
      <m:oMath>
        <m:r>
          <m:rPr/>
          <w:rPr>
            <w:rFonts w:ascii="Cambria Math" w:hAnsi="Cambria Math"/>
          </w:rPr>
          <m:t>AMC</m:t>
        </m:r>
      </m:oMath>
      <w:r>
        <w:rPr>
          <w:rFonts w:ascii="Times New Roman"/>
        </w:rPr>
        <w:t>——前期土壤湿润度等级，单位：无量纲，取值方法见表C.2；</w:t>
      </w:r>
    </w:p>
    <w:p w14:paraId="19A7544D">
      <w:pPr>
        <w:pStyle w:val="58"/>
        <w:ind w:firstLine="420"/>
        <w:rPr>
          <w:rFonts w:ascii="Times New Roman"/>
        </w:rPr>
      </w:pPr>
      <m:oMath>
        <m:r>
          <m:rPr/>
          <w:rPr>
            <w:rFonts w:ascii="Cambria Math" w:hAnsi="Cambria Math"/>
          </w:rPr>
          <m:t>K</m:t>
        </m:r>
      </m:oMath>
      <w:r>
        <w:rPr>
          <w:rFonts w:ascii="Times New Roman"/>
        </w:rPr>
        <w:t>——土壤水文分组，单位：无量纲；</w:t>
      </w:r>
    </w:p>
    <w:p w14:paraId="4359D455">
      <w:pPr>
        <w:pStyle w:val="58"/>
        <w:ind w:firstLine="420"/>
        <w:rPr>
          <w:rFonts w:ascii="Times New Roman"/>
        </w:rPr>
      </w:pPr>
      <m:oMath>
        <m:r>
          <m:rPr/>
          <w:rPr>
            <w:rFonts w:ascii="Cambria Math" w:hAnsi="Cambria Math"/>
          </w:rPr>
          <m:t>K'</m:t>
        </m:r>
      </m:oMath>
      <w:r>
        <w:rPr>
          <w:rFonts w:ascii="Times New Roman"/>
        </w:rPr>
        <w:t>——饱和导水率，单位：mm/h;</w:t>
      </w:r>
    </w:p>
    <w:p w14:paraId="683389DB">
      <w:pPr>
        <w:pStyle w:val="58"/>
        <w:ind w:firstLine="420"/>
        <w:rPr>
          <w:rFonts w:ascii="Times New Roman"/>
        </w:rPr>
      </w:pPr>
      <m:oMath>
        <m:r>
          <m:rPr/>
          <w:rPr>
            <w:rFonts w:ascii="Cambria Math" w:hAnsi="Cambria Math"/>
          </w:rPr>
          <m:t>Clay</m:t>
        </m:r>
      </m:oMath>
      <w:r>
        <w:rPr>
          <w:rFonts w:ascii="Times New Roman"/>
        </w:rPr>
        <w:t>——单位栅格上的土壤粘粒占比，单位：%；</w:t>
      </w:r>
    </w:p>
    <w:p w14:paraId="1C3C939E">
      <w:pPr>
        <w:pStyle w:val="58"/>
        <w:ind w:firstLine="420"/>
        <w:rPr>
          <w:rFonts w:ascii="Times New Roman"/>
        </w:rPr>
      </w:pPr>
      <m:oMath>
        <m:r>
          <m:rPr/>
          <w:rPr>
            <w:rFonts w:ascii="Cambria Math" w:hAnsi="Cambria Math"/>
          </w:rPr>
          <m:t>Sand</m:t>
        </m:r>
      </m:oMath>
      <w:r>
        <w:rPr>
          <w:rFonts w:ascii="Times New Roman"/>
        </w:rPr>
        <w:t>——单位栅格上的土壤砂粒占比，单位：%；</w:t>
      </w:r>
    </w:p>
    <w:p w14:paraId="5AF7CDF1">
      <w:pPr>
        <w:pStyle w:val="58"/>
        <w:ind w:firstLine="420"/>
        <w:rPr>
          <w:rFonts w:ascii="Times New Roman"/>
        </w:rPr>
      </w:pPr>
      <m:oMath>
        <m:r>
          <m:rPr/>
          <w:rPr>
            <w:rFonts w:ascii="Cambria Math" w:hAnsi="Cambria Math"/>
          </w:rPr>
          <m:t>OM</m:t>
        </m:r>
      </m:oMath>
      <w:r>
        <w:rPr>
          <w:rFonts w:ascii="Times New Roman"/>
        </w:rPr>
        <w:t>——单位栅格上的土壤有机质含量占比，单位%。</w:t>
      </w:r>
    </w:p>
    <w:p w14:paraId="6FA48392">
      <w:pPr>
        <w:pStyle w:val="181"/>
        <w:rPr>
          <w:rFonts w:ascii="Times New Roman"/>
        </w:rPr>
      </w:pPr>
      <w:r>
        <w:rPr>
          <w:rFonts w:ascii="Times New Roman"/>
        </w:rPr>
        <w:t>土壤粘粒和土壤砂粒按照中国粒径等级分类，即粘粒粒径为＜0.002mm，粉粒粒径为0.002mm~0.05mm，砂粒粒径为0.05mm~2.0mm。</w:t>
      </w:r>
    </w:p>
    <w:p w14:paraId="15585CE5">
      <w:pPr>
        <w:pStyle w:val="79"/>
        <w:numPr>
          <w:ilvl w:val="0"/>
          <w:numId w:val="0"/>
        </w:numPr>
        <w:spacing w:before="156" w:after="156"/>
        <w:ind w:left="420"/>
        <w:rPr>
          <w:rFonts w:ascii="Times New Roman"/>
        </w:rPr>
      </w:pPr>
      <w:r>
        <w:rPr>
          <w:rFonts w:hint="eastAsia" w:ascii="Times New Roman"/>
        </w:rPr>
        <w:t>表C.1 径流曲线数值（CN）</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2268"/>
        <w:gridCol w:w="1272"/>
        <w:gridCol w:w="1273"/>
        <w:gridCol w:w="1273"/>
        <w:gridCol w:w="1273"/>
      </w:tblGrid>
      <w:tr w14:paraId="2FFAB9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vMerge w:val="restart"/>
            <w:tcBorders>
              <w:top w:val="single" w:color="auto" w:sz="8" w:space="0"/>
            </w:tcBorders>
            <w:shd w:val="clear" w:color="auto" w:fill="auto"/>
            <w:vAlign w:val="center"/>
          </w:tcPr>
          <w:p w14:paraId="79F0838C">
            <w:pPr>
              <w:pStyle w:val="180"/>
              <w:rPr>
                <w:rFonts w:ascii="Times New Roman"/>
              </w:rPr>
            </w:pPr>
            <w:r>
              <w:rPr>
                <w:rFonts w:ascii="Times New Roman"/>
              </w:rPr>
              <w:t>地表覆盖类型（LC）</w:t>
            </w:r>
          </w:p>
        </w:tc>
        <w:tc>
          <w:tcPr>
            <w:tcW w:w="2268" w:type="dxa"/>
            <w:vMerge w:val="restart"/>
            <w:tcBorders>
              <w:top w:val="single" w:color="auto" w:sz="8" w:space="0"/>
            </w:tcBorders>
            <w:shd w:val="clear" w:color="auto" w:fill="auto"/>
            <w:vAlign w:val="center"/>
          </w:tcPr>
          <w:p w14:paraId="1AF38135">
            <w:pPr>
              <w:pStyle w:val="180"/>
              <w:rPr>
                <w:rFonts w:ascii="Times New Roman"/>
              </w:rPr>
            </w:pPr>
            <w:r>
              <w:rPr>
                <w:rFonts w:ascii="Times New Roman"/>
              </w:rPr>
              <w:t>前期土壤湿润分级（AMC）</w:t>
            </w:r>
          </w:p>
        </w:tc>
        <w:tc>
          <w:tcPr>
            <w:tcW w:w="5091" w:type="dxa"/>
            <w:gridSpan w:val="4"/>
            <w:tcBorders>
              <w:top w:val="single" w:color="auto" w:sz="8" w:space="0"/>
              <w:bottom w:val="single" w:color="auto" w:sz="8" w:space="0"/>
            </w:tcBorders>
            <w:shd w:val="clear" w:color="auto" w:fill="auto"/>
            <w:vAlign w:val="center"/>
          </w:tcPr>
          <w:p w14:paraId="0AB07EBC">
            <w:pPr>
              <w:pStyle w:val="180"/>
              <w:rPr>
                <w:rFonts w:ascii="Times New Roman"/>
              </w:rPr>
            </w:pPr>
            <w:r>
              <w:rPr>
                <w:rFonts w:ascii="Times New Roman"/>
              </w:rPr>
              <w:t>土壤水文分组（K）</w:t>
            </w:r>
          </w:p>
        </w:tc>
      </w:tr>
      <w:tr w14:paraId="618E0E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40B5EC12">
            <w:pPr>
              <w:pStyle w:val="180"/>
              <w:rPr>
                <w:rFonts w:ascii="Times New Roman"/>
              </w:rPr>
            </w:pPr>
          </w:p>
        </w:tc>
        <w:tc>
          <w:tcPr>
            <w:tcW w:w="2268" w:type="dxa"/>
            <w:vMerge w:val="continue"/>
            <w:shd w:val="clear" w:color="auto" w:fill="auto"/>
            <w:vAlign w:val="center"/>
          </w:tcPr>
          <w:p w14:paraId="1E2E5425">
            <w:pPr>
              <w:pStyle w:val="180"/>
              <w:rPr>
                <w:rFonts w:ascii="Times New Roman"/>
              </w:rPr>
            </w:pPr>
          </w:p>
        </w:tc>
        <w:tc>
          <w:tcPr>
            <w:tcW w:w="1272" w:type="dxa"/>
            <w:tcBorders>
              <w:top w:val="single" w:color="auto" w:sz="8" w:space="0"/>
            </w:tcBorders>
            <w:shd w:val="clear" w:color="auto" w:fill="auto"/>
            <w:vAlign w:val="center"/>
          </w:tcPr>
          <w:p w14:paraId="725ECE9A">
            <w:pPr>
              <w:pStyle w:val="180"/>
              <w:rPr>
                <w:rFonts w:ascii="Times New Roman"/>
              </w:rPr>
            </w:pPr>
            <w:r>
              <w:rPr>
                <w:rFonts w:ascii="Times New Roman"/>
              </w:rPr>
              <w:t>A</w:t>
            </w:r>
          </w:p>
        </w:tc>
        <w:tc>
          <w:tcPr>
            <w:tcW w:w="1273" w:type="dxa"/>
            <w:tcBorders>
              <w:top w:val="single" w:color="auto" w:sz="8" w:space="0"/>
            </w:tcBorders>
            <w:shd w:val="clear" w:color="auto" w:fill="auto"/>
            <w:vAlign w:val="center"/>
          </w:tcPr>
          <w:p w14:paraId="3A28EEDE">
            <w:pPr>
              <w:pStyle w:val="180"/>
              <w:rPr>
                <w:rFonts w:ascii="Times New Roman"/>
              </w:rPr>
            </w:pPr>
            <w:r>
              <w:rPr>
                <w:rFonts w:ascii="Times New Roman"/>
              </w:rPr>
              <w:t>B</w:t>
            </w:r>
          </w:p>
        </w:tc>
        <w:tc>
          <w:tcPr>
            <w:tcW w:w="1273" w:type="dxa"/>
            <w:tcBorders>
              <w:top w:val="single" w:color="auto" w:sz="8" w:space="0"/>
            </w:tcBorders>
            <w:shd w:val="clear" w:color="auto" w:fill="auto"/>
            <w:vAlign w:val="center"/>
          </w:tcPr>
          <w:p w14:paraId="4F609D7A">
            <w:pPr>
              <w:pStyle w:val="180"/>
              <w:rPr>
                <w:rFonts w:ascii="Times New Roman"/>
              </w:rPr>
            </w:pPr>
            <w:r>
              <w:rPr>
                <w:rFonts w:ascii="Times New Roman"/>
              </w:rPr>
              <w:t>C</w:t>
            </w:r>
          </w:p>
        </w:tc>
        <w:tc>
          <w:tcPr>
            <w:tcW w:w="1273" w:type="dxa"/>
            <w:tcBorders>
              <w:top w:val="single" w:color="auto" w:sz="8" w:space="0"/>
            </w:tcBorders>
            <w:shd w:val="clear" w:color="auto" w:fill="auto"/>
            <w:vAlign w:val="center"/>
          </w:tcPr>
          <w:p w14:paraId="48864190">
            <w:pPr>
              <w:pStyle w:val="180"/>
              <w:rPr>
                <w:rFonts w:ascii="Times New Roman"/>
              </w:rPr>
            </w:pPr>
            <w:r>
              <w:rPr>
                <w:rFonts w:ascii="Times New Roman"/>
              </w:rPr>
              <w:t>D</w:t>
            </w:r>
          </w:p>
        </w:tc>
      </w:tr>
      <w:tr w14:paraId="32308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21DE6260">
            <w:pPr>
              <w:pStyle w:val="180"/>
              <w:rPr>
                <w:rFonts w:ascii="Times New Roman"/>
              </w:rPr>
            </w:pPr>
            <w:r>
              <w:rPr>
                <w:rFonts w:ascii="Times New Roman"/>
              </w:rPr>
              <w:t>农田</w:t>
            </w:r>
          </w:p>
        </w:tc>
        <w:tc>
          <w:tcPr>
            <w:tcW w:w="2268" w:type="dxa"/>
            <w:shd w:val="clear" w:color="auto" w:fill="auto"/>
            <w:vAlign w:val="center"/>
          </w:tcPr>
          <w:p w14:paraId="6B70C807">
            <w:pPr>
              <w:pStyle w:val="180"/>
              <w:rPr>
                <w:rFonts w:ascii="Times New Roman"/>
              </w:rPr>
            </w:pPr>
            <w:r>
              <w:rPr>
                <w:rFonts w:ascii="Times New Roman"/>
              </w:rPr>
              <w:t>AMC1</w:t>
            </w:r>
          </w:p>
        </w:tc>
        <w:tc>
          <w:tcPr>
            <w:tcW w:w="1272" w:type="dxa"/>
            <w:shd w:val="clear" w:color="auto" w:fill="auto"/>
            <w:vAlign w:val="bottom"/>
          </w:tcPr>
          <w:p w14:paraId="60B69580">
            <w:pPr>
              <w:pStyle w:val="180"/>
              <w:rPr>
                <w:rFonts w:ascii="Times New Roman"/>
              </w:rPr>
            </w:pPr>
            <w:r>
              <w:rPr>
                <w:rFonts w:ascii="Times New Roman"/>
              </w:rPr>
              <w:t>0.48</w:t>
            </w:r>
          </w:p>
        </w:tc>
        <w:tc>
          <w:tcPr>
            <w:tcW w:w="1273" w:type="dxa"/>
            <w:shd w:val="clear" w:color="auto" w:fill="auto"/>
            <w:vAlign w:val="bottom"/>
          </w:tcPr>
          <w:p w14:paraId="57922B23">
            <w:pPr>
              <w:pStyle w:val="180"/>
              <w:rPr>
                <w:rFonts w:ascii="Times New Roman"/>
              </w:rPr>
            </w:pPr>
            <w:r>
              <w:rPr>
                <w:rFonts w:ascii="Times New Roman"/>
              </w:rPr>
              <w:t xml:space="preserve">0.60 </w:t>
            </w:r>
          </w:p>
        </w:tc>
        <w:tc>
          <w:tcPr>
            <w:tcW w:w="1273" w:type="dxa"/>
            <w:shd w:val="clear" w:color="auto" w:fill="auto"/>
            <w:vAlign w:val="bottom"/>
          </w:tcPr>
          <w:p w14:paraId="1D8DBD2D">
            <w:pPr>
              <w:pStyle w:val="180"/>
              <w:rPr>
                <w:rFonts w:ascii="Times New Roman"/>
              </w:rPr>
            </w:pPr>
            <w:r>
              <w:rPr>
                <w:rFonts w:ascii="Times New Roman"/>
              </w:rPr>
              <w:t xml:space="preserve">0.70 </w:t>
            </w:r>
          </w:p>
        </w:tc>
        <w:tc>
          <w:tcPr>
            <w:tcW w:w="1273" w:type="dxa"/>
            <w:shd w:val="clear" w:color="auto" w:fill="auto"/>
            <w:vAlign w:val="bottom"/>
          </w:tcPr>
          <w:p w14:paraId="619F2A8E">
            <w:pPr>
              <w:pStyle w:val="180"/>
              <w:rPr>
                <w:rFonts w:ascii="Times New Roman"/>
              </w:rPr>
            </w:pPr>
            <w:r>
              <w:rPr>
                <w:rFonts w:ascii="Times New Roman"/>
              </w:rPr>
              <w:t xml:space="preserve">0.76 </w:t>
            </w:r>
          </w:p>
        </w:tc>
      </w:tr>
      <w:tr w14:paraId="6E4C2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0ABE4096">
            <w:pPr>
              <w:pStyle w:val="180"/>
              <w:rPr>
                <w:rFonts w:ascii="Times New Roman"/>
              </w:rPr>
            </w:pPr>
          </w:p>
        </w:tc>
        <w:tc>
          <w:tcPr>
            <w:tcW w:w="2268" w:type="dxa"/>
            <w:shd w:val="clear" w:color="auto" w:fill="auto"/>
            <w:vAlign w:val="center"/>
          </w:tcPr>
          <w:p w14:paraId="3FC0644D">
            <w:pPr>
              <w:pStyle w:val="180"/>
              <w:rPr>
                <w:rFonts w:ascii="Times New Roman"/>
              </w:rPr>
            </w:pPr>
            <w:r>
              <w:rPr>
                <w:rFonts w:ascii="Times New Roman"/>
              </w:rPr>
              <w:t>AMC2</w:t>
            </w:r>
          </w:p>
        </w:tc>
        <w:tc>
          <w:tcPr>
            <w:tcW w:w="1272" w:type="dxa"/>
            <w:shd w:val="clear" w:color="auto" w:fill="auto"/>
            <w:vAlign w:val="bottom"/>
          </w:tcPr>
          <w:p w14:paraId="52D4C573">
            <w:pPr>
              <w:pStyle w:val="180"/>
              <w:rPr>
                <w:rFonts w:ascii="Times New Roman"/>
              </w:rPr>
            </w:pPr>
            <w:r>
              <w:rPr>
                <w:rFonts w:ascii="Times New Roman"/>
              </w:rPr>
              <w:t>0.67</w:t>
            </w:r>
          </w:p>
        </w:tc>
        <w:tc>
          <w:tcPr>
            <w:tcW w:w="1273" w:type="dxa"/>
            <w:shd w:val="clear" w:color="auto" w:fill="auto"/>
            <w:vAlign w:val="bottom"/>
          </w:tcPr>
          <w:p w14:paraId="47A7A0B2">
            <w:pPr>
              <w:pStyle w:val="180"/>
              <w:rPr>
                <w:rFonts w:ascii="Times New Roman"/>
              </w:rPr>
            </w:pPr>
            <w:r>
              <w:rPr>
                <w:rFonts w:ascii="Times New Roman"/>
              </w:rPr>
              <w:t xml:space="preserve">0.78 </w:t>
            </w:r>
          </w:p>
        </w:tc>
        <w:tc>
          <w:tcPr>
            <w:tcW w:w="1273" w:type="dxa"/>
            <w:shd w:val="clear" w:color="auto" w:fill="auto"/>
            <w:vAlign w:val="bottom"/>
          </w:tcPr>
          <w:p w14:paraId="04CCB74A">
            <w:pPr>
              <w:pStyle w:val="180"/>
              <w:rPr>
                <w:rFonts w:ascii="Times New Roman"/>
              </w:rPr>
            </w:pPr>
            <w:r>
              <w:rPr>
                <w:rFonts w:ascii="Times New Roman"/>
              </w:rPr>
              <w:t xml:space="preserve">0.85 </w:t>
            </w:r>
          </w:p>
        </w:tc>
        <w:tc>
          <w:tcPr>
            <w:tcW w:w="1273" w:type="dxa"/>
            <w:shd w:val="clear" w:color="auto" w:fill="auto"/>
            <w:vAlign w:val="bottom"/>
          </w:tcPr>
          <w:p w14:paraId="3CA05791">
            <w:pPr>
              <w:pStyle w:val="180"/>
              <w:rPr>
                <w:rFonts w:ascii="Times New Roman"/>
              </w:rPr>
            </w:pPr>
            <w:r>
              <w:rPr>
                <w:rFonts w:ascii="Times New Roman"/>
              </w:rPr>
              <w:t xml:space="preserve">0.89 </w:t>
            </w:r>
          </w:p>
        </w:tc>
      </w:tr>
      <w:tr w14:paraId="3126FB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7B5A7189">
            <w:pPr>
              <w:pStyle w:val="180"/>
              <w:rPr>
                <w:rFonts w:ascii="Times New Roman"/>
              </w:rPr>
            </w:pPr>
          </w:p>
        </w:tc>
        <w:tc>
          <w:tcPr>
            <w:tcW w:w="2268" w:type="dxa"/>
            <w:shd w:val="clear" w:color="auto" w:fill="auto"/>
            <w:vAlign w:val="center"/>
          </w:tcPr>
          <w:p w14:paraId="57C297AB">
            <w:pPr>
              <w:pStyle w:val="180"/>
              <w:rPr>
                <w:rFonts w:ascii="Times New Roman"/>
              </w:rPr>
            </w:pPr>
            <w:r>
              <w:rPr>
                <w:rFonts w:ascii="Times New Roman"/>
              </w:rPr>
              <w:t>AMC3</w:t>
            </w:r>
          </w:p>
        </w:tc>
        <w:tc>
          <w:tcPr>
            <w:tcW w:w="1272" w:type="dxa"/>
            <w:shd w:val="clear" w:color="auto" w:fill="auto"/>
            <w:vAlign w:val="bottom"/>
          </w:tcPr>
          <w:p w14:paraId="5F41618C">
            <w:pPr>
              <w:pStyle w:val="180"/>
              <w:rPr>
                <w:rFonts w:ascii="Times New Roman"/>
              </w:rPr>
            </w:pPr>
            <w:r>
              <w:rPr>
                <w:rFonts w:ascii="Times New Roman"/>
              </w:rPr>
              <w:t>0.84</w:t>
            </w:r>
          </w:p>
        </w:tc>
        <w:tc>
          <w:tcPr>
            <w:tcW w:w="1273" w:type="dxa"/>
            <w:shd w:val="clear" w:color="auto" w:fill="auto"/>
            <w:vAlign w:val="bottom"/>
          </w:tcPr>
          <w:p w14:paraId="6A481D4F">
            <w:pPr>
              <w:pStyle w:val="180"/>
              <w:rPr>
                <w:rFonts w:ascii="Times New Roman"/>
              </w:rPr>
            </w:pPr>
            <w:r>
              <w:rPr>
                <w:rFonts w:ascii="Times New Roman"/>
              </w:rPr>
              <w:t xml:space="preserve">0.90 </w:t>
            </w:r>
          </w:p>
        </w:tc>
        <w:tc>
          <w:tcPr>
            <w:tcW w:w="1273" w:type="dxa"/>
            <w:shd w:val="clear" w:color="auto" w:fill="auto"/>
            <w:vAlign w:val="bottom"/>
          </w:tcPr>
          <w:p w14:paraId="6B995DA7">
            <w:pPr>
              <w:pStyle w:val="180"/>
              <w:rPr>
                <w:rFonts w:ascii="Times New Roman"/>
              </w:rPr>
            </w:pPr>
            <w:r>
              <w:rPr>
                <w:rFonts w:ascii="Times New Roman"/>
              </w:rPr>
              <w:t xml:space="preserve">0.94 </w:t>
            </w:r>
          </w:p>
        </w:tc>
        <w:tc>
          <w:tcPr>
            <w:tcW w:w="1273" w:type="dxa"/>
            <w:shd w:val="clear" w:color="auto" w:fill="auto"/>
            <w:vAlign w:val="bottom"/>
          </w:tcPr>
          <w:p w14:paraId="75AAB677">
            <w:pPr>
              <w:pStyle w:val="180"/>
              <w:rPr>
                <w:rFonts w:ascii="Times New Roman"/>
              </w:rPr>
            </w:pPr>
            <w:r>
              <w:rPr>
                <w:rFonts w:ascii="Times New Roman"/>
              </w:rPr>
              <w:t xml:space="preserve">0.96 </w:t>
            </w:r>
          </w:p>
        </w:tc>
      </w:tr>
      <w:tr w14:paraId="0EBF6A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3F8C2D1B">
            <w:pPr>
              <w:pStyle w:val="180"/>
              <w:rPr>
                <w:rFonts w:ascii="Times New Roman"/>
              </w:rPr>
            </w:pPr>
            <w:r>
              <w:rPr>
                <w:rFonts w:ascii="Times New Roman"/>
              </w:rPr>
              <w:t>森林</w:t>
            </w:r>
          </w:p>
        </w:tc>
        <w:tc>
          <w:tcPr>
            <w:tcW w:w="2268" w:type="dxa"/>
            <w:shd w:val="clear" w:color="auto" w:fill="auto"/>
            <w:vAlign w:val="center"/>
          </w:tcPr>
          <w:p w14:paraId="7FAB2E16">
            <w:pPr>
              <w:pStyle w:val="180"/>
              <w:rPr>
                <w:rFonts w:ascii="Times New Roman"/>
              </w:rPr>
            </w:pPr>
            <w:r>
              <w:rPr>
                <w:rFonts w:ascii="Times New Roman"/>
              </w:rPr>
              <w:t>AMC1</w:t>
            </w:r>
          </w:p>
        </w:tc>
        <w:tc>
          <w:tcPr>
            <w:tcW w:w="1272" w:type="dxa"/>
            <w:shd w:val="clear" w:color="auto" w:fill="auto"/>
            <w:vAlign w:val="bottom"/>
          </w:tcPr>
          <w:p w14:paraId="6513F48E">
            <w:pPr>
              <w:pStyle w:val="180"/>
              <w:rPr>
                <w:rFonts w:ascii="Times New Roman"/>
              </w:rPr>
            </w:pPr>
            <w:r>
              <w:rPr>
                <w:rFonts w:ascii="Times New Roman"/>
              </w:rPr>
              <w:t>0.10</w:t>
            </w:r>
          </w:p>
        </w:tc>
        <w:tc>
          <w:tcPr>
            <w:tcW w:w="1273" w:type="dxa"/>
            <w:shd w:val="clear" w:color="auto" w:fill="auto"/>
            <w:vAlign w:val="bottom"/>
          </w:tcPr>
          <w:p w14:paraId="4999E173">
            <w:pPr>
              <w:pStyle w:val="180"/>
              <w:rPr>
                <w:rFonts w:ascii="Times New Roman"/>
              </w:rPr>
            </w:pPr>
            <w:r>
              <w:rPr>
                <w:rFonts w:ascii="Times New Roman"/>
              </w:rPr>
              <w:t xml:space="preserve">0.35 </w:t>
            </w:r>
          </w:p>
        </w:tc>
        <w:tc>
          <w:tcPr>
            <w:tcW w:w="1273" w:type="dxa"/>
            <w:shd w:val="clear" w:color="auto" w:fill="auto"/>
            <w:vAlign w:val="bottom"/>
          </w:tcPr>
          <w:p w14:paraId="2F6AC7E7">
            <w:pPr>
              <w:pStyle w:val="180"/>
              <w:rPr>
                <w:rFonts w:ascii="Times New Roman"/>
              </w:rPr>
            </w:pPr>
            <w:r>
              <w:rPr>
                <w:rFonts w:ascii="Times New Roman"/>
              </w:rPr>
              <w:t xml:space="preserve">0.51 </w:t>
            </w:r>
          </w:p>
        </w:tc>
        <w:tc>
          <w:tcPr>
            <w:tcW w:w="1273" w:type="dxa"/>
            <w:shd w:val="clear" w:color="auto" w:fill="auto"/>
            <w:vAlign w:val="bottom"/>
          </w:tcPr>
          <w:p w14:paraId="2E83BB91">
            <w:pPr>
              <w:pStyle w:val="180"/>
              <w:rPr>
                <w:rFonts w:ascii="Times New Roman"/>
              </w:rPr>
            </w:pPr>
            <w:r>
              <w:rPr>
                <w:rFonts w:ascii="Times New Roman"/>
              </w:rPr>
              <w:t xml:space="preserve">0.59 </w:t>
            </w:r>
          </w:p>
        </w:tc>
      </w:tr>
      <w:tr w14:paraId="6BD7C3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6067FBB0">
            <w:pPr>
              <w:pStyle w:val="180"/>
              <w:rPr>
                <w:rFonts w:ascii="Times New Roman"/>
              </w:rPr>
            </w:pPr>
          </w:p>
        </w:tc>
        <w:tc>
          <w:tcPr>
            <w:tcW w:w="2268" w:type="dxa"/>
            <w:shd w:val="clear" w:color="auto" w:fill="auto"/>
            <w:vAlign w:val="center"/>
          </w:tcPr>
          <w:p w14:paraId="102F85ED">
            <w:pPr>
              <w:pStyle w:val="180"/>
              <w:rPr>
                <w:rFonts w:ascii="Times New Roman"/>
              </w:rPr>
            </w:pPr>
            <w:r>
              <w:rPr>
                <w:rFonts w:ascii="Times New Roman"/>
              </w:rPr>
              <w:t>AMC2</w:t>
            </w:r>
          </w:p>
        </w:tc>
        <w:tc>
          <w:tcPr>
            <w:tcW w:w="1272" w:type="dxa"/>
            <w:shd w:val="clear" w:color="auto" w:fill="auto"/>
            <w:vAlign w:val="bottom"/>
          </w:tcPr>
          <w:p w14:paraId="0A3199A9">
            <w:pPr>
              <w:pStyle w:val="180"/>
              <w:rPr>
                <w:rFonts w:ascii="Times New Roman"/>
              </w:rPr>
            </w:pPr>
            <w:r>
              <w:rPr>
                <w:rFonts w:ascii="Times New Roman"/>
              </w:rPr>
              <w:t>0.30</w:t>
            </w:r>
          </w:p>
        </w:tc>
        <w:tc>
          <w:tcPr>
            <w:tcW w:w="1273" w:type="dxa"/>
            <w:shd w:val="clear" w:color="auto" w:fill="auto"/>
            <w:vAlign w:val="bottom"/>
          </w:tcPr>
          <w:p w14:paraId="2BE0A397">
            <w:pPr>
              <w:pStyle w:val="180"/>
              <w:rPr>
                <w:rFonts w:ascii="Times New Roman"/>
              </w:rPr>
            </w:pPr>
            <w:r>
              <w:rPr>
                <w:rFonts w:ascii="Times New Roman"/>
              </w:rPr>
              <w:t xml:space="preserve">0.55 </w:t>
            </w:r>
          </w:p>
        </w:tc>
        <w:tc>
          <w:tcPr>
            <w:tcW w:w="1273" w:type="dxa"/>
            <w:shd w:val="clear" w:color="auto" w:fill="auto"/>
            <w:vAlign w:val="bottom"/>
          </w:tcPr>
          <w:p w14:paraId="63F09E5C">
            <w:pPr>
              <w:pStyle w:val="180"/>
              <w:rPr>
                <w:rFonts w:ascii="Times New Roman"/>
              </w:rPr>
            </w:pPr>
            <w:r>
              <w:rPr>
                <w:rFonts w:ascii="Times New Roman"/>
              </w:rPr>
              <w:t xml:space="preserve">0.70 </w:t>
            </w:r>
          </w:p>
        </w:tc>
        <w:tc>
          <w:tcPr>
            <w:tcW w:w="1273" w:type="dxa"/>
            <w:shd w:val="clear" w:color="auto" w:fill="auto"/>
            <w:vAlign w:val="bottom"/>
          </w:tcPr>
          <w:p w14:paraId="20F82CB4">
            <w:pPr>
              <w:pStyle w:val="180"/>
              <w:rPr>
                <w:rFonts w:ascii="Times New Roman"/>
              </w:rPr>
            </w:pPr>
            <w:r>
              <w:rPr>
                <w:rFonts w:ascii="Times New Roman"/>
              </w:rPr>
              <w:t xml:space="preserve">0.77 </w:t>
            </w:r>
          </w:p>
        </w:tc>
      </w:tr>
      <w:tr w14:paraId="5B953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4F80EFC3">
            <w:pPr>
              <w:pStyle w:val="180"/>
              <w:rPr>
                <w:rFonts w:ascii="Times New Roman"/>
              </w:rPr>
            </w:pPr>
          </w:p>
        </w:tc>
        <w:tc>
          <w:tcPr>
            <w:tcW w:w="2268" w:type="dxa"/>
            <w:shd w:val="clear" w:color="auto" w:fill="auto"/>
            <w:vAlign w:val="center"/>
          </w:tcPr>
          <w:p w14:paraId="207AF1F8">
            <w:pPr>
              <w:pStyle w:val="180"/>
              <w:rPr>
                <w:rFonts w:ascii="Times New Roman"/>
              </w:rPr>
            </w:pPr>
            <w:r>
              <w:rPr>
                <w:rFonts w:ascii="Times New Roman"/>
              </w:rPr>
              <w:t>AMC3</w:t>
            </w:r>
          </w:p>
        </w:tc>
        <w:tc>
          <w:tcPr>
            <w:tcW w:w="1272" w:type="dxa"/>
            <w:shd w:val="clear" w:color="auto" w:fill="auto"/>
            <w:vAlign w:val="bottom"/>
          </w:tcPr>
          <w:p w14:paraId="27A180AD">
            <w:pPr>
              <w:pStyle w:val="180"/>
              <w:rPr>
                <w:rFonts w:ascii="Times New Roman"/>
              </w:rPr>
            </w:pPr>
            <w:r>
              <w:rPr>
                <w:rFonts w:ascii="Times New Roman"/>
              </w:rPr>
              <w:t>0.48</w:t>
            </w:r>
          </w:p>
        </w:tc>
        <w:tc>
          <w:tcPr>
            <w:tcW w:w="1273" w:type="dxa"/>
            <w:shd w:val="clear" w:color="auto" w:fill="auto"/>
            <w:vAlign w:val="bottom"/>
          </w:tcPr>
          <w:p w14:paraId="79D22E8E">
            <w:pPr>
              <w:pStyle w:val="180"/>
              <w:rPr>
                <w:rFonts w:ascii="Times New Roman"/>
              </w:rPr>
            </w:pPr>
            <w:r>
              <w:rPr>
                <w:rFonts w:ascii="Times New Roman"/>
              </w:rPr>
              <w:t xml:space="preserve">0.74 </w:t>
            </w:r>
          </w:p>
        </w:tc>
        <w:tc>
          <w:tcPr>
            <w:tcW w:w="1273" w:type="dxa"/>
            <w:shd w:val="clear" w:color="auto" w:fill="auto"/>
            <w:vAlign w:val="bottom"/>
          </w:tcPr>
          <w:p w14:paraId="0F510941">
            <w:pPr>
              <w:pStyle w:val="180"/>
              <w:rPr>
                <w:rFonts w:ascii="Times New Roman"/>
              </w:rPr>
            </w:pPr>
            <w:r>
              <w:rPr>
                <w:rFonts w:ascii="Times New Roman"/>
              </w:rPr>
              <w:t xml:space="preserve">0.86 </w:t>
            </w:r>
          </w:p>
        </w:tc>
        <w:tc>
          <w:tcPr>
            <w:tcW w:w="1273" w:type="dxa"/>
            <w:shd w:val="clear" w:color="auto" w:fill="auto"/>
            <w:vAlign w:val="bottom"/>
          </w:tcPr>
          <w:p w14:paraId="32DCCC45">
            <w:pPr>
              <w:pStyle w:val="180"/>
              <w:rPr>
                <w:rFonts w:ascii="Times New Roman"/>
              </w:rPr>
            </w:pPr>
            <w:r>
              <w:rPr>
                <w:rFonts w:ascii="Times New Roman"/>
              </w:rPr>
              <w:t xml:space="preserve">0.90 </w:t>
            </w:r>
          </w:p>
        </w:tc>
      </w:tr>
      <w:tr w14:paraId="66E565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0721EF93">
            <w:pPr>
              <w:pStyle w:val="180"/>
              <w:rPr>
                <w:rFonts w:ascii="Times New Roman"/>
              </w:rPr>
            </w:pPr>
            <w:r>
              <w:rPr>
                <w:rFonts w:ascii="Times New Roman"/>
              </w:rPr>
              <w:t>灌丛</w:t>
            </w:r>
          </w:p>
        </w:tc>
        <w:tc>
          <w:tcPr>
            <w:tcW w:w="2268" w:type="dxa"/>
            <w:shd w:val="clear" w:color="auto" w:fill="auto"/>
            <w:vAlign w:val="center"/>
          </w:tcPr>
          <w:p w14:paraId="3BF07E12">
            <w:pPr>
              <w:pStyle w:val="180"/>
              <w:rPr>
                <w:rFonts w:ascii="Times New Roman"/>
              </w:rPr>
            </w:pPr>
            <w:r>
              <w:rPr>
                <w:rFonts w:ascii="Times New Roman"/>
              </w:rPr>
              <w:t>AMC1</w:t>
            </w:r>
          </w:p>
        </w:tc>
        <w:tc>
          <w:tcPr>
            <w:tcW w:w="1272" w:type="dxa"/>
            <w:shd w:val="clear" w:color="auto" w:fill="auto"/>
            <w:vAlign w:val="bottom"/>
          </w:tcPr>
          <w:p w14:paraId="14213DB3">
            <w:pPr>
              <w:pStyle w:val="180"/>
              <w:rPr>
                <w:rFonts w:ascii="Times New Roman"/>
              </w:rPr>
            </w:pPr>
            <w:r>
              <w:rPr>
                <w:rFonts w:ascii="Times New Roman"/>
              </w:rPr>
              <w:t>0.15</w:t>
            </w:r>
          </w:p>
        </w:tc>
        <w:tc>
          <w:tcPr>
            <w:tcW w:w="1273" w:type="dxa"/>
            <w:shd w:val="clear" w:color="auto" w:fill="auto"/>
            <w:vAlign w:val="bottom"/>
          </w:tcPr>
          <w:p w14:paraId="5A48C89A">
            <w:pPr>
              <w:pStyle w:val="180"/>
              <w:rPr>
                <w:rFonts w:ascii="Times New Roman"/>
              </w:rPr>
            </w:pPr>
            <w:r>
              <w:rPr>
                <w:rFonts w:ascii="Times New Roman"/>
              </w:rPr>
              <w:t xml:space="preserve">0.36 </w:t>
            </w:r>
          </w:p>
        </w:tc>
        <w:tc>
          <w:tcPr>
            <w:tcW w:w="1273" w:type="dxa"/>
            <w:shd w:val="clear" w:color="auto" w:fill="auto"/>
            <w:vAlign w:val="bottom"/>
          </w:tcPr>
          <w:p w14:paraId="3544AE36">
            <w:pPr>
              <w:pStyle w:val="180"/>
              <w:rPr>
                <w:rFonts w:ascii="Times New Roman"/>
              </w:rPr>
            </w:pPr>
            <w:r>
              <w:rPr>
                <w:rFonts w:ascii="Times New Roman"/>
              </w:rPr>
              <w:t xml:space="preserve">0.51 </w:t>
            </w:r>
          </w:p>
        </w:tc>
        <w:tc>
          <w:tcPr>
            <w:tcW w:w="1273" w:type="dxa"/>
            <w:shd w:val="clear" w:color="auto" w:fill="auto"/>
            <w:vAlign w:val="bottom"/>
          </w:tcPr>
          <w:p w14:paraId="26DC2788">
            <w:pPr>
              <w:pStyle w:val="180"/>
              <w:rPr>
                <w:rFonts w:ascii="Times New Roman"/>
              </w:rPr>
            </w:pPr>
            <w:r>
              <w:rPr>
                <w:rFonts w:ascii="Times New Roman"/>
              </w:rPr>
              <w:t xml:space="preserve">0.59 </w:t>
            </w:r>
          </w:p>
        </w:tc>
      </w:tr>
      <w:tr w14:paraId="1AD432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096252A2">
            <w:pPr>
              <w:pStyle w:val="180"/>
              <w:rPr>
                <w:rFonts w:ascii="Times New Roman"/>
              </w:rPr>
            </w:pPr>
          </w:p>
        </w:tc>
        <w:tc>
          <w:tcPr>
            <w:tcW w:w="2268" w:type="dxa"/>
            <w:shd w:val="clear" w:color="auto" w:fill="auto"/>
            <w:vAlign w:val="center"/>
          </w:tcPr>
          <w:p w14:paraId="1C08B917">
            <w:pPr>
              <w:pStyle w:val="180"/>
              <w:rPr>
                <w:rFonts w:ascii="Times New Roman"/>
              </w:rPr>
            </w:pPr>
            <w:r>
              <w:rPr>
                <w:rFonts w:ascii="Times New Roman"/>
              </w:rPr>
              <w:t>AMC2</w:t>
            </w:r>
          </w:p>
        </w:tc>
        <w:tc>
          <w:tcPr>
            <w:tcW w:w="1272" w:type="dxa"/>
            <w:shd w:val="clear" w:color="auto" w:fill="auto"/>
            <w:vAlign w:val="bottom"/>
          </w:tcPr>
          <w:p w14:paraId="15B16F97">
            <w:pPr>
              <w:pStyle w:val="180"/>
              <w:rPr>
                <w:rFonts w:ascii="Times New Roman"/>
              </w:rPr>
            </w:pPr>
            <w:r>
              <w:rPr>
                <w:rFonts w:ascii="Times New Roman"/>
              </w:rPr>
              <w:t>0.35</w:t>
            </w:r>
          </w:p>
        </w:tc>
        <w:tc>
          <w:tcPr>
            <w:tcW w:w="1273" w:type="dxa"/>
            <w:shd w:val="clear" w:color="auto" w:fill="auto"/>
            <w:vAlign w:val="bottom"/>
          </w:tcPr>
          <w:p w14:paraId="5312AB3A">
            <w:pPr>
              <w:pStyle w:val="180"/>
              <w:rPr>
                <w:rFonts w:ascii="Times New Roman"/>
              </w:rPr>
            </w:pPr>
            <w:r>
              <w:rPr>
                <w:rFonts w:ascii="Times New Roman"/>
              </w:rPr>
              <w:t xml:space="preserve">0.56 </w:t>
            </w:r>
          </w:p>
        </w:tc>
        <w:tc>
          <w:tcPr>
            <w:tcW w:w="1273" w:type="dxa"/>
            <w:shd w:val="clear" w:color="auto" w:fill="auto"/>
            <w:vAlign w:val="bottom"/>
          </w:tcPr>
          <w:p w14:paraId="0E3FB2D4">
            <w:pPr>
              <w:pStyle w:val="180"/>
              <w:rPr>
                <w:rFonts w:ascii="Times New Roman"/>
              </w:rPr>
            </w:pPr>
            <w:r>
              <w:rPr>
                <w:rFonts w:ascii="Times New Roman"/>
              </w:rPr>
              <w:t xml:space="preserve">0.70 </w:t>
            </w:r>
          </w:p>
        </w:tc>
        <w:tc>
          <w:tcPr>
            <w:tcW w:w="1273" w:type="dxa"/>
            <w:shd w:val="clear" w:color="auto" w:fill="auto"/>
            <w:vAlign w:val="bottom"/>
          </w:tcPr>
          <w:p w14:paraId="3CBC31ED">
            <w:pPr>
              <w:pStyle w:val="180"/>
              <w:rPr>
                <w:rFonts w:ascii="Times New Roman"/>
              </w:rPr>
            </w:pPr>
            <w:r>
              <w:rPr>
                <w:rFonts w:ascii="Times New Roman"/>
              </w:rPr>
              <w:t xml:space="preserve">0.77 </w:t>
            </w:r>
          </w:p>
        </w:tc>
      </w:tr>
      <w:tr w14:paraId="3B520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59ADDD47">
            <w:pPr>
              <w:pStyle w:val="180"/>
              <w:rPr>
                <w:rFonts w:ascii="Times New Roman"/>
              </w:rPr>
            </w:pPr>
          </w:p>
        </w:tc>
        <w:tc>
          <w:tcPr>
            <w:tcW w:w="2268" w:type="dxa"/>
            <w:shd w:val="clear" w:color="auto" w:fill="auto"/>
            <w:vAlign w:val="center"/>
          </w:tcPr>
          <w:p w14:paraId="7E0EE1D4">
            <w:pPr>
              <w:pStyle w:val="180"/>
              <w:rPr>
                <w:rFonts w:ascii="Times New Roman"/>
              </w:rPr>
            </w:pPr>
            <w:r>
              <w:rPr>
                <w:rFonts w:ascii="Times New Roman"/>
              </w:rPr>
              <w:t>AMC3</w:t>
            </w:r>
          </w:p>
        </w:tc>
        <w:tc>
          <w:tcPr>
            <w:tcW w:w="1272" w:type="dxa"/>
            <w:shd w:val="clear" w:color="auto" w:fill="auto"/>
            <w:vAlign w:val="bottom"/>
          </w:tcPr>
          <w:p w14:paraId="1BFA7795">
            <w:pPr>
              <w:pStyle w:val="180"/>
              <w:rPr>
                <w:rFonts w:ascii="Times New Roman"/>
              </w:rPr>
            </w:pPr>
            <w:r>
              <w:rPr>
                <w:rFonts w:ascii="Times New Roman"/>
              </w:rPr>
              <w:t>0.54</w:t>
            </w:r>
          </w:p>
        </w:tc>
        <w:tc>
          <w:tcPr>
            <w:tcW w:w="1273" w:type="dxa"/>
            <w:shd w:val="clear" w:color="auto" w:fill="auto"/>
            <w:vAlign w:val="bottom"/>
          </w:tcPr>
          <w:p w14:paraId="72CA4274">
            <w:pPr>
              <w:pStyle w:val="180"/>
              <w:rPr>
                <w:rFonts w:ascii="Times New Roman"/>
              </w:rPr>
            </w:pPr>
            <w:r>
              <w:rPr>
                <w:rFonts w:ascii="Times New Roman"/>
              </w:rPr>
              <w:t xml:space="preserve">0.75 </w:t>
            </w:r>
          </w:p>
        </w:tc>
        <w:tc>
          <w:tcPr>
            <w:tcW w:w="1273" w:type="dxa"/>
            <w:shd w:val="clear" w:color="auto" w:fill="auto"/>
            <w:vAlign w:val="bottom"/>
          </w:tcPr>
          <w:p w14:paraId="5464463D">
            <w:pPr>
              <w:pStyle w:val="180"/>
              <w:rPr>
                <w:rFonts w:ascii="Times New Roman"/>
              </w:rPr>
            </w:pPr>
            <w:r>
              <w:rPr>
                <w:rFonts w:ascii="Times New Roman"/>
              </w:rPr>
              <w:t xml:space="preserve">0.86 </w:t>
            </w:r>
          </w:p>
        </w:tc>
        <w:tc>
          <w:tcPr>
            <w:tcW w:w="1273" w:type="dxa"/>
            <w:shd w:val="clear" w:color="auto" w:fill="auto"/>
            <w:vAlign w:val="bottom"/>
          </w:tcPr>
          <w:p w14:paraId="25E773CB">
            <w:pPr>
              <w:pStyle w:val="180"/>
              <w:rPr>
                <w:rFonts w:ascii="Times New Roman"/>
              </w:rPr>
            </w:pPr>
            <w:r>
              <w:rPr>
                <w:rFonts w:ascii="Times New Roman"/>
              </w:rPr>
              <w:t xml:space="preserve">0.90 </w:t>
            </w:r>
          </w:p>
        </w:tc>
      </w:tr>
      <w:tr w14:paraId="79730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53DF5D80">
            <w:pPr>
              <w:pStyle w:val="180"/>
              <w:rPr>
                <w:rFonts w:ascii="Times New Roman"/>
              </w:rPr>
            </w:pPr>
            <w:r>
              <w:rPr>
                <w:rFonts w:ascii="Times New Roman"/>
              </w:rPr>
              <w:t>草地</w:t>
            </w:r>
          </w:p>
        </w:tc>
        <w:tc>
          <w:tcPr>
            <w:tcW w:w="2268" w:type="dxa"/>
            <w:shd w:val="clear" w:color="auto" w:fill="auto"/>
            <w:vAlign w:val="center"/>
          </w:tcPr>
          <w:p w14:paraId="3B12ECB0">
            <w:pPr>
              <w:pStyle w:val="180"/>
              <w:rPr>
                <w:rFonts w:ascii="Times New Roman"/>
              </w:rPr>
            </w:pPr>
            <w:r>
              <w:rPr>
                <w:rFonts w:ascii="Times New Roman"/>
              </w:rPr>
              <w:t>AMC1</w:t>
            </w:r>
          </w:p>
        </w:tc>
        <w:tc>
          <w:tcPr>
            <w:tcW w:w="1272" w:type="dxa"/>
            <w:shd w:val="clear" w:color="auto" w:fill="auto"/>
            <w:vAlign w:val="bottom"/>
          </w:tcPr>
          <w:p w14:paraId="600EF912">
            <w:pPr>
              <w:pStyle w:val="180"/>
              <w:rPr>
                <w:rFonts w:ascii="Times New Roman"/>
              </w:rPr>
            </w:pPr>
            <w:r>
              <w:rPr>
                <w:rFonts w:ascii="Times New Roman"/>
              </w:rPr>
              <w:t>0.19</w:t>
            </w:r>
          </w:p>
        </w:tc>
        <w:tc>
          <w:tcPr>
            <w:tcW w:w="1273" w:type="dxa"/>
            <w:shd w:val="clear" w:color="auto" w:fill="auto"/>
            <w:vAlign w:val="bottom"/>
          </w:tcPr>
          <w:p w14:paraId="39761F46">
            <w:pPr>
              <w:pStyle w:val="180"/>
              <w:rPr>
                <w:rFonts w:ascii="Times New Roman"/>
              </w:rPr>
            </w:pPr>
            <w:r>
              <w:rPr>
                <w:rFonts w:ascii="Times New Roman"/>
              </w:rPr>
              <w:t xml:space="preserve">0.42 </w:t>
            </w:r>
          </w:p>
        </w:tc>
        <w:tc>
          <w:tcPr>
            <w:tcW w:w="1273" w:type="dxa"/>
            <w:shd w:val="clear" w:color="auto" w:fill="auto"/>
            <w:vAlign w:val="bottom"/>
          </w:tcPr>
          <w:p w14:paraId="039AA450">
            <w:pPr>
              <w:pStyle w:val="180"/>
              <w:rPr>
                <w:rFonts w:ascii="Times New Roman"/>
              </w:rPr>
            </w:pPr>
            <w:r>
              <w:rPr>
                <w:rFonts w:ascii="Times New Roman"/>
              </w:rPr>
              <w:t xml:space="preserve">0.56 </w:t>
            </w:r>
          </w:p>
        </w:tc>
        <w:tc>
          <w:tcPr>
            <w:tcW w:w="1273" w:type="dxa"/>
            <w:shd w:val="clear" w:color="auto" w:fill="auto"/>
            <w:vAlign w:val="bottom"/>
          </w:tcPr>
          <w:p w14:paraId="5E9E4968">
            <w:pPr>
              <w:pStyle w:val="180"/>
              <w:rPr>
                <w:rFonts w:ascii="Times New Roman"/>
              </w:rPr>
            </w:pPr>
            <w:r>
              <w:rPr>
                <w:rFonts w:ascii="Times New Roman"/>
              </w:rPr>
              <w:t xml:space="preserve">0.63 </w:t>
            </w:r>
          </w:p>
        </w:tc>
      </w:tr>
      <w:tr w14:paraId="4737A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4D89221E">
            <w:pPr>
              <w:pStyle w:val="180"/>
              <w:rPr>
                <w:rFonts w:ascii="Times New Roman"/>
              </w:rPr>
            </w:pPr>
          </w:p>
        </w:tc>
        <w:tc>
          <w:tcPr>
            <w:tcW w:w="2268" w:type="dxa"/>
            <w:shd w:val="clear" w:color="auto" w:fill="auto"/>
            <w:vAlign w:val="center"/>
          </w:tcPr>
          <w:p w14:paraId="20EEBFA1">
            <w:pPr>
              <w:pStyle w:val="180"/>
              <w:rPr>
                <w:rFonts w:ascii="Times New Roman"/>
              </w:rPr>
            </w:pPr>
            <w:r>
              <w:rPr>
                <w:rFonts w:ascii="Times New Roman"/>
              </w:rPr>
              <w:t>AMC2</w:t>
            </w:r>
          </w:p>
        </w:tc>
        <w:tc>
          <w:tcPr>
            <w:tcW w:w="1272" w:type="dxa"/>
            <w:shd w:val="clear" w:color="auto" w:fill="auto"/>
            <w:vAlign w:val="bottom"/>
          </w:tcPr>
          <w:p w14:paraId="023A3818">
            <w:pPr>
              <w:pStyle w:val="180"/>
              <w:rPr>
                <w:rFonts w:ascii="Times New Roman"/>
              </w:rPr>
            </w:pPr>
            <w:r>
              <w:rPr>
                <w:rFonts w:ascii="Times New Roman"/>
              </w:rPr>
              <w:t>0.39</w:t>
            </w:r>
          </w:p>
        </w:tc>
        <w:tc>
          <w:tcPr>
            <w:tcW w:w="1273" w:type="dxa"/>
            <w:shd w:val="clear" w:color="auto" w:fill="auto"/>
            <w:vAlign w:val="bottom"/>
          </w:tcPr>
          <w:p w14:paraId="0E869177">
            <w:pPr>
              <w:pStyle w:val="180"/>
              <w:rPr>
                <w:rFonts w:ascii="Times New Roman"/>
              </w:rPr>
            </w:pPr>
            <w:r>
              <w:rPr>
                <w:rFonts w:ascii="Times New Roman"/>
              </w:rPr>
              <w:t xml:space="preserve">0.61 </w:t>
            </w:r>
          </w:p>
        </w:tc>
        <w:tc>
          <w:tcPr>
            <w:tcW w:w="1273" w:type="dxa"/>
            <w:shd w:val="clear" w:color="auto" w:fill="auto"/>
            <w:vAlign w:val="bottom"/>
          </w:tcPr>
          <w:p w14:paraId="5B87442B">
            <w:pPr>
              <w:pStyle w:val="180"/>
              <w:rPr>
                <w:rFonts w:ascii="Times New Roman"/>
              </w:rPr>
            </w:pPr>
            <w:r>
              <w:rPr>
                <w:rFonts w:ascii="Times New Roman"/>
              </w:rPr>
              <w:t xml:space="preserve">0.74 </w:t>
            </w:r>
          </w:p>
        </w:tc>
        <w:tc>
          <w:tcPr>
            <w:tcW w:w="1273" w:type="dxa"/>
            <w:shd w:val="clear" w:color="auto" w:fill="auto"/>
            <w:vAlign w:val="bottom"/>
          </w:tcPr>
          <w:p w14:paraId="6F4F1077">
            <w:pPr>
              <w:pStyle w:val="180"/>
              <w:rPr>
                <w:rFonts w:ascii="Times New Roman"/>
              </w:rPr>
            </w:pPr>
            <w:r>
              <w:rPr>
                <w:rFonts w:ascii="Times New Roman"/>
              </w:rPr>
              <w:t xml:space="preserve">0.80 </w:t>
            </w:r>
          </w:p>
        </w:tc>
      </w:tr>
      <w:tr w14:paraId="45BF81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3CEF23C7">
            <w:pPr>
              <w:pStyle w:val="180"/>
              <w:rPr>
                <w:rFonts w:ascii="Times New Roman"/>
              </w:rPr>
            </w:pPr>
          </w:p>
        </w:tc>
        <w:tc>
          <w:tcPr>
            <w:tcW w:w="2268" w:type="dxa"/>
            <w:shd w:val="clear" w:color="auto" w:fill="auto"/>
            <w:vAlign w:val="center"/>
          </w:tcPr>
          <w:p w14:paraId="3D3C66CE">
            <w:pPr>
              <w:pStyle w:val="180"/>
              <w:rPr>
                <w:rFonts w:ascii="Times New Roman"/>
              </w:rPr>
            </w:pPr>
            <w:r>
              <w:rPr>
                <w:rFonts w:ascii="Times New Roman"/>
              </w:rPr>
              <w:t>AMC3</w:t>
            </w:r>
          </w:p>
        </w:tc>
        <w:tc>
          <w:tcPr>
            <w:tcW w:w="1272" w:type="dxa"/>
            <w:shd w:val="clear" w:color="auto" w:fill="auto"/>
            <w:vAlign w:val="bottom"/>
          </w:tcPr>
          <w:p w14:paraId="5140BAB0">
            <w:pPr>
              <w:pStyle w:val="180"/>
              <w:rPr>
                <w:rFonts w:ascii="Times New Roman"/>
              </w:rPr>
            </w:pPr>
            <w:r>
              <w:rPr>
                <w:rFonts w:ascii="Times New Roman"/>
              </w:rPr>
              <w:t>0.59</w:t>
            </w:r>
          </w:p>
        </w:tc>
        <w:tc>
          <w:tcPr>
            <w:tcW w:w="1273" w:type="dxa"/>
            <w:shd w:val="clear" w:color="auto" w:fill="auto"/>
            <w:vAlign w:val="bottom"/>
          </w:tcPr>
          <w:p w14:paraId="3B46C136">
            <w:pPr>
              <w:pStyle w:val="180"/>
              <w:rPr>
                <w:rFonts w:ascii="Times New Roman"/>
              </w:rPr>
            </w:pPr>
            <w:r>
              <w:rPr>
                <w:rFonts w:ascii="Times New Roman"/>
              </w:rPr>
              <w:t xml:space="preserve">0.79 </w:t>
            </w:r>
          </w:p>
        </w:tc>
        <w:tc>
          <w:tcPr>
            <w:tcW w:w="1273" w:type="dxa"/>
            <w:shd w:val="clear" w:color="auto" w:fill="auto"/>
            <w:vAlign w:val="bottom"/>
          </w:tcPr>
          <w:p w14:paraId="246F1534">
            <w:pPr>
              <w:pStyle w:val="180"/>
              <w:rPr>
                <w:rFonts w:ascii="Times New Roman"/>
              </w:rPr>
            </w:pPr>
            <w:r>
              <w:rPr>
                <w:rFonts w:ascii="Times New Roman"/>
              </w:rPr>
              <w:t xml:space="preserve">0.00 </w:t>
            </w:r>
          </w:p>
        </w:tc>
        <w:tc>
          <w:tcPr>
            <w:tcW w:w="1273" w:type="dxa"/>
            <w:shd w:val="clear" w:color="auto" w:fill="auto"/>
            <w:vAlign w:val="bottom"/>
          </w:tcPr>
          <w:p w14:paraId="548D2489">
            <w:pPr>
              <w:pStyle w:val="180"/>
              <w:rPr>
                <w:rFonts w:ascii="Times New Roman"/>
              </w:rPr>
            </w:pPr>
            <w:r>
              <w:rPr>
                <w:rFonts w:ascii="Times New Roman"/>
              </w:rPr>
              <w:t xml:space="preserve">0.92 </w:t>
            </w:r>
          </w:p>
        </w:tc>
      </w:tr>
      <w:tr w14:paraId="08007E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5EE71E22">
            <w:pPr>
              <w:pStyle w:val="180"/>
              <w:rPr>
                <w:rFonts w:ascii="Times New Roman"/>
              </w:rPr>
            </w:pPr>
            <w:r>
              <w:rPr>
                <w:rFonts w:ascii="Times New Roman"/>
              </w:rPr>
              <w:t>湿地</w:t>
            </w:r>
          </w:p>
        </w:tc>
        <w:tc>
          <w:tcPr>
            <w:tcW w:w="2268" w:type="dxa"/>
            <w:shd w:val="clear" w:color="auto" w:fill="auto"/>
            <w:vAlign w:val="center"/>
          </w:tcPr>
          <w:p w14:paraId="637BE66D">
            <w:pPr>
              <w:pStyle w:val="180"/>
              <w:rPr>
                <w:rFonts w:ascii="Times New Roman"/>
              </w:rPr>
            </w:pPr>
            <w:r>
              <w:rPr>
                <w:rFonts w:ascii="Times New Roman"/>
              </w:rPr>
              <w:t>AMC1</w:t>
            </w:r>
          </w:p>
        </w:tc>
        <w:tc>
          <w:tcPr>
            <w:tcW w:w="1272" w:type="dxa"/>
            <w:shd w:val="clear" w:color="auto" w:fill="auto"/>
            <w:vAlign w:val="bottom"/>
          </w:tcPr>
          <w:p w14:paraId="2343C8E7">
            <w:pPr>
              <w:pStyle w:val="180"/>
              <w:rPr>
                <w:rFonts w:ascii="Times New Roman"/>
              </w:rPr>
            </w:pPr>
            <w:r>
              <w:rPr>
                <w:rFonts w:ascii="Times New Roman"/>
              </w:rPr>
              <w:t>0.00</w:t>
            </w:r>
          </w:p>
        </w:tc>
        <w:tc>
          <w:tcPr>
            <w:tcW w:w="1273" w:type="dxa"/>
            <w:shd w:val="clear" w:color="auto" w:fill="auto"/>
            <w:vAlign w:val="bottom"/>
          </w:tcPr>
          <w:p w14:paraId="7A7F0F92">
            <w:pPr>
              <w:pStyle w:val="180"/>
              <w:rPr>
                <w:rFonts w:ascii="Times New Roman"/>
              </w:rPr>
            </w:pPr>
            <w:r>
              <w:rPr>
                <w:rFonts w:ascii="Times New Roman"/>
              </w:rPr>
              <w:t xml:space="preserve">0.00 </w:t>
            </w:r>
          </w:p>
        </w:tc>
        <w:tc>
          <w:tcPr>
            <w:tcW w:w="1273" w:type="dxa"/>
            <w:shd w:val="clear" w:color="auto" w:fill="auto"/>
            <w:vAlign w:val="bottom"/>
          </w:tcPr>
          <w:p w14:paraId="77854314">
            <w:pPr>
              <w:pStyle w:val="180"/>
              <w:rPr>
                <w:rFonts w:ascii="Times New Roman"/>
              </w:rPr>
            </w:pPr>
            <w:r>
              <w:rPr>
                <w:rFonts w:ascii="Times New Roman"/>
              </w:rPr>
              <w:t xml:space="preserve">0.00 </w:t>
            </w:r>
          </w:p>
        </w:tc>
        <w:tc>
          <w:tcPr>
            <w:tcW w:w="1273" w:type="dxa"/>
            <w:shd w:val="clear" w:color="auto" w:fill="auto"/>
            <w:vAlign w:val="bottom"/>
          </w:tcPr>
          <w:p w14:paraId="4E6B5DF6">
            <w:pPr>
              <w:pStyle w:val="180"/>
              <w:rPr>
                <w:rFonts w:ascii="Times New Roman"/>
              </w:rPr>
            </w:pPr>
            <w:r>
              <w:rPr>
                <w:rFonts w:ascii="Times New Roman"/>
              </w:rPr>
              <w:t xml:space="preserve">0.00 </w:t>
            </w:r>
          </w:p>
        </w:tc>
      </w:tr>
      <w:tr w14:paraId="3792D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15FE4608">
            <w:pPr>
              <w:pStyle w:val="180"/>
              <w:rPr>
                <w:rFonts w:ascii="Times New Roman"/>
              </w:rPr>
            </w:pPr>
          </w:p>
        </w:tc>
        <w:tc>
          <w:tcPr>
            <w:tcW w:w="2268" w:type="dxa"/>
            <w:shd w:val="clear" w:color="auto" w:fill="auto"/>
            <w:vAlign w:val="center"/>
          </w:tcPr>
          <w:p w14:paraId="56D16A1C">
            <w:pPr>
              <w:pStyle w:val="180"/>
              <w:rPr>
                <w:rFonts w:ascii="Times New Roman"/>
              </w:rPr>
            </w:pPr>
            <w:r>
              <w:rPr>
                <w:rFonts w:ascii="Times New Roman"/>
              </w:rPr>
              <w:t>AMC2</w:t>
            </w:r>
          </w:p>
        </w:tc>
        <w:tc>
          <w:tcPr>
            <w:tcW w:w="1272" w:type="dxa"/>
            <w:shd w:val="clear" w:color="auto" w:fill="auto"/>
            <w:vAlign w:val="bottom"/>
          </w:tcPr>
          <w:p w14:paraId="3AE09FC5">
            <w:pPr>
              <w:pStyle w:val="180"/>
              <w:rPr>
                <w:rFonts w:ascii="Times New Roman"/>
              </w:rPr>
            </w:pPr>
            <w:r>
              <w:rPr>
                <w:rFonts w:ascii="Times New Roman"/>
              </w:rPr>
              <w:t>0.00</w:t>
            </w:r>
          </w:p>
        </w:tc>
        <w:tc>
          <w:tcPr>
            <w:tcW w:w="1273" w:type="dxa"/>
            <w:shd w:val="clear" w:color="auto" w:fill="auto"/>
            <w:vAlign w:val="bottom"/>
          </w:tcPr>
          <w:p w14:paraId="565E1C1C">
            <w:pPr>
              <w:pStyle w:val="180"/>
              <w:rPr>
                <w:rFonts w:ascii="Times New Roman"/>
              </w:rPr>
            </w:pPr>
            <w:r>
              <w:rPr>
                <w:rFonts w:ascii="Times New Roman"/>
              </w:rPr>
              <w:t xml:space="preserve">0.00 </w:t>
            </w:r>
          </w:p>
        </w:tc>
        <w:tc>
          <w:tcPr>
            <w:tcW w:w="1273" w:type="dxa"/>
            <w:shd w:val="clear" w:color="auto" w:fill="auto"/>
            <w:vAlign w:val="bottom"/>
          </w:tcPr>
          <w:p w14:paraId="73694C50">
            <w:pPr>
              <w:pStyle w:val="180"/>
              <w:rPr>
                <w:rFonts w:ascii="Times New Roman"/>
              </w:rPr>
            </w:pPr>
            <w:r>
              <w:rPr>
                <w:rFonts w:ascii="Times New Roman"/>
              </w:rPr>
              <w:t xml:space="preserve">0.00 </w:t>
            </w:r>
          </w:p>
        </w:tc>
        <w:tc>
          <w:tcPr>
            <w:tcW w:w="1273" w:type="dxa"/>
            <w:shd w:val="clear" w:color="auto" w:fill="auto"/>
            <w:vAlign w:val="bottom"/>
          </w:tcPr>
          <w:p w14:paraId="29A199B7">
            <w:pPr>
              <w:pStyle w:val="180"/>
              <w:rPr>
                <w:rFonts w:ascii="Times New Roman"/>
              </w:rPr>
            </w:pPr>
            <w:r>
              <w:rPr>
                <w:rFonts w:ascii="Times New Roman"/>
              </w:rPr>
              <w:t xml:space="preserve">0.00 </w:t>
            </w:r>
          </w:p>
        </w:tc>
      </w:tr>
      <w:tr w14:paraId="4CBDA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1742727B">
            <w:pPr>
              <w:pStyle w:val="180"/>
              <w:rPr>
                <w:rFonts w:ascii="Times New Roman"/>
              </w:rPr>
            </w:pPr>
          </w:p>
        </w:tc>
        <w:tc>
          <w:tcPr>
            <w:tcW w:w="2268" w:type="dxa"/>
            <w:shd w:val="clear" w:color="auto" w:fill="auto"/>
            <w:vAlign w:val="center"/>
          </w:tcPr>
          <w:p w14:paraId="6B2EA509">
            <w:pPr>
              <w:pStyle w:val="180"/>
              <w:rPr>
                <w:rFonts w:ascii="Times New Roman"/>
              </w:rPr>
            </w:pPr>
            <w:r>
              <w:rPr>
                <w:rFonts w:ascii="Times New Roman"/>
              </w:rPr>
              <w:t>AMC3</w:t>
            </w:r>
          </w:p>
        </w:tc>
        <w:tc>
          <w:tcPr>
            <w:tcW w:w="1272" w:type="dxa"/>
            <w:shd w:val="clear" w:color="auto" w:fill="auto"/>
            <w:vAlign w:val="bottom"/>
          </w:tcPr>
          <w:p w14:paraId="777E27A1">
            <w:pPr>
              <w:pStyle w:val="180"/>
              <w:rPr>
                <w:rFonts w:ascii="Times New Roman"/>
              </w:rPr>
            </w:pPr>
            <w:r>
              <w:rPr>
                <w:rFonts w:ascii="Times New Roman"/>
              </w:rPr>
              <w:t>0.00</w:t>
            </w:r>
          </w:p>
        </w:tc>
        <w:tc>
          <w:tcPr>
            <w:tcW w:w="1273" w:type="dxa"/>
            <w:shd w:val="clear" w:color="auto" w:fill="auto"/>
            <w:vAlign w:val="bottom"/>
          </w:tcPr>
          <w:p w14:paraId="3DC331EA">
            <w:pPr>
              <w:pStyle w:val="180"/>
              <w:rPr>
                <w:rFonts w:ascii="Times New Roman"/>
              </w:rPr>
            </w:pPr>
            <w:r>
              <w:rPr>
                <w:rFonts w:ascii="Times New Roman"/>
              </w:rPr>
              <w:t xml:space="preserve">0.00 </w:t>
            </w:r>
          </w:p>
        </w:tc>
        <w:tc>
          <w:tcPr>
            <w:tcW w:w="1273" w:type="dxa"/>
            <w:shd w:val="clear" w:color="auto" w:fill="auto"/>
            <w:vAlign w:val="bottom"/>
          </w:tcPr>
          <w:p w14:paraId="045EC38A">
            <w:pPr>
              <w:pStyle w:val="180"/>
              <w:rPr>
                <w:rFonts w:ascii="Times New Roman"/>
              </w:rPr>
            </w:pPr>
            <w:r>
              <w:rPr>
                <w:rFonts w:ascii="Times New Roman"/>
              </w:rPr>
              <w:t xml:space="preserve">0.86 </w:t>
            </w:r>
          </w:p>
        </w:tc>
        <w:tc>
          <w:tcPr>
            <w:tcW w:w="1273" w:type="dxa"/>
            <w:shd w:val="clear" w:color="auto" w:fill="auto"/>
            <w:vAlign w:val="bottom"/>
          </w:tcPr>
          <w:p w14:paraId="42803D54">
            <w:pPr>
              <w:pStyle w:val="180"/>
              <w:rPr>
                <w:rFonts w:ascii="Times New Roman"/>
              </w:rPr>
            </w:pPr>
            <w:r>
              <w:rPr>
                <w:rFonts w:ascii="Times New Roman"/>
              </w:rPr>
              <w:t xml:space="preserve">0.00 </w:t>
            </w:r>
          </w:p>
        </w:tc>
      </w:tr>
      <w:tr w14:paraId="3B21E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restart"/>
            <w:shd w:val="clear" w:color="auto" w:fill="auto"/>
            <w:vAlign w:val="center"/>
          </w:tcPr>
          <w:p w14:paraId="22043A79">
            <w:pPr>
              <w:pStyle w:val="180"/>
              <w:rPr>
                <w:rFonts w:ascii="Times New Roman"/>
              </w:rPr>
            </w:pPr>
            <w:r>
              <w:rPr>
                <w:rFonts w:ascii="Times New Roman"/>
              </w:rPr>
              <w:t>硬化地表</w:t>
            </w:r>
          </w:p>
          <w:p w14:paraId="1743F36D">
            <w:pPr>
              <w:pStyle w:val="180"/>
              <w:rPr>
                <w:rFonts w:ascii="Times New Roman"/>
              </w:rPr>
            </w:pPr>
            <w:r>
              <w:rPr>
                <w:rFonts w:ascii="Times New Roman"/>
              </w:rPr>
              <w:t>（各类建设用地）</w:t>
            </w:r>
          </w:p>
        </w:tc>
        <w:tc>
          <w:tcPr>
            <w:tcW w:w="2268" w:type="dxa"/>
            <w:shd w:val="clear" w:color="auto" w:fill="auto"/>
            <w:vAlign w:val="center"/>
          </w:tcPr>
          <w:p w14:paraId="24DE4A4E">
            <w:pPr>
              <w:pStyle w:val="180"/>
              <w:rPr>
                <w:rFonts w:ascii="Times New Roman"/>
              </w:rPr>
            </w:pPr>
            <w:r>
              <w:rPr>
                <w:rFonts w:ascii="Times New Roman"/>
              </w:rPr>
              <w:t>AMC1</w:t>
            </w:r>
          </w:p>
        </w:tc>
        <w:tc>
          <w:tcPr>
            <w:tcW w:w="1272" w:type="dxa"/>
            <w:shd w:val="clear" w:color="auto" w:fill="auto"/>
            <w:vAlign w:val="bottom"/>
          </w:tcPr>
          <w:p w14:paraId="7ED56487">
            <w:pPr>
              <w:pStyle w:val="180"/>
              <w:rPr>
                <w:rFonts w:ascii="Times New Roman"/>
              </w:rPr>
            </w:pPr>
            <w:r>
              <w:rPr>
                <w:rFonts w:ascii="Times New Roman"/>
              </w:rPr>
              <w:t>0.76</w:t>
            </w:r>
          </w:p>
        </w:tc>
        <w:tc>
          <w:tcPr>
            <w:tcW w:w="1273" w:type="dxa"/>
            <w:shd w:val="clear" w:color="auto" w:fill="auto"/>
            <w:vAlign w:val="bottom"/>
          </w:tcPr>
          <w:p w14:paraId="5B7E9936">
            <w:pPr>
              <w:pStyle w:val="180"/>
              <w:rPr>
                <w:rFonts w:ascii="Times New Roman"/>
              </w:rPr>
            </w:pPr>
            <w:r>
              <w:rPr>
                <w:rFonts w:ascii="Times New Roman"/>
              </w:rPr>
              <w:t xml:space="preserve">0.82 </w:t>
            </w:r>
          </w:p>
        </w:tc>
        <w:tc>
          <w:tcPr>
            <w:tcW w:w="1273" w:type="dxa"/>
            <w:shd w:val="clear" w:color="auto" w:fill="auto"/>
            <w:vAlign w:val="bottom"/>
          </w:tcPr>
          <w:p w14:paraId="22C8845C">
            <w:pPr>
              <w:pStyle w:val="180"/>
              <w:rPr>
                <w:rFonts w:ascii="Times New Roman"/>
              </w:rPr>
            </w:pPr>
            <w:r>
              <w:rPr>
                <w:rFonts w:ascii="Times New Roman"/>
              </w:rPr>
              <w:t xml:space="preserve">0.94 </w:t>
            </w:r>
          </w:p>
        </w:tc>
        <w:tc>
          <w:tcPr>
            <w:tcW w:w="1273" w:type="dxa"/>
            <w:shd w:val="clear" w:color="auto" w:fill="auto"/>
            <w:vAlign w:val="bottom"/>
          </w:tcPr>
          <w:p w14:paraId="018A8BCD">
            <w:pPr>
              <w:pStyle w:val="180"/>
              <w:rPr>
                <w:rFonts w:ascii="Times New Roman"/>
              </w:rPr>
            </w:pPr>
            <w:r>
              <w:rPr>
                <w:rFonts w:ascii="Times New Roman"/>
              </w:rPr>
              <w:t xml:space="preserve">0.88 </w:t>
            </w:r>
          </w:p>
        </w:tc>
      </w:tr>
      <w:tr w14:paraId="45767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shd w:val="clear" w:color="auto" w:fill="auto"/>
            <w:vAlign w:val="center"/>
          </w:tcPr>
          <w:p w14:paraId="1F397E36">
            <w:pPr>
              <w:pStyle w:val="180"/>
              <w:rPr>
                <w:rFonts w:ascii="Times New Roman"/>
              </w:rPr>
            </w:pPr>
          </w:p>
        </w:tc>
        <w:tc>
          <w:tcPr>
            <w:tcW w:w="2268" w:type="dxa"/>
            <w:shd w:val="clear" w:color="auto" w:fill="auto"/>
            <w:vAlign w:val="center"/>
          </w:tcPr>
          <w:p w14:paraId="7BABA459">
            <w:pPr>
              <w:pStyle w:val="180"/>
              <w:rPr>
                <w:rFonts w:ascii="Times New Roman"/>
              </w:rPr>
            </w:pPr>
            <w:r>
              <w:rPr>
                <w:rFonts w:ascii="Times New Roman"/>
              </w:rPr>
              <w:t>AMC2</w:t>
            </w:r>
          </w:p>
        </w:tc>
        <w:tc>
          <w:tcPr>
            <w:tcW w:w="1272" w:type="dxa"/>
            <w:shd w:val="clear" w:color="auto" w:fill="auto"/>
            <w:vAlign w:val="bottom"/>
          </w:tcPr>
          <w:p w14:paraId="02CCD628">
            <w:pPr>
              <w:pStyle w:val="180"/>
              <w:rPr>
                <w:rFonts w:ascii="Times New Roman"/>
              </w:rPr>
            </w:pPr>
            <w:r>
              <w:rPr>
                <w:rFonts w:ascii="Times New Roman"/>
              </w:rPr>
              <w:t>0.89</w:t>
            </w:r>
          </w:p>
        </w:tc>
        <w:tc>
          <w:tcPr>
            <w:tcW w:w="1273" w:type="dxa"/>
            <w:shd w:val="clear" w:color="auto" w:fill="auto"/>
            <w:vAlign w:val="bottom"/>
          </w:tcPr>
          <w:p w14:paraId="07407EB2">
            <w:pPr>
              <w:pStyle w:val="180"/>
              <w:rPr>
                <w:rFonts w:ascii="Times New Roman"/>
              </w:rPr>
            </w:pPr>
            <w:r>
              <w:rPr>
                <w:rFonts w:ascii="Times New Roman"/>
              </w:rPr>
              <w:t xml:space="preserve">0.92 </w:t>
            </w:r>
          </w:p>
        </w:tc>
        <w:tc>
          <w:tcPr>
            <w:tcW w:w="1273" w:type="dxa"/>
            <w:shd w:val="clear" w:color="auto" w:fill="auto"/>
            <w:vAlign w:val="bottom"/>
          </w:tcPr>
          <w:p w14:paraId="5049350D">
            <w:pPr>
              <w:pStyle w:val="180"/>
              <w:rPr>
                <w:rFonts w:ascii="Times New Roman"/>
              </w:rPr>
            </w:pPr>
            <w:r>
              <w:rPr>
                <w:rFonts w:ascii="Times New Roman"/>
              </w:rPr>
              <w:t xml:space="preserve">0.98 </w:t>
            </w:r>
          </w:p>
        </w:tc>
        <w:tc>
          <w:tcPr>
            <w:tcW w:w="1273" w:type="dxa"/>
            <w:shd w:val="clear" w:color="auto" w:fill="auto"/>
            <w:vAlign w:val="bottom"/>
          </w:tcPr>
          <w:p w14:paraId="23852203">
            <w:pPr>
              <w:pStyle w:val="180"/>
              <w:rPr>
                <w:rFonts w:ascii="Times New Roman"/>
              </w:rPr>
            </w:pPr>
            <w:r>
              <w:rPr>
                <w:rFonts w:ascii="Times New Roman"/>
              </w:rPr>
              <w:t xml:space="preserve">0.95 </w:t>
            </w:r>
          </w:p>
        </w:tc>
      </w:tr>
      <w:tr w14:paraId="25068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Merge w:val="continue"/>
            <w:tcBorders>
              <w:bottom w:val="single" w:color="auto" w:sz="8" w:space="0"/>
            </w:tcBorders>
            <w:shd w:val="clear" w:color="auto" w:fill="auto"/>
            <w:vAlign w:val="center"/>
          </w:tcPr>
          <w:p w14:paraId="6E0C8DE6">
            <w:pPr>
              <w:pStyle w:val="180"/>
              <w:rPr>
                <w:rFonts w:ascii="Times New Roman"/>
              </w:rPr>
            </w:pPr>
          </w:p>
        </w:tc>
        <w:tc>
          <w:tcPr>
            <w:tcW w:w="2268" w:type="dxa"/>
            <w:tcBorders>
              <w:bottom w:val="single" w:color="auto" w:sz="8" w:space="0"/>
            </w:tcBorders>
            <w:shd w:val="clear" w:color="auto" w:fill="auto"/>
            <w:vAlign w:val="center"/>
          </w:tcPr>
          <w:p w14:paraId="72AC9508">
            <w:pPr>
              <w:pStyle w:val="180"/>
              <w:rPr>
                <w:rFonts w:ascii="Times New Roman"/>
              </w:rPr>
            </w:pPr>
            <w:r>
              <w:rPr>
                <w:rFonts w:ascii="Times New Roman"/>
              </w:rPr>
              <w:t>AMC3</w:t>
            </w:r>
          </w:p>
        </w:tc>
        <w:tc>
          <w:tcPr>
            <w:tcW w:w="1272" w:type="dxa"/>
            <w:tcBorders>
              <w:bottom w:val="single" w:color="auto" w:sz="8" w:space="0"/>
            </w:tcBorders>
            <w:shd w:val="clear" w:color="auto" w:fill="auto"/>
            <w:vAlign w:val="bottom"/>
          </w:tcPr>
          <w:p w14:paraId="61DE4412">
            <w:pPr>
              <w:pStyle w:val="180"/>
              <w:rPr>
                <w:rFonts w:ascii="Times New Roman"/>
              </w:rPr>
            </w:pPr>
            <w:r>
              <w:rPr>
                <w:rFonts w:ascii="Times New Roman"/>
              </w:rPr>
              <w:t>0.96</w:t>
            </w:r>
          </w:p>
        </w:tc>
        <w:tc>
          <w:tcPr>
            <w:tcW w:w="1273" w:type="dxa"/>
            <w:tcBorders>
              <w:bottom w:val="single" w:color="auto" w:sz="8" w:space="0"/>
            </w:tcBorders>
            <w:shd w:val="clear" w:color="auto" w:fill="auto"/>
            <w:vAlign w:val="bottom"/>
          </w:tcPr>
          <w:p w14:paraId="26E66399">
            <w:pPr>
              <w:pStyle w:val="180"/>
              <w:rPr>
                <w:rFonts w:ascii="Times New Roman"/>
              </w:rPr>
            </w:pPr>
            <w:r>
              <w:rPr>
                <w:rFonts w:ascii="Times New Roman"/>
              </w:rPr>
              <w:t xml:space="preserve">0.97 </w:t>
            </w:r>
          </w:p>
        </w:tc>
        <w:tc>
          <w:tcPr>
            <w:tcW w:w="1273" w:type="dxa"/>
            <w:tcBorders>
              <w:bottom w:val="single" w:color="auto" w:sz="8" w:space="0"/>
            </w:tcBorders>
            <w:shd w:val="clear" w:color="auto" w:fill="auto"/>
            <w:vAlign w:val="bottom"/>
          </w:tcPr>
          <w:p w14:paraId="6F879E20">
            <w:pPr>
              <w:pStyle w:val="180"/>
              <w:rPr>
                <w:rFonts w:ascii="Times New Roman"/>
              </w:rPr>
            </w:pPr>
            <w:r>
              <w:rPr>
                <w:rFonts w:ascii="Times New Roman"/>
              </w:rPr>
              <w:t xml:space="preserve">0.70 </w:t>
            </w:r>
          </w:p>
        </w:tc>
        <w:tc>
          <w:tcPr>
            <w:tcW w:w="1273" w:type="dxa"/>
            <w:tcBorders>
              <w:bottom w:val="single" w:color="auto" w:sz="8" w:space="0"/>
            </w:tcBorders>
            <w:shd w:val="clear" w:color="auto" w:fill="auto"/>
            <w:vAlign w:val="bottom"/>
          </w:tcPr>
          <w:p w14:paraId="40CA1EA5">
            <w:pPr>
              <w:pStyle w:val="180"/>
              <w:rPr>
                <w:rFonts w:ascii="Times New Roman"/>
              </w:rPr>
            </w:pPr>
            <w:r>
              <w:rPr>
                <w:rFonts w:ascii="Times New Roman"/>
              </w:rPr>
              <w:t xml:space="preserve">0.98 </w:t>
            </w:r>
          </w:p>
        </w:tc>
      </w:tr>
      <w:tr w14:paraId="34C00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tcBorders>
              <w:top w:val="single" w:color="auto" w:sz="8" w:space="0"/>
              <w:bottom w:val="single" w:color="auto" w:sz="8" w:space="0"/>
            </w:tcBorders>
            <w:shd w:val="clear" w:color="auto" w:fill="auto"/>
            <w:vAlign w:val="center"/>
          </w:tcPr>
          <w:p w14:paraId="06242C31">
            <w:pPr>
              <w:pStyle w:val="181"/>
              <w:rPr>
                <w:rFonts w:ascii="Times New Roman"/>
              </w:rPr>
            </w:pPr>
            <w:r>
              <w:rPr>
                <w:rFonts w:ascii="Times New Roman"/>
              </w:rPr>
              <w:t>可根据最新实测数据更新该表。</w:t>
            </w:r>
          </w:p>
        </w:tc>
      </w:tr>
    </w:tbl>
    <w:p w14:paraId="46683A84">
      <w:pPr>
        <w:pStyle w:val="79"/>
        <w:numPr>
          <w:ilvl w:val="0"/>
          <w:numId w:val="0"/>
        </w:numPr>
        <w:spacing w:before="156" w:after="156"/>
        <w:ind w:left="420"/>
        <w:rPr>
          <w:rFonts w:ascii="Times New Roman"/>
        </w:rPr>
      </w:pPr>
      <w:r>
        <w:rPr>
          <w:rFonts w:ascii="Times New Roman"/>
        </w:rPr>
        <w:t>表C.2 前期土壤湿润度等级（AMC）</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594E83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vMerge w:val="restart"/>
            <w:tcBorders>
              <w:top w:val="single" w:color="auto" w:sz="8" w:space="0"/>
            </w:tcBorders>
            <w:shd w:val="clear" w:color="auto" w:fill="auto"/>
            <w:vAlign w:val="center"/>
          </w:tcPr>
          <w:p w14:paraId="2799B598">
            <w:pPr>
              <w:pStyle w:val="180"/>
              <w:rPr>
                <w:rFonts w:ascii="Times New Roman"/>
              </w:rPr>
            </w:pPr>
            <w:r>
              <w:rPr>
                <w:rFonts w:ascii="Times New Roman"/>
              </w:rPr>
              <w:t>土壤水分状况</w:t>
            </w:r>
          </w:p>
        </w:tc>
        <w:tc>
          <w:tcPr>
            <w:tcW w:w="6224" w:type="dxa"/>
            <w:gridSpan w:val="2"/>
            <w:tcBorders>
              <w:top w:val="single" w:color="auto" w:sz="8" w:space="0"/>
              <w:bottom w:val="single" w:color="auto" w:sz="8" w:space="0"/>
            </w:tcBorders>
            <w:shd w:val="clear" w:color="auto" w:fill="auto"/>
            <w:vAlign w:val="center"/>
          </w:tcPr>
          <w:p w14:paraId="4ED84150">
            <w:pPr>
              <w:pStyle w:val="180"/>
              <w:rPr>
                <w:rFonts w:ascii="Times New Roman"/>
              </w:rPr>
            </w:pPr>
            <w:r>
              <w:rPr>
                <w:rFonts w:ascii="Times New Roman"/>
              </w:rPr>
              <w:t>前5天累计降水量（mm）</w:t>
            </w:r>
          </w:p>
        </w:tc>
      </w:tr>
      <w:tr w14:paraId="22538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shd w:val="clear" w:color="auto" w:fill="auto"/>
            <w:vAlign w:val="center"/>
          </w:tcPr>
          <w:p w14:paraId="341CDB6F">
            <w:pPr>
              <w:pStyle w:val="180"/>
              <w:rPr>
                <w:rFonts w:ascii="Times New Roman"/>
              </w:rPr>
            </w:pPr>
          </w:p>
        </w:tc>
        <w:tc>
          <w:tcPr>
            <w:tcW w:w="3112" w:type="dxa"/>
            <w:tcBorders>
              <w:top w:val="single" w:color="auto" w:sz="8" w:space="0"/>
            </w:tcBorders>
            <w:shd w:val="clear" w:color="auto" w:fill="auto"/>
            <w:vAlign w:val="center"/>
          </w:tcPr>
          <w:p w14:paraId="521AF549">
            <w:pPr>
              <w:pStyle w:val="180"/>
              <w:rPr>
                <w:rFonts w:ascii="Times New Roman"/>
              </w:rPr>
            </w:pPr>
            <w:r>
              <w:rPr>
                <w:rFonts w:ascii="Times New Roman"/>
              </w:rPr>
              <w:t>生长期</w:t>
            </w:r>
          </w:p>
        </w:tc>
        <w:tc>
          <w:tcPr>
            <w:tcW w:w="3112" w:type="dxa"/>
            <w:tcBorders>
              <w:top w:val="single" w:color="auto" w:sz="8" w:space="0"/>
            </w:tcBorders>
            <w:shd w:val="clear" w:color="auto" w:fill="auto"/>
            <w:vAlign w:val="center"/>
          </w:tcPr>
          <w:p w14:paraId="6F40C1B1">
            <w:pPr>
              <w:pStyle w:val="180"/>
              <w:rPr>
                <w:rFonts w:ascii="Times New Roman"/>
              </w:rPr>
            </w:pPr>
            <w:r>
              <w:rPr>
                <w:rFonts w:ascii="Times New Roman"/>
              </w:rPr>
              <w:t>休止期</w:t>
            </w:r>
          </w:p>
        </w:tc>
      </w:tr>
      <w:tr w14:paraId="0DFC6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9FFC849">
            <w:pPr>
              <w:pStyle w:val="180"/>
              <w:rPr>
                <w:rFonts w:ascii="Times New Roman"/>
              </w:rPr>
            </w:pPr>
            <w:r>
              <w:rPr>
                <w:rFonts w:ascii="Times New Roman"/>
              </w:rPr>
              <w:t>AMC1</w:t>
            </w:r>
          </w:p>
        </w:tc>
        <w:tc>
          <w:tcPr>
            <w:tcW w:w="3112" w:type="dxa"/>
            <w:shd w:val="clear" w:color="auto" w:fill="auto"/>
            <w:vAlign w:val="center"/>
          </w:tcPr>
          <w:p w14:paraId="64B38A1C">
            <w:pPr>
              <w:pStyle w:val="180"/>
              <w:rPr>
                <w:rFonts w:ascii="Times New Roman"/>
              </w:rPr>
            </w:pPr>
            <w:r>
              <w:rPr>
                <w:rFonts w:ascii="Times New Roman"/>
              </w:rPr>
              <w:t>＜30</w:t>
            </w:r>
          </w:p>
        </w:tc>
        <w:tc>
          <w:tcPr>
            <w:tcW w:w="3112" w:type="dxa"/>
            <w:shd w:val="clear" w:color="auto" w:fill="auto"/>
            <w:vAlign w:val="center"/>
          </w:tcPr>
          <w:p w14:paraId="56C63C19">
            <w:pPr>
              <w:pStyle w:val="180"/>
              <w:rPr>
                <w:rFonts w:ascii="Times New Roman"/>
              </w:rPr>
            </w:pPr>
            <w:r>
              <w:rPr>
                <w:rFonts w:ascii="Times New Roman"/>
              </w:rPr>
              <w:t>＜15</w:t>
            </w:r>
          </w:p>
        </w:tc>
      </w:tr>
      <w:tr w14:paraId="70C1E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2659A7AD">
            <w:pPr>
              <w:pStyle w:val="180"/>
              <w:rPr>
                <w:rFonts w:ascii="Times New Roman"/>
              </w:rPr>
            </w:pPr>
            <w:r>
              <w:rPr>
                <w:rFonts w:ascii="Times New Roman"/>
              </w:rPr>
              <w:t>AMC2</w:t>
            </w:r>
          </w:p>
        </w:tc>
        <w:tc>
          <w:tcPr>
            <w:tcW w:w="3112" w:type="dxa"/>
            <w:shd w:val="clear" w:color="auto" w:fill="auto"/>
            <w:vAlign w:val="center"/>
          </w:tcPr>
          <w:p w14:paraId="58825FC7">
            <w:pPr>
              <w:pStyle w:val="180"/>
              <w:rPr>
                <w:rFonts w:ascii="Times New Roman"/>
              </w:rPr>
            </w:pPr>
            <w:r>
              <w:rPr>
                <w:rFonts w:ascii="Times New Roman"/>
              </w:rPr>
              <w:t>30~50</w:t>
            </w:r>
          </w:p>
        </w:tc>
        <w:tc>
          <w:tcPr>
            <w:tcW w:w="3112" w:type="dxa"/>
            <w:shd w:val="clear" w:color="auto" w:fill="auto"/>
            <w:vAlign w:val="center"/>
          </w:tcPr>
          <w:p w14:paraId="1CA13D85">
            <w:pPr>
              <w:pStyle w:val="180"/>
              <w:rPr>
                <w:rFonts w:ascii="Times New Roman"/>
              </w:rPr>
            </w:pPr>
            <w:r>
              <w:rPr>
                <w:rFonts w:ascii="Times New Roman"/>
              </w:rPr>
              <w:t>15~30</w:t>
            </w:r>
          </w:p>
        </w:tc>
      </w:tr>
      <w:tr w14:paraId="23462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8" w:space="0"/>
            </w:tcBorders>
            <w:shd w:val="clear" w:color="auto" w:fill="auto"/>
            <w:vAlign w:val="center"/>
          </w:tcPr>
          <w:p w14:paraId="595C1393">
            <w:pPr>
              <w:pStyle w:val="180"/>
              <w:rPr>
                <w:rFonts w:ascii="Times New Roman"/>
              </w:rPr>
            </w:pPr>
            <w:r>
              <w:rPr>
                <w:rFonts w:ascii="Times New Roman"/>
              </w:rPr>
              <w:t>AMC3</w:t>
            </w:r>
          </w:p>
        </w:tc>
        <w:tc>
          <w:tcPr>
            <w:tcW w:w="3112" w:type="dxa"/>
            <w:tcBorders>
              <w:bottom w:val="single" w:color="auto" w:sz="8" w:space="0"/>
            </w:tcBorders>
            <w:shd w:val="clear" w:color="auto" w:fill="auto"/>
            <w:vAlign w:val="center"/>
          </w:tcPr>
          <w:p w14:paraId="3C67DE45">
            <w:pPr>
              <w:pStyle w:val="180"/>
              <w:rPr>
                <w:rFonts w:ascii="Times New Roman"/>
              </w:rPr>
            </w:pPr>
            <w:r>
              <w:rPr>
                <w:rFonts w:ascii="Times New Roman"/>
              </w:rPr>
              <w:t>＞50</w:t>
            </w:r>
          </w:p>
        </w:tc>
        <w:tc>
          <w:tcPr>
            <w:tcW w:w="3112" w:type="dxa"/>
            <w:tcBorders>
              <w:bottom w:val="single" w:color="auto" w:sz="8" w:space="0"/>
            </w:tcBorders>
            <w:shd w:val="clear" w:color="auto" w:fill="auto"/>
            <w:vAlign w:val="center"/>
          </w:tcPr>
          <w:p w14:paraId="77C6DE2C">
            <w:pPr>
              <w:pStyle w:val="180"/>
              <w:rPr>
                <w:rFonts w:ascii="Times New Roman"/>
              </w:rPr>
            </w:pPr>
            <w:r>
              <w:rPr>
                <w:rFonts w:ascii="Times New Roman"/>
              </w:rPr>
              <w:t>＞30</w:t>
            </w:r>
          </w:p>
        </w:tc>
      </w:tr>
      <w:tr w14:paraId="31FEF3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tcBorders>
              <w:top w:val="single" w:color="auto" w:sz="8" w:space="0"/>
              <w:bottom w:val="single" w:color="auto" w:sz="8" w:space="0"/>
            </w:tcBorders>
            <w:shd w:val="clear" w:color="auto" w:fill="auto"/>
            <w:vAlign w:val="center"/>
          </w:tcPr>
          <w:p w14:paraId="5562B080">
            <w:pPr>
              <w:pStyle w:val="182"/>
              <w:rPr>
                <w:rFonts w:ascii="Times New Roman"/>
              </w:rPr>
            </w:pPr>
            <w:r>
              <w:rPr>
                <w:rFonts w:ascii="Times New Roman"/>
              </w:rPr>
              <w:t>生长期：皖北平原区为4月1日~11月4日，江淮丘陵区为3月21日~11月9日，皖江平原区为3月21日~11月19日，皖西大别山区为3月21日~11月4日，皖南山地丘陵区为3月26日~11月9日。</w:t>
            </w:r>
          </w:p>
          <w:p w14:paraId="4619F1AC">
            <w:pPr>
              <w:pStyle w:val="182"/>
              <w:rPr>
                <w:rFonts w:ascii="Times New Roman"/>
              </w:rPr>
            </w:pPr>
            <w:r>
              <w:rPr>
                <w:rFonts w:ascii="Times New Roman"/>
              </w:rPr>
              <w:t>休止期：皖北平原区位11月5日~3月31日，江淮丘陵区为11月10日~3月20日，皖江平原区为11月20日~3月20日，皖西大别山区为11月5日~3月31日，皖南山地丘陵区为11月10日~3月25日。自然地理分区方案参见DB34/T 3455-2019表A.1；</w:t>
            </w:r>
          </w:p>
          <w:p w14:paraId="6C591EC9">
            <w:pPr>
              <w:pStyle w:val="182"/>
              <w:rPr>
                <w:rFonts w:ascii="Times New Roman"/>
              </w:rPr>
            </w:pPr>
            <w:r>
              <w:rPr>
                <w:rFonts w:ascii="Times New Roman"/>
              </w:rPr>
              <w:t>生长期和休止期可根据最新实测物候数据确定。</w:t>
            </w:r>
          </w:p>
        </w:tc>
      </w:tr>
    </w:tbl>
    <w:p w14:paraId="1CE02B41">
      <w:pPr>
        <w:pStyle w:val="215"/>
        <w:rPr>
          <w:rFonts w:ascii="Times New Roman"/>
        </w:rPr>
      </w:pPr>
      <w:r>
        <w:rPr>
          <w:rFonts w:ascii="Times New Roman"/>
        </w:rPr>
        <w:t>无实测径流系数，且缺少逐日降水数据或土壤质地数据时，也可选择估测径流系数法，按照公式（C.</w:t>
      </w:r>
      <w:r>
        <w:rPr>
          <w:rFonts w:hint="eastAsia" w:ascii="Times New Roman"/>
        </w:rPr>
        <w:t>9</w:t>
      </w:r>
      <w:r>
        <w:rPr>
          <w:rFonts w:ascii="Times New Roman"/>
        </w:rPr>
        <w:t>）和表C.3，估算各生态系统的地表径流。</w:t>
      </w:r>
    </w:p>
    <w:p w14:paraId="5EE82EE2">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R</m:t>
            </m:r>
            <m:ctrlPr>
              <w:rPr>
                <w:rFonts w:ascii="Cambria Math" w:hAnsi="Cambria Math"/>
              </w:rPr>
            </m:ctrlPr>
          </m:e>
          <m:sub>
            <m:r>
              <m:rPr/>
              <w:rPr>
                <w:rFonts w:ascii="Cambria Math" w:hAnsi="Cambria Math"/>
              </w:rPr>
              <m:t>i</m:t>
            </m:r>
            <m:ctrlPr>
              <w:rPr>
                <w:rFonts w:ascii="Cambria Math" w:hAnsi="Cambria Math"/>
                <w:i/>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9</w:t>
      </w:r>
      <w:r>
        <w:rPr>
          <w:rFonts w:ascii="Times New Roman" w:hAnsi="Times New Roman"/>
        </w:rPr>
        <w:t>)</w:t>
      </w:r>
    </w:p>
    <w:p w14:paraId="0C5B7EE1">
      <w:pPr>
        <w:pStyle w:val="57"/>
        <w:ind w:firstLine="420"/>
        <w:rPr>
          <w:rFonts w:ascii="Times New Roman" w:hAnsi="Times New Roman"/>
        </w:rPr>
      </w:pPr>
      <w:r>
        <w:rPr>
          <w:rFonts w:ascii="Times New Roman" w:hAnsi="Times New Roman"/>
        </w:rPr>
        <w:t>式中：</w:t>
      </w:r>
    </w:p>
    <w:p w14:paraId="2D1F2AFF">
      <w:pPr>
        <w:pStyle w:val="58"/>
        <w:ind w:firstLine="420"/>
        <w:rPr>
          <w:rFonts w:ascii="Times New Roman"/>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类生态系统地表年径流量,单位：mm；</w:t>
      </w:r>
    </w:p>
    <w:p w14:paraId="1FC14763">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类生态系统年降水量，使用气象部门提供的年降水量空间插值数据，单位：mm；</w:t>
      </w:r>
    </w:p>
    <w:p w14:paraId="54DC7722">
      <w:pPr>
        <w:pStyle w:val="58"/>
        <w:ind w:firstLine="420"/>
        <w:rPr>
          <w:rFonts w:ascii="Times New Roman"/>
        </w:rPr>
      </w:pPr>
      <m:oMath>
        <m:sSub>
          <m:sSubPr>
            <m:ctrlPr>
              <w:rPr>
                <w:rFonts w:ascii="Cambria Math" w:hAnsi="Cambria Math"/>
                <w:i/>
              </w:rPr>
            </m:ctrlPr>
          </m:sSubPr>
          <m:e>
            <m:r>
              <m:rPr/>
              <w:rPr>
                <w:rFonts w:ascii="Cambria Math" w:hAnsi="Cambria Math"/>
              </w:rPr>
              <m:t>R</m:t>
            </m:r>
            <m:ctrlPr>
              <w:rPr>
                <w:rFonts w:ascii="Cambria Math" w:hAnsi="Cambria Math"/>
              </w:rPr>
            </m:ctrlPr>
          </m:e>
          <m:sub>
            <m:r>
              <m:rPr/>
              <w:rPr>
                <w:rFonts w:ascii="Cambria Math" w:hAnsi="Cambria Math"/>
              </w:rPr>
              <m:t>i</m:t>
            </m:r>
            <m:ctrlPr>
              <w:rPr>
                <w:rFonts w:ascii="Cambria Math" w:hAnsi="Cambria Math"/>
                <w:i/>
              </w:rPr>
            </m:ctrlPr>
          </m:sub>
        </m:sSub>
      </m:oMath>
      <w:r>
        <w:rPr>
          <w:rFonts w:ascii="Times New Roman"/>
        </w:rPr>
        <w:t>——第</w:t>
      </w:r>
      <m:oMath>
        <m:r>
          <m:rPr/>
          <w:rPr>
            <w:rFonts w:ascii="Cambria Math" w:hAnsi="Cambria Math"/>
          </w:rPr>
          <m:t>i</m:t>
        </m:r>
      </m:oMath>
      <w:r>
        <w:rPr>
          <w:rFonts w:ascii="Times New Roman"/>
        </w:rPr>
        <w:t>类生态系统的地表径流系数，单位：%，取值方法见表C.3；</w:t>
      </w:r>
    </w:p>
    <w:p w14:paraId="28D328D9">
      <w:pPr>
        <w:pStyle w:val="58"/>
        <w:ind w:firstLine="420"/>
        <w:rPr>
          <w:rFonts w:ascii="Times New Roman"/>
        </w:rPr>
      </w:pPr>
      <m:oMath>
        <m:r>
          <m:rPr/>
          <w:rPr>
            <w:rFonts w:ascii="Cambria Math" w:hAnsi="Cambria Math"/>
          </w:rPr>
          <m:t>i</m:t>
        </m:r>
      </m:oMath>
      <w:r>
        <w:rPr>
          <w:rFonts w:ascii="Times New Roman"/>
        </w:rPr>
        <w:t>——生态系统类型。</w:t>
      </w:r>
    </w:p>
    <w:p w14:paraId="47D2C9F9">
      <w:pPr>
        <w:pStyle w:val="79"/>
        <w:numPr>
          <w:ilvl w:val="0"/>
          <w:numId w:val="0"/>
        </w:numPr>
        <w:spacing w:before="156" w:after="156"/>
        <w:ind w:left="420"/>
        <w:rPr>
          <w:rFonts w:ascii="Times New Roman"/>
        </w:rPr>
      </w:pPr>
      <w:r>
        <w:rPr>
          <w:rFonts w:hint="eastAsia" w:ascii="Times New Roman"/>
        </w:rPr>
        <w:t xml:space="preserve">C.3 </w:t>
      </w:r>
      <w:r>
        <w:rPr>
          <w:rFonts w:ascii="Times New Roman"/>
        </w:rPr>
        <w:t>各类生态系统地表径流系数</w:t>
      </w:r>
      <w:r>
        <w:rPr>
          <w:rFonts w:hint="eastAsia" w:ascii="Times New Roman"/>
        </w:rPr>
        <w:t>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3"/>
        <w:gridCol w:w="2333"/>
        <w:gridCol w:w="2334"/>
        <w:gridCol w:w="2334"/>
      </w:tblGrid>
      <w:tr w14:paraId="421A1F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000" w:type="dxa"/>
            <w:gridSpan w:val="3"/>
            <w:tcBorders>
              <w:top w:val="single" w:color="auto" w:sz="8" w:space="0"/>
              <w:bottom w:val="single" w:color="auto" w:sz="8" w:space="0"/>
            </w:tcBorders>
            <w:shd w:val="clear" w:color="auto" w:fill="auto"/>
            <w:vAlign w:val="center"/>
          </w:tcPr>
          <w:p w14:paraId="7C9B37AF">
            <w:pPr>
              <w:pStyle w:val="180"/>
              <w:rPr>
                <w:rFonts w:ascii="Times New Roman"/>
              </w:rPr>
            </w:pPr>
            <w:r>
              <w:rPr>
                <w:rFonts w:ascii="Times New Roman"/>
              </w:rPr>
              <w:t>生态系统类型</w:t>
            </w:r>
          </w:p>
        </w:tc>
        <w:tc>
          <w:tcPr>
            <w:tcW w:w="2334" w:type="dxa"/>
            <w:tcBorders>
              <w:top w:val="single" w:color="auto" w:sz="8" w:space="0"/>
              <w:bottom w:val="single" w:color="auto" w:sz="8" w:space="0"/>
            </w:tcBorders>
            <w:shd w:val="clear" w:color="auto" w:fill="auto"/>
            <w:vAlign w:val="center"/>
          </w:tcPr>
          <w:p w14:paraId="69B439CB">
            <w:pPr>
              <w:pStyle w:val="180"/>
              <w:rPr>
                <w:rFonts w:ascii="Times New Roman"/>
              </w:rPr>
            </w:pPr>
            <w:r>
              <w:rPr>
                <w:rFonts w:ascii="Times New Roman"/>
              </w:rPr>
              <w:t>径流系数（%）</w:t>
            </w:r>
          </w:p>
        </w:tc>
      </w:tr>
      <w:tr w14:paraId="1E3219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tcBorders>
              <w:top w:val="single" w:color="auto" w:sz="8" w:space="0"/>
            </w:tcBorders>
            <w:shd w:val="clear" w:color="auto" w:fill="auto"/>
            <w:vAlign w:val="center"/>
          </w:tcPr>
          <w:p w14:paraId="7F355E88">
            <w:pPr>
              <w:pStyle w:val="180"/>
              <w:rPr>
                <w:rFonts w:ascii="Times New Roman"/>
              </w:rPr>
            </w:pPr>
            <w:r>
              <w:rPr>
                <w:rFonts w:ascii="Times New Roman"/>
              </w:rPr>
              <w:t>森林生态系统</w:t>
            </w:r>
          </w:p>
        </w:tc>
        <w:tc>
          <w:tcPr>
            <w:tcW w:w="2333" w:type="dxa"/>
            <w:vMerge w:val="restart"/>
            <w:tcBorders>
              <w:top w:val="single" w:color="auto" w:sz="8" w:space="0"/>
            </w:tcBorders>
            <w:shd w:val="clear" w:color="auto" w:fill="auto"/>
            <w:vAlign w:val="center"/>
          </w:tcPr>
          <w:p w14:paraId="3D788CDB">
            <w:pPr>
              <w:pStyle w:val="180"/>
              <w:rPr>
                <w:rFonts w:ascii="Times New Roman"/>
              </w:rPr>
            </w:pPr>
            <w:r>
              <w:rPr>
                <w:rFonts w:ascii="Times New Roman"/>
              </w:rPr>
              <w:t>阔叶林</w:t>
            </w:r>
          </w:p>
        </w:tc>
        <w:tc>
          <w:tcPr>
            <w:tcW w:w="2334" w:type="dxa"/>
            <w:tcBorders>
              <w:top w:val="single" w:color="auto" w:sz="8" w:space="0"/>
            </w:tcBorders>
            <w:shd w:val="clear" w:color="auto" w:fill="auto"/>
            <w:vAlign w:val="center"/>
          </w:tcPr>
          <w:p w14:paraId="54C0745D">
            <w:pPr>
              <w:pStyle w:val="180"/>
              <w:rPr>
                <w:rFonts w:ascii="Times New Roman"/>
              </w:rPr>
            </w:pPr>
            <w:r>
              <w:rPr>
                <w:rFonts w:ascii="Times New Roman"/>
              </w:rPr>
              <w:t>常绿阔叶林</w:t>
            </w:r>
          </w:p>
        </w:tc>
        <w:tc>
          <w:tcPr>
            <w:tcW w:w="2334" w:type="dxa"/>
            <w:tcBorders>
              <w:top w:val="single" w:color="auto" w:sz="8" w:space="0"/>
            </w:tcBorders>
            <w:shd w:val="clear" w:color="auto" w:fill="auto"/>
            <w:vAlign w:val="center"/>
          </w:tcPr>
          <w:p w14:paraId="763D0693">
            <w:pPr>
              <w:pStyle w:val="180"/>
              <w:rPr>
                <w:rFonts w:ascii="Times New Roman"/>
              </w:rPr>
            </w:pPr>
            <w:r>
              <w:rPr>
                <w:rFonts w:ascii="Times New Roman"/>
              </w:rPr>
              <w:t>2.67</w:t>
            </w:r>
          </w:p>
        </w:tc>
      </w:tr>
      <w:tr w14:paraId="51097F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0311FD2B">
            <w:pPr>
              <w:pStyle w:val="180"/>
              <w:rPr>
                <w:rFonts w:ascii="Times New Roman"/>
              </w:rPr>
            </w:pPr>
          </w:p>
        </w:tc>
        <w:tc>
          <w:tcPr>
            <w:tcW w:w="2333" w:type="dxa"/>
            <w:vMerge w:val="continue"/>
            <w:shd w:val="clear" w:color="auto" w:fill="auto"/>
            <w:vAlign w:val="center"/>
          </w:tcPr>
          <w:p w14:paraId="642A131D">
            <w:pPr>
              <w:pStyle w:val="180"/>
              <w:rPr>
                <w:rFonts w:ascii="Times New Roman"/>
              </w:rPr>
            </w:pPr>
          </w:p>
        </w:tc>
        <w:tc>
          <w:tcPr>
            <w:tcW w:w="2334" w:type="dxa"/>
            <w:shd w:val="clear" w:color="auto" w:fill="auto"/>
            <w:vAlign w:val="center"/>
          </w:tcPr>
          <w:p w14:paraId="3D2C3E18">
            <w:pPr>
              <w:pStyle w:val="180"/>
              <w:rPr>
                <w:rFonts w:ascii="Times New Roman"/>
              </w:rPr>
            </w:pPr>
            <w:r>
              <w:rPr>
                <w:rFonts w:ascii="Times New Roman"/>
              </w:rPr>
              <w:t>落叶阔叶林</w:t>
            </w:r>
          </w:p>
        </w:tc>
        <w:tc>
          <w:tcPr>
            <w:tcW w:w="2334" w:type="dxa"/>
            <w:shd w:val="clear" w:color="auto" w:fill="auto"/>
            <w:vAlign w:val="center"/>
          </w:tcPr>
          <w:p w14:paraId="6556E12E">
            <w:pPr>
              <w:pStyle w:val="180"/>
              <w:rPr>
                <w:rFonts w:ascii="Times New Roman"/>
              </w:rPr>
            </w:pPr>
            <w:r>
              <w:rPr>
                <w:rFonts w:ascii="Times New Roman"/>
              </w:rPr>
              <w:t>1.33</w:t>
            </w:r>
          </w:p>
        </w:tc>
      </w:tr>
      <w:tr w14:paraId="50464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747F3A43">
            <w:pPr>
              <w:pStyle w:val="180"/>
              <w:rPr>
                <w:rFonts w:ascii="Times New Roman"/>
              </w:rPr>
            </w:pPr>
          </w:p>
        </w:tc>
        <w:tc>
          <w:tcPr>
            <w:tcW w:w="2333" w:type="dxa"/>
            <w:vMerge w:val="restart"/>
            <w:shd w:val="clear" w:color="auto" w:fill="auto"/>
            <w:vAlign w:val="center"/>
          </w:tcPr>
          <w:p w14:paraId="4FEB0F21">
            <w:pPr>
              <w:pStyle w:val="180"/>
              <w:rPr>
                <w:rFonts w:ascii="Times New Roman"/>
              </w:rPr>
            </w:pPr>
            <w:r>
              <w:rPr>
                <w:rFonts w:ascii="Times New Roman"/>
              </w:rPr>
              <w:t>针叶林</w:t>
            </w:r>
          </w:p>
        </w:tc>
        <w:tc>
          <w:tcPr>
            <w:tcW w:w="2334" w:type="dxa"/>
            <w:shd w:val="clear" w:color="auto" w:fill="auto"/>
            <w:vAlign w:val="center"/>
          </w:tcPr>
          <w:p w14:paraId="07B04952">
            <w:pPr>
              <w:pStyle w:val="180"/>
              <w:rPr>
                <w:rFonts w:ascii="Times New Roman"/>
              </w:rPr>
            </w:pPr>
            <w:r>
              <w:rPr>
                <w:rFonts w:ascii="Times New Roman"/>
              </w:rPr>
              <w:t>常绿针叶林</w:t>
            </w:r>
          </w:p>
        </w:tc>
        <w:tc>
          <w:tcPr>
            <w:tcW w:w="2334" w:type="dxa"/>
            <w:shd w:val="clear" w:color="auto" w:fill="auto"/>
            <w:vAlign w:val="center"/>
          </w:tcPr>
          <w:p w14:paraId="10F98A96">
            <w:pPr>
              <w:pStyle w:val="180"/>
              <w:rPr>
                <w:rFonts w:ascii="Times New Roman"/>
              </w:rPr>
            </w:pPr>
            <w:r>
              <w:rPr>
                <w:rFonts w:ascii="Times New Roman"/>
              </w:rPr>
              <w:t>3.02</w:t>
            </w:r>
          </w:p>
        </w:tc>
      </w:tr>
      <w:tr w14:paraId="495B52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342BF221">
            <w:pPr>
              <w:pStyle w:val="180"/>
              <w:rPr>
                <w:rFonts w:ascii="Times New Roman"/>
              </w:rPr>
            </w:pPr>
          </w:p>
        </w:tc>
        <w:tc>
          <w:tcPr>
            <w:tcW w:w="2333" w:type="dxa"/>
            <w:vMerge w:val="continue"/>
            <w:shd w:val="clear" w:color="auto" w:fill="auto"/>
            <w:vAlign w:val="center"/>
          </w:tcPr>
          <w:p w14:paraId="14F4AD70">
            <w:pPr>
              <w:pStyle w:val="180"/>
              <w:rPr>
                <w:rFonts w:ascii="Times New Roman"/>
              </w:rPr>
            </w:pPr>
          </w:p>
        </w:tc>
        <w:tc>
          <w:tcPr>
            <w:tcW w:w="2334" w:type="dxa"/>
            <w:shd w:val="clear" w:color="auto" w:fill="auto"/>
            <w:vAlign w:val="center"/>
          </w:tcPr>
          <w:p w14:paraId="09AE662D">
            <w:pPr>
              <w:pStyle w:val="180"/>
              <w:rPr>
                <w:rFonts w:ascii="Times New Roman"/>
              </w:rPr>
            </w:pPr>
            <w:r>
              <w:rPr>
                <w:rFonts w:ascii="Times New Roman"/>
              </w:rPr>
              <w:t>落叶针叶林</w:t>
            </w:r>
          </w:p>
        </w:tc>
        <w:tc>
          <w:tcPr>
            <w:tcW w:w="2334" w:type="dxa"/>
            <w:shd w:val="clear" w:color="auto" w:fill="auto"/>
            <w:vAlign w:val="center"/>
          </w:tcPr>
          <w:p w14:paraId="02928094">
            <w:pPr>
              <w:pStyle w:val="180"/>
              <w:rPr>
                <w:rFonts w:ascii="Times New Roman"/>
              </w:rPr>
            </w:pPr>
            <w:r>
              <w:rPr>
                <w:rFonts w:ascii="Times New Roman"/>
              </w:rPr>
              <w:t>0.88</w:t>
            </w:r>
          </w:p>
        </w:tc>
      </w:tr>
      <w:tr w14:paraId="43EFA3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F66D373">
            <w:pPr>
              <w:pStyle w:val="180"/>
              <w:rPr>
                <w:rFonts w:ascii="Times New Roman"/>
              </w:rPr>
            </w:pPr>
          </w:p>
        </w:tc>
        <w:tc>
          <w:tcPr>
            <w:tcW w:w="2333" w:type="dxa"/>
            <w:shd w:val="clear" w:color="auto" w:fill="auto"/>
            <w:vAlign w:val="center"/>
          </w:tcPr>
          <w:p w14:paraId="36CACBC1">
            <w:pPr>
              <w:pStyle w:val="180"/>
              <w:rPr>
                <w:rFonts w:ascii="Times New Roman"/>
              </w:rPr>
            </w:pPr>
            <w:r>
              <w:rPr>
                <w:rFonts w:ascii="Times New Roman"/>
              </w:rPr>
              <w:t>针阔混交林</w:t>
            </w:r>
          </w:p>
        </w:tc>
        <w:tc>
          <w:tcPr>
            <w:tcW w:w="2334" w:type="dxa"/>
            <w:shd w:val="clear" w:color="auto" w:fill="auto"/>
            <w:vAlign w:val="center"/>
          </w:tcPr>
          <w:p w14:paraId="1CF770F3">
            <w:pPr>
              <w:pStyle w:val="180"/>
              <w:rPr>
                <w:rFonts w:ascii="Times New Roman"/>
              </w:rPr>
            </w:pPr>
            <w:r>
              <w:rPr>
                <w:rFonts w:ascii="Times New Roman"/>
              </w:rPr>
              <w:t>针阔混交林</w:t>
            </w:r>
          </w:p>
        </w:tc>
        <w:tc>
          <w:tcPr>
            <w:tcW w:w="2334" w:type="dxa"/>
            <w:shd w:val="clear" w:color="auto" w:fill="auto"/>
            <w:vAlign w:val="center"/>
          </w:tcPr>
          <w:p w14:paraId="5BB4D8D7">
            <w:pPr>
              <w:pStyle w:val="180"/>
              <w:rPr>
                <w:rFonts w:ascii="Times New Roman"/>
              </w:rPr>
            </w:pPr>
            <w:r>
              <w:rPr>
                <w:rFonts w:ascii="Times New Roman"/>
              </w:rPr>
              <w:t>2.29</w:t>
            </w:r>
          </w:p>
        </w:tc>
      </w:tr>
      <w:tr w14:paraId="60EEE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5B65CE3A">
            <w:pPr>
              <w:pStyle w:val="180"/>
              <w:rPr>
                <w:rFonts w:ascii="Times New Roman"/>
              </w:rPr>
            </w:pPr>
          </w:p>
        </w:tc>
        <w:tc>
          <w:tcPr>
            <w:tcW w:w="2333" w:type="dxa"/>
            <w:shd w:val="clear" w:color="auto" w:fill="auto"/>
            <w:vAlign w:val="center"/>
          </w:tcPr>
          <w:p w14:paraId="6BA56660">
            <w:pPr>
              <w:pStyle w:val="180"/>
              <w:rPr>
                <w:rFonts w:ascii="Times New Roman"/>
              </w:rPr>
            </w:pPr>
            <w:r>
              <w:rPr>
                <w:rFonts w:ascii="Times New Roman"/>
              </w:rPr>
              <w:t>疏林地</w:t>
            </w:r>
          </w:p>
        </w:tc>
        <w:tc>
          <w:tcPr>
            <w:tcW w:w="2334" w:type="dxa"/>
            <w:shd w:val="clear" w:color="auto" w:fill="auto"/>
            <w:vAlign w:val="center"/>
          </w:tcPr>
          <w:p w14:paraId="435572E0">
            <w:pPr>
              <w:pStyle w:val="180"/>
              <w:rPr>
                <w:rFonts w:ascii="Times New Roman"/>
              </w:rPr>
            </w:pPr>
            <w:r>
              <w:rPr>
                <w:rFonts w:ascii="Times New Roman"/>
              </w:rPr>
              <w:t>疏林地</w:t>
            </w:r>
          </w:p>
        </w:tc>
        <w:tc>
          <w:tcPr>
            <w:tcW w:w="2334" w:type="dxa"/>
            <w:shd w:val="clear" w:color="auto" w:fill="auto"/>
            <w:vAlign w:val="center"/>
          </w:tcPr>
          <w:p w14:paraId="4024DAE9">
            <w:pPr>
              <w:pStyle w:val="180"/>
              <w:rPr>
                <w:rFonts w:ascii="Times New Roman"/>
              </w:rPr>
            </w:pPr>
            <w:r>
              <w:rPr>
                <w:rFonts w:ascii="Times New Roman"/>
              </w:rPr>
              <w:t>19.20</w:t>
            </w:r>
          </w:p>
        </w:tc>
      </w:tr>
      <w:tr w14:paraId="00649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14:paraId="4819FFBF">
            <w:pPr>
              <w:pStyle w:val="180"/>
              <w:rPr>
                <w:rFonts w:ascii="Times New Roman"/>
              </w:rPr>
            </w:pPr>
            <w:r>
              <w:rPr>
                <w:rFonts w:ascii="Times New Roman"/>
              </w:rPr>
              <w:t>灌丛生态系统</w:t>
            </w:r>
          </w:p>
        </w:tc>
        <w:tc>
          <w:tcPr>
            <w:tcW w:w="2333" w:type="dxa"/>
            <w:vMerge w:val="restart"/>
            <w:shd w:val="clear" w:color="auto" w:fill="auto"/>
            <w:vAlign w:val="center"/>
          </w:tcPr>
          <w:p w14:paraId="28752D16">
            <w:pPr>
              <w:pStyle w:val="180"/>
              <w:rPr>
                <w:rFonts w:ascii="Times New Roman"/>
              </w:rPr>
            </w:pPr>
            <w:r>
              <w:rPr>
                <w:rFonts w:ascii="Times New Roman"/>
              </w:rPr>
              <w:t>阔叶灌丛</w:t>
            </w:r>
          </w:p>
        </w:tc>
        <w:tc>
          <w:tcPr>
            <w:tcW w:w="2334" w:type="dxa"/>
            <w:shd w:val="clear" w:color="auto" w:fill="auto"/>
            <w:vAlign w:val="center"/>
          </w:tcPr>
          <w:p w14:paraId="324F71A5">
            <w:pPr>
              <w:pStyle w:val="180"/>
              <w:rPr>
                <w:rFonts w:ascii="Times New Roman"/>
              </w:rPr>
            </w:pPr>
            <w:r>
              <w:rPr>
                <w:rFonts w:ascii="Times New Roman"/>
              </w:rPr>
              <w:t>常绿阔叶灌木林</w:t>
            </w:r>
          </w:p>
        </w:tc>
        <w:tc>
          <w:tcPr>
            <w:tcW w:w="2334" w:type="dxa"/>
            <w:shd w:val="clear" w:color="auto" w:fill="auto"/>
            <w:vAlign w:val="center"/>
          </w:tcPr>
          <w:p w14:paraId="2CC799D0">
            <w:pPr>
              <w:pStyle w:val="180"/>
              <w:rPr>
                <w:rFonts w:ascii="Times New Roman"/>
              </w:rPr>
            </w:pPr>
            <w:r>
              <w:rPr>
                <w:rFonts w:ascii="Times New Roman"/>
              </w:rPr>
              <w:t>4.26</w:t>
            </w:r>
          </w:p>
        </w:tc>
      </w:tr>
      <w:tr w14:paraId="2421D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2DE8FA13">
            <w:pPr>
              <w:pStyle w:val="180"/>
              <w:rPr>
                <w:rFonts w:ascii="Times New Roman"/>
              </w:rPr>
            </w:pPr>
          </w:p>
        </w:tc>
        <w:tc>
          <w:tcPr>
            <w:tcW w:w="2333" w:type="dxa"/>
            <w:vMerge w:val="continue"/>
            <w:shd w:val="clear" w:color="auto" w:fill="auto"/>
            <w:vAlign w:val="center"/>
          </w:tcPr>
          <w:p w14:paraId="5DCE7CA6">
            <w:pPr>
              <w:pStyle w:val="180"/>
              <w:rPr>
                <w:rFonts w:ascii="Times New Roman"/>
              </w:rPr>
            </w:pPr>
          </w:p>
        </w:tc>
        <w:tc>
          <w:tcPr>
            <w:tcW w:w="2334" w:type="dxa"/>
            <w:shd w:val="clear" w:color="auto" w:fill="auto"/>
            <w:vAlign w:val="center"/>
          </w:tcPr>
          <w:p w14:paraId="5590DB0C">
            <w:pPr>
              <w:pStyle w:val="180"/>
              <w:rPr>
                <w:rFonts w:ascii="Times New Roman"/>
              </w:rPr>
            </w:pPr>
            <w:r>
              <w:rPr>
                <w:rFonts w:ascii="Times New Roman"/>
              </w:rPr>
              <w:t>落叶阔叶灌木林</w:t>
            </w:r>
          </w:p>
        </w:tc>
        <w:tc>
          <w:tcPr>
            <w:tcW w:w="2334" w:type="dxa"/>
            <w:shd w:val="clear" w:color="auto" w:fill="auto"/>
            <w:vAlign w:val="center"/>
          </w:tcPr>
          <w:p w14:paraId="31304708">
            <w:pPr>
              <w:pStyle w:val="180"/>
              <w:rPr>
                <w:rFonts w:ascii="Times New Roman"/>
              </w:rPr>
            </w:pPr>
            <w:r>
              <w:rPr>
                <w:rFonts w:ascii="Times New Roman"/>
              </w:rPr>
              <w:t>4.17</w:t>
            </w:r>
          </w:p>
        </w:tc>
      </w:tr>
      <w:tr w14:paraId="598B4E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1786AE5">
            <w:pPr>
              <w:pStyle w:val="180"/>
              <w:rPr>
                <w:rFonts w:ascii="Times New Roman"/>
              </w:rPr>
            </w:pPr>
          </w:p>
        </w:tc>
        <w:tc>
          <w:tcPr>
            <w:tcW w:w="2333" w:type="dxa"/>
            <w:shd w:val="clear" w:color="auto" w:fill="auto"/>
            <w:vAlign w:val="center"/>
          </w:tcPr>
          <w:p w14:paraId="43A9ADDB">
            <w:pPr>
              <w:pStyle w:val="180"/>
              <w:rPr>
                <w:rFonts w:ascii="Times New Roman"/>
              </w:rPr>
            </w:pPr>
            <w:r>
              <w:rPr>
                <w:rFonts w:ascii="Times New Roman"/>
              </w:rPr>
              <w:t>针叶灌丛</w:t>
            </w:r>
          </w:p>
        </w:tc>
        <w:tc>
          <w:tcPr>
            <w:tcW w:w="2334" w:type="dxa"/>
            <w:shd w:val="clear" w:color="auto" w:fill="auto"/>
            <w:vAlign w:val="center"/>
          </w:tcPr>
          <w:p w14:paraId="5F7F7C27">
            <w:pPr>
              <w:pStyle w:val="180"/>
              <w:rPr>
                <w:rFonts w:ascii="Times New Roman"/>
              </w:rPr>
            </w:pPr>
            <w:r>
              <w:rPr>
                <w:rFonts w:ascii="Times New Roman"/>
              </w:rPr>
              <w:t>常绿针叶灌木林</w:t>
            </w:r>
          </w:p>
        </w:tc>
        <w:tc>
          <w:tcPr>
            <w:tcW w:w="2334" w:type="dxa"/>
            <w:shd w:val="clear" w:color="auto" w:fill="auto"/>
            <w:vAlign w:val="center"/>
          </w:tcPr>
          <w:p w14:paraId="38CADCF4">
            <w:pPr>
              <w:pStyle w:val="180"/>
              <w:rPr>
                <w:rFonts w:ascii="Times New Roman"/>
              </w:rPr>
            </w:pPr>
            <w:r>
              <w:rPr>
                <w:rFonts w:ascii="Times New Roman"/>
              </w:rPr>
              <w:t>4.17</w:t>
            </w:r>
          </w:p>
        </w:tc>
      </w:tr>
      <w:tr w14:paraId="518536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50620B4A">
            <w:pPr>
              <w:pStyle w:val="180"/>
              <w:rPr>
                <w:rFonts w:ascii="Times New Roman"/>
              </w:rPr>
            </w:pPr>
          </w:p>
        </w:tc>
        <w:tc>
          <w:tcPr>
            <w:tcW w:w="2333" w:type="dxa"/>
            <w:shd w:val="clear" w:color="auto" w:fill="auto"/>
            <w:vAlign w:val="center"/>
          </w:tcPr>
          <w:p w14:paraId="5C57E561">
            <w:pPr>
              <w:pStyle w:val="180"/>
              <w:rPr>
                <w:rFonts w:ascii="Times New Roman"/>
              </w:rPr>
            </w:pPr>
            <w:r>
              <w:rPr>
                <w:rFonts w:ascii="Times New Roman"/>
              </w:rPr>
              <w:t>稀疏灌丛</w:t>
            </w:r>
          </w:p>
        </w:tc>
        <w:tc>
          <w:tcPr>
            <w:tcW w:w="2334" w:type="dxa"/>
            <w:shd w:val="clear" w:color="auto" w:fill="auto"/>
            <w:vAlign w:val="center"/>
          </w:tcPr>
          <w:p w14:paraId="3307AFBA">
            <w:pPr>
              <w:pStyle w:val="180"/>
              <w:rPr>
                <w:rFonts w:ascii="Times New Roman"/>
              </w:rPr>
            </w:pPr>
            <w:r>
              <w:rPr>
                <w:rFonts w:ascii="Times New Roman"/>
              </w:rPr>
              <w:t>稀疏灌木林</w:t>
            </w:r>
          </w:p>
        </w:tc>
        <w:tc>
          <w:tcPr>
            <w:tcW w:w="2334" w:type="dxa"/>
            <w:shd w:val="clear" w:color="auto" w:fill="auto"/>
            <w:vAlign w:val="center"/>
          </w:tcPr>
          <w:p w14:paraId="48ED4537">
            <w:pPr>
              <w:pStyle w:val="180"/>
              <w:rPr>
                <w:rFonts w:ascii="Times New Roman"/>
              </w:rPr>
            </w:pPr>
            <w:r>
              <w:rPr>
                <w:rFonts w:ascii="Times New Roman"/>
              </w:rPr>
              <w:t>19.20</w:t>
            </w:r>
          </w:p>
        </w:tc>
      </w:tr>
      <w:tr w14:paraId="4FD9B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14:paraId="7E7E5ACF">
            <w:pPr>
              <w:pStyle w:val="180"/>
              <w:rPr>
                <w:rFonts w:ascii="Times New Roman"/>
              </w:rPr>
            </w:pPr>
            <w:r>
              <w:rPr>
                <w:rFonts w:ascii="Times New Roman"/>
              </w:rPr>
              <w:t>草地生态系统</w:t>
            </w:r>
          </w:p>
        </w:tc>
        <w:tc>
          <w:tcPr>
            <w:tcW w:w="2333" w:type="dxa"/>
            <w:shd w:val="clear" w:color="auto" w:fill="auto"/>
            <w:vAlign w:val="center"/>
          </w:tcPr>
          <w:p w14:paraId="506EAE2F">
            <w:pPr>
              <w:pStyle w:val="180"/>
              <w:rPr>
                <w:rFonts w:ascii="Times New Roman"/>
              </w:rPr>
            </w:pPr>
            <w:r>
              <w:rPr>
                <w:rFonts w:ascii="Times New Roman"/>
              </w:rPr>
              <w:t>草甸</w:t>
            </w:r>
          </w:p>
        </w:tc>
        <w:tc>
          <w:tcPr>
            <w:tcW w:w="2334" w:type="dxa"/>
            <w:shd w:val="clear" w:color="auto" w:fill="auto"/>
            <w:vAlign w:val="center"/>
          </w:tcPr>
          <w:p w14:paraId="411D2BFF">
            <w:pPr>
              <w:pStyle w:val="180"/>
              <w:rPr>
                <w:rFonts w:ascii="Times New Roman"/>
              </w:rPr>
            </w:pPr>
            <w:r>
              <w:rPr>
                <w:rFonts w:ascii="Times New Roman"/>
              </w:rPr>
              <w:t>草甸</w:t>
            </w:r>
          </w:p>
        </w:tc>
        <w:tc>
          <w:tcPr>
            <w:tcW w:w="2334" w:type="dxa"/>
            <w:shd w:val="clear" w:color="auto" w:fill="auto"/>
            <w:vAlign w:val="center"/>
          </w:tcPr>
          <w:p w14:paraId="172DB732">
            <w:pPr>
              <w:pStyle w:val="180"/>
              <w:rPr>
                <w:rFonts w:ascii="Times New Roman"/>
              </w:rPr>
            </w:pPr>
            <w:r>
              <w:rPr>
                <w:rFonts w:ascii="Times New Roman"/>
              </w:rPr>
              <w:t>8.20</w:t>
            </w:r>
          </w:p>
        </w:tc>
      </w:tr>
      <w:tr w14:paraId="63DE0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6F9B0066">
            <w:pPr>
              <w:pStyle w:val="180"/>
              <w:rPr>
                <w:rFonts w:ascii="Times New Roman"/>
              </w:rPr>
            </w:pPr>
          </w:p>
        </w:tc>
        <w:tc>
          <w:tcPr>
            <w:tcW w:w="2333" w:type="dxa"/>
            <w:shd w:val="clear" w:color="auto" w:fill="auto"/>
            <w:vAlign w:val="center"/>
          </w:tcPr>
          <w:p w14:paraId="286B3DDF">
            <w:pPr>
              <w:pStyle w:val="180"/>
              <w:rPr>
                <w:rFonts w:ascii="Times New Roman"/>
              </w:rPr>
            </w:pPr>
            <w:r>
              <w:rPr>
                <w:rFonts w:ascii="Times New Roman"/>
              </w:rPr>
              <w:t>草原</w:t>
            </w:r>
          </w:p>
        </w:tc>
        <w:tc>
          <w:tcPr>
            <w:tcW w:w="2334" w:type="dxa"/>
            <w:shd w:val="clear" w:color="auto" w:fill="auto"/>
            <w:vAlign w:val="center"/>
          </w:tcPr>
          <w:p w14:paraId="35314E62">
            <w:pPr>
              <w:pStyle w:val="180"/>
              <w:rPr>
                <w:rFonts w:ascii="Times New Roman"/>
              </w:rPr>
            </w:pPr>
            <w:r>
              <w:rPr>
                <w:rFonts w:ascii="Times New Roman"/>
              </w:rPr>
              <w:t>草原</w:t>
            </w:r>
          </w:p>
        </w:tc>
        <w:tc>
          <w:tcPr>
            <w:tcW w:w="2334" w:type="dxa"/>
            <w:shd w:val="clear" w:color="auto" w:fill="auto"/>
            <w:vAlign w:val="center"/>
          </w:tcPr>
          <w:p w14:paraId="3F98CC2F">
            <w:pPr>
              <w:pStyle w:val="180"/>
              <w:rPr>
                <w:rFonts w:ascii="Times New Roman"/>
              </w:rPr>
            </w:pPr>
            <w:r>
              <w:rPr>
                <w:rFonts w:ascii="Times New Roman"/>
              </w:rPr>
              <w:t>4.78</w:t>
            </w:r>
          </w:p>
        </w:tc>
      </w:tr>
      <w:tr w14:paraId="292CC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57711BB2">
            <w:pPr>
              <w:pStyle w:val="180"/>
              <w:rPr>
                <w:rFonts w:ascii="Times New Roman"/>
              </w:rPr>
            </w:pPr>
          </w:p>
        </w:tc>
        <w:tc>
          <w:tcPr>
            <w:tcW w:w="2333" w:type="dxa"/>
            <w:shd w:val="clear" w:color="auto" w:fill="auto"/>
            <w:vAlign w:val="center"/>
          </w:tcPr>
          <w:p w14:paraId="29405CB3">
            <w:pPr>
              <w:pStyle w:val="180"/>
              <w:rPr>
                <w:rFonts w:ascii="Times New Roman"/>
              </w:rPr>
            </w:pPr>
            <w:r>
              <w:rPr>
                <w:rFonts w:ascii="Times New Roman"/>
              </w:rPr>
              <w:t>草丛</w:t>
            </w:r>
          </w:p>
        </w:tc>
        <w:tc>
          <w:tcPr>
            <w:tcW w:w="2334" w:type="dxa"/>
            <w:shd w:val="clear" w:color="auto" w:fill="auto"/>
            <w:vAlign w:val="center"/>
          </w:tcPr>
          <w:p w14:paraId="2530FB1F">
            <w:pPr>
              <w:pStyle w:val="180"/>
              <w:rPr>
                <w:rFonts w:ascii="Times New Roman"/>
              </w:rPr>
            </w:pPr>
            <w:r>
              <w:rPr>
                <w:rFonts w:ascii="Times New Roman"/>
              </w:rPr>
              <w:t>草丛</w:t>
            </w:r>
          </w:p>
        </w:tc>
        <w:tc>
          <w:tcPr>
            <w:tcW w:w="2334" w:type="dxa"/>
            <w:shd w:val="clear" w:color="auto" w:fill="auto"/>
            <w:vAlign w:val="center"/>
          </w:tcPr>
          <w:p w14:paraId="631EA1A9">
            <w:pPr>
              <w:pStyle w:val="180"/>
              <w:rPr>
                <w:rFonts w:ascii="Times New Roman"/>
              </w:rPr>
            </w:pPr>
            <w:r>
              <w:rPr>
                <w:rFonts w:ascii="Times New Roman"/>
              </w:rPr>
              <w:t>9.37</w:t>
            </w:r>
          </w:p>
        </w:tc>
      </w:tr>
      <w:tr w14:paraId="23548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3531C770">
            <w:pPr>
              <w:pStyle w:val="180"/>
              <w:rPr>
                <w:rFonts w:ascii="Times New Roman"/>
              </w:rPr>
            </w:pPr>
          </w:p>
        </w:tc>
        <w:tc>
          <w:tcPr>
            <w:tcW w:w="2333" w:type="dxa"/>
            <w:shd w:val="clear" w:color="auto" w:fill="auto"/>
            <w:vAlign w:val="center"/>
          </w:tcPr>
          <w:p w14:paraId="51BCF073">
            <w:pPr>
              <w:pStyle w:val="180"/>
              <w:rPr>
                <w:rFonts w:ascii="Times New Roman"/>
              </w:rPr>
            </w:pPr>
            <w:r>
              <w:rPr>
                <w:rFonts w:ascii="Times New Roman"/>
              </w:rPr>
              <w:t>稀疏草地</w:t>
            </w:r>
          </w:p>
        </w:tc>
        <w:tc>
          <w:tcPr>
            <w:tcW w:w="2334" w:type="dxa"/>
            <w:shd w:val="clear" w:color="auto" w:fill="auto"/>
            <w:vAlign w:val="center"/>
          </w:tcPr>
          <w:p w14:paraId="586140AC">
            <w:pPr>
              <w:pStyle w:val="180"/>
              <w:rPr>
                <w:rFonts w:ascii="Times New Roman"/>
              </w:rPr>
            </w:pPr>
            <w:r>
              <w:rPr>
                <w:rFonts w:ascii="Times New Roman"/>
              </w:rPr>
              <w:t>稀疏草地</w:t>
            </w:r>
          </w:p>
        </w:tc>
        <w:tc>
          <w:tcPr>
            <w:tcW w:w="2334" w:type="dxa"/>
            <w:shd w:val="clear" w:color="auto" w:fill="auto"/>
            <w:vAlign w:val="center"/>
          </w:tcPr>
          <w:p w14:paraId="25FAD89C">
            <w:pPr>
              <w:pStyle w:val="180"/>
              <w:rPr>
                <w:rFonts w:ascii="Times New Roman"/>
              </w:rPr>
            </w:pPr>
            <w:r>
              <w:rPr>
                <w:rFonts w:ascii="Times New Roman"/>
              </w:rPr>
              <w:t>18.27</w:t>
            </w:r>
          </w:p>
        </w:tc>
      </w:tr>
      <w:tr w14:paraId="4FA27A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14:paraId="7E045A4D">
            <w:pPr>
              <w:pStyle w:val="180"/>
              <w:rPr>
                <w:rFonts w:ascii="Times New Roman"/>
              </w:rPr>
            </w:pPr>
            <w:r>
              <w:rPr>
                <w:rFonts w:ascii="Times New Roman"/>
              </w:rPr>
              <w:t>农田生态系统</w:t>
            </w:r>
          </w:p>
        </w:tc>
        <w:tc>
          <w:tcPr>
            <w:tcW w:w="2333" w:type="dxa"/>
            <w:vMerge w:val="restart"/>
            <w:shd w:val="clear" w:color="auto" w:fill="auto"/>
            <w:vAlign w:val="center"/>
          </w:tcPr>
          <w:p w14:paraId="08093057">
            <w:pPr>
              <w:pStyle w:val="180"/>
              <w:rPr>
                <w:rFonts w:ascii="Times New Roman"/>
              </w:rPr>
            </w:pPr>
            <w:r>
              <w:rPr>
                <w:rFonts w:ascii="Times New Roman"/>
              </w:rPr>
              <w:t>耕地</w:t>
            </w:r>
          </w:p>
        </w:tc>
        <w:tc>
          <w:tcPr>
            <w:tcW w:w="2334" w:type="dxa"/>
            <w:shd w:val="clear" w:color="auto" w:fill="auto"/>
            <w:vAlign w:val="center"/>
          </w:tcPr>
          <w:p w14:paraId="63903087">
            <w:pPr>
              <w:pStyle w:val="180"/>
              <w:rPr>
                <w:rFonts w:ascii="Times New Roman"/>
              </w:rPr>
            </w:pPr>
            <w:r>
              <w:rPr>
                <w:rFonts w:ascii="Times New Roman"/>
              </w:rPr>
              <w:t>水田</w:t>
            </w:r>
          </w:p>
        </w:tc>
        <w:tc>
          <w:tcPr>
            <w:tcW w:w="2334" w:type="dxa"/>
            <w:shd w:val="clear" w:color="auto" w:fill="auto"/>
            <w:vAlign w:val="center"/>
          </w:tcPr>
          <w:p w14:paraId="2DA28A5A">
            <w:pPr>
              <w:pStyle w:val="180"/>
              <w:rPr>
                <w:rFonts w:ascii="Times New Roman"/>
              </w:rPr>
            </w:pPr>
            <w:r>
              <w:rPr>
                <w:rFonts w:ascii="Times New Roman"/>
              </w:rPr>
              <w:t>34.70</w:t>
            </w:r>
          </w:p>
        </w:tc>
      </w:tr>
      <w:tr w14:paraId="66FE6D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273BEE57">
            <w:pPr>
              <w:pStyle w:val="180"/>
              <w:rPr>
                <w:rFonts w:ascii="Times New Roman"/>
              </w:rPr>
            </w:pPr>
          </w:p>
        </w:tc>
        <w:tc>
          <w:tcPr>
            <w:tcW w:w="2333" w:type="dxa"/>
            <w:vMerge w:val="continue"/>
            <w:shd w:val="clear" w:color="auto" w:fill="auto"/>
            <w:vAlign w:val="center"/>
          </w:tcPr>
          <w:p w14:paraId="413342D1">
            <w:pPr>
              <w:pStyle w:val="180"/>
              <w:rPr>
                <w:rFonts w:ascii="Times New Roman"/>
              </w:rPr>
            </w:pPr>
          </w:p>
        </w:tc>
        <w:tc>
          <w:tcPr>
            <w:tcW w:w="2334" w:type="dxa"/>
            <w:shd w:val="clear" w:color="auto" w:fill="auto"/>
            <w:vAlign w:val="center"/>
          </w:tcPr>
          <w:p w14:paraId="66972324">
            <w:pPr>
              <w:pStyle w:val="180"/>
              <w:rPr>
                <w:rFonts w:ascii="Times New Roman"/>
              </w:rPr>
            </w:pPr>
            <w:r>
              <w:rPr>
                <w:rFonts w:ascii="Times New Roman"/>
              </w:rPr>
              <w:t>旱地</w:t>
            </w:r>
          </w:p>
        </w:tc>
        <w:tc>
          <w:tcPr>
            <w:tcW w:w="2334" w:type="dxa"/>
            <w:shd w:val="clear" w:color="auto" w:fill="auto"/>
            <w:vAlign w:val="center"/>
          </w:tcPr>
          <w:p w14:paraId="4F2C0667">
            <w:pPr>
              <w:pStyle w:val="180"/>
              <w:rPr>
                <w:rFonts w:ascii="Times New Roman"/>
              </w:rPr>
            </w:pPr>
            <w:r>
              <w:rPr>
                <w:rFonts w:ascii="Times New Roman"/>
              </w:rPr>
              <w:t>46.96</w:t>
            </w:r>
          </w:p>
        </w:tc>
      </w:tr>
      <w:tr w14:paraId="6BD91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9BF2155">
            <w:pPr>
              <w:pStyle w:val="180"/>
              <w:rPr>
                <w:rFonts w:ascii="Times New Roman"/>
              </w:rPr>
            </w:pPr>
          </w:p>
        </w:tc>
        <w:tc>
          <w:tcPr>
            <w:tcW w:w="2333" w:type="dxa"/>
            <w:vMerge w:val="restart"/>
            <w:shd w:val="clear" w:color="auto" w:fill="auto"/>
            <w:vAlign w:val="center"/>
          </w:tcPr>
          <w:p w14:paraId="446E8DCC">
            <w:pPr>
              <w:pStyle w:val="180"/>
              <w:rPr>
                <w:rFonts w:ascii="Times New Roman"/>
              </w:rPr>
            </w:pPr>
            <w:r>
              <w:rPr>
                <w:rFonts w:ascii="Times New Roman"/>
              </w:rPr>
              <w:t>园地</w:t>
            </w:r>
          </w:p>
        </w:tc>
        <w:tc>
          <w:tcPr>
            <w:tcW w:w="2334" w:type="dxa"/>
            <w:shd w:val="clear" w:color="auto" w:fill="auto"/>
            <w:vAlign w:val="center"/>
          </w:tcPr>
          <w:p w14:paraId="6042B5BB">
            <w:pPr>
              <w:pStyle w:val="180"/>
              <w:rPr>
                <w:rFonts w:ascii="Times New Roman"/>
              </w:rPr>
            </w:pPr>
            <w:r>
              <w:rPr>
                <w:rFonts w:ascii="Times New Roman"/>
              </w:rPr>
              <w:t>乔木园地</w:t>
            </w:r>
          </w:p>
        </w:tc>
        <w:tc>
          <w:tcPr>
            <w:tcW w:w="2334" w:type="dxa"/>
            <w:shd w:val="clear" w:color="auto" w:fill="auto"/>
            <w:vAlign w:val="center"/>
          </w:tcPr>
          <w:p w14:paraId="7A42B2FA">
            <w:pPr>
              <w:pStyle w:val="180"/>
              <w:rPr>
                <w:rFonts w:ascii="Times New Roman"/>
              </w:rPr>
            </w:pPr>
            <w:r>
              <w:rPr>
                <w:rFonts w:ascii="Times New Roman"/>
              </w:rPr>
              <w:t>9.57</w:t>
            </w:r>
          </w:p>
        </w:tc>
      </w:tr>
      <w:tr w14:paraId="6C7328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036779D8">
            <w:pPr>
              <w:pStyle w:val="180"/>
              <w:rPr>
                <w:rFonts w:ascii="Times New Roman"/>
              </w:rPr>
            </w:pPr>
          </w:p>
        </w:tc>
        <w:tc>
          <w:tcPr>
            <w:tcW w:w="2333" w:type="dxa"/>
            <w:vMerge w:val="continue"/>
            <w:shd w:val="clear" w:color="auto" w:fill="auto"/>
            <w:vAlign w:val="center"/>
          </w:tcPr>
          <w:p w14:paraId="33BA10B0">
            <w:pPr>
              <w:pStyle w:val="180"/>
              <w:rPr>
                <w:rFonts w:ascii="Times New Roman"/>
              </w:rPr>
            </w:pPr>
          </w:p>
        </w:tc>
        <w:tc>
          <w:tcPr>
            <w:tcW w:w="2334" w:type="dxa"/>
            <w:shd w:val="clear" w:color="auto" w:fill="auto"/>
            <w:vAlign w:val="center"/>
          </w:tcPr>
          <w:p w14:paraId="041EF2C7">
            <w:pPr>
              <w:pStyle w:val="180"/>
              <w:rPr>
                <w:rFonts w:ascii="Times New Roman"/>
              </w:rPr>
            </w:pPr>
            <w:r>
              <w:rPr>
                <w:rFonts w:ascii="Times New Roman"/>
              </w:rPr>
              <w:t>灌木园地</w:t>
            </w:r>
          </w:p>
        </w:tc>
        <w:tc>
          <w:tcPr>
            <w:tcW w:w="2334" w:type="dxa"/>
            <w:shd w:val="clear" w:color="auto" w:fill="auto"/>
            <w:vAlign w:val="center"/>
          </w:tcPr>
          <w:p w14:paraId="325470AB">
            <w:pPr>
              <w:pStyle w:val="180"/>
              <w:rPr>
                <w:rFonts w:ascii="Times New Roman"/>
              </w:rPr>
            </w:pPr>
            <w:r>
              <w:rPr>
                <w:rFonts w:ascii="Times New Roman"/>
              </w:rPr>
              <w:t>7.90</w:t>
            </w:r>
          </w:p>
        </w:tc>
      </w:tr>
      <w:tr w14:paraId="068054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14:paraId="18ECB63E">
            <w:pPr>
              <w:pStyle w:val="180"/>
              <w:rPr>
                <w:rFonts w:ascii="Times New Roman"/>
              </w:rPr>
            </w:pPr>
            <w:r>
              <w:rPr>
                <w:rFonts w:ascii="Times New Roman"/>
              </w:rPr>
              <w:t>城市生态系统</w:t>
            </w:r>
          </w:p>
        </w:tc>
        <w:tc>
          <w:tcPr>
            <w:tcW w:w="2333" w:type="dxa"/>
            <w:shd w:val="clear" w:color="auto" w:fill="auto"/>
            <w:vAlign w:val="center"/>
          </w:tcPr>
          <w:p w14:paraId="4C1814F5">
            <w:pPr>
              <w:pStyle w:val="180"/>
              <w:rPr>
                <w:rFonts w:ascii="Times New Roman"/>
              </w:rPr>
            </w:pPr>
            <w:r>
              <w:rPr>
                <w:rFonts w:ascii="Times New Roman"/>
              </w:rPr>
              <w:t>建设用地</w:t>
            </w:r>
          </w:p>
        </w:tc>
        <w:tc>
          <w:tcPr>
            <w:tcW w:w="2334" w:type="dxa"/>
            <w:shd w:val="clear" w:color="auto" w:fill="auto"/>
            <w:vAlign w:val="center"/>
          </w:tcPr>
          <w:p w14:paraId="52E8C9D4">
            <w:pPr>
              <w:pStyle w:val="180"/>
              <w:rPr>
                <w:rFonts w:ascii="Times New Roman"/>
              </w:rPr>
            </w:pPr>
            <w:r>
              <w:rPr>
                <w:rFonts w:ascii="Times New Roman"/>
              </w:rPr>
              <w:t>居住地等建设用地</w:t>
            </w:r>
          </w:p>
        </w:tc>
        <w:tc>
          <w:tcPr>
            <w:tcW w:w="2334" w:type="dxa"/>
            <w:shd w:val="clear" w:color="auto" w:fill="auto"/>
            <w:vAlign w:val="center"/>
          </w:tcPr>
          <w:p w14:paraId="4793A727">
            <w:pPr>
              <w:pStyle w:val="180"/>
              <w:rPr>
                <w:rFonts w:ascii="Times New Roman"/>
              </w:rPr>
            </w:pPr>
            <w:r>
              <w:rPr>
                <w:rFonts w:ascii="Times New Roman"/>
              </w:rPr>
              <w:t>85.00</w:t>
            </w:r>
          </w:p>
        </w:tc>
      </w:tr>
      <w:tr w14:paraId="6ABADF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04381604">
            <w:pPr>
              <w:pStyle w:val="180"/>
              <w:rPr>
                <w:rFonts w:ascii="Times New Roman"/>
              </w:rPr>
            </w:pPr>
          </w:p>
        </w:tc>
        <w:tc>
          <w:tcPr>
            <w:tcW w:w="2333" w:type="dxa"/>
            <w:vMerge w:val="restart"/>
            <w:shd w:val="clear" w:color="auto" w:fill="auto"/>
            <w:vAlign w:val="center"/>
          </w:tcPr>
          <w:p w14:paraId="76B14FCC">
            <w:pPr>
              <w:pStyle w:val="180"/>
              <w:rPr>
                <w:rFonts w:ascii="Times New Roman"/>
              </w:rPr>
            </w:pPr>
            <w:r>
              <w:rPr>
                <w:rFonts w:ascii="Times New Roman"/>
              </w:rPr>
              <w:t>城市绿地</w:t>
            </w:r>
          </w:p>
        </w:tc>
        <w:tc>
          <w:tcPr>
            <w:tcW w:w="2334" w:type="dxa"/>
            <w:shd w:val="clear" w:color="auto" w:fill="auto"/>
            <w:vAlign w:val="center"/>
          </w:tcPr>
          <w:p w14:paraId="0B4F35BB">
            <w:pPr>
              <w:pStyle w:val="180"/>
              <w:rPr>
                <w:rFonts w:ascii="Times New Roman"/>
              </w:rPr>
            </w:pPr>
            <w:r>
              <w:rPr>
                <w:rFonts w:ascii="Times New Roman"/>
              </w:rPr>
              <w:t>乔木绿地</w:t>
            </w:r>
          </w:p>
        </w:tc>
        <w:tc>
          <w:tcPr>
            <w:tcW w:w="2334" w:type="dxa"/>
            <w:shd w:val="clear" w:color="auto" w:fill="auto"/>
            <w:vAlign w:val="center"/>
          </w:tcPr>
          <w:p w14:paraId="78CCFAB5">
            <w:pPr>
              <w:pStyle w:val="180"/>
              <w:rPr>
                <w:rFonts w:ascii="Times New Roman"/>
              </w:rPr>
            </w:pPr>
            <w:r>
              <w:rPr>
                <w:rFonts w:ascii="Times New Roman"/>
              </w:rPr>
              <w:t>19.20</w:t>
            </w:r>
          </w:p>
        </w:tc>
      </w:tr>
      <w:tr w14:paraId="416E7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1E155608">
            <w:pPr>
              <w:pStyle w:val="180"/>
              <w:rPr>
                <w:rFonts w:ascii="Times New Roman"/>
              </w:rPr>
            </w:pPr>
          </w:p>
        </w:tc>
        <w:tc>
          <w:tcPr>
            <w:tcW w:w="2333" w:type="dxa"/>
            <w:vMerge w:val="continue"/>
            <w:shd w:val="clear" w:color="auto" w:fill="auto"/>
            <w:vAlign w:val="center"/>
          </w:tcPr>
          <w:p w14:paraId="33922834">
            <w:pPr>
              <w:pStyle w:val="180"/>
              <w:rPr>
                <w:rFonts w:ascii="Times New Roman"/>
              </w:rPr>
            </w:pPr>
          </w:p>
        </w:tc>
        <w:tc>
          <w:tcPr>
            <w:tcW w:w="2334" w:type="dxa"/>
            <w:shd w:val="clear" w:color="auto" w:fill="auto"/>
            <w:vAlign w:val="center"/>
          </w:tcPr>
          <w:p w14:paraId="091D2EAE">
            <w:pPr>
              <w:pStyle w:val="180"/>
              <w:rPr>
                <w:rFonts w:ascii="Times New Roman"/>
              </w:rPr>
            </w:pPr>
            <w:r>
              <w:rPr>
                <w:rFonts w:ascii="Times New Roman"/>
              </w:rPr>
              <w:t>灌木绿地</w:t>
            </w:r>
          </w:p>
        </w:tc>
        <w:tc>
          <w:tcPr>
            <w:tcW w:w="2334" w:type="dxa"/>
            <w:shd w:val="clear" w:color="auto" w:fill="auto"/>
            <w:vAlign w:val="center"/>
          </w:tcPr>
          <w:p w14:paraId="3F94903E">
            <w:pPr>
              <w:pStyle w:val="180"/>
              <w:rPr>
                <w:rFonts w:ascii="Times New Roman"/>
              </w:rPr>
            </w:pPr>
            <w:r>
              <w:rPr>
                <w:rFonts w:ascii="Times New Roman"/>
              </w:rPr>
              <w:t>19.20</w:t>
            </w:r>
          </w:p>
        </w:tc>
      </w:tr>
      <w:tr w14:paraId="0A3A1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6925886">
            <w:pPr>
              <w:pStyle w:val="180"/>
              <w:rPr>
                <w:rFonts w:ascii="Times New Roman"/>
              </w:rPr>
            </w:pPr>
          </w:p>
        </w:tc>
        <w:tc>
          <w:tcPr>
            <w:tcW w:w="2333" w:type="dxa"/>
            <w:vMerge w:val="continue"/>
            <w:shd w:val="clear" w:color="auto" w:fill="auto"/>
            <w:vAlign w:val="center"/>
          </w:tcPr>
          <w:p w14:paraId="775AEFF5">
            <w:pPr>
              <w:pStyle w:val="180"/>
              <w:rPr>
                <w:rFonts w:ascii="Times New Roman"/>
              </w:rPr>
            </w:pPr>
          </w:p>
        </w:tc>
        <w:tc>
          <w:tcPr>
            <w:tcW w:w="2334" w:type="dxa"/>
            <w:shd w:val="clear" w:color="auto" w:fill="auto"/>
            <w:vAlign w:val="center"/>
          </w:tcPr>
          <w:p w14:paraId="76B47DB1">
            <w:pPr>
              <w:pStyle w:val="180"/>
              <w:rPr>
                <w:rFonts w:ascii="Times New Roman"/>
              </w:rPr>
            </w:pPr>
            <w:r>
              <w:rPr>
                <w:rFonts w:ascii="Times New Roman"/>
              </w:rPr>
              <w:t>草本绿地</w:t>
            </w:r>
          </w:p>
        </w:tc>
        <w:tc>
          <w:tcPr>
            <w:tcW w:w="2334" w:type="dxa"/>
            <w:shd w:val="clear" w:color="auto" w:fill="auto"/>
            <w:vAlign w:val="center"/>
          </w:tcPr>
          <w:p w14:paraId="0546DA87">
            <w:pPr>
              <w:pStyle w:val="180"/>
              <w:rPr>
                <w:rFonts w:ascii="Times New Roman"/>
              </w:rPr>
            </w:pPr>
            <w:r>
              <w:rPr>
                <w:rFonts w:ascii="Times New Roman"/>
              </w:rPr>
              <w:t>18.27</w:t>
            </w:r>
          </w:p>
        </w:tc>
      </w:tr>
      <w:tr w14:paraId="2458B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7296E4A4">
            <w:pPr>
              <w:pStyle w:val="180"/>
              <w:rPr>
                <w:rFonts w:ascii="Times New Roman"/>
              </w:rPr>
            </w:pPr>
          </w:p>
        </w:tc>
        <w:tc>
          <w:tcPr>
            <w:tcW w:w="2333" w:type="dxa"/>
            <w:shd w:val="clear" w:color="auto" w:fill="auto"/>
            <w:vAlign w:val="center"/>
          </w:tcPr>
          <w:p w14:paraId="21CE623D">
            <w:pPr>
              <w:pStyle w:val="180"/>
              <w:rPr>
                <w:rFonts w:ascii="Times New Roman"/>
              </w:rPr>
            </w:pPr>
            <w:r>
              <w:rPr>
                <w:rFonts w:ascii="Times New Roman"/>
              </w:rPr>
              <w:t>城市水体</w:t>
            </w:r>
          </w:p>
        </w:tc>
        <w:tc>
          <w:tcPr>
            <w:tcW w:w="2334" w:type="dxa"/>
            <w:shd w:val="clear" w:color="auto" w:fill="auto"/>
            <w:vAlign w:val="center"/>
          </w:tcPr>
          <w:p w14:paraId="059B7EFA">
            <w:pPr>
              <w:pStyle w:val="180"/>
              <w:rPr>
                <w:rFonts w:ascii="Times New Roman"/>
              </w:rPr>
            </w:pPr>
            <w:r>
              <w:rPr>
                <w:rFonts w:ascii="Times New Roman"/>
              </w:rPr>
              <w:t>城市水体</w:t>
            </w:r>
          </w:p>
        </w:tc>
        <w:tc>
          <w:tcPr>
            <w:tcW w:w="2334" w:type="dxa"/>
            <w:shd w:val="clear" w:color="auto" w:fill="auto"/>
            <w:vAlign w:val="center"/>
          </w:tcPr>
          <w:p w14:paraId="3962F4DE">
            <w:pPr>
              <w:pStyle w:val="180"/>
              <w:rPr>
                <w:rFonts w:ascii="Times New Roman"/>
              </w:rPr>
            </w:pPr>
            <w:r>
              <w:rPr>
                <w:rFonts w:ascii="Times New Roman"/>
              </w:rPr>
              <w:t>0.00</w:t>
            </w:r>
          </w:p>
        </w:tc>
      </w:tr>
      <w:tr w14:paraId="536E7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14:paraId="7B668FDF">
            <w:pPr>
              <w:pStyle w:val="180"/>
              <w:rPr>
                <w:rFonts w:ascii="Times New Roman"/>
              </w:rPr>
            </w:pPr>
            <w:r>
              <w:rPr>
                <w:rFonts w:ascii="Times New Roman"/>
              </w:rPr>
              <w:t>湿地生态系统</w:t>
            </w:r>
          </w:p>
        </w:tc>
        <w:tc>
          <w:tcPr>
            <w:tcW w:w="2333" w:type="dxa"/>
            <w:vMerge w:val="restart"/>
            <w:shd w:val="clear" w:color="auto" w:fill="auto"/>
            <w:vAlign w:val="center"/>
          </w:tcPr>
          <w:p w14:paraId="28AA6974">
            <w:pPr>
              <w:pStyle w:val="180"/>
              <w:rPr>
                <w:rFonts w:ascii="Times New Roman"/>
              </w:rPr>
            </w:pPr>
            <w:r>
              <w:rPr>
                <w:rFonts w:ascii="Times New Roman"/>
              </w:rPr>
              <w:t>沼泽</w:t>
            </w:r>
          </w:p>
        </w:tc>
        <w:tc>
          <w:tcPr>
            <w:tcW w:w="2334" w:type="dxa"/>
            <w:shd w:val="clear" w:color="auto" w:fill="auto"/>
            <w:vAlign w:val="center"/>
          </w:tcPr>
          <w:p w14:paraId="2C9C6254">
            <w:pPr>
              <w:pStyle w:val="180"/>
              <w:rPr>
                <w:rFonts w:ascii="Times New Roman"/>
              </w:rPr>
            </w:pPr>
            <w:r>
              <w:rPr>
                <w:rFonts w:ascii="Times New Roman"/>
              </w:rPr>
              <w:t>森林沼泽</w:t>
            </w:r>
          </w:p>
        </w:tc>
        <w:tc>
          <w:tcPr>
            <w:tcW w:w="2334" w:type="dxa"/>
            <w:shd w:val="clear" w:color="auto" w:fill="auto"/>
            <w:vAlign w:val="center"/>
          </w:tcPr>
          <w:p w14:paraId="06750C88">
            <w:pPr>
              <w:pStyle w:val="180"/>
              <w:rPr>
                <w:rFonts w:ascii="Times New Roman"/>
              </w:rPr>
            </w:pPr>
            <w:r>
              <w:rPr>
                <w:rFonts w:ascii="Times New Roman"/>
              </w:rPr>
              <w:t>0.00</w:t>
            </w:r>
          </w:p>
        </w:tc>
      </w:tr>
      <w:tr w14:paraId="3C4BB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F3DDC27">
            <w:pPr>
              <w:pStyle w:val="180"/>
              <w:rPr>
                <w:rFonts w:ascii="Times New Roman"/>
              </w:rPr>
            </w:pPr>
          </w:p>
        </w:tc>
        <w:tc>
          <w:tcPr>
            <w:tcW w:w="2333" w:type="dxa"/>
            <w:vMerge w:val="continue"/>
            <w:shd w:val="clear" w:color="auto" w:fill="auto"/>
            <w:vAlign w:val="center"/>
          </w:tcPr>
          <w:p w14:paraId="13339D43">
            <w:pPr>
              <w:pStyle w:val="180"/>
              <w:rPr>
                <w:rFonts w:ascii="Times New Roman"/>
              </w:rPr>
            </w:pPr>
          </w:p>
        </w:tc>
        <w:tc>
          <w:tcPr>
            <w:tcW w:w="2334" w:type="dxa"/>
            <w:shd w:val="clear" w:color="auto" w:fill="auto"/>
            <w:vAlign w:val="center"/>
          </w:tcPr>
          <w:p w14:paraId="3E24C5B1">
            <w:pPr>
              <w:pStyle w:val="180"/>
              <w:rPr>
                <w:rFonts w:ascii="Times New Roman"/>
              </w:rPr>
            </w:pPr>
            <w:r>
              <w:rPr>
                <w:rFonts w:ascii="Times New Roman"/>
              </w:rPr>
              <w:t>灌丛沼泽</w:t>
            </w:r>
          </w:p>
        </w:tc>
        <w:tc>
          <w:tcPr>
            <w:tcW w:w="2334" w:type="dxa"/>
            <w:shd w:val="clear" w:color="auto" w:fill="auto"/>
            <w:vAlign w:val="center"/>
          </w:tcPr>
          <w:p w14:paraId="23C0F38A">
            <w:pPr>
              <w:pStyle w:val="180"/>
              <w:rPr>
                <w:rFonts w:ascii="Times New Roman"/>
              </w:rPr>
            </w:pPr>
            <w:r>
              <w:rPr>
                <w:rFonts w:ascii="Times New Roman"/>
              </w:rPr>
              <w:t>0.00</w:t>
            </w:r>
          </w:p>
        </w:tc>
      </w:tr>
      <w:tr w14:paraId="47E3D9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102B2A4">
            <w:pPr>
              <w:pStyle w:val="180"/>
              <w:rPr>
                <w:rFonts w:ascii="Times New Roman"/>
              </w:rPr>
            </w:pPr>
          </w:p>
        </w:tc>
        <w:tc>
          <w:tcPr>
            <w:tcW w:w="2333" w:type="dxa"/>
            <w:vMerge w:val="continue"/>
            <w:shd w:val="clear" w:color="auto" w:fill="auto"/>
            <w:vAlign w:val="center"/>
          </w:tcPr>
          <w:p w14:paraId="1F8C17CB">
            <w:pPr>
              <w:pStyle w:val="180"/>
              <w:rPr>
                <w:rFonts w:ascii="Times New Roman"/>
              </w:rPr>
            </w:pPr>
          </w:p>
        </w:tc>
        <w:tc>
          <w:tcPr>
            <w:tcW w:w="2334" w:type="dxa"/>
            <w:shd w:val="clear" w:color="auto" w:fill="auto"/>
            <w:vAlign w:val="center"/>
          </w:tcPr>
          <w:p w14:paraId="5C7994E5">
            <w:pPr>
              <w:pStyle w:val="180"/>
              <w:rPr>
                <w:rFonts w:ascii="Times New Roman"/>
              </w:rPr>
            </w:pPr>
            <w:r>
              <w:rPr>
                <w:rFonts w:ascii="Times New Roman"/>
              </w:rPr>
              <w:t>草本沼泽</w:t>
            </w:r>
          </w:p>
        </w:tc>
        <w:tc>
          <w:tcPr>
            <w:tcW w:w="2334" w:type="dxa"/>
            <w:shd w:val="clear" w:color="auto" w:fill="auto"/>
            <w:vAlign w:val="center"/>
          </w:tcPr>
          <w:p w14:paraId="3F520057">
            <w:pPr>
              <w:pStyle w:val="180"/>
              <w:rPr>
                <w:rFonts w:ascii="Times New Roman"/>
              </w:rPr>
            </w:pPr>
            <w:r>
              <w:rPr>
                <w:rFonts w:ascii="Times New Roman"/>
              </w:rPr>
              <w:t>0.00</w:t>
            </w:r>
          </w:p>
        </w:tc>
      </w:tr>
      <w:tr w14:paraId="0BF10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0B23AEE7">
            <w:pPr>
              <w:pStyle w:val="180"/>
              <w:rPr>
                <w:rFonts w:ascii="Times New Roman"/>
              </w:rPr>
            </w:pPr>
          </w:p>
        </w:tc>
        <w:tc>
          <w:tcPr>
            <w:tcW w:w="2333" w:type="dxa"/>
            <w:vMerge w:val="restart"/>
            <w:shd w:val="clear" w:color="auto" w:fill="auto"/>
            <w:vAlign w:val="center"/>
          </w:tcPr>
          <w:p w14:paraId="72F98598">
            <w:pPr>
              <w:pStyle w:val="180"/>
              <w:rPr>
                <w:rFonts w:ascii="Times New Roman"/>
              </w:rPr>
            </w:pPr>
            <w:r>
              <w:rPr>
                <w:rFonts w:ascii="Times New Roman"/>
              </w:rPr>
              <w:t>湖泊</w:t>
            </w:r>
          </w:p>
        </w:tc>
        <w:tc>
          <w:tcPr>
            <w:tcW w:w="2334" w:type="dxa"/>
            <w:shd w:val="clear" w:color="auto" w:fill="auto"/>
            <w:vAlign w:val="center"/>
          </w:tcPr>
          <w:p w14:paraId="69870277">
            <w:pPr>
              <w:pStyle w:val="180"/>
              <w:rPr>
                <w:rFonts w:ascii="Times New Roman"/>
              </w:rPr>
            </w:pPr>
            <w:r>
              <w:rPr>
                <w:rFonts w:ascii="Times New Roman"/>
              </w:rPr>
              <w:t>湖泊</w:t>
            </w:r>
          </w:p>
        </w:tc>
        <w:tc>
          <w:tcPr>
            <w:tcW w:w="2334" w:type="dxa"/>
            <w:shd w:val="clear" w:color="auto" w:fill="auto"/>
            <w:vAlign w:val="center"/>
          </w:tcPr>
          <w:p w14:paraId="7B767EF2">
            <w:pPr>
              <w:pStyle w:val="180"/>
              <w:rPr>
                <w:rFonts w:ascii="Times New Roman"/>
              </w:rPr>
            </w:pPr>
            <w:r>
              <w:rPr>
                <w:rFonts w:ascii="Times New Roman"/>
              </w:rPr>
              <w:t>0.00</w:t>
            </w:r>
          </w:p>
        </w:tc>
      </w:tr>
      <w:tr w14:paraId="4F0BA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381E1E3B">
            <w:pPr>
              <w:pStyle w:val="180"/>
              <w:rPr>
                <w:rFonts w:ascii="Times New Roman"/>
              </w:rPr>
            </w:pPr>
          </w:p>
        </w:tc>
        <w:tc>
          <w:tcPr>
            <w:tcW w:w="2333" w:type="dxa"/>
            <w:vMerge w:val="continue"/>
            <w:shd w:val="clear" w:color="auto" w:fill="auto"/>
            <w:vAlign w:val="center"/>
          </w:tcPr>
          <w:p w14:paraId="767A93E6">
            <w:pPr>
              <w:pStyle w:val="180"/>
              <w:rPr>
                <w:rFonts w:ascii="Times New Roman"/>
              </w:rPr>
            </w:pPr>
          </w:p>
        </w:tc>
        <w:tc>
          <w:tcPr>
            <w:tcW w:w="2334" w:type="dxa"/>
            <w:shd w:val="clear" w:color="auto" w:fill="auto"/>
            <w:vAlign w:val="center"/>
          </w:tcPr>
          <w:p w14:paraId="5788CFEC">
            <w:pPr>
              <w:pStyle w:val="180"/>
              <w:rPr>
                <w:rFonts w:ascii="Times New Roman"/>
              </w:rPr>
            </w:pPr>
            <w:r>
              <w:rPr>
                <w:rFonts w:ascii="Times New Roman"/>
              </w:rPr>
              <w:t>水库/坑塘</w:t>
            </w:r>
          </w:p>
        </w:tc>
        <w:tc>
          <w:tcPr>
            <w:tcW w:w="2334" w:type="dxa"/>
            <w:shd w:val="clear" w:color="auto" w:fill="auto"/>
            <w:vAlign w:val="center"/>
          </w:tcPr>
          <w:p w14:paraId="369D63D5">
            <w:pPr>
              <w:pStyle w:val="180"/>
              <w:rPr>
                <w:rFonts w:ascii="Times New Roman"/>
              </w:rPr>
            </w:pPr>
            <w:r>
              <w:rPr>
                <w:rFonts w:ascii="Times New Roman"/>
              </w:rPr>
              <w:t>0.00</w:t>
            </w:r>
          </w:p>
        </w:tc>
      </w:tr>
      <w:tr w14:paraId="24E03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0D078723">
            <w:pPr>
              <w:pStyle w:val="180"/>
              <w:rPr>
                <w:rFonts w:ascii="Times New Roman"/>
              </w:rPr>
            </w:pPr>
          </w:p>
        </w:tc>
        <w:tc>
          <w:tcPr>
            <w:tcW w:w="2333" w:type="dxa"/>
            <w:vMerge w:val="restart"/>
            <w:shd w:val="clear" w:color="auto" w:fill="auto"/>
            <w:vAlign w:val="center"/>
          </w:tcPr>
          <w:p w14:paraId="74D7F638">
            <w:pPr>
              <w:pStyle w:val="180"/>
              <w:rPr>
                <w:rFonts w:ascii="Times New Roman"/>
              </w:rPr>
            </w:pPr>
            <w:r>
              <w:rPr>
                <w:rFonts w:ascii="Times New Roman"/>
              </w:rPr>
              <w:t>河流</w:t>
            </w:r>
          </w:p>
        </w:tc>
        <w:tc>
          <w:tcPr>
            <w:tcW w:w="2334" w:type="dxa"/>
            <w:shd w:val="clear" w:color="auto" w:fill="auto"/>
            <w:vAlign w:val="center"/>
          </w:tcPr>
          <w:p w14:paraId="1C0DBE81">
            <w:pPr>
              <w:pStyle w:val="180"/>
              <w:rPr>
                <w:rFonts w:ascii="Times New Roman"/>
              </w:rPr>
            </w:pPr>
            <w:r>
              <w:rPr>
                <w:rFonts w:ascii="Times New Roman"/>
              </w:rPr>
              <w:t>河流</w:t>
            </w:r>
          </w:p>
        </w:tc>
        <w:tc>
          <w:tcPr>
            <w:tcW w:w="2334" w:type="dxa"/>
            <w:shd w:val="clear" w:color="auto" w:fill="auto"/>
            <w:vAlign w:val="center"/>
          </w:tcPr>
          <w:p w14:paraId="56520D97">
            <w:pPr>
              <w:pStyle w:val="180"/>
              <w:rPr>
                <w:rFonts w:ascii="Times New Roman"/>
              </w:rPr>
            </w:pPr>
            <w:r>
              <w:rPr>
                <w:rFonts w:ascii="Times New Roman"/>
              </w:rPr>
              <w:t>0.00</w:t>
            </w:r>
          </w:p>
        </w:tc>
      </w:tr>
      <w:tr w14:paraId="3DE09D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14:paraId="4800E747">
            <w:pPr>
              <w:pStyle w:val="180"/>
              <w:rPr>
                <w:rFonts w:ascii="Times New Roman"/>
              </w:rPr>
            </w:pPr>
          </w:p>
        </w:tc>
        <w:tc>
          <w:tcPr>
            <w:tcW w:w="2333" w:type="dxa"/>
            <w:vMerge w:val="continue"/>
            <w:shd w:val="clear" w:color="auto" w:fill="auto"/>
            <w:vAlign w:val="center"/>
          </w:tcPr>
          <w:p w14:paraId="65B55945">
            <w:pPr>
              <w:pStyle w:val="180"/>
              <w:rPr>
                <w:rFonts w:ascii="Times New Roman"/>
              </w:rPr>
            </w:pPr>
          </w:p>
        </w:tc>
        <w:tc>
          <w:tcPr>
            <w:tcW w:w="2334" w:type="dxa"/>
            <w:shd w:val="clear" w:color="auto" w:fill="auto"/>
            <w:vAlign w:val="center"/>
          </w:tcPr>
          <w:p w14:paraId="792E9B08">
            <w:pPr>
              <w:pStyle w:val="180"/>
              <w:rPr>
                <w:rFonts w:ascii="Times New Roman"/>
              </w:rPr>
            </w:pPr>
            <w:r>
              <w:rPr>
                <w:rFonts w:ascii="Times New Roman"/>
              </w:rPr>
              <w:t>运河/水渠</w:t>
            </w:r>
          </w:p>
        </w:tc>
        <w:tc>
          <w:tcPr>
            <w:tcW w:w="2334" w:type="dxa"/>
            <w:shd w:val="clear" w:color="auto" w:fill="auto"/>
            <w:vAlign w:val="center"/>
          </w:tcPr>
          <w:p w14:paraId="0BFE827D">
            <w:pPr>
              <w:pStyle w:val="180"/>
              <w:rPr>
                <w:rFonts w:ascii="Times New Roman"/>
              </w:rPr>
            </w:pPr>
            <w:r>
              <w:rPr>
                <w:rFonts w:ascii="Times New Roman"/>
              </w:rPr>
              <w:t>0.00</w:t>
            </w:r>
          </w:p>
        </w:tc>
      </w:tr>
    </w:tbl>
    <w:p w14:paraId="6CFB724F">
      <w:pPr>
        <w:pStyle w:val="81"/>
        <w:spacing w:before="156" w:after="156"/>
        <w:rPr>
          <w:rFonts w:ascii="Times New Roman"/>
        </w:rPr>
      </w:pPr>
      <w:bookmarkStart w:id="158" w:name="_Toc179674312"/>
      <w:r>
        <w:rPr>
          <w:rFonts w:ascii="Times New Roman"/>
        </w:rPr>
        <w:t>蒸散发量</w:t>
      </w:r>
      <w:bookmarkEnd w:id="158"/>
    </w:p>
    <w:p w14:paraId="055D372A">
      <w:pPr>
        <w:pStyle w:val="58"/>
        <w:ind w:firstLine="420"/>
        <w:rPr>
          <w:rFonts w:ascii="Times New Roman"/>
        </w:rPr>
      </w:pPr>
      <w:r>
        <w:rPr>
          <w:rFonts w:ascii="Times New Roman"/>
        </w:rPr>
        <w:t>宜优先选择气象部门提供的蒸散发观测数据或插值数据；在缺乏气象部门观测或插值数据时，可采用遥感卫星蒸散发产品（如EOS/MODIS MOD16 A3数据集）获取蒸散发量，亦可采用公式（C.</w:t>
      </w:r>
      <w:r>
        <w:rPr>
          <w:rFonts w:hint="eastAsia" w:ascii="Times New Roman"/>
        </w:rPr>
        <w:t>10</w:t>
      </w:r>
      <w:r>
        <w:rPr>
          <w:rFonts w:ascii="Times New Roman"/>
        </w:rPr>
        <w:t>）（C.1</w:t>
      </w:r>
      <w:r>
        <w:rPr>
          <w:rFonts w:hint="eastAsia" w:ascii="Times New Roman"/>
        </w:rPr>
        <w:t>1</w:t>
      </w:r>
      <w:r>
        <w:rPr>
          <w:rFonts w:ascii="Times New Roman"/>
        </w:rPr>
        <w:t>）计算蒸散发量。</w:t>
      </w:r>
    </w:p>
    <w:p w14:paraId="641A007A">
      <w:pPr>
        <w:pStyle w:val="115"/>
        <w:rPr>
          <w:rFonts w:ascii="Times New Roman" w:hAnsi="Times New Roman"/>
        </w:rPr>
      </w:pPr>
      <w:r>
        <w:rPr>
          <w:rFonts w:ascii="Times New Roman" w:hAnsi="Times New Roman"/>
        </w:rPr>
        <w:tab/>
      </w:r>
      <m:oMath>
        <m:r>
          <m:rPr/>
          <w:rPr>
            <w:rFonts w:ascii="Cambria Math" w:hAnsi="Cambria Math"/>
          </w:rPr>
          <m:t>ET=</m:t>
        </m:r>
        <m:nary>
          <m:naryPr>
            <m:chr m:val="∑"/>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n</m:t>
            </m:r>
            <m:ctrlPr>
              <w:rPr>
                <w:rFonts w:ascii="Cambria Math" w:hAnsi="Cambria Math"/>
                <w:i/>
                <w:iCs/>
              </w:rPr>
            </m:ctrlPr>
          </m:sup>
          <m:e>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f>
              <m:fPr>
                <m:ctrlPr>
                  <w:rPr>
                    <w:rFonts w:ascii="Cambria Math" w:hAnsi="Cambria Math"/>
                    <w:i/>
                    <w:iCs/>
                  </w:rPr>
                </m:ctrlPr>
              </m:fPr>
              <m:num>
                <m:r>
                  <m:rPr/>
                  <w:rPr>
                    <w:rFonts w:ascii="Cambria Math" w:hAnsi="Cambria Math"/>
                  </w:rPr>
                  <m:t>1.05×P</m:t>
                </m:r>
                <m:ctrlPr>
                  <w:rPr>
                    <w:rFonts w:ascii="Cambria Math" w:hAnsi="Cambria Math"/>
                    <w:i/>
                    <w:iCs/>
                  </w:rPr>
                </m:ctrlPr>
              </m:num>
              <m:den>
                <m:sSup>
                  <m:sSupPr>
                    <m:ctrlPr>
                      <w:rPr>
                        <w:rFonts w:ascii="Cambria Math" w:hAnsi="Cambria Math"/>
                        <w:i/>
                        <w:iCs/>
                      </w:rPr>
                    </m:ctrlPr>
                  </m:sSupPr>
                  <m:e>
                    <m:d>
                      <m:dPr>
                        <m:begChr m:val="["/>
                        <m:endChr m:val="]"/>
                        <m:ctrlPr>
                          <w:rPr>
                            <w:rFonts w:ascii="Cambria Math" w:hAnsi="Cambria Math"/>
                            <w:i/>
                            <w:iCs/>
                          </w:rPr>
                        </m:ctrlPr>
                      </m:dPr>
                      <m:e>
                        <m:r>
                          <m:rPr/>
                          <w:rPr>
                            <w:rFonts w:ascii="Cambria Math" w:hAnsi="Cambria Math"/>
                          </w:rPr>
                          <m:t>1+</m:t>
                        </m:r>
                        <m:sSup>
                          <m:sSupPr>
                            <m:ctrlPr>
                              <w:rPr>
                                <w:rFonts w:ascii="Cambria Math" w:hAnsi="Cambria Math"/>
                                <w:i/>
                                <w:iCs/>
                              </w:rPr>
                            </m:ctrlPr>
                          </m:sSupPr>
                          <m:e>
                            <m:d>
                              <m:dPr>
                                <m:ctrlPr>
                                  <w:rPr>
                                    <w:rFonts w:ascii="Cambria Math" w:hAnsi="Cambria Math"/>
                                    <w:i/>
                                    <w:iCs/>
                                  </w:rPr>
                                </m:ctrlPr>
                              </m:dPr>
                              <m:e>
                                <m:f>
                                  <m:fPr>
                                    <m:type m:val="skw"/>
                                    <m:ctrlPr>
                                      <w:rPr>
                                        <w:rFonts w:ascii="Cambria Math" w:hAnsi="Cambria Math"/>
                                        <w:i/>
                                        <w:iCs/>
                                      </w:rPr>
                                    </m:ctrlPr>
                                  </m:fPr>
                                  <m:num>
                                    <m:r>
                                      <m:rPr/>
                                      <w:rPr>
                                        <w:rFonts w:ascii="Cambria Math" w:hAnsi="Cambria Math"/>
                                      </w:rPr>
                                      <m:t>1.05×P</m:t>
                                    </m:r>
                                    <m:ctrlPr>
                                      <w:rPr>
                                        <w:rFonts w:ascii="Cambria Math" w:hAnsi="Cambria Math"/>
                                        <w:i/>
                                        <w:iCs/>
                                      </w:rPr>
                                    </m:ctrlPr>
                                  </m:num>
                                  <m:den>
                                    <m:r>
                                      <m:rPr/>
                                      <w:rPr>
                                        <w:rFonts w:ascii="Cambria Math" w:hAnsi="Cambria Math"/>
                                      </w:rPr>
                                      <m:t>L</m:t>
                                    </m:r>
                                    <m:ctrlPr>
                                      <w:rPr>
                                        <w:rFonts w:ascii="Cambria Math" w:hAnsi="Cambria Math"/>
                                        <w:i/>
                                        <w:iCs/>
                                      </w:rPr>
                                    </m:ctrlPr>
                                  </m:den>
                                </m:f>
                                <m:ctrlPr>
                                  <w:rPr>
                                    <w:rFonts w:ascii="Cambria Math" w:hAnsi="Cambria Math"/>
                                    <w:i/>
                                    <w:iCs/>
                                  </w:rPr>
                                </m:ctrlPr>
                              </m:e>
                            </m:d>
                            <m:ctrlPr>
                              <w:rPr>
                                <w:rFonts w:ascii="Cambria Math" w:hAnsi="Cambria Math"/>
                                <w:i/>
                                <w:iCs/>
                              </w:rPr>
                            </m:ctrlPr>
                          </m:e>
                          <m:sup>
                            <m:r>
                              <m:rPr/>
                              <w:rPr>
                                <w:rFonts w:ascii="Cambria Math" w:hAnsi="Cambria Math"/>
                              </w:rPr>
                              <m:t>2</m:t>
                            </m:r>
                            <m:ctrlPr>
                              <w:rPr>
                                <w:rFonts w:ascii="Cambria Math" w:hAnsi="Cambria Math"/>
                                <w:i/>
                                <w:iCs/>
                              </w:rPr>
                            </m:ctrlPr>
                          </m:sup>
                        </m:sSup>
                        <m:ctrlPr>
                          <w:rPr>
                            <w:rFonts w:ascii="Cambria Math" w:hAnsi="Cambria Math"/>
                            <w:i/>
                            <w:iCs/>
                          </w:rPr>
                        </m:ctrlPr>
                      </m:e>
                    </m:d>
                    <m:ctrlPr>
                      <w:rPr>
                        <w:rFonts w:ascii="Cambria Math" w:hAnsi="Cambria Math"/>
                        <w:i/>
                        <w:iCs/>
                      </w:rPr>
                    </m:ctrlPr>
                  </m:e>
                  <m:sup>
                    <m:r>
                      <m:rPr/>
                      <w:rPr>
                        <w:rFonts w:ascii="Cambria Math" w:hAnsi="Cambria Math"/>
                      </w:rPr>
                      <m:t>0.5</m:t>
                    </m:r>
                    <m:ctrlPr>
                      <w:rPr>
                        <w:rFonts w:ascii="Cambria Math" w:hAnsi="Cambria Math"/>
                        <w:i/>
                        <w:iCs/>
                      </w:rPr>
                    </m:ctrlPr>
                  </m:sup>
                </m:sSup>
                <m:ctrlPr>
                  <w:rPr>
                    <w:rFonts w:ascii="Cambria Math" w:hAnsi="Cambria Math"/>
                    <w:i/>
                    <w:iCs/>
                  </w:rPr>
                </m:ctrlPr>
              </m:den>
            </m:f>
            <m:ctrlPr>
              <w:rPr>
                <w:rFonts w:ascii="Cambria Math" w:hAnsi="Cambria Math"/>
                <w:i/>
                <w:iCs/>
              </w:rPr>
            </m:ctrlPr>
          </m:e>
        </m:nary>
      </m:oMath>
      <w:r>
        <w:rPr>
          <w:rFonts w:ascii="Times New Roman" w:hAnsi="Times New Roman" w:eastAsia="微软雅黑"/>
        </w:rPr>
        <w:tab/>
      </w:r>
      <w:r>
        <w:rPr>
          <w:rFonts w:ascii="Times New Roman" w:hAnsi="Times New Roman"/>
        </w:rPr>
        <w:t>(C.</w:t>
      </w:r>
      <w:r>
        <w:rPr>
          <w:rFonts w:hint="eastAsia" w:ascii="Times New Roman" w:hAnsi="Times New Roman"/>
        </w:rPr>
        <w:t>10</w:t>
      </w:r>
      <w:r>
        <w:rPr>
          <w:rFonts w:ascii="Times New Roman" w:hAnsi="Times New Roman"/>
        </w:rPr>
        <w:t>)</w:t>
      </w:r>
    </w:p>
    <w:p w14:paraId="54912754">
      <w:pPr>
        <w:pStyle w:val="115"/>
        <w:rPr>
          <w:rFonts w:ascii="Times New Roman" w:hAnsi="Times New Roman"/>
        </w:rPr>
      </w:pPr>
      <w:r>
        <w:rPr>
          <w:rFonts w:ascii="Times New Roman" w:hAnsi="Times New Roman"/>
        </w:rPr>
        <w:tab/>
      </w:r>
      <m:oMath>
        <m:r>
          <m:rPr/>
          <w:rPr>
            <w:rFonts w:ascii="Cambria Math" w:hAnsi="Cambria Math"/>
          </w:rPr>
          <m:t>L=300+25×T+0.05×</m:t>
        </m:r>
        <m:sSup>
          <m:sSupPr>
            <m:ctrlPr>
              <w:rPr>
                <w:rFonts w:ascii="Cambria Math" w:hAnsi="Cambria Math"/>
                <w:i/>
                <w:iCs/>
              </w:rPr>
            </m:ctrlPr>
          </m:sSupPr>
          <m:e>
            <m:r>
              <m:rPr/>
              <w:rPr>
                <w:rFonts w:ascii="Cambria Math" w:hAnsi="Cambria Math"/>
              </w:rPr>
              <m:t>T</m:t>
            </m:r>
            <m:ctrlPr>
              <w:rPr>
                <w:rFonts w:ascii="Cambria Math" w:hAnsi="Cambria Math"/>
                <w:i/>
                <w:iCs/>
              </w:rPr>
            </m:ctrlPr>
          </m:e>
          <m:sup>
            <m:r>
              <m:rPr/>
              <w:rPr>
                <w:rFonts w:ascii="Cambria Math" w:hAnsi="Cambria Math"/>
              </w:rPr>
              <m:t>3</m:t>
            </m:r>
            <m:ctrlPr>
              <w:rPr>
                <w:rFonts w:ascii="Cambria Math" w:hAnsi="Cambria Math"/>
                <w:i/>
                <w:iCs/>
              </w:rPr>
            </m:ctrlPr>
          </m:sup>
        </m:sSup>
      </m:oMath>
      <w:r>
        <w:rPr>
          <w:rFonts w:ascii="Times New Roman" w:hAnsi="Times New Roman" w:eastAsia="微软雅黑"/>
        </w:rPr>
        <w:tab/>
      </w:r>
      <w:r>
        <w:rPr>
          <w:rFonts w:ascii="Times New Roman" w:hAnsi="Times New Roman"/>
        </w:rPr>
        <w:t>(C.</w:t>
      </w:r>
      <w:r>
        <w:rPr>
          <w:rFonts w:hint="eastAsia" w:ascii="Times New Roman" w:hAnsi="Times New Roman"/>
        </w:rPr>
        <w:t>11</w:t>
      </w:r>
      <w:r>
        <w:rPr>
          <w:rFonts w:ascii="Times New Roman" w:hAnsi="Times New Roman"/>
        </w:rPr>
        <w:t>)</w:t>
      </w:r>
    </w:p>
    <w:p w14:paraId="5F9EA7A4">
      <w:pPr>
        <w:pStyle w:val="57"/>
        <w:ind w:firstLine="420"/>
        <w:rPr>
          <w:rFonts w:ascii="Times New Roman" w:hAnsi="Times New Roman"/>
        </w:rPr>
      </w:pPr>
      <w:r>
        <w:rPr>
          <w:rFonts w:ascii="Times New Roman" w:hAnsi="Times New Roman"/>
        </w:rPr>
        <w:t>式中：</w:t>
      </w:r>
    </w:p>
    <w:p w14:paraId="64922E85">
      <w:pPr>
        <w:pStyle w:val="58"/>
        <w:ind w:firstLine="420"/>
        <w:rPr>
          <w:rFonts w:ascii="Times New Roman"/>
        </w:rPr>
      </w:pPr>
      <m:oMath>
        <m:r>
          <m:rPr/>
          <w:rPr>
            <w:rFonts w:ascii="Cambria Math" w:hAnsi="Cambria Math"/>
          </w:rPr>
          <m:t>ET</m:t>
        </m:r>
      </m:oMath>
      <w:r>
        <w:rPr>
          <w:rFonts w:ascii="Times New Roman"/>
        </w:rPr>
        <w:t>——蒸散发量，单位：mm；</w:t>
      </w:r>
    </w:p>
    <w:p w14:paraId="570F8C64">
      <w:pPr>
        <w:pStyle w:val="58"/>
        <w:ind w:firstLine="420"/>
        <w:rPr>
          <w:rFonts w:ascii="Times New Roman"/>
        </w:rPr>
      </w:p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ascii="Times New Roman"/>
        </w:rPr>
        <w:t>——蒸散发调整系数（无量纲），取值方法见表C.4;</w:t>
      </w:r>
    </w:p>
    <w:p w14:paraId="0A89BDA2">
      <w:pPr>
        <w:pStyle w:val="58"/>
        <w:ind w:firstLine="420"/>
        <w:rPr>
          <w:rFonts w:ascii="Times New Roman"/>
        </w:rPr>
      </w:pPr>
      <m:oMath>
        <m:r>
          <m:rPr/>
          <w:rPr>
            <w:rFonts w:ascii="Cambria Math" w:hAnsi="Cambria Math"/>
          </w:rPr>
          <m:t>P</m:t>
        </m:r>
      </m:oMath>
      <w:r>
        <w:rPr>
          <w:rFonts w:ascii="Times New Roman"/>
        </w:rPr>
        <w:t>——年降水量，单位：mm；</w:t>
      </w:r>
    </w:p>
    <w:p w14:paraId="613CB981">
      <w:pPr>
        <w:pStyle w:val="58"/>
        <w:ind w:firstLine="420"/>
        <w:rPr>
          <w:rFonts w:ascii="Times New Roman"/>
        </w:rPr>
      </w:pPr>
      <m:oMath>
        <m:r>
          <m:rPr/>
          <w:rPr>
            <w:rFonts w:ascii="Cambria Math" w:hAnsi="Cambria Math"/>
          </w:rPr>
          <m:t>L</m:t>
        </m:r>
      </m:oMath>
      <w:r>
        <w:rPr>
          <w:rFonts w:ascii="Times New Roman"/>
        </w:rPr>
        <w:t>——评估期最大蒸散发量，单位：mm；</w:t>
      </w:r>
    </w:p>
    <w:p w14:paraId="71A578E8">
      <w:pPr>
        <w:pStyle w:val="58"/>
        <w:ind w:firstLine="420"/>
        <w:rPr>
          <w:rFonts w:ascii="Times New Roman"/>
        </w:rPr>
      </w:pPr>
      <m:oMath>
        <m:r>
          <m:rPr/>
          <w:rPr>
            <w:rFonts w:ascii="Cambria Math" w:hAnsi="Cambria Math"/>
          </w:rPr>
          <m:t>T</m:t>
        </m:r>
      </m:oMath>
      <w:r>
        <w:rPr>
          <w:rFonts w:ascii="Times New Roman"/>
        </w:rPr>
        <w:t>——评估期平均气温，单位：℃。</w:t>
      </w:r>
    </w:p>
    <w:p w14:paraId="741C3D76">
      <w:pPr>
        <w:pStyle w:val="79"/>
        <w:numPr>
          <w:ilvl w:val="0"/>
          <w:numId w:val="0"/>
        </w:numPr>
        <w:spacing w:before="156" w:after="156"/>
        <w:ind w:left="420"/>
        <w:rPr>
          <w:rFonts w:ascii="Times New Roman"/>
        </w:rPr>
      </w:pPr>
      <w:r>
        <w:rPr>
          <w:rFonts w:ascii="Times New Roman"/>
        </w:rPr>
        <w:t>C.4</w:t>
      </w:r>
      <w:r>
        <w:rPr>
          <w:rFonts w:hint="eastAsia" w:ascii="Times New Roman"/>
        </w:rPr>
        <w:t xml:space="preserve"> </w:t>
      </w:r>
      <w:r>
        <w:rPr>
          <w:rFonts w:ascii="Times New Roman"/>
        </w:rPr>
        <w:t>各生态系统蒸散发调整系数</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660F7F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7A6EC855">
            <w:pPr>
              <w:pStyle w:val="180"/>
              <w:rPr>
                <w:rFonts w:ascii="Times New Roman"/>
              </w:rPr>
            </w:pPr>
            <w:r>
              <w:rPr>
                <w:rFonts w:ascii="Times New Roman"/>
              </w:rPr>
              <w:t>生态系统类型</w:t>
            </w:r>
          </w:p>
        </w:tc>
        <w:tc>
          <w:tcPr>
            <w:tcW w:w="4667" w:type="dxa"/>
            <w:tcBorders>
              <w:top w:val="single" w:color="auto" w:sz="8" w:space="0"/>
              <w:bottom w:val="single" w:color="auto" w:sz="8" w:space="0"/>
            </w:tcBorders>
            <w:shd w:val="clear" w:color="auto" w:fill="auto"/>
            <w:vAlign w:val="center"/>
          </w:tcPr>
          <w:p w14:paraId="07085773">
            <w:pPr>
              <w:pStyle w:val="180"/>
              <w:rPr>
                <w:rFonts w:ascii="Times New Roman"/>
              </w:rPr>
            </w:pPr>
            <w:r>
              <w:rPr>
                <w:rFonts w:ascii="Times New Roman"/>
              </w:rPr>
              <w:t>蒸散发调整系数</w:t>
            </w:r>
          </w:p>
        </w:tc>
      </w:tr>
      <w:tr w14:paraId="30ED7A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7BAB0321">
            <w:pPr>
              <w:pStyle w:val="180"/>
              <w:rPr>
                <w:rFonts w:ascii="Times New Roman"/>
              </w:rPr>
            </w:pPr>
            <w:r>
              <w:rPr>
                <w:rFonts w:ascii="Times New Roman"/>
              </w:rPr>
              <w:t>森林生态系统</w:t>
            </w:r>
          </w:p>
        </w:tc>
        <w:tc>
          <w:tcPr>
            <w:tcW w:w="4667" w:type="dxa"/>
            <w:tcBorders>
              <w:top w:val="single" w:color="auto" w:sz="8" w:space="0"/>
            </w:tcBorders>
            <w:shd w:val="clear" w:color="auto" w:fill="auto"/>
            <w:vAlign w:val="center"/>
          </w:tcPr>
          <w:p w14:paraId="6AA401FF">
            <w:pPr>
              <w:pStyle w:val="180"/>
              <w:rPr>
                <w:rFonts w:ascii="Times New Roman"/>
              </w:rPr>
            </w:pPr>
            <w:r>
              <w:rPr>
                <w:rFonts w:ascii="Times New Roman"/>
              </w:rPr>
              <w:t>1.3</w:t>
            </w:r>
          </w:p>
        </w:tc>
      </w:tr>
      <w:tr w14:paraId="0D8E1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1931BB7">
            <w:pPr>
              <w:pStyle w:val="180"/>
              <w:rPr>
                <w:rFonts w:ascii="Times New Roman"/>
              </w:rPr>
            </w:pPr>
            <w:r>
              <w:rPr>
                <w:rFonts w:ascii="Times New Roman"/>
              </w:rPr>
              <w:t>灌丛生态系统</w:t>
            </w:r>
          </w:p>
        </w:tc>
        <w:tc>
          <w:tcPr>
            <w:tcW w:w="4667" w:type="dxa"/>
            <w:shd w:val="clear" w:color="auto" w:fill="auto"/>
            <w:vAlign w:val="center"/>
          </w:tcPr>
          <w:p w14:paraId="239B07FC">
            <w:pPr>
              <w:pStyle w:val="180"/>
              <w:rPr>
                <w:rFonts w:ascii="Times New Roman"/>
              </w:rPr>
            </w:pPr>
            <w:r>
              <w:rPr>
                <w:rFonts w:ascii="Times New Roman"/>
              </w:rPr>
              <w:t>1.2</w:t>
            </w:r>
          </w:p>
        </w:tc>
      </w:tr>
      <w:tr w14:paraId="7EEEF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E8E33B9">
            <w:pPr>
              <w:pStyle w:val="180"/>
              <w:rPr>
                <w:rFonts w:ascii="Times New Roman"/>
              </w:rPr>
            </w:pPr>
            <w:r>
              <w:rPr>
                <w:rFonts w:ascii="Times New Roman"/>
              </w:rPr>
              <w:t>草地生态系统</w:t>
            </w:r>
          </w:p>
        </w:tc>
        <w:tc>
          <w:tcPr>
            <w:tcW w:w="4667" w:type="dxa"/>
            <w:shd w:val="clear" w:color="auto" w:fill="auto"/>
            <w:vAlign w:val="center"/>
          </w:tcPr>
          <w:p w14:paraId="5062F21C">
            <w:pPr>
              <w:pStyle w:val="180"/>
              <w:rPr>
                <w:rFonts w:ascii="Times New Roman"/>
              </w:rPr>
            </w:pPr>
            <w:r>
              <w:rPr>
                <w:rFonts w:ascii="Times New Roman"/>
              </w:rPr>
              <w:t>1</w:t>
            </w:r>
          </w:p>
        </w:tc>
      </w:tr>
      <w:tr w14:paraId="3B56F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0386493">
            <w:pPr>
              <w:pStyle w:val="180"/>
              <w:rPr>
                <w:rFonts w:ascii="Times New Roman"/>
              </w:rPr>
            </w:pPr>
            <w:r>
              <w:rPr>
                <w:rFonts w:ascii="Times New Roman"/>
              </w:rPr>
              <w:t>农田生态系统</w:t>
            </w:r>
          </w:p>
        </w:tc>
        <w:tc>
          <w:tcPr>
            <w:tcW w:w="4667" w:type="dxa"/>
            <w:shd w:val="clear" w:color="auto" w:fill="auto"/>
            <w:vAlign w:val="center"/>
          </w:tcPr>
          <w:p w14:paraId="7E7721C2">
            <w:pPr>
              <w:pStyle w:val="180"/>
              <w:rPr>
                <w:rFonts w:ascii="Times New Roman"/>
              </w:rPr>
            </w:pPr>
            <w:r>
              <w:rPr>
                <w:rFonts w:ascii="Times New Roman"/>
              </w:rPr>
              <w:t>1.1</w:t>
            </w:r>
          </w:p>
        </w:tc>
      </w:tr>
      <w:tr w14:paraId="0E04D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37A9522">
            <w:pPr>
              <w:pStyle w:val="180"/>
              <w:rPr>
                <w:rFonts w:ascii="Times New Roman"/>
              </w:rPr>
            </w:pPr>
            <w:r>
              <w:rPr>
                <w:rFonts w:ascii="Times New Roman"/>
              </w:rPr>
              <w:t>城市生态系统</w:t>
            </w:r>
          </w:p>
        </w:tc>
        <w:tc>
          <w:tcPr>
            <w:tcW w:w="4667" w:type="dxa"/>
            <w:shd w:val="clear" w:color="auto" w:fill="auto"/>
            <w:vAlign w:val="center"/>
          </w:tcPr>
          <w:p w14:paraId="60B800D5">
            <w:pPr>
              <w:pStyle w:val="180"/>
              <w:rPr>
                <w:rFonts w:ascii="Times New Roman"/>
              </w:rPr>
            </w:pPr>
            <w:r>
              <w:rPr>
                <w:rFonts w:ascii="Times New Roman"/>
              </w:rPr>
              <w:t>0.4</w:t>
            </w:r>
          </w:p>
        </w:tc>
      </w:tr>
      <w:tr w14:paraId="650693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9B27422">
            <w:pPr>
              <w:pStyle w:val="180"/>
              <w:rPr>
                <w:rFonts w:ascii="Times New Roman"/>
              </w:rPr>
            </w:pPr>
            <w:r>
              <w:rPr>
                <w:rFonts w:ascii="Times New Roman"/>
              </w:rPr>
              <w:t>湿地生态系统</w:t>
            </w:r>
          </w:p>
        </w:tc>
        <w:tc>
          <w:tcPr>
            <w:tcW w:w="4667" w:type="dxa"/>
            <w:shd w:val="clear" w:color="auto" w:fill="auto"/>
            <w:vAlign w:val="center"/>
          </w:tcPr>
          <w:p w14:paraId="7E1E21E0">
            <w:pPr>
              <w:pStyle w:val="180"/>
              <w:rPr>
                <w:rFonts w:ascii="Times New Roman"/>
              </w:rPr>
            </w:pPr>
            <w:r>
              <w:rPr>
                <w:rFonts w:ascii="Times New Roman"/>
              </w:rPr>
              <w:t>1.5</w:t>
            </w:r>
          </w:p>
        </w:tc>
      </w:tr>
      <w:tr w14:paraId="0F023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484DAD71">
            <w:pPr>
              <w:pStyle w:val="180"/>
              <w:rPr>
                <w:rFonts w:ascii="Times New Roman"/>
              </w:rPr>
            </w:pPr>
            <w:r>
              <w:rPr>
                <w:rFonts w:ascii="Times New Roman"/>
              </w:rPr>
              <w:t>荒漠生态系统（裸地、沙地等）</w:t>
            </w:r>
          </w:p>
        </w:tc>
        <w:tc>
          <w:tcPr>
            <w:tcW w:w="4667" w:type="dxa"/>
            <w:shd w:val="clear" w:color="auto" w:fill="auto"/>
            <w:vAlign w:val="center"/>
          </w:tcPr>
          <w:p w14:paraId="670391EE">
            <w:pPr>
              <w:pStyle w:val="180"/>
              <w:rPr>
                <w:rFonts w:ascii="Times New Roman"/>
              </w:rPr>
            </w:pPr>
            <w:r>
              <w:rPr>
                <w:rFonts w:ascii="Times New Roman"/>
              </w:rPr>
              <w:t>0.6</w:t>
            </w:r>
          </w:p>
        </w:tc>
      </w:tr>
    </w:tbl>
    <w:p w14:paraId="62B9E22D">
      <w:pPr>
        <w:pStyle w:val="81"/>
        <w:spacing w:before="156" w:after="156"/>
        <w:rPr>
          <w:rFonts w:ascii="Times New Roman"/>
        </w:rPr>
      </w:pPr>
      <w:bookmarkStart w:id="159" w:name="_Toc179674313"/>
      <w:r>
        <w:rPr>
          <w:rFonts w:ascii="Times New Roman"/>
        </w:rPr>
        <w:t>水库年折旧率</w:t>
      </w:r>
      <w:bookmarkEnd w:id="159"/>
    </w:p>
    <w:p w14:paraId="1026C9DE">
      <w:pPr>
        <w:pStyle w:val="58"/>
        <w:ind w:firstLine="420"/>
        <w:rPr>
          <w:rFonts w:ascii="Times New Roman"/>
        </w:rPr>
      </w:pPr>
      <w:r>
        <w:rPr>
          <w:rFonts w:ascii="Times New Roman"/>
        </w:rPr>
        <w:t>参考SL654-2014中不同工程等别水库</w:t>
      </w:r>
      <w:r>
        <w:rPr>
          <w:rFonts w:hint="eastAsia" w:ascii="Times New Roman"/>
        </w:rPr>
        <w:t>合理使用年限，计算水库年折旧率，取值方法见表C.5，默认取2%。</w:t>
      </w:r>
    </w:p>
    <w:p w14:paraId="3B1B043E">
      <w:pPr>
        <w:pStyle w:val="79"/>
        <w:numPr>
          <w:ilvl w:val="0"/>
          <w:numId w:val="0"/>
        </w:numPr>
        <w:spacing w:before="156" w:after="156"/>
      </w:pPr>
      <w:r>
        <w:rPr>
          <w:rFonts w:hint="eastAsia" w:ascii="Times New Roman"/>
        </w:rPr>
        <w:t>表C.5</w:t>
      </w:r>
      <w:r>
        <w:rPr>
          <w:rFonts w:hint="eastAsia"/>
        </w:rPr>
        <w:t>各工程等别水库折旧率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6"/>
        <w:gridCol w:w="2336"/>
        <w:gridCol w:w="2336"/>
      </w:tblGrid>
      <w:tr w14:paraId="70EE9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8" w:space="0"/>
              <w:bottom w:val="single" w:color="auto" w:sz="8" w:space="0"/>
            </w:tcBorders>
            <w:shd w:val="clear" w:color="auto" w:fill="auto"/>
            <w:vAlign w:val="center"/>
          </w:tcPr>
          <w:p w14:paraId="167E9A04">
            <w:pPr>
              <w:pStyle w:val="180"/>
              <w:rPr>
                <w:rFonts w:ascii="Times New Roman"/>
              </w:rPr>
            </w:pPr>
            <w:r>
              <w:rPr>
                <w:rFonts w:ascii="Times New Roman"/>
              </w:rPr>
              <w:t>工程等别</w:t>
            </w:r>
          </w:p>
        </w:tc>
        <w:tc>
          <w:tcPr>
            <w:tcW w:w="2336" w:type="dxa"/>
            <w:tcBorders>
              <w:top w:val="single" w:color="auto" w:sz="8" w:space="0"/>
              <w:bottom w:val="single" w:color="auto" w:sz="8" w:space="0"/>
            </w:tcBorders>
            <w:shd w:val="clear" w:color="auto" w:fill="auto"/>
            <w:vAlign w:val="center"/>
          </w:tcPr>
          <w:p w14:paraId="11E7369D">
            <w:pPr>
              <w:pStyle w:val="180"/>
              <w:rPr>
                <w:rFonts w:ascii="Times New Roman"/>
              </w:rPr>
            </w:pPr>
            <w:r>
              <w:rPr>
                <w:rFonts w:ascii="Times New Roman"/>
              </w:rPr>
              <w:t>水库规模</w:t>
            </w:r>
          </w:p>
        </w:tc>
        <w:tc>
          <w:tcPr>
            <w:tcW w:w="2336" w:type="dxa"/>
            <w:tcBorders>
              <w:top w:val="single" w:color="auto" w:sz="8" w:space="0"/>
              <w:bottom w:val="single" w:color="auto" w:sz="8" w:space="0"/>
            </w:tcBorders>
            <w:shd w:val="clear" w:color="auto" w:fill="auto"/>
            <w:vAlign w:val="center"/>
          </w:tcPr>
          <w:p w14:paraId="6E26F07C">
            <w:pPr>
              <w:pStyle w:val="180"/>
              <w:rPr>
                <w:rFonts w:ascii="Times New Roman"/>
              </w:rPr>
            </w:pPr>
            <w:r>
              <w:rPr>
                <w:rFonts w:ascii="Times New Roman"/>
              </w:rPr>
              <w:t>合理使用年限（年）</w:t>
            </w:r>
          </w:p>
        </w:tc>
        <w:tc>
          <w:tcPr>
            <w:tcW w:w="2336" w:type="dxa"/>
            <w:tcBorders>
              <w:top w:val="single" w:color="auto" w:sz="8" w:space="0"/>
              <w:bottom w:val="single" w:color="auto" w:sz="8" w:space="0"/>
            </w:tcBorders>
            <w:shd w:val="clear" w:color="auto" w:fill="auto"/>
            <w:vAlign w:val="center"/>
          </w:tcPr>
          <w:p w14:paraId="66E4C1E0">
            <w:pPr>
              <w:pStyle w:val="180"/>
              <w:rPr>
                <w:rFonts w:ascii="Times New Roman"/>
              </w:rPr>
            </w:pPr>
            <w:r>
              <w:rPr>
                <w:rFonts w:ascii="Times New Roman"/>
              </w:rPr>
              <w:t>折旧率（%）</w:t>
            </w:r>
          </w:p>
        </w:tc>
      </w:tr>
      <w:tr w14:paraId="07736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8" w:space="0"/>
            </w:tcBorders>
            <w:shd w:val="clear" w:color="auto" w:fill="auto"/>
            <w:vAlign w:val="center"/>
          </w:tcPr>
          <w:p w14:paraId="0D78CECA">
            <w:pPr>
              <w:pStyle w:val="180"/>
              <w:rPr>
                <w:rFonts w:ascii="Times New Roman"/>
              </w:rPr>
            </w:pPr>
            <w:r>
              <w:rPr>
                <w:rFonts w:ascii="Times New Roman"/>
              </w:rPr>
              <w:t>Ⅰ</w:t>
            </w:r>
          </w:p>
        </w:tc>
        <w:tc>
          <w:tcPr>
            <w:tcW w:w="2336" w:type="dxa"/>
            <w:tcBorders>
              <w:top w:val="single" w:color="auto" w:sz="8" w:space="0"/>
            </w:tcBorders>
            <w:shd w:val="clear" w:color="auto" w:fill="auto"/>
            <w:vAlign w:val="center"/>
          </w:tcPr>
          <w:p w14:paraId="6EA1D0A8">
            <w:pPr>
              <w:pStyle w:val="180"/>
              <w:rPr>
                <w:rFonts w:ascii="Times New Roman"/>
              </w:rPr>
            </w:pPr>
            <w:r>
              <w:rPr>
                <w:rFonts w:ascii="Times New Roman"/>
              </w:rPr>
              <w:t>大（1）型</w:t>
            </w:r>
          </w:p>
        </w:tc>
        <w:tc>
          <w:tcPr>
            <w:tcW w:w="2336" w:type="dxa"/>
            <w:tcBorders>
              <w:top w:val="single" w:color="auto" w:sz="8" w:space="0"/>
            </w:tcBorders>
            <w:shd w:val="clear" w:color="auto" w:fill="auto"/>
            <w:vAlign w:val="center"/>
          </w:tcPr>
          <w:p w14:paraId="50CE9C7D">
            <w:pPr>
              <w:pStyle w:val="180"/>
              <w:rPr>
                <w:rFonts w:ascii="Times New Roman"/>
              </w:rPr>
            </w:pPr>
            <w:r>
              <w:rPr>
                <w:rFonts w:ascii="Times New Roman"/>
              </w:rPr>
              <w:t>150</w:t>
            </w:r>
          </w:p>
        </w:tc>
        <w:tc>
          <w:tcPr>
            <w:tcW w:w="2336" w:type="dxa"/>
            <w:tcBorders>
              <w:top w:val="single" w:color="auto" w:sz="8" w:space="0"/>
            </w:tcBorders>
            <w:shd w:val="clear" w:color="auto" w:fill="auto"/>
            <w:vAlign w:val="center"/>
          </w:tcPr>
          <w:p w14:paraId="21565123">
            <w:pPr>
              <w:pStyle w:val="180"/>
              <w:rPr>
                <w:rFonts w:ascii="Times New Roman"/>
              </w:rPr>
            </w:pPr>
            <w:r>
              <w:rPr>
                <w:rFonts w:ascii="Times New Roman"/>
              </w:rPr>
              <w:t>0.667</w:t>
            </w:r>
          </w:p>
        </w:tc>
      </w:tr>
      <w:tr w14:paraId="55B28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71C9B8F1">
            <w:pPr>
              <w:pStyle w:val="180"/>
              <w:rPr>
                <w:rFonts w:ascii="Times New Roman"/>
              </w:rPr>
            </w:pPr>
            <w:r>
              <w:rPr>
                <w:rFonts w:ascii="Times New Roman"/>
              </w:rPr>
              <w:t>Ⅱ</w:t>
            </w:r>
          </w:p>
        </w:tc>
        <w:tc>
          <w:tcPr>
            <w:tcW w:w="2336" w:type="dxa"/>
            <w:shd w:val="clear" w:color="auto" w:fill="auto"/>
            <w:vAlign w:val="center"/>
          </w:tcPr>
          <w:p w14:paraId="62C8ECD6">
            <w:pPr>
              <w:pStyle w:val="180"/>
              <w:rPr>
                <w:rFonts w:ascii="Times New Roman"/>
              </w:rPr>
            </w:pPr>
            <w:r>
              <w:rPr>
                <w:rFonts w:ascii="Times New Roman"/>
              </w:rPr>
              <w:t>大（2）型</w:t>
            </w:r>
          </w:p>
        </w:tc>
        <w:tc>
          <w:tcPr>
            <w:tcW w:w="2336" w:type="dxa"/>
            <w:shd w:val="clear" w:color="auto" w:fill="auto"/>
            <w:vAlign w:val="center"/>
          </w:tcPr>
          <w:p w14:paraId="5132AE2D">
            <w:pPr>
              <w:pStyle w:val="180"/>
              <w:rPr>
                <w:rFonts w:ascii="Times New Roman"/>
              </w:rPr>
            </w:pPr>
            <w:r>
              <w:rPr>
                <w:rFonts w:ascii="Times New Roman"/>
              </w:rPr>
              <w:t>100</w:t>
            </w:r>
          </w:p>
        </w:tc>
        <w:tc>
          <w:tcPr>
            <w:tcW w:w="2336" w:type="dxa"/>
            <w:shd w:val="clear" w:color="auto" w:fill="auto"/>
            <w:vAlign w:val="center"/>
          </w:tcPr>
          <w:p w14:paraId="2050C56C">
            <w:pPr>
              <w:pStyle w:val="180"/>
              <w:rPr>
                <w:rFonts w:ascii="Times New Roman"/>
              </w:rPr>
            </w:pPr>
            <w:r>
              <w:rPr>
                <w:rFonts w:ascii="Times New Roman"/>
              </w:rPr>
              <w:t>1</w:t>
            </w:r>
          </w:p>
        </w:tc>
      </w:tr>
      <w:tr w14:paraId="19B25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3D217B5B">
            <w:pPr>
              <w:pStyle w:val="180"/>
              <w:rPr>
                <w:rFonts w:ascii="Times New Roman"/>
              </w:rPr>
            </w:pPr>
            <w:r>
              <w:rPr>
                <w:rFonts w:ascii="Times New Roman"/>
              </w:rPr>
              <w:t>Ⅲ</w:t>
            </w:r>
          </w:p>
        </w:tc>
        <w:tc>
          <w:tcPr>
            <w:tcW w:w="2336" w:type="dxa"/>
            <w:shd w:val="clear" w:color="auto" w:fill="auto"/>
            <w:vAlign w:val="center"/>
          </w:tcPr>
          <w:p w14:paraId="48861AD0">
            <w:pPr>
              <w:pStyle w:val="180"/>
              <w:rPr>
                <w:rFonts w:ascii="Times New Roman"/>
              </w:rPr>
            </w:pPr>
            <w:r>
              <w:rPr>
                <w:rFonts w:ascii="Times New Roman"/>
              </w:rPr>
              <w:t>中型</w:t>
            </w:r>
          </w:p>
        </w:tc>
        <w:tc>
          <w:tcPr>
            <w:tcW w:w="2336" w:type="dxa"/>
            <w:shd w:val="clear" w:color="auto" w:fill="auto"/>
            <w:vAlign w:val="center"/>
          </w:tcPr>
          <w:p w14:paraId="5BBF85B6">
            <w:pPr>
              <w:pStyle w:val="180"/>
              <w:rPr>
                <w:rFonts w:ascii="Times New Roman"/>
              </w:rPr>
            </w:pPr>
            <w:r>
              <w:rPr>
                <w:rFonts w:ascii="Times New Roman"/>
              </w:rPr>
              <w:t>50</w:t>
            </w:r>
          </w:p>
        </w:tc>
        <w:tc>
          <w:tcPr>
            <w:tcW w:w="2336" w:type="dxa"/>
            <w:shd w:val="clear" w:color="auto" w:fill="auto"/>
            <w:vAlign w:val="center"/>
          </w:tcPr>
          <w:p w14:paraId="5D798363">
            <w:pPr>
              <w:pStyle w:val="180"/>
              <w:rPr>
                <w:rFonts w:ascii="Times New Roman"/>
              </w:rPr>
            </w:pPr>
            <w:r>
              <w:rPr>
                <w:rFonts w:ascii="Times New Roman"/>
              </w:rPr>
              <w:t>2</w:t>
            </w:r>
          </w:p>
        </w:tc>
      </w:tr>
      <w:tr w14:paraId="29AFC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6A07DF57">
            <w:pPr>
              <w:pStyle w:val="180"/>
              <w:rPr>
                <w:rFonts w:ascii="Times New Roman"/>
              </w:rPr>
            </w:pPr>
            <w:r>
              <w:rPr>
                <w:rFonts w:ascii="Times New Roman"/>
              </w:rPr>
              <w:t>Ⅳ</w:t>
            </w:r>
          </w:p>
        </w:tc>
        <w:tc>
          <w:tcPr>
            <w:tcW w:w="2336" w:type="dxa"/>
            <w:shd w:val="clear" w:color="auto" w:fill="auto"/>
            <w:vAlign w:val="center"/>
          </w:tcPr>
          <w:p w14:paraId="4B0FEA44">
            <w:pPr>
              <w:pStyle w:val="180"/>
              <w:rPr>
                <w:rFonts w:ascii="Times New Roman"/>
              </w:rPr>
            </w:pPr>
            <w:r>
              <w:rPr>
                <w:rFonts w:ascii="Times New Roman"/>
              </w:rPr>
              <w:t>小（1）型</w:t>
            </w:r>
          </w:p>
        </w:tc>
        <w:tc>
          <w:tcPr>
            <w:tcW w:w="2336" w:type="dxa"/>
            <w:shd w:val="clear" w:color="auto" w:fill="auto"/>
            <w:vAlign w:val="center"/>
          </w:tcPr>
          <w:p w14:paraId="3C9B0E7E">
            <w:pPr>
              <w:pStyle w:val="180"/>
              <w:rPr>
                <w:rFonts w:ascii="Times New Roman"/>
              </w:rPr>
            </w:pPr>
            <w:r>
              <w:rPr>
                <w:rFonts w:ascii="Times New Roman"/>
              </w:rPr>
              <w:t>50</w:t>
            </w:r>
          </w:p>
        </w:tc>
        <w:tc>
          <w:tcPr>
            <w:tcW w:w="2336" w:type="dxa"/>
            <w:shd w:val="clear" w:color="auto" w:fill="auto"/>
            <w:vAlign w:val="center"/>
          </w:tcPr>
          <w:p w14:paraId="2387BECF">
            <w:pPr>
              <w:pStyle w:val="180"/>
              <w:rPr>
                <w:rFonts w:ascii="Times New Roman"/>
              </w:rPr>
            </w:pPr>
            <w:r>
              <w:rPr>
                <w:rFonts w:ascii="Times New Roman"/>
              </w:rPr>
              <w:t>2</w:t>
            </w:r>
          </w:p>
        </w:tc>
      </w:tr>
      <w:tr w14:paraId="539EA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57523796">
            <w:pPr>
              <w:pStyle w:val="180"/>
              <w:rPr>
                <w:rFonts w:ascii="Times New Roman"/>
              </w:rPr>
            </w:pPr>
            <w:r>
              <w:rPr>
                <w:rFonts w:ascii="Times New Roman"/>
              </w:rPr>
              <w:t>Ⅴ</w:t>
            </w:r>
          </w:p>
        </w:tc>
        <w:tc>
          <w:tcPr>
            <w:tcW w:w="2336" w:type="dxa"/>
            <w:shd w:val="clear" w:color="auto" w:fill="auto"/>
            <w:vAlign w:val="center"/>
          </w:tcPr>
          <w:p w14:paraId="082B58C7">
            <w:pPr>
              <w:pStyle w:val="180"/>
              <w:rPr>
                <w:rFonts w:ascii="Times New Roman"/>
              </w:rPr>
            </w:pPr>
            <w:r>
              <w:rPr>
                <w:rFonts w:ascii="Times New Roman"/>
              </w:rPr>
              <w:t>小（2）型</w:t>
            </w:r>
          </w:p>
        </w:tc>
        <w:tc>
          <w:tcPr>
            <w:tcW w:w="2336" w:type="dxa"/>
            <w:shd w:val="clear" w:color="auto" w:fill="auto"/>
            <w:vAlign w:val="center"/>
          </w:tcPr>
          <w:p w14:paraId="01F97143">
            <w:pPr>
              <w:pStyle w:val="180"/>
              <w:rPr>
                <w:rFonts w:ascii="Times New Roman"/>
              </w:rPr>
            </w:pPr>
            <w:r>
              <w:rPr>
                <w:rFonts w:ascii="Times New Roman"/>
              </w:rPr>
              <w:t>50</w:t>
            </w:r>
          </w:p>
        </w:tc>
        <w:tc>
          <w:tcPr>
            <w:tcW w:w="2336" w:type="dxa"/>
            <w:shd w:val="clear" w:color="auto" w:fill="auto"/>
            <w:vAlign w:val="center"/>
          </w:tcPr>
          <w:p w14:paraId="597AB5D6">
            <w:pPr>
              <w:pStyle w:val="180"/>
              <w:rPr>
                <w:rFonts w:ascii="Times New Roman"/>
              </w:rPr>
            </w:pPr>
            <w:r>
              <w:rPr>
                <w:rFonts w:ascii="Times New Roman"/>
              </w:rPr>
              <w:t>2</w:t>
            </w:r>
          </w:p>
        </w:tc>
      </w:tr>
    </w:tbl>
    <w:p w14:paraId="08E55D98">
      <w:pPr>
        <w:pStyle w:val="80"/>
        <w:spacing w:before="156" w:after="156"/>
        <w:rPr>
          <w:rFonts w:ascii="Times New Roman"/>
        </w:rPr>
      </w:pPr>
      <w:bookmarkStart w:id="160" w:name="_Toc179674314"/>
      <w:bookmarkStart w:id="161" w:name="_Toc192077521"/>
      <w:bookmarkStart w:id="162" w:name="_Toc203399479"/>
      <w:bookmarkStart w:id="163" w:name="_Toc203399083"/>
      <w:r>
        <w:rPr>
          <w:rFonts w:ascii="Times New Roman"/>
        </w:rPr>
        <w:t>土壤保持服务核算主要参数</w:t>
      </w:r>
      <w:bookmarkEnd w:id="160"/>
      <w:bookmarkEnd w:id="161"/>
      <w:bookmarkEnd w:id="162"/>
      <w:bookmarkEnd w:id="163"/>
    </w:p>
    <w:p w14:paraId="62443934">
      <w:pPr>
        <w:pStyle w:val="81"/>
        <w:spacing w:before="156" w:after="156"/>
        <w:rPr>
          <w:rFonts w:ascii="Times New Roman"/>
        </w:rPr>
      </w:pPr>
      <w:bookmarkStart w:id="164" w:name="_Toc179674315"/>
      <w:r>
        <w:rPr>
          <w:rFonts w:ascii="Times New Roman"/>
        </w:rPr>
        <w:t>降雨侵蚀因子</w:t>
      </w:r>
      <w:bookmarkEnd w:id="164"/>
    </w:p>
    <w:p w14:paraId="6E536770">
      <w:pPr>
        <w:pStyle w:val="215"/>
        <w:rPr>
          <w:rFonts w:ascii="Times New Roman"/>
        </w:rPr>
      </w:pPr>
      <w:r>
        <w:rPr>
          <w:rFonts w:ascii="Times New Roman"/>
        </w:rPr>
        <w:t>测算降雨侵蚀因子，可使用基于逐日降雨量的计算模式和基于月降雨的计算模型，宜优先采用基于逐日降雨量的计算模型。</w:t>
      </w:r>
    </w:p>
    <w:p w14:paraId="10B434F1">
      <w:pPr>
        <w:pStyle w:val="215"/>
        <w:rPr>
          <w:rFonts w:ascii="Times New Roman"/>
        </w:rPr>
      </w:pPr>
      <w:r>
        <w:rPr>
          <w:rFonts w:ascii="Times New Roman"/>
        </w:rPr>
        <w:t>基于逐日降雨和半月累计量的计算模型，按照公式（C.1</w:t>
      </w:r>
      <w:r>
        <w:rPr>
          <w:rFonts w:hint="eastAsia" w:ascii="Times New Roman"/>
        </w:rPr>
        <w:t>2</w:t>
      </w:r>
      <w:r>
        <w:rPr>
          <w:rFonts w:ascii="Times New Roman"/>
        </w:rPr>
        <w:t>）（C.1</w:t>
      </w:r>
      <w:r>
        <w:rPr>
          <w:rFonts w:hint="eastAsia" w:ascii="Times New Roman"/>
        </w:rPr>
        <w:t>3</w:t>
      </w:r>
      <w:r>
        <w:rPr>
          <w:rFonts w:ascii="Times New Roman"/>
        </w:rPr>
        <w:t>）（C.1</w:t>
      </w:r>
      <w:r>
        <w:rPr>
          <w:rFonts w:hint="eastAsia" w:ascii="Times New Roman"/>
        </w:rPr>
        <w:t>4</w:t>
      </w:r>
      <w:r>
        <w:rPr>
          <w:rFonts w:ascii="Times New Roman"/>
        </w:rPr>
        <w:t>）计算。</w:t>
      </w:r>
    </w:p>
    <w:p w14:paraId="6C5FC1C3">
      <w:pPr>
        <w:pStyle w:val="115"/>
        <w:rPr>
          <w:rFonts w:ascii="Times New Roman" w:hAnsi="Times New Roman"/>
        </w:rPr>
      </w:pPr>
      <w:r>
        <w:rPr>
          <w:rFonts w:ascii="Times New Roman" w:hAnsi="Times New Roman"/>
        </w:rPr>
        <w:tab/>
      </w:r>
      <m:oMath>
        <m:r>
          <m:rPr/>
          <w:rPr>
            <w:rFonts w:ascii="Cambria Math" w:hAnsi="Cambria Math"/>
          </w:rPr>
          <m:t>R=</m:t>
        </m:r>
        <m:nary>
          <m:naryPr>
            <m:chr m:val="∑"/>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24</m:t>
            </m:r>
            <m:ctrlPr>
              <w:rPr>
                <w:rFonts w:ascii="Cambria Math" w:hAnsi="Cambria Math"/>
                <w:i/>
                <w:iCs/>
              </w:rPr>
            </m:ctrlPr>
          </m:sup>
          <m:e>
            <m:sSub>
              <m:sSubPr>
                <m:ctrlPr>
                  <w:rPr>
                    <w:rFonts w:ascii="Cambria Math" w:hAnsi="Cambria Math"/>
                    <w:i/>
                    <w:iCs/>
                  </w:rPr>
                </m:ctrlPr>
              </m:sSubPr>
              <m:e>
                <m:r>
                  <m:rPr/>
                  <w:rPr>
                    <w:rFonts w:ascii="Cambria Math" w:hAnsi="Cambria Math"/>
                  </w:rPr>
                  <m:t>R</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e>
        </m:nary>
        <m:r>
          <m:rPr/>
          <w:rPr>
            <w:rFonts w:ascii="Cambria Math" w:hAnsi="Cambria Math"/>
          </w:rPr>
          <m:t> </m:t>
        </m:r>
      </m:oMath>
      <w:r>
        <w:rPr>
          <w:rFonts w:ascii="Times New Roman" w:hAnsi="Times New Roman" w:eastAsia="微软雅黑"/>
        </w:rPr>
        <w:tab/>
      </w:r>
      <w:r>
        <w:rPr>
          <w:rFonts w:ascii="Times New Roman" w:hAnsi="Times New Roman"/>
        </w:rPr>
        <w:t>(C.</w:t>
      </w:r>
      <w:r>
        <w:rPr>
          <w:rFonts w:hint="eastAsia" w:ascii="Times New Roman" w:hAnsi="Times New Roman"/>
        </w:rPr>
        <w:t>12</w:t>
      </w:r>
      <w:r>
        <w:rPr>
          <w:rFonts w:ascii="Times New Roman" w:hAnsi="Times New Roman"/>
        </w:rPr>
        <w:t>)</w:t>
      </w:r>
    </w:p>
    <w:p w14:paraId="3099493B">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=α×</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k</m:t>
            </m:r>
            <m:ctrlPr>
              <w:rPr>
                <w:rFonts w:ascii="Cambria Math" w:hAnsi="Cambria Math"/>
                <w:i/>
              </w:rPr>
            </m:ctrlPr>
          </m:sup>
          <m:e>
            <m:sSubSup>
              <m:sSubSupPr>
                <m:ctrlPr>
                  <w:rPr>
                    <w:rFonts w:ascii="Cambria Math" w:hAnsi="Cambria Math"/>
                    <w:i/>
                  </w:rPr>
                </m:ctrlPr>
              </m:sSubSupPr>
              <m:e>
                <m:r>
                  <m:rPr/>
                  <w:rPr>
                    <w:rFonts w:ascii="Cambria Math" w:hAnsi="Cambria Math"/>
                  </w:rPr>
                  <m:t>D</m:t>
                </m:r>
                <m:ctrlPr>
                  <w:rPr>
                    <w:rFonts w:ascii="Cambria Math" w:hAnsi="Cambria Math"/>
                    <w:i/>
                  </w:rPr>
                </m:ctrlPr>
              </m:e>
              <m:sub>
                <m:r>
                  <m:rPr/>
                  <w:rPr>
                    <w:rFonts w:ascii="Cambria Math" w:hAnsi="Cambria Math"/>
                  </w:rPr>
                  <m:t>j</m:t>
                </m:r>
                <m:ctrlPr>
                  <w:rPr>
                    <w:rFonts w:ascii="Cambria Math" w:hAnsi="Cambria Math"/>
                    <w:i/>
                  </w:rPr>
                </m:ctrlPr>
              </m:sub>
              <m:sup>
                <m:r>
                  <m:rPr/>
                  <w:rPr>
                    <w:rFonts w:ascii="Cambria Math" w:hAnsi="Cambria Math"/>
                  </w:rPr>
                  <m:t>1.7265</m:t>
                </m:r>
                <m:ctrlPr>
                  <w:rPr>
                    <w:rFonts w:ascii="Cambria Math" w:hAnsi="Cambria Math"/>
                    <w:i/>
                  </w:rPr>
                </m:ctrlPr>
              </m:sup>
            </m:sSubSup>
            <m:ctrlPr>
              <w:rPr>
                <w:rFonts w:ascii="Cambria Math" w:hAnsi="Cambria Math"/>
                <w:i/>
              </w:rPr>
            </m:ctrlPr>
          </m:e>
        </m:nary>
        <m:r>
          <m:rPr/>
          <w:rPr>
            <w:rFonts w:ascii="Cambria Math" w:hAnsi="Cambria Math"/>
          </w:rPr>
          <m:t xml:space="preserve"> </m:t>
        </m:r>
      </m:oMath>
      <w:r>
        <w:rPr>
          <w:rFonts w:ascii="Times New Roman" w:hAnsi="Times New Roman" w:eastAsia="微软雅黑"/>
        </w:rPr>
        <w:tab/>
      </w:r>
      <w:r>
        <w:rPr>
          <w:rFonts w:ascii="Times New Roman" w:hAnsi="Times New Roman"/>
        </w:rPr>
        <w:t>(C.</w:t>
      </w:r>
      <w:r>
        <w:rPr>
          <w:rFonts w:hint="eastAsia" w:ascii="Times New Roman" w:hAnsi="Times New Roman"/>
        </w:rPr>
        <w:t>13</w:t>
      </w:r>
      <w:r>
        <w:rPr>
          <w:rFonts w:ascii="Times New Roman" w:hAnsi="Times New Roman"/>
        </w:rPr>
        <w:t>)</w:t>
      </w:r>
    </w:p>
    <w:p w14:paraId="039B2BC9">
      <w:pPr>
        <w:pStyle w:val="115"/>
        <w:rPr>
          <w:rFonts w:ascii="Times New Roman" w:hAnsi="Times New Roman"/>
        </w:rPr>
      </w:pPr>
      <w:r>
        <w:rPr>
          <w:rFonts w:ascii="Times New Roman" w:hAnsi="Times New Roman"/>
        </w:rPr>
        <w:tab/>
      </w:r>
      <m:oMath>
        <m:r>
          <m:rPr>
            <m:sty m:val="p"/>
          </m:rPr>
          <w:rPr>
            <w:rFonts w:ascii="Cambria Math" w:hAnsi="Cambria Math"/>
          </w:rPr>
          <m:t>α=</m:t>
        </m:r>
        <m:d>
          <m:dPr>
            <m:begChr m:val="{"/>
            <m:endChr m:val=""/>
            <m:ctrlPr>
              <w:rPr>
                <w:rFonts w:ascii="Cambria Math" w:hAnsi="Cambria Math"/>
              </w:rPr>
            </m:ctrlPr>
          </m:dPr>
          <m:e>
            <m:m>
              <m:mPr>
                <m:mcs>
                  <m:mc>
                    <m:mcPr>
                      <m:count m:val="2"/>
                      <m:mcJc m:val="center"/>
                    </m:mcPr>
                  </m:mc>
                </m:mcs>
                <m:ctrlPr>
                  <w:rPr>
                    <w:rFonts w:ascii="Cambria Math" w:hAnsi="Cambria Math"/>
                    <w:i/>
                  </w:rPr>
                </m:ctrlPr>
              </m:mPr>
              <m:mr>
                <m:e>
                  <m:r>
                    <m:rPr>
                      <m:sty m:val="p"/>
                    </m:rPr>
                    <w:rPr>
                      <w:rFonts w:ascii="Cambria Math" w:hAnsi="Cambria Math"/>
                    </w:rPr>
                    <m:t>0.3937</m:t>
                  </m:r>
                  <m:ctrlPr>
                    <w:rPr>
                      <w:rFonts w:ascii="Cambria Math" w:hAnsi="Cambria Math"/>
                      <w:i/>
                    </w:rPr>
                  </m:ctrlPr>
                </m:e>
                <m:e>
                  <m:r>
                    <m:rPr/>
                    <w:rPr>
                      <w:rFonts w:ascii="Cambria Math" w:hAnsi="Cambria Math"/>
                    </w:rPr>
                    <m:t>8&lt;i≤18</m:t>
                  </m:r>
                  <m:ctrlPr>
                    <w:rPr>
                      <w:rFonts w:ascii="Cambria Math" w:hAnsi="Cambria Math"/>
                      <w:i/>
                    </w:rPr>
                  </m:ctrlPr>
                </m:e>
              </m:mr>
              <m:mr>
                <m:e>
                  <m:r>
                    <m:rPr>
                      <m:sty m:val="p"/>
                    </m:rPr>
                    <w:rPr>
                      <w:rFonts w:ascii="Cambria Math" w:hAnsi="Cambria Math"/>
                    </w:rPr>
                    <m:t>0.3101</m:t>
                  </m:r>
                  <m:ctrlPr>
                    <w:rPr>
                      <w:rFonts w:ascii="Cambria Math" w:hAnsi="Cambria Math"/>
                      <w:i/>
                    </w:rPr>
                  </m:ctrlPr>
                </m:e>
                <m:e>
                  <m:r>
                    <m:rPr/>
                    <w:rPr>
                      <w:rFonts w:ascii="Cambria Math" w:hAnsi="Cambria Math"/>
                    </w:rPr>
                    <m:t>1≤i≤8 or 18&lt;i≤24</m:t>
                  </m:r>
                  <m:ctrlPr>
                    <w:rPr>
                      <w:rFonts w:ascii="Cambria Math" w:hAnsi="Cambria Math"/>
                      <w:i/>
                    </w:rPr>
                  </m:ctrlPr>
                </m:e>
              </m:mr>
            </m:m>
            <m:ctrlPr>
              <w:rPr>
                <w:rFonts w:ascii="Cambria Math" w:hAnsi="Cambria Math"/>
              </w:rPr>
            </m:ctrlPr>
          </m:e>
        </m:d>
      </m:oMath>
      <w:r>
        <w:rPr>
          <w:rFonts w:ascii="Times New Roman" w:hAnsi="Times New Roman" w:eastAsia="微软雅黑"/>
        </w:rPr>
        <w:tab/>
      </w:r>
      <w:r>
        <w:rPr>
          <w:rFonts w:ascii="Times New Roman" w:hAnsi="Times New Roman"/>
        </w:rPr>
        <w:t>(C.</w:t>
      </w:r>
      <w:r>
        <w:rPr>
          <w:rFonts w:hint="eastAsia" w:ascii="Times New Roman" w:hAnsi="Times New Roman"/>
        </w:rPr>
        <w:t>14</w:t>
      </w:r>
      <w:r>
        <w:rPr>
          <w:rFonts w:ascii="Times New Roman" w:hAnsi="Times New Roman"/>
        </w:rPr>
        <w:t>)</w:t>
      </w:r>
    </w:p>
    <w:p w14:paraId="72EB7F34">
      <w:pPr>
        <w:pStyle w:val="57"/>
        <w:ind w:firstLine="420"/>
        <w:rPr>
          <w:rFonts w:ascii="Times New Roman" w:hAnsi="Times New Roman"/>
        </w:rPr>
      </w:pPr>
      <w:r>
        <w:rPr>
          <w:rFonts w:ascii="Times New Roman" w:hAnsi="Times New Roman"/>
        </w:rPr>
        <w:t>式中：</w:t>
      </w:r>
    </w:p>
    <w:p w14:paraId="4F7BEF24">
      <w:pPr>
        <w:pStyle w:val="58"/>
        <w:ind w:firstLine="420"/>
        <w:rPr>
          <w:rFonts w:ascii="Times New Roman"/>
        </w:rPr>
      </w:pPr>
      <m:oMath>
        <m:r>
          <m:rPr/>
          <w:rPr>
            <w:rFonts w:ascii="Cambria Math" w:hAnsi="Cambria Math"/>
          </w:rPr>
          <m:t>R</m:t>
        </m:r>
      </m:oMath>
      <w:r>
        <w:rPr>
          <w:rFonts w:ascii="Times New Roman"/>
        </w:rPr>
        <w:t>——降雨侵蚀力值，单位：MJ·mm/（hm</w:t>
      </w:r>
      <w:r>
        <w:rPr>
          <w:rFonts w:ascii="Times New Roman"/>
          <w:position w:val="7"/>
          <w:sz w:val="14"/>
        </w:rPr>
        <w:t>2</w:t>
      </w:r>
      <w:r>
        <w:rPr>
          <w:rFonts w:ascii="Times New Roman"/>
        </w:rPr>
        <w:t>·h·a）；</w:t>
      </w:r>
    </w:p>
    <w:p w14:paraId="60921EA7">
      <w:pPr>
        <w:pStyle w:val="58"/>
        <w:ind w:firstLine="420"/>
        <w:rPr>
          <w:rFonts w:ascii="Times New Roman"/>
        </w:rPr>
      </w:p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——某半月时段的降雨侵蚀力值，单位：MJ·mm/（hm</w:t>
      </w:r>
      <w:r>
        <w:rPr>
          <w:rFonts w:ascii="Times New Roman"/>
          <w:position w:val="7"/>
          <w:sz w:val="14"/>
        </w:rPr>
        <w:t>2</w:t>
      </w:r>
      <w:r>
        <w:rPr>
          <w:rFonts w:ascii="Times New Roman"/>
        </w:rPr>
        <w:t>·h·a）；</w:t>
      </w:r>
    </w:p>
    <w:p w14:paraId="60AEE00E">
      <w:pPr>
        <w:pStyle w:val="58"/>
        <w:ind w:firstLine="420"/>
        <w:rPr>
          <w:rFonts w:ascii="Times New Roman" w:eastAsia="Cambria Math"/>
        </w:rPr>
      </w:pP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j</m:t>
            </m:r>
            <m:ctrlPr>
              <w:rPr>
                <w:rFonts w:ascii="Cambria Math" w:hAnsi="Cambria Math"/>
                <w:i/>
              </w:rPr>
            </m:ctrlPr>
          </m:sub>
        </m:sSub>
      </m:oMath>
      <w:r>
        <w:rPr>
          <w:rFonts w:ascii="Times New Roman" w:eastAsia="Cambria Math"/>
        </w:rPr>
        <w:t>——</w:t>
      </w:r>
      <w:r>
        <w:rPr>
          <w:rFonts w:ascii="Times New Roman"/>
        </w:rPr>
        <w:t>半月时段内第</w:t>
      </w:r>
      <m:oMath>
        <m:r>
          <m:rPr/>
          <w:rPr>
            <w:rFonts w:ascii="Cambria Math" w:hAnsi="Cambria Math"/>
          </w:rPr>
          <m:t>j</m:t>
        </m:r>
      </m:oMath>
      <w:r>
        <w:rPr>
          <w:rFonts w:ascii="Times New Roman"/>
        </w:rPr>
        <w:t>天的侵蚀性日雨量，要求日雨量大于等于</w:t>
      </w:r>
      <w:r>
        <w:rPr>
          <w:rFonts w:ascii="Times New Roman" w:eastAsia="Cambria Math"/>
        </w:rPr>
        <w:t>1</w:t>
      </w:r>
      <w:r>
        <w:rPr>
          <w:rFonts w:ascii="Times New Roman" w:eastAsiaTheme="minorEastAsia"/>
        </w:rPr>
        <w:t>0mm</w:t>
      </w:r>
      <w:r>
        <w:rPr>
          <w:rFonts w:ascii="Times New Roman"/>
        </w:rPr>
        <w:t>，否则以</w:t>
      </w:r>
      <w:r>
        <w:rPr>
          <w:rFonts w:ascii="Times New Roman" w:eastAsia="Cambria Math"/>
        </w:rPr>
        <w:t>0</w:t>
      </w:r>
      <w:r>
        <w:rPr>
          <w:rFonts w:ascii="Times New Roman"/>
        </w:rPr>
        <w:t>计算，单位：</w:t>
      </w:r>
      <w:r>
        <w:rPr>
          <w:rFonts w:ascii="Times New Roman" w:eastAsia="Cambria Math"/>
        </w:rPr>
        <w:t>mm</w:t>
      </w:r>
      <w:r>
        <w:rPr>
          <w:rFonts w:ascii="Times New Roman"/>
        </w:rPr>
        <w:t>；</w:t>
      </w:r>
    </w:p>
    <w:p w14:paraId="2FD66ECD">
      <w:pPr>
        <w:pStyle w:val="58"/>
        <w:ind w:firstLine="420"/>
        <w:rPr>
          <w:rFonts w:ascii="Times New Roman"/>
        </w:rPr>
      </w:pPr>
      <m:oMath>
        <m:r>
          <m:rPr/>
          <w:rPr>
            <w:rFonts w:ascii="Cambria Math" w:hAnsi="Cambria Math"/>
          </w:rPr>
          <m:t>k</m:t>
        </m:r>
      </m:oMath>
      <w:r>
        <w:rPr>
          <w:rFonts w:ascii="Times New Roman"/>
        </w:rPr>
        <w:t>——半月时段内的天数，半月时段的划分以每月第15日为界，每月前15天作为一个半月时段，该月剩下部分作为另一个半月时段，将全年依次划分为24个时段；</w:t>
      </w:r>
    </w:p>
    <w:p w14:paraId="50656FA9">
      <w:pPr>
        <w:pStyle w:val="58"/>
        <w:ind w:firstLine="420"/>
        <w:rPr>
          <w:rFonts w:ascii="Times New Roman"/>
        </w:rPr>
      </w:pPr>
      <m:oMath>
        <m:r>
          <m:rPr/>
          <w:rPr>
            <w:rFonts w:ascii="Cambria Math" w:hAnsi="Cambria Math"/>
          </w:rPr>
          <m:t>α</m:t>
        </m:r>
      </m:oMath>
      <w:r>
        <w:rPr>
          <w:rFonts w:ascii="Times New Roman"/>
        </w:rPr>
        <w:t>——模型待定参数；</w:t>
      </w:r>
    </w:p>
    <w:p w14:paraId="5E798148">
      <w:pPr>
        <w:pStyle w:val="58"/>
        <w:ind w:firstLine="420"/>
        <w:rPr>
          <w:rFonts w:ascii="Times New Roman"/>
        </w:rPr>
      </w:pPr>
      <m:oMath>
        <m:r>
          <m:rPr/>
          <w:rPr>
            <w:rFonts w:ascii="Cambria Math" w:hAnsi="Cambria Math"/>
          </w:rPr>
          <m:t>i</m:t>
        </m:r>
      </m:oMath>
      <w:r>
        <w:rPr>
          <w:rFonts w:ascii="Times New Roman"/>
        </w:rPr>
        <w:t>——半月。</w:t>
      </w:r>
    </w:p>
    <w:p w14:paraId="76618DA8">
      <w:pPr>
        <w:pStyle w:val="215"/>
        <w:rPr>
          <w:rFonts w:ascii="Times New Roman"/>
        </w:rPr>
      </w:pPr>
      <w:r>
        <w:rPr>
          <w:rFonts w:ascii="Times New Roman"/>
        </w:rPr>
        <w:t>基于月降雨量的计算模型，按照公式（C.1</w:t>
      </w:r>
      <w:r>
        <w:rPr>
          <w:rFonts w:hint="eastAsia" w:ascii="Times New Roman"/>
        </w:rPr>
        <w:t>5</w:t>
      </w:r>
      <w:r>
        <w:rPr>
          <w:rFonts w:ascii="Times New Roman"/>
        </w:rPr>
        <w:t>）计算。</w:t>
      </w:r>
    </w:p>
    <w:p w14:paraId="17845275">
      <w:pPr>
        <w:pStyle w:val="115"/>
        <w:rPr>
          <w:rFonts w:ascii="Times New Roman" w:hAnsi="Times New Roman"/>
        </w:rPr>
      </w:pPr>
      <w:r>
        <w:rPr>
          <w:rFonts w:ascii="Times New Roman" w:hAnsi="Times New Roman"/>
        </w:rPr>
        <w:tab/>
      </w:r>
      <m:oMath>
        <m:r>
          <m:rPr/>
          <w:rPr>
            <w:rFonts w:ascii="Cambria Math" w:hAnsi="Cambria Math"/>
          </w:rPr>
          <m:t>R=5.249×</m:t>
        </m:r>
        <m:sSup>
          <m:sSupPr>
            <m:ctrlPr>
              <w:rPr>
                <w:rFonts w:ascii="Cambria Math" w:hAnsi="Cambria Math"/>
                <w:i/>
                <w:iCs/>
              </w:rPr>
            </m:ctrlPr>
          </m:sSupPr>
          <m:e>
            <m:d>
              <m:dPr>
                <m:ctrlPr>
                  <w:rPr>
                    <w:rFonts w:ascii="Cambria Math" w:hAnsi="Cambria Math"/>
                    <w:i/>
                    <w:iCs/>
                  </w:rPr>
                </m:ctrlPr>
              </m:dPr>
              <m:e>
                <m:nary>
                  <m:naryPr>
                    <m:chr m:val="∑"/>
                    <m:limLoc m:val="undOvr"/>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12</m:t>
                    </m:r>
                    <m:ctrlPr>
                      <w:rPr>
                        <w:rFonts w:ascii="Cambria Math" w:hAnsi="Cambria Math"/>
                        <w:i/>
                        <w:iCs/>
                      </w:rPr>
                    </m:ctrlPr>
                  </m:sup>
                  <m:e>
                    <m:d>
                      <m:dPr>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P</m:t>
                                </m:r>
                                <m:ctrlPr>
                                  <w:rPr>
                                    <w:rFonts w:ascii="Cambria Math" w:hAnsi="Cambria Math"/>
                                    <w:i/>
                                    <w:iCs/>
                                  </w:rPr>
                                </m:ctrlPr>
                              </m:e>
                              <m:sub>
                                <m:r>
                                  <m:rPr/>
                                  <w:rPr>
                                    <w:rFonts w:ascii="Cambria Math" w:hAnsi="Cambria Math"/>
                                  </w:rPr>
                                  <m:t>j</m:t>
                                </m:r>
                                <m:ctrlPr>
                                  <w:rPr>
                                    <w:rFonts w:ascii="Cambria Math" w:hAnsi="Cambria Math"/>
                                    <w:i/>
                                    <w:iCs/>
                                  </w:rPr>
                                </m:ctrlPr>
                              </m:sub>
                              <m:sup>
                                <m:r>
                                  <m:rPr/>
                                  <w:rPr>
                                    <w:rFonts w:ascii="Cambria Math" w:hAnsi="Cambria Math"/>
                                  </w:rPr>
                                  <m:t>2</m:t>
                                </m:r>
                                <m:ctrlPr>
                                  <w:rPr>
                                    <w:rFonts w:ascii="Cambria Math" w:hAnsi="Cambria Math"/>
                                    <w:i/>
                                    <w:iCs/>
                                  </w:rPr>
                                </m:ctrlPr>
                              </m:sup>
                            </m:sSubSup>
                            <m:ctrlPr>
                              <w:rPr>
                                <w:rFonts w:ascii="Cambria Math" w:hAnsi="Cambria Math"/>
                                <w:i/>
                                <w:iCs/>
                              </w:rPr>
                            </m:ctrlPr>
                          </m:num>
                          <m:den>
                            <m:sSub>
                              <m:sSubPr>
                                <m:ctrlPr>
                                  <w:rPr>
                                    <w:rFonts w:ascii="Cambria Math" w:hAnsi="Cambria Math"/>
                                    <w:i/>
                                    <w:iCs/>
                                  </w:rPr>
                                </m:ctrlPr>
                              </m:sSubPr>
                              <m:e>
                                <m:r>
                                  <m:rPr/>
                                  <w:rPr>
                                    <w:rFonts w:ascii="Cambria Math" w:hAnsi="Cambria Math"/>
                                  </w:rPr>
                                  <m:t>P</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den>
                        </m:f>
                        <m:ctrlPr>
                          <w:rPr>
                            <w:rFonts w:ascii="Cambria Math" w:hAnsi="Cambria Math"/>
                            <w:i/>
                            <w:iCs/>
                          </w:rPr>
                        </m:ctrlPr>
                      </m:e>
                    </m:d>
                    <m:ctrlPr>
                      <w:rPr>
                        <w:rFonts w:ascii="Cambria Math" w:hAnsi="Cambria Math"/>
                        <w:i/>
                        <w:iCs/>
                      </w:rPr>
                    </m:ctrlPr>
                  </m:e>
                </m:nary>
                <m:ctrlPr>
                  <w:rPr>
                    <w:rFonts w:ascii="Cambria Math" w:hAnsi="Cambria Math"/>
                    <w:i/>
                    <w:iCs/>
                  </w:rPr>
                </m:ctrlPr>
              </m:e>
            </m:d>
            <m:ctrlPr>
              <w:rPr>
                <w:rFonts w:ascii="Cambria Math" w:hAnsi="Cambria Math"/>
                <w:i/>
                <w:iCs/>
              </w:rPr>
            </m:ctrlPr>
          </m:e>
          <m:sup>
            <m:r>
              <m:rPr/>
              <w:rPr>
                <w:rFonts w:ascii="Cambria Math" w:hAnsi="Cambria Math"/>
              </w:rPr>
              <m:t>1.205</m:t>
            </m:r>
            <m:ctrlPr>
              <w:rPr>
                <w:rFonts w:ascii="Cambria Math" w:hAnsi="Cambria Math"/>
                <w:i/>
                <w:iCs/>
              </w:rPr>
            </m:ctrlPr>
          </m:sup>
        </m:sSup>
        <m:r>
          <m:rPr/>
          <w:rPr>
            <w:rFonts w:ascii="Cambria Math" w:hAnsi="Cambria Math"/>
          </w:rPr>
          <m:t xml:space="preserve"> </m:t>
        </m:r>
      </m:oMath>
      <w:r>
        <w:rPr>
          <w:rFonts w:ascii="Times New Roman" w:hAnsi="Times New Roman" w:eastAsia="微软雅黑"/>
        </w:rPr>
        <w:tab/>
      </w:r>
      <w:r>
        <w:rPr>
          <w:rFonts w:ascii="Times New Roman" w:hAnsi="Times New Roman"/>
        </w:rPr>
        <w:t>(C.</w:t>
      </w:r>
      <w:r>
        <w:rPr>
          <w:rFonts w:hint="eastAsia" w:ascii="Times New Roman" w:hAnsi="Times New Roman"/>
        </w:rPr>
        <w:t>15</w:t>
      </w:r>
      <w:r>
        <w:rPr>
          <w:rFonts w:ascii="Times New Roman" w:hAnsi="Times New Roman"/>
        </w:rPr>
        <w:t>)</w:t>
      </w:r>
    </w:p>
    <w:p w14:paraId="4A5BFFAF">
      <w:pPr>
        <w:pStyle w:val="58"/>
        <w:ind w:firstLine="420"/>
        <w:rPr>
          <w:rFonts w:ascii="Times New Roman"/>
        </w:rPr>
      </w:pPr>
      <w:r>
        <w:rPr>
          <w:rFonts w:ascii="Times New Roman"/>
        </w:rPr>
        <w:t>式中：</w:t>
      </w:r>
    </w:p>
    <w:p w14:paraId="466CCAB8">
      <w:pPr>
        <w:pStyle w:val="58"/>
        <w:ind w:firstLine="420"/>
        <w:rPr>
          <w:rFonts w:ascii="Times New Roman"/>
        </w:rPr>
      </w:pPr>
      <m:oMath>
        <m:r>
          <m:rPr/>
          <w:rPr>
            <w:rFonts w:ascii="Cambria Math" w:hAnsi="Cambria Math"/>
          </w:rPr>
          <m:t>R</m:t>
        </m:r>
      </m:oMath>
      <w:r>
        <w:rPr>
          <w:rFonts w:ascii="Times New Roman"/>
        </w:rPr>
        <w:t>——降雨侵蚀力值，单位为MJ·mm/（hm</w:t>
      </w:r>
      <w:r>
        <w:rPr>
          <w:rFonts w:ascii="Times New Roman"/>
          <w:vertAlign w:val="superscript"/>
        </w:rPr>
        <w:t>2</w:t>
      </w:r>
      <w:r>
        <w:rPr>
          <w:rFonts w:ascii="Times New Roman"/>
        </w:rPr>
        <w:t>·h·a）；</w:t>
      </w:r>
    </w:p>
    <w:p w14:paraId="56A9CF22">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rPr>
        <w:t>——年降雨量，单位：mm；</w:t>
      </w:r>
    </w:p>
    <w:p w14:paraId="4B7C2078">
      <w:pPr>
        <w:pStyle w:val="58"/>
        <w:ind w:firstLine="420"/>
        <w:rPr>
          <w:rFonts w:ascii="Times New Roman"/>
        </w:rPr>
      </w:pP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j</m:t>
            </m:r>
            <m:ctrlPr>
              <w:rPr>
                <w:rFonts w:ascii="Cambria Math" w:hAnsi="Cambria Math"/>
                <w:i/>
              </w:rPr>
            </m:ctrlPr>
          </m:sub>
        </m:sSub>
      </m:oMath>
      <w:r>
        <w:rPr>
          <w:rFonts w:ascii="Times New Roman"/>
        </w:rPr>
        <w:t>——月降雨量，单位：mm；</w:t>
      </w:r>
    </w:p>
    <w:p w14:paraId="73F6829E">
      <w:pPr>
        <w:pStyle w:val="58"/>
        <w:ind w:firstLine="420"/>
        <w:rPr>
          <w:rFonts w:ascii="Times New Roman"/>
        </w:rPr>
      </w:pPr>
      <m:oMath>
        <m:r>
          <m:rPr/>
          <w:rPr>
            <w:rFonts w:ascii="Cambria Math" w:hAnsi="Cambria Math"/>
          </w:rPr>
          <m:t>i</m:t>
        </m:r>
      </m:oMath>
      <w:r>
        <w:rPr>
          <w:rFonts w:ascii="Times New Roman"/>
        </w:rPr>
        <w:t>——月份。</w:t>
      </w:r>
    </w:p>
    <w:p w14:paraId="52FDDE3C">
      <w:pPr>
        <w:pStyle w:val="81"/>
        <w:spacing w:before="156" w:after="156"/>
        <w:rPr>
          <w:rFonts w:ascii="Times New Roman"/>
        </w:rPr>
      </w:pPr>
      <w:bookmarkStart w:id="165" w:name="_Toc179674316"/>
      <w:r>
        <w:rPr>
          <w:rFonts w:ascii="Times New Roman"/>
        </w:rPr>
        <w:t>土壤可蚀性因子</w:t>
      </w:r>
      <w:bookmarkEnd w:id="165"/>
    </w:p>
    <w:p w14:paraId="704380EE">
      <w:pPr>
        <w:pStyle w:val="215"/>
        <w:rPr>
          <w:rFonts w:ascii="Times New Roman"/>
        </w:rPr>
      </w:pPr>
      <w:r>
        <w:rPr>
          <w:rFonts w:ascii="Times New Roman"/>
        </w:rPr>
        <w:t>土壤可蚀性因子指降雨引发土壤侵蚀的潜在能力，用多年平均年降雨侵蚀力指数表示，按照公式（C.1</w:t>
      </w:r>
      <w:r>
        <w:rPr>
          <w:rFonts w:hint="eastAsia" w:ascii="Times New Roman"/>
        </w:rPr>
        <w:t>6</w:t>
      </w:r>
      <w:r>
        <w:rPr>
          <w:rFonts w:ascii="Times New Roman"/>
        </w:rPr>
        <w:t>）（C.1</w:t>
      </w:r>
      <w:r>
        <w:rPr>
          <w:rFonts w:hint="eastAsia" w:ascii="Times New Roman"/>
        </w:rPr>
        <w:t>7</w:t>
      </w:r>
      <w:r>
        <w:rPr>
          <w:rFonts w:ascii="Times New Roman"/>
        </w:rPr>
        <w:t>）计算。</w:t>
      </w:r>
    </w:p>
    <w:p w14:paraId="68B62232">
      <w:pPr>
        <w:pStyle w:val="115"/>
        <w:rPr>
          <w:rFonts w:ascii="Times New Roman" w:hAnsi="Times New Roman"/>
        </w:rPr>
      </w:pPr>
      <w:r>
        <w:rPr>
          <w:rFonts w:ascii="Times New Roman" w:hAnsi="Times New Roman"/>
        </w:rPr>
        <w:tab/>
      </w:r>
      <m:oMath>
        <m:f>
          <m:fPr>
            <m:type m:val="lin"/>
            <m:ctrlPr>
              <w:rPr>
                <w:rFonts w:ascii="Cambria Math" w:hAnsi="Cambria Math"/>
                <w:i/>
                <w:iCs/>
              </w:rPr>
            </m:ctrlPr>
          </m:fPr>
          <m:num>
            <m:r>
              <m:rPr/>
              <w:rPr>
                <w:rFonts w:ascii="Cambria Math" w:hAnsi="Cambria Math"/>
              </w:rPr>
              <m:t>K=</m:t>
            </m:r>
            <m:d>
              <m:dPr>
                <m:begChr m:val="["/>
                <m:endChr m:val="]"/>
                <m:ctrlPr>
                  <w:rPr>
                    <w:rFonts w:ascii="Cambria Math" w:hAnsi="Cambria Math"/>
                    <w:i/>
                    <w:iCs/>
                  </w:rPr>
                </m:ctrlPr>
              </m:dPr>
              <m:e>
                <m:r>
                  <m:rPr/>
                  <w:rPr>
                    <w:rFonts w:ascii="Cambria Math" w:hAnsi="Cambria Math"/>
                  </w:rPr>
                  <m:t>2.1×</m:t>
                </m:r>
                <m:sSup>
                  <m:sSupPr>
                    <m:ctrlPr>
                      <w:rPr>
                        <w:rFonts w:ascii="Cambria Math" w:hAnsi="Cambria Math"/>
                        <w:i/>
                        <w:iCs/>
                      </w:rPr>
                    </m:ctrlPr>
                  </m:sSupPr>
                  <m:e>
                    <m:r>
                      <m:rPr/>
                      <w:rPr>
                        <w:rFonts w:ascii="Cambria Math" w:hAnsi="Cambria Math"/>
                      </w:rPr>
                      <m:t>10</m:t>
                    </m:r>
                    <m:ctrlPr>
                      <w:rPr>
                        <w:rFonts w:ascii="Cambria Math" w:hAnsi="Cambria Math"/>
                        <w:i/>
                        <w:iCs/>
                      </w:rPr>
                    </m:ctrlPr>
                  </m:e>
                  <m:sup>
                    <m:r>
                      <m:rPr/>
                      <w:rPr>
                        <w:rFonts w:ascii="Cambria Math" w:hAnsi="Cambria Math"/>
                      </w:rPr>
                      <m:t>−4</m:t>
                    </m:r>
                    <m:ctrlPr>
                      <w:rPr>
                        <w:rFonts w:ascii="Cambria Math" w:hAnsi="Cambria Math"/>
                        <w:i/>
                        <w:iCs/>
                      </w:rPr>
                    </m:ctrlPr>
                  </m:sup>
                </m:sSup>
                <m:r>
                  <m:rPr/>
                  <w:rPr>
                    <w:rFonts w:ascii="Cambria Math" w:hAnsi="Cambria Math"/>
                  </w:rPr>
                  <m:t>×</m:t>
                </m:r>
                <m:d>
                  <m:dPr>
                    <m:ctrlPr>
                      <w:rPr>
                        <w:rFonts w:ascii="Cambria Math" w:hAnsi="Cambria Math"/>
                        <w:i/>
                        <w:iCs/>
                      </w:rPr>
                    </m:ctrlPr>
                  </m:dPr>
                  <m:e>
                    <m:r>
                      <m:rPr/>
                      <w:rPr>
                        <w:rFonts w:ascii="Cambria Math" w:hAnsi="Cambria Math"/>
                      </w:rPr>
                      <m:t>12−OM</m:t>
                    </m:r>
                    <m:ctrlPr>
                      <w:rPr>
                        <w:rFonts w:ascii="Cambria Math" w:hAnsi="Cambria Math"/>
                        <w:i/>
                        <w:iCs/>
                      </w:rPr>
                    </m:ctrlPr>
                  </m:e>
                </m:d>
                <m:r>
                  <m:rPr/>
                  <w:rPr>
                    <w:rFonts w:ascii="Cambria Math" w:hAnsi="Cambria Math"/>
                  </w:rPr>
                  <m:t>×</m:t>
                </m:r>
                <m:sSup>
                  <m:sSupPr>
                    <m:ctrlPr>
                      <w:rPr>
                        <w:rFonts w:ascii="Cambria Math" w:hAnsi="Cambria Math"/>
                        <w:i/>
                        <w:iCs/>
                      </w:rPr>
                    </m:ctrlPr>
                  </m:sSupPr>
                  <m:e>
                    <m:r>
                      <m:rPr/>
                      <w:rPr>
                        <w:rFonts w:ascii="Cambria Math" w:hAnsi="Cambria Math"/>
                      </w:rPr>
                      <m:t>M</m:t>
                    </m:r>
                    <m:ctrlPr>
                      <w:rPr>
                        <w:rFonts w:ascii="Cambria Math" w:hAnsi="Cambria Math"/>
                        <w:i/>
                        <w:iCs/>
                      </w:rPr>
                    </m:ctrlPr>
                  </m:e>
                  <m:sup>
                    <m:r>
                      <m:rPr/>
                      <w:rPr>
                        <w:rFonts w:ascii="Cambria Math" w:hAnsi="Cambria Math"/>
                      </w:rPr>
                      <m:t>1.14</m:t>
                    </m:r>
                    <m:ctrlPr>
                      <w:rPr>
                        <w:rFonts w:ascii="Cambria Math" w:hAnsi="Cambria Math"/>
                        <w:i/>
                        <w:iCs/>
                      </w:rPr>
                    </m:ctrlPr>
                  </m:sup>
                </m:sSup>
                <m:r>
                  <m:rPr/>
                  <w:rPr>
                    <w:rFonts w:ascii="Cambria Math" w:hAnsi="Cambria Math"/>
                  </w:rPr>
                  <m:t>+3.25×</m:t>
                </m:r>
                <m:d>
                  <m:dPr>
                    <m:ctrlPr>
                      <w:rPr>
                        <w:rFonts w:ascii="Cambria Math" w:hAnsi="Cambria Math"/>
                        <w:i/>
                        <w:iCs/>
                      </w:rPr>
                    </m:ctrlPr>
                  </m:dPr>
                  <m:e>
                    <m:r>
                      <m:rPr/>
                      <w:rPr>
                        <w:rFonts w:ascii="Cambria Math" w:hAnsi="Cambria Math"/>
                      </w:rPr>
                      <m:t>S−2</m:t>
                    </m:r>
                    <m:ctrlPr>
                      <w:rPr>
                        <w:rFonts w:ascii="Cambria Math" w:hAnsi="Cambria Math"/>
                        <w:i/>
                        <w:iCs/>
                      </w:rPr>
                    </m:ctrlPr>
                  </m:e>
                </m:d>
                <m:r>
                  <m:rPr/>
                  <w:rPr>
                    <w:rFonts w:ascii="Cambria Math" w:hAnsi="Cambria Math"/>
                  </w:rPr>
                  <m:t>+2.5×</m:t>
                </m:r>
                <m:d>
                  <m:dPr>
                    <m:ctrlPr>
                      <w:rPr>
                        <w:rFonts w:ascii="Cambria Math" w:hAnsi="Cambria Math"/>
                        <w:i/>
                        <w:iCs/>
                      </w:rPr>
                    </m:ctrlPr>
                  </m:dPr>
                  <m:e>
                    <m:r>
                      <m:rPr/>
                      <w:rPr>
                        <w:rFonts w:ascii="Cambria Math" w:hAnsi="Cambria Math"/>
                      </w:rPr>
                      <m:t>P−3</m:t>
                    </m:r>
                    <m:ctrlPr>
                      <w:rPr>
                        <w:rFonts w:ascii="Cambria Math" w:hAnsi="Cambria Math"/>
                        <w:i/>
                        <w:iCs/>
                      </w:rPr>
                    </m:ctrlPr>
                  </m:e>
                </m:d>
                <m:ctrlPr>
                  <w:rPr>
                    <w:rFonts w:ascii="Cambria Math" w:hAnsi="Cambria Math"/>
                    <w:i/>
                    <w:iCs/>
                  </w:rPr>
                </m:ctrlPr>
              </m:e>
            </m:d>
            <m:ctrlPr>
              <w:rPr>
                <w:rFonts w:ascii="Cambria Math" w:hAnsi="Cambria Math"/>
                <w:i/>
                <w:iCs/>
              </w:rPr>
            </m:ctrlPr>
          </m:num>
          <m:den>
            <m:r>
              <m:rPr/>
              <w:rPr>
                <w:rFonts w:ascii="Cambria Math" w:hAnsi="Cambria Math"/>
              </w:rPr>
              <m:t>100×0.1317</m:t>
            </m:r>
            <m:ctrlPr>
              <w:rPr>
                <w:rFonts w:ascii="Cambria Math" w:hAnsi="Cambria Math"/>
                <w:i/>
                <w:iCs/>
              </w:rPr>
            </m:ctrlPr>
          </m:den>
        </m:f>
      </m:oMath>
      <w:r>
        <w:rPr>
          <w:rFonts w:ascii="Times New Roman" w:hAnsi="Times New Roman" w:eastAsia="微软雅黑"/>
        </w:rPr>
        <w:tab/>
      </w:r>
      <w:r>
        <w:rPr>
          <w:rFonts w:ascii="Times New Roman" w:hAnsi="Times New Roman"/>
        </w:rPr>
        <w:t>(C.</w:t>
      </w:r>
      <w:r>
        <w:rPr>
          <w:rFonts w:hint="eastAsia" w:ascii="Times New Roman" w:hAnsi="Times New Roman"/>
        </w:rPr>
        <w:t>16</w:t>
      </w:r>
      <w:r>
        <w:rPr>
          <w:rFonts w:ascii="Times New Roman" w:hAnsi="Times New Roman"/>
        </w:rPr>
        <w:t>)</w:t>
      </w:r>
    </w:p>
    <w:p w14:paraId="2E4ABC32">
      <w:pPr>
        <w:pStyle w:val="115"/>
        <w:rPr>
          <w:rFonts w:ascii="Times New Roman" w:hAnsi="Times New Roman"/>
        </w:rPr>
      </w:pPr>
      <w:r>
        <w:rPr>
          <w:rFonts w:ascii="Times New Roman" w:hAnsi="Times New Roman"/>
        </w:rPr>
        <w:tab/>
      </w:r>
      <m:oMath>
        <m:r>
          <m:rPr/>
          <w:rPr>
            <w:rFonts w:ascii="Cambria Math" w:hAnsi="Cambria Math"/>
          </w:rPr>
          <m:t>M=</m:t>
        </m:r>
        <m:d>
          <m:dPr>
            <m:ctrlPr>
              <w:rPr>
                <w:rFonts w:ascii="Cambria Math" w:hAnsi="Cambria Math"/>
                <w:i/>
              </w:rPr>
            </m:ctrlPr>
          </m:dPr>
          <m:e>
            <m:r>
              <m:rPr/>
              <w:rPr>
                <w:rFonts w:ascii="Cambria Math" w:hAnsi="Cambria Math"/>
              </w:rPr>
              <m:t>Silt+VFSand</m:t>
            </m:r>
            <m:ctrlPr>
              <w:rPr>
                <w:rFonts w:ascii="Cambria Math" w:hAnsi="Cambria Math"/>
                <w:i/>
              </w:rPr>
            </m:ctrlPr>
          </m:e>
        </m:d>
        <m:r>
          <m:rPr/>
          <w:rPr>
            <w:rFonts w:ascii="Cambria Math" w:hAnsi="Cambria Math"/>
          </w:rPr>
          <m:t>×</m:t>
        </m:r>
        <m:d>
          <m:dPr>
            <m:ctrlPr>
              <w:rPr>
                <w:rFonts w:ascii="Cambria Math" w:hAnsi="Cambria Math"/>
                <w:i/>
              </w:rPr>
            </m:ctrlPr>
          </m:dPr>
          <m:e>
            <m:r>
              <m:rPr/>
              <w:rPr>
                <w:rFonts w:ascii="Cambria Math" w:hAnsi="Cambria Math"/>
              </w:rPr>
              <m:t>1−Clay</m:t>
            </m:r>
            <m:ctrlPr>
              <w:rPr>
                <w:rFonts w:ascii="Cambria Math" w:hAnsi="Cambria Math"/>
                <w:i/>
              </w:rPr>
            </m:ctrlPr>
          </m:e>
        </m:d>
      </m:oMath>
      <w:r>
        <w:rPr>
          <w:rFonts w:ascii="Times New Roman" w:hAnsi="Times New Roman" w:eastAsia="微软雅黑"/>
        </w:rPr>
        <w:tab/>
      </w:r>
      <w:r>
        <w:rPr>
          <w:rFonts w:ascii="Times New Roman" w:hAnsi="Times New Roman"/>
        </w:rPr>
        <w:t>(C.</w:t>
      </w:r>
      <w:r>
        <w:rPr>
          <w:rFonts w:hint="eastAsia" w:ascii="Times New Roman" w:hAnsi="Times New Roman"/>
        </w:rPr>
        <w:t>17</w:t>
      </w:r>
      <w:r>
        <w:rPr>
          <w:rFonts w:ascii="Times New Roman" w:hAnsi="Times New Roman"/>
        </w:rPr>
        <w:t>)</w:t>
      </w:r>
    </w:p>
    <w:p w14:paraId="04229073">
      <w:pPr>
        <w:pStyle w:val="58"/>
        <w:ind w:firstLine="420"/>
        <w:rPr>
          <w:rFonts w:ascii="Times New Roman"/>
        </w:rPr>
      </w:pPr>
      <m:oMath>
        <m:r>
          <m:rPr/>
          <w:rPr>
            <w:rFonts w:ascii="Cambria Math" w:hAnsi="Cambria Math"/>
          </w:rPr>
          <m:t>K</m:t>
        </m:r>
      </m:oMath>
      <w:r>
        <w:rPr>
          <w:rFonts w:ascii="Times New Roman"/>
        </w:rPr>
        <w:t>——土壤可蚀性值，单位：t·hm</w:t>
      </w:r>
      <w:r>
        <w:rPr>
          <w:rFonts w:ascii="Times New Roman"/>
          <w:vertAlign w:val="superscript"/>
        </w:rPr>
        <w:t>2</w:t>
      </w:r>
      <w:r>
        <w:rPr>
          <w:rFonts w:ascii="Times New Roman"/>
        </w:rPr>
        <w:t>·h/（hm</w:t>
      </w:r>
      <w:r>
        <w:rPr>
          <w:rFonts w:ascii="Times New Roman"/>
          <w:vertAlign w:val="superscript"/>
        </w:rPr>
        <w:t>2</w:t>
      </w:r>
      <w:r>
        <w:rPr>
          <w:rFonts w:ascii="Times New Roman"/>
        </w:rPr>
        <w:t>·MJ·mm）；</w:t>
      </w:r>
    </w:p>
    <w:p w14:paraId="3D0C4DCA">
      <w:pPr>
        <w:pStyle w:val="58"/>
        <w:ind w:firstLine="420"/>
        <w:rPr>
          <w:rFonts w:ascii="Times New Roman"/>
        </w:rPr>
      </w:pPr>
      <m:oMath>
        <m:r>
          <m:rPr/>
          <w:rPr>
            <w:rFonts w:ascii="Cambria Math" w:hAnsi="Cambria Math"/>
          </w:rPr>
          <m:t>OM</m:t>
        </m:r>
      </m:oMath>
      <w:r>
        <w:rPr>
          <w:rFonts w:ascii="Times New Roman"/>
        </w:rPr>
        <w:t>——土壤有机质含量百分比，单位：%；</w:t>
      </w:r>
    </w:p>
    <w:p w14:paraId="1C111933">
      <w:pPr>
        <w:pStyle w:val="58"/>
        <w:ind w:firstLine="420"/>
        <w:rPr>
          <w:rFonts w:ascii="Times New Roman"/>
        </w:rPr>
      </w:pPr>
      <m:oMath>
        <m:r>
          <m:rPr/>
          <w:rPr>
            <w:rFonts w:ascii="Cambria Math" w:hAnsi="Cambria Math"/>
          </w:rPr>
          <m:t>M</m:t>
        </m:r>
      </m:oMath>
      <w:r>
        <w:rPr>
          <w:rFonts w:ascii="Times New Roman"/>
        </w:rPr>
        <w:t>——土壤颗粒级配参数，单位：无量纲；</w:t>
      </w:r>
    </w:p>
    <w:p w14:paraId="570072B2">
      <w:pPr>
        <w:pStyle w:val="58"/>
        <w:ind w:firstLine="420"/>
        <w:rPr>
          <w:rFonts w:ascii="Times New Roman"/>
        </w:rPr>
      </w:pPr>
      <m:oMath>
        <m:r>
          <m:rPr/>
          <w:rPr>
            <w:rFonts w:ascii="Cambria Math" w:hAnsi="Cambria Math"/>
          </w:rPr>
          <m:t>S</m:t>
        </m:r>
      </m:oMath>
      <w:r>
        <w:rPr>
          <w:rFonts w:ascii="Times New Roman"/>
        </w:rPr>
        <w:t>——土壤结构性指数，单位：无量纲，取值见表C.</w:t>
      </w:r>
      <w:r>
        <w:rPr>
          <w:rFonts w:hint="eastAsia" w:ascii="Times New Roman"/>
        </w:rPr>
        <w:t>6</w:t>
      </w:r>
      <w:r>
        <w:rPr>
          <w:rFonts w:ascii="Times New Roman"/>
        </w:rPr>
        <w:t>；</w:t>
      </w:r>
    </w:p>
    <w:p w14:paraId="473D0735">
      <w:pPr>
        <w:pStyle w:val="58"/>
        <w:ind w:firstLine="420"/>
        <w:rPr>
          <w:rFonts w:ascii="Times New Roman"/>
        </w:rPr>
      </w:pPr>
      <m:oMath>
        <m:r>
          <m:rPr/>
          <w:rPr>
            <w:rFonts w:ascii="Cambria Math" w:hAnsi="Cambria Math"/>
          </w:rPr>
          <m:t>P</m:t>
        </m:r>
      </m:oMath>
      <w:r>
        <w:rPr>
          <w:rFonts w:ascii="Times New Roman"/>
        </w:rPr>
        <w:t>——可渗透性指数，单位：无量纲，取值见表C.</w:t>
      </w:r>
      <w:r>
        <w:rPr>
          <w:rFonts w:hint="eastAsia" w:ascii="Times New Roman"/>
        </w:rPr>
        <w:t>6</w:t>
      </w:r>
      <w:r>
        <w:rPr>
          <w:rFonts w:ascii="Times New Roman"/>
        </w:rPr>
        <w:t>；</w:t>
      </w:r>
    </w:p>
    <w:p w14:paraId="0B4A4F5A">
      <w:pPr>
        <w:pStyle w:val="58"/>
        <w:ind w:firstLine="420"/>
        <w:rPr>
          <w:rFonts w:ascii="Times New Roman"/>
        </w:rPr>
      </w:pPr>
      <m:oMath>
        <m:r>
          <m:rPr/>
          <w:rPr>
            <w:rFonts w:ascii="Cambria Math" w:hAnsi="Cambria Math"/>
          </w:rPr>
          <m:t>Silt</m:t>
        </m:r>
      </m:oMath>
      <w:r>
        <w:rPr>
          <w:rFonts w:ascii="Times New Roman"/>
        </w:rPr>
        <w:t>——美制粒径分级中粉粒含量，单位：%；</w:t>
      </w:r>
    </w:p>
    <w:p w14:paraId="3CD2F408">
      <w:pPr>
        <w:pStyle w:val="58"/>
        <w:ind w:firstLine="420"/>
        <w:rPr>
          <w:rFonts w:ascii="Times New Roman"/>
        </w:rPr>
      </w:pPr>
      <m:oMath>
        <m:r>
          <m:rPr/>
          <w:rPr>
            <w:rFonts w:ascii="Cambria Math" w:hAnsi="Cambria Math"/>
          </w:rPr>
          <m:t>VFSand</m:t>
        </m:r>
      </m:oMath>
      <w:r>
        <w:rPr>
          <w:rFonts w:ascii="Times New Roman"/>
        </w:rPr>
        <w:t>——美制粒径分级中极细砂粒含量，单位：%；</w:t>
      </w:r>
    </w:p>
    <w:p w14:paraId="03E8A390">
      <w:pPr>
        <w:pStyle w:val="58"/>
        <w:ind w:firstLine="420"/>
        <w:rPr>
          <w:rFonts w:ascii="Times New Roman"/>
        </w:rPr>
      </w:pPr>
      <m:oMath>
        <m:r>
          <m:rPr/>
          <w:rPr>
            <w:rFonts w:ascii="Cambria Math" w:hAnsi="Cambria Math"/>
          </w:rPr>
          <m:t>Clay</m:t>
        </m:r>
      </m:oMath>
      <w:r>
        <w:rPr>
          <w:rFonts w:ascii="Times New Roman"/>
        </w:rPr>
        <w:t>——美制粒径分级中粘粒含量，单位：%；</w:t>
      </w:r>
    </w:p>
    <w:p w14:paraId="0ED777D3">
      <w:pPr>
        <w:pStyle w:val="181"/>
        <w:rPr>
          <w:rFonts w:ascii="Times New Roman"/>
        </w:rPr>
      </w:pPr>
      <w:r>
        <w:rPr>
          <w:rFonts w:ascii="Times New Roman"/>
        </w:rPr>
        <w:t>按美制粒径等级，粘粒粒径为＜0.002mm，粉粒粒径为0.002mm~0.05mm，极细砂粒径为0.05mm~0.1mm，砂粒粒径为0.1mm~2.0mm。</w:t>
      </w:r>
    </w:p>
    <w:p w14:paraId="7B1C8914">
      <w:pPr>
        <w:pStyle w:val="79"/>
        <w:numPr>
          <w:ilvl w:val="0"/>
          <w:numId w:val="0"/>
        </w:numPr>
        <w:spacing w:before="156" w:after="156"/>
        <w:ind w:left="420"/>
        <w:rPr>
          <w:rFonts w:ascii="Times New Roman"/>
        </w:rPr>
      </w:pPr>
      <w:r>
        <w:rPr>
          <w:rFonts w:ascii="Times New Roman"/>
        </w:rPr>
        <w:t>表C.</w:t>
      </w:r>
      <w:r>
        <w:rPr>
          <w:rFonts w:hint="eastAsia" w:ascii="Times New Roman"/>
        </w:rPr>
        <w:t xml:space="preserve">6 </w:t>
      </w:r>
      <w:r>
        <w:rPr>
          <w:rFonts w:ascii="Times New Roman"/>
        </w:rPr>
        <w:t>土壤结构性指数和可渗透性指数</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564AB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14:paraId="10C3C3A6">
            <w:pPr>
              <w:pStyle w:val="180"/>
              <w:rPr>
                <w:rFonts w:ascii="Times New Roman" w:eastAsiaTheme="minorEastAsia"/>
              </w:rPr>
            </w:pPr>
            <w:r>
              <w:rPr>
                <w:rFonts w:ascii="Times New Roman"/>
              </w:rPr>
              <w:t>土壤结构性指数（S）</w:t>
            </w:r>
          </w:p>
        </w:tc>
        <w:tc>
          <w:tcPr>
            <w:tcW w:w="2333" w:type="dxa"/>
            <w:tcBorders>
              <w:top w:val="single" w:color="auto" w:sz="8" w:space="0"/>
              <w:bottom w:val="single" w:color="auto" w:sz="8" w:space="0"/>
            </w:tcBorders>
            <w:shd w:val="clear" w:color="auto" w:fill="auto"/>
          </w:tcPr>
          <w:p w14:paraId="413562B0">
            <w:pPr>
              <w:pStyle w:val="180"/>
              <w:rPr>
                <w:rFonts w:ascii="Times New Roman"/>
              </w:rPr>
            </w:pPr>
            <w:r>
              <w:rPr>
                <w:rFonts w:ascii="Times New Roman"/>
              </w:rPr>
              <w:t>含义</w:t>
            </w:r>
          </w:p>
        </w:tc>
        <w:tc>
          <w:tcPr>
            <w:tcW w:w="2333" w:type="dxa"/>
            <w:tcBorders>
              <w:top w:val="single" w:color="auto" w:sz="8" w:space="0"/>
              <w:bottom w:val="single" w:color="auto" w:sz="8" w:space="0"/>
            </w:tcBorders>
            <w:shd w:val="clear" w:color="auto" w:fill="auto"/>
          </w:tcPr>
          <w:p w14:paraId="3817DA4C">
            <w:pPr>
              <w:pStyle w:val="180"/>
              <w:rPr>
                <w:rFonts w:ascii="Times New Roman"/>
              </w:rPr>
            </w:pPr>
            <w:r>
              <w:rPr>
                <w:rFonts w:ascii="Times New Roman"/>
              </w:rPr>
              <w:t>可渗透性指数（P）</w:t>
            </w:r>
          </w:p>
        </w:tc>
        <w:tc>
          <w:tcPr>
            <w:tcW w:w="2334" w:type="dxa"/>
            <w:tcBorders>
              <w:top w:val="single" w:color="auto" w:sz="8" w:space="0"/>
              <w:bottom w:val="single" w:color="auto" w:sz="8" w:space="0"/>
            </w:tcBorders>
            <w:shd w:val="clear" w:color="auto" w:fill="auto"/>
          </w:tcPr>
          <w:p w14:paraId="061E5FB8">
            <w:pPr>
              <w:pStyle w:val="180"/>
              <w:rPr>
                <w:rFonts w:ascii="Times New Roman"/>
              </w:rPr>
            </w:pPr>
            <w:r>
              <w:rPr>
                <w:rFonts w:ascii="Times New Roman"/>
              </w:rPr>
              <w:t>含义</w:t>
            </w:r>
          </w:p>
        </w:tc>
      </w:tr>
      <w:tr w14:paraId="1312BA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14:paraId="0C0C1822">
            <w:pPr>
              <w:pStyle w:val="180"/>
              <w:rPr>
                <w:rFonts w:ascii="Times New Roman"/>
              </w:rPr>
            </w:pPr>
            <w:r>
              <w:rPr>
                <w:rFonts w:ascii="Times New Roman"/>
              </w:rPr>
              <w:t>1</w:t>
            </w:r>
          </w:p>
        </w:tc>
        <w:tc>
          <w:tcPr>
            <w:tcW w:w="2333" w:type="dxa"/>
            <w:tcBorders>
              <w:top w:val="single" w:color="auto" w:sz="8" w:space="0"/>
            </w:tcBorders>
            <w:shd w:val="clear" w:color="auto" w:fill="auto"/>
          </w:tcPr>
          <w:p w14:paraId="47067644">
            <w:pPr>
              <w:pStyle w:val="180"/>
              <w:rPr>
                <w:rFonts w:ascii="Times New Roman"/>
              </w:rPr>
            </w:pPr>
            <w:r>
              <w:rPr>
                <w:rFonts w:ascii="Times New Roman"/>
              </w:rPr>
              <w:t>非常坚固</w:t>
            </w:r>
          </w:p>
        </w:tc>
        <w:tc>
          <w:tcPr>
            <w:tcW w:w="2333" w:type="dxa"/>
            <w:tcBorders>
              <w:top w:val="single" w:color="auto" w:sz="8" w:space="0"/>
            </w:tcBorders>
            <w:shd w:val="clear" w:color="auto" w:fill="auto"/>
          </w:tcPr>
          <w:p w14:paraId="5DF3E518">
            <w:pPr>
              <w:pStyle w:val="180"/>
              <w:rPr>
                <w:rFonts w:ascii="Times New Roman"/>
              </w:rPr>
            </w:pPr>
            <w:r>
              <w:rPr>
                <w:rFonts w:ascii="Times New Roman"/>
              </w:rPr>
              <w:t>1</w:t>
            </w:r>
          </w:p>
        </w:tc>
        <w:tc>
          <w:tcPr>
            <w:tcW w:w="2334" w:type="dxa"/>
            <w:tcBorders>
              <w:top w:val="single" w:color="auto" w:sz="8" w:space="0"/>
            </w:tcBorders>
            <w:shd w:val="clear" w:color="auto" w:fill="auto"/>
          </w:tcPr>
          <w:p w14:paraId="70A8B41D">
            <w:pPr>
              <w:pStyle w:val="180"/>
              <w:rPr>
                <w:rFonts w:ascii="Times New Roman"/>
              </w:rPr>
            </w:pPr>
            <w:r>
              <w:rPr>
                <w:rFonts w:ascii="Times New Roman"/>
              </w:rPr>
              <w:t>快速</w:t>
            </w:r>
          </w:p>
        </w:tc>
      </w:tr>
      <w:tr w14:paraId="6604EA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077F510">
            <w:pPr>
              <w:pStyle w:val="180"/>
              <w:rPr>
                <w:rFonts w:ascii="Times New Roman"/>
              </w:rPr>
            </w:pPr>
            <w:r>
              <w:rPr>
                <w:rFonts w:ascii="Times New Roman"/>
              </w:rPr>
              <w:t>2</w:t>
            </w:r>
          </w:p>
        </w:tc>
        <w:tc>
          <w:tcPr>
            <w:tcW w:w="2333" w:type="dxa"/>
            <w:shd w:val="clear" w:color="auto" w:fill="auto"/>
          </w:tcPr>
          <w:p w14:paraId="25014214">
            <w:pPr>
              <w:pStyle w:val="180"/>
              <w:rPr>
                <w:rFonts w:ascii="Times New Roman"/>
              </w:rPr>
            </w:pPr>
            <w:r>
              <w:rPr>
                <w:rFonts w:ascii="Times New Roman"/>
              </w:rPr>
              <w:t>很坚固</w:t>
            </w:r>
          </w:p>
        </w:tc>
        <w:tc>
          <w:tcPr>
            <w:tcW w:w="2333" w:type="dxa"/>
            <w:shd w:val="clear" w:color="auto" w:fill="auto"/>
          </w:tcPr>
          <w:p w14:paraId="3C50B5E2">
            <w:pPr>
              <w:pStyle w:val="180"/>
              <w:rPr>
                <w:rFonts w:ascii="Times New Roman"/>
              </w:rPr>
            </w:pPr>
            <w:r>
              <w:rPr>
                <w:rFonts w:ascii="Times New Roman"/>
              </w:rPr>
              <w:t>2</w:t>
            </w:r>
          </w:p>
        </w:tc>
        <w:tc>
          <w:tcPr>
            <w:tcW w:w="2334" w:type="dxa"/>
            <w:shd w:val="clear" w:color="auto" w:fill="auto"/>
          </w:tcPr>
          <w:p w14:paraId="7F5E76EA">
            <w:pPr>
              <w:pStyle w:val="180"/>
              <w:rPr>
                <w:rFonts w:ascii="Times New Roman"/>
              </w:rPr>
            </w:pPr>
            <w:r>
              <w:rPr>
                <w:rFonts w:ascii="Times New Roman"/>
              </w:rPr>
              <w:t>中快速</w:t>
            </w:r>
          </w:p>
        </w:tc>
      </w:tr>
      <w:tr w14:paraId="4AF63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5AD441F">
            <w:pPr>
              <w:pStyle w:val="180"/>
              <w:rPr>
                <w:rFonts w:ascii="Times New Roman"/>
              </w:rPr>
            </w:pPr>
            <w:r>
              <w:rPr>
                <w:rFonts w:ascii="Times New Roman"/>
              </w:rPr>
              <w:t>3</w:t>
            </w:r>
          </w:p>
        </w:tc>
        <w:tc>
          <w:tcPr>
            <w:tcW w:w="2333" w:type="dxa"/>
            <w:shd w:val="clear" w:color="auto" w:fill="auto"/>
          </w:tcPr>
          <w:p w14:paraId="431B4AB4">
            <w:pPr>
              <w:pStyle w:val="180"/>
              <w:rPr>
                <w:rFonts w:ascii="Times New Roman"/>
              </w:rPr>
            </w:pPr>
            <w:r>
              <w:rPr>
                <w:rFonts w:ascii="Times New Roman"/>
              </w:rPr>
              <w:t>较坚固</w:t>
            </w:r>
          </w:p>
        </w:tc>
        <w:tc>
          <w:tcPr>
            <w:tcW w:w="2333" w:type="dxa"/>
            <w:shd w:val="clear" w:color="auto" w:fill="auto"/>
          </w:tcPr>
          <w:p w14:paraId="090DB562">
            <w:pPr>
              <w:pStyle w:val="180"/>
              <w:rPr>
                <w:rFonts w:ascii="Times New Roman"/>
              </w:rPr>
            </w:pPr>
            <w:r>
              <w:rPr>
                <w:rFonts w:ascii="Times New Roman"/>
              </w:rPr>
              <w:t>3</w:t>
            </w:r>
          </w:p>
        </w:tc>
        <w:tc>
          <w:tcPr>
            <w:tcW w:w="2334" w:type="dxa"/>
            <w:shd w:val="clear" w:color="auto" w:fill="auto"/>
          </w:tcPr>
          <w:p w14:paraId="6DF429D8">
            <w:pPr>
              <w:pStyle w:val="180"/>
              <w:rPr>
                <w:rFonts w:ascii="Times New Roman"/>
              </w:rPr>
            </w:pPr>
            <w:r>
              <w:rPr>
                <w:rFonts w:ascii="Times New Roman"/>
              </w:rPr>
              <w:t>中速</w:t>
            </w:r>
          </w:p>
        </w:tc>
      </w:tr>
      <w:tr w14:paraId="003D7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3417E3B">
            <w:pPr>
              <w:pStyle w:val="180"/>
              <w:rPr>
                <w:rFonts w:ascii="Times New Roman"/>
              </w:rPr>
            </w:pPr>
            <w:r>
              <w:rPr>
                <w:rFonts w:ascii="Times New Roman"/>
              </w:rPr>
              <w:t>4</w:t>
            </w:r>
          </w:p>
        </w:tc>
        <w:tc>
          <w:tcPr>
            <w:tcW w:w="2333" w:type="dxa"/>
            <w:shd w:val="clear" w:color="auto" w:fill="auto"/>
          </w:tcPr>
          <w:p w14:paraId="62948F79">
            <w:pPr>
              <w:pStyle w:val="180"/>
              <w:rPr>
                <w:rFonts w:ascii="Times New Roman"/>
              </w:rPr>
            </w:pPr>
            <w:r>
              <w:rPr>
                <w:rFonts w:ascii="Times New Roman"/>
              </w:rPr>
              <w:t>坚固</w:t>
            </w:r>
          </w:p>
        </w:tc>
        <w:tc>
          <w:tcPr>
            <w:tcW w:w="2333" w:type="dxa"/>
            <w:shd w:val="clear" w:color="auto" w:fill="auto"/>
          </w:tcPr>
          <w:p w14:paraId="78510053">
            <w:pPr>
              <w:pStyle w:val="180"/>
              <w:rPr>
                <w:rFonts w:ascii="Times New Roman"/>
              </w:rPr>
            </w:pPr>
            <w:r>
              <w:rPr>
                <w:rFonts w:ascii="Times New Roman"/>
              </w:rPr>
              <w:t>4</w:t>
            </w:r>
          </w:p>
        </w:tc>
        <w:tc>
          <w:tcPr>
            <w:tcW w:w="2334" w:type="dxa"/>
            <w:shd w:val="clear" w:color="auto" w:fill="auto"/>
          </w:tcPr>
          <w:p w14:paraId="56867B85">
            <w:pPr>
              <w:pStyle w:val="180"/>
              <w:rPr>
                <w:rFonts w:ascii="Times New Roman"/>
              </w:rPr>
            </w:pPr>
            <w:r>
              <w:rPr>
                <w:rFonts w:ascii="Times New Roman"/>
              </w:rPr>
              <w:t>中慢速</w:t>
            </w:r>
          </w:p>
        </w:tc>
      </w:tr>
      <w:tr w14:paraId="156833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0369508">
            <w:pPr>
              <w:pStyle w:val="180"/>
              <w:rPr>
                <w:rFonts w:ascii="Times New Roman"/>
              </w:rPr>
            </w:pPr>
          </w:p>
        </w:tc>
        <w:tc>
          <w:tcPr>
            <w:tcW w:w="2333" w:type="dxa"/>
            <w:shd w:val="clear" w:color="auto" w:fill="auto"/>
          </w:tcPr>
          <w:p w14:paraId="59003397">
            <w:pPr>
              <w:pStyle w:val="180"/>
              <w:rPr>
                <w:rFonts w:ascii="Times New Roman"/>
              </w:rPr>
            </w:pPr>
          </w:p>
        </w:tc>
        <w:tc>
          <w:tcPr>
            <w:tcW w:w="2333" w:type="dxa"/>
            <w:shd w:val="clear" w:color="auto" w:fill="auto"/>
          </w:tcPr>
          <w:p w14:paraId="77C80E5B">
            <w:pPr>
              <w:pStyle w:val="180"/>
              <w:rPr>
                <w:rFonts w:ascii="Times New Roman"/>
              </w:rPr>
            </w:pPr>
            <w:r>
              <w:rPr>
                <w:rFonts w:ascii="Times New Roman"/>
              </w:rPr>
              <w:t>5</w:t>
            </w:r>
          </w:p>
        </w:tc>
        <w:tc>
          <w:tcPr>
            <w:tcW w:w="2334" w:type="dxa"/>
            <w:shd w:val="clear" w:color="auto" w:fill="auto"/>
          </w:tcPr>
          <w:p w14:paraId="50DBA57B">
            <w:pPr>
              <w:pStyle w:val="180"/>
              <w:rPr>
                <w:rFonts w:ascii="Times New Roman"/>
              </w:rPr>
            </w:pPr>
            <w:r>
              <w:rPr>
                <w:rFonts w:ascii="Times New Roman"/>
              </w:rPr>
              <w:t>慢速</w:t>
            </w:r>
          </w:p>
        </w:tc>
      </w:tr>
      <w:tr w14:paraId="169DA9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9822637">
            <w:pPr>
              <w:pStyle w:val="180"/>
              <w:rPr>
                <w:rFonts w:ascii="Times New Roman"/>
              </w:rPr>
            </w:pPr>
          </w:p>
        </w:tc>
        <w:tc>
          <w:tcPr>
            <w:tcW w:w="2333" w:type="dxa"/>
            <w:shd w:val="clear" w:color="auto" w:fill="auto"/>
          </w:tcPr>
          <w:p w14:paraId="7100E644">
            <w:pPr>
              <w:pStyle w:val="180"/>
              <w:rPr>
                <w:rFonts w:ascii="Times New Roman"/>
              </w:rPr>
            </w:pPr>
          </w:p>
        </w:tc>
        <w:tc>
          <w:tcPr>
            <w:tcW w:w="2333" w:type="dxa"/>
            <w:shd w:val="clear" w:color="auto" w:fill="auto"/>
          </w:tcPr>
          <w:p w14:paraId="4A8EBA2F">
            <w:pPr>
              <w:pStyle w:val="180"/>
              <w:rPr>
                <w:rFonts w:ascii="Times New Roman"/>
              </w:rPr>
            </w:pPr>
            <w:r>
              <w:rPr>
                <w:rFonts w:ascii="Times New Roman"/>
              </w:rPr>
              <w:t>6</w:t>
            </w:r>
          </w:p>
        </w:tc>
        <w:tc>
          <w:tcPr>
            <w:tcW w:w="2334" w:type="dxa"/>
            <w:shd w:val="clear" w:color="auto" w:fill="auto"/>
          </w:tcPr>
          <w:p w14:paraId="60898419">
            <w:pPr>
              <w:pStyle w:val="180"/>
              <w:rPr>
                <w:rFonts w:ascii="Times New Roman"/>
              </w:rPr>
            </w:pPr>
            <w:r>
              <w:rPr>
                <w:rFonts w:ascii="Times New Roman"/>
              </w:rPr>
              <w:t>极慢</w:t>
            </w:r>
          </w:p>
        </w:tc>
      </w:tr>
    </w:tbl>
    <w:p w14:paraId="398C795C">
      <w:pPr>
        <w:pStyle w:val="215"/>
        <w:rPr>
          <w:rFonts w:ascii="Times New Roman"/>
        </w:rPr>
      </w:pPr>
      <w:bookmarkStart w:id="166" w:name="_Toc179674317"/>
      <w:r>
        <w:rPr>
          <w:rFonts w:ascii="Times New Roman"/>
        </w:rPr>
        <w:t>在缺少土壤数据时，也可按照表C.</w:t>
      </w:r>
      <w:r>
        <w:rPr>
          <w:rFonts w:hint="eastAsia" w:ascii="Times New Roman"/>
        </w:rPr>
        <w:t>7</w:t>
      </w:r>
      <w:r>
        <w:rPr>
          <w:rFonts w:ascii="Times New Roman"/>
        </w:rPr>
        <w:t>的参照值估算土壤可蚀性因子。</w:t>
      </w:r>
    </w:p>
    <w:p w14:paraId="5D1881DB">
      <w:pPr>
        <w:pStyle w:val="79"/>
        <w:numPr>
          <w:ilvl w:val="0"/>
          <w:numId w:val="0"/>
        </w:numPr>
        <w:spacing w:before="156" w:after="156"/>
        <w:ind w:left="420"/>
        <w:rPr>
          <w:rFonts w:ascii="Times New Roman"/>
        </w:rPr>
      </w:pPr>
      <w:r>
        <w:rPr>
          <w:rFonts w:ascii="Times New Roman"/>
        </w:rPr>
        <w:t>表C.</w:t>
      </w:r>
      <w:r>
        <w:rPr>
          <w:rFonts w:hint="eastAsia" w:ascii="Times New Roman"/>
        </w:rPr>
        <w:t>7</w:t>
      </w:r>
      <w:r>
        <w:rPr>
          <w:rFonts w:ascii="Times New Roman"/>
        </w:rPr>
        <w:t>安徽省分行政区土壤可蚀性因子参考值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4"/>
        <w:gridCol w:w="2333"/>
        <w:gridCol w:w="2333"/>
      </w:tblGrid>
      <w:tr w14:paraId="45225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14:paraId="103A9AAF">
            <w:pPr>
              <w:pStyle w:val="180"/>
              <w:rPr>
                <w:rFonts w:ascii="Times New Roman"/>
              </w:rPr>
            </w:pPr>
            <w:r>
              <w:rPr>
                <w:rFonts w:ascii="Times New Roman"/>
              </w:rPr>
              <w:t>行政区名称</w:t>
            </w:r>
          </w:p>
        </w:tc>
        <w:tc>
          <w:tcPr>
            <w:tcW w:w="2334" w:type="dxa"/>
            <w:tcBorders>
              <w:top w:val="single" w:color="auto" w:sz="8" w:space="0"/>
              <w:bottom w:val="single" w:color="auto" w:sz="8" w:space="0"/>
            </w:tcBorders>
            <w:shd w:val="clear" w:color="auto" w:fill="auto"/>
            <w:vAlign w:val="center"/>
          </w:tcPr>
          <w:p w14:paraId="334CE32C">
            <w:pPr>
              <w:pStyle w:val="180"/>
              <w:rPr>
                <w:rFonts w:ascii="Times New Roman"/>
              </w:rPr>
            </w:pPr>
            <w:r>
              <w:rPr>
                <w:rFonts w:ascii="Times New Roman"/>
              </w:rPr>
              <w:t>土壤可蚀性因子</w:t>
            </w:r>
          </w:p>
          <w:p w14:paraId="27B3E049">
            <w:pPr>
              <w:pStyle w:val="180"/>
              <w:rPr>
                <w:rFonts w:ascii="Times New Roman"/>
              </w:rPr>
            </w:pPr>
            <w:r>
              <w:rPr>
                <w:rFonts w:ascii="Times New Roman"/>
              </w:rPr>
              <w:t>t·hm</w:t>
            </w:r>
            <w:r>
              <w:rPr>
                <w:rFonts w:ascii="Times New Roman"/>
                <w:vertAlign w:val="superscript"/>
              </w:rPr>
              <w:t>2</w:t>
            </w:r>
            <w:r>
              <w:rPr>
                <w:rFonts w:ascii="Times New Roman"/>
              </w:rPr>
              <w:t>·h/（hm</w:t>
            </w:r>
            <w:r>
              <w:rPr>
                <w:rFonts w:ascii="Times New Roman"/>
                <w:vertAlign w:val="superscript"/>
              </w:rPr>
              <w:t>2</w:t>
            </w:r>
            <w:r>
              <w:rPr>
                <w:rFonts w:ascii="Times New Roman"/>
              </w:rPr>
              <w:t>·MJ·mm）</w:t>
            </w:r>
          </w:p>
        </w:tc>
        <w:tc>
          <w:tcPr>
            <w:tcW w:w="2333" w:type="dxa"/>
            <w:tcBorders>
              <w:top w:val="single" w:color="auto" w:sz="8" w:space="0"/>
              <w:bottom w:val="single" w:color="auto" w:sz="8" w:space="0"/>
            </w:tcBorders>
            <w:shd w:val="clear" w:color="auto" w:fill="auto"/>
            <w:vAlign w:val="center"/>
          </w:tcPr>
          <w:p w14:paraId="3AB00711">
            <w:pPr>
              <w:pStyle w:val="180"/>
              <w:rPr>
                <w:rFonts w:ascii="Times New Roman"/>
              </w:rPr>
            </w:pPr>
            <w:r>
              <w:rPr>
                <w:rFonts w:ascii="Times New Roman"/>
              </w:rPr>
              <w:t>行政区名称</w:t>
            </w:r>
          </w:p>
        </w:tc>
        <w:tc>
          <w:tcPr>
            <w:tcW w:w="2333" w:type="dxa"/>
            <w:tcBorders>
              <w:top w:val="single" w:color="auto" w:sz="8" w:space="0"/>
              <w:bottom w:val="single" w:color="auto" w:sz="8" w:space="0"/>
            </w:tcBorders>
            <w:shd w:val="clear" w:color="auto" w:fill="auto"/>
            <w:vAlign w:val="center"/>
          </w:tcPr>
          <w:p w14:paraId="0E0BFA02">
            <w:pPr>
              <w:pStyle w:val="180"/>
              <w:rPr>
                <w:rFonts w:ascii="Times New Roman"/>
              </w:rPr>
            </w:pPr>
            <w:r>
              <w:rPr>
                <w:rFonts w:ascii="Times New Roman"/>
              </w:rPr>
              <w:t>土壤可蚀性因子</w:t>
            </w:r>
          </w:p>
          <w:p w14:paraId="7C82E89A">
            <w:pPr>
              <w:pStyle w:val="180"/>
              <w:rPr>
                <w:rFonts w:ascii="Times New Roman"/>
              </w:rPr>
            </w:pPr>
            <w:r>
              <w:rPr>
                <w:rFonts w:ascii="Times New Roman"/>
              </w:rPr>
              <w:t>t·hm</w:t>
            </w:r>
            <w:r>
              <w:rPr>
                <w:rFonts w:ascii="Times New Roman"/>
                <w:vertAlign w:val="superscript"/>
              </w:rPr>
              <w:t>2</w:t>
            </w:r>
            <w:r>
              <w:rPr>
                <w:rFonts w:ascii="Times New Roman"/>
              </w:rPr>
              <w:t>·h/（hm</w:t>
            </w:r>
            <w:r>
              <w:rPr>
                <w:rFonts w:ascii="Times New Roman"/>
                <w:vertAlign w:val="superscript"/>
              </w:rPr>
              <w:t>2</w:t>
            </w:r>
            <w:r>
              <w:rPr>
                <w:rFonts w:ascii="Times New Roman"/>
              </w:rPr>
              <w:t>·MJ·mm）</w:t>
            </w:r>
          </w:p>
        </w:tc>
      </w:tr>
      <w:tr w14:paraId="0C4514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14:paraId="52C5A916">
            <w:pPr>
              <w:pStyle w:val="180"/>
              <w:rPr>
                <w:rFonts w:ascii="Times New Roman"/>
              </w:rPr>
            </w:pPr>
            <w:r>
              <w:rPr>
                <w:rFonts w:ascii="Times New Roman"/>
              </w:rPr>
              <w:t>合肥市辖区</w:t>
            </w:r>
          </w:p>
        </w:tc>
        <w:tc>
          <w:tcPr>
            <w:tcW w:w="2334" w:type="dxa"/>
            <w:tcBorders>
              <w:top w:val="single" w:color="auto" w:sz="8" w:space="0"/>
            </w:tcBorders>
            <w:shd w:val="clear" w:color="auto" w:fill="auto"/>
          </w:tcPr>
          <w:p w14:paraId="03F4831E">
            <w:pPr>
              <w:pStyle w:val="180"/>
              <w:rPr>
                <w:rFonts w:ascii="Times New Roman"/>
              </w:rPr>
            </w:pPr>
            <w:r>
              <w:rPr>
                <w:rFonts w:ascii="Times New Roman"/>
              </w:rPr>
              <w:t>0.00491</w:t>
            </w:r>
          </w:p>
        </w:tc>
        <w:tc>
          <w:tcPr>
            <w:tcW w:w="2333" w:type="dxa"/>
            <w:tcBorders>
              <w:top w:val="single" w:color="auto" w:sz="8" w:space="0"/>
            </w:tcBorders>
            <w:shd w:val="clear" w:color="auto" w:fill="auto"/>
          </w:tcPr>
          <w:p w14:paraId="5656CC5F">
            <w:pPr>
              <w:pStyle w:val="180"/>
              <w:rPr>
                <w:rFonts w:ascii="Times New Roman"/>
              </w:rPr>
            </w:pPr>
            <w:r>
              <w:rPr>
                <w:rFonts w:ascii="Times New Roman"/>
              </w:rPr>
              <w:t>马鞍山市辖区</w:t>
            </w:r>
          </w:p>
        </w:tc>
        <w:tc>
          <w:tcPr>
            <w:tcW w:w="2333" w:type="dxa"/>
            <w:tcBorders>
              <w:top w:val="single" w:color="auto" w:sz="8" w:space="0"/>
            </w:tcBorders>
            <w:shd w:val="clear" w:color="auto" w:fill="auto"/>
          </w:tcPr>
          <w:p w14:paraId="5AEB345F">
            <w:pPr>
              <w:pStyle w:val="180"/>
              <w:rPr>
                <w:rFonts w:ascii="Times New Roman"/>
              </w:rPr>
            </w:pPr>
            <w:r>
              <w:rPr>
                <w:rFonts w:ascii="Times New Roman"/>
              </w:rPr>
              <w:t>0.00604</w:t>
            </w:r>
          </w:p>
        </w:tc>
      </w:tr>
      <w:tr w14:paraId="01AC1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13EB296">
            <w:pPr>
              <w:pStyle w:val="180"/>
              <w:rPr>
                <w:rFonts w:ascii="Times New Roman"/>
              </w:rPr>
            </w:pPr>
            <w:r>
              <w:rPr>
                <w:rFonts w:ascii="Times New Roman"/>
              </w:rPr>
              <w:t>巢湖市</w:t>
            </w:r>
          </w:p>
        </w:tc>
        <w:tc>
          <w:tcPr>
            <w:tcW w:w="2334" w:type="dxa"/>
            <w:shd w:val="clear" w:color="auto" w:fill="auto"/>
          </w:tcPr>
          <w:p w14:paraId="6D55FCD5">
            <w:pPr>
              <w:pStyle w:val="180"/>
              <w:rPr>
                <w:rFonts w:ascii="Times New Roman"/>
              </w:rPr>
            </w:pPr>
            <w:r>
              <w:rPr>
                <w:rFonts w:ascii="Times New Roman"/>
              </w:rPr>
              <w:t>0.00440</w:t>
            </w:r>
          </w:p>
        </w:tc>
        <w:tc>
          <w:tcPr>
            <w:tcW w:w="2333" w:type="dxa"/>
            <w:shd w:val="clear" w:color="auto" w:fill="auto"/>
          </w:tcPr>
          <w:p w14:paraId="16D15724">
            <w:pPr>
              <w:pStyle w:val="180"/>
              <w:rPr>
                <w:rFonts w:ascii="Times New Roman"/>
              </w:rPr>
            </w:pPr>
            <w:r>
              <w:rPr>
                <w:rFonts w:ascii="Times New Roman"/>
              </w:rPr>
              <w:t>当涂县</w:t>
            </w:r>
          </w:p>
        </w:tc>
        <w:tc>
          <w:tcPr>
            <w:tcW w:w="2333" w:type="dxa"/>
            <w:shd w:val="clear" w:color="auto" w:fill="auto"/>
          </w:tcPr>
          <w:p w14:paraId="7808B8F2">
            <w:pPr>
              <w:pStyle w:val="180"/>
              <w:rPr>
                <w:rFonts w:ascii="Times New Roman"/>
              </w:rPr>
            </w:pPr>
            <w:r>
              <w:rPr>
                <w:rFonts w:ascii="Times New Roman"/>
              </w:rPr>
              <w:t>0.00598</w:t>
            </w:r>
          </w:p>
        </w:tc>
      </w:tr>
      <w:tr w14:paraId="50DEA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1F925A5">
            <w:pPr>
              <w:pStyle w:val="180"/>
              <w:rPr>
                <w:rFonts w:ascii="Times New Roman"/>
              </w:rPr>
            </w:pPr>
            <w:r>
              <w:rPr>
                <w:rFonts w:ascii="Times New Roman"/>
              </w:rPr>
              <w:t>长丰县</w:t>
            </w:r>
          </w:p>
        </w:tc>
        <w:tc>
          <w:tcPr>
            <w:tcW w:w="2334" w:type="dxa"/>
            <w:shd w:val="clear" w:color="auto" w:fill="auto"/>
          </w:tcPr>
          <w:p w14:paraId="0E25FBB8">
            <w:pPr>
              <w:pStyle w:val="180"/>
              <w:rPr>
                <w:rFonts w:ascii="Times New Roman"/>
              </w:rPr>
            </w:pPr>
            <w:r>
              <w:rPr>
                <w:rFonts w:ascii="Times New Roman"/>
              </w:rPr>
              <w:t>0.00601</w:t>
            </w:r>
          </w:p>
        </w:tc>
        <w:tc>
          <w:tcPr>
            <w:tcW w:w="2333" w:type="dxa"/>
            <w:shd w:val="clear" w:color="auto" w:fill="auto"/>
          </w:tcPr>
          <w:p w14:paraId="623684FA">
            <w:pPr>
              <w:pStyle w:val="180"/>
              <w:rPr>
                <w:rFonts w:ascii="Times New Roman"/>
              </w:rPr>
            </w:pPr>
            <w:r>
              <w:rPr>
                <w:rFonts w:ascii="Times New Roman"/>
              </w:rPr>
              <w:t>含山县</w:t>
            </w:r>
          </w:p>
        </w:tc>
        <w:tc>
          <w:tcPr>
            <w:tcW w:w="2333" w:type="dxa"/>
            <w:shd w:val="clear" w:color="auto" w:fill="auto"/>
          </w:tcPr>
          <w:p w14:paraId="6098616E">
            <w:pPr>
              <w:pStyle w:val="180"/>
              <w:rPr>
                <w:rFonts w:ascii="Times New Roman"/>
              </w:rPr>
            </w:pPr>
            <w:r>
              <w:rPr>
                <w:rFonts w:ascii="Times New Roman"/>
              </w:rPr>
              <w:t>0.00589</w:t>
            </w:r>
          </w:p>
        </w:tc>
      </w:tr>
      <w:tr w14:paraId="496848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8C91095">
            <w:pPr>
              <w:pStyle w:val="180"/>
              <w:rPr>
                <w:rFonts w:ascii="Times New Roman"/>
              </w:rPr>
            </w:pPr>
            <w:r>
              <w:rPr>
                <w:rFonts w:ascii="Times New Roman"/>
              </w:rPr>
              <w:t>肥东县</w:t>
            </w:r>
          </w:p>
        </w:tc>
        <w:tc>
          <w:tcPr>
            <w:tcW w:w="2334" w:type="dxa"/>
            <w:shd w:val="clear" w:color="auto" w:fill="auto"/>
          </w:tcPr>
          <w:p w14:paraId="248DE8C4">
            <w:pPr>
              <w:pStyle w:val="180"/>
              <w:rPr>
                <w:rFonts w:ascii="Times New Roman"/>
              </w:rPr>
            </w:pPr>
            <w:r>
              <w:rPr>
                <w:rFonts w:ascii="Times New Roman"/>
              </w:rPr>
              <w:t>0.00580</w:t>
            </w:r>
          </w:p>
        </w:tc>
        <w:tc>
          <w:tcPr>
            <w:tcW w:w="2333" w:type="dxa"/>
            <w:shd w:val="clear" w:color="auto" w:fill="auto"/>
          </w:tcPr>
          <w:p w14:paraId="7327695D">
            <w:pPr>
              <w:pStyle w:val="180"/>
              <w:rPr>
                <w:rFonts w:ascii="Times New Roman"/>
              </w:rPr>
            </w:pPr>
            <w:r>
              <w:rPr>
                <w:rFonts w:ascii="Times New Roman"/>
              </w:rPr>
              <w:t>和县</w:t>
            </w:r>
          </w:p>
        </w:tc>
        <w:tc>
          <w:tcPr>
            <w:tcW w:w="2333" w:type="dxa"/>
            <w:shd w:val="clear" w:color="auto" w:fill="auto"/>
          </w:tcPr>
          <w:p w14:paraId="4A01FD89">
            <w:pPr>
              <w:pStyle w:val="180"/>
              <w:rPr>
                <w:rFonts w:ascii="Times New Roman"/>
              </w:rPr>
            </w:pPr>
            <w:r>
              <w:rPr>
                <w:rFonts w:ascii="Times New Roman"/>
              </w:rPr>
              <w:t>0.00620</w:t>
            </w:r>
          </w:p>
        </w:tc>
      </w:tr>
      <w:tr w14:paraId="2EF33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0A7187C">
            <w:pPr>
              <w:pStyle w:val="180"/>
              <w:rPr>
                <w:rFonts w:ascii="Times New Roman"/>
              </w:rPr>
            </w:pPr>
            <w:r>
              <w:rPr>
                <w:rFonts w:ascii="Times New Roman"/>
              </w:rPr>
              <w:t>肥西县</w:t>
            </w:r>
          </w:p>
        </w:tc>
        <w:tc>
          <w:tcPr>
            <w:tcW w:w="2334" w:type="dxa"/>
            <w:shd w:val="clear" w:color="auto" w:fill="auto"/>
          </w:tcPr>
          <w:p w14:paraId="656310DB">
            <w:pPr>
              <w:pStyle w:val="180"/>
              <w:rPr>
                <w:rFonts w:ascii="Times New Roman"/>
              </w:rPr>
            </w:pPr>
            <w:r>
              <w:rPr>
                <w:rFonts w:ascii="Times New Roman"/>
              </w:rPr>
              <w:t>0.00513</w:t>
            </w:r>
          </w:p>
        </w:tc>
        <w:tc>
          <w:tcPr>
            <w:tcW w:w="2333" w:type="dxa"/>
            <w:shd w:val="clear" w:color="auto" w:fill="auto"/>
          </w:tcPr>
          <w:p w14:paraId="248A8A29">
            <w:pPr>
              <w:pStyle w:val="180"/>
              <w:rPr>
                <w:rFonts w:ascii="Times New Roman"/>
              </w:rPr>
            </w:pPr>
            <w:r>
              <w:rPr>
                <w:rFonts w:ascii="Times New Roman"/>
              </w:rPr>
              <w:t>芜湖市辖区</w:t>
            </w:r>
          </w:p>
        </w:tc>
        <w:tc>
          <w:tcPr>
            <w:tcW w:w="2333" w:type="dxa"/>
            <w:shd w:val="clear" w:color="auto" w:fill="auto"/>
          </w:tcPr>
          <w:p w14:paraId="71E3103F">
            <w:pPr>
              <w:pStyle w:val="180"/>
              <w:rPr>
                <w:rFonts w:ascii="Times New Roman"/>
              </w:rPr>
            </w:pPr>
            <w:r>
              <w:rPr>
                <w:rFonts w:ascii="Times New Roman"/>
              </w:rPr>
              <w:t>0.00524</w:t>
            </w:r>
          </w:p>
        </w:tc>
      </w:tr>
      <w:tr w14:paraId="6EB567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4150CB0">
            <w:pPr>
              <w:pStyle w:val="180"/>
              <w:rPr>
                <w:rFonts w:ascii="Times New Roman"/>
              </w:rPr>
            </w:pPr>
            <w:r>
              <w:rPr>
                <w:rFonts w:ascii="Times New Roman"/>
              </w:rPr>
              <w:t>庐江县</w:t>
            </w:r>
          </w:p>
        </w:tc>
        <w:tc>
          <w:tcPr>
            <w:tcW w:w="2334" w:type="dxa"/>
            <w:shd w:val="clear" w:color="auto" w:fill="auto"/>
          </w:tcPr>
          <w:p w14:paraId="76949267">
            <w:pPr>
              <w:pStyle w:val="180"/>
              <w:rPr>
                <w:rFonts w:ascii="Times New Roman"/>
              </w:rPr>
            </w:pPr>
            <w:r>
              <w:rPr>
                <w:rFonts w:ascii="Times New Roman"/>
              </w:rPr>
              <w:t>0.00508</w:t>
            </w:r>
          </w:p>
        </w:tc>
        <w:tc>
          <w:tcPr>
            <w:tcW w:w="2333" w:type="dxa"/>
            <w:shd w:val="clear" w:color="auto" w:fill="auto"/>
          </w:tcPr>
          <w:p w14:paraId="3CC16AC9">
            <w:pPr>
              <w:pStyle w:val="180"/>
              <w:rPr>
                <w:rFonts w:ascii="Times New Roman"/>
              </w:rPr>
            </w:pPr>
            <w:r>
              <w:rPr>
                <w:rFonts w:ascii="Times New Roman"/>
              </w:rPr>
              <w:t>南陵县</w:t>
            </w:r>
          </w:p>
        </w:tc>
        <w:tc>
          <w:tcPr>
            <w:tcW w:w="2333" w:type="dxa"/>
            <w:shd w:val="clear" w:color="auto" w:fill="auto"/>
          </w:tcPr>
          <w:p w14:paraId="632A741D">
            <w:pPr>
              <w:pStyle w:val="180"/>
              <w:rPr>
                <w:rFonts w:ascii="Times New Roman"/>
              </w:rPr>
            </w:pPr>
            <w:r>
              <w:rPr>
                <w:rFonts w:ascii="Times New Roman"/>
              </w:rPr>
              <w:t>0.00598</w:t>
            </w:r>
          </w:p>
        </w:tc>
      </w:tr>
      <w:tr w14:paraId="41188A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0463573">
            <w:pPr>
              <w:pStyle w:val="180"/>
              <w:rPr>
                <w:rFonts w:ascii="Times New Roman"/>
              </w:rPr>
            </w:pPr>
            <w:r>
              <w:rPr>
                <w:rFonts w:ascii="Times New Roman"/>
              </w:rPr>
              <w:t>淮北市辖区</w:t>
            </w:r>
          </w:p>
        </w:tc>
        <w:tc>
          <w:tcPr>
            <w:tcW w:w="2334" w:type="dxa"/>
            <w:shd w:val="clear" w:color="auto" w:fill="auto"/>
          </w:tcPr>
          <w:p w14:paraId="607D4FB9">
            <w:pPr>
              <w:pStyle w:val="180"/>
              <w:rPr>
                <w:rFonts w:ascii="Times New Roman"/>
              </w:rPr>
            </w:pPr>
            <w:r>
              <w:rPr>
                <w:rFonts w:ascii="Times New Roman"/>
              </w:rPr>
              <w:t>0.00708</w:t>
            </w:r>
          </w:p>
        </w:tc>
        <w:tc>
          <w:tcPr>
            <w:tcW w:w="2333" w:type="dxa"/>
            <w:shd w:val="clear" w:color="auto" w:fill="auto"/>
          </w:tcPr>
          <w:p w14:paraId="426848F8">
            <w:pPr>
              <w:pStyle w:val="180"/>
              <w:rPr>
                <w:rFonts w:ascii="Times New Roman"/>
              </w:rPr>
            </w:pPr>
            <w:r>
              <w:rPr>
                <w:rFonts w:ascii="Times New Roman"/>
              </w:rPr>
              <w:t>无为市</w:t>
            </w:r>
          </w:p>
        </w:tc>
        <w:tc>
          <w:tcPr>
            <w:tcW w:w="2333" w:type="dxa"/>
            <w:shd w:val="clear" w:color="auto" w:fill="auto"/>
          </w:tcPr>
          <w:p w14:paraId="35C426FD">
            <w:pPr>
              <w:pStyle w:val="180"/>
              <w:rPr>
                <w:rFonts w:ascii="Times New Roman"/>
              </w:rPr>
            </w:pPr>
            <w:r>
              <w:rPr>
                <w:rFonts w:ascii="Times New Roman"/>
              </w:rPr>
              <w:t>0.00558</w:t>
            </w:r>
          </w:p>
        </w:tc>
      </w:tr>
      <w:tr w14:paraId="5B7EF8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57431BE">
            <w:pPr>
              <w:pStyle w:val="180"/>
              <w:rPr>
                <w:rFonts w:ascii="Times New Roman"/>
              </w:rPr>
            </w:pPr>
            <w:r>
              <w:rPr>
                <w:rFonts w:ascii="Times New Roman"/>
              </w:rPr>
              <w:t>濉溪县</w:t>
            </w:r>
          </w:p>
        </w:tc>
        <w:tc>
          <w:tcPr>
            <w:tcW w:w="2334" w:type="dxa"/>
            <w:shd w:val="clear" w:color="auto" w:fill="auto"/>
          </w:tcPr>
          <w:p w14:paraId="35A521E3">
            <w:pPr>
              <w:pStyle w:val="180"/>
              <w:rPr>
                <w:rFonts w:ascii="Times New Roman"/>
              </w:rPr>
            </w:pPr>
            <w:r>
              <w:rPr>
                <w:rFonts w:ascii="Times New Roman"/>
              </w:rPr>
              <w:t>0.00652</w:t>
            </w:r>
          </w:p>
        </w:tc>
        <w:tc>
          <w:tcPr>
            <w:tcW w:w="2333" w:type="dxa"/>
            <w:shd w:val="clear" w:color="auto" w:fill="auto"/>
          </w:tcPr>
          <w:p w14:paraId="1B11CF78">
            <w:pPr>
              <w:pStyle w:val="180"/>
              <w:rPr>
                <w:rFonts w:ascii="Times New Roman"/>
              </w:rPr>
            </w:pPr>
            <w:r>
              <w:rPr>
                <w:rFonts w:ascii="Times New Roman"/>
              </w:rPr>
              <w:t>宣城市辖区</w:t>
            </w:r>
          </w:p>
        </w:tc>
        <w:tc>
          <w:tcPr>
            <w:tcW w:w="2333" w:type="dxa"/>
            <w:shd w:val="clear" w:color="auto" w:fill="auto"/>
          </w:tcPr>
          <w:p w14:paraId="1550E572">
            <w:pPr>
              <w:pStyle w:val="180"/>
              <w:rPr>
                <w:rFonts w:ascii="Times New Roman"/>
              </w:rPr>
            </w:pPr>
            <w:r>
              <w:rPr>
                <w:rFonts w:ascii="Times New Roman"/>
              </w:rPr>
              <w:t>0.00526</w:t>
            </w:r>
          </w:p>
        </w:tc>
      </w:tr>
      <w:tr w14:paraId="666782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310BF416">
            <w:pPr>
              <w:pStyle w:val="180"/>
              <w:rPr>
                <w:rFonts w:ascii="Times New Roman"/>
              </w:rPr>
            </w:pPr>
            <w:r>
              <w:rPr>
                <w:rFonts w:ascii="Times New Roman"/>
              </w:rPr>
              <w:t>亳州市辖区</w:t>
            </w:r>
          </w:p>
        </w:tc>
        <w:tc>
          <w:tcPr>
            <w:tcW w:w="2334" w:type="dxa"/>
            <w:shd w:val="clear" w:color="auto" w:fill="auto"/>
          </w:tcPr>
          <w:p w14:paraId="329FCF14">
            <w:pPr>
              <w:pStyle w:val="180"/>
              <w:rPr>
                <w:rFonts w:ascii="Times New Roman"/>
              </w:rPr>
            </w:pPr>
            <w:r>
              <w:rPr>
                <w:rFonts w:ascii="Times New Roman"/>
              </w:rPr>
              <w:t>0.00611</w:t>
            </w:r>
          </w:p>
        </w:tc>
        <w:tc>
          <w:tcPr>
            <w:tcW w:w="2333" w:type="dxa"/>
            <w:shd w:val="clear" w:color="auto" w:fill="auto"/>
          </w:tcPr>
          <w:p w14:paraId="37D7F900">
            <w:pPr>
              <w:pStyle w:val="180"/>
              <w:rPr>
                <w:rFonts w:ascii="Times New Roman"/>
              </w:rPr>
            </w:pPr>
            <w:r>
              <w:rPr>
                <w:rFonts w:ascii="Times New Roman"/>
              </w:rPr>
              <w:t>郎溪县</w:t>
            </w:r>
          </w:p>
        </w:tc>
        <w:tc>
          <w:tcPr>
            <w:tcW w:w="2333" w:type="dxa"/>
            <w:shd w:val="clear" w:color="auto" w:fill="auto"/>
          </w:tcPr>
          <w:p w14:paraId="73783A75">
            <w:pPr>
              <w:pStyle w:val="180"/>
              <w:rPr>
                <w:rFonts w:ascii="Times New Roman"/>
              </w:rPr>
            </w:pPr>
            <w:r>
              <w:rPr>
                <w:rFonts w:ascii="Times New Roman"/>
              </w:rPr>
              <w:t>0.00632</w:t>
            </w:r>
          </w:p>
        </w:tc>
      </w:tr>
      <w:tr w14:paraId="4389EF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C17AC93">
            <w:pPr>
              <w:pStyle w:val="180"/>
              <w:rPr>
                <w:rFonts w:ascii="Times New Roman"/>
              </w:rPr>
            </w:pPr>
            <w:r>
              <w:rPr>
                <w:rFonts w:ascii="Times New Roman"/>
              </w:rPr>
              <w:t>涡阳县</w:t>
            </w:r>
          </w:p>
        </w:tc>
        <w:tc>
          <w:tcPr>
            <w:tcW w:w="2334" w:type="dxa"/>
            <w:shd w:val="clear" w:color="auto" w:fill="auto"/>
          </w:tcPr>
          <w:p w14:paraId="23444664">
            <w:pPr>
              <w:pStyle w:val="180"/>
              <w:rPr>
                <w:rFonts w:ascii="Times New Roman"/>
              </w:rPr>
            </w:pPr>
            <w:r>
              <w:rPr>
                <w:rFonts w:ascii="Times New Roman"/>
              </w:rPr>
              <w:t>0.00590</w:t>
            </w:r>
          </w:p>
        </w:tc>
        <w:tc>
          <w:tcPr>
            <w:tcW w:w="2333" w:type="dxa"/>
            <w:shd w:val="clear" w:color="auto" w:fill="auto"/>
          </w:tcPr>
          <w:p w14:paraId="0D4D2CA5">
            <w:pPr>
              <w:pStyle w:val="180"/>
              <w:rPr>
                <w:rFonts w:ascii="Times New Roman"/>
              </w:rPr>
            </w:pPr>
            <w:r>
              <w:rPr>
                <w:rFonts w:ascii="Times New Roman"/>
              </w:rPr>
              <w:t>泾县</w:t>
            </w:r>
          </w:p>
        </w:tc>
        <w:tc>
          <w:tcPr>
            <w:tcW w:w="2333" w:type="dxa"/>
            <w:shd w:val="clear" w:color="auto" w:fill="auto"/>
          </w:tcPr>
          <w:p w14:paraId="64B65FE6">
            <w:pPr>
              <w:pStyle w:val="180"/>
              <w:rPr>
                <w:rFonts w:ascii="Times New Roman"/>
              </w:rPr>
            </w:pPr>
            <w:r>
              <w:rPr>
                <w:rFonts w:ascii="Times New Roman"/>
              </w:rPr>
              <w:t>0.00561</w:t>
            </w:r>
          </w:p>
        </w:tc>
      </w:tr>
      <w:tr w14:paraId="3095F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DC7C8C6">
            <w:pPr>
              <w:pStyle w:val="180"/>
              <w:rPr>
                <w:rFonts w:ascii="Times New Roman"/>
              </w:rPr>
            </w:pPr>
            <w:r>
              <w:rPr>
                <w:rFonts w:ascii="Times New Roman"/>
              </w:rPr>
              <w:t>蒙城县</w:t>
            </w:r>
          </w:p>
        </w:tc>
        <w:tc>
          <w:tcPr>
            <w:tcW w:w="2334" w:type="dxa"/>
            <w:shd w:val="clear" w:color="auto" w:fill="auto"/>
          </w:tcPr>
          <w:p w14:paraId="146E18F1">
            <w:pPr>
              <w:pStyle w:val="180"/>
              <w:rPr>
                <w:rFonts w:ascii="Times New Roman"/>
              </w:rPr>
            </w:pPr>
            <w:r>
              <w:rPr>
                <w:rFonts w:ascii="Times New Roman"/>
              </w:rPr>
              <w:t>0.00602</w:t>
            </w:r>
          </w:p>
        </w:tc>
        <w:tc>
          <w:tcPr>
            <w:tcW w:w="2333" w:type="dxa"/>
            <w:shd w:val="clear" w:color="auto" w:fill="auto"/>
          </w:tcPr>
          <w:p w14:paraId="5EBF9430">
            <w:pPr>
              <w:pStyle w:val="180"/>
              <w:rPr>
                <w:rFonts w:ascii="Times New Roman"/>
              </w:rPr>
            </w:pPr>
            <w:r>
              <w:rPr>
                <w:rFonts w:ascii="Times New Roman"/>
              </w:rPr>
              <w:t>绩溪县</w:t>
            </w:r>
          </w:p>
        </w:tc>
        <w:tc>
          <w:tcPr>
            <w:tcW w:w="2333" w:type="dxa"/>
            <w:shd w:val="clear" w:color="auto" w:fill="auto"/>
          </w:tcPr>
          <w:p w14:paraId="76A4EFF1">
            <w:pPr>
              <w:pStyle w:val="180"/>
              <w:rPr>
                <w:rFonts w:ascii="Times New Roman"/>
              </w:rPr>
            </w:pPr>
            <w:r>
              <w:rPr>
                <w:rFonts w:ascii="Times New Roman"/>
              </w:rPr>
              <w:t>0.00480</w:t>
            </w:r>
          </w:p>
        </w:tc>
      </w:tr>
      <w:tr w14:paraId="1E436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3280F1A">
            <w:pPr>
              <w:pStyle w:val="180"/>
              <w:rPr>
                <w:rFonts w:ascii="Times New Roman"/>
              </w:rPr>
            </w:pPr>
            <w:r>
              <w:rPr>
                <w:rFonts w:ascii="Times New Roman"/>
              </w:rPr>
              <w:t>利辛县</w:t>
            </w:r>
          </w:p>
        </w:tc>
        <w:tc>
          <w:tcPr>
            <w:tcW w:w="2334" w:type="dxa"/>
            <w:shd w:val="clear" w:color="auto" w:fill="auto"/>
          </w:tcPr>
          <w:p w14:paraId="32D81823">
            <w:pPr>
              <w:pStyle w:val="180"/>
              <w:rPr>
                <w:rFonts w:ascii="Times New Roman"/>
              </w:rPr>
            </w:pPr>
            <w:r>
              <w:rPr>
                <w:rFonts w:ascii="Times New Roman"/>
              </w:rPr>
              <w:t>0.00561</w:t>
            </w:r>
          </w:p>
        </w:tc>
        <w:tc>
          <w:tcPr>
            <w:tcW w:w="2333" w:type="dxa"/>
            <w:shd w:val="clear" w:color="auto" w:fill="auto"/>
          </w:tcPr>
          <w:p w14:paraId="2722B955">
            <w:pPr>
              <w:pStyle w:val="180"/>
              <w:rPr>
                <w:rFonts w:ascii="Times New Roman"/>
              </w:rPr>
            </w:pPr>
            <w:r>
              <w:rPr>
                <w:rFonts w:ascii="Times New Roman"/>
              </w:rPr>
              <w:t>旌德县</w:t>
            </w:r>
          </w:p>
        </w:tc>
        <w:tc>
          <w:tcPr>
            <w:tcW w:w="2333" w:type="dxa"/>
            <w:shd w:val="clear" w:color="auto" w:fill="auto"/>
          </w:tcPr>
          <w:p w14:paraId="7A2CA859">
            <w:pPr>
              <w:pStyle w:val="180"/>
              <w:rPr>
                <w:rFonts w:ascii="Times New Roman"/>
              </w:rPr>
            </w:pPr>
            <w:r>
              <w:rPr>
                <w:rFonts w:ascii="Times New Roman"/>
              </w:rPr>
              <w:t>0.00489</w:t>
            </w:r>
          </w:p>
        </w:tc>
      </w:tr>
      <w:tr w14:paraId="154FD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9DC1C1A">
            <w:pPr>
              <w:pStyle w:val="180"/>
              <w:rPr>
                <w:rFonts w:ascii="Times New Roman"/>
              </w:rPr>
            </w:pPr>
            <w:r>
              <w:rPr>
                <w:rFonts w:ascii="Times New Roman"/>
              </w:rPr>
              <w:t>宿州市辖区</w:t>
            </w:r>
          </w:p>
        </w:tc>
        <w:tc>
          <w:tcPr>
            <w:tcW w:w="2334" w:type="dxa"/>
            <w:shd w:val="clear" w:color="auto" w:fill="auto"/>
          </w:tcPr>
          <w:p w14:paraId="2C2ED63B">
            <w:pPr>
              <w:pStyle w:val="180"/>
              <w:rPr>
                <w:rFonts w:ascii="Times New Roman"/>
              </w:rPr>
            </w:pPr>
            <w:r>
              <w:rPr>
                <w:rFonts w:ascii="Times New Roman"/>
              </w:rPr>
              <w:t>0.00683</w:t>
            </w:r>
          </w:p>
        </w:tc>
        <w:tc>
          <w:tcPr>
            <w:tcW w:w="2333" w:type="dxa"/>
            <w:shd w:val="clear" w:color="auto" w:fill="auto"/>
          </w:tcPr>
          <w:p w14:paraId="1BDD6589">
            <w:pPr>
              <w:pStyle w:val="180"/>
              <w:rPr>
                <w:rFonts w:ascii="Times New Roman"/>
              </w:rPr>
            </w:pPr>
            <w:r>
              <w:rPr>
                <w:rFonts w:ascii="Times New Roman"/>
              </w:rPr>
              <w:t>宁国市</w:t>
            </w:r>
          </w:p>
        </w:tc>
        <w:tc>
          <w:tcPr>
            <w:tcW w:w="2333" w:type="dxa"/>
            <w:shd w:val="clear" w:color="auto" w:fill="auto"/>
          </w:tcPr>
          <w:p w14:paraId="178CF2EB">
            <w:pPr>
              <w:pStyle w:val="180"/>
              <w:rPr>
                <w:rFonts w:ascii="Times New Roman"/>
              </w:rPr>
            </w:pPr>
            <w:r>
              <w:rPr>
                <w:rFonts w:ascii="Times New Roman"/>
              </w:rPr>
              <w:t>0.00509</w:t>
            </w:r>
          </w:p>
        </w:tc>
      </w:tr>
      <w:tr w14:paraId="337B1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32605D9C">
            <w:pPr>
              <w:pStyle w:val="180"/>
              <w:rPr>
                <w:rFonts w:ascii="Times New Roman"/>
              </w:rPr>
            </w:pPr>
            <w:r>
              <w:rPr>
                <w:rFonts w:ascii="Times New Roman"/>
              </w:rPr>
              <w:t>砀山县</w:t>
            </w:r>
          </w:p>
        </w:tc>
        <w:tc>
          <w:tcPr>
            <w:tcW w:w="2334" w:type="dxa"/>
            <w:shd w:val="clear" w:color="auto" w:fill="auto"/>
          </w:tcPr>
          <w:p w14:paraId="35F3F2E1">
            <w:pPr>
              <w:pStyle w:val="180"/>
              <w:rPr>
                <w:rFonts w:ascii="Times New Roman"/>
              </w:rPr>
            </w:pPr>
            <w:r>
              <w:rPr>
                <w:rFonts w:ascii="Times New Roman"/>
              </w:rPr>
              <w:t>0.00668</w:t>
            </w:r>
          </w:p>
        </w:tc>
        <w:tc>
          <w:tcPr>
            <w:tcW w:w="2333" w:type="dxa"/>
            <w:shd w:val="clear" w:color="auto" w:fill="auto"/>
          </w:tcPr>
          <w:p w14:paraId="6AB966F8">
            <w:pPr>
              <w:pStyle w:val="180"/>
              <w:rPr>
                <w:rFonts w:ascii="Times New Roman"/>
              </w:rPr>
            </w:pPr>
            <w:r>
              <w:rPr>
                <w:rFonts w:ascii="Times New Roman"/>
              </w:rPr>
              <w:t>广德市</w:t>
            </w:r>
          </w:p>
        </w:tc>
        <w:tc>
          <w:tcPr>
            <w:tcW w:w="2333" w:type="dxa"/>
            <w:shd w:val="clear" w:color="auto" w:fill="auto"/>
          </w:tcPr>
          <w:p w14:paraId="65B03200">
            <w:pPr>
              <w:pStyle w:val="180"/>
              <w:rPr>
                <w:rFonts w:ascii="Times New Roman"/>
              </w:rPr>
            </w:pPr>
            <w:r>
              <w:rPr>
                <w:rFonts w:ascii="Times New Roman"/>
              </w:rPr>
              <w:t>0.00583</w:t>
            </w:r>
          </w:p>
        </w:tc>
      </w:tr>
      <w:tr w14:paraId="34733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45A1DBC">
            <w:pPr>
              <w:pStyle w:val="180"/>
              <w:rPr>
                <w:rFonts w:ascii="Times New Roman"/>
              </w:rPr>
            </w:pPr>
            <w:r>
              <w:rPr>
                <w:rFonts w:ascii="Times New Roman"/>
              </w:rPr>
              <w:t>萧县</w:t>
            </w:r>
          </w:p>
        </w:tc>
        <w:tc>
          <w:tcPr>
            <w:tcW w:w="2334" w:type="dxa"/>
            <w:shd w:val="clear" w:color="auto" w:fill="auto"/>
          </w:tcPr>
          <w:p w14:paraId="6033640D">
            <w:pPr>
              <w:pStyle w:val="180"/>
              <w:rPr>
                <w:rFonts w:ascii="Times New Roman"/>
              </w:rPr>
            </w:pPr>
            <w:r>
              <w:rPr>
                <w:rFonts w:ascii="Times New Roman"/>
              </w:rPr>
              <w:t>0.00873</w:t>
            </w:r>
          </w:p>
        </w:tc>
        <w:tc>
          <w:tcPr>
            <w:tcW w:w="2333" w:type="dxa"/>
            <w:shd w:val="clear" w:color="auto" w:fill="auto"/>
          </w:tcPr>
          <w:p w14:paraId="2E922DC0">
            <w:pPr>
              <w:pStyle w:val="180"/>
              <w:rPr>
                <w:rFonts w:ascii="Times New Roman"/>
              </w:rPr>
            </w:pPr>
            <w:r>
              <w:rPr>
                <w:rFonts w:ascii="Times New Roman"/>
              </w:rPr>
              <w:t>铜陵市辖区</w:t>
            </w:r>
          </w:p>
        </w:tc>
        <w:tc>
          <w:tcPr>
            <w:tcW w:w="2333" w:type="dxa"/>
            <w:shd w:val="clear" w:color="auto" w:fill="auto"/>
          </w:tcPr>
          <w:p w14:paraId="38F1EF39">
            <w:pPr>
              <w:pStyle w:val="180"/>
              <w:rPr>
                <w:rFonts w:ascii="Times New Roman"/>
              </w:rPr>
            </w:pPr>
            <w:r>
              <w:rPr>
                <w:rFonts w:ascii="Times New Roman"/>
              </w:rPr>
              <w:t>0.00435</w:t>
            </w:r>
          </w:p>
        </w:tc>
      </w:tr>
      <w:tr w14:paraId="36C02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39F821A">
            <w:pPr>
              <w:pStyle w:val="180"/>
              <w:rPr>
                <w:rFonts w:ascii="Times New Roman"/>
              </w:rPr>
            </w:pPr>
            <w:r>
              <w:rPr>
                <w:rFonts w:ascii="Times New Roman"/>
              </w:rPr>
              <w:t>灵璧县</w:t>
            </w:r>
          </w:p>
        </w:tc>
        <w:tc>
          <w:tcPr>
            <w:tcW w:w="2334" w:type="dxa"/>
            <w:shd w:val="clear" w:color="auto" w:fill="auto"/>
          </w:tcPr>
          <w:p w14:paraId="594EE534">
            <w:pPr>
              <w:pStyle w:val="180"/>
              <w:rPr>
                <w:rFonts w:ascii="Times New Roman"/>
              </w:rPr>
            </w:pPr>
            <w:r>
              <w:rPr>
                <w:rFonts w:ascii="Times New Roman"/>
              </w:rPr>
              <w:t>0.00685</w:t>
            </w:r>
          </w:p>
        </w:tc>
        <w:tc>
          <w:tcPr>
            <w:tcW w:w="2333" w:type="dxa"/>
            <w:shd w:val="clear" w:color="auto" w:fill="auto"/>
          </w:tcPr>
          <w:p w14:paraId="42BBD9DA">
            <w:pPr>
              <w:pStyle w:val="180"/>
              <w:rPr>
                <w:rFonts w:ascii="Times New Roman"/>
              </w:rPr>
            </w:pPr>
            <w:r>
              <w:rPr>
                <w:rFonts w:ascii="Times New Roman"/>
              </w:rPr>
              <w:t>枞阳县</w:t>
            </w:r>
          </w:p>
        </w:tc>
        <w:tc>
          <w:tcPr>
            <w:tcW w:w="2333" w:type="dxa"/>
            <w:shd w:val="clear" w:color="auto" w:fill="auto"/>
          </w:tcPr>
          <w:p w14:paraId="3BA1517E">
            <w:pPr>
              <w:pStyle w:val="180"/>
              <w:rPr>
                <w:rFonts w:ascii="Times New Roman"/>
              </w:rPr>
            </w:pPr>
            <w:r>
              <w:rPr>
                <w:rFonts w:ascii="Times New Roman"/>
              </w:rPr>
              <w:t>0.00452</w:t>
            </w:r>
          </w:p>
        </w:tc>
      </w:tr>
      <w:tr w14:paraId="3B2B91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558BB69">
            <w:pPr>
              <w:pStyle w:val="180"/>
              <w:rPr>
                <w:rFonts w:ascii="Times New Roman"/>
              </w:rPr>
            </w:pPr>
            <w:r>
              <w:rPr>
                <w:rFonts w:ascii="Times New Roman"/>
              </w:rPr>
              <w:t>泗县</w:t>
            </w:r>
          </w:p>
        </w:tc>
        <w:tc>
          <w:tcPr>
            <w:tcW w:w="2334" w:type="dxa"/>
            <w:shd w:val="clear" w:color="auto" w:fill="auto"/>
          </w:tcPr>
          <w:p w14:paraId="381A4EA9">
            <w:pPr>
              <w:pStyle w:val="180"/>
              <w:rPr>
                <w:rFonts w:ascii="Times New Roman"/>
              </w:rPr>
            </w:pPr>
            <w:r>
              <w:rPr>
                <w:rFonts w:ascii="Times New Roman"/>
              </w:rPr>
              <w:t>0.00676</w:t>
            </w:r>
          </w:p>
        </w:tc>
        <w:tc>
          <w:tcPr>
            <w:tcW w:w="2333" w:type="dxa"/>
            <w:shd w:val="clear" w:color="auto" w:fill="auto"/>
          </w:tcPr>
          <w:p w14:paraId="644886FA">
            <w:pPr>
              <w:pStyle w:val="180"/>
              <w:rPr>
                <w:rFonts w:ascii="Times New Roman"/>
              </w:rPr>
            </w:pPr>
            <w:r>
              <w:rPr>
                <w:rFonts w:ascii="Times New Roman"/>
              </w:rPr>
              <w:t>池州市辖区</w:t>
            </w:r>
          </w:p>
        </w:tc>
        <w:tc>
          <w:tcPr>
            <w:tcW w:w="2333" w:type="dxa"/>
            <w:shd w:val="clear" w:color="auto" w:fill="auto"/>
          </w:tcPr>
          <w:p w14:paraId="4D6F2000">
            <w:pPr>
              <w:pStyle w:val="180"/>
              <w:rPr>
                <w:rFonts w:ascii="Times New Roman"/>
              </w:rPr>
            </w:pPr>
            <w:r>
              <w:rPr>
                <w:rFonts w:ascii="Times New Roman"/>
              </w:rPr>
              <w:t>0.00430</w:t>
            </w:r>
          </w:p>
        </w:tc>
      </w:tr>
      <w:tr w14:paraId="57723B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17A55EA">
            <w:pPr>
              <w:pStyle w:val="180"/>
              <w:rPr>
                <w:rFonts w:ascii="Times New Roman"/>
              </w:rPr>
            </w:pPr>
            <w:r>
              <w:rPr>
                <w:rFonts w:ascii="Times New Roman"/>
              </w:rPr>
              <w:t>蚌埠市辖区</w:t>
            </w:r>
          </w:p>
        </w:tc>
        <w:tc>
          <w:tcPr>
            <w:tcW w:w="2334" w:type="dxa"/>
            <w:shd w:val="clear" w:color="auto" w:fill="auto"/>
          </w:tcPr>
          <w:p w14:paraId="1D3EA722">
            <w:pPr>
              <w:pStyle w:val="180"/>
              <w:rPr>
                <w:rFonts w:ascii="Times New Roman"/>
              </w:rPr>
            </w:pPr>
            <w:r>
              <w:rPr>
                <w:rFonts w:ascii="Times New Roman"/>
              </w:rPr>
              <w:t>0.00593</w:t>
            </w:r>
          </w:p>
        </w:tc>
        <w:tc>
          <w:tcPr>
            <w:tcW w:w="2333" w:type="dxa"/>
            <w:shd w:val="clear" w:color="auto" w:fill="auto"/>
          </w:tcPr>
          <w:p w14:paraId="079E94E1">
            <w:pPr>
              <w:pStyle w:val="180"/>
              <w:rPr>
                <w:rFonts w:ascii="Times New Roman"/>
              </w:rPr>
            </w:pPr>
            <w:r>
              <w:rPr>
                <w:rFonts w:ascii="Times New Roman"/>
              </w:rPr>
              <w:t>东至县</w:t>
            </w:r>
          </w:p>
        </w:tc>
        <w:tc>
          <w:tcPr>
            <w:tcW w:w="2333" w:type="dxa"/>
            <w:shd w:val="clear" w:color="auto" w:fill="auto"/>
          </w:tcPr>
          <w:p w14:paraId="69C220D3">
            <w:pPr>
              <w:pStyle w:val="180"/>
              <w:rPr>
                <w:rFonts w:ascii="Times New Roman"/>
              </w:rPr>
            </w:pPr>
            <w:r>
              <w:rPr>
                <w:rFonts w:ascii="Times New Roman"/>
              </w:rPr>
              <w:t>0.00381</w:t>
            </w:r>
          </w:p>
        </w:tc>
      </w:tr>
      <w:tr w14:paraId="52293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460CF0D">
            <w:pPr>
              <w:pStyle w:val="180"/>
              <w:rPr>
                <w:rFonts w:ascii="Times New Roman"/>
              </w:rPr>
            </w:pPr>
            <w:r>
              <w:rPr>
                <w:rFonts w:ascii="Times New Roman"/>
              </w:rPr>
              <w:t>怀远县</w:t>
            </w:r>
          </w:p>
        </w:tc>
        <w:tc>
          <w:tcPr>
            <w:tcW w:w="2334" w:type="dxa"/>
            <w:shd w:val="clear" w:color="auto" w:fill="auto"/>
          </w:tcPr>
          <w:p w14:paraId="20F3F8BF">
            <w:pPr>
              <w:pStyle w:val="180"/>
              <w:rPr>
                <w:rFonts w:ascii="Times New Roman"/>
              </w:rPr>
            </w:pPr>
            <w:r>
              <w:rPr>
                <w:rFonts w:ascii="Times New Roman"/>
              </w:rPr>
              <w:t>0.00627</w:t>
            </w:r>
          </w:p>
        </w:tc>
        <w:tc>
          <w:tcPr>
            <w:tcW w:w="2333" w:type="dxa"/>
            <w:shd w:val="clear" w:color="auto" w:fill="auto"/>
          </w:tcPr>
          <w:p w14:paraId="4A9A74C1">
            <w:pPr>
              <w:pStyle w:val="180"/>
              <w:rPr>
                <w:rFonts w:ascii="Times New Roman"/>
              </w:rPr>
            </w:pPr>
            <w:r>
              <w:rPr>
                <w:rFonts w:ascii="Times New Roman"/>
              </w:rPr>
              <w:t>石台县</w:t>
            </w:r>
          </w:p>
        </w:tc>
        <w:tc>
          <w:tcPr>
            <w:tcW w:w="2333" w:type="dxa"/>
            <w:shd w:val="clear" w:color="auto" w:fill="auto"/>
          </w:tcPr>
          <w:p w14:paraId="227DE0E3">
            <w:pPr>
              <w:pStyle w:val="180"/>
              <w:rPr>
                <w:rFonts w:ascii="Times New Roman"/>
              </w:rPr>
            </w:pPr>
            <w:r>
              <w:rPr>
                <w:rFonts w:ascii="Times New Roman"/>
              </w:rPr>
              <w:t>0.00424</w:t>
            </w:r>
          </w:p>
        </w:tc>
      </w:tr>
      <w:tr w14:paraId="272A4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22E54AF">
            <w:pPr>
              <w:pStyle w:val="180"/>
              <w:rPr>
                <w:rFonts w:ascii="Times New Roman"/>
              </w:rPr>
            </w:pPr>
            <w:r>
              <w:rPr>
                <w:rFonts w:ascii="Times New Roman"/>
              </w:rPr>
              <w:t>五河县</w:t>
            </w:r>
          </w:p>
        </w:tc>
        <w:tc>
          <w:tcPr>
            <w:tcW w:w="2334" w:type="dxa"/>
            <w:shd w:val="clear" w:color="auto" w:fill="auto"/>
          </w:tcPr>
          <w:p w14:paraId="167384D5">
            <w:pPr>
              <w:pStyle w:val="180"/>
              <w:rPr>
                <w:rFonts w:ascii="Times New Roman"/>
              </w:rPr>
            </w:pPr>
            <w:r>
              <w:rPr>
                <w:rFonts w:ascii="Times New Roman"/>
              </w:rPr>
              <w:t>0.00646</w:t>
            </w:r>
          </w:p>
        </w:tc>
        <w:tc>
          <w:tcPr>
            <w:tcW w:w="2333" w:type="dxa"/>
            <w:shd w:val="clear" w:color="auto" w:fill="auto"/>
          </w:tcPr>
          <w:p w14:paraId="68BBAF40">
            <w:pPr>
              <w:pStyle w:val="180"/>
              <w:rPr>
                <w:rFonts w:ascii="Times New Roman"/>
              </w:rPr>
            </w:pPr>
            <w:r>
              <w:rPr>
                <w:rFonts w:ascii="Times New Roman"/>
              </w:rPr>
              <w:t>青阳县</w:t>
            </w:r>
          </w:p>
        </w:tc>
        <w:tc>
          <w:tcPr>
            <w:tcW w:w="2333" w:type="dxa"/>
            <w:shd w:val="clear" w:color="auto" w:fill="auto"/>
          </w:tcPr>
          <w:p w14:paraId="033F1C38">
            <w:pPr>
              <w:pStyle w:val="180"/>
              <w:rPr>
                <w:rFonts w:ascii="Times New Roman"/>
              </w:rPr>
            </w:pPr>
            <w:r>
              <w:rPr>
                <w:rFonts w:ascii="Times New Roman"/>
              </w:rPr>
              <w:t>0.00553</w:t>
            </w:r>
          </w:p>
        </w:tc>
      </w:tr>
      <w:tr w14:paraId="68DDF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D0DEEBB">
            <w:pPr>
              <w:pStyle w:val="180"/>
              <w:rPr>
                <w:rFonts w:ascii="Times New Roman"/>
              </w:rPr>
            </w:pPr>
            <w:r>
              <w:rPr>
                <w:rFonts w:ascii="Times New Roman"/>
              </w:rPr>
              <w:t>固镇县</w:t>
            </w:r>
          </w:p>
        </w:tc>
        <w:tc>
          <w:tcPr>
            <w:tcW w:w="2334" w:type="dxa"/>
            <w:shd w:val="clear" w:color="auto" w:fill="auto"/>
          </w:tcPr>
          <w:p w14:paraId="3A8C4058">
            <w:pPr>
              <w:pStyle w:val="180"/>
              <w:rPr>
                <w:rFonts w:ascii="Times New Roman"/>
              </w:rPr>
            </w:pPr>
            <w:r>
              <w:rPr>
                <w:rFonts w:ascii="Times New Roman"/>
              </w:rPr>
              <w:t>0.00646</w:t>
            </w:r>
          </w:p>
        </w:tc>
        <w:tc>
          <w:tcPr>
            <w:tcW w:w="2333" w:type="dxa"/>
            <w:shd w:val="clear" w:color="auto" w:fill="auto"/>
          </w:tcPr>
          <w:p w14:paraId="318D4397">
            <w:pPr>
              <w:pStyle w:val="180"/>
              <w:rPr>
                <w:rFonts w:ascii="Times New Roman"/>
              </w:rPr>
            </w:pPr>
            <w:r>
              <w:rPr>
                <w:rFonts w:ascii="Times New Roman"/>
              </w:rPr>
              <w:t>安庆市辖区</w:t>
            </w:r>
          </w:p>
        </w:tc>
        <w:tc>
          <w:tcPr>
            <w:tcW w:w="2333" w:type="dxa"/>
            <w:shd w:val="clear" w:color="auto" w:fill="auto"/>
          </w:tcPr>
          <w:p w14:paraId="1366C69C">
            <w:pPr>
              <w:pStyle w:val="180"/>
              <w:rPr>
                <w:rFonts w:ascii="Times New Roman"/>
              </w:rPr>
            </w:pPr>
            <w:r>
              <w:rPr>
                <w:rFonts w:ascii="Times New Roman"/>
              </w:rPr>
              <w:t>0.00383</w:t>
            </w:r>
          </w:p>
        </w:tc>
      </w:tr>
      <w:tr w14:paraId="3CB90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77863D1">
            <w:pPr>
              <w:pStyle w:val="180"/>
              <w:rPr>
                <w:rFonts w:ascii="Times New Roman"/>
              </w:rPr>
            </w:pPr>
            <w:r>
              <w:rPr>
                <w:rFonts w:ascii="Times New Roman"/>
              </w:rPr>
              <w:t>阜阳市辖区</w:t>
            </w:r>
          </w:p>
        </w:tc>
        <w:tc>
          <w:tcPr>
            <w:tcW w:w="2334" w:type="dxa"/>
            <w:shd w:val="clear" w:color="auto" w:fill="auto"/>
          </w:tcPr>
          <w:p w14:paraId="509A0611">
            <w:pPr>
              <w:pStyle w:val="180"/>
              <w:rPr>
                <w:rFonts w:ascii="Times New Roman"/>
              </w:rPr>
            </w:pPr>
            <w:r>
              <w:rPr>
                <w:rFonts w:ascii="Times New Roman"/>
              </w:rPr>
              <w:t>0.00456</w:t>
            </w:r>
          </w:p>
        </w:tc>
        <w:tc>
          <w:tcPr>
            <w:tcW w:w="2333" w:type="dxa"/>
            <w:shd w:val="clear" w:color="auto" w:fill="auto"/>
          </w:tcPr>
          <w:p w14:paraId="3FE79C68">
            <w:pPr>
              <w:pStyle w:val="180"/>
              <w:rPr>
                <w:rFonts w:ascii="Times New Roman"/>
              </w:rPr>
            </w:pPr>
            <w:r>
              <w:rPr>
                <w:rFonts w:ascii="Times New Roman"/>
              </w:rPr>
              <w:t>怀宁县</w:t>
            </w:r>
          </w:p>
        </w:tc>
        <w:tc>
          <w:tcPr>
            <w:tcW w:w="2333" w:type="dxa"/>
            <w:shd w:val="clear" w:color="auto" w:fill="auto"/>
          </w:tcPr>
          <w:p w14:paraId="336820A4">
            <w:pPr>
              <w:pStyle w:val="180"/>
              <w:rPr>
                <w:rFonts w:ascii="Times New Roman"/>
              </w:rPr>
            </w:pPr>
            <w:r>
              <w:rPr>
                <w:rFonts w:ascii="Times New Roman"/>
              </w:rPr>
              <w:t>0.00430</w:t>
            </w:r>
          </w:p>
        </w:tc>
      </w:tr>
      <w:tr w14:paraId="0B7835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2055664">
            <w:pPr>
              <w:pStyle w:val="180"/>
              <w:rPr>
                <w:rFonts w:ascii="Times New Roman"/>
              </w:rPr>
            </w:pPr>
            <w:r>
              <w:rPr>
                <w:rFonts w:ascii="Times New Roman"/>
              </w:rPr>
              <w:t>临泉县</w:t>
            </w:r>
          </w:p>
        </w:tc>
        <w:tc>
          <w:tcPr>
            <w:tcW w:w="2334" w:type="dxa"/>
            <w:shd w:val="clear" w:color="auto" w:fill="auto"/>
          </w:tcPr>
          <w:p w14:paraId="41CFFB4B">
            <w:pPr>
              <w:pStyle w:val="180"/>
              <w:rPr>
                <w:rFonts w:ascii="Times New Roman"/>
              </w:rPr>
            </w:pPr>
            <w:r>
              <w:rPr>
                <w:rFonts w:ascii="Times New Roman"/>
              </w:rPr>
              <w:t>0.00485</w:t>
            </w:r>
          </w:p>
        </w:tc>
        <w:tc>
          <w:tcPr>
            <w:tcW w:w="2333" w:type="dxa"/>
            <w:shd w:val="clear" w:color="auto" w:fill="auto"/>
          </w:tcPr>
          <w:p w14:paraId="62E8323A">
            <w:pPr>
              <w:pStyle w:val="180"/>
              <w:rPr>
                <w:rFonts w:ascii="Times New Roman"/>
              </w:rPr>
            </w:pPr>
            <w:r>
              <w:rPr>
                <w:rFonts w:ascii="Times New Roman"/>
              </w:rPr>
              <w:t>太湖县</w:t>
            </w:r>
          </w:p>
        </w:tc>
        <w:tc>
          <w:tcPr>
            <w:tcW w:w="2333" w:type="dxa"/>
            <w:shd w:val="clear" w:color="auto" w:fill="auto"/>
          </w:tcPr>
          <w:p w14:paraId="00DBCDF1">
            <w:pPr>
              <w:pStyle w:val="180"/>
              <w:rPr>
                <w:rFonts w:ascii="Times New Roman"/>
              </w:rPr>
            </w:pPr>
            <w:r>
              <w:rPr>
                <w:rFonts w:ascii="Times New Roman"/>
              </w:rPr>
              <w:t>0.00434</w:t>
            </w:r>
          </w:p>
        </w:tc>
      </w:tr>
      <w:tr w14:paraId="3CA83D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D9AC44D">
            <w:pPr>
              <w:pStyle w:val="180"/>
              <w:rPr>
                <w:rFonts w:ascii="Times New Roman"/>
              </w:rPr>
            </w:pPr>
            <w:r>
              <w:rPr>
                <w:rFonts w:ascii="Times New Roman"/>
              </w:rPr>
              <w:t>太和县</w:t>
            </w:r>
          </w:p>
        </w:tc>
        <w:tc>
          <w:tcPr>
            <w:tcW w:w="2334" w:type="dxa"/>
            <w:shd w:val="clear" w:color="auto" w:fill="auto"/>
          </w:tcPr>
          <w:p w14:paraId="55697B60">
            <w:pPr>
              <w:pStyle w:val="180"/>
              <w:rPr>
                <w:rFonts w:ascii="Times New Roman"/>
              </w:rPr>
            </w:pPr>
            <w:r>
              <w:rPr>
                <w:rFonts w:ascii="Times New Roman"/>
              </w:rPr>
              <w:t>0.00505</w:t>
            </w:r>
          </w:p>
        </w:tc>
        <w:tc>
          <w:tcPr>
            <w:tcW w:w="2333" w:type="dxa"/>
            <w:shd w:val="clear" w:color="auto" w:fill="auto"/>
          </w:tcPr>
          <w:p w14:paraId="4AAEF950">
            <w:pPr>
              <w:pStyle w:val="180"/>
              <w:rPr>
                <w:rFonts w:ascii="Times New Roman"/>
              </w:rPr>
            </w:pPr>
            <w:r>
              <w:rPr>
                <w:rFonts w:ascii="Times New Roman"/>
              </w:rPr>
              <w:t>宿松县</w:t>
            </w:r>
          </w:p>
        </w:tc>
        <w:tc>
          <w:tcPr>
            <w:tcW w:w="2333" w:type="dxa"/>
            <w:shd w:val="clear" w:color="auto" w:fill="auto"/>
          </w:tcPr>
          <w:p w14:paraId="359F55B8">
            <w:pPr>
              <w:pStyle w:val="180"/>
              <w:rPr>
                <w:rFonts w:ascii="Times New Roman"/>
              </w:rPr>
            </w:pPr>
            <w:r>
              <w:rPr>
                <w:rFonts w:ascii="Times New Roman"/>
              </w:rPr>
              <w:t>0.00341</w:t>
            </w:r>
          </w:p>
        </w:tc>
      </w:tr>
      <w:tr w14:paraId="54AE76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D51DFED">
            <w:pPr>
              <w:pStyle w:val="180"/>
              <w:rPr>
                <w:rFonts w:ascii="Times New Roman"/>
              </w:rPr>
            </w:pPr>
            <w:r>
              <w:rPr>
                <w:rFonts w:ascii="Times New Roman"/>
              </w:rPr>
              <w:t>阜南县</w:t>
            </w:r>
          </w:p>
        </w:tc>
        <w:tc>
          <w:tcPr>
            <w:tcW w:w="2334" w:type="dxa"/>
            <w:shd w:val="clear" w:color="auto" w:fill="auto"/>
          </w:tcPr>
          <w:p w14:paraId="690839AC">
            <w:pPr>
              <w:pStyle w:val="180"/>
              <w:rPr>
                <w:rFonts w:ascii="Times New Roman"/>
              </w:rPr>
            </w:pPr>
            <w:r>
              <w:rPr>
                <w:rFonts w:ascii="Times New Roman"/>
              </w:rPr>
              <w:t>0.00470</w:t>
            </w:r>
          </w:p>
        </w:tc>
        <w:tc>
          <w:tcPr>
            <w:tcW w:w="2333" w:type="dxa"/>
            <w:shd w:val="clear" w:color="auto" w:fill="auto"/>
          </w:tcPr>
          <w:p w14:paraId="7B996C9F">
            <w:pPr>
              <w:pStyle w:val="180"/>
              <w:rPr>
                <w:rFonts w:ascii="Times New Roman"/>
              </w:rPr>
            </w:pPr>
            <w:r>
              <w:rPr>
                <w:rFonts w:ascii="Times New Roman"/>
              </w:rPr>
              <w:t>望江县</w:t>
            </w:r>
          </w:p>
        </w:tc>
        <w:tc>
          <w:tcPr>
            <w:tcW w:w="2333" w:type="dxa"/>
            <w:shd w:val="clear" w:color="auto" w:fill="auto"/>
          </w:tcPr>
          <w:p w14:paraId="47E91A9B">
            <w:pPr>
              <w:pStyle w:val="180"/>
              <w:rPr>
                <w:rFonts w:ascii="Times New Roman"/>
              </w:rPr>
            </w:pPr>
            <w:r>
              <w:rPr>
                <w:rFonts w:ascii="Times New Roman"/>
              </w:rPr>
              <w:t>0.00385</w:t>
            </w:r>
          </w:p>
        </w:tc>
      </w:tr>
      <w:tr w14:paraId="3BCA2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3F60D27">
            <w:pPr>
              <w:pStyle w:val="180"/>
              <w:rPr>
                <w:rFonts w:ascii="Times New Roman"/>
              </w:rPr>
            </w:pPr>
            <w:r>
              <w:rPr>
                <w:rFonts w:ascii="Times New Roman"/>
              </w:rPr>
              <w:t>颍上县</w:t>
            </w:r>
          </w:p>
        </w:tc>
        <w:tc>
          <w:tcPr>
            <w:tcW w:w="2334" w:type="dxa"/>
            <w:shd w:val="clear" w:color="auto" w:fill="auto"/>
          </w:tcPr>
          <w:p w14:paraId="51636A1B">
            <w:pPr>
              <w:pStyle w:val="180"/>
              <w:rPr>
                <w:rFonts w:ascii="Times New Roman"/>
              </w:rPr>
            </w:pPr>
            <w:r>
              <w:rPr>
                <w:rFonts w:ascii="Times New Roman"/>
              </w:rPr>
              <w:t>0.00490</w:t>
            </w:r>
          </w:p>
        </w:tc>
        <w:tc>
          <w:tcPr>
            <w:tcW w:w="2333" w:type="dxa"/>
            <w:shd w:val="clear" w:color="auto" w:fill="auto"/>
          </w:tcPr>
          <w:p w14:paraId="6DEA7EF3">
            <w:pPr>
              <w:pStyle w:val="180"/>
              <w:rPr>
                <w:rFonts w:ascii="Times New Roman"/>
              </w:rPr>
            </w:pPr>
            <w:r>
              <w:rPr>
                <w:rFonts w:ascii="Times New Roman"/>
              </w:rPr>
              <w:t>岳西县</w:t>
            </w:r>
          </w:p>
        </w:tc>
        <w:tc>
          <w:tcPr>
            <w:tcW w:w="2333" w:type="dxa"/>
            <w:shd w:val="clear" w:color="auto" w:fill="auto"/>
          </w:tcPr>
          <w:p w14:paraId="581514C1">
            <w:pPr>
              <w:pStyle w:val="180"/>
              <w:rPr>
                <w:rFonts w:ascii="Times New Roman"/>
              </w:rPr>
            </w:pPr>
            <w:r>
              <w:rPr>
                <w:rFonts w:ascii="Times New Roman"/>
              </w:rPr>
              <w:t>0.00381</w:t>
            </w:r>
          </w:p>
        </w:tc>
      </w:tr>
      <w:tr w14:paraId="159DF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44540C6">
            <w:pPr>
              <w:pStyle w:val="180"/>
              <w:rPr>
                <w:rFonts w:ascii="Times New Roman"/>
              </w:rPr>
            </w:pPr>
            <w:r>
              <w:rPr>
                <w:rFonts w:ascii="Times New Roman"/>
              </w:rPr>
              <w:t>界首市</w:t>
            </w:r>
          </w:p>
        </w:tc>
        <w:tc>
          <w:tcPr>
            <w:tcW w:w="2334" w:type="dxa"/>
            <w:shd w:val="clear" w:color="auto" w:fill="auto"/>
          </w:tcPr>
          <w:p w14:paraId="7FD2C4DE">
            <w:pPr>
              <w:pStyle w:val="180"/>
              <w:rPr>
                <w:rFonts w:ascii="Times New Roman"/>
              </w:rPr>
            </w:pPr>
            <w:r>
              <w:rPr>
                <w:rFonts w:ascii="Times New Roman"/>
              </w:rPr>
              <w:t>0.00434</w:t>
            </w:r>
          </w:p>
        </w:tc>
        <w:tc>
          <w:tcPr>
            <w:tcW w:w="2333" w:type="dxa"/>
            <w:shd w:val="clear" w:color="auto" w:fill="auto"/>
          </w:tcPr>
          <w:p w14:paraId="53D769CA">
            <w:pPr>
              <w:pStyle w:val="180"/>
              <w:rPr>
                <w:rFonts w:ascii="Times New Roman"/>
              </w:rPr>
            </w:pPr>
            <w:r>
              <w:rPr>
                <w:rFonts w:ascii="Times New Roman"/>
              </w:rPr>
              <w:t>桐城市</w:t>
            </w:r>
          </w:p>
        </w:tc>
        <w:tc>
          <w:tcPr>
            <w:tcW w:w="2333" w:type="dxa"/>
            <w:shd w:val="clear" w:color="auto" w:fill="auto"/>
          </w:tcPr>
          <w:p w14:paraId="0A024F04">
            <w:pPr>
              <w:pStyle w:val="180"/>
              <w:rPr>
                <w:rFonts w:ascii="Times New Roman"/>
              </w:rPr>
            </w:pPr>
            <w:r>
              <w:rPr>
                <w:rFonts w:ascii="Times New Roman"/>
              </w:rPr>
              <w:t>0.00458</w:t>
            </w:r>
          </w:p>
        </w:tc>
      </w:tr>
      <w:tr w14:paraId="16C31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91CC2E2">
            <w:pPr>
              <w:pStyle w:val="180"/>
              <w:rPr>
                <w:rFonts w:ascii="Times New Roman"/>
              </w:rPr>
            </w:pPr>
            <w:r>
              <w:rPr>
                <w:rFonts w:ascii="Times New Roman"/>
              </w:rPr>
              <w:t>淮南市辖区</w:t>
            </w:r>
          </w:p>
        </w:tc>
        <w:tc>
          <w:tcPr>
            <w:tcW w:w="2334" w:type="dxa"/>
            <w:shd w:val="clear" w:color="auto" w:fill="auto"/>
          </w:tcPr>
          <w:p w14:paraId="0F6D35EA">
            <w:pPr>
              <w:pStyle w:val="180"/>
              <w:rPr>
                <w:rFonts w:ascii="Times New Roman"/>
              </w:rPr>
            </w:pPr>
            <w:r>
              <w:rPr>
                <w:rFonts w:ascii="Times New Roman"/>
              </w:rPr>
              <w:t>0.00509</w:t>
            </w:r>
          </w:p>
        </w:tc>
        <w:tc>
          <w:tcPr>
            <w:tcW w:w="2333" w:type="dxa"/>
            <w:shd w:val="clear" w:color="auto" w:fill="auto"/>
          </w:tcPr>
          <w:p w14:paraId="6BBA155E">
            <w:pPr>
              <w:pStyle w:val="180"/>
              <w:rPr>
                <w:rFonts w:ascii="Times New Roman"/>
              </w:rPr>
            </w:pPr>
            <w:r>
              <w:rPr>
                <w:rFonts w:ascii="Times New Roman"/>
              </w:rPr>
              <w:t>潜山市</w:t>
            </w:r>
          </w:p>
        </w:tc>
        <w:tc>
          <w:tcPr>
            <w:tcW w:w="2333" w:type="dxa"/>
            <w:shd w:val="clear" w:color="auto" w:fill="auto"/>
          </w:tcPr>
          <w:p w14:paraId="5CD29C4D">
            <w:pPr>
              <w:pStyle w:val="180"/>
              <w:rPr>
                <w:rFonts w:ascii="Times New Roman"/>
              </w:rPr>
            </w:pPr>
            <w:r>
              <w:rPr>
                <w:rFonts w:ascii="Times New Roman"/>
              </w:rPr>
              <w:t>0.00471</w:t>
            </w:r>
          </w:p>
        </w:tc>
      </w:tr>
      <w:tr w14:paraId="6BAB9E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558461C0">
            <w:pPr>
              <w:pStyle w:val="180"/>
              <w:rPr>
                <w:rFonts w:ascii="Times New Roman"/>
              </w:rPr>
            </w:pPr>
            <w:r>
              <w:rPr>
                <w:rFonts w:ascii="Times New Roman"/>
              </w:rPr>
              <w:t>凤台县</w:t>
            </w:r>
          </w:p>
        </w:tc>
        <w:tc>
          <w:tcPr>
            <w:tcW w:w="2334" w:type="dxa"/>
            <w:shd w:val="clear" w:color="auto" w:fill="auto"/>
          </w:tcPr>
          <w:p w14:paraId="52A6DAF1">
            <w:pPr>
              <w:pStyle w:val="180"/>
              <w:rPr>
                <w:rFonts w:ascii="Times New Roman"/>
              </w:rPr>
            </w:pPr>
            <w:r>
              <w:rPr>
                <w:rFonts w:ascii="Times New Roman"/>
              </w:rPr>
              <w:t>0.00528</w:t>
            </w:r>
          </w:p>
        </w:tc>
        <w:tc>
          <w:tcPr>
            <w:tcW w:w="2333" w:type="dxa"/>
            <w:shd w:val="clear" w:color="auto" w:fill="auto"/>
          </w:tcPr>
          <w:p w14:paraId="662A215F">
            <w:pPr>
              <w:pStyle w:val="180"/>
              <w:rPr>
                <w:rFonts w:ascii="Times New Roman"/>
              </w:rPr>
            </w:pPr>
            <w:r>
              <w:rPr>
                <w:rFonts w:ascii="Times New Roman"/>
              </w:rPr>
              <w:t>黄山市辖区</w:t>
            </w:r>
          </w:p>
        </w:tc>
        <w:tc>
          <w:tcPr>
            <w:tcW w:w="2333" w:type="dxa"/>
            <w:shd w:val="clear" w:color="auto" w:fill="auto"/>
          </w:tcPr>
          <w:p w14:paraId="794F20D6">
            <w:pPr>
              <w:pStyle w:val="180"/>
              <w:rPr>
                <w:rFonts w:ascii="Times New Roman"/>
              </w:rPr>
            </w:pPr>
            <w:r>
              <w:rPr>
                <w:rFonts w:ascii="Times New Roman"/>
              </w:rPr>
              <w:t>0.00458</w:t>
            </w:r>
          </w:p>
        </w:tc>
      </w:tr>
      <w:tr w14:paraId="2531E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31DCA502">
            <w:pPr>
              <w:pStyle w:val="180"/>
              <w:rPr>
                <w:rFonts w:ascii="Times New Roman"/>
              </w:rPr>
            </w:pPr>
            <w:r>
              <w:rPr>
                <w:rFonts w:ascii="Times New Roman"/>
              </w:rPr>
              <w:t>寿县</w:t>
            </w:r>
          </w:p>
        </w:tc>
        <w:tc>
          <w:tcPr>
            <w:tcW w:w="2334" w:type="dxa"/>
            <w:shd w:val="clear" w:color="auto" w:fill="auto"/>
          </w:tcPr>
          <w:p w14:paraId="78B310AB">
            <w:pPr>
              <w:pStyle w:val="180"/>
              <w:rPr>
                <w:rFonts w:ascii="Times New Roman"/>
              </w:rPr>
            </w:pPr>
            <w:r>
              <w:rPr>
                <w:rFonts w:ascii="Times New Roman"/>
              </w:rPr>
              <w:t>0.00521</w:t>
            </w:r>
          </w:p>
        </w:tc>
        <w:tc>
          <w:tcPr>
            <w:tcW w:w="2333" w:type="dxa"/>
            <w:shd w:val="clear" w:color="auto" w:fill="auto"/>
          </w:tcPr>
          <w:p w14:paraId="08937340">
            <w:pPr>
              <w:pStyle w:val="180"/>
              <w:rPr>
                <w:rFonts w:ascii="Times New Roman"/>
              </w:rPr>
            </w:pPr>
            <w:r>
              <w:rPr>
                <w:rFonts w:ascii="Times New Roman"/>
              </w:rPr>
              <w:t>歙县</w:t>
            </w:r>
          </w:p>
        </w:tc>
        <w:tc>
          <w:tcPr>
            <w:tcW w:w="2333" w:type="dxa"/>
            <w:shd w:val="clear" w:color="auto" w:fill="auto"/>
          </w:tcPr>
          <w:p w14:paraId="1BB90CEF">
            <w:pPr>
              <w:pStyle w:val="180"/>
              <w:rPr>
                <w:rFonts w:ascii="Times New Roman"/>
              </w:rPr>
            </w:pPr>
            <w:r>
              <w:rPr>
                <w:rFonts w:ascii="Times New Roman"/>
              </w:rPr>
              <w:t>0.00493</w:t>
            </w:r>
          </w:p>
        </w:tc>
      </w:tr>
      <w:tr w14:paraId="67C1B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66550EA">
            <w:pPr>
              <w:pStyle w:val="180"/>
              <w:rPr>
                <w:rFonts w:ascii="Times New Roman"/>
              </w:rPr>
            </w:pPr>
            <w:r>
              <w:rPr>
                <w:rFonts w:ascii="Times New Roman"/>
              </w:rPr>
              <w:t>滁州市辖区</w:t>
            </w:r>
          </w:p>
        </w:tc>
        <w:tc>
          <w:tcPr>
            <w:tcW w:w="2334" w:type="dxa"/>
            <w:shd w:val="clear" w:color="auto" w:fill="auto"/>
          </w:tcPr>
          <w:p w14:paraId="77DDD741">
            <w:pPr>
              <w:pStyle w:val="180"/>
              <w:rPr>
                <w:rFonts w:ascii="Times New Roman"/>
              </w:rPr>
            </w:pPr>
            <w:r>
              <w:rPr>
                <w:rFonts w:ascii="Times New Roman"/>
              </w:rPr>
              <w:t>0.00679</w:t>
            </w:r>
          </w:p>
        </w:tc>
        <w:tc>
          <w:tcPr>
            <w:tcW w:w="2333" w:type="dxa"/>
            <w:shd w:val="clear" w:color="auto" w:fill="auto"/>
          </w:tcPr>
          <w:p w14:paraId="1497C5F0">
            <w:pPr>
              <w:pStyle w:val="180"/>
              <w:rPr>
                <w:rFonts w:ascii="Times New Roman"/>
              </w:rPr>
            </w:pPr>
            <w:r>
              <w:rPr>
                <w:rFonts w:ascii="Times New Roman"/>
              </w:rPr>
              <w:t>休宁县</w:t>
            </w:r>
          </w:p>
        </w:tc>
        <w:tc>
          <w:tcPr>
            <w:tcW w:w="2333" w:type="dxa"/>
            <w:shd w:val="clear" w:color="auto" w:fill="auto"/>
          </w:tcPr>
          <w:p w14:paraId="1D913C44">
            <w:pPr>
              <w:pStyle w:val="180"/>
              <w:rPr>
                <w:rFonts w:ascii="Times New Roman"/>
              </w:rPr>
            </w:pPr>
            <w:r>
              <w:rPr>
                <w:rFonts w:ascii="Times New Roman"/>
              </w:rPr>
              <w:t>0.00465</w:t>
            </w:r>
          </w:p>
        </w:tc>
      </w:tr>
      <w:tr w14:paraId="5F73F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DF2367B">
            <w:pPr>
              <w:pStyle w:val="180"/>
              <w:rPr>
                <w:rFonts w:ascii="Times New Roman"/>
              </w:rPr>
            </w:pPr>
            <w:r>
              <w:rPr>
                <w:rFonts w:ascii="Times New Roman"/>
              </w:rPr>
              <w:t>来安县</w:t>
            </w:r>
          </w:p>
        </w:tc>
        <w:tc>
          <w:tcPr>
            <w:tcW w:w="2334" w:type="dxa"/>
            <w:shd w:val="clear" w:color="auto" w:fill="auto"/>
          </w:tcPr>
          <w:p w14:paraId="2020B78B">
            <w:pPr>
              <w:pStyle w:val="180"/>
              <w:rPr>
                <w:rFonts w:ascii="Times New Roman"/>
              </w:rPr>
            </w:pPr>
            <w:r>
              <w:rPr>
                <w:rFonts w:ascii="Times New Roman"/>
              </w:rPr>
              <w:t>0.00756</w:t>
            </w:r>
          </w:p>
        </w:tc>
        <w:tc>
          <w:tcPr>
            <w:tcW w:w="2333" w:type="dxa"/>
            <w:shd w:val="clear" w:color="auto" w:fill="auto"/>
          </w:tcPr>
          <w:p w14:paraId="222E2571">
            <w:pPr>
              <w:pStyle w:val="180"/>
              <w:rPr>
                <w:rFonts w:ascii="Times New Roman"/>
              </w:rPr>
            </w:pPr>
            <w:r>
              <w:rPr>
                <w:rFonts w:ascii="Times New Roman"/>
              </w:rPr>
              <w:t>黟县</w:t>
            </w:r>
          </w:p>
        </w:tc>
        <w:tc>
          <w:tcPr>
            <w:tcW w:w="2333" w:type="dxa"/>
            <w:shd w:val="clear" w:color="auto" w:fill="auto"/>
          </w:tcPr>
          <w:p w14:paraId="5F5F20A3">
            <w:pPr>
              <w:pStyle w:val="180"/>
              <w:rPr>
                <w:rFonts w:ascii="Times New Roman"/>
              </w:rPr>
            </w:pPr>
            <w:r>
              <w:rPr>
                <w:rFonts w:ascii="Times New Roman"/>
              </w:rPr>
              <w:t>0.00408</w:t>
            </w:r>
          </w:p>
        </w:tc>
      </w:tr>
      <w:tr w14:paraId="06926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FC0EFBB">
            <w:pPr>
              <w:pStyle w:val="180"/>
              <w:rPr>
                <w:rFonts w:ascii="Times New Roman"/>
              </w:rPr>
            </w:pPr>
            <w:r>
              <w:rPr>
                <w:rFonts w:ascii="Times New Roman"/>
              </w:rPr>
              <w:t>全椒县</w:t>
            </w:r>
          </w:p>
        </w:tc>
        <w:tc>
          <w:tcPr>
            <w:tcW w:w="2334" w:type="dxa"/>
            <w:shd w:val="clear" w:color="auto" w:fill="auto"/>
          </w:tcPr>
          <w:p w14:paraId="27B9E8B9">
            <w:pPr>
              <w:pStyle w:val="180"/>
              <w:rPr>
                <w:rFonts w:ascii="Times New Roman"/>
              </w:rPr>
            </w:pPr>
            <w:r>
              <w:rPr>
                <w:rFonts w:ascii="Times New Roman"/>
              </w:rPr>
              <w:t>0.00676</w:t>
            </w:r>
          </w:p>
        </w:tc>
        <w:tc>
          <w:tcPr>
            <w:tcW w:w="2333" w:type="dxa"/>
            <w:shd w:val="clear" w:color="auto" w:fill="auto"/>
          </w:tcPr>
          <w:p w14:paraId="2221CA90">
            <w:pPr>
              <w:pStyle w:val="180"/>
              <w:rPr>
                <w:rFonts w:ascii="Times New Roman"/>
              </w:rPr>
            </w:pPr>
            <w:r>
              <w:rPr>
                <w:rFonts w:ascii="Times New Roman"/>
              </w:rPr>
              <w:t>祁门县</w:t>
            </w:r>
          </w:p>
        </w:tc>
        <w:tc>
          <w:tcPr>
            <w:tcW w:w="2333" w:type="dxa"/>
            <w:shd w:val="clear" w:color="auto" w:fill="auto"/>
          </w:tcPr>
          <w:p w14:paraId="0564C97D">
            <w:pPr>
              <w:pStyle w:val="180"/>
              <w:rPr>
                <w:rFonts w:ascii="Times New Roman"/>
              </w:rPr>
            </w:pPr>
            <w:r>
              <w:rPr>
                <w:rFonts w:ascii="Times New Roman"/>
              </w:rPr>
              <w:t>0.00355</w:t>
            </w:r>
          </w:p>
        </w:tc>
      </w:tr>
      <w:tr w14:paraId="09DCF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3946F63A">
            <w:pPr>
              <w:pStyle w:val="180"/>
              <w:rPr>
                <w:rFonts w:ascii="Times New Roman"/>
              </w:rPr>
            </w:pPr>
            <w:r>
              <w:rPr>
                <w:rFonts w:ascii="Times New Roman"/>
              </w:rPr>
              <w:t>定远县</w:t>
            </w:r>
          </w:p>
        </w:tc>
        <w:tc>
          <w:tcPr>
            <w:tcW w:w="2334" w:type="dxa"/>
            <w:shd w:val="clear" w:color="auto" w:fill="auto"/>
          </w:tcPr>
          <w:p w14:paraId="7260E250">
            <w:pPr>
              <w:pStyle w:val="180"/>
              <w:rPr>
                <w:rFonts w:ascii="Times New Roman"/>
              </w:rPr>
            </w:pPr>
            <w:r>
              <w:rPr>
                <w:rFonts w:ascii="Times New Roman"/>
              </w:rPr>
              <w:t>0.00631</w:t>
            </w:r>
          </w:p>
        </w:tc>
        <w:tc>
          <w:tcPr>
            <w:tcW w:w="2333" w:type="dxa"/>
            <w:shd w:val="clear" w:color="auto" w:fill="auto"/>
            <w:vAlign w:val="center"/>
          </w:tcPr>
          <w:p w14:paraId="09D70FB3">
            <w:pPr>
              <w:pStyle w:val="180"/>
              <w:rPr>
                <w:rFonts w:ascii="Times New Roman"/>
              </w:rPr>
            </w:pPr>
          </w:p>
        </w:tc>
        <w:tc>
          <w:tcPr>
            <w:tcW w:w="2333" w:type="dxa"/>
            <w:shd w:val="clear" w:color="auto" w:fill="auto"/>
            <w:vAlign w:val="center"/>
          </w:tcPr>
          <w:p w14:paraId="1A820A97">
            <w:pPr>
              <w:pStyle w:val="180"/>
              <w:rPr>
                <w:rFonts w:ascii="Times New Roman"/>
              </w:rPr>
            </w:pPr>
          </w:p>
        </w:tc>
      </w:tr>
      <w:tr w14:paraId="67BD5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E0AFF3A">
            <w:pPr>
              <w:pStyle w:val="180"/>
              <w:rPr>
                <w:rFonts w:ascii="Times New Roman"/>
              </w:rPr>
            </w:pPr>
            <w:r>
              <w:rPr>
                <w:rFonts w:ascii="Times New Roman"/>
              </w:rPr>
              <w:t>凤阳县</w:t>
            </w:r>
          </w:p>
        </w:tc>
        <w:tc>
          <w:tcPr>
            <w:tcW w:w="2334" w:type="dxa"/>
            <w:shd w:val="clear" w:color="auto" w:fill="auto"/>
          </w:tcPr>
          <w:p w14:paraId="06EE515B">
            <w:pPr>
              <w:pStyle w:val="180"/>
              <w:rPr>
                <w:rFonts w:ascii="Times New Roman"/>
              </w:rPr>
            </w:pPr>
            <w:r>
              <w:rPr>
                <w:rFonts w:ascii="Times New Roman"/>
              </w:rPr>
              <w:t>0.00635</w:t>
            </w:r>
          </w:p>
        </w:tc>
        <w:tc>
          <w:tcPr>
            <w:tcW w:w="2333" w:type="dxa"/>
            <w:shd w:val="clear" w:color="auto" w:fill="auto"/>
            <w:vAlign w:val="center"/>
          </w:tcPr>
          <w:p w14:paraId="7FB3B824">
            <w:pPr>
              <w:pStyle w:val="180"/>
              <w:rPr>
                <w:rFonts w:ascii="Times New Roman"/>
              </w:rPr>
            </w:pPr>
          </w:p>
        </w:tc>
        <w:tc>
          <w:tcPr>
            <w:tcW w:w="2333" w:type="dxa"/>
            <w:shd w:val="clear" w:color="auto" w:fill="auto"/>
            <w:vAlign w:val="center"/>
          </w:tcPr>
          <w:p w14:paraId="2CAC441A">
            <w:pPr>
              <w:pStyle w:val="180"/>
              <w:rPr>
                <w:rFonts w:ascii="Times New Roman"/>
              </w:rPr>
            </w:pPr>
          </w:p>
        </w:tc>
      </w:tr>
      <w:tr w14:paraId="02045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66143632">
            <w:pPr>
              <w:pStyle w:val="180"/>
              <w:rPr>
                <w:rFonts w:ascii="Times New Roman"/>
              </w:rPr>
            </w:pPr>
            <w:r>
              <w:rPr>
                <w:rFonts w:ascii="Times New Roman"/>
              </w:rPr>
              <w:t>天长市</w:t>
            </w:r>
          </w:p>
        </w:tc>
        <w:tc>
          <w:tcPr>
            <w:tcW w:w="2334" w:type="dxa"/>
            <w:shd w:val="clear" w:color="auto" w:fill="auto"/>
          </w:tcPr>
          <w:p w14:paraId="3070043E">
            <w:pPr>
              <w:pStyle w:val="180"/>
              <w:rPr>
                <w:rFonts w:ascii="Times New Roman"/>
              </w:rPr>
            </w:pPr>
            <w:r>
              <w:rPr>
                <w:rFonts w:ascii="Times New Roman"/>
              </w:rPr>
              <w:t>0.00838</w:t>
            </w:r>
          </w:p>
        </w:tc>
        <w:tc>
          <w:tcPr>
            <w:tcW w:w="2333" w:type="dxa"/>
            <w:shd w:val="clear" w:color="auto" w:fill="auto"/>
            <w:vAlign w:val="center"/>
          </w:tcPr>
          <w:p w14:paraId="545F7D76">
            <w:pPr>
              <w:pStyle w:val="180"/>
              <w:rPr>
                <w:rFonts w:ascii="Times New Roman"/>
              </w:rPr>
            </w:pPr>
          </w:p>
        </w:tc>
        <w:tc>
          <w:tcPr>
            <w:tcW w:w="2333" w:type="dxa"/>
            <w:shd w:val="clear" w:color="auto" w:fill="auto"/>
            <w:vAlign w:val="center"/>
          </w:tcPr>
          <w:p w14:paraId="6E5D07E2">
            <w:pPr>
              <w:pStyle w:val="180"/>
              <w:rPr>
                <w:rFonts w:ascii="Times New Roman"/>
              </w:rPr>
            </w:pPr>
          </w:p>
        </w:tc>
      </w:tr>
      <w:tr w14:paraId="5049F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7BB664C5">
            <w:pPr>
              <w:pStyle w:val="180"/>
              <w:rPr>
                <w:rFonts w:ascii="Times New Roman"/>
              </w:rPr>
            </w:pPr>
            <w:r>
              <w:rPr>
                <w:rFonts w:ascii="Times New Roman"/>
              </w:rPr>
              <w:t>明光市</w:t>
            </w:r>
          </w:p>
        </w:tc>
        <w:tc>
          <w:tcPr>
            <w:tcW w:w="2334" w:type="dxa"/>
            <w:shd w:val="clear" w:color="auto" w:fill="auto"/>
          </w:tcPr>
          <w:p w14:paraId="1F44D7E6">
            <w:pPr>
              <w:pStyle w:val="180"/>
              <w:rPr>
                <w:rFonts w:ascii="Times New Roman"/>
              </w:rPr>
            </w:pPr>
            <w:r>
              <w:rPr>
                <w:rFonts w:ascii="Times New Roman"/>
              </w:rPr>
              <w:t>0.00666</w:t>
            </w:r>
          </w:p>
        </w:tc>
        <w:tc>
          <w:tcPr>
            <w:tcW w:w="2333" w:type="dxa"/>
            <w:shd w:val="clear" w:color="auto" w:fill="auto"/>
            <w:vAlign w:val="center"/>
          </w:tcPr>
          <w:p w14:paraId="2F1B668D">
            <w:pPr>
              <w:pStyle w:val="180"/>
              <w:rPr>
                <w:rFonts w:ascii="Times New Roman"/>
              </w:rPr>
            </w:pPr>
          </w:p>
        </w:tc>
        <w:tc>
          <w:tcPr>
            <w:tcW w:w="2333" w:type="dxa"/>
            <w:shd w:val="clear" w:color="auto" w:fill="auto"/>
            <w:vAlign w:val="center"/>
          </w:tcPr>
          <w:p w14:paraId="4939FA73">
            <w:pPr>
              <w:pStyle w:val="180"/>
              <w:rPr>
                <w:rFonts w:ascii="Times New Roman"/>
              </w:rPr>
            </w:pPr>
          </w:p>
        </w:tc>
      </w:tr>
      <w:tr w14:paraId="2E5C8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063D1C2">
            <w:pPr>
              <w:pStyle w:val="180"/>
              <w:rPr>
                <w:rFonts w:ascii="Times New Roman"/>
              </w:rPr>
            </w:pPr>
            <w:r>
              <w:rPr>
                <w:rFonts w:ascii="Times New Roman"/>
              </w:rPr>
              <w:t>六安市辖区</w:t>
            </w:r>
          </w:p>
        </w:tc>
        <w:tc>
          <w:tcPr>
            <w:tcW w:w="2334" w:type="dxa"/>
            <w:shd w:val="clear" w:color="auto" w:fill="auto"/>
          </w:tcPr>
          <w:p w14:paraId="5072D15F">
            <w:pPr>
              <w:pStyle w:val="180"/>
              <w:rPr>
                <w:rFonts w:ascii="Times New Roman"/>
              </w:rPr>
            </w:pPr>
            <w:r>
              <w:rPr>
                <w:rFonts w:ascii="Times New Roman"/>
              </w:rPr>
              <w:t>0.00491</w:t>
            </w:r>
          </w:p>
        </w:tc>
        <w:tc>
          <w:tcPr>
            <w:tcW w:w="2333" w:type="dxa"/>
            <w:shd w:val="clear" w:color="auto" w:fill="auto"/>
            <w:vAlign w:val="center"/>
          </w:tcPr>
          <w:p w14:paraId="5FD717CE">
            <w:pPr>
              <w:pStyle w:val="180"/>
              <w:rPr>
                <w:rFonts w:ascii="Times New Roman"/>
              </w:rPr>
            </w:pPr>
          </w:p>
        </w:tc>
        <w:tc>
          <w:tcPr>
            <w:tcW w:w="2333" w:type="dxa"/>
            <w:shd w:val="clear" w:color="auto" w:fill="auto"/>
            <w:vAlign w:val="center"/>
          </w:tcPr>
          <w:p w14:paraId="59B9220F">
            <w:pPr>
              <w:pStyle w:val="180"/>
              <w:rPr>
                <w:rFonts w:ascii="Times New Roman"/>
              </w:rPr>
            </w:pPr>
          </w:p>
        </w:tc>
      </w:tr>
      <w:tr w14:paraId="33568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2F8E23B7">
            <w:pPr>
              <w:pStyle w:val="180"/>
              <w:rPr>
                <w:rFonts w:ascii="Times New Roman"/>
              </w:rPr>
            </w:pPr>
            <w:r>
              <w:rPr>
                <w:rFonts w:ascii="Times New Roman"/>
              </w:rPr>
              <w:t>霍邱县</w:t>
            </w:r>
          </w:p>
        </w:tc>
        <w:tc>
          <w:tcPr>
            <w:tcW w:w="2334" w:type="dxa"/>
            <w:shd w:val="clear" w:color="auto" w:fill="auto"/>
          </w:tcPr>
          <w:p w14:paraId="7AFCECE8">
            <w:pPr>
              <w:pStyle w:val="180"/>
              <w:rPr>
                <w:rFonts w:ascii="Times New Roman"/>
              </w:rPr>
            </w:pPr>
            <w:r>
              <w:rPr>
                <w:rFonts w:ascii="Times New Roman"/>
              </w:rPr>
              <w:t>0.00470</w:t>
            </w:r>
          </w:p>
        </w:tc>
        <w:tc>
          <w:tcPr>
            <w:tcW w:w="2333" w:type="dxa"/>
            <w:shd w:val="clear" w:color="auto" w:fill="auto"/>
            <w:vAlign w:val="center"/>
          </w:tcPr>
          <w:p w14:paraId="541980C8">
            <w:pPr>
              <w:pStyle w:val="180"/>
              <w:rPr>
                <w:rFonts w:ascii="Times New Roman"/>
              </w:rPr>
            </w:pPr>
          </w:p>
        </w:tc>
        <w:tc>
          <w:tcPr>
            <w:tcW w:w="2333" w:type="dxa"/>
            <w:shd w:val="clear" w:color="auto" w:fill="auto"/>
            <w:vAlign w:val="center"/>
          </w:tcPr>
          <w:p w14:paraId="716E6646">
            <w:pPr>
              <w:pStyle w:val="180"/>
              <w:rPr>
                <w:rFonts w:ascii="Times New Roman"/>
              </w:rPr>
            </w:pPr>
          </w:p>
        </w:tc>
      </w:tr>
      <w:tr w14:paraId="6D431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18B948E0">
            <w:pPr>
              <w:pStyle w:val="180"/>
              <w:rPr>
                <w:rFonts w:ascii="Times New Roman"/>
              </w:rPr>
            </w:pPr>
            <w:r>
              <w:rPr>
                <w:rFonts w:ascii="Times New Roman"/>
              </w:rPr>
              <w:t>舒城县</w:t>
            </w:r>
          </w:p>
        </w:tc>
        <w:tc>
          <w:tcPr>
            <w:tcW w:w="2334" w:type="dxa"/>
            <w:shd w:val="clear" w:color="auto" w:fill="auto"/>
          </w:tcPr>
          <w:p w14:paraId="172D855B">
            <w:pPr>
              <w:pStyle w:val="180"/>
              <w:rPr>
                <w:rFonts w:ascii="Times New Roman"/>
              </w:rPr>
            </w:pPr>
            <w:r>
              <w:rPr>
                <w:rFonts w:ascii="Times New Roman"/>
              </w:rPr>
              <w:t>0.00457</w:t>
            </w:r>
          </w:p>
        </w:tc>
        <w:tc>
          <w:tcPr>
            <w:tcW w:w="2333" w:type="dxa"/>
            <w:shd w:val="clear" w:color="auto" w:fill="auto"/>
            <w:vAlign w:val="center"/>
          </w:tcPr>
          <w:p w14:paraId="4861AE94">
            <w:pPr>
              <w:pStyle w:val="180"/>
              <w:rPr>
                <w:rFonts w:ascii="Times New Roman"/>
              </w:rPr>
            </w:pPr>
          </w:p>
        </w:tc>
        <w:tc>
          <w:tcPr>
            <w:tcW w:w="2333" w:type="dxa"/>
            <w:shd w:val="clear" w:color="auto" w:fill="auto"/>
            <w:vAlign w:val="center"/>
          </w:tcPr>
          <w:p w14:paraId="66733848">
            <w:pPr>
              <w:pStyle w:val="180"/>
              <w:rPr>
                <w:rFonts w:ascii="Times New Roman"/>
              </w:rPr>
            </w:pPr>
          </w:p>
        </w:tc>
      </w:tr>
      <w:tr w14:paraId="38861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42E8FC56">
            <w:pPr>
              <w:pStyle w:val="180"/>
              <w:rPr>
                <w:rFonts w:ascii="Times New Roman"/>
              </w:rPr>
            </w:pPr>
            <w:r>
              <w:rPr>
                <w:rFonts w:ascii="Times New Roman"/>
              </w:rPr>
              <w:t>金寨县</w:t>
            </w:r>
          </w:p>
        </w:tc>
        <w:tc>
          <w:tcPr>
            <w:tcW w:w="2334" w:type="dxa"/>
            <w:shd w:val="clear" w:color="auto" w:fill="auto"/>
          </w:tcPr>
          <w:p w14:paraId="7F254961">
            <w:pPr>
              <w:pStyle w:val="180"/>
              <w:rPr>
                <w:rFonts w:ascii="Times New Roman"/>
              </w:rPr>
            </w:pPr>
            <w:r>
              <w:rPr>
                <w:rFonts w:ascii="Times New Roman"/>
              </w:rPr>
              <w:t>0.00307</w:t>
            </w:r>
          </w:p>
        </w:tc>
        <w:tc>
          <w:tcPr>
            <w:tcW w:w="2333" w:type="dxa"/>
            <w:shd w:val="clear" w:color="auto" w:fill="auto"/>
            <w:vAlign w:val="center"/>
          </w:tcPr>
          <w:p w14:paraId="547CFBC8">
            <w:pPr>
              <w:pStyle w:val="180"/>
              <w:rPr>
                <w:rFonts w:ascii="Times New Roman"/>
              </w:rPr>
            </w:pPr>
          </w:p>
        </w:tc>
        <w:tc>
          <w:tcPr>
            <w:tcW w:w="2333" w:type="dxa"/>
            <w:shd w:val="clear" w:color="auto" w:fill="auto"/>
            <w:vAlign w:val="center"/>
          </w:tcPr>
          <w:p w14:paraId="59D41713">
            <w:pPr>
              <w:pStyle w:val="180"/>
              <w:rPr>
                <w:rFonts w:ascii="Times New Roman"/>
              </w:rPr>
            </w:pPr>
          </w:p>
        </w:tc>
      </w:tr>
      <w:tr w14:paraId="25118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14:paraId="0A5C9D1A">
            <w:pPr>
              <w:pStyle w:val="180"/>
              <w:rPr>
                <w:rFonts w:ascii="Times New Roman"/>
              </w:rPr>
            </w:pPr>
            <w:r>
              <w:rPr>
                <w:rFonts w:ascii="Times New Roman"/>
              </w:rPr>
              <w:t>霍山县</w:t>
            </w:r>
          </w:p>
        </w:tc>
        <w:tc>
          <w:tcPr>
            <w:tcW w:w="2334" w:type="dxa"/>
            <w:shd w:val="clear" w:color="auto" w:fill="auto"/>
          </w:tcPr>
          <w:p w14:paraId="1E03B57B">
            <w:pPr>
              <w:pStyle w:val="180"/>
              <w:rPr>
                <w:rFonts w:ascii="Times New Roman"/>
              </w:rPr>
            </w:pPr>
            <w:r>
              <w:rPr>
                <w:rFonts w:ascii="Times New Roman"/>
              </w:rPr>
              <w:t>0.00357</w:t>
            </w:r>
          </w:p>
        </w:tc>
        <w:tc>
          <w:tcPr>
            <w:tcW w:w="2333" w:type="dxa"/>
            <w:shd w:val="clear" w:color="auto" w:fill="auto"/>
            <w:vAlign w:val="center"/>
          </w:tcPr>
          <w:p w14:paraId="0F55EAA8">
            <w:pPr>
              <w:pStyle w:val="180"/>
              <w:rPr>
                <w:rFonts w:ascii="Times New Roman"/>
              </w:rPr>
            </w:pPr>
          </w:p>
        </w:tc>
        <w:tc>
          <w:tcPr>
            <w:tcW w:w="2333" w:type="dxa"/>
            <w:shd w:val="clear" w:color="auto" w:fill="auto"/>
            <w:vAlign w:val="center"/>
          </w:tcPr>
          <w:p w14:paraId="6E17E0A2">
            <w:pPr>
              <w:pStyle w:val="180"/>
              <w:rPr>
                <w:rFonts w:ascii="Times New Roman"/>
              </w:rPr>
            </w:pPr>
          </w:p>
        </w:tc>
      </w:tr>
    </w:tbl>
    <w:p w14:paraId="2CED07C1">
      <w:pPr>
        <w:pStyle w:val="81"/>
        <w:spacing w:before="156" w:after="156"/>
        <w:rPr>
          <w:rFonts w:ascii="Times New Roman"/>
        </w:rPr>
      </w:pPr>
      <w:r>
        <w:rPr>
          <w:rFonts w:ascii="Times New Roman"/>
        </w:rPr>
        <w:t>坡长因子和坡度因子</w:t>
      </w:r>
      <w:bookmarkEnd w:id="166"/>
    </w:p>
    <w:p w14:paraId="1C4F42F1">
      <w:pPr>
        <w:pStyle w:val="58"/>
        <w:ind w:firstLine="420"/>
        <w:rPr>
          <w:rFonts w:ascii="Times New Roman"/>
        </w:rPr>
      </w:pPr>
      <w:r>
        <w:rPr>
          <w:rFonts w:ascii="Times New Roman"/>
        </w:rPr>
        <w:t>坡长因子和坡度因子按照公式（C.1</w:t>
      </w:r>
      <w:r>
        <w:rPr>
          <w:rFonts w:hint="eastAsia" w:ascii="Times New Roman"/>
        </w:rPr>
        <w:t>8</w:t>
      </w:r>
      <w:r>
        <w:rPr>
          <w:rFonts w:ascii="Times New Roman"/>
        </w:rPr>
        <w:t>）（C.1</w:t>
      </w:r>
      <w:r>
        <w:rPr>
          <w:rFonts w:hint="eastAsia" w:ascii="Times New Roman"/>
        </w:rPr>
        <w:t>9</w:t>
      </w:r>
      <w:r>
        <w:rPr>
          <w:rFonts w:ascii="Times New Roman"/>
        </w:rPr>
        <w:t>）（C.</w:t>
      </w:r>
      <w:r>
        <w:rPr>
          <w:rFonts w:hint="eastAsia" w:ascii="Times New Roman"/>
        </w:rPr>
        <w:t>20</w:t>
      </w:r>
      <w:r>
        <w:rPr>
          <w:rFonts w:ascii="Times New Roman"/>
        </w:rPr>
        <w:t>）（C.2</w:t>
      </w:r>
      <w:r>
        <w:rPr>
          <w:rFonts w:hint="eastAsia" w:ascii="Times New Roman"/>
        </w:rPr>
        <w:t>1</w:t>
      </w:r>
      <w:r>
        <w:rPr>
          <w:rFonts w:ascii="Times New Roman"/>
        </w:rPr>
        <w:t>）计算。</w:t>
      </w:r>
    </w:p>
    <w:p w14:paraId="27C7EA80">
      <w:pPr>
        <w:pStyle w:val="115"/>
        <w:rPr>
          <w:rFonts w:ascii="Times New Roman" w:hAnsi="Times New Roman"/>
        </w:rPr>
      </w:pPr>
      <w:r>
        <w:rPr>
          <w:rFonts w:ascii="Times New Roman" w:hAnsi="Times New Roman"/>
        </w:rPr>
        <w:tab/>
      </w:r>
      <m:oMath>
        <m:r>
          <m:rPr/>
          <w:rPr>
            <w:rFonts w:ascii="Cambria Math" w:hAnsi="Cambria Math"/>
          </w:rPr>
          <m:t>L=</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m:rPr/>
                      <w:rPr>
                        <w:rFonts w:ascii="Cambria Math" w:hAnsi="Cambria Math"/>
                      </w:rPr>
                      <m:t>λ</m:t>
                    </m:r>
                    <m:ctrlPr>
                      <w:rPr>
                        <w:rFonts w:ascii="Cambria Math" w:hAnsi="Cambria Math"/>
                        <w:i/>
                        <w:iCs/>
                      </w:rPr>
                    </m:ctrlPr>
                  </m:num>
                  <m:den>
                    <m:r>
                      <m:rPr/>
                      <w:rPr>
                        <w:rFonts w:ascii="Cambria Math" w:hAnsi="Cambria Math"/>
                      </w:rPr>
                      <m:t>22.13</m:t>
                    </m:r>
                    <m:ctrlPr>
                      <w:rPr>
                        <w:rFonts w:ascii="Cambria Math" w:hAnsi="Cambria Math"/>
                        <w:i/>
                        <w:iCs/>
                      </w:rPr>
                    </m:ctrlPr>
                  </m:den>
                </m:f>
                <m:ctrlPr>
                  <w:rPr>
                    <w:rFonts w:ascii="Cambria Math" w:hAnsi="Cambria Math"/>
                    <w:i/>
                    <w:iCs/>
                  </w:rPr>
                </m:ctrlPr>
              </m:e>
            </m:d>
            <m:ctrlPr>
              <w:rPr>
                <w:rFonts w:ascii="Cambria Math" w:hAnsi="Cambria Math"/>
                <w:i/>
                <w:iCs/>
              </w:rPr>
            </m:ctrlPr>
          </m:e>
          <m:sup>
            <m:r>
              <m:rPr/>
              <w:rPr>
                <w:rFonts w:ascii="Cambria Math" w:hAnsi="Cambria Math"/>
              </w:rPr>
              <m:t>m</m:t>
            </m:r>
            <m:ctrlPr>
              <w:rPr>
                <w:rFonts w:ascii="Cambria Math" w:hAnsi="Cambria Math"/>
                <w:i/>
                <w:iCs/>
              </w:rPr>
            </m:ctrlPr>
          </m:sup>
        </m:sSup>
      </m:oMath>
      <w:r>
        <w:rPr>
          <w:rFonts w:ascii="Times New Roman" w:hAnsi="Times New Roman" w:eastAsia="微软雅黑"/>
        </w:rPr>
        <w:tab/>
      </w:r>
      <w:r>
        <w:rPr>
          <w:rFonts w:ascii="Times New Roman" w:hAnsi="Times New Roman"/>
        </w:rPr>
        <w:t>(C.</w:t>
      </w:r>
      <w:r>
        <w:rPr>
          <w:rFonts w:hint="eastAsia" w:ascii="Times New Roman" w:hAnsi="Times New Roman"/>
        </w:rPr>
        <w:t>18</w:t>
      </w:r>
      <w:r>
        <w:rPr>
          <w:rFonts w:ascii="Times New Roman" w:hAnsi="Times New Roman"/>
        </w:rPr>
        <w:t>)</w:t>
      </w:r>
    </w:p>
    <w:p w14:paraId="3B7BE6E6">
      <w:pPr>
        <w:pStyle w:val="115"/>
        <w:rPr>
          <w:rFonts w:ascii="Times New Roman" w:hAnsi="Times New Roman"/>
        </w:rPr>
      </w:pPr>
      <w:r>
        <w:rPr>
          <w:rFonts w:ascii="Times New Roman" w:hAnsi="Times New Roman"/>
        </w:rPr>
        <w:tab/>
      </w:r>
      <m:oMath>
        <m:r>
          <m:rPr/>
          <w:rPr>
            <w:rFonts w:ascii="Cambria Math" w:hAnsi="Cambria Math"/>
          </w:rPr>
          <m:t>m=</m:t>
        </m:r>
        <m:f>
          <m:fPr>
            <m:ctrlPr>
              <w:rPr>
                <w:rFonts w:ascii="Cambria Math" w:hAnsi="Cambria Math"/>
                <w:i/>
                <w:iCs/>
              </w:rPr>
            </m:ctrlPr>
          </m:fPr>
          <m:num>
            <m:r>
              <m:rPr/>
              <w:rPr>
                <w:rFonts w:ascii="Cambria Math" w:hAnsi="Cambria Math"/>
              </w:rPr>
              <m:t>β</m:t>
            </m:r>
            <m:ctrlPr>
              <w:rPr>
                <w:rFonts w:ascii="Cambria Math" w:hAnsi="Cambria Math"/>
                <w:i/>
                <w:iCs/>
              </w:rPr>
            </m:ctrlPr>
          </m:num>
          <m:den>
            <m:d>
              <m:dPr>
                <m:ctrlPr>
                  <w:rPr>
                    <w:rFonts w:ascii="Cambria Math" w:hAnsi="Cambria Math"/>
                    <w:i/>
                    <w:iCs/>
                  </w:rPr>
                </m:ctrlPr>
              </m:dPr>
              <m:e>
                <m:r>
                  <m:rPr/>
                  <w:rPr>
                    <w:rFonts w:ascii="Cambria Math" w:hAnsi="Cambria Math"/>
                  </w:rPr>
                  <m:t>1+β</m:t>
                </m:r>
                <m:ctrlPr>
                  <w:rPr>
                    <w:rFonts w:ascii="Cambria Math" w:hAnsi="Cambria Math"/>
                    <w:i/>
                    <w:iCs/>
                  </w:rPr>
                </m:ctrlPr>
              </m:e>
            </m:d>
            <m:ctrlPr>
              <w:rPr>
                <w:rFonts w:ascii="Cambria Math" w:hAnsi="Cambria Math"/>
                <w:i/>
                <w:iCs/>
              </w:rPr>
            </m:ctrlPr>
          </m:den>
        </m:f>
      </m:oMath>
      <w:r>
        <w:rPr>
          <w:rFonts w:ascii="Times New Roman" w:hAnsi="Times New Roman" w:eastAsia="微软雅黑"/>
        </w:rPr>
        <w:tab/>
      </w:r>
      <w:r>
        <w:rPr>
          <w:rFonts w:ascii="Times New Roman" w:hAnsi="Times New Roman"/>
        </w:rPr>
        <w:t>(C.</w:t>
      </w:r>
      <w:r>
        <w:rPr>
          <w:rFonts w:hint="eastAsia" w:ascii="Times New Roman" w:hAnsi="Times New Roman"/>
        </w:rPr>
        <w:t>19</w:t>
      </w:r>
      <w:r>
        <w:rPr>
          <w:rFonts w:ascii="Times New Roman" w:hAnsi="Times New Roman"/>
        </w:rPr>
        <w:t>)</w:t>
      </w:r>
    </w:p>
    <w:p w14:paraId="1B55DA73">
      <w:pPr>
        <w:pStyle w:val="115"/>
        <w:rPr>
          <w:rFonts w:ascii="Times New Roman" w:hAnsi="Times New Roman"/>
        </w:rPr>
      </w:pPr>
      <w:r>
        <w:rPr>
          <w:rFonts w:ascii="Times New Roman" w:hAnsi="Times New Roman"/>
        </w:rPr>
        <w:tab/>
      </w:r>
      <m:oMath>
        <m:r>
          <m:rPr/>
          <w:rPr>
            <w:rFonts w:ascii="Cambria Math" w:hAnsi="Cambria Math"/>
          </w:rPr>
          <m:t>β=</m:t>
        </m:r>
        <m:f>
          <m:fPr>
            <m:ctrlPr>
              <w:rPr>
                <w:rFonts w:ascii="Cambria Math" w:hAnsi="Cambria Math"/>
                <w:i/>
                <w:iCs/>
              </w:rPr>
            </m:ctrlPr>
          </m:fPr>
          <m:num>
            <m:r>
              <m:rPr/>
              <w:rPr>
                <w:rFonts w:ascii="Cambria Math" w:hAnsi="Cambria Math"/>
              </w:rPr>
              <m:t>sinθ∕0.0896</m:t>
            </m:r>
            <m:ctrlPr>
              <w:rPr>
                <w:rFonts w:ascii="Cambria Math" w:hAnsi="Cambria Math"/>
                <w:i/>
                <w:iCs/>
              </w:rPr>
            </m:ctrlPr>
          </m:num>
          <m:den>
            <m:r>
              <m:rPr/>
              <w:rPr>
                <w:rFonts w:ascii="Cambria Math" w:hAnsi="Cambria Math"/>
              </w:rPr>
              <m:t>3×sin</m:t>
            </m:r>
            <m:sSup>
              <m:sSupPr>
                <m:ctrlPr>
                  <w:rPr>
                    <w:rFonts w:ascii="Cambria Math" w:hAnsi="Cambria Math"/>
                    <w:i/>
                    <w:iCs/>
                  </w:rPr>
                </m:ctrlPr>
              </m:sSupPr>
              <m:e>
                <m:r>
                  <m:rPr/>
                  <w:rPr>
                    <w:rFonts w:ascii="Cambria Math" w:hAnsi="Cambria Math"/>
                  </w:rPr>
                  <m:t>θ</m:t>
                </m:r>
                <m:ctrlPr>
                  <w:rPr>
                    <w:rFonts w:ascii="Cambria Math" w:hAnsi="Cambria Math"/>
                    <w:i/>
                    <w:iCs/>
                  </w:rPr>
                </m:ctrlPr>
              </m:e>
              <m:sup>
                <m:r>
                  <m:rPr/>
                  <w:rPr>
                    <w:rFonts w:ascii="Cambria Math" w:hAnsi="Cambria Math"/>
                  </w:rPr>
                  <m:t>0.8</m:t>
                </m:r>
                <m:ctrlPr>
                  <w:rPr>
                    <w:rFonts w:ascii="Cambria Math" w:hAnsi="Cambria Math"/>
                    <w:i/>
                    <w:iCs/>
                  </w:rPr>
                </m:ctrlPr>
              </m:sup>
            </m:sSup>
            <m:r>
              <m:rPr/>
              <w:rPr>
                <w:rFonts w:ascii="Cambria Math" w:hAnsi="Cambria Math"/>
              </w:rPr>
              <m:t>+0.56</m:t>
            </m:r>
            <m:ctrlPr>
              <w:rPr>
                <w:rFonts w:ascii="Cambria Math" w:hAnsi="Cambria Math"/>
                <w:i/>
                <w:iCs/>
              </w:rPr>
            </m:ctrlPr>
          </m:den>
        </m:f>
      </m:oMath>
      <w:r>
        <w:rPr>
          <w:rFonts w:ascii="Times New Roman" w:hAnsi="Times New Roman" w:eastAsia="微软雅黑"/>
        </w:rPr>
        <w:tab/>
      </w:r>
      <w:r>
        <w:rPr>
          <w:rFonts w:ascii="Times New Roman" w:hAnsi="Times New Roman"/>
        </w:rPr>
        <w:t>(C.</w:t>
      </w:r>
      <w:r>
        <w:rPr>
          <w:rFonts w:hint="eastAsia" w:ascii="Times New Roman" w:hAnsi="Times New Roman"/>
        </w:rPr>
        <w:t>20</w:t>
      </w:r>
      <w:r>
        <w:rPr>
          <w:rFonts w:ascii="Times New Roman" w:hAnsi="Times New Roman"/>
        </w:rPr>
        <w:t>)</w:t>
      </w:r>
    </w:p>
    <w:p w14:paraId="47AA3FE6">
      <w:pPr>
        <w:pStyle w:val="115"/>
        <w:rPr>
          <w:rFonts w:ascii="Times New Roman" w:hAnsi="Times New Roman"/>
        </w:rPr>
      </w:pPr>
      <w:r>
        <w:rPr>
          <w:rFonts w:ascii="Times New Roman" w:hAnsi="Times New Roman"/>
        </w:rPr>
        <w:tab/>
      </w:r>
      <m:oMath>
        <m:r>
          <m:rPr/>
          <w:rPr>
            <w:rFonts w:ascii="Cambria Math" w:hAnsi="Cambria Math"/>
          </w:rPr>
          <m:t>S=</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w:rPr>
                      <w:rFonts w:ascii="Cambria Math" w:hAnsi="Cambria Math"/>
                    </w:rPr>
                    <m:t>10.8×sin</m:t>
                  </m:r>
                  <m:d>
                    <m:dPr>
                      <m:ctrlPr>
                        <w:rPr>
                          <w:rFonts w:ascii="Cambria Math" w:hAnsi="Cambria Math"/>
                          <w:i/>
                          <w:iCs/>
                        </w:rPr>
                      </m:ctrlPr>
                    </m:dPr>
                    <m:e>
                      <m:r>
                        <m:rPr/>
                        <w:rPr>
                          <w:rFonts w:ascii="Cambria Math" w:hAnsi="Cambria Math"/>
                        </w:rPr>
                        <m:t>θ</m:t>
                      </m:r>
                      <m:ctrlPr>
                        <w:rPr>
                          <w:rFonts w:ascii="Cambria Math" w:hAnsi="Cambria Math"/>
                          <w:i/>
                          <w:iCs/>
                        </w:rPr>
                      </m:ctrlPr>
                    </m:e>
                  </m:d>
                  <m:r>
                    <m:rPr/>
                    <w:rPr>
                      <w:rFonts w:ascii="Cambria Math" w:hAnsi="Cambria Math"/>
                    </w:rPr>
                    <m:t>+0.03</m:t>
                  </m:r>
                  <m:ctrlPr>
                    <w:rPr>
                      <w:rFonts w:ascii="Cambria Math" w:hAnsi="Cambria Math"/>
                      <w:i/>
                      <w:iCs/>
                    </w:rPr>
                  </m:ctrlPr>
                </m:e>
                <m:e>
                  <m:r>
                    <m:rPr/>
                    <w:rPr>
                      <w:rFonts w:ascii="Cambria Math" w:hAnsi="Cambria Math"/>
                    </w:rPr>
                    <m:t>θ&lt;5%</m:t>
                  </m:r>
                  <m:ctrlPr>
                    <w:rPr>
                      <w:rFonts w:ascii="Cambria Math" w:hAnsi="Cambria Math"/>
                      <w:i/>
                      <w:iCs/>
                    </w:rPr>
                  </m:ctrlPr>
                </m:e>
              </m:mr>
              <m:mr>
                <m:e>
                  <m:r>
                    <m:rPr/>
                    <w:rPr>
                      <w:rFonts w:ascii="Cambria Math" w:hAnsi="Cambria Math"/>
                    </w:rPr>
                    <m:t>16.8×sin</m:t>
                  </m:r>
                  <m:d>
                    <m:dPr>
                      <m:ctrlPr>
                        <w:rPr>
                          <w:rFonts w:ascii="Cambria Math" w:hAnsi="Cambria Math"/>
                          <w:i/>
                          <w:iCs/>
                        </w:rPr>
                      </m:ctrlPr>
                    </m:dPr>
                    <m:e>
                      <m:r>
                        <m:rPr/>
                        <w:rPr>
                          <w:rFonts w:ascii="Cambria Math" w:hAnsi="Cambria Math"/>
                        </w:rPr>
                        <m:t>θ</m:t>
                      </m:r>
                      <m:ctrlPr>
                        <w:rPr>
                          <w:rFonts w:ascii="Cambria Math" w:hAnsi="Cambria Math"/>
                          <w:i/>
                          <w:iCs/>
                        </w:rPr>
                      </m:ctrlPr>
                    </m:e>
                  </m:d>
                  <m:r>
                    <m:rPr/>
                    <w:rPr>
                      <w:rFonts w:ascii="Cambria Math" w:hAnsi="Cambria Math"/>
                    </w:rPr>
                    <m:t>−0.50</m:t>
                  </m:r>
                  <m:ctrlPr>
                    <w:rPr>
                      <w:rFonts w:ascii="Cambria Math" w:hAnsi="Cambria Math"/>
                      <w:i/>
                      <w:iCs/>
                    </w:rPr>
                  </m:ctrlPr>
                </m:e>
                <m:e>
                  <m:r>
                    <m:rPr/>
                    <w:rPr>
                      <w:rFonts w:ascii="Cambria Math" w:hAnsi="Cambria Math"/>
                    </w:rPr>
                    <m:t>5%≤θ≤10%</m:t>
                  </m:r>
                  <m:ctrlPr>
                    <w:rPr>
                      <w:rFonts w:ascii="Cambria Math" w:hAnsi="Cambria Math"/>
                      <w:i/>
                      <w:iCs/>
                    </w:rPr>
                  </m:ctrlPr>
                </m:e>
              </m:mr>
              <m:mr>
                <m:e>
                  <m:r>
                    <m:rPr/>
                    <w:rPr>
                      <w:rFonts w:ascii="Cambria Math" w:hAnsi="Cambria Math"/>
                    </w:rPr>
                    <m:t>21.91×sin</m:t>
                  </m:r>
                  <m:d>
                    <m:dPr>
                      <m:ctrlPr>
                        <w:rPr>
                          <w:rFonts w:ascii="Cambria Math" w:hAnsi="Cambria Math"/>
                          <w:i/>
                          <w:iCs/>
                        </w:rPr>
                      </m:ctrlPr>
                    </m:dPr>
                    <m:e>
                      <m:r>
                        <m:rPr/>
                        <w:rPr>
                          <w:rFonts w:ascii="Cambria Math" w:hAnsi="Cambria Math"/>
                        </w:rPr>
                        <m:t>θ</m:t>
                      </m:r>
                      <m:ctrlPr>
                        <w:rPr>
                          <w:rFonts w:ascii="Cambria Math" w:hAnsi="Cambria Math"/>
                          <w:i/>
                          <w:iCs/>
                        </w:rPr>
                      </m:ctrlPr>
                    </m:e>
                  </m:d>
                  <m:r>
                    <m:rPr/>
                    <w:rPr>
                      <w:rFonts w:ascii="Cambria Math" w:hAnsi="Cambria Math"/>
                    </w:rPr>
                    <m:t>−0.96</m:t>
                  </m:r>
                  <m:ctrlPr>
                    <w:rPr>
                      <w:rFonts w:ascii="Cambria Math" w:hAnsi="Cambria Math"/>
                      <w:i/>
                      <w:iCs/>
                    </w:rPr>
                  </m:ctrlPr>
                </m:e>
                <m:e>
                  <m:r>
                    <m:rPr/>
                    <w:rPr>
                      <w:rFonts w:ascii="Cambria Math" w:hAnsi="Cambria Math"/>
                    </w:rPr>
                    <m:t>θ&gt;10%</m:t>
                  </m:r>
                  <m:ctrlPr>
                    <w:rPr>
                      <w:rFonts w:ascii="Cambria Math" w:hAnsi="Cambria Math"/>
                      <w:i/>
                      <w:iCs/>
                    </w:rPr>
                  </m:ctrlPr>
                </m:e>
              </m:mr>
            </m:m>
            <m:ctrlPr>
              <w:rPr>
                <w:rFonts w:ascii="Cambria Math" w:hAnsi="Cambria Math"/>
                <w:i/>
                <w:iCs/>
              </w:rPr>
            </m:ctrlPr>
          </m:e>
        </m:d>
      </m:oMath>
      <w:r>
        <w:rPr>
          <w:rFonts w:ascii="Times New Roman" w:hAnsi="Times New Roman" w:eastAsia="微软雅黑"/>
        </w:rPr>
        <w:tab/>
      </w:r>
      <w:r>
        <w:rPr>
          <w:rFonts w:ascii="Times New Roman" w:hAnsi="Times New Roman"/>
        </w:rPr>
        <w:t>(C.</w:t>
      </w:r>
      <w:r>
        <w:rPr>
          <w:rFonts w:hint="eastAsia" w:ascii="Times New Roman" w:hAnsi="Times New Roman"/>
        </w:rPr>
        <w:t>21</w:t>
      </w:r>
      <w:r>
        <w:rPr>
          <w:rFonts w:ascii="Times New Roman" w:hAnsi="Times New Roman"/>
        </w:rPr>
        <w:t>)</w:t>
      </w:r>
    </w:p>
    <w:p w14:paraId="69623763">
      <w:pPr>
        <w:pStyle w:val="57"/>
        <w:ind w:firstLine="420"/>
        <w:rPr>
          <w:rFonts w:ascii="Times New Roman" w:hAnsi="Times New Roman"/>
        </w:rPr>
      </w:pPr>
      <w:r>
        <w:rPr>
          <w:rFonts w:ascii="Times New Roman" w:hAnsi="Times New Roman"/>
        </w:rPr>
        <w:t>式中：</w:t>
      </w:r>
    </w:p>
    <w:p w14:paraId="77F3D330">
      <w:pPr>
        <w:pStyle w:val="58"/>
        <w:ind w:firstLine="420"/>
        <w:rPr>
          <w:rFonts w:ascii="Times New Roman"/>
        </w:rPr>
      </w:pPr>
      <m:oMath>
        <m:r>
          <m:rPr/>
          <w:rPr>
            <w:rFonts w:ascii="Cambria Math" w:hAnsi="Cambria Math"/>
          </w:rPr>
          <m:t>L</m:t>
        </m:r>
      </m:oMath>
      <w:r>
        <w:rPr>
          <w:rFonts w:ascii="Times New Roman" w:eastAsiaTheme="minorEastAsia"/>
        </w:rPr>
        <w:t>——</w:t>
      </w:r>
      <w:r>
        <w:rPr>
          <w:rFonts w:ascii="Times New Roman"/>
        </w:rPr>
        <w:t>坡长因子，单位：无量纲；</w:t>
      </w:r>
    </w:p>
    <w:p w14:paraId="5FF9CCCD">
      <w:pPr>
        <w:pStyle w:val="58"/>
        <w:ind w:firstLine="420"/>
        <w:rPr>
          <w:rFonts w:ascii="Times New Roman" w:eastAsia="Cambria Math"/>
        </w:rPr>
      </w:pPr>
      <m:oMath>
        <m:r>
          <m:rPr/>
          <w:rPr>
            <w:rFonts w:ascii="Cambria Math" w:hAnsi="Cambria Math"/>
          </w:rPr>
          <m:t>S</m:t>
        </m:r>
      </m:oMath>
      <w:r>
        <w:rPr>
          <w:rFonts w:ascii="Times New Roman" w:eastAsiaTheme="minorEastAsia"/>
        </w:rPr>
        <w:t>——</w:t>
      </w:r>
      <w:r>
        <w:rPr>
          <w:rFonts w:ascii="Times New Roman"/>
        </w:rPr>
        <w:t>坡度因子，单位：无量纲；</w:t>
      </w:r>
    </w:p>
    <w:p w14:paraId="0D32B1C3">
      <w:pPr>
        <w:pStyle w:val="58"/>
        <w:ind w:firstLine="420"/>
        <w:rPr>
          <w:rFonts w:ascii="Times New Roman" w:eastAsia="Cambria Math"/>
        </w:rPr>
      </w:pPr>
      <m:oMath>
        <m:r>
          <m:rPr/>
          <w:rPr>
            <w:rFonts w:ascii="Cambria Math" w:hAnsi="Cambria Math"/>
          </w:rPr>
          <m:t>λ</m:t>
        </m:r>
      </m:oMath>
      <w:r>
        <w:rPr>
          <w:rFonts w:ascii="Times New Roman" w:eastAsiaTheme="minorEastAsia"/>
        </w:rPr>
        <w:t>——</w:t>
      </w:r>
      <w:r>
        <w:rPr>
          <w:rFonts w:ascii="Times New Roman"/>
        </w:rPr>
        <w:t>坡长，单位：</w:t>
      </w:r>
      <w:r>
        <w:rPr>
          <w:rFonts w:ascii="Times New Roman" w:eastAsia="Cambria Math"/>
        </w:rPr>
        <w:t>m</w:t>
      </w:r>
      <w:r>
        <w:rPr>
          <w:rFonts w:ascii="Times New Roman"/>
        </w:rPr>
        <w:t>；</w:t>
      </w:r>
    </w:p>
    <w:p w14:paraId="6CDA3EC8">
      <w:pPr>
        <w:pStyle w:val="58"/>
        <w:ind w:firstLine="420"/>
        <w:rPr>
          <w:rFonts w:ascii="Times New Roman"/>
        </w:rPr>
      </w:pPr>
      <m:oMath>
        <m:r>
          <m:rPr/>
          <w:rPr>
            <w:rFonts w:ascii="Cambria Math" w:hAnsi="Cambria Math"/>
          </w:rPr>
          <m:t>m</m:t>
        </m:r>
      </m:oMath>
      <w:r>
        <w:rPr>
          <w:rFonts w:ascii="Times New Roman"/>
        </w:rPr>
        <w:t>——坡长因子指数，单位：无量纲；</w:t>
      </w:r>
    </w:p>
    <w:p w14:paraId="0BA780A9">
      <w:pPr>
        <w:pStyle w:val="58"/>
        <w:ind w:firstLine="420"/>
        <w:rPr>
          <w:rFonts w:ascii="Times New Roman"/>
        </w:rPr>
      </w:pPr>
      <m:oMath>
        <m:r>
          <m:rPr/>
          <w:rPr>
            <w:rFonts w:ascii="Cambria Math" w:hAnsi="Cambria Math"/>
          </w:rPr>
          <m:t>θ</m:t>
        </m:r>
      </m:oMath>
      <w:r>
        <w:rPr>
          <w:rFonts w:ascii="Times New Roman"/>
        </w:rPr>
        <w:t>——坡度，单位：弧度；</w:t>
      </w:r>
    </w:p>
    <w:p w14:paraId="33FF8C91">
      <w:pPr>
        <w:pStyle w:val="58"/>
        <w:ind w:firstLine="420"/>
        <w:rPr>
          <w:rFonts w:ascii="Times New Roman"/>
        </w:rPr>
      </w:pPr>
      <m:oMath>
        <m:r>
          <m:rPr/>
          <w:rPr>
            <w:rFonts w:ascii="Cambria Math" w:hAnsi="Cambria Math"/>
          </w:rPr>
          <m:t>β</m:t>
        </m:r>
      </m:oMath>
      <w:r>
        <w:rPr>
          <w:rFonts w:ascii="Times New Roman"/>
        </w:rPr>
        <w:t>——坡度因子指数，单位：无量纲。</w:t>
      </w:r>
    </w:p>
    <w:p w14:paraId="6DC060DA">
      <w:pPr>
        <w:pStyle w:val="81"/>
        <w:spacing w:before="156" w:after="156"/>
        <w:rPr>
          <w:rFonts w:ascii="Times New Roman"/>
        </w:rPr>
      </w:pPr>
      <w:bookmarkStart w:id="167" w:name="_Toc179674318"/>
      <w:r>
        <w:rPr>
          <w:rFonts w:ascii="Times New Roman"/>
        </w:rPr>
        <w:t>植被覆盖因子</w:t>
      </w:r>
      <w:bookmarkEnd w:id="167"/>
    </w:p>
    <w:p w14:paraId="085084A8">
      <w:pPr>
        <w:pStyle w:val="58"/>
        <w:ind w:firstLine="420"/>
        <w:rPr>
          <w:rFonts w:ascii="Times New Roman"/>
        </w:rPr>
      </w:pPr>
      <w:r>
        <w:rPr>
          <w:rFonts w:ascii="Times New Roman"/>
        </w:rPr>
        <w:t>植被覆盖因子是指在一定的覆盖度和管理措施下，一定面积土地上的土壤流失量与采取连续清耕、休闲处理等措施的土壤流失量的比值。当土地覆盖类型为耕地、园地时按照公式（C.2</w:t>
      </w:r>
      <w:r>
        <w:rPr>
          <w:rFonts w:hint="eastAsia" w:ascii="Times New Roman"/>
        </w:rPr>
        <w:t>2</w:t>
      </w:r>
      <w:r>
        <w:rPr>
          <w:rFonts w:ascii="Times New Roman"/>
        </w:rPr>
        <w:t>）（C.2</w:t>
      </w:r>
      <w:r>
        <w:rPr>
          <w:rFonts w:hint="eastAsia" w:ascii="Times New Roman"/>
        </w:rPr>
        <w:t>4</w:t>
      </w:r>
      <w:r>
        <w:rPr>
          <w:rFonts w:ascii="Times New Roman"/>
        </w:rPr>
        <w:t>）计算，当土地覆盖类型为林地和灌丛时按照公式（C.2</w:t>
      </w:r>
      <w:r>
        <w:rPr>
          <w:rFonts w:hint="eastAsia" w:ascii="Times New Roman"/>
        </w:rPr>
        <w:t>3</w:t>
      </w:r>
      <w:r>
        <w:rPr>
          <w:rFonts w:ascii="Times New Roman"/>
        </w:rPr>
        <w:t>）（C.2</w:t>
      </w:r>
      <w:r>
        <w:rPr>
          <w:rFonts w:hint="eastAsia" w:ascii="Times New Roman"/>
        </w:rPr>
        <w:t>4</w:t>
      </w:r>
      <w:r>
        <w:rPr>
          <w:rFonts w:ascii="Times New Roman"/>
        </w:rPr>
        <w:t>）计算。</w:t>
      </w:r>
    </w:p>
    <w:p w14:paraId="13FDE572">
      <w:pPr>
        <w:pStyle w:val="115"/>
        <w:rPr>
          <w:rFonts w:ascii="Times New Roman" w:hAnsi="Times New Roman"/>
        </w:rPr>
      </w:pPr>
      <w:r>
        <w:rPr>
          <w:rFonts w:ascii="Times New Roman" w:hAnsi="Times New Roman"/>
        </w:rPr>
        <w:tab/>
      </w:r>
      <m:oMath>
        <m:r>
          <m:rPr/>
          <w:rPr>
            <w:rFonts w:ascii="Cambria Math" w:hAnsi="Cambria Math"/>
          </w:rPr>
          <m:t>C=</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w:rPr>
                      <w:rFonts w:ascii="Cambria Math" w:hAnsi="Cambria Math"/>
                    </w:rPr>
                    <m:t>1</m:t>
                  </m:r>
                  <m:ctrlPr>
                    <w:rPr>
                      <w:rFonts w:ascii="Cambria Math" w:hAnsi="Cambria Math"/>
                      <w:i/>
                    </w:rPr>
                  </m:ctrlPr>
                </m:e>
                <m:e>
                  <m:r>
                    <m:rPr/>
                    <w:rPr>
                      <w:rFonts w:ascii="Cambria Math" w:hAnsi="Cambria Math"/>
                    </w:rPr>
                    <m:t>f=0</m:t>
                  </m:r>
                  <m:ctrlPr>
                    <w:rPr>
                      <w:rFonts w:ascii="Cambria Math" w:hAnsi="Cambria Math"/>
                      <w:i/>
                    </w:rPr>
                  </m:ctrlPr>
                </m:e>
              </m:mr>
              <m:mr>
                <m:e>
                  <m:r>
                    <m:rPr/>
                    <w:rPr>
                      <w:rFonts w:ascii="Cambria Math" w:hAnsi="Cambria Math"/>
                    </w:rPr>
                    <m:t>0.6508−0.3436×</m:t>
                  </m:r>
                  <m:func>
                    <m:funcPr>
                      <m:ctrlPr>
                        <w:rPr>
                          <w:rFonts w:ascii="Cambria Math" w:hAnsi="Cambria Math"/>
                          <w:i/>
                        </w:rPr>
                      </m:ctrlPr>
                    </m:funcPr>
                    <m:fName>
                      <m:sSub>
                        <m:sSubPr>
                          <m:ctrlPr>
                            <w:rPr>
                              <w:rFonts w:ascii="Cambria Math" w:hAnsi="Cambria Math"/>
                              <w:i/>
                            </w:rPr>
                          </m:ctrlPr>
                        </m:sSubPr>
                        <m:e>
                          <m:r>
                            <m:rPr/>
                            <w:rPr>
                              <w:rFonts w:ascii="Cambria Math" w:hAnsi="Cambria Math"/>
                            </w:rPr>
                            <m:t>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r>
                        <m:rPr/>
                        <w:rPr>
                          <w:rFonts w:ascii="Cambria Math" w:hAnsi="Cambria Math"/>
                        </w:rPr>
                        <m:t xml:space="preserve">f    </m:t>
                      </m:r>
                      <m:ctrlPr>
                        <w:rPr>
                          <w:rFonts w:ascii="Cambria Math" w:hAnsi="Cambria Math"/>
                          <w:i/>
                        </w:rPr>
                      </m:ctrlPr>
                    </m:e>
                  </m:func>
                  <m:ctrlPr>
                    <w:rPr>
                      <w:rFonts w:ascii="Cambria Math" w:hAnsi="Cambria Math"/>
                      <w:i/>
                    </w:rPr>
                  </m:ctrlPr>
                </m:e>
                <m:e>
                  <m:r>
                    <m:rPr/>
                    <w:rPr>
                      <w:rFonts w:ascii="Cambria Math" w:hAnsi="Cambria Math"/>
                    </w:rPr>
                    <m:t>0&lt;f≤78.3%</m:t>
                  </m:r>
                  <m:ctrlPr>
                    <w:rPr>
                      <w:rFonts w:ascii="Cambria Math" w:hAnsi="Cambria Math"/>
                      <w:i/>
                    </w:rPr>
                  </m:ctrlPr>
                </m:e>
              </m:mr>
              <m:mr>
                <m:e>
                  <m:r>
                    <m:rPr/>
                    <w:rPr>
                      <w:rFonts w:ascii="Cambria Math" w:hAnsi="Cambria Math"/>
                    </w:rPr>
                    <m:t>0</m:t>
                  </m:r>
                  <m:ctrlPr>
                    <w:rPr>
                      <w:rFonts w:ascii="Cambria Math" w:hAnsi="Cambria Math"/>
                      <w:i/>
                    </w:rPr>
                  </m:ctrlPr>
                </m:e>
                <m:e>
                  <m:r>
                    <m:rPr/>
                    <w:rPr>
                      <w:rFonts w:ascii="Cambria Math" w:hAnsi="Cambria Math"/>
                    </w:rPr>
                    <m:t>f&gt;78.3%</m:t>
                  </m:r>
                  <m:ctrlPr>
                    <w:rPr>
                      <w:rFonts w:ascii="Cambria Math" w:hAnsi="Cambria Math"/>
                      <w:i/>
                    </w:rPr>
                  </m:ctrlPr>
                </m:e>
              </m:mr>
            </m:m>
            <m:ctrlPr>
              <w:rPr>
                <w:rFonts w:ascii="Cambria Math" w:hAnsi="Cambria Math"/>
                <w:i/>
              </w:rPr>
            </m:ctrlPr>
          </m:e>
        </m:d>
      </m:oMath>
      <w:r>
        <w:rPr>
          <w:rFonts w:ascii="Times New Roman" w:hAnsi="Times New Roman" w:eastAsia="微软雅黑"/>
        </w:rPr>
        <w:tab/>
      </w:r>
      <w:r>
        <w:rPr>
          <w:rFonts w:ascii="Times New Roman" w:hAnsi="Times New Roman"/>
        </w:rPr>
        <w:t>(C.</w:t>
      </w:r>
      <w:r>
        <w:rPr>
          <w:rFonts w:hint="eastAsia" w:ascii="Times New Roman" w:hAnsi="Times New Roman"/>
        </w:rPr>
        <w:t>22</w:t>
      </w:r>
      <w:r>
        <w:rPr>
          <w:rFonts w:ascii="Times New Roman" w:hAnsi="Times New Roman"/>
        </w:rPr>
        <w:t>)</w:t>
      </w:r>
    </w:p>
    <w:p w14:paraId="0E57F3AD">
      <w:pPr>
        <w:pStyle w:val="115"/>
        <w:rPr>
          <w:rFonts w:ascii="Times New Roman" w:hAnsi="Times New Roman"/>
        </w:rPr>
      </w:pPr>
      <w:r>
        <w:rPr>
          <w:rFonts w:ascii="Times New Roman" w:hAnsi="Times New Roman"/>
        </w:rPr>
        <w:tab/>
      </w:r>
      <m:oMath>
        <m:r>
          <m:rPr>
            <m:sty m:val="p"/>
          </m:rPr>
          <w:rPr>
            <w:rFonts w:ascii="Cambria Math" w:hAnsi="Cambria Math"/>
          </w:rPr>
          <m:t>C=</m:t>
        </m:r>
        <m:d>
          <m:dPr>
            <m:begChr m:val="{"/>
            <m:endChr m:val=""/>
            <m:ctrlPr>
              <w:rPr>
                <w:rFonts w:ascii="Cambria Math" w:hAnsi="Cambria Math"/>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r>
                          <m:rPr/>
                          <w:rPr>
                            <w:rFonts w:ascii="Cambria Math" w:hAnsi="Cambria Math"/>
                          </w:rPr>
                          <m:t>−0.88+0.616</m:t>
                        </m:r>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−4.35f</m:t>
                            </m:r>
                            <m:ctrlPr>
                              <w:rPr>
                                <w:rFonts w:ascii="Cambria Math" w:hAnsi="Cambria Math"/>
                                <w:i/>
                              </w:rPr>
                            </m:ctrlPr>
                          </m:sup>
                        </m:sSup>
                        <m:r>
                          <m:rPr/>
                          <w:rPr>
                            <w:rFonts w:ascii="Cambria Math" w:hAnsi="Cambria Math"/>
                          </w:rPr>
                          <m:t>+0.691</m:t>
                        </m:r>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−39.87f</m:t>
                            </m:r>
                            <m:ctrlPr>
                              <w:rPr>
                                <w:rFonts w:ascii="Cambria Math" w:hAnsi="Cambria Math"/>
                                <w:i/>
                              </w:rPr>
                            </m:ctrlPr>
                          </m:sup>
                        </m:sSup>
                        <m:ctrlPr>
                          <w:rPr>
                            <w:rFonts w:ascii="Cambria Math" w:hAnsi="Cambria Math"/>
                            <w:i/>
                          </w:rPr>
                        </m:ctrlPr>
                      </m:e>
                      <m:e>
                        <m:r>
                          <m:rPr/>
                          <w:rPr>
                            <w:rFonts w:ascii="Cambria Math" w:hAnsi="Cambria Math"/>
                          </w:rPr>
                          <m:t xml:space="preserve"> f≤62.59</m:t>
                        </m:r>
                        <m:ctrlPr>
                          <w:rPr>
                            <w:rFonts w:ascii="Cambria Math" w:hAnsi="Cambria Math"/>
                            <w:i/>
                          </w:rPr>
                        </m:ctrlPr>
                      </m:e>
                    </m:mr>
                  </m:m>
                  <m:ctrlPr>
                    <w:rPr>
                      <w:rFonts w:ascii="Cambria Math" w:hAnsi="Cambria Math"/>
                      <w:i/>
                    </w:rPr>
                  </m:ctrlPr>
                </m:e>
              </m:mr>
              <m:mr>
                <m:e>
                  <m:m>
                    <m:mPr>
                      <m:mcs>
                        <m:mc>
                          <m:mcPr>
                            <m:count m:val="2"/>
                            <m:mcJc m:val="center"/>
                          </m:mcPr>
                        </m:mc>
                      </m:mcs>
                      <m:ctrlPr>
                        <w:rPr>
                          <w:rFonts w:ascii="Cambria Math" w:hAnsi="Cambria Math"/>
                          <w:i/>
                        </w:rPr>
                      </m:ctrlPr>
                    </m:mPr>
                    <m:mr>
                      <m:e>
                        <m:r>
                          <m:rPr/>
                          <w:rPr>
                            <w:rFonts w:ascii="Cambria Math" w:hAnsi="Cambria Math"/>
                          </w:rPr>
                          <m:t>0</m:t>
                        </m:r>
                        <m:ctrlPr>
                          <w:rPr>
                            <w:rFonts w:ascii="Cambria Math" w:hAnsi="Cambria Math"/>
                            <w:i/>
                          </w:rPr>
                        </m:ctrlPr>
                      </m:e>
                      <m:e>
                        <m:r>
                          <m:rPr/>
                          <w:rPr>
                            <w:rFonts w:ascii="Cambria Math" w:hAnsi="Cambria Math"/>
                          </w:rPr>
                          <m:t>f&gt;62.59%</m:t>
                        </m:r>
                        <m:ctrlPr>
                          <w:rPr>
                            <w:rFonts w:ascii="Cambria Math" w:hAnsi="Cambria Math"/>
                            <w:i/>
                          </w:rPr>
                        </m:ctrlPr>
                      </m:e>
                    </m:mr>
                  </m:m>
                  <m:ctrlPr>
                    <w:rPr>
                      <w:rFonts w:ascii="Cambria Math" w:hAnsi="Cambria Math"/>
                      <w:i/>
                    </w:rPr>
                  </m:ctrlPr>
                </m:e>
              </m:mr>
            </m:m>
            <m:ctrlPr>
              <w:rPr>
                <w:rFonts w:ascii="Cambria Math" w:hAnsi="Cambria Math"/>
              </w:rPr>
            </m:ctrlPr>
          </m:e>
        </m:d>
        <m:r>
          <m:rPr/>
          <w:rPr>
            <w:rFonts w:ascii="Cambria Math" w:hAnsi="Cambria Math"/>
          </w:rPr>
          <m:t xml:space="preserve"> </m:t>
        </m:r>
      </m:oMath>
      <w:r>
        <w:rPr>
          <w:rFonts w:ascii="Times New Roman" w:hAnsi="Times New Roman" w:eastAsia="微软雅黑"/>
        </w:rPr>
        <w:tab/>
      </w:r>
      <w:r>
        <w:rPr>
          <w:rFonts w:ascii="Times New Roman" w:hAnsi="Times New Roman"/>
        </w:rPr>
        <w:t>(C.</w:t>
      </w:r>
      <w:r>
        <w:rPr>
          <w:rFonts w:hint="eastAsia" w:ascii="Times New Roman" w:hAnsi="Times New Roman"/>
        </w:rPr>
        <w:t>23</w:t>
      </w:r>
      <w:r>
        <w:rPr>
          <w:rFonts w:ascii="Times New Roman" w:hAnsi="Times New Roman"/>
        </w:rPr>
        <w:t>)</w:t>
      </w:r>
    </w:p>
    <w:p w14:paraId="5F2BDC3C">
      <w:pPr>
        <w:pStyle w:val="115"/>
        <w:rPr>
          <w:rFonts w:ascii="Times New Roman" w:hAnsi="Times New Roman"/>
        </w:rPr>
      </w:pPr>
      <w:r>
        <w:rPr>
          <w:rFonts w:ascii="Times New Roman" w:hAnsi="Times New Roman"/>
        </w:rPr>
        <w:tab/>
      </w:r>
      <m:oMath>
        <m:r>
          <m:rPr/>
          <w:rPr>
            <w:rFonts w:ascii="Cambria Math" w:hAnsi="Cambria Math"/>
          </w:rPr>
          <m:t>f=</m:t>
        </m:r>
        <m:f>
          <m:fPr>
            <m:ctrlPr>
              <w:rPr>
                <w:rFonts w:ascii="Cambria Math" w:hAnsi="Cambria Math"/>
                <w:i/>
              </w:rPr>
            </m:ctrlPr>
          </m:fPr>
          <m:num>
            <m:d>
              <m:dPr>
                <m:ctrlPr>
                  <w:rPr>
                    <w:rFonts w:ascii="Cambria Math" w:hAnsi="Cambria Math"/>
                    <w:i/>
                  </w:rPr>
                </m:ctrlPr>
              </m:dPr>
              <m:e>
                <m:r>
                  <m:rPr/>
                  <w:rPr>
                    <w:rFonts w:ascii="Cambria Math" w:hAnsi="Cambria Math"/>
                  </w:rPr>
                  <m:t>NDVI−</m:t>
                </m:r>
                <m:sSub>
                  <m:sSubPr>
                    <m:ctrlPr>
                      <w:rPr>
                        <w:rFonts w:ascii="Cambria Math" w:hAnsi="Cambria Math"/>
                        <w:i/>
                      </w:rPr>
                    </m:ctrlPr>
                  </m:sSubPr>
                  <m:e>
                    <m:r>
                      <m:rPr/>
                      <w:rPr>
                        <w:rFonts w:ascii="Cambria Math" w:hAnsi="Cambria Math"/>
                      </w:rPr>
                      <m:t>NDVI</m:t>
                    </m:r>
                    <m:ctrlPr>
                      <w:rPr>
                        <w:rFonts w:ascii="Cambria Math" w:hAnsi="Cambria Math"/>
                        <w:i/>
                      </w:rPr>
                    </m:ctrlPr>
                  </m:e>
                  <m:sub>
                    <m:r>
                      <m:rPr/>
                      <w:rPr>
                        <w:rFonts w:ascii="Cambria Math" w:hAnsi="Cambria Math"/>
                      </w:rPr>
                      <m:t>soil</m:t>
                    </m:r>
                    <m:ctrlPr>
                      <w:rPr>
                        <w:rFonts w:ascii="Cambria Math" w:hAnsi="Cambria Math"/>
                        <w:i/>
                      </w:rPr>
                    </m:ctrlPr>
                  </m:sub>
                </m:sSub>
                <m:ctrlPr>
                  <w:rPr>
                    <w:rFonts w:ascii="Cambria Math" w:hAnsi="Cambria Math"/>
                    <w:i/>
                  </w:rPr>
                </m:ctrlPr>
              </m:e>
            </m:d>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m:rPr/>
                      <w:rPr>
                        <w:rFonts w:ascii="Cambria Math" w:hAnsi="Cambria Math"/>
                      </w:rPr>
                      <m:t>NDVI</m:t>
                    </m:r>
                    <m:ctrlPr>
                      <w:rPr>
                        <w:rFonts w:ascii="Cambria Math" w:hAnsi="Cambria Math"/>
                        <w:i/>
                      </w:rPr>
                    </m:ctrlPr>
                  </m:e>
                  <m:sub>
                    <m:r>
                      <m:rPr/>
                      <w:rPr>
                        <w:rFonts w:ascii="Cambria Math" w:hAnsi="Cambria Math"/>
                      </w:rPr>
                      <m:t>max</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NDVI</m:t>
                    </m:r>
                    <m:ctrlPr>
                      <w:rPr>
                        <w:rFonts w:ascii="Cambria Math" w:hAnsi="Cambria Math"/>
                        <w:i/>
                      </w:rPr>
                    </m:ctrlPr>
                  </m:e>
                  <m:sub>
                    <m:r>
                      <m:rPr/>
                      <w:rPr>
                        <w:rFonts w:ascii="Cambria Math" w:hAnsi="Cambria Math"/>
                      </w:rPr>
                      <m:t>soil</m:t>
                    </m:r>
                    <m:ctrlPr>
                      <w:rPr>
                        <w:rFonts w:ascii="Cambria Math" w:hAnsi="Cambria Math"/>
                        <w:i/>
                      </w:rPr>
                    </m:ctrlPr>
                  </m:sub>
                </m:sSub>
                <m:ctrlPr>
                  <w:rPr>
                    <w:rFonts w:ascii="Cambria Math" w:hAnsi="Cambria Math"/>
                    <w:i/>
                  </w:rPr>
                </m:ctrlPr>
              </m:e>
            </m:d>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24</w:t>
      </w:r>
      <w:r>
        <w:rPr>
          <w:rFonts w:ascii="Times New Roman" w:hAnsi="Times New Roman"/>
        </w:rPr>
        <w:t>)</w:t>
      </w:r>
    </w:p>
    <w:p w14:paraId="30ACBFF7">
      <w:pPr>
        <w:pStyle w:val="57"/>
        <w:ind w:firstLine="420"/>
        <w:rPr>
          <w:rFonts w:ascii="Times New Roman" w:hAnsi="Times New Roman"/>
        </w:rPr>
      </w:pPr>
      <w:r>
        <w:rPr>
          <w:rFonts w:ascii="Times New Roman" w:hAnsi="Times New Roman"/>
        </w:rPr>
        <w:t>式中：</w:t>
      </w:r>
    </w:p>
    <w:p w14:paraId="6E4D3C39">
      <w:pPr>
        <w:pStyle w:val="58"/>
        <w:ind w:firstLine="420"/>
        <w:rPr>
          <w:rFonts w:ascii="Times New Roman" w:eastAsia="Cambria Math"/>
        </w:rPr>
      </w:pPr>
      <m:oMath>
        <m:r>
          <m:rPr/>
          <w:rPr>
            <w:rFonts w:ascii="Cambria Math" w:hAnsi="Cambria Math"/>
          </w:rPr>
          <m:t>C</m:t>
        </m:r>
      </m:oMath>
      <w:r>
        <w:rPr>
          <w:rFonts w:ascii="Times New Roman" w:eastAsiaTheme="minorEastAsia"/>
        </w:rPr>
        <w:t>——</w:t>
      </w:r>
      <w:r>
        <w:rPr>
          <w:rFonts w:ascii="Times New Roman"/>
        </w:rPr>
        <w:t>植被覆盖因子，单位：无量纲；</w:t>
      </w:r>
    </w:p>
    <w:p w14:paraId="240C3A37">
      <w:pPr>
        <w:pStyle w:val="58"/>
        <w:ind w:firstLine="420"/>
        <w:rPr>
          <w:rFonts w:ascii="Times New Roman" w:eastAsia="Cambria Math"/>
        </w:rPr>
      </w:pPr>
      <m:oMath>
        <m:r>
          <m:rPr/>
          <w:rPr>
            <w:rFonts w:ascii="Cambria Math" w:hAnsi="Cambria Math"/>
          </w:rPr>
          <m:t>f</m:t>
        </m:r>
      </m:oMath>
      <w:r>
        <w:rPr>
          <w:rFonts w:ascii="Times New Roman" w:eastAsiaTheme="minorEastAsia"/>
        </w:rPr>
        <w:t>——</w:t>
      </w:r>
      <w:r>
        <w:rPr>
          <w:rFonts w:ascii="Times New Roman"/>
        </w:rPr>
        <w:t>植被覆盖度，单位：</w:t>
      </w:r>
      <w:r>
        <w:rPr>
          <w:rFonts w:ascii="Times New Roman" w:eastAsia="Cambria Math"/>
        </w:rPr>
        <w:t>%</w:t>
      </w:r>
      <w:r>
        <w:rPr>
          <w:rFonts w:ascii="Times New Roman"/>
        </w:rPr>
        <w:t>；</w:t>
      </w:r>
    </w:p>
    <w:p w14:paraId="04220BDA">
      <w:pPr>
        <w:pStyle w:val="58"/>
        <w:ind w:firstLine="420"/>
        <w:rPr>
          <w:rFonts w:ascii="Times New Roman" w:eastAsia="Cambria Math"/>
        </w:rPr>
      </w:pPr>
      <m:oMath>
        <m:r>
          <m:rPr/>
          <w:rPr>
            <w:rFonts w:ascii="Cambria Math" w:hAnsi="Cambria Math"/>
          </w:rPr>
          <m:t>NDVI</m:t>
        </m:r>
      </m:oMath>
      <w:r>
        <w:rPr>
          <w:rFonts w:ascii="Times New Roman" w:eastAsiaTheme="minorEastAsia"/>
        </w:rPr>
        <w:t>——</w:t>
      </w:r>
      <w:r>
        <w:rPr>
          <w:rFonts w:ascii="Times New Roman"/>
        </w:rPr>
        <w:t>核算单元的实际</w:t>
      </w:r>
      <m:oMath>
        <m:r>
          <m:rPr/>
          <w:rPr>
            <w:rFonts w:ascii="Cambria Math" w:hAnsi="Cambria Math"/>
          </w:rPr>
          <m:t>NDVI</m:t>
        </m:r>
      </m:oMath>
      <w:r>
        <w:rPr>
          <w:rFonts w:ascii="Times New Roman"/>
        </w:rPr>
        <w:t>值，单位：无量纲；</w:t>
      </w:r>
    </w:p>
    <w:p w14:paraId="292D62B1">
      <w:pPr>
        <w:pStyle w:val="58"/>
        <w:ind w:firstLine="420"/>
        <w:rPr>
          <w:rFonts w:ascii="Times New Roman" w:eastAsia="Cambria Math"/>
        </w:rPr>
      </w:pPr>
      <m:oMath>
        <m:sSub>
          <m:sSubPr>
            <m:ctrlPr>
              <w:rPr>
                <w:rFonts w:ascii="Cambria Math" w:hAnsi="Cambria Math"/>
                <w:i/>
                <w:kern w:val="2"/>
                <w:szCs w:val="21"/>
              </w:rPr>
            </m:ctrlPr>
          </m:sSubPr>
          <m:e>
            <m:r>
              <m:rPr/>
              <w:rPr>
                <w:rFonts w:ascii="Cambria Math" w:hAnsi="Cambria Math"/>
              </w:rPr>
              <m:t>NDVI</m:t>
            </m:r>
            <m:ctrlPr>
              <w:rPr>
                <w:rFonts w:ascii="Cambria Math" w:hAnsi="Cambria Math"/>
                <w:i/>
                <w:kern w:val="2"/>
                <w:szCs w:val="21"/>
              </w:rPr>
            </m:ctrlPr>
          </m:e>
          <m:sub>
            <m:r>
              <m:rPr/>
              <w:rPr>
                <w:rFonts w:ascii="Cambria Math" w:hAnsi="Cambria Math"/>
              </w:rPr>
              <m:t>soil</m:t>
            </m:r>
            <m:ctrlPr>
              <w:rPr>
                <w:rFonts w:ascii="Cambria Math" w:hAnsi="Cambria Math"/>
                <w:i/>
                <w:kern w:val="2"/>
                <w:szCs w:val="21"/>
              </w:rPr>
            </m:ctrlPr>
          </m:sub>
        </m:sSub>
      </m:oMath>
      <w:r>
        <w:rPr>
          <w:rFonts w:ascii="Times New Roman" w:eastAsiaTheme="minorEastAsia"/>
        </w:rPr>
        <w:t>——</w:t>
      </w:r>
      <w:r>
        <w:rPr>
          <w:rFonts w:ascii="Times New Roman"/>
        </w:rPr>
        <w:t>纯裸土象元的</w:t>
      </w:r>
      <m:oMath>
        <m:r>
          <m:rPr/>
          <w:rPr>
            <w:rFonts w:ascii="Cambria Math" w:hAnsi="Cambria Math"/>
          </w:rPr>
          <m:t>NDVI</m:t>
        </m:r>
      </m:oMath>
      <w:r>
        <w:rPr>
          <w:rFonts w:ascii="Times New Roman"/>
        </w:rPr>
        <w:t>值，单位：无量纲；</w:t>
      </w:r>
    </w:p>
    <w:p w14:paraId="4D2FF87E">
      <w:pPr>
        <w:pStyle w:val="58"/>
        <w:ind w:firstLine="420"/>
        <w:rPr>
          <w:rFonts w:ascii="Times New Roman" w:eastAsiaTheme="minorEastAsia"/>
        </w:rPr>
      </w:pPr>
      <m:oMath>
        <m:sSub>
          <m:sSubPr>
            <m:ctrlPr>
              <w:rPr>
                <w:rFonts w:ascii="Cambria Math" w:hAnsi="Cambria Math"/>
                <w:i/>
                <w:kern w:val="2"/>
                <w:szCs w:val="21"/>
              </w:rPr>
            </m:ctrlPr>
          </m:sSubPr>
          <m:e>
            <m:r>
              <m:rPr/>
              <w:rPr>
                <w:rFonts w:ascii="Cambria Math" w:hAnsi="Cambria Math"/>
              </w:rPr>
              <m:t>NDVI</m:t>
            </m:r>
            <m:ctrlPr>
              <w:rPr>
                <w:rFonts w:ascii="Cambria Math" w:hAnsi="Cambria Math"/>
                <w:i/>
                <w:kern w:val="2"/>
                <w:szCs w:val="21"/>
              </w:rPr>
            </m:ctrlPr>
          </m:e>
          <m:sub>
            <m:r>
              <m:rPr/>
              <w:rPr>
                <w:rFonts w:ascii="Cambria Math" w:hAnsi="Cambria Math"/>
              </w:rPr>
              <m:t>max</m:t>
            </m:r>
            <m:ctrlPr>
              <w:rPr>
                <w:rFonts w:ascii="Cambria Math" w:hAnsi="Cambria Math"/>
                <w:i/>
                <w:kern w:val="2"/>
                <w:szCs w:val="21"/>
              </w:rPr>
            </m:ctrlPr>
          </m:sub>
        </m:sSub>
      </m:oMath>
      <w:r>
        <w:rPr>
          <w:rFonts w:ascii="Times New Roman" w:eastAsiaTheme="minorEastAsia"/>
        </w:rPr>
        <w:t>——</w:t>
      </w:r>
      <w:r>
        <w:rPr>
          <w:rFonts w:ascii="Times New Roman"/>
        </w:rPr>
        <w:t>纯植被象元的</w:t>
      </w:r>
      <m:oMath>
        <m:r>
          <m:rPr/>
          <w:rPr>
            <w:rFonts w:ascii="Cambria Math" w:hAnsi="Cambria Math"/>
          </w:rPr>
          <m:t>NDVI</m:t>
        </m:r>
      </m:oMath>
      <w:r>
        <w:rPr>
          <w:rFonts w:ascii="Times New Roman"/>
        </w:rPr>
        <w:t>值，单位：无量纲。</w:t>
      </w:r>
    </w:p>
    <w:p w14:paraId="445CCB98">
      <w:pPr>
        <w:pStyle w:val="81"/>
        <w:spacing w:before="156" w:after="156"/>
        <w:rPr>
          <w:rFonts w:ascii="Times New Roman"/>
        </w:rPr>
      </w:pPr>
      <w:bookmarkStart w:id="168" w:name="_Toc179674320"/>
      <w:bookmarkStart w:id="169" w:name="_Toc179674319"/>
      <w:r>
        <w:rPr>
          <w:rFonts w:ascii="Times New Roman"/>
        </w:rPr>
        <w:t>泥沙淤积系数</w:t>
      </w:r>
      <w:bookmarkEnd w:id="168"/>
    </w:p>
    <w:p w14:paraId="36FB6D8C">
      <w:pPr>
        <w:pStyle w:val="58"/>
        <w:ind w:firstLine="420"/>
        <w:rPr>
          <w:rFonts w:ascii="Times New Roman"/>
        </w:rPr>
      </w:pPr>
      <w:r>
        <w:rPr>
          <w:rFonts w:ascii="Times New Roman"/>
        </w:rPr>
        <w:t>宜采用长期监测调查数据，在缺少长期调查数据时，泥沙淤积系数默认取24%。</w:t>
      </w:r>
    </w:p>
    <w:p w14:paraId="66A659D7">
      <w:pPr>
        <w:pStyle w:val="81"/>
        <w:spacing w:before="156" w:after="156"/>
        <w:rPr>
          <w:rFonts w:ascii="Times New Roman"/>
        </w:rPr>
      </w:pPr>
      <w:r>
        <w:rPr>
          <w:rFonts w:ascii="Times New Roman"/>
        </w:rPr>
        <w:t>土壤容重</w:t>
      </w:r>
      <w:bookmarkEnd w:id="169"/>
    </w:p>
    <w:p w14:paraId="16D17FF9">
      <w:pPr>
        <w:pStyle w:val="58"/>
        <w:ind w:firstLine="420"/>
        <w:rPr>
          <w:rFonts w:ascii="Times New Roman"/>
        </w:rPr>
      </w:pPr>
      <w:r>
        <w:rPr>
          <w:rFonts w:ascii="Times New Roman"/>
        </w:rPr>
        <w:t>土壤容重参数宜通过采样调查核算区域内不同土壤类型土壤平均容重数据获取。在缺少实际测量数据的情况下，不同自然地理分区土壤容重可参考表C.</w:t>
      </w:r>
      <w:r>
        <w:rPr>
          <w:rFonts w:hint="eastAsia" w:ascii="Times New Roman"/>
        </w:rPr>
        <w:t>8</w:t>
      </w:r>
      <w:r>
        <w:rPr>
          <w:rFonts w:ascii="Times New Roman"/>
        </w:rPr>
        <w:t>取值。</w:t>
      </w:r>
    </w:p>
    <w:p w14:paraId="7E273863">
      <w:pPr>
        <w:pStyle w:val="79"/>
        <w:numPr>
          <w:ilvl w:val="0"/>
          <w:numId w:val="0"/>
        </w:numPr>
        <w:spacing w:before="156" w:after="156"/>
        <w:ind w:left="420"/>
        <w:rPr>
          <w:rFonts w:ascii="Times New Roman"/>
        </w:rPr>
      </w:pPr>
    </w:p>
    <w:p w14:paraId="41AB325D">
      <w:pPr>
        <w:pStyle w:val="79"/>
        <w:numPr>
          <w:ilvl w:val="0"/>
          <w:numId w:val="0"/>
        </w:numPr>
        <w:spacing w:before="156" w:after="156"/>
        <w:ind w:left="420"/>
        <w:rPr>
          <w:rFonts w:ascii="Times New Roman"/>
        </w:rPr>
      </w:pPr>
      <w:r>
        <w:rPr>
          <w:rFonts w:ascii="Times New Roman"/>
        </w:rPr>
        <w:t>表C.</w:t>
      </w:r>
      <w:r>
        <w:rPr>
          <w:rFonts w:hint="eastAsia" w:ascii="Times New Roman"/>
        </w:rPr>
        <w:t xml:space="preserve">8 </w:t>
      </w:r>
      <w:r>
        <w:rPr>
          <w:rFonts w:ascii="Times New Roman"/>
        </w:rPr>
        <w:t>不同自然地理分区土壤容重参考值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2FFAF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5FB7F220">
            <w:pPr>
              <w:pStyle w:val="180"/>
              <w:rPr>
                <w:rFonts w:ascii="Times New Roman"/>
              </w:rPr>
            </w:pPr>
            <w:r>
              <w:rPr>
                <w:rFonts w:ascii="Times New Roman"/>
              </w:rPr>
              <w:t>自然地理分区</w:t>
            </w:r>
          </w:p>
        </w:tc>
        <w:tc>
          <w:tcPr>
            <w:tcW w:w="4667" w:type="dxa"/>
            <w:tcBorders>
              <w:top w:val="single" w:color="auto" w:sz="8" w:space="0"/>
              <w:bottom w:val="single" w:color="auto" w:sz="8" w:space="0"/>
            </w:tcBorders>
            <w:shd w:val="clear" w:color="auto" w:fill="auto"/>
            <w:vAlign w:val="center"/>
          </w:tcPr>
          <w:p w14:paraId="2ED09562">
            <w:pPr>
              <w:pStyle w:val="180"/>
              <w:rPr>
                <w:rFonts w:ascii="Times New Roman"/>
              </w:rPr>
            </w:pPr>
            <w:r>
              <w:rPr>
                <w:rFonts w:ascii="Times New Roman"/>
              </w:rPr>
              <w:t>土壤容重（t/m</w:t>
            </w:r>
            <w:r>
              <w:rPr>
                <w:rFonts w:ascii="Times New Roman"/>
                <w:vertAlign w:val="superscript"/>
              </w:rPr>
              <w:t>3</w:t>
            </w:r>
            <w:r>
              <w:rPr>
                <w:rFonts w:ascii="Times New Roman"/>
              </w:rPr>
              <w:t>）</w:t>
            </w:r>
          </w:p>
        </w:tc>
      </w:tr>
      <w:tr w14:paraId="2054C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7603B9AB">
            <w:pPr>
              <w:pStyle w:val="180"/>
              <w:rPr>
                <w:rFonts w:ascii="Times New Roman"/>
              </w:rPr>
            </w:pPr>
            <w:r>
              <w:rPr>
                <w:rFonts w:ascii="Times New Roman"/>
              </w:rPr>
              <w:t>皖北平原区</w:t>
            </w:r>
          </w:p>
        </w:tc>
        <w:tc>
          <w:tcPr>
            <w:tcW w:w="4667" w:type="dxa"/>
            <w:tcBorders>
              <w:top w:val="single" w:color="auto" w:sz="8" w:space="0"/>
            </w:tcBorders>
            <w:shd w:val="clear" w:color="auto" w:fill="auto"/>
            <w:vAlign w:val="center"/>
          </w:tcPr>
          <w:p w14:paraId="07F6C0F2">
            <w:pPr>
              <w:pStyle w:val="180"/>
              <w:rPr>
                <w:rFonts w:ascii="Times New Roman"/>
              </w:rPr>
            </w:pPr>
            <w:r>
              <w:rPr>
                <w:rFonts w:ascii="Times New Roman"/>
              </w:rPr>
              <w:t>1.36</w:t>
            </w:r>
          </w:p>
        </w:tc>
      </w:tr>
      <w:tr w14:paraId="04F458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F3FAFA6">
            <w:pPr>
              <w:pStyle w:val="180"/>
              <w:rPr>
                <w:rFonts w:ascii="Times New Roman"/>
              </w:rPr>
            </w:pPr>
            <w:r>
              <w:rPr>
                <w:rFonts w:ascii="Times New Roman"/>
              </w:rPr>
              <w:t>江淮丘陵区</w:t>
            </w:r>
          </w:p>
        </w:tc>
        <w:tc>
          <w:tcPr>
            <w:tcW w:w="4667" w:type="dxa"/>
            <w:shd w:val="clear" w:color="auto" w:fill="auto"/>
            <w:vAlign w:val="center"/>
          </w:tcPr>
          <w:p w14:paraId="794270F5">
            <w:pPr>
              <w:pStyle w:val="180"/>
              <w:rPr>
                <w:rFonts w:ascii="Times New Roman"/>
              </w:rPr>
            </w:pPr>
            <w:r>
              <w:rPr>
                <w:rFonts w:ascii="Times New Roman"/>
              </w:rPr>
              <w:t>1.34</w:t>
            </w:r>
          </w:p>
        </w:tc>
      </w:tr>
      <w:tr w14:paraId="4D840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CEF079C">
            <w:pPr>
              <w:pStyle w:val="180"/>
              <w:rPr>
                <w:rFonts w:ascii="Times New Roman"/>
              </w:rPr>
            </w:pPr>
            <w:r>
              <w:rPr>
                <w:rFonts w:ascii="Times New Roman"/>
              </w:rPr>
              <w:t>皖西大别山区</w:t>
            </w:r>
          </w:p>
        </w:tc>
        <w:tc>
          <w:tcPr>
            <w:tcW w:w="4667" w:type="dxa"/>
            <w:shd w:val="clear" w:color="auto" w:fill="auto"/>
            <w:vAlign w:val="center"/>
          </w:tcPr>
          <w:p w14:paraId="6903B001">
            <w:pPr>
              <w:pStyle w:val="180"/>
              <w:rPr>
                <w:rFonts w:ascii="Times New Roman"/>
              </w:rPr>
            </w:pPr>
            <w:r>
              <w:rPr>
                <w:rFonts w:ascii="Times New Roman"/>
              </w:rPr>
              <w:t>1.28</w:t>
            </w:r>
          </w:p>
        </w:tc>
      </w:tr>
      <w:tr w14:paraId="2C6ED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D68A11C">
            <w:pPr>
              <w:pStyle w:val="180"/>
              <w:rPr>
                <w:rFonts w:ascii="Times New Roman"/>
              </w:rPr>
            </w:pPr>
            <w:r>
              <w:rPr>
                <w:rFonts w:ascii="Times New Roman"/>
              </w:rPr>
              <w:t>皖江平原区</w:t>
            </w:r>
          </w:p>
        </w:tc>
        <w:tc>
          <w:tcPr>
            <w:tcW w:w="4667" w:type="dxa"/>
            <w:shd w:val="clear" w:color="auto" w:fill="auto"/>
            <w:vAlign w:val="center"/>
          </w:tcPr>
          <w:p w14:paraId="11F984F8">
            <w:pPr>
              <w:pStyle w:val="180"/>
              <w:rPr>
                <w:rFonts w:ascii="Times New Roman"/>
              </w:rPr>
            </w:pPr>
            <w:r>
              <w:rPr>
                <w:rFonts w:ascii="Times New Roman"/>
              </w:rPr>
              <w:t>1.27</w:t>
            </w:r>
          </w:p>
        </w:tc>
      </w:tr>
      <w:tr w14:paraId="371FF1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bottom w:val="single" w:color="auto" w:sz="8" w:space="0"/>
            </w:tcBorders>
            <w:shd w:val="clear" w:color="auto" w:fill="auto"/>
            <w:vAlign w:val="center"/>
          </w:tcPr>
          <w:p w14:paraId="324B0122">
            <w:pPr>
              <w:pStyle w:val="180"/>
              <w:rPr>
                <w:rFonts w:ascii="Times New Roman"/>
              </w:rPr>
            </w:pPr>
            <w:r>
              <w:rPr>
                <w:rFonts w:ascii="Times New Roman"/>
              </w:rPr>
              <w:t>皖南山地丘陵区</w:t>
            </w:r>
          </w:p>
        </w:tc>
        <w:tc>
          <w:tcPr>
            <w:tcW w:w="4667" w:type="dxa"/>
            <w:tcBorders>
              <w:bottom w:val="single" w:color="auto" w:sz="8" w:space="0"/>
            </w:tcBorders>
            <w:shd w:val="clear" w:color="auto" w:fill="auto"/>
            <w:vAlign w:val="center"/>
          </w:tcPr>
          <w:p w14:paraId="027755B7">
            <w:pPr>
              <w:pStyle w:val="180"/>
              <w:rPr>
                <w:rFonts w:ascii="Times New Roman"/>
              </w:rPr>
            </w:pPr>
            <w:r>
              <w:rPr>
                <w:rFonts w:ascii="Times New Roman"/>
              </w:rPr>
              <w:t>1.36</w:t>
            </w:r>
          </w:p>
        </w:tc>
      </w:tr>
      <w:tr w14:paraId="48B26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14:paraId="5F75E3D6">
            <w:pPr>
              <w:pStyle w:val="181"/>
              <w:rPr>
                <w:rFonts w:ascii="Times New Roman"/>
              </w:rPr>
            </w:pPr>
            <w:r>
              <w:rPr>
                <w:rFonts w:ascii="Times New Roman"/>
              </w:rPr>
              <w:t>自然地理分区方案参见DB34/T 3455-2019表A.1。</w:t>
            </w:r>
          </w:p>
        </w:tc>
      </w:tr>
    </w:tbl>
    <w:p w14:paraId="7F545619">
      <w:pPr>
        <w:pStyle w:val="80"/>
        <w:spacing w:before="156" w:after="156"/>
        <w:rPr>
          <w:rFonts w:ascii="Times New Roman"/>
        </w:rPr>
      </w:pPr>
      <w:bookmarkStart w:id="170" w:name="_Toc203399084"/>
      <w:bookmarkStart w:id="171" w:name="_Toc179674321"/>
      <w:bookmarkStart w:id="172" w:name="_Toc192077522"/>
      <w:bookmarkStart w:id="173" w:name="_Toc203399480"/>
      <w:r>
        <w:rPr>
          <w:rFonts w:ascii="Times New Roman"/>
        </w:rPr>
        <w:t>洪水调蓄服务核算主要参数</w:t>
      </w:r>
      <w:bookmarkEnd w:id="170"/>
      <w:bookmarkEnd w:id="171"/>
      <w:bookmarkEnd w:id="172"/>
      <w:bookmarkEnd w:id="173"/>
    </w:p>
    <w:p w14:paraId="6177FAA9">
      <w:pPr>
        <w:pStyle w:val="81"/>
        <w:spacing w:before="156" w:after="156"/>
        <w:rPr>
          <w:rFonts w:ascii="Times New Roman"/>
        </w:rPr>
      </w:pPr>
      <w:r>
        <w:rPr>
          <w:rFonts w:ascii="Times New Roman"/>
        </w:rPr>
        <w:t>暴雨降水量</w:t>
      </w:r>
    </w:p>
    <w:p w14:paraId="52D80FB8">
      <w:pPr>
        <w:pStyle w:val="58"/>
        <w:ind w:firstLine="420"/>
        <w:rPr>
          <w:rFonts w:ascii="Times New Roman"/>
        </w:rPr>
      </w:pPr>
      <w:r>
        <w:rPr>
          <w:rFonts w:ascii="Times New Roman"/>
        </w:rPr>
        <w:t>暴雨降水量通过累加核算年份暴雨日降水量计算，按照公式（C.2</w:t>
      </w:r>
      <w:r>
        <w:rPr>
          <w:rFonts w:hint="eastAsia" w:ascii="Times New Roman"/>
        </w:rPr>
        <w:t>5</w:t>
      </w:r>
      <w:r>
        <w:rPr>
          <w:rFonts w:ascii="Times New Roman"/>
        </w:rPr>
        <w:t>）</w:t>
      </w:r>
    </w:p>
    <w:p w14:paraId="45DFD604">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ij</m:t>
                </m:r>
                <m:ctrlPr>
                  <w:rPr>
                    <w:rFonts w:ascii="Cambria Math" w:hAnsi="Cambria Math"/>
                    <w:i/>
                  </w:rPr>
                </m:ctrlPr>
              </m:sub>
            </m:sSub>
            <m:ctrlPr>
              <w:rPr>
                <w:rFonts w:ascii="Cambria Math" w:hAnsi="Cambria Math"/>
                <w:i/>
              </w:rPr>
            </m:ctrlPr>
          </m:e>
        </m:nary>
      </m:oMath>
      <w:r>
        <w:rPr>
          <w:rFonts w:ascii="Times New Roman" w:hAnsi="Times New Roman" w:eastAsia="微软雅黑"/>
        </w:rPr>
        <w:tab/>
      </w:r>
      <w:r>
        <w:rPr>
          <w:rFonts w:ascii="Times New Roman" w:hAnsi="Times New Roman"/>
        </w:rPr>
        <w:t>(C.</w:t>
      </w:r>
      <w:r>
        <w:rPr>
          <w:rFonts w:hint="eastAsia" w:ascii="Times New Roman" w:hAnsi="Times New Roman"/>
        </w:rPr>
        <w:t>25</w:t>
      </w:r>
      <w:r>
        <w:rPr>
          <w:rFonts w:ascii="Times New Roman" w:hAnsi="Times New Roman"/>
        </w:rPr>
        <w:t>)</w:t>
      </w:r>
    </w:p>
    <w:p w14:paraId="37223EEE">
      <w:pPr>
        <w:pStyle w:val="57"/>
        <w:ind w:firstLine="420"/>
        <w:rPr>
          <w:rFonts w:ascii="Times New Roman" w:hAnsi="Times New Roman"/>
        </w:rPr>
      </w:pPr>
      <w:r>
        <w:rPr>
          <w:rFonts w:ascii="Times New Roman" w:hAnsi="Times New Roman"/>
        </w:rPr>
        <w:t>式中：</w:t>
      </w:r>
    </w:p>
    <w:p w14:paraId="37D50462">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类生态系统暴雨降雨量，单位：mm/a；</w:t>
      </w:r>
    </w:p>
    <w:p w14:paraId="0215E7DE">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ij</m:t>
            </m:r>
            <m:ctrlPr>
              <w:rPr>
                <w:rFonts w:ascii="Cambria Math" w:hAnsi="Cambria Math"/>
                <w:i/>
                <w:kern w:val="2"/>
                <w:szCs w:val="21"/>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类生态系统第</w:t>
      </w:r>
      <m:oMath>
        <m:r>
          <m:rPr/>
          <w:rPr>
            <w:rFonts w:ascii="Cambria Math" w:hAnsi="Cambria Math"/>
          </w:rPr>
          <m:t>j</m:t>
        </m:r>
      </m:oMath>
      <w:r>
        <w:rPr>
          <w:rFonts w:ascii="Times New Roman"/>
        </w:rPr>
        <w:t>个暴雨日的降雨量，单位：mm/a；</w:t>
      </w:r>
    </w:p>
    <w:p w14:paraId="1D6CCEF9">
      <w:pPr>
        <w:pStyle w:val="58"/>
        <w:ind w:firstLine="420"/>
        <w:rPr>
          <w:rFonts w:ascii="Times New Roman"/>
        </w:rPr>
      </w:pPr>
      <m:oMath>
        <m:r>
          <m:rPr/>
          <w:rPr>
            <w:rFonts w:ascii="Cambria Math" w:hAnsi="Cambria Math"/>
          </w:rPr>
          <m:t>i</m:t>
        </m:r>
      </m:oMath>
      <w:r>
        <w:rPr>
          <w:rFonts w:ascii="Times New Roman"/>
        </w:rPr>
        <w:t>——生态系统类型；</w:t>
      </w:r>
    </w:p>
    <w:p w14:paraId="724CD716">
      <w:pPr>
        <w:pStyle w:val="58"/>
        <w:ind w:firstLine="420"/>
        <w:rPr>
          <w:rFonts w:ascii="Times New Roman"/>
        </w:rPr>
      </w:pPr>
      <m:oMath>
        <m:r>
          <m:rPr/>
          <w:rPr>
            <w:rFonts w:ascii="Cambria Math" w:hAnsi="Cambria Math"/>
          </w:rPr>
          <m:t>j</m:t>
        </m:r>
      </m:oMath>
      <w:r>
        <w:rPr>
          <w:rFonts w:ascii="Times New Roman"/>
        </w:rPr>
        <w:t>——暴雨降雨日，参考GB/T 28592-2012暴雨标准，24小时内降雨量≥50mm时，该日为降雨日；</w:t>
      </w:r>
    </w:p>
    <w:p w14:paraId="08E4536B">
      <w:pPr>
        <w:pStyle w:val="58"/>
        <w:ind w:firstLine="420"/>
        <w:rPr>
          <w:rFonts w:ascii="Times New Roman"/>
        </w:rPr>
      </w:pPr>
      <m:oMath>
        <m:r>
          <m:rPr/>
          <w:rPr>
            <w:rFonts w:ascii="Cambria Math" w:hAnsi="Cambria Math"/>
          </w:rPr>
          <m:t>n</m:t>
        </m:r>
      </m:oMath>
      <w:r>
        <w:rPr>
          <w:rFonts w:ascii="Times New Roman"/>
        </w:rPr>
        <w:t>——年暴雨日总天数；</w:t>
      </w:r>
    </w:p>
    <w:p w14:paraId="3A60DD0E">
      <w:pPr>
        <w:pStyle w:val="81"/>
        <w:spacing w:before="156" w:after="156"/>
        <w:rPr>
          <w:rFonts w:ascii="Times New Roman"/>
        </w:rPr>
      </w:pPr>
      <w:r>
        <w:rPr>
          <w:rFonts w:ascii="Times New Roman"/>
        </w:rPr>
        <w:t>暴雨径流量</w:t>
      </w:r>
    </w:p>
    <w:p w14:paraId="310D29DE">
      <w:pPr>
        <w:pStyle w:val="58"/>
        <w:ind w:firstLine="420"/>
        <w:rPr>
          <w:rFonts w:ascii="Times New Roman"/>
        </w:rPr>
      </w:pPr>
      <w:r>
        <w:rPr>
          <w:rFonts w:ascii="Times New Roman"/>
        </w:rPr>
        <w:t>宜采用生态系统暴雨径流回归方程计算，落叶阔叶林按照公式（C.2</w:t>
      </w:r>
      <w:r>
        <w:rPr>
          <w:rFonts w:hint="eastAsia" w:ascii="Times New Roman"/>
        </w:rPr>
        <w:t>6</w:t>
      </w:r>
      <w:r>
        <w:rPr>
          <w:rFonts w:ascii="Times New Roman"/>
        </w:rPr>
        <w:t>）计算，常绿阔叶林按照公式（C.2</w:t>
      </w:r>
      <w:r>
        <w:rPr>
          <w:rFonts w:hint="eastAsia" w:ascii="Times New Roman"/>
        </w:rPr>
        <w:t>7</w:t>
      </w:r>
      <w:r>
        <w:rPr>
          <w:rFonts w:ascii="Times New Roman"/>
        </w:rPr>
        <w:t>）计算，落叶针叶林按照公式（C.2</w:t>
      </w:r>
      <w:r>
        <w:rPr>
          <w:rFonts w:hint="eastAsia" w:ascii="Times New Roman"/>
        </w:rPr>
        <w:t>8</w:t>
      </w:r>
      <w:r>
        <w:rPr>
          <w:rFonts w:ascii="Times New Roman"/>
        </w:rPr>
        <w:t>）计算，常绿针叶林按照公式（C.2</w:t>
      </w:r>
      <w:r>
        <w:rPr>
          <w:rFonts w:hint="eastAsia" w:ascii="Times New Roman"/>
        </w:rPr>
        <w:t>9</w:t>
      </w:r>
      <w:r>
        <w:rPr>
          <w:rFonts w:ascii="Times New Roman"/>
        </w:rPr>
        <w:t>）计算，针阔混交林按照公式（C.</w:t>
      </w:r>
      <w:r>
        <w:rPr>
          <w:rFonts w:hint="eastAsia" w:ascii="Times New Roman"/>
        </w:rPr>
        <w:t>30</w:t>
      </w:r>
      <w:r>
        <w:rPr>
          <w:rFonts w:ascii="Times New Roman"/>
        </w:rPr>
        <w:t>）计算，灌丛按照公式（C.3</w:t>
      </w:r>
      <w:r>
        <w:rPr>
          <w:rFonts w:hint="eastAsia" w:ascii="Times New Roman"/>
        </w:rPr>
        <w:t>1</w:t>
      </w:r>
      <w:r>
        <w:rPr>
          <w:rFonts w:ascii="Times New Roman"/>
        </w:rPr>
        <w:t>）计算，草地按照公式（C.3</w:t>
      </w:r>
      <w:r>
        <w:rPr>
          <w:rFonts w:hint="eastAsia" w:ascii="Times New Roman"/>
        </w:rPr>
        <w:t>2</w:t>
      </w:r>
      <w:r>
        <w:rPr>
          <w:rFonts w:ascii="Times New Roman"/>
        </w:rPr>
        <w:t>）计算。</w:t>
      </w:r>
    </w:p>
    <w:p w14:paraId="610C03EF">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1.4288×ln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−4.3682</m:t>
        </m:r>
      </m:oMath>
      <w:r>
        <w:rPr>
          <w:rFonts w:ascii="Times New Roman" w:hAnsi="Times New Roman" w:eastAsia="微软雅黑"/>
        </w:rPr>
        <w:tab/>
      </w:r>
      <w:r>
        <w:rPr>
          <w:rFonts w:ascii="Times New Roman" w:hAnsi="Times New Roman"/>
        </w:rPr>
        <w:t>(C.</w:t>
      </w:r>
      <w:r>
        <w:rPr>
          <w:rFonts w:hint="eastAsia" w:ascii="Times New Roman" w:hAnsi="Times New Roman"/>
        </w:rPr>
        <w:t>26</w:t>
      </w:r>
      <w:r>
        <w:rPr>
          <w:rFonts w:ascii="Times New Roman" w:hAnsi="Times New Roman"/>
        </w:rPr>
        <w:t>)</w:t>
      </w:r>
    </w:p>
    <w:p w14:paraId="24FFE34F">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7.7508×ln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−27.842</m:t>
        </m:r>
      </m:oMath>
      <w:r>
        <w:rPr>
          <w:rFonts w:ascii="Times New Roman" w:hAnsi="Times New Roman" w:eastAsia="微软雅黑"/>
        </w:rPr>
        <w:tab/>
      </w:r>
      <w:r>
        <w:rPr>
          <w:rFonts w:ascii="Times New Roman" w:hAnsi="Times New Roman"/>
        </w:rPr>
        <w:t>(C.</w:t>
      </w:r>
      <w:r>
        <w:rPr>
          <w:rFonts w:hint="eastAsia" w:ascii="Times New Roman" w:hAnsi="Times New Roman"/>
        </w:rPr>
        <w:t>27</w:t>
      </w:r>
      <w:r>
        <w:rPr>
          <w:rFonts w:ascii="Times New Roman" w:hAnsi="Times New Roman"/>
        </w:rPr>
        <w:t>)</w:t>
      </w:r>
    </w:p>
    <w:p w14:paraId="07C00E5E">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7.2877×ln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−26.566</m:t>
        </m:r>
      </m:oMath>
      <w:r>
        <w:rPr>
          <w:rFonts w:ascii="Times New Roman" w:hAnsi="Times New Roman" w:eastAsia="微软雅黑"/>
        </w:rPr>
        <w:tab/>
      </w:r>
      <w:r>
        <w:rPr>
          <w:rFonts w:ascii="Times New Roman" w:hAnsi="Times New Roman"/>
        </w:rPr>
        <w:t>(C.</w:t>
      </w:r>
      <w:r>
        <w:rPr>
          <w:rFonts w:hint="eastAsia" w:ascii="Times New Roman" w:hAnsi="Times New Roman"/>
        </w:rPr>
        <w:t>28</w:t>
      </w:r>
      <w:r>
        <w:rPr>
          <w:rFonts w:ascii="Times New Roman" w:hAnsi="Times New Roman"/>
        </w:rPr>
        <w:t>)</w:t>
      </w:r>
    </w:p>
    <w:p w14:paraId="6DF3D641">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13.36×ln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m:t>
        </m:r>
        <m:r>
          <m:rPr>
            <m:sty m:val="p"/>
          </m:rPr>
          <w:rPr>
            <w:rFonts w:ascii="Cambria Math" w:hAnsi="Cambria Math"/>
          </w:rPr>
          <m:t>49.257</m:t>
        </m:r>
      </m:oMath>
      <w:r>
        <w:rPr>
          <w:rFonts w:ascii="Times New Roman" w:hAnsi="Times New Roman" w:eastAsia="微软雅黑"/>
        </w:rPr>
        <w:tab/>
      </w:r>
      <w:r>
        <w:rPr>
          <w:rFonts w:ascii="Times New Roman" w:hAnsi="Times New Roman"/>
        </w:rPr>
        <w:t>(C.</w:t>
      </w:r>
      <w:r>
        <w:rPr>
          <w:rFonts w:hint="eastAsia" w:ascii="Times New Roman" w:hAnsi="Times New Roman"/>
        </w:rPr>
        <w:t>29</w:t>
      </w:r>
      <w:r>
        <w:rPr>
          <w:rFonts w:ascii="Times New Roman" w:hAnsi="Times New Roman"/>
        </w:rPr>
        <w:t>)</w:t>
      </w:r>
    </w:p>
    <w:p w14:paraId="3E6F7EF7">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2.264×ln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m:t>
        </m:r>
        <m:r>
          <m:rPr>
            <m:sty m:val="p"/>
          </m:rPr>
          <w:rPr>
            <w:rFonts w:ascii="Cambria Math" w:hAnsi="Cambria Math"/>
          </w:rPr>
          <m:t>6.7516</m:t>
        </m:r>
      </m:oMath>
      <w:r>
        <w:rPr>
          <w:rFonts w:ascii="Times New Roman" w:hAnsi="Times New Roman" w:eastAsia="微软雅黑"/>
        </w:rPr>
        <w:tab/>
      </w:r>
      <w:r>
        <w:rPr>
          <w:rFonts w:ascii="Times New Roman" w:hAnsi="Times New Roman"/>
        </w:rPr>
        <w:t>(C.</w:t>
      </w:r>
      <w:r>
        <w:rPr>
          <w:rFonts w:hint="eastAsia" w:ascii="Times New Roman" w:hAnsi="Times New Roman"/>
        </w:rPr>
        <w:t>30</w:t>
      </w:r>
      <w:r>
        <w:rPr>
          <w:rFonts w:ascii="Times New Roman" w:hAnsi="Times New Roman"/>
        </w:rPr>
        <w:t>)</w:t>
      </w:r>
    </w:p>
    <w:p w14:paraId="56668D3D">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3.482×ln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m:t>
        </m:r>
        <m:r>
          <m:rPr>
            <m:sty m:val="p"/>
          </m:rPr>
          <w:rPr>
            <w:rFonts w:ascii="Cambria Math" w:hAnsi="Cambria Math"/>
          </w:rPr>
          <m:t>7.9413</m:t>
        </m:r>
      </m:oMath>
      <w:r>
        <w:rPr>
          <w:rFonts w:ascii="Times New Roman" w:hAnsi="Times New Roman" w:eastAsia="微软雅黑"/>
        </w:rPr>
        <w:tab/>
      </w:r>
      <w:r>
        <w:rPr>
          <w:rFonts w:ascii="Times New Roman" w:hAnsi="Times New Roman"/>
        </w:rPr>
        <w:t>(C.</w:t>
      </w:r>
      <w:r>
        <w:rPr>
          <w:rFonts w:hint="eastAsia" w:ascii="Times New Roman" w:hAnsi="Times New Roman"/>
        </w:rPr>
        <w:t>31</w:t>
      </w:r>
      <w:r>
        <w:rPr>
          <w:rFonts w:ascii="Times New Roman" w:hAnsi="Times New Roman"/>
        </w:rPr>
        <w:t>)</w:t>
      </w:r>
    </w:p>
    <w:p w14:paraId="37455040">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fi</m:t>
            </m:r>
            <m:ctrlPr>
              <w:rPr>
                <w:rFonts w:ascii="Cambria Math" w:hAnsi="Cambria Math"/>
                <w:i/>
              </w:rPr>
            </m:ctrlPr>
          </m:sub>
        </m:sSub>
        <m:r>
          <m:rPr/>
          <w:rPr>
            <w:rFonts w:ascii="Cambria Math" w:hAnsi="Cambria Math"/>
          </w:rPr>
          <m:t>=</m:t>
        </m:r>
        <m:r>
          <m:rPr>
            <m:sty m:val="p"/>
          </m:rPr>
          <w:rPr>
            <w:rFonts w:ascii="Cambria Math" w:hAnsi="Cambria Math"/>
          </w:rPr>
          <m:t>6.1564×ln</m:t>
        </m:r>
        <m:d>
          <m:dPr>
            <m:ctrlPr>
              <w:rPr>
                <w:rFonts w:ascii="Cambria Math" w:hAnsi="Cambria Math"/>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rPr>
            </m:ctrlPr>
          </m:e>
        </m:d>
        <m:r>
          <m:rPr/>
          <w:rPr>
            <w:rFonts w:ascii="Cambria Math" w:hAnsi="Cambria Math"/>
          </w:rPr>
          <m:t>−</m:t>
        </m:r>
        <m:r>
          <m:rPr>
            <m:sty m:val="p"/>
          </m:rPr>
          <w:rPr>
            <w:rFonts w:ascii="Cambria Math" w:hAnsi="Cambria Math"/>
          </w:rPr>
          <m:t>13.351</m:t>
        </m:r>
      </m:oMath>
      <w:r>
        <w:rPr>
          <w:rFonts w:ascii="Times New Roman" w:hAnsi="Times New Roman" w:eastAsia="微软雅黑"/>
        </w:rPr>
        <w:tab/>
      </w:r>
      <w:r>
        <w:rPr>
          <w:rFonts w:ascii="Times New Roman" w:hAnsi="Times New Roman"/>
        </w:rPr>
        <w:t>(C.</w:t>
      </w:r>
      <w:r>
        <w:rPr>
          <w:rFonts w:hint="eastAsia" w:ascii="Times New Roman" w:hAnsi="Times New Roman"/>
        </w:rPr>
        <w:t>32</w:t>
      </w:r>
      <w:r>
        <w:rPr>
          <w:rFonts w:ascii="Times New Roman" w:hAnsi="Times New Roman"/>
        </w:rPr>
        <w:t>)</w:t>
      </w:r>
    </w:p>
    <w:p w14:paraId="79248116">
      <w:pPr>
        <w:pStyle w:val="57"/>
        <w:ind w:firstLine="420"/>
        <w:rPr>
          <w:rFonts w:ascii="Times New Roman" w:hAnsi="Times New Roman"/>
        </w:rPr>
      </w:pPr>
      <w:r>
        <w:rPr>
          <w:rFonts w:ascii="Times New Roman" w:hAnsi="Times New Roman"/>
        </w:rPr>
        <w:t>式中：</w:t>
      </w:r>
    </w:p>
    <w:p w14:paraId="08792108">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rPr>
              <m:t>fi</m:t>
            </m:r>
            <m:ctrlPr>
              <w:rPr>
                <w:rFonts w:ascii="Cambria Math" w:hAnsi="Cambria Math"/>
                <w:i/>
                <w:kern w:val="2"/>
                <w:szCs w:val="21"/>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类生态系统的暴雨径流量，单位：mm/a；</w:t>
      </w:r>
    </w:p>
    <w:p w14:paraId="29F4E315">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ascii="Times New Roman" w:eastAsiaTheme="minorEastAsia"/>
        </w:rPr>
        <w:t>——</w:t>
      </w:r>
      <w:r>
        <w:rPr>
          <w:rFonts w:ascii="Times New Roman"/>
        </w:rPr>
        <w:t>第</w:t>
      </w:r>
      <m:oMath>
        <m:r>
          <m:rPr/>
          <w:rPr>
            <w:rFonts w:ascii="Cambria Math" w:hAnsi="Cambria Math"/>
          </w:rPr>
          <m:t>i</m:t>
        </m:r>
      </m:oMath>
      <w:r>
        <w:rPr>
          <w:rFonts w:ascii="Times New Roman"/>
        </w:rPr>
        <w:t>类生态系统暴雨降雨量，单位：mm/a；</w:t>
      </w:r>
    </w:p>
    <w:p w14:paraId="32B878CB">
      <w:pPr>
        <w:pStyle w:val="58"/>
        <w:ind w:firstLine="420"/>
        <w:rPr>
          <w:rFonts w:ascii="Times New Roman"/>
        </w:rPr>
      </w:pPr>
      <m:oMath>
        <m:r>
          <m:rPr/>
          <w:rPr>
            <w:rFonts w:ascii="Cambria Math" w:hAnsi="Cambria Math"/>
          </w:rPr>
          <m:t>i</m:t>
        </m:r>
      </m:oMath>
      <w:r>
        <w:rPr>
          <w:rFonts w:ascii="Times New Roman"/>
        </w:rPr>
        <w:t>——生态系统类型；</w:t>
      </w:r>
    </w:p>
    <w:p w14:paraId="69FEC741">
      <w:pPr>
        <w:pStyle w:val="58"/>
        <w:ind w:firstLine="420"/>
        <w:rPr>
          <w:rFonts w:ascii="Times New Roman"/>
        </w:rPr>
      </w:pPr>
      <m:oMath>
        <m:r>
          <m:rPr/>
          <w:rPr>
            <w:rFonts w:ascii="Cambria Math" w:hAnsi="Cambria Math"/>
          </w:rPr>
          <m:t>n</m:t>
        </m:r>
      </m:oMath>
      <w:r>
        <w:rPr>
          <w:rFonts w:ascii="Times New Roman"/>
        </w:rPr>
        <w:t>——生态系统类型数量。</w:t>
      </w:r>
    </w:p>
    <w:p w14:paraId="6E2EFBB3">
      <w:pPr>
        <w:pStyle w:val="81"/>
        <w:spacing w:before="156" w:after="156"/>
        <w:rPr>
          <w:rFonts w:ascii="Times New Roman"/>
        </w:rPr>
      </w:pPr>
      <w:r>
        <w:rPr>
          <w:rFonts w:ascii="Times New Roman"/>
        </w:rPr>
        <w:t>水田田埂高度</w:t>
      </w:r>
    </w:p>
    <w:p w14:paraId="1B7B023B">
      <w:pPr>
        <w:pStyle w:val="58"/>
        <w:ind w:firstLine="420"/>
        <w:rPr>
          <w:rFonts w:ascii="Times New Roman"/>
        </w:rPr>
      </w:pPr>
      <w:r>
        <w:rPr>
          <w:rFonts w:ascii="Times New Roman"/>
        </w:rPr>
        <w:t>宜采用核算区域水田多点实测数据平均值，可参考TD/T 1012-2016，默认取0.3m。</w:t>
      </w:r>
    </w:p>
    <w:p w14:paraId="5911632E">
      <w:pPr>
        <w:pStyle w:val="81"/>
        <w:spacing w:before="156" w:after="156"/>
        <w:rPr>
          <w:rFonts w:ascii="Times New Roman"/>
        </w:rPr>
      </w:pPr>
      <w:r>
        <w:rPr>
          <w:rFonts w:ascii="Times New Roman"/>
        </w:rPr>
        <w:t>水稻生育期平均蓄水高度</w:t>
      </w:r>
    </w:p>
    <w:p w14:paraId="0B16BC13">
      <w:pPr>
        <w:pStyle w:val="58"/>
        <w:ind w:firstLine="420"/>
        <w:rPr>
          <w:rFonts w:ascii="Times New Roman"/>
        </w:rPr>
      </w:pPr>
      <w:r>
        <w:rPr>
          <w:rFonts w:ascii="Times New Roman"/>
        </w:rPr>
        <w:t>宜采用核算区域调查数据，默认取0.05m。</w:t>
      </w:r>
    </w:p>
    <w:p w14:paraId="0239C8A6">
      <w:pPr>
        <w:pStyle w:val="81"/>
        <w:spacing w:before="156" w:after="156"/>
        <w:rPr>
          <w:rFonts w:ascii="Times New Roman"/>
        </w:rPr>
      </w:pPr>
      <w:r>
        <w:rPr>
          <w:rFonts w:ascii="Times New Roman"/>
        </w:rPr>
        <w:t>洪水期城市水体平均滞水高度</w:t>
      </w:r>
    </w:p>
    <w:p w14:paraId="7DD32E11">
      <w:pPr>
        <w:pStyle w:val="58"/>
        <w:ind w:firstLine="420"/>
        <w:rPr>
          <w:rFonts w:ascii="Times New Roman"/>
        </w:rPr>
      </w:pPr>
      <w:r>
        <w:rPr>
          <w:rFonts w:ascii="Times New Roman"/>
        </w:rPr>
        <w:t>宜采用核算区域城市水体常水位与池岸顶边的高差平均值计算，在缺少实测数据时，可参考GB 50420，默认取0.3米。</w:t>
      </w:r>
    </w:p>
    <w:p w14:paraId="299B3100">
      <w:pPr>
        <w:pStyle w:val="81"/>
        <w:spacing w:before="156" w:after="156"/>
        <w:rPr>
          <w:rFonts w:ascii="Times New Roman"/>
        </w:rPr>
      </w:pPr>
      <w:r>
        <w:rPr>
          <w:rFonts w:ascii="Times New Roman"/>
        </w:rPr>
        <w:t>水库防洪库容</w:t>
      </w:r>
    </w:p>
    <w:p w14:paraId="41B389EB">
      <w:pPr>
        <w:pStyle w:val="58"/>
        <w:ind w:firstLine="420"/>
        <w:rPr>
          <w:rFonts w:ascii="Times New Roman"/>
        </w:rPr>
      </w:pPr>
      <w:r>
        <w:rPr>
          <w:rFonts w:ascii="Times New Roman"/>
        </w:rPr>
        <w:t>当缺少核算区各水库防洪库容时，可通过水库库容和转换系数计算，按照公式（C.3</w:t>
      </w:r>
      <w:r>
        <w:rPr>
          <w:rFonts w:hint="eastAsia" w:ascii="Times New Roman"/>
        </w:rPr>
        <w:t>3</w:t>
      </w:r>
      <w:r>
        <w:rPr>
          <w:rFonts w:ascii="Times New Roman"/>
        </w:rPr>
        <w:t>）计算。</w:t>
      </w:r>
    </w:p>
    <w:p w14:paraId="1FBEC9B3">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fcs</m:t>
            </m:r>
            <m:ctrlPr>
              <w:rPr>
                <w:rFonts w:ascii="Cambria Math" w:hAnsi="Cambria Math"/>
                <w:i/>
              </w:rPr>
            </m:ctrlPr>
          </m:sub>
        </m:sSub>
        <m:r>
          <m:rPr/>
          <w:rPr>
            <w:rFonts w:ascii="Cambria Math" w:hAnsi="Cambria Math"/>
          </w:rPr>
          <m:t>=ε×</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ts</m:t>
            </m:r>
            <m:ctrlPr>
              <w:rPr>
                <w:rFonts w:ascii="Cambria Math" w:hAnsi="Cambria Math"/>
                <w:i/>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33</w:t>
      </w:r>
      <w:r>
        <w:rPr>
          <w:rFonts w:ascii="Times New Roman" w:hAnsi="Times New Roman"/>
        </w:rPr>
        <w:t>)</w:t>
      </w:r>
    </w:p>
    <w:p w14:paraId="754C9CE2">
      <w:pPr>
        <w:pStyle w:val="57"/>
        <w:ind w:firstLine="420"/>
        <w:rPr>
          <w:rFonts w:ascii="Times New Roman" w:hAnsi="Times New Roman"/>
        </w:rPr>
      </w:pPr>
      <w:r>
        <w:rPr>
          <w:rFonts w:ascii="Times New Roman" w:hAnsi="Times New Roman"/>
        </w:rPr>
        <w:t>式中：</w:t>
      </w:r>
    </w:p>
    <w:p w14:paraId="172B8789">
      <w:pPr>
        <w:pStyle w:val="58"/>
        <w:ind w:firstLine="420"/>
        <w:rPr>
          <w:rFonts w:ascii="Times New Roman"/>
        </w:rPr>
      </w:pPr>
      <m:oMath>
        <m:sSub>
          <m:sSubPr>
            <m:ctrlPr>
              <w:rPr>
                <w:rFonts w:ascii="Cambria Math" w:hAnsi="Cambria Math"/>
              </w:rPr>
            </m:ctrlPr>
          </m:sSubPr>
          <m:e>
            <m:r>
              <m:rPr/>
              <w:rPr>
                <w:rFonts w:ascii="Cambria Math" w:hAnsi="Cambria Math"/>
              </w:rPr>
              <m:t>C</m:t>
            </m:r>
            <m:ctrlPr>
              <w:rPr>
                <w:rFonts w:ascii="Cambria Math" w:hAnsi="Cambria Math"/>
              </w:rPr>
            </m:ctrlPr>
          </m:e>
          <m:sub>
            <m:r>
              <m:rPr/>
              <w:rPr>
                <w:rFonts w:ascii="Cambria Math" w:hAnsi="Cambria Math"/>
              </w:rPr>
              <m:t>fcs</m:t>
            </m:r>
            <m:ctrlPr>
              <w:rPr>
                <w:rFonts w:ascii="Cambria Math" w:hAnsi="Cambria Math"/>
              </w:rPr>
            </m:ctrlPr>
          </m:sub>
        </m:sSub>
      </m:oMath>
      <w:r>
        <w:rPr>
          <w:rFonts w:ascii="Times New Roman"/>
        </w:rPr>
        <w:t>——水库防洪库容，单位：m</w:t>
      </w:r>
      <w:r>
        <w:rPr>
          <w:rFonts w:ascii="Times New Roman"/>
          <w:vertAlign w:val="superscript"/>
        </w:rPr>
        <w:t>3</w:t>
      </w:r>
      <w:r>
        <w:rPr>
          <w:rFonts w:ascii="Times New Roman"/>
        </w:rPr>
        <w:t>；</w:t>
      </w:r>
    </w:p>
    <w:p w14:paraId="7BFB48F0">
      <w:pPr>
        <w:pStyle w:val="58"/>
        <w:ind w:firstLine="420"/>
        <w:rPr>
          <w:rFonts w:ascii="Times New Roman"/>
        </w:rPr>
      </w:pPr>
      <m:oMath>
        <m:r>
          <m:rPr/>
          <w:rPr>
            <w:rFonts w:ascii="Cambria Math" w:hAnsi="Cambria Math"/>
          </w:rPr>
          <m:t>ε</m:t>
        </m:r>
      </m:oMath>
      <w:r>
        <w:rPr>
          <w:rFonts w:ascii="Times New Roman"/>
        </w:rPr>
        <w:t>——水库库容转换为防洪库容的系数，默认取0.29，单位：无量纲；</w:t>
      </w:r>
    </w:p>
    <w:p w14:paraId="722A2BE6">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ts</m:t>
            </m:r>
            <m:ctrlPr>
              <w:rPr>
                <w:rFonts w:ascii="Cambria Math" w:hAnsi="Cambria Math"/>
                <w:i/>
                <w:kern w:val="2"/>
                <w:szCs w:val="21"/>
              </w:rPr>
            </m:ctrlPr>
          </m:sub>
        </m:sSub>
      </m:oMath>
      <w:r>
        <w:rPr>
          <w:rFonts w:ascii="Times New Roman"/>
        </w:rPr>
        <w:t>——水库总库容，单位：m</w:t>
      </w:r>
      <w:r>
        <w:rPr>
          <w:rFonts w:ascii="Times New Roman"/>
          <w:vertAlign w:val="superscript"/>
        </w:rPr>
        <w:t>3</w:t>
      </w:r>
      <w:r>
        <w:rPr>
          <w:rFonts w:ascii="Times New Roman"/>
        </w:rPr>
        <w:t>。</w:t>
      </w:r>
    </w:p>
    <w:p w14:paraId="56E31B8D">
      <w:pPr>
        <w:pStyle w:val="81"/>
        <w:spacing w:before="156" w:after="156"/>
        <w:rPr>
          <w:rFonts w:ascii="Times New Roman"/>
        </w:rPr>
      </w:pPr>
      <w:r>
        <w:rPr>
          <w:rFonts w:ascii="Times New Roman"/>
        </w:rPr>
        <w:t>湖泊换水次数</w:t>
      </w:r>
    </w:p>
    <w:p w14:paraId="61A4D9F2">
      <w:pPr>
        <w:pStyle w:val="58"/>
        <w:ind w:firstLine="420"/>
        <w:rPr>
          <w:rFonts w:ascii="Times New Roman"/>
        </w:rPr>
      </w:pPr>
      <w:r>
        <w:rPr>
          <w:rFonts w:ascii="Times New Roman"/>
        </w:rPr>
        <w:t>宜采用水利部门或水文监测站点实测数据，在缺少实测数据时可默认取3.19次/年。</w:t>
      </w:r>
    </w:p>
    <w:p w14:paraId="0C49FE12">
      <w:pPr>
        <w:pStyle w:val="81"/>
        <w:spacing w:before="156" w:after="156"/>
        <w:rPr>
          <w:rFonts w:ascii="Times New Roman"/>
        </w:rPr>
      </w:pPr>
      <w:r>
        <w:rPr>
          <w:rFonts w:ascii="Times New Roman"/>
        </w:rPr>
        <w:t>沼泽湿地土壤蓄水深度</w:t>
      </w:r>
    </w:p>
    <w:p w14:paraId="0DA4B443">
      <w:pPr>
        <w:pStyle w:val="58"/>
        <w:ind w:firstLine="420"/>
        <w:rPr>
          <w:rFonts w:ascii="Times New Roman"/>
        </w:rPr>
      </w:pPr>
      <w:r>
        <w:rPr>
          <w:rFonts w:ascii="Times New Roman"/>
        </w:rPr>
        <w:t>宜采用水利部门或水文监测站点实测数据，在缺少实测数据时可默认取0.4米。</w:t>
      </w:r>
    </w:p>
    <w:p w14:paraId="02A418E7">
      <w:pPr>
        <w:pStyle w:val="81"/>
        <w:spacing w:before="156" w:after="156"/>
        <w:rPr>
          <w:rFonts w:ascii="Times New Roman"/>
        </w:rPr>
      </w:pPr>
      <w:r>
        <w:rPr>
          <w:rFonts w:ascii="Times New Roman"/>
        </w:rPr>
        <w:t>汛期前后沼泽土壤含水率差值</w:t>
      </w:r>
    </w:p>
    <w:p w14:paraId="6C5C0FFC">
      <w:pPr>
        <w:pStyle w:val="58"/>
        <w:ind w:firstLine="420"/>
        <w:rPr>
          <w:rFonts w:ascii="Times New Roman"/>
        </w:rPr>
      </w:pPr>
      <w:r>
        <w:rPr>
          <w:rFonts w:ascii="Times New Roman"/>
        </w:rPr>
        <w:t>宜采用水利部门或水文监测站点实测数据，在缺少实测数据时可默认取0.19855</w:t>
      </w:r>
      <w:r>
        <w:rPr>
          <w:rFonts w:hint="eastAsia" w:ascii="Times New Roman"/>
        </w:rPr>
        <w:t>（无量纲）</w:t>
      </w:r>
      <w:r>
        <w:rPr>
          <w:rFonts w:ascii="Times New Roman"/>
        </w:rPr>
        <w:t>。</w:t>
      </w:r>
    </w:p>
    <w:p w14:paraId="22DE2DFD">
      <w:pPr>
        <w:pStyle w:val="81"/>
        <w:spacing w:before="156" w:after="156"/>
        <w:rPr>
          <w:rFonts w:ascii="Times New Roman"/>
        </w:rPr>
      </w:pPr>
      <w:r>
        <w:rPr>
          <w:rFonts w:ascii="Times New Roman"/>
        </w:rPr>
        <w:t>洪水期沼泽湿地地表滞水高度</w:t>
      </w:r>
    </w:p>
    <w:p w14:paraId="4096FBA2">
      <w:pPr>
        <w:pStyle w:val="58"/>
        <w:ind w:firstLine="420"/>
        <w:rPr>
          <w:rFonts w:ascii="Times New Roman"/>
        </w:rPr>
      </w:pPr>
      <w:r>
        <w:rPr>
          <w:rFonts w:ascii="Times New Roman"/>
        </w:rPr>
        <w:t>宜采用水利部门或水文监测站点实测数据，在缺少实测数据时可默认取0.3m。</w:t>
      </w:r>
    </w:p>
    <w:p w14:paraId="7B403C95">
      <w:pPr>
        <w:pStyle w:val="81"/>
        <w:spacing w:before="156" w:after="156"/>
        <w:rPr>
          <w:rFonts w:ascii="Times New Roman"/>
        </w:rPr>
      </w:pPr>
      <w:r>
        <w:rPr>
          <w:rFonts w:ascii="Times New Roman"/>
        </w:rPr>
        <w:t>水库年折旧率</w:t>
      </w:r>
    </w:p>
    <w:p w14:paraId="6A610BF3">
      <w:pPr>
        <w:pStyle w:val="58"/>
        <w:ind w:firstLine="420"/>
        <w:rPr>
          <w:rFonts w:ascii="Times New Roman"/>
        </w:rPr>
      </w:pPr>
      <w:r>
        <w:rPr>
          <w:rFonts w:ascii="Times New Roman"/>
        </w:rPr>
        <w:t>见附录C3.3。</w:t>
      </w:r>
    </w:p>
    <w:p w14:paraId="281451CE">
      <w:pPr>
        <w:pStyle w:val="80"/>
        <w:spacing w:before="156" w:after="156"/>
        <w:rPr>
          <w:rFonts w:ascii="Times New Roman"/>
        </w:rPr>
      </w:pPr>
      <w:bookmarkStart w:id="174" w:name="_Toc203399481"/>
      <w:bookmarkStart w:id="175" w:name="_Toc179674322"/>
      <w:bookmarkStart w:id="176" w:name="_Toc192077523"/>
      <w:bookmarkStart w:id="177" w:name="_Toc203399085"/>
      <w:r>
        <w:rPr>
          <w:rFonts w:ascii="Times New Roman"/>
        </w:rPr>
        <w:t>空气净化服务核算主要参数</w:t>
      </w:r>
      <w:bookmarkEnd w:id="174"/>
      <w:bookmarkEnd w:id="175"/>
      <w:bookmarkEnd w:id="176"/>
      <w:bookmarkEnd w:id="177"/>
    </w:p>
    <w:p w14:paraId="2E930E39">
      <w:pPr>
        <w:pStyle w:val="58"/>
        <w:ind w:firstLine="420"/>
        <w:rPr>
          <w:rFonts w:ascii="Times New Roman"/>
        </w:rPr>
      </w:pPr>
      <w:r>
        <w:rPr>
          <w:rFonts w:ascii="Times New Roman"/>
        </w:rPr>
        <w:t>空气净化服务实物量核算中，各类生态系统对各类大气污染物的单位面积净化量参数见表C.</w:t>
      </w:r>
      <w:r>
        <w:rPr>
          <w:rFonts w:hint="eastAsia" w:ascii="Times New Roman"/>
        </w:rPr>
        <w:t>9</w:t>
      </w:r>
      <w:r>
        <w:rPr>
          <w:rFonts w:ascii="Times New Roman"/>
        </w:rPr>
        <w:t>。</w:t>
      </w:r>
    </w:p>
    <w:p w14:paraId="5A9577FF">
      <w:pPr>
        <w:pStyle w:val="79"/>
        <w:numPr>
          <w:ilvl w:val="0"/>
          <w:numId w:val="0"/>
        </w:numPr>
        <w:spacing w:before="156" w:after="156"/>
        <w:ind w:left="420"/>
        <w:rPr>
          <w:rFonts w:ascii="Times New Roman"/>
        </w:rPr>
      </w:pPr>
      <w:r>
        <w:rPr>
          <w:rFonts w:ascii="Times New Roman"/>
        </w:rPr>
        <w:t>表C.</w:t>
      </w:r>
      <w:r>
        <w:rPr>
          <w:rFonts w:hint="eastAsia" w:ascii="Times New Roman"/>
        </w:rPr>
        <w:t xml:space="preserve">9 </w:t>
      </w:r>
      <w:r>
        <w:rPr>
          <w:rFonts w:ascii="Times New Roman"/>
        </w:rPr>
        <w:t>各类生态系统对各类大气污染物单位面积净化量</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57C87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gridSpan w:val="3"/>
            <w:tcBorders>
              <w:top w:val="single" w:color="auto" w:sz="8" w:space="0"/>
              <w:bottom w:val="single" w:color="auto" w:sz="8" w:space="0"/>
            </w:tcBorders>
            <w:shd w:val="clear" w:color="auto" w:fill="auto"/>
            <w:vAlign w:val="center"/>
          </w:tcPr>
          <w:p w14:paraId="332962EE">
            <w:pPr>
              <w:pStyle w:val="180"/>
              <w:rPr>
                <w:rFonts w:ascii="Times New Roman"/>
              </w:rPr>
            </w:pPr>
            <w:r>
              <w:rPr>
                <w:rFonts w:ascii="Times New Roman"/>
              </w:rPr>
              <w:t>生态系统类型</w:t>
            </w:r>
          </w:p>
        </w:tc>
        <w:tc>
          <w:tcPr>
            <w:tcW w:w="1555" w:type="dxa"/>
            <w:vMerge w:val="restart"/>
            <w:tcBorders>
              <w:top w:val="single" w:color="auto" w:sz="8" w:space="0"/>
            </w:tcBorders>
            <w:shd w:val="clear" w:color="auto" w:fill="auto"/>
          </w:tcPr>
          <w:p w14:paraId="55C51083">
            <w:pPr>
              <w:pStyle w:val="180"/>
              <w:rPr>
                <w:rFonts w:ascii="Times New Roman"/>
              </w:rPr>
            </w:pPr>
            <w:r>
              <w:rPr>
                <w:rFonts w:ascii="Times New Roman"/>
              </w:rPr>
              <w:t>SO</w:t>
            </w:r>
            <w:r>
              <w:rPr>
                <w:rFonts w:ascii="Times New Roman"/>
                <w:vertAlign w:val="subscript"/>
              </w:rPr>
              <w:t>2</w:t>
            </w:r>
            <w:r>
              <w:rPr>
                <w:rFonts w:ascii="Times New Roman"/>
              </w:rPr>
              <w:t>净化量</w:t>
            </w:r>
          </w:p>
          <w:p w14:paraId="04175972">
            <w:pPr>
              <w:pStyle w:val="180"/>
              <w:rPr>
                <w:rFonts w:ascii="Times New Roman"/>
              </w:rPr>
            </w:pPr>
            <w:r>
              <w:rPr>
                <w:rFonts w:ascii="Times New Roman"/>
              </w:rPr>
              <w:t>t/（km</w:t>
            </w:r>
            <w:r>
              <w:rPr>
                <w:rFonts w:ascii="Times New Roman"/>
                <w:vertAlign w:val="superscript"/>
              </w:rPr>
              <w:t>2</w:t>
            </w:r>
            <w:r>
              <w:rPr>
                <w:rFonts w:ascii="Times New Roman"/>
              </w:rPr>
              <w:t>·a）</w:t>
            </w:r>
          </w:p>
        </w:tc>
        <w:tc>
          <w:tcPr>
            <w:tcW w:w="1556" w:type="dxa"/>
            <w:vMerge w:val="restart"/>
            <w:tcBorders>
              <w:top w:val="single" w:color="auto" w:sz="8" w:space="0"/>
            </w:tcBorders>
            <w:shd w:val="clear" w:color="auto" w:fill="auto"/>
          </w:tcPr>
          <w:p w14:paraId="0ECF1474">
            <w:pPr>
              <w:pStyle w:val="180"/>
              <w:rPr>
                <w:rFonts w:ascii="Times New Roman"/>
              </w:rPr>
            </w:pPr>
            <w:r>
              <w:rPr>
                <w:rFonts w:ascii="Times New Roman"/>
              </w:rPr>
              <w:t>NO</w:t>
            </w:r>
            <w:r>
              <w:rPr>
                <w:rFonts w:ascii="Times New Roman"/>
                <w:vertAlign w:val="subscript"/>
              </w:rPr>
              <w:t>x</w:t>
            </w:r>
            <w:r>
              <w:rPr>
                <w:rFonts w:ascii="Times New Roman"/>
              </w:rPr>
              <w:t>净化量</w:t>
            </w:r>
          </w:p>
          <w:p w14:paraId="395055CC">
            <w:pPr>
              <w:pStyle w:val="180"/>
              <w:rPr>
                <w:rFonts w:ascii="Times New Roman"/>
              </w:rPr>
            </w:pPr>
            <w:r>
              <w:rPr>
                <w:rFonts w:ascii="Times New Roman"/>
              </w:rPr>
              <w:t>t/（km</w:t>
            </w:r>
            <w:r>
              <w:rPr>
                <w:rFonts w:ascii="Times New Roman"/>
                <w:vertAlign w:val="superscript"/>
              </w:rPr>
              <w:t>2</w:t>
            </w:r>
            <w:r>
              <w:rPr>
                <w:rFonts w:ascii="Times New Roman"/>
              </w:rPr>
              <w:t>·a）</w:t>
            </w:r>
          </w:p>
        </w:tc>
        <w:tc>
          <w:tcPr>
            <w:tcW w:w="1556" w:type="dxa"/>
            <w:vMerge w:val="restart"/>
            <w:tcBorders>
              <w:top w:val="single" w:color="auto" w:sz="8" w:space="0"/>
            </w:tcBorders>
            <w:shd w:val="clear" w:color="auto" w:fill="auto"/>
          </w:tcPr>
          <w:p w14:paraId="59F83AAA">
            <w:pPr>
              <w:pStyle w:val="180"/>
              <w:rPr>
                <w:rFonts w:ascii="Times New Roman"/>
              </w:rPr>
            </w:pPr>
            <w:r>
              <w:rPr>
                <w:rFonts w:ascii="Times New Roman"/>
              </w:rPr>
              <w:t>粉尘净化量</w:t>
            </w:r>
          </w:p>
          <w:p w14:paraId="22EF7782">
            <w:pPr>
              <w:pStyle w:val="180"/>
              <w:rPr>
                <w:rFonts w:ascii="Times New Roman"/>
              </w:rPr>
            </w:pPr>
            <w:r>
              <w:rPr>
                <w:rFonts w:ascii="Times New Roman"/>
              </w:rPr>
              <w:t>t/（km</w:t>
            </w:r>
            <w:r>
              <w:rPr>
                <w:rFonts w:ascii="Times New Roman"/>
                <w:vertAlign w:val="superscript"/>
              </w:rPr>
              <w:t>2</w:t>
            </w:r>
            <w:r>
              <w:rPr>
                <w:rFonts w:ascii="Times New Roman"/>
              </w:rPr>
              <w:t>·a）</w:t>
            </w:r>
          </w:p>
        </w:tc>
      </w:tr>
      <w:tr w14:paraId="6A84CC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vAlign w:val="center"/>
          </w:tcPr>
          <w:p w14:paraId="3FB122DF">
            <w:pPr>
              <w:pStyle w:val="180"/>
              <w:rPr>
                <w:rFonts w:ascii="Times New Roman"/>
              </w:rPr>
            </w:pPr>
            <w:r>
              <w:rPr>
                <w:rFonts w:ascii="Times New Roman"/>
              </w:rPr>
              <w:t>一级</w:t>
            </w:r>
          </w:p>
        </w:tc>
        <w:tc>
          <w:tcPr>
            <w:tcW w:w="1556" w:type="dxa"/>
            <w:tcBorders>
              <w:top w:val="single" w:color="auto" w:sz="8" w:space="0"/>
            </w:tcBorders>
            <w:shd w:val="clear" w:color="auto" w:fill="auto"/>
            <w:vAlign w:val="center"/>
          </w:tcPr>
          <w:p w14:paraId="0993A00E">
            <w:pPr>
              <w:pStyle w:val="180"/>
              <w:rPr>
                <w:rFonts w:ascii="Times New Roman"/>
              </w:rPr>
            </w:pPr>
            <w:r>
              <w:rPr>
                <w:rFonts w:ascii="Times New Roman"/>
              </w:rPr>
              <w:t>二级</w:t>
            </w:r>
          </w:p>
        </w:tc>
        <w:tc>
          <w:tcPr>
            <w:tcW w:w="1555" w:type="dxa"/>
            <w:tcBorders>
              <w:top w:val="single" w:color="auto" w:sz="8" w:space="0"/>
            </w:tcBorders>
            <w:shd w:val="clear" w:color="auto" w:fill="auto"/>
          </w:tcPr>
          <w:p w14:paraId="7F6FE0CB">
            <w:pPr>
              <w:pStyle w:val="180"/>
              <w:rPr>
                <w:rFonts w:ascii="Times New Roman"/>
              </w:rPr>
            </w:pPr>
            <w:r>
              <w:rPr>
                <w:rFonts w:ascii="Times New Roman"/>
              </w:rPr>
              <w:t>三级</w:t>
            </w:r>
          </w:p>
        </w:tc>
        <w:tc>
          <w:tcPr>
            <w:tcW w:w="1555" w:type="dxa"/>
            <w:vMerge w:val="continue"/>
            <w:shd w:val="clear" w:color="auto" w:fill="auto"/>
          </w:tcPr>
          <w:p w14:paraId="020FD64B">
            <w:pPr>
              <w:pStyle w:val="180"/>
              <w:rPr>
                <w:rFonts w:ascii="Times New Roman"/>
              </w:rPr>
            </w:pPr>
          </w:p>
        </w:tc>
        <w:tc>
          <w:tcPr>
            <w:tcW w:w="1556" w:type="dxa"/>
            <w:vMerge w:val="continue"/>
            <w:shd w:val="clear" w:color="auto" w:fill="auto"/>
          </w:tcPr>
          <w:p w14:paraId="349CA92E">
            <w:pPr>
              <w:pStyle w:val="180"/>
              <w:rPr>
                <w:rFonts w:ascii="Times New Roman"/>
              </w:rPr>
            </w:pPr>
          </w:p>
        </w:tc>
        <w:tc>
          <w:tcPr>
            <w:tcW w:w="1556" w:type="dxa"/>
            <w:vMerge w:val="continue"/>
            <w:shd w:val="clear" w:color="auto" w:fill="auto"/>
            <w:vAlign w:val="center"/>
          </w:tcPr>
          <w:p w14:paraId="79130A73">
            <w:pPr>
              <w:pStyle w:val="180"/>
              <w:rPr>
                <w:rFonts w:ascii="Times New Roman"/>
              </w:rPr>
            </w:pPr>
          </w:p>
        </w:tc>
      </w:tr>
      <w:tr w14:paraId="43C99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039B76A9">
            <w:pPr>
              <w:pStyle w:val="180"/>
              <w:rPr>
                <w:rFonts w:ascii="Times New Roman"/>
              </w:rPr>
            </w:pPr>
            <w:r>
              <w:rPr>
                <w:rFonts w:ascii="Times New Roman"/>
              </w:rPr>
              <w:t>森林生态系统</w:t>
            </w:r>
          </w:p>
        </w:tc>
        <w:tc>
          <w:tcPr>
            <w:tcW w:w="1556" w:type="dxa"/>
            <w:vMerge w:val="restart"/>
            <w:shd w:val="clear" w:color="auto" w:fill="auto"/>
            <w:vAlign w:val="center"/>
          </w:tcPr>
          <w:p w14:paraId="7E23DD99">
            <w:pPr>
              <w:pStyle w:val="180"/>
              <w:rPr>
                <w:rFonts w:ascii="Times New Roman"/>
              </w:rPr>
            </w:pPr>
            <w:r>
              <w:rPr>
                <w:rFonts w:ascii="Times New Roman"/>
              </w:rPr>
              <w:t>阔叶林</w:t>
            </w:r>
          </w:p>
        </w:tc>
        <w:tc>
          <w:tcPr>
            <w:tcW w:w="1555" w:type="dxa"/>
            <w:shd w:val="clear" w:color="auto" w:fill="auto"/>
          </w:tcPr>
          <w:p w14:paraId="40F93D3A">
            <w:pPr>
              <w:pStyle w:val="180"/>
              <w:rPr>
                <w:rFonts w:ascii="Times New Roman"/>
              </w:rPr>
            </w:pPr>
            <w:r>
              <w:rPr>
                <w:rFonts w:ascii="Times New Roman"/>
              </w:rPr>
              <w:t>常绿阔叶林</w:t>
            </w:r>
          </w:p>
        </w:tc>
        <w:tc>
          <w:tcPr>
            <w:tcW w:w="1555" w:type="dxa"/>
            <w:shd w:val="clear" w:color="auto" w:fill="auto"/>
          </w:tcPr>
          <w:p w14:paraId="34AEC3A5">
            <w:pPr>
              <w:pStyle w:val="180"/>
              <w:rPr>
                <w:rFonts w:ascii="Times New Roman"/>
              </w:rPr>
            </w:pPr>
            <w:r>
              <w:rPr>
                <w:rFonts w:ascii="Times New Roman"/>
              </w:rPr>
              <w:t>5.75</w:t>
            </w:r>
          </w:p>
        </w:tc>
        <w:tc>
          <w:tcPr>
            <w:tcW w:w="1556" w:type="dxa"/>
            <w:shd w:val="clear" w:color="auto" w:fill="auto"/>
          </w:tcPr>
          <w:p w14:paraId="2F946829">
            <w:pPr>
              <w:pStyle w:val="180"/>
              <w:rPr>
                <w:rFonts w:ascii="Times New Roman"/>
              </w:rPr>
            </w:pPr>
            <w:r>
              <w:rPr>
                <w:rFonts w:ascii="Times New Roman"/>
              </w:rPr>
              <w:t>3.52</w:t>
            </w:r>
          </w:p>
        </w:tc>
        <w:tc>
          <w:tcPr>
            <w:tcW w:w="1556" w:type="dxa"/>
            <w:shd w:val="clear" w:color="auto" w:fill="auto"/>
          </w:tcPr>
          <w:p w14:paraId="6B6CB0DA">
            <w:pPr>
              <w:pStyle w:val="180"/>
              <w:rPr>
                <w:rFonts w:ascii="Times New Roman"/>
              </w:rPr>
            </w:pPr>
            <w:r>
              <w:rPr>
                <w:rFonts w:ascii="Times New Roman"/>
              </w:rPr>
              <w:t>11.76</w:t>
            </w:r>
          </w:p>
        </w:tc>
      </w:tr>
      <w:tr w14:paraId="4CB4A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26E89A90">
            <w:pPr>
              <w:pStyle w:val="180"/>
              <w:rPr>
                <w:rFonts w:ascii="Times New Roman"/>
              </w:rPr>
            </w:pPr>
          </w:p>
        </w:tc>
        <w:tc>
          <w:tcPr>
            <w:tcW w:w="1556" w:type="dxa"/>
            <w:vMerge w:val="continue"/>
            <w:shd w:val="clear" w:color="auto" w:fill="auto"/>
            <w:vAlign w:val="center"/>
          </w:tcPr>
          <w:p w14:paraId="447E41CE">
            <w:pPr>
              <w:pStyle w:val="180"/>
              <w:rPr>
                <w:rFonts w:ascii="Times New Roman"/>
              </w:rPr>
            </w:pPr>
          </w:p>
        </w:tc>
        <w:tc>
          <w:tcPr>
            <w:tcW w:w="1555" w:type="dxa"/>
            <w:shd w:val="clear" w:color="auto" w:fill="auto"/>
          </w:tcPr>
          <w:p w14:paraId="3AAF5E38">
            <w:pPr>
              <w:pStyle w:val="180"/>
              <w:rPr>
                <w:rFonts w:ascii="Times New Roman"/>
              </w:rPr>
            </w:pPr>
            <w:r>
              <w:rPr>
                <w:rFonts w:ascii="Times New Roman"/>
              </w:rPr>
              <w:t>落叶阔叶林</w:t>
            </w:r>
          </w:p>
        </w:tc>
        <w:tc>
          <w:tcPr>
            <w:tcW w:w="1555" w:type="dxa"/>
            <w:shd w:val="clear" w:color="auto" w:fill="auto"/>
          </w:tcPr>
          <w:p w14:paraId="74BE50C6">
            <w:pPr>
              <w:pStyle w:val="180"/>
              <w:rPr>
                <w:rFonts w:ascii="Times New Roman"/>
              </w:rPr>
            </w:pPr>
            <w:r>
              <w:rPr>
                <w:rFonts w:ascii="Times New Roman"/>
              </w:rPr>
              <w:t>3.38</w:t>
            </w:r>
          </w:p>
        </w:tc>
        <w:tc>
          <w:tcPr>
            <w:tcW w:w="1556" w:type="dxa"/>
            <w:shd w:val="clear" w:color="auto" w:fill="auto"/>
          </w:tcPr>
          <w:p w14:paraId="442DB23E">
            <w:pPr>
              <w:pStyle w:val="180"/>
              <w:rPr>
                <w:rFonts w:ascii="Times New Roman"/>
              </w:rPr>
            </w:pPr>
            <w:r>
              <w:rPr>
                <w:rFonts w:ascii="Times New Roman"/>
              </w:rPr>
              <w:t>2.35</w:t>
            </w:r>
          </w:p>
        </w:tc>
        <w:tc>
          <w:tcPr>
            <w:tcW w:w="1556" w:type="dxa"/>
            <w:shd w:val="clear" w:color="auto" w:fill="auto"/>
          </w:tcPr>
          <w:p w14:paraId="281BC72C">
            <w:pPr>
              <w:pStyle w:val="180"/>
              <w:rPr>
                <w:rFonts w:ascii="Times New Roman"/>
              </w:rPr>
            </w:pPr>
            <w:r>
              <w:rPr>
                <w:rFonts w:ascii="Times New Roman"/>
              </w:rPr>
              <w:t>8.41</w:t>
            </w:r>
          </w:p>
        </w:tc>
      </w:tr>
      <w:tr w14:paraId="7C24D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48FF8764">
            <w:pPr>
              <w:pStyle w:val="180"/>
              <w:rPr>
                <w:rFonts w:ascii="Times New Roman"/>
              </w:rPr>
            </w:pPr>
          </w:p>
        </w:tc>
        <w:tc>
          <w:tcPr>
            <w:tcW w:w="1556" w:type="dxa"/>
            <w:vMerge w:val="restart"/>
            <w:shd w:val="clear" w:color="auto" w:fill="auto"/>
            <w:vAlign w:val="center"/>
          </w:tcPr>
          <w:p w14:paraId="0DF9D7F4">
            <w:pPr>
              <w:pStyle w:val="180"/>
              <w:rPr>
                <w:rFonts w:ascii="Times New Roman"/>
              </w:rPr>
            </w:pPr>
            <w:r>
              <w:rPr>
                <w:rFonts w:ascii="Times New Roman"/>
              </w:rPr>
              <w:t>针叶林</w:t>
            </w:r>
          </w:p>
        </w:tc>
        <w:tc>
          <w:tcPr>
            <w:tcW w:w="1555" w:type="dxa"/>
            <w:shd w:val="clear" w:color="auto" w:fill="auto"/>
          </w:tcPr>
          <w:p w14:paraId="44DE7033">
            <w:pPr>
              <w:pStyle w:val="180"/>
              <w:rPr>
                <w:rFonts w:ascii="Times New Roman"/>
              </w:rPr>
            </w:pPr>
            <w:r>
              <w:rPr>
                <w:rFonts w:ascii="Times New Roman"/>
              </w:rPr>
              <w:t>常绿针叶林</w:t>
            </w:r>
          </w:p>
        </w:tc>
        <w:tc>
          <w:tcPr>
            <w:tcW w:w="1555" w:type="dxa"/>
            <w:shd w:val="clear" w:color="auto" w:fill="auto"/>
          </w:tcPr>
          <w:p w14:paraId="24833616">
            <w:pPr>
              <w:pStyle w:val="180"/>
              <w:rPr>
                <w:rFonts w:ascii="Times New Roman"/>
              </w:rPr>
            </w:pPr>
            <w:r>
              <w:rPr>
                <w:rFonts w:ascii="Times New Roman"/>
              </w:rPr>
              <w:t>5.04</w:t>
            </w:r>
          </w:p>
        </w:tc>
        <w:tc>
          <w:tcPr>
            <w:tcW w:w="1556" w:type="dxa"/>
            <w:shd w:val="clear" w:color="auto" w:fill="auto"/>
          </w:tcPr>
          <w:p w14:paraId="58BEB080">
            <w:pPr>
              <w:pStyle w:val="180"/>
              <w:rPr>
                <w:rFonts w:ascii="Times New Roman"/>
              </w:rPr>
            </w:pPr>
            <w:r>
              <w:rPr>
                <w:rFonts w:ascii="Times New Roman"/>
              </w:rPr>
              <w:t>3.52</w:t>
            </w:r>
          </w:p>
        </w:tc>
        <w:tc>
          <w:tcPr>
            <w:tcW w:w="1556" w:type="dxa"/>
            <w:shd w:val="clear" w:color="auto" w:fill="auto"/>
          </w:tcPr>
          <w:p w14:paraId="2685F56B">
            <w:pPr>
              <w:pStyle w:val="180"/>
              <w:rPr>
                <w:rFonts w:ascii="Times New Roman"/>
              </w:rPr>
            </w:pPr>
            <w:r>
              <w:rPr>
                <w:rFonts w:ascii="Times New Roman"/>
              </w:rPr>
              <w:t>20.18</w:t>
            </w:r>
          </w:p>
        </w:tc>
      </w:tr>
      <w:tr w14:paraId="6BB9D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2C8BA273">
            <w:pPr>
              <w:pStyle w:val="180"/>
              <w:rPr>
                <w:rFonts w:ascii="Times New Roman"/>
              </w:rPr>
            </w:pPr>
          </w:p>
        </w:tc>
        <w:tc>
          <w:tcPr>
            <w:tcW w:w="1556" w:type="dxa"/>
            <w:vMerge w:val="continue"/>
            <w:shd w:val="clear" w:color="auto" w:fill="auto"/>
            <w:vAlign w:val="center"/>
          </w:tcPr>
          <w:p w14:paraId="03E3D58C">
            <w:pPr>
              <w:pStyle w:val="180"/>
              <w:rPr>
                <w:rFonts w:ascii="Times New Roman"/>
              </w:rPr>
            </w:pPr>
          </w:p>
        </w:tc>
        <w:tc>
          <w:tcPr>
            <w:tcW w:w="1555" w:type="dxa"/>
            <w:shd w:val="clear" w:color="auto" w:fill="auto"/>
          </w:tcPr>
          <w:p w14:paraId="5683FF13">
            <w:pPr>
              <w:pStyle w:val="180"/>
              <w:rPr>
                <w:rFonts w:ascii="Times New Roman"/>
              </w:rPr>
            </w:pPr>
            <w:r>
              <w:rPr>
                <w:rFonts w:ascii="Times New Roman"/>
              </w:rPr>
              <w:t>落叶针叶林</w:t>
            </w:r>
          </w:p>
        </w:tc>
        <w:tc>
          <w:tcPr>
            <w:tcW w:w="1555" w:type="dxa"/>
            <w:shd w:val="clear" w:color="auto" w:fill="auto"/>
          </w:tcPr>
          <w:p w14:paraId="20DD63FB">
            <w:pPr>
              <w:pStyle w:val="180"/>
              <w:rPr>
                <w:rFonts w:ascii="Times New Roman"/>
              </w:rPr>
            </w:pPr>
            <w:r>
              <w:rPr>
                <w:rFonts w:ascii="Times New Roman"/>
              </w:rPr>
              <w:t>3.38</w:t>
            </w:r>
          </w:p>
        </w:tc>
        <w:tc>
          <w:tcPr>
            <w:tcW w:w="1556" w:type="dxa"/>
            <w:shd w:val="clear" w:color="auto" w:fill="auto"/>
          </w:tcPr>
          <w:p w14:paraId="6851531F">
            <w:pPr>
              <w:pStyle w:val="180"/>
              <w:rPr>
                <w:rFonts w:ascii="Times New Roman"/>
              </w:rPr>
            </w:pPr>
            <w:r>
              <w:rPr>
                <w:rFonts w:ascii="Times New Roman"/>
              </w:rPr>
              <w:t>2.35</w:t>
            </w:r>
          </w:p>
        </w:tc>
        <w:tc>
          <w:tcPr>
            <w:tcW w:w="1556" w:type="dxa"/>
            <w:shd w:val="clear" w:color="auto" w:fill="auto"/>
          </w:tcPr>
          <w:p w14:paraId="12EEBC48">
            <w:pPr>
              <w:pStyle w:val="180"/>
              <w:rPr>
                <w:rFonts w:ascii="Times New Roman"/>
              </w:rPr>
            </w:pPr>
            <w:r>
              <w:rPr>
                <w:rFonts w:ascii="Times New Roman"/>
              </w:rPr>
              <w:t>10.08</w:t>
            </w:r>
          </w:p>
        </w:tc>
      </w:tr>
      <w:tr w14:paraId="0B212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54A698EC">
            <w:pPr>
              <w:pStyle w:val="180"/>
              <w:rPr>
                <w:rFonts w:ascii="Times New Roman"/>
              </w:rPr>
            </w:pPr>
          </w:p>
        </w:tc>
        <w:tc>
          <w:tcPr>
            <w:tcW w:w="1556" w:type="dxa"/>
            <w:shd w:val="clear" w:color="auto" w:fill="auto"/>
            <w:vAlign w:val="center"/>
          </w:tcPr>
          <w:p w14:paraId="16458634">
            <w:pPr>
              <w:pStyle w:val="180"/>
              <w:rPr>
                <w:rFonts w:ascii="Times New Roman"/>
              </w:rPr>
            </w:pPr>
            <w:r>
              <w:rPr>
                <w:rFonts w:ascii="Times New Roman"/>
              </w:rPr>
              <w:t>针阔混交林</w:t>
            </w:r>
          </w:p>
        </w:tc>
        <w:tc>
          <w:tcPr>
            <w:tcW w:w="1555" w:type="dxa"/>
            <w:shd w:val="clear" w:color="auto" w:fill="auto"/>
          </w:tcPr>
          <w:p w14:paraId="043A4506">
            <w:pPr>
              <w:pStyle w:val="180"/>
              <w:rPr>
                <w:rFonts w:ascii="Times New Roman"/>
              </w:rPr>
            </w:pPr>
            <w:r>
              <w:rPr>
                <w:rFonts w:ascii="Times New Roman"/>
              </w:rPr>
              <w:t>针阔混交林</w:t>
            </w:r>
          </w:p>
        </w:tc>
        <w:tc>
          <w:tcPr>
            <w:tcW w:w="1555" w:type="dxa"/>
            <w:shd w:val="clear" w:color="auto" w:fill="auto"/>
          </w:tcPr>
          <w:p w14:paraId="4A769946">
            <w:pPr>
              <w:pStyle w:val="180"/>
              <w:rPr>
                <w:rFonts w:ascii="Times New Roman"/>
              </w:rPr>
            </w:pPr>
            <w:r>
              <w:rPr>
                <w:rFonts w:ascii="Times New Roman"/>
              </w:rPr>
              <w:t>5.09</w:t>
            </w:r>
          </w:p>
        </w:tc>
        <w:tc>
          <w:tcPr>
            <w:tcW w:w="1556" w:type="dxa"/>
            <w:shd w:val="clear" w:color="auto" w:fill="auto"/>
          </w:tcPr>
          <w:p w14:paraId="42E2DEB5">
            <w:pPr>
              <w:pStyle w:val="180"/>
              <w:rPr>
                <w:rFonts w:ascii="Times New Roman"/>
              </w:rPr>
            </w:pPr>
            <w:r>
              <w:rPr>
                <w:rFonts w:ascii="Times New Roman"/>
              </w:rPr>
              <w:t>2.46</w:t>
            </w:r>
          </w:p>
        </w:tc>
        <w:tc>
          <w:tcPr>
            <w:tcW w:w="1556" w:type="dxa"/>
            <w:shd w:val="clear" w:color="auto" w:fill="auto"/>
          </w:tcPr>
          <w:p w14:paraId="14869C26">
            <w:pPr>
              <w:pStyle w:val="180"/>
              <w:rPr>
                <w:rFonts w:ascii="Times New Roman"/>
              </w:rPr>
            </w:pPr>
            <w:r>
              <w:rPr>
                <w:rFonts w:ascii="Times New Roman"/>
              </w:rPr>
              <w:t>16.80</w:t>
            </w:r>
          </w:p>
        </w:tc>
      </w:tr>
      <w:tr w14:paraId="73D068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11C0C40">
            <w:pPr>
              <w:pStyle w:val="180"/>
              <w:rPr>
                <w:rFonts w:ascii="Times New Roman"/>
              </w:rPr>
            </w:pPr>
          </w:p>
        </w:tc>
        <w:tc>
          <w:tcPr>
            <w:tcW w:w="1556" w:type="dxa"/>
            <w:shd w:val="clear" w:color="auto" w:fill="auto"/>
            <w:vAlign w:val="center"/>
          </w:tcPr>
          <w:p w14:paraId="7C0EB03D">
            <w:pPr>
              <w:pStyle w:val="180"/>
              <w:rPr>
                <w:rFonts w:ascii="Times New Roman"/>
              </w:rPr>
            </w:pPr>
            <w:r>
              <w:rPr>
                <w:rFonts w:ascii="Times New Roman"/>
              </w:rPr>
              <w:t>稀疏林</w:t>
            </w:r>
          </w:p>
        </w:tc>
        <w:tc>
          <w:tcPr>
            <w:tcW w:w="1555" w:type="dxa"/>
            <w:shd w:val="clear" w:color="auto" w:fill="auto"/>
          </w:tcPr>
          <w:p w14:paraId="5A8C0ED1">
            <w:pPr>
              <w:pStyle w:val="180"/>
              <w:rPr>
                <w:rFonts w:ascii="Times New Roman"/>
              </w:rPr>
            </w:pPr>
            <w:r>
              <w:rPr>
                <w:rFonts w:ascii="Times New Roman"/>
              </w:rPr>
              <w:t>稀疏林</w:t>
            </w:r>
          </w:p>
        </w:tc>
        <w:tc>
          <w:tcPr>
            <w:tcW w:w="1555" w:type="dxa"/>
            <w:shd w:val="clear" w:color="auto" w:fill="auto"/>
          </w:tcPr>
          <w:p w14:paraId="4A214F1A">
            <w:pPr>
              <w:pStyle w:val="180"/>
              <w:rPr>
                <w:rFonts w:ascii="Times New Roman"/>
              </w:rPr>
            </w:pPr>
            <w:r>
              <w:rPr>
                <w:rFonts w:ascii="Times New Roman"/>
              </w:rPr>
              <w:t>3.60</w:t>
            </w:r>
          </w:p>
        </w:tc>
        <w:tc>
          <w:tcPr>
            <w:tcW w:w="1556" w:type="dxa"/>
            <w:shd w:val="clear" w:color="auto" w:fill="auto"/>
          </w:tcPr>
          <w:p w14:paraId="7AE476DA">
            <w:pPr>
              <w:pStyle w:val="180"/>
              <w:rPr>
                <w:rFonts w:ascii="Times New Roman"/>
              </w:rPr>
            </w:pPr>
            <w:r>
              <w:rPr>
                <w:rFonts w:ascii="Times New Roman"/>
              </w:rPr>
              <w:t>2.26</w:t>
            </w:r>
          </w:p>
        </w:tc>
        <w:tc>
          <w:tcPr>
            <w:tcW w:w="1556" w:type="dxa"/>
            <w:shd w:val="clear" w:color="auto" w:fill="auto"/>
          </w:tcPr>
          <w:p w14:paraId="29B0844E">
            <w:pPr>
              <w:pStyle w:val="180"/>
              <w:rPr>
                <w:rFonts w:ascii="Times New Roman"/>
              </w:rPr>
            </w:pPr>
            <w:r>
              <w:rPr>
                <w:rFonts w:ascii="Times New Roman"/>
              </w:rPr>
              <w:t>10.76</w:t>
            </w:r>
          </w:p>
        </w:tc>
      </w:tr>
      <w:tr w14:paraId="1BA466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D497B45">
            <w:pPr>
              <w:pStyle w:val="180"/>
              <w:rPr>
                <w:rFonts w:ascii="Times New Roman"/>
              </w:rPr>
            </w:pPr>
          </w:p>
        </w:tc>
        <w:tc>
          <w:tcPr>
            <w:tcW w:w="1556" w:type="dxa"/>
            <w:vMerge w:val="restart"/>
            <w:shd w:val="clear" w:color="auto" w:fill="auto"/>
            <w:vAlign w:val="center"/>
          </w:tcPr>
          <w:p w14:paraId="270AB6D9">
            <w:pPr>
              <w:pStyle w:val="180"/>
              <w:rPr>
                <w:rFonts w:ascii="Times New Roman"/>
              </w:rPr>
            </w:pPr>
            <w:r>
              <w:rPr>
                <w:rFonts w:ascii="Times New Roman"/>
              </w:rPr>
              <w:t>阔叶灌丛</w:t>
            </w:r>
          </w:p>
        </w:tc>
        <w:tc>
          <w:tcPr>
            <w:tcW w:w="1555" w:type="dxa"/>
            <w:shd w:val="clear" w:color="auto" w:fill="auto"/>
          </w:tcPr>
          <w:p w14:paraId="61155FD2">
            <w:pPr>
              <w:pStyle w:val="180"/>
              <w:rPr>
                <w:rFonts w:ascii="Times New Roman"/>
              </w:rPr>
            </w:pPr>
            <w:r>
              <w:rPr>
                <w:rFonts w:ascii="Times New Roman"/>
              </w:rPr>
              <w:t>常绿阔叶灌木林</w:t>
            </w:r>
          </w:p>
        </w:tc>
        <w:tc>
          <w:tcPr>
            <w:tcW w:w="1555" w:type="dxa"/>
            <w:shd w:val="clear" w:color="auto" w:fill="auto"/>
          </w:tcPr>
          <w:p w14:paraId="0C09F5F3">
            <w:pPr>
              <w:pStyle w:val="180"/>
              <w:rPr>
                <w:rFonts w:ascii="Times New Roman"/>
              </w:rPr>
            </w:pPr>
            <w:r>
              <w:rPr>
                <w:rFonts w:ascii="Times New Roman"/>
              </w:rPr>
              <w:t>4.03</w:t>
            </w:r>
          </w:p>
        </w:tc>
        <w:tc>
          <w:tcPr>
            <w:tcW w:w="1556" w:type="dxa"/>
            <w:shd w:val="clear" w:color="auto" w:fill="auto"/>
          </w:tcPr>
          <w:p w14:paraId="752D2C03">
            <w:pPr>
              <w:pStyle w:val="180"/>
              <w:rPr>
                <w:rFonts w:ascii="Times New Roman"/>
              </w:rPr>
            </w:pPr>
            <w:r>
              <w:rPr>
                <w:rFonts w:ascii="Times New Roman"/>
              </w:rPr>
              <w:t>2.64</w:t>
            </w:r>
          </w:p>
        </w:tc>
        <w:tc>
          <w:tcPr>
            <w:tcW w:w="1556" w:type="dxa"/>
            <w:shd w:val="clear" w:color="auto" w:fill="auto"/>
          </w:tcPr>
          <w:p w14:paraId="60FE6CE5">
            <w:pPr>
              <w:pStyle w:val="180"/>
              <w:rPr>
                <w:rFonts w:ascii="Times New Roman"/>
              </w:rPr>
            </w:pPr>
            <w:r>
              <w:rPr>
                <w:rFonts w:ascii="Times New Roman"/>
              </w:rPr>
              <w:t>11.76</w:t>
            </w:r>
          </w:p>
        </w:tc>
      </w:tr>
      <w:tr w14:paraId="0FC26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0CEEF122">
            <w:pPr>
              <w:pStyle w:val="180"/>
              <w:rPr>
                <w:rFonts w:ascii="Times New Roman"/>
              </w:rPr>
            </w:pPr>
          </w:p>
        </w:tc>
        <w:tc>
          <w:tcPr>
            <w:tcW w:w="1556" w:type="dxa"/>
            <w:vMerge w:val="continue"/>
            <w:shd w:val="clear" w:color="auto" w:fill="auto"/>
            <w:vAlign w:val="center"/>
          </w:tcPr>
          <w:p w14:paraId="45A56378">
            <w:pPr>
              <w:pStyle w:val="180"/>
              <w:rPr>
                <w:rFonts w:ascii="Times New Roman"/>
              </w:rPr>
            </w:pPr>
          </w:p>
        </w:tc>
        <w:tc>
          <w:tcPr>
            <w:tcW w:w="1555" w:type="dxa"/>
            <w:shd w:val="clear" w:color="auto" w:fill="auto"/>
          </w:tcPr>
          <w:p w14:paraId="74E5BC52">
            <w:pPr>
              <w:pStyle w:val="180"/>
              <w:rPr>
                <w:rFonts w:ascii="Times New Roman"/>
              </w:rPr>
            </w:pPr>
            <w:r>
              <w:rPr>
                <w:rFonts w:ascii="Times New Roman"/>
              </w:rPr>
              <w:t>落叶阔叶灌木林</w:t>
            </w:r>
          </w:p>
        </w:tc>
        <w:tc>
          <w:tcPr>
            <w:tcW w:w="1555" w:type="dxa"/>
            <w:shd w:val="clear" w:color="auto" w:fill="auto"/>
          </w:tcPr>
          <w:p w14:paraId="2C768BCD">
            <w:pPr>
              <w:pStyle w:val="180"/>
              <w:rPr>
                <w:rFonts w:ascii="Times New Roman"/>
              </w:rPr>
            </w:pPr>
            <w:r>
              <w:rPr>
                <w:rFonts w:ascii="Times New Roman"/>
              </w:rPr>
              <w:t>2.94</w:t>
            </w:r>
          </w:p>
        </w:tc>
        <w:tc>
          <w:tcPr>
            <w:tcW w:w="1556" w:type="dxa"/>
            <w:shd w:val="clear" w:color="auto" w:fill="auto"/>
          </w:tcPr>
          <w:p w14:paraId="5ADE149B">
            <w:pPr>
              <w:pStyle w:val="180"/>
              <w:rPr>
                <w:rFonts w:ascii="Times New Roman"/>
              </w:rPr>
            </w:pPr>
            <w:r>
              <w:rPr>
                <w:rFonts w:ascii="Times New Roman"/>
              </w:rPr>
              <w:t>1.57</w:t>
            </w:r>
          </w:p>
        </w:tc>
        <w:tc>
          <w:tcPr>
            <w:tcW w:w="1556" w:type="dxa"/>
            <w:shd w:val="clear" w:color="auto" w:fill="auto"/>
          </w:tcPr>
          <w:p w14:paraId="14C9760C">
            <w:pPr>
              <w:pStyle w:val="180"/>
              <w:rPr>
                <w:rFonts w:ascii="Times New Roman"/>
              </w:rPr>
            </w:pPr>
            <w:r>
              <w:rPr>
                <w:rFonts w:ascii="Times New Roman"/>
              </w:rPr>
              <w:t>7.88</w:t>
            </w:r>
          </w:p>
        </w:tc>
      </w:tr>
      <w:tr w14:paraId="1B0B6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3017DB16">
            <w:pPr>
              <w:pStyle w:val="180"/>
              <w:rPr>
                <w:rFonts w:ascii="Times New Roman"/>
              </w:rPr>
            </w:pPr>
          </w:p>
        </w:tc>
        <w:tc>
          <w:tcPr>
            <w:tcW w:w="1556" w:type="dxa"/>
            <w:shd w:val="clear" w:color="auto" w:fill="auto"/>
            <w:vAlign w:val="center"/>
          </w:tcPr>
          <w:p w14:paraId="1E3CA540">
            <w:pPr>
              <w:pStyle w:val="180"/>
              <w:rPr>
                <w:rFonts w:ascii="Times New Roman"/>
              </w:rPr>
            </w:pPr>
            <w:r>
              <w:rPr>
                <w:rFonts w:ascii="Times New Roman"/>
              </w:rPr>
              <w:t>针叶灌丛</w:t>
            </w:r>
          </w:p>
        </w:tc>
        <w:tc>
          <w:tcPr>
            <w:tcW w:w="1555" w:type="dxa"/>
            <w:shd w:val="clear" w:color="auto" w:fill="auto"/>
          </w:tcPr>
          <w:p w14:paraId="179C3BF4">
            <w:pPr>
              <w:pStyle w:val="180"/>
              <w:rPr>
                <w:rFonts w:ascii="Times New Roman"/>
              </w:rPr>
            </w:pPr>
            <w:r>
              <w:rPr>
                <w:rFonts w:ascii="Times New Roman"/>
              </w:rPr>
              <w:t>常绿针叶灌木林</w:t>
            </w:r>
          </w:p>
        </w:tc>
        <w:tc>
          <w:tcPr>
            <w:tcW w:w="1555" w:type="dxa"/>
            <w:shd w:val="clear" w:color="auto" w:fill="auto"/>
          </w:tcPr>
          <w:p w14:paraId="5FB4BFDA">
            <w:pPr>
              <w:pStyle w:val="180"/>
              <w:rPr>
                <w:rFonts w:ascii="Times New Roman"/>
              </w:rPr>
            </w:pPr>
            <w:r>
              <w:rPr>
                <w:rFonts w:ascii="Times New Roman"/>
              </w:rPr>
              <w:t>3.73</w:t>
            </w:r>
          </w:p>
        </w:tc>
        <w:tc>
          <w:tcPr>
            <w:tcW w:w="1556" w:type="dxa"/>
            <w:shd w:val="clear" w:color="auto" w:fill="auto"/>
          </w:tcPr>
          <w:p w14:paraId="34310196">
            <w:pPr>
              <w:pStyle w:val="180"/>
              <w:rPr>
                <w:rFonts w:ascii="Times New Roman"/>
              </w:rPr>
            </w:pPr>
            <w:r>
              <w:rPr>
                <w:rFonts w:ascii="Times New Roman"/>
              </w:rPr>
              <w:t>2.35</w:t>
            </w:r>
          </w:p>
        </w:tc>
        <w:tc>
          <w:tcPr>
            <w:tcW w:w="1556" w:type="dxa"/>
            <w:shd w:val="clear" w:color="auto" w:fill="auto"/>
          </w:tcPr>
          <w:p w14:paraId="5716A6D7">
            <w:pPr>
              <w:pStyle w:val="180"/>
              <w:rPr>
                <w:rFonts w:ascii="Times New Roman"/>
              </w:rPr>
            </w:pPr>
            <w:r>
              <w:rPr>
                <w:rFonts w:ascii="Times New Roman"/>
              </w:rPr>
              <w:t>10.08</w:t>
            </w:r>
          </w:p>
        </w:tc>
      </w:tr>
      <w:tr w14:paraId="77AF5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207AA0EC">
            <w:pPr>
              <w:pStyle w:val="180"/>
              <w:rPr>
                <w:rFonts w:ascii="Times New Roman"/>
              </w:rPr>
            </w:pPr>
          </w:p>
        </w:tc>
        <w:tc>
          <w:tcPr>
            <w:tcW w:w="1556" w:type="dxa"/>
            <w:shd w:val="clear" w:color="auto" w:fill="auto"/>
            <w:vAlign w:val="center"/>
          </w:tcPr>
          <w:p w14:paraId="1B7C3DE0">
            <w:pPr>
              <w:pStyle w:val="180"/>
              <w:rPr>
                <w:rFonts w:ascii="Times New Roman"/>
              </w:rPr>
            </w:pPr>
            <w:r>
              <w:rPr>
                <w:rFonts w:ascii="Times New Roman"/>
              </w:rPr>
              <w:t>稀疏灌丛</w:t>
            </w:r>
          </w:p>
        </w:tc>
        <w:tc>
          <w:tcPr>
            <w:tcW w:w="1555" w:type="dxa"/>
            <w:shd w:val="clear" w:color="auto" w:fill="auto"/>
          </w:tcPr>
          <w:p w14:paraId="085E8070">
            <w:pPr>
              <w:pStyle w:val="180"/>
              <w:rPr>
                <w:rFonts w:ascii="Times New Roman"/>
              </w:rPr>
            </w:pPr>
            <w:r>
              <w:rPr>
                <w:rFonts w:ascii="Times New Roman"/>
              </w:rPr>
              <w:t>稀疏灌木林</w:t>
            </w:r>
          </w:p>
        </w:tc>
        <w:tc>
          <w:tcPr>
            <w:tcW w:w="1555" w:type="dxa"/>
            <w:shd w:val="clear" w:color="auto" w:fill="auto"/>
          </w:tcPr>
          <w:p w14:paraId="2C71F5CC">
            <w:pPr>
              <w:pStyle w:val="180"/>
              <w:rPr>
                <w:rFonts w:ascii="Times New Roman"/>
              </w:rPr>
            </w:pPr>
            <w:r>
              <w:rPr>
                <w:rFonts w:ascii="Times New Roman"/>
              </w:rPr>
              <w:t>2.81</w:t>
            </w:r>
          </w:p>
        </w:tc>
        <w:tc>
          <w:tcPr>
            <w:tcW w:w="1556" w:type="dxa"/>
            <w:shd w:val="clear" w:color="auto" w:fill="auto"/>
          </w:tcPr>
          <w:p w14:paraId="2AEF53ED">
            <w:pPr>
              <w:pStyle w:val="180"/>
              <w:rPr>
                <w:rFonts w:ascii="Times New Roman"/>
              </w:rPr>
            </w:pPr>
            <w:r>
              <w:rPr>
                <w:rFonts w:ascii="Times New Roman"/>
              </w:rPr>
              <w:t>1.75</w:t>
            </w:r>
          </w:p>
        </w:tc>
        <w:tc>
          <w:tcPr>
            <w:tcW w:w="1556" w:type="dxa"/>
            <w:shd w:val="clear" w:color="auto" w:fill="auto"/>
          </w:tcPr>
          <w:p w14:paraId="3A736325">
            <w:pPr>
              <w:pStyle w:val="180"/>
              <w:rPr>
                <w:rFonts w:ascii="Times New Roman"/>
              </w:rPr>
            </w:pPr>
            <w:r>
              <w:rPr>
                <w:rFonts w:ascii="Times New Roman"/>
              </w:rPr>
              <w:t>7.93</w:t>
            </w:r>
          </w:p>
        </w:tc>
      </w:tr>
      <w:tr w14:paraId="156F8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1CB090A0">
            <w:pPr>
              <w:pStyle w:val="180"/>
              <w:rPr>
                <w:rFonts w:ascii="Times New Roman"/>
              </w:rPr>
            </w:pPr>
            <w:r>
              <w:rPr>
                <w:rFonts w:ascii="Times New Roman"/>
              </w:rPr>
              <w:t>草原生态系统</w:t>
            </w:r>
          </w:p>
        </w:tc>
        <w:tc>
          <w:tcPr>
            <w:tcW w:w="1556" w:type="dxa"/>
            <w:shd w:val="clear" w:color="auto" w:fill="auto"/>
          </w:tcPr>
          <w:p w14:paraId="3CA908FE">
            <w:pPr>
              <w:pStyle w:val="180"/>
              <w:rPr>
                <w:rFonts w:ascii="Times New Roman"/>
              </w:rPr>
            </w:pPr>
            <w:r>
              <w:rPr>
                <w:rFonts w:ascii="Times New Roman"/>
              </w:rPr>
              <w:t>草甸</w:t>
            </w:r>
          </w:p>
        </w:tc>
        <w:tc>
          <w:tcPr>
            <w:tcW w:w="1555" w:type="dxa"/>
            <w:shd w:val="clear" w:color="auto" w:fill="auto"/>
          </w:tcPr>
          <w:p w14:paraId="3BCABAF6">
            <w:pPr>
              <w:pStyle w:val="180"/>
              <w:rPr>
                <w:rFonts w:ascii="Times New Roman"/>
              </w:rPr>
            </w:pPr>
            <w:r>
              <w:rPr>
                <w:rFonts w:ascii="Times New Roman"/>
              </w:rPr>
              <w:t>草甸</w:t>
            </w:r>
          </w:p>
        </w:tc>
        <w:tc>
          <w:tcPr>
            <w:tcW w:w="1555" w:type="dxa"/>
            <w:shd w:val="clear" w:color="auto" w:fill="auto"/>
          </w:tcPr>
          <w:p w14:paraId="6B733C2B">
            <w:pPr>
              <w:pStyle w:val="180"/>
              <w:rPr>
                <w:rFonts w:ascii="Times New Roman"/>
              </w:rPr>
            </w:pPr>
            <w:r>
              <w:rPr>
                <w:rFonts w:ascii="Times New Roman"/>
              </w:rPr>
              <w:t>3.60</w:t>
            </w:r>
          </w:p>
        </w:tc>
        <w:tc>
          <w:tcPr>
            <w:tcW w:w="1556" w:type="dxa"/>
            <w:shd w:val="clear" w:color="auto" w:fill="auto"/>
          </w:tcPr>
          <w:p w14:paraId="3ED81E6E">
            <w:pPr>
              <w:pStyle w:val="180"/>
              <w:rPr>
                <w:rFonts w:ascii="Times New Roman"/>
              </w:rPr>
            </w:pPr>
            <w:r>
              <w:rPr>
                <w:rFonts w:ascii="Times New Roman"/>
              </w:rPr>
              <w:t>2.56</w:t>
            </w:r>
          </w:p>
        </w:tc>
        <w:tc>
          <w:tcPr>
            <w:tcW w:w="1556" w:type="dxa"/>
            <w:shd w:val="clear" w:color="auto" w:fill="auto"/>
          </w:tcPr>
          <w:p w14:paraId="04142F84">
            <w:pPr>
              <w:pStyle w:val="180"/>
              <w:rPr>
                <w:rFonts w:ascii="Times New Roman"/>
              </w:rPr>
            </w:pPr>
            <w:r>
              <w:rPr>
                <w:rFonts w:ascii="Times New Roman"/>
              </w:rPr>
              <w:t>10.60</w:t>
            </w:r>
          </w:p>
        </w:tc>
      </w:tr>
      <w:tr w14:paraId="3FB28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73B503C2">
            <w:pPr>
              <w:pStyle w:val="180"/>
              <w:rPr>
                <w:rFonts w:ascii="Times New Roman"/>
              </w:rPr>
            </w:pPr>
          </w:p>
        </w:tc>
        <w:tc>
          <w:tcPr>
            <w:tcW w:w="1556" w:type="dxa"/>
            <w:shd w:val="clear" w:color="auto" w:fill="auto"/>
          </w:tcPr>
          <w:p w14:paraId="025E2D5B">
            <w:pPr>
              <w:pStyle w:val="180"/>
              <w:rPr>
                <w:rFonts w:ascii="Times New Roman"/>
              </w:rPr>
            </w:pPr>
            <w:r>
              <w:rPr>
                <w:rFonts w:ascii="Times New Roman"/>
              </w:rPr>
              <w:t>草原</w:t>
            </w:r>
          </w:p>
        </w:tc>
        <w:tc>
          <w:tcPr>
            <w:tcW w:w="1555" w:type="dxa"/>
            <w:shd w:val="clear" w:color="auto" w:fill="auto"/>
          </w:tcPr>
          <w:p w14:paraId="71FEA38B">
            <w:pPr>
              <w:pStyle w:val="180"/>
              <w:rPr>
                <w:rFonts w:ascii="Times New Roman"/>
              </w:rPr>
            </w:pPr>
            <w:r>
              <w:rPr>
                <w:rFonts w:ascii="Times New Roman"/>
              </w:rPr>
              <w:t>草原</w:t>
            </w:r>
          </w:p>
        </w:tc>
        <w:tc>
          <w:tcPr>
            <w:tcW w:w="1555" w:type="dxa"/>
            <w:shd w:val="clear" w:color="auto" w:fill="auto"/>
          </w:tcPr>
          <w:p w14:paraId="50D50123">
            <w:pPr>
              <w:pStyle w:val="180"/>
              <w:rPr>
                <w:rFonts w:ascii="Times New Roman"/>
              </w:rPr>
            </w:pPr>
            <w:r>
              <w:rPr>
                <w:rFonts w:ascii="Times New Roman"/>
              </w:rPr>
              <w:t>2.94</w:t>
            </w:r>
          </w:p>
        </w:tc>
        <w:tc>
          <w:tcPr>
            <w:tcW w:w="1556" w:type="dxa"/>
            <w:shd w:val="clear" w:color="auto" w:fill="auto"/>
          </w:tcPr>
          <w:p w14:paraId="16996D04">
            <w:pPr>
              <w:pStyle w:val="180"/>
              <w:rPr>
                <w:rFonts w:ascii="Times New Roman"/>
              </w:rPr>
            </w:pPr>
            <w:r>
              <w:rPr>
                <w:rFonts w:ascii="Times New Roman"/>
              </w:rPr>
              <w:t>1.57</w:t>
            </w:r>
          </w:p>
        </w:tc>
        <w:tc>
          <w:tcPr>
            <w:tcW w:w="1556" w:type="dxa"/>
            <w:shd w:val="clear" w:color="auto" w:fill="auto"/>
          </w:tcPr>
          <w:p w14:paraId="16F7E901">
            <w:pPr>
              <w:pStyle w:val="180"/>
              <w:rPr>
                <w:rFonts w:ascii="Times New Roman"/>
              </w:rPr>
            </w:pPr>
            <w:r>
              <w:rPr>
                <w:rFonts w:ascii="Times New Roman"/>
              </w:rPr>
              <w:t>8.41</w:t>
            </w:r>
          </w:p>
        </w:tc>
      </w:tr>
      <w:tr w14:paraId="3297B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3F11C042">
            <w:pPr>
              <w:pStyle w:val="180"/>
              <w:rPr>
                <w:rFonts w:ascii="Times New Roman"/>
              </w:rPr>
            </w:pPr>
          </w:p>
        </w:tc>
        <w:tc>
          <w:tcPr>
            <w:tcW w:w="1556" w:type="dxa"/>
            <w:shd w:val="clear" w:color="auto" w:fill="auto"/>
          </w:tcPr>
          <w:p w14:paraId="27098190">
            <w:pPr>
              <w:pStyle w:val="180"/>
              <w:rPr>
                <w:rFonts w:ascii="Times New Roman"/>
              </w:rPr>
            </w:pPr>
            <w:r>
              <w:rPr>
                <w:rFonts w:ascii="Times New Roman"/>
              </w:rPr>
              <w:t>草丛</w:t>
            </w:r>
          </w:p>
        </w:tc>
        <w:tc>
          <w:tcPr>
            <w:tcW w:w="1555" w:type="dxa"/>
            <w:shd w:val="clear" w:color="auto" w:fill="auto"/>
          </w:tcPr>
          <w:p w14:paraId="32BC4622">
            <w:pPr>
              <w:pStyle w:val="180"/>
              <w:rPr>
                <w:rFonts w:ascii="Times New Roman"/>
              </w:rPr>
            </w:pPr>
            <w:r>
              <w:rPr>
                <w:rFonts w:ascii="Times New Roman"/>
              </w:rPr>
              <w:t>草丛</w:t>
            </w:r>
          </w:p>
        </w:tc>
        <w:tc>
          <w:tcPr>
            <w:tcW w:w="1555" w:type="dxa"/>
            <w:shd w:val="clear" w:color="auto" w:fill="auto"/>
          </w:tcPr>
          <w:p w14:paraId="7BDB5180">
            <w:pPr>
              <w:pStyle w:val="180"/>
              <w:rPr>
                <w:rFonts w:ascii="Times New Roman"/>
              </w:rPr>
            </w:pPr>
            <w:r>
              <w:rPr>
                <w:rFonts w:ascii="Times New Roman"/>
              </w:rPr>
              <w:t>2.94</w:t>
            </w:r>
          </w:p>
        </w:tc>
        <w:tc>
          <w:tcPr>
            <w:tcW w:w="1556" w:type="dxa"/>
            <w:shd w:val="clear" w:color="auto" w:fill="auto"/>
          </w:tcPr>
          <w:p w14:paraId="27D2A2D3">
            <w:pPr>
              <w:pStyle w:val="180"/>
              <w:rPr>
                <w:rFonts w:ascii="Times New Roman"/>
              </w:rPr>
            </w:pPr>
            <w:r>
              <w:rPr>
                <w:rFonts w:ascii="Times New Roman"/>
              </w:rPr>
              <w:t>1.57</w:t>
            </w:r>
          </w:p>
        </w:tc>
        <w:tc>
          <w:tcPr>
            <w:tcW w:w="1556" w:type="dxa"/>
            <w:shd w:val="clear" w:color="auto" w:fill="auto"/>
          </w:tcPr>
          <w:p w14:paraId="56BD2DED">
            <w:pPr>
              <w:pStyle w:val="180"/>
              <w:rPr>
                <w:rFonts w:ascii="Times New Roman"/>
              </w:rPr>
            </w:pPr>
            <w:r>
              <w:rPr>
                <w:rFonts w:ascii="Times New Roman"/>
              </w:rPr>
              <w:t>8.41</w:t>
            </w:r>
          </w:p>
        </w:tc>
      </w:tr>
      <w:tr w14:paraId="322E24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02297D2A">
            <w:pPr>
              <w:pStyle w:val="180"/>
              <w:rPr>
                <w:rFonts w:ascii="Times New Roman"/>
              </w:rPr>
            </w:pPr>
          </w:p>
        </w:tc>
        <w:tc>
          <w:tcPr>
            <w:tcW w:w="1556" w:type="dxa"/>
            <w:shd w:val="clear" w:color="auto" w:fill="auto"/>
          </w:tcPr>
          <w:p w14:paraId="0CB3651D">
            <w:pPr>
              <w:pStyle w:val="180"/>
              <w:rPr>
                <w:rFonts w:ascii="Times New Roman"/>
              </w:rPr>
            </w:pPr>
            <w:r>
              <w:rPr>
                <w:rFonts w:ascii="Times New Roman"/>
              </w:rPr>
              <w:t>稀疏草地</w:t>
            </w:r>
          </w:p>
        </w:tc>
        <w:tc>
          <w:tcPr>
            <w:tcW w:w="1555" w:type="dxa"/>
            <w:shd w:val="clear" w:color="auto" w:fill="auto"/>
          </w:tcPr>
          <w:p w14:paraId="593ACD7F">
            <w:pPr>
              <w:pStyle w:val="180"/>
              <w:rPr>
                <w:rFonts w:ascii="Times New Roman"/>
              </w:rPr>
            </w:pPr>
            <w:r>
              <w:rPr>
                <w:rFonts w:ascii="Times New Roman"/>
              </w:rPr>
              <w:t>稀疏草地</w:t>
            </w:r>
          </w:p>
        </w:tc>
        <w:tc>
          <w:tcPr>
            <w:tcW w:w="1555" w:type="dxa"/>
            <w:shd w:val="clear" w:color="auto" w:fill="auto"/>
          </w:tcPr>
          <w:p w14:paraId="3FEA684E">
            <w:pPr>
              <w:pStyle w:val="180"/>
              <w:rPr>
                <w:rFonts w:ascii="Times New Roman"/>
              </w:rPr>
            </w:pPr>
            <w:r>
              <w:rPr>
                <w:rFonts w:ascii="Times New Roman"/>
              </w:rPr>
              <w:t>2.54</w:t>
            </w:r>
          </w:p>
        </w:tc>
        <w:tc>
          <w:tcPr>
            <w:tcW w:w="1556" w:type="dxa"/>
            <w:shd w:val="clear" w:color="auto" w:fill="auto"/>
          </w:tcPr>
          <w:p w14:paraId="1EB04776">
            <w:pPr>
              <w:pStyle w:val="180"/>
              <w:rPr>
                <w:rFonts w:ascii="Times New Roman"/>
              </w:rPr>
            </w:pPr>
            <w:r>
              <w:rPr>
                <w:rFonts w:ascii="Times New Roman"/>
              </w:rPr>
              <w:t>1.52</w:t>
            </w:r>
          </w:p>
        </w:tc>
        <w:tc>
          <w:tcPr>
            <w:tcW w:w="1556" w:type="dxa"/>
            <w:shd w:val="clear" w:color="auto" w:fill="auto"/>
          </w:tcPr>
          <w:p w14:paraId="6BB24C83">
            <w:pPr>
              <w:pStyle w:val="180"/>
              <w:rPr>
                <w:rFonts w:ascii="Times New Roman"/>
              </w:rPr>
            </w:pPr>
            <w:r>
              <w:rPr>
                <w:rFonts w:ascii="Times New Roman"/>
              </w:rPr>
              <w:t>7.18</w:t>
            </w:r>
          </w:p>
        </w:tc>
      </w:tr>
      <w:tr w14:paraId="69A52F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2F4831A2">
            <w:pPr>
              <w:pStyle w:val="180"/>
              <w:rPr>
                <w:rFonts w:ascii="Times New Roman"/>
              </w:rPr>
            </w:pPr>
            <w:r>
              <w:rPr>
                <w:rFonts w:ascii="Times New Roman"/>
              </w:rPr>
              <w:t>湿地生态系统</w:t>
            </w:r>
          </w:p>
        </w:tc>
        <w:tc>
          <w:tcPr>
            <w:tcW w:w="1556" w:type="dxa"/>
            <w:vMerge w:val="restart"/>
            <w:shd w:val="clear" w:color="auto" w:fill="auto"/>
            <w:vAlign w:val="center"/>
          </w:tcPr>
          <w:p w14:paraId="7FA4F268">
            <w:pPr>
              <w:pStyle w:val="180"/>
              <w:rPr>
                <w:rFonts w:ascii="Times New Roman"/>
              </w:rPr>
            </w:pPr>
            <w:r>
              <w:rPr>
                <w:rFonts w:ascii="Times New Roman"/>
              </w:rPr>
              <w:t>沼泽</w:t>
            </w:r>
          </w:p>
        </w:tc>
        <w:tc>
          <w:tcPr>
            <w:tcW w:w="1555" w:type="dxa"/>
            <w:shd w:val="clear" w:color="auto" w:fill="auto"/>
          </w:tcPr>
          <w:p w14:paraId="75F488D2">
            <w:pPr>
              <w:pStyle w:val="180"/>
              <w:rPr>
                <w:rFonts w:ascii="Times New Roman"/>
              </w:rPr>
            </w:pPr>
            <w:r>
              <w:rPr>
                <w:rFonts w:ascii="Times New Roman"/>
              </w:rPr>
              <w:t>森林沼泽</w:t>
            </w:r>
          </w:p>
        </w:tc>
        <w:tc>
          <w:tcPr>
            <w:tcW w:w="1555" w:type="dxa"/>
            <w:shd w:val="clear" w:color="auto" w:fill="auto"/>
          </w:tcPr>
          <w:p w14:paraId="4131E909">
            <w:pPr>
              <w:pStyle w:val="180"/>
              <w:rPr>
                <w:rFonts w:ascii="Times New Roman"/>
              </w:rPr>
            </w:pPr>
            <w:r>
              <w:rPr>
                <w:rFonts w:ascii="Times New Roman"/>
              </w:rPr>
              <w:t>4.03</w:t>
            </w:r>
          </w:p>
        </w:tc>
        <w:tc>
          <w:tcPr>
            <w:tcW w:w="1556" w:type="dxa"/>
            <w:shd w:val="clear" w:color="auto" w:fill="auto"/>
          </w:tcPr>
          <w:p w14:paraId="32C5C4C7">
            <w:pPr>
              <w:pStyle w:val="180"/>
              <w:rPr>
                <w:rFonts w:ascii="Times New Roman"/>
              </w:rPr>
            </w:pPr>
            <w:r>
              <w:rPr>
                <w:rFonts w:ascii="Times New Roman"/>
              </w:rPr>
              <w:t>1.97</w:t>
            </w:r>
          </w:p>
        </w:tc>
        <w:tc>
          <w:tcPr>
            <w:tcW w:w="1556" w:type="dxa"/>
            <w:shd w:val="clear" w:color="auto" w:fill="auto"/>
          </w:tcPr>
          <w:p w14:paraId="681ADD35">
            <w:pPr>
              <w:pStyle w:val="180"/>
              <w:rPr>
                <w:rFonts w:ascii="Times New Roman"/>
              </w:rPr>
            </w:pPr>
            <w:r>
              <w:rPr>
                <w:rFonts w:ascii="Times New Roman"/>
              </w:rPr>
              <w:t>10.08</w:t>
            </w:r>
          </w:p>
        </w:tc>
      </w:tr>
      <w:tr w14:paraId="21FCEE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010B7FD6">
            <w:pPr>
              <w:pStyle w:val="180"/>
              <w:rPr>
                <w:rFonts w:ascii="Times New Roman"/>
              </w:rPr>
            </w:pPr>
          </w:p>
        </w:tc>
        <w:tc>
          <w:tcPr>
            <w:tcW w:w="1556" w:type="dxa"/>
            <w:vMerge w:val="continue"/>
            <w:shd w:val="clear" w:color="auto" w:fill="auto"/>
            <w:vAlign w:val="center"/>
          </w:tcPr>
          <w:p w14:paraId="3133F45C">
            <w:pPr>
              <w:pStyle w:val="180"/>
              <w:rPr>
                <w:rFonts w:ascii="Times New Roman"/>
              </w:rPr>
            </w:pPr>
          </w:p>
        </w:tc>
        <w:tc>
          <w:tcPr>
            <w:tcW w:w="1555" w:type="dxa"/>
            <w:shd w:val="clear" w:color="auto" w:fill="auto"/>
          </w:tcPr>
          <w:p w14:paraId="31322911">
            <w:pPr>
              <w:pStyle w:val="180"/>
              <w:rPr>
                <w:rFonts w:ascii="Times New Roman"/>
              </w:rPr>
            </w:pPr>
            <w:r>
              <w:rPr>
                <w:rFonts w:ascii="Times New Roman"/>
              </w:rPr>
              <w:t>灌丛沼泽</w:t>
            </w:r>
          </w:p>
        </w:tc>
        <w:tc>
          <w:tcPr>
            <w:tcW w:w="1555" w:type="dxa"/>
            <w:shd w:val="clear" w:color="auto" w:fill="auto"/>
          </w:tcPr>
          <w:p w14:paraId="6C5E46A1">
            <w:pPr>
              <w:pStyle w:val="180"/>
              <w:rPr>
                <w:rFonts w:ascii="Times New Roman"/>
              </w:rPr>
            </w:pPr>
            <w:r>
              <w:rPr>
                <w:rFonts w:ascii="Times New Roman"/>
              </w:rPr>
              <w:t>3.11</w:t>
            </w:r>
          </w:p>
        </w:tc>
        <w:tc>
          <w:tcPr>
            <w:tcW w:w="1556" w:type="dxa"/>
            <w:shd w:val="clear" w:color="auto" w:fill="auto"/>
          </w:tcPr>
          <w:p w14:paraId="77C881B0">
            <w:pPr>
              <w:pStyle w:val="180"/>
              <w:rPr>
                <w:rFonts w:ascii="Times New Roman"/>
              </w:rPr>
            </w:pPr>
            <w:r>
              <w:rPr>
                <w:rFonts w:ascii="Times New Roman"/>
              </w:rPr>
              <w:t>1.52</w:t>
            </w:r>
          </w:p>
        </w:tc>
        <w:tc>
          <w:tcPr>
            <w:tcW w:w="1556" w:type="dxa"/>
            <w:shd w:val="clear" w:color="auto" w:fill="auto"/>
          </w:tcPr>
          <w:p w14:paraId="62243472">
            <w:pPr>
              <w:pStyle w:val="180"/>
              <w:rPr>
                <w:rFonts w:ascii="Times New Roman"/>
              </w:rPr>
            </w:pPr>
            <w:r>
              <w:rPr>
                <w:rFonts w:ascii="Times New Roman"/>
              </w:rPr>
              <w:t>7.41</w:t>
            </w:r>
          </w:p>
        </w:tc>
      </w:tr>
      <w:tr w14:paraId="1F87FB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7F6306B1">
            <w:pPr>
              <w:pStyle w:val="180"/>
              <w:rPr>
                <w:rFonts w:ascii="Times New Roman"/>
              </w:rPr>
            </w:pPr>
          </w:p>
        </w:tc>
        <w:tc>
          <w:tcPr>
            <w:tcW w:w="1556" w:type="dxa"/>
            <w:vMerge w:val="continue"/>
            <w:shd w:val="clear" w:color="auto" w:fill="auto"/>
            <w:vAlign w:val="center"/>
          </w:tcPr>
          <w:p w14:paraId="15049FAD">
            <w:pPr>
              <w:pStyle w:val="180"/>
              <w:rPr>
                <w:rFonts w:ascii="Times New Roman"/>
              </w:rPr>
            </w:pPr>
          </w:p>
        </w:tc>
        <w:tc>
          <w:tcPr>
            <w:tcW w:w="1555" w:type="dxa"/>
            <w:shd w:val="clear" w:color="auto" w:fill="auto"/>
          </w:tcPr>
          <w:p w14:paraId="6D6E6E8F">
            <w:pPr>
              <w:pStyle w:val="180"/>
              <w:rPr>
                <w:rFonts w:ascii="Times New Roman"/>
              </w:rPr>
            </w:pPr>
            <w:r>
              <w:rPr>
                <w:rFonts w:ascii="Times New Roman"/>
              </w:rPr>
              <w:t>草本沼泽</w:t>
            </w:r>
          </w:p>
        </w:tc>
        <w:tc>
          <w:tcPr>
            <w:tcW w:w="1555" w:type="dxa"/>
            <w:shd w:val="clear" w:color="auto" w:fill="auto"/>
          </w:tcPr>
          <w:p w14:paraId="4094656D">
            <w:pPr>
              <w:pStyle w:val="180"/>
              <w:rPr>
                <w:rFonts w:ascii="Times New Roman"/>
              </w:rPr>
            </w:pPr>
            <w:r>
              <w:rPr>
                <w:rFonts w:ascii="Times New Roman"/>
              </w:rPr>
              <w:t>2.85</w:t>
            </w:r>
          </w:p>
        </w:tc>
        <w:tc>
          <w:tcPr>
            <w:tcW w:w="1556" w:type="dxa"/>
            <w:shd w:val="clear" w:color="auto" w:fill="auto"/>
          </w:tcPr>
          <w:p w14:paraId="1803DBA5">
            <w:pPr>
              <w:pStyle w:val="180"/>
              <w:rPr>
                <w:rFonts w:ascii="Times New Roman"/>
              </w:rPr>
            </w:pPr>
            <w:r>
              <w:rPr>
                <w:rFonts w:ascii="Times New Roman"/>
              </w:rPr>
              <w:t>1.32</w:t>
            </w:r>
          </w:p>
        </w:tc>
        <w:tc>
          <w:tcPr>
            <w:tcW w:w="1556" w:type="dxa"/>
            <w:shd w:val="clear" w:color="auto" w:fill="auto"/>
          </w:tcPr>
          <w:p w14:paraId="670E02A2">
            <w:pPr>
              <w:pStyle w:val="180"/>
              <w:rPr>
                <w:rFonts w:ascii="Times New Roman"/>
              </w:rPr>
            </w:pPr>
            <w:r>
              <w:rPr>
                <w:rFonts w:ascii="Times New Roman"/>
              </w:rPr>
              <w:t>6.73</w:t>
            </w:r>
          </w:p>
        </w:tc>
      </w:tr>
      <w:tr w14:paraId="27224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3ED410D0">
            <w:pPr>
              <w:pStyle w:val="180"/>
              <w:rPr>
                <w:rFonts w:ascii="Times New Roman"/>
              </w:rPr>
            </w:pPr>
          </w:p>
        </w:tc>
        <w:tc>
          <w:tcPr>
            <w:tcW w:w="1556" w:type="dxa"/>
            <w:vMerge w:val="restart"/>
            <w:shd w:val="clear" w:color="auto" w:fill="auto"/>
            <w:vAlign w:val="center"/>
          </w:tcPr>
          <w:p w14:paraId="6895C284">
            <w:pPr>
              <w:pStyle w:val="180"/>
              <w:rPr>
                <w:rFonts w:ascii="Times New Roman"/>
              </w:rPr>
            </w:pPr>
            <w:r>
              <w:rPr>
                <w:rFonts w:ascii="Times New Roman"/>
              </w:rPr>
              <w:t>湖泊</w:t>
            </w:r>
          </w:p>
        </w:tc>
        <w:tc>
          <w:tcPr>
            <w:tcW w:w="1555" w:type="dxa"/>
            <w:shd w:val="clear" w:color="auto" w:fill="auto"/>
          </w:tcPr>
          <w:p w14:paraId="545442AE">
            <w:pPr>
              <w:pStyle w:val="180"/>
              <w:rPr>
                <w:rFonts w:ascii="Times New Roman"/>
              </w:rPr>
            </w:pPr>
            <w:r>
              <w:rPr>
                <w:rFonts w:ascii="Times New Roman"/>
              </w:rPr>
              <w:t>湖泊</w:t>
            </w:r>
          </w:p>
        </w:tc>
        <w:tc>
          <w:tcPr>
            <w:tcW w:w="1555" w:type="dxa"/>
            <w:shd w:val="clear" w:color="auto" w:fill="auto"/>
          </w:tcPr>
          <w:p w14:paraId="3F8EE94C">
            <w:pPr>
              <w:pStyle w:val="180"/>
              <w:rPr>
                <w:rFonts w:ascii="Times New Roman"/>
              </w:rPr>
            </w:pPr>
            <w:r>
              <w:rPr>
                <w:rFonts w:ascii="Times New Roman"/>
              </w:rPr>
              <w:t>7.06</w:t>
            </w:r>
          </w:p>
        </w:tc>
        <w:tc>
          <w:tcPr>
            <w:tcW w:w="1556" w:type="dxa"/>
            <w:shd w:val="clear" w:color="auto" w:fill="auto"/>
          </w:tcPr>
          <w:p w14:paraId="6898EB83">
            <w:pPr>
              <w:pStyle w:val="180"/>
              <w:rPr>
                <w:rFonts w:ascii="Times New Roman"/>
              </w:rPr>
            </w:pPr>
            <w:r>
              <w:rPr>
                <w:rFonts w:ascii="Times New Roman"/>
              </w:rPr>
              <w:t>0.00</w:t>
            </w:r>
          </w:p>
        </w:tc>
        <w:tc>
          <w:tcPr>
            <w:tcW w:w="1556" w:type="dxa"/>
            <w:shd w:val="clear" w:color="auto" w:fill="auto"/>
          </w:tcPr>
          <w:p w14:paraId="4D8FF7CD">
            <w:pPr>
              <w:pStyle w:val="180"/>
              <w:rPr>
                <w:rFonts w:ascii="Times New Roman"/>
              </w:rPr>
            </w:pPr>
            <w:r>
              <w:rPr>
                <w:rFonts w:ascii="Times New Roman"/>
              </w:rPr>
              <w:t>10.08</w:t>
            </w:r>
          </w:p>
        </w:tc>
      </w:tr>
      <w:tr w14:paraId="299A2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69EE6861">
            <w:pPr>
              <w:pStyle w:val="180"/>
              <w:rPr>
                <w:rFonts w:ascii="Times New Roman"/>
              </w:rPr>
            </w:pPr>
          </w:p>
        </w:tc>
        <w:tc>
          <w:tcPr>
            <w:tcW w:w="1556" w:type="dxa"/>
            <w:vMerge w:val="continue"/>
            <w:shd w:val="clear" w:color="auto" w:fill="auto"/>
            <w:vAlign w:val="center"/>
          </w:tcPr>
          <w:p w14:paraId="7A273F3B">
            <w:pPr>
              <w:pStyle w:val="180"/>
              <w:rPr>
                <w:rFonts w:ascii="Times New Roman"/>
              </w:rPr>
            </w:pPr>
          </w:p>
        </w:tc>
        <w:tc>
          <w:tcPr>
            <w:tcW w:w="1555" w:type="dxa"/>
            <w:shd w:val="clear" w:color="auto" w:fill="auto"/>
          </w:tcPr>
          <w:p w14:paraId="4EB1AD26">
            <w:pPr>
              <w:pStyle w:val="180"/>
              <w:rPr>
                <w:rFonts w:ascii="Times New Roman"/>
              </w:rPr>
            </w:pPr>
            <w:r>
              <w:rPr>
                <w:rFonts w:ascii="Times New Roman"/>
              </w:rPr>
              <w:t>水库/坑塘</w:t>
            </w:r>
          </w:p>
        </w:tc>
        <w:tc>
          <w:tcPr>
            <w:tcW w:w="1555" w:type="dxa"/>
            <w:shd w:val="clear" w:color="auto" w:fill="auto"/>
          </w:tcPr>
          <w:p w14:paraId="114C683E">
            <w:pPr>
              <w:pStyle w:val="180"/>
              <w:rPr>
                <w:rFonts w:ascii="Times New Roman"/>
              </w:rPr>
            </w:pPr>
            <w:r>
              <w:rPr>
                <w:rFonts w:ascii="Times New Roman"/>
              </w:rPr>
              <w:t>7.06</w:t>
            </w:r>
          </w:p>
        </w:tc>
        <w:tc>
          <w:tcPr>
            <w:tcW w:w="1556" w:type="dxa"/>
            <w:shd w:val="clear" w:color="auto" w:fill="auto"/>
          </w:tcPr>
          <w:p w14:paraId="3B47D968">
            <w:pPr>
              <w:pStyle w:val="180"/>
              <w:rPr>
                <w:rFonts w:ascii="Times New Roman"/>
              </w:rPr>
            </w:pPr>
            <w:r>
              <w:rPr>
                <w:rFonts w:ascii="Times New Roman"/>
              </w:rPr>
              <w:t>0.00</w:t>
            </w:r>
          </w:p>
        </w:tc>
        <w:tc>
          <w:tcPr>
            <w:tcW w:w="1556" w:type="dxa"/>
            <w:shd w:val="clear" w:color="auto" w:fill="auto"/>
          </w:tcPr>
          <w:p w14:paraId="4E6C3E2D">
            <w:pPr>
              <w:pStyle w:val="180"/>
              <w:rPr>
                <w:rFonts w:ascii="Times New Roman"/>
              </w:rPr>
            </w:pPr>
            <w:r>
              <w:rPr>
                <w:rFonts w:ascii="Times New Roman"/>
              </w:rPr>
              <w:t>10.08</w:t>
            </w:r>
          </w:p>
        </w:tc>
      </w:tr>
      <w:tr w14:paraId="0719E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9793E1F">
            <w:pPr>
              <w:pStyle w:val="180"/>
              <w:rPr>
                <w:rFonts w:ascii="Times New Roman"/>
              </w:rPr>
            </w:pPr>
          </w:p>
        </w:tc>
        <w:tc>
          <w:tcPr>
            <w:tcW w:w="1556" w:type="dxa"/>
            <w:vMerge w:val="restart"/>
            <w:shd w:val="clear" w:color="auto" w:fill="auto"/>
            <w:vAlign w:val="center"/>
          </w:tcPr>
          <w:p w14:paraId="5B50D944">
            <w:pPr>
              <w:pStyle w:val="180"/>
              <w:rPr>
                <w:rFonts w:ascii="Times New Roman"/>
              </w:rPr>
            </w:pPr>
            <w:r>
              <w:rPr>
                <w:rFonts w:ascii="Times New Roman"/>
              </w:rPr>
              <w:t>河流</w:t>
            </w:r>
          </w:p>
        </w:tc>
        <w:tc>
          <w:tcPr>
            <w:tcW w:w="1555" w:type="dxa"/>
            <w:shd w:val="clear" w:color="auto" w:fill="auto"/>
          </w:tcPr>
          <w:p w14:paraId="47ABF3C6">
            <w:pPr>
              <w:pStyle w:val="180"/>
              <w:rPr>
                <w:rFonts w:ascii="Times New Roman"/>
              </w:rPr>
            </w:pPr>
            <w:r>
              <w:rPr>
                <w:rFonts w:ascii="Times New Roman"/>
              </w:rPr>
              <w:t>河流</w:t>
            </w:r>
          </w:p>
        </w:tc>
        <w:tc>
          <w:tcPr>
            <w:tcW w:w="1555" w:type="dxa"/>
            <w:shd w:val="clear" w:color="auto" w:fill="auto"/>
          </w:tcPr>
          <w:p w14:paraId="2AB3C640">
            <w:pPr>
              <w:pStyle w:val="180"/>
              <w:rPr>
                <w:rFonts w:ascii="Times New Roman"/>
              </w:rPr>
            </w:pPr>
            <w:r>
              <w:rPr>
                <w:rFonts w:ascii="Times New Roman"/>
              </w:rPr>
              <w:t>7.06</w:t>
            </w:r>
          </w:p>
        </w:tc>
        <w:tc>
          <w:tcPr>
            <w:tcW w:w="1556" w:type="dxa"/>
            <w:shd w:val="clear" w:color="auto" w:fill="auto"/>
          </w:tcPr>
          <w:p w14:paraId="4DC95E7D">
            <w:pPr>
              <w:pStyle w:val="180"/>
              <w:rPr>
                <w:rFonts w:ascii="Times New Roman"/>
              </w:rPr>
            </w:pPr>
            <w:r>
              <w:rPr>
                <w:rFonts w:ascii="Times New Roman"/>
              </w:rPr>
              <w:t>0.00</w:t>
            </w:r>
          </w:p>
        </w:tc>
        <w:tc>
          <w:tcPr>
            <w:tcW w:w="1556" w:type="dxa"/>
            <w:shd w:val="clear" w:color="auto" w:fill="auto"/>
          </w:tcPr>
          <w:p w14:paraId="413AC810">
            <w:pPr>
              <w:pStyle w:val="180"/>
              <w:rPr>
                <w:rFonts w:ascii="Times New Roman"/>
              </w:rPr>
            </w:pPr>
            <w:r>
              <w:rPr>
                <w:rFonts w:ascii="Times New Roman"/>
              </w:rPr>
              <w:t>10.08</w:t>
            </w:r>
          </w:p>
        </w:tc>
      </w:tr>
      <w:tr w14:paraId="0F8C70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06F88D6E">
            <w:pPr>
              <w:pStyle w:val="180"/>
              <w:rPr>
                <w:rFonts w:ascii="Times New Roman"/>
              </w:rPr>
            </w:pPr>
          </w:p>
        </w:tc>
        <w:tc>
          <w:tcPr>
            <w:tcW w:w="1556" w:type="dxa"/>
            <w:vMerge w:val="continue"/>
            <w:shd w:val="clear" w:color="auto" w:fill="auto"/>
            <w:vAlign w:val="center"/>
          </w:tcPr>
          <w:p w14:paraId="08567687">
            <w:pPr>
              <w:pStyle w:val="180"/>
              <w:rPr>
                <w:rFonts w:ascii="Times New Roman"/>
              </w:rPr>
            </w:pPr>
          </w:p>
        </w:tc>
        <w:tc>
          <w:tcPr>
            <w:tcW w:w="1555" w:type="dxa"/>
            <w:shd w:val="clear" w:color="auto" w:fill="auto"/>
          </w:tcPr>
          <w:p w14:paraId="780DCA0B">
            <w:pPr>
              <w:pStyle w:val="180"/>
              <w:rPr>
                <w:rFonts w:ascii="Times New Roman"/>
              </w:rPr>
            </w:pPr>
            <w:r>
              <w:rPr>
                <w:rFonts w:ascii="Times New Roman"/>
              </w:rPr>
              <w:t>运河/水渠</w:t>
            </w:r>
          </w:p>
        </w:tc>
        <w:tc>
          <w:tcPr>
            <w:tcW w:w="1555" w:type="dxa"/>
            <w:shd w:val="clear" w:color="auto" w:fill="auto"/>
          </w:tcPr>
          <w:p w14:paraId="440D0042">
            <w:pPr>
              <w:pStyle w:val="180"/>
              <w:rPr>
                <w:rFonts w:ascii="Times New Roman"/>
              </w:rPr>
            </w:pPr>
            <w:r>
              <w:rPr>
                <w:rFonts w:ascii="Times New Roman"/>
              </w:rPr>
              <w:t>7.06</w:t>
            </w:r>
          </w:p>
        </w:tc>
        <w:tc>
          <w:tcPr>
            <w:tcW w:w="1556" w:type="dxa"/>
            <w:shd w:val="clear" w:color="auto" w:fill="auto"/>
          </w:tcPr>
          <w:p w14:paraId="41CFABFC">
            <w:pPr>
              <w:pStyle w:val="180"/>
              <w:rPr>
                <w:rFonts w:ascii="Times New Roman"/>
              </w:rPr>
            </w:pPr>
            <w:r>
              <w:rPr>
                <w:rFonts w:ascii="Times New Roman"/>
              </w:rPr>
              <w:t>0.00</w:t>
            </w:r>
          </w:p>
        </w:tc>
        <w:tc>
          <w:tcPr>
            <w:tcW w:w="1556" w:type="dxa"/>
            <w:shd w:val="clear" w:color="auto" w:fill="auto"/>
          </w:tcPr>
          <w:p w14:paraId="5705AB60">
            <w:pPr>
              <w:pStyle w:val="180"/>
              <w:rPr>
                <w:rFonts w:ascii="Times New Roman"/>
              </w:rPr>
            </w:pPr>
            <w:r>
              <w:rPr>
                <w:rFonts w:ascii="Times New Roman"/>
              </w:rPr>
              <w:t>10.08</w:t>
            </w:r>
          </w:p>
        </w:tc>
      </w:tr>
      <w:tr w14:paraId="7FDD8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19D7A86D">
            <w:pPr>
              <w:pStyle w:val="180"/>
              <w:rPr>
                <w:rFonts w:ascii="Times New Roman"/>
              </w:rPr>
            </w:pPr>
            <w:r>
              <w:rPr>
                <w:rFonts w:ascii="Times New Roman"/>
              </w:rPr>
              <w:t>农田生态系统</w:t>
            </w:r>
          </w:p>
        </w:tc>
        <w:tc>
          <w:tcPr>
            <w:tcW w:w="1556" w:type="dxa"/>
            <w:vMerge w:val="restart"/>
            <w:shd w:val="clear" w:color="auto" w:fill="auto"/>
            <w:vAlign w:val="center"/>
          </w:tcPr>
          <w:p w14:paraId="01652383">
            <w:pPr>
              <w:pStyle w:val="180"/>
              <w:rPr>
                <w:rFonts w:ascii="Times New Roman"/>
              </w:rPr>
            </w:pPr>
            <w:r>
              <w:rPr>
                <w:rFonts w:ascii="Times New Roman"/>
              </w:rPr>
              <w:t>耕地</w:t>
            </w:r>
          </w:p>
        </w:tc>
        <w:tc>
          <w:tcPr>
            <w:tcW w:w="1555" w:type="dxa"/>
            <w:shd w:val="clear" w:color="auto" w:fill="auto"/>
          </w:tcPr>
          <w:p w14:paraId="200FF7C3">
            <w:pPr>
              <w:pStyle w:val="180"/>
              <w:rPr>
                <w:rFonts w:ascii="Times New Roman"/>
              </w:rPr>
            </w:pPr>
            <w:r>
              <w:rPr>
                <w:rFonts w:ascii="Times New Roman"/>
              </w:rPr>
              <w:t>水田</w:t>
            </w:r>
          </w:p>
        </w:tc>
        <w:tc>
          <w:tcPr>
            <w:tcW w:w="1555" w:type="dxa"/>
            <w:shd w:val="clear" w:color="auto" w:fill="auto"/>
          </w:tcPr>
          <w:p w14:paraId="1FA0BCE6">
            <w:pPr>
              <w:pStyle w:val="180"/>
              <w:rPr>
                <w:rFonts w:ascii="Times New Roman"/>
              </w:rPr>
            </w:pPr>
            <w:r>
              <w:rPr>
                <w:rFonts w:ascii="Times New Roman"/>
              </w:rPr>
              <w:t>4.03</w:t>
            </w:r>
          </w:p>
        </w:tc>
        <w:tc>
          <w:tcPr>
            <w:tcW w:w="1556" w:type="dxa"/>
            <w:shd w:val="clear" w:color="auto" w:fill="auto"/>
          </w:tcPr>
          <w:p w14:paraId="747B865A">
            <w:pPr>
              <w:pStyle w:val="180"/>
              <w:rPr>
                <w:rFonts w:ascii="Times New Roman"/>
              </w:rPr>
            </w:pPr>
            <w:r>
              <w:rPr>
                <w:rFonts w:ascii="Times New Roman"/>
              </w:rPr>
              <w:t>2.75</w:t>
            </w:r>
          </w:p>
        </w:tc>
        <w:tc>
          <w:tcPr>
            <w:tcW w:w="1556" w:type="dxa"/>
            <w:shd w:val="clear" w:color="auto" w:fill="auto"/>
          </w:tcPr>
          <w:p w14:paraId="41DE1522">
            <w:pPr>
              <w:pStyle w:val="180"/>
              <w:rPr>
                <w:rFonts w:ascii="Times New Roman"/>
              </w:rPr>
            </w:pPr>
            <w:r>
              <w:rPr>
                <w:rFonts w:ascii="Times New Roman"/>
              </w:rPr>
              <w:t>8.87</w:t>
            </w:r>
          </w:p>
        </w:tc>
      </w:tr>
      <w:tr w14:paraId="38D23B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6FA73007">
            <w:pPr>
              <w:pStyle w:val="180"/>
              <w:rPr>
                <w:rFonts w:ascii="Times New Roman"/>
              </w:rPr>
            </w:pPr>
          </w:p>
        </w:tc>
        <w:tc>
          <w:tcPr>
            <w:tcW w:w="1556" w:type="dxa"/>
            <w:vMerge w:val="continue"/>
            <w:shd w:val="clear" w:color="auto" w:fill="auto"/>
            <w:vAlign w:val="center"/>
          </w:tcPr>
          <w:p w14:paraId="7BEA5E2C">
            <w:pPr>
              <w:pStyle w:val="180"/>
              <w:rPr>
                <w:rFonts w:ascii="Times New Roman"/>
              </w:rPr>
            </w:pPr>
          </w:p>
        </w:tc>
        <w:tc>
          <w:tcPr>
            <w:tcW w:w="1555" w:type="dxa"/>
            <w:shd w:val="clear" w:color="auto" w:fill="auto"/>
          </w:tcPr>
          <w:p w14:paraId="692BB1E5">
            <w:pPr>
              <w:pStyle w:val="180"/>
              <w:rPr>
                <w:rFonts w:ascii="Times New Roman"/>
              </w:rPr>
            </w:pPr>
            <w:r>
              <w:rPr>
                <w:rFonts w:ascii="Times New Roman"/>
              </w:rPr>
              <w:t>旱地</w:t>
            </w:r>
          </w:p>
        </w:tc>
        <w:tc>
          <w:tcPr>
            <w:tcW w:w="1555" w:type="dxa"/>
            <w:shd w:val="clear" w:color="auto" w:fill="auto"/>
          </w:tcPr>
          <w:p w14:paraId="4C549E65">
            <w:pPr>
              <w:pStyle w:val="180"/>
              <w:rPr>
                <w:rFonts w:ascii="Times New Roman"/>
              </w:rPr>
            </w:pPr>
            <w:r>
              <w:rPr>
                <w:rFonts w:ascii="Times New Roman"/>
              </w:rPr>
              <w:t>2.50</w:t>
            </w:r>
          </w:p>
        </w:tc>
        <w:tc>
          <w:tcPr>
            <w:tcW w:w="1556" w:type="dxa"/>
            <w:shd w:val="clear" w:color="auto" w:fill="auto"/>
          </w:tcPr>
          <w:p w14:paraId="654D5A5C">
            <w:pPr>
              <w:pStyle w:val="180"/>
              <w:rPr>
                <w:rFonts w:ascii="Times New Roman"/>
              </w:rPr>
            </w:pPr>
            <w:r>
              <w:rPr>
                <w:rFonts w:ascii="Times New Roman"/>
              </w:rPr>
              <w:t>1.57</w:t>
            </w:r>
          </w:p>
        </w:tc>
        <w:tc>
          <w:tcPr>
            <w:tcW w:w="1556" w:type="dxa"/>
            <w:shd w:val="clear" w:color="auto" w:fill="auto"/>
          </w:tcPr>
          <w:p w14:paraId="63907B2C">
            <w:pPr>
              <w:pStyle w:val="180"/>
              <w:rPr>
                <w:rFonts w:ascii="Times New Roman"/>
              </w:rPr>
            </w:pPr>
            <w:r>
              <w:rPr>
                <w:rFonts w:ascii="Times New Roman"/>
              </w:rPr>
              <w:t>8.41</w:t>
            </w:r>
          </w:p>
        </w:tc>
      </w:tr>
      <w:tr w14:paraId="4D382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74444227">
            <w:pPr>
              <w:pStyle w:val="180"/>
              <w:rPr>
                <w:rFonts w:ascii="Times New Roman"/>
              </w:rPr>
            </w:pPr>
          </w:p>
        </w:tc>
        <w:tc>
          <w:tcPr>
            <w:tcW w:w="1556" w:type="dxa"/>
            <w:vMerge w:val="restart"/>
            <w:shd w:val="clear" w:color="auto" w:fill="auto"/>
            <w:vAlign w:val="center"/>
          </w:tcPr>
          <w:p w14:paraId="79AAC481">
            <w:pPr>
              <w:pStyle w:val="180"/>
              <w:rPr>
                <w:rFonts w:ascii="Times New Roman"/>
              </w:rPr>
            </w:pPr>
            <w:r>
              <w:rPr>
                <w:rFonts w:ascii="Times New Roman"/>
              </w:rPr>
              <w:t>园地</w:t>
            </w:r>
          </w:p>
        </w:tc>
        <w:tc>
          <w:tcPr>
            <w:tcW w:w="1555" w:type="dxa"/>
            <w:shd w:val="clear" w:color="auto" w:fill="auto"/>
          </w:tcPr>
          <w:p w14:paraId="27419043">
            <w:pPr>
              <w:pStyle w:val="180"/>
              <w:rPr>
                <w:rFonts w:ascii="Times New Roman"/>
              </w:rPr>
            </w:pPr>
            <w:r>
              <w:rPr>
                <w:rFonts w:ascii="Times New Roman"/>
              </w:rPr>
              <w:t>乔木园地</w:t>
            </w:r>
          </w:p>
        </w:tc>
        <w:tc>
          <w:tcPr>
            <w:tcW w:w="1555" w:type="dxa"/>
            <w:shd w:val="clear" w:color="auto" w:fill="auto"/>
          </w:tcPr>
          <w:p w14:paraId="19481683">
            <w:pPr>
              <w:pStyle w:val="180"/>
              <w:rPr>
                <w:rFonts w:ascii="Times New Roman"/>
              </w:rPr>
            </w:pPr>
            <w:r>
              <w:rPr>
                <w:rFonts w:ascii="Times New Roman"/>
              </w:rPr>
              <w:t>3.38</w:t>
            </w:r>
          </w:p>
        </w:tc>
        <w:tc>
          <w:tcPr>
            <w:tcW w:w="1556" w:type="dxa"/>
            <w:shd w:val="clear" w:color="auto" w:fill="auto"/>
          </w:tcPr>
          <w:p w14:paraId="7D944D98">
            <w:pPr>
              <w:pStyle w:val="180"/>
              <w:rPr>
                <w:rFonts w:ascii="Times New Roman"/>
              </w:rPr>
            </w:pPr>
            <w:r>
              <w:rPr>
                <w:rFonts w:ascii="Times New Roman"/>
              </w:rPr>
              <w:t>2.56</w:t>
            </w:r>
          </w:p>
        </w:tc>
        <w:tc>
          <w:tcPr>
            <w:tcW w:w="1556" w:type="dxa"/>
            <w:shd w:val="clear" w:color="auto" w:fill="auto"/>
          </w:tcPr>
          <w:p w14:paraId="3D71AE4A">
            <w:pPr>
              <w:pStyle w:val="180"/>
              <w:rPr>
                <w:rFonts w:ascii="Times New Roman"/>
              </w:rPr>
            </w:pPr>
            <w:r>
              <w:rPr>
                <w:rFonts w:ascii="Times New Roman"/>
              </w:rPr>
              <w:t>8.41</w:t>
            </w:r>
          </w:p>
        </w:tc>
      </w:tr>
      <w:tr w14:paraId="505B3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7D3B23FF">
            <w:pPr>
              <w:pStyle w:val="180"/>
              <w:rPr>
                <w:rFonts w:ascii="Times New Roman"/>
              </w:rPr>
            </w:pPr>
          </w:p>
        </w:tc>
        <w:tc>
          <w:tcPr>
            <w:tcW w:w="1556" w:type="dxa"/>
            <w:vMerge w:val="continue"/>
            <w:shd w:val="clear" w:color="auto" w:fill="auto"/>
            <w:vAlign w:val="center"/>
          </w:tcPr>
          <w:p w14:paraId="60E0F687">
            <w:pPr>
              <w:pStyle w:val="180"/>
              <w:rPr>
                <w:rFonts w:ascii="Times New Roman"/>
              </w:rPr>
            </w:pPr>
          </w:p>
        </w:tc>
        <w:tc>
          <w:tcPr>
            <w:tcW w:w="1555" w:type="dxa"/>
            <w:shd w:val="clear" w:color="auto" w:fill="auto"/>
          </w:tcPr>
          <w:p w14:paraId="315E93DA">
            <w:pPr>
              <w:pStyle w:val="180"/>
              <w:rPr>
                <w:rFonts w:ascii="Times New Roman"/>
              </w:rPr>
            </w:pPr>
            <w:r>
              <w:rPr>
                <w:rFonts w:ascii="Times New Roman"/>
              </w:rPr>
              <w:t>灌木园地</w:t>
            </w:r>
          </w:p>
        </w:tc>
        <w:tc>
          <w:tcPr>
            <w:tcW w:w="1555" w:type="dxa"/>
            <w:shd w:val="clear" w:color="auto" w:fill="auto"/>
          </w:tcPr>
          <w:p w14:paraId="145AE0DF">
            <w:pPr>
              <w:pStyle w:val="180"/>
              <w:rPr>
                <w:rFonts w:ascii="Times New Roman"/>
              </w:rPr>
            </w:pPr>
            <w:r>
              <w:rPr>
                <w:rFonts w:ascii="Times New Roman"/>
              </w:rPr>
              <w:t>3.16</w:t>
            </w:r>
          </w:p>
        </w:tc>
        <w:tc>
          <w:tcPr>
            <w:tcW w:w="1556" w:type="dxa"/>
            <w:shd w:val="clear" w:color="auto" w:fill="auto"/>
          </w:tcPr>
          <w:p w14:paraId="7D719A35">
            <w:pPr>
              <w:pStyle w:val="180"/>
              <w:rPr>
                <w:rFonts w:ascii="Times New Roman"/>
              </w:rPr>
            </w:pPr>
            <w:r>
              <w:rPr>
                <w:rFonts w:ascii="Times New Roman"/>
              </w:rPr>
              <w:t>2.17</w:t>
            </w:r>
          </w:p>
        </w:tc>
        <w:tc>
          <w:tcPr>
            <w:tcW w:w="1556" w:type="dxa"/>
            <w:shd w:val="clear" w:color="auto" w:fill="auto"/>
          </w:tcPr>
          <w:p w14:paraId="0A35E33C">
            <w:pPr>
              <w:pStyle w:val="180"/>
              <w:rPr>
                <w:rFonts w:ascii="Times New Roman"/>
              </w:rPr>
            </w:pPr>
            <w:r>
              <w:rPr>
                <w:rFonts w:ascii="Times New Roman"/>
              </w:rPr>
              <w:t>6.17</w:t>
            </w:r>
          </w:p>
        </w:tc>
      </w:tr>
      <w:tr w14:paraId="476FD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restart"/>
            <w:shd w:val="clear" w:color="auto" w:fill="auto"/>
            <w:vAlign w:val="center"/>
          </w:tcPr>
          <w:p w14:paraId="55894710">
            <w:pPr>
              <w:pStyle w:val="180"/>
              <w:rPr>
                <w:rFonts w:ascii="Times New Roman"/>
              </w:rPr>
            </w:pPr>
            <w:r>
              <w:rPr>
                <w:rFonts w:ascii="Times New Roman"/>
              </w:rPr>
              <w:t>城市生态系统</w:t>
            </w:r>
          </w:p>
        </w:tc>
        <w:tc>
          <w:tcPr>
            <w:tcW w:w="1556" w:type="dxa"/>
            <w:vMerge w:val="restart"/>
            <w:shd w:val="clear" w:color="auto" w:fill="auto"/>
            <w:vAlign w:val="center"/>
          </w:tcPr>
          <w:p w14:paraId="0E782448">
            <w:pPr>
              <w:pStyle w:val="180"/>
              <w:rPr>
                <w:rFonts w:ascii="Times New Roman"/>
              </w:rPr>
            </w:pPr>
            <w:r>
              <w:rPr>
                <w:rFonts w:ascii="Times New Roman"/>
              </w:rPr>
              <w:t>城市绿地</w:t>
            </w:r>
          </w:p>
        </w:tc>
        <w:tc>
          <w:tcPr>
            <w:tcW w:w="1555" w:type="dxa"/>
            <w:shd w:val="clear" w:color="auto" w:fill="auto"/>
          </w:tcPr>
          <w:p w14:paraId="32148E1D">
            <w:pPr>
              <w:pStyle w:val="180"/>
              <w:rPr>
                <w:rFonts w:ascii="Times New Roman"/>
              </w:rPr>
            </w:pPr>
            <w:r>
              <w:rPr>
                <w:rFonts w:ascii="Times New Roman"/>
              </w:rPr>
              <w:t>乔木绿地</w:t>
            </w:r>
          </w:p>
        </w:tc>
        <w:tc>
          <w:tcPr>
            <w:tcW w:w="1555" w:type="dxa"/>
            <w:shd w:val="clear" w:color="auto" w:fill="auto"/>
          </w:tcPr>
          <w:p w14:paraId="599CAB9A">
            <w:pPr>
              <w:pStyle w:val="180"/>
              <w:rPr>
                <w:rFonts w:ascii="Times New Roman"/>
              </w:rPr>
            </w:pPr>
            <w:r>
              <w:rPr>
                <w:rFonts w:ascii="Times New Roman"/>
              </w:rPr>
              <w:t>3.60</w:t>
            </w:r>
          </w:p>
        </w:tc>
        <w:tc>
          <w:tcPr>
            <w:tcW w:w="1556" w:type="dxa"/>
            <w:shd w:val="clear" w:color="auto" w:fill="auto"/>
          </w:tcPr>
          <w:p w14:paraId="6A700E35">
            <w:pPr>
              <w:pStyle w:val="180"/>
              <w:rPr>
                <w:rFonts w:ascii="Times New Roman"/>
              </w:rPr>
            </w:pPr>
            <w:r>
              <w:rPr>
                <w:rFonts w:ascii="Times New Roman"/>
              </w:rPr>
              <w:t>2.26</w:t>
            </w:r>
          </w:p>
        </w:tc>
        <w:tc>
          <w:tcPr>
            <w:tcW w:w="1556" w:type="dxa"/>
            <w:shd w:val="clear" w:color="auto" w:fill="auto"/>
          </w:tcPr>
          <w:p w14:paraId="67DDEA3B">
            <w:pPr>
              <w:pStyle w:val="180"/>
              <w:rPr>
                <w:rFonts w:ascii="Times New Roman"/>
              </w:rPr>
            </w:pPr>
            <w:r>
              <w:rPr>
                <w:rFonts w:ascii="Times New Roman"/>
              </w:rPr>
              <w:t>10.76</w:t>
            </w:r>
          </w:p>
        </w:tc>
      </w:tr>
      <w:tr w14:paraId="3F6B6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28AF7761">
            <w:pPr>
              <w:pStyle w:val="180"/>
              <w:rPr>
                <w:rFonts w:ascii="Times New Roman"/>
              </w:rPr>
            </w:pPr>
          </w:p>
        </w:tc>
        <w:tc>
          <w:tcPr>
            <w:tcW w:w="1556" w:type="dxa"/>
            <w:vMerge w:val="continue"/>
            <w:shd w:val="clear" w:color="auto" w:fill="auto"/>
            <w:vAlign w:val="center"/>
          </w:tcPr>
          <w:p w14:paraId="6E8399CE">
            <w:pPr>
              <w:pStyle w:val="180"/>
              <w:rPr>
                <w:rFonts w:ascii="Times New Roman"/>
              </w:rPr>
            </w:pPr>
          </w:p>
        </w:tc>
        <w:tc>
          <w:tcPr>
            <w:tcW w:w="1555" w:type="dxa"/>
            <w:shd w:val="clear" w:color="auto" w:fill="auto"/>
          </w:tcPr>
          <w:p w14:paraId="49B05E4F">
            <w:pPr>
              <w:pStyle w:val="180"/>
              <w:rPr>
                <w:rFonts w:ascii="Times New Roman"/>
              </w:rPr>
            </w:pPr>
            <w:r>
              <w:rPr>
                <w:rFonts w:ascii="Times New Roman"/>
              </w:rPr>
              <w:t>灌木绿地</w:t>
            </w:r>
          </w:p>
        </w:tc>
        <w:tc>
          <w:tcPr>
            <w:tcW w:w="1555" w:type="dxa"/>
            <w:shd w:val="clear" w:color="auto" w:fill="auto"/>
          </w:tcPr>
          <w:p w14:paraId="0E1EDAE3">
            <w:pPr>
              <w:pStyle w:val="180"/>
              <w:rPr>
                <w:rFonts w:ascii="Times New Roman"/>
              </w:rPr>
            </w:pPr>
            <w:r>
              <w:rPr>
                <w:rFonts w:ascii="Times New Roman"/>
              </w:rPr>
              <w:t>2.81</w:t>
            </w:r>
          </w:p>
        </w:tc>
        <w:tc>
          <w:tcPr>
            <w:tcW w:w="1556" w:type="dxa"/>
            <w:shd w:val="clear" w:color="auto" w:fill="auto"/>
          </w:tcPr>
          <w:p w14:paraId="50BFF64E">
            <w:pPr>
              <w:pStyle w:val="180"/>
              <w:rPr>
                <w:rFonts w:ascii="Times New Roman"/>
              </w:rPr>
            </w:pPr>
            <w:r>
              <w:rPr>
                <w:rFonts w:ascii="Times New Roman"/>
              </w:rPr>
              <w:t>1.75</w:t>
            </w:r>
          </w:p>
        </w:tc>
        <w:tc>
          <w:tcPr>
            <w:tcW w:w="1556" w:type="dxa"/>
            <w:shd w:val="clear" w:color="auto" w:fill="auto"/>
          </w:tcPr>
          <w:p w14:paraId="6F58DEE2">
            <w:pPr>
              <w:pStyle w:val="180"/>
              <w:rPr>
                <w:rFonts w:ascii="Times New Roman"/>
              </w:rPr>
            </w:pPr>
            <w:r>
              <w:rPr>
                <w:rFonts w:ascii="Times New Roman"/>
              </w:rPr>
              <w:t>7.93</w:t>
            </w:r>
          </w:p>
        </w:tc>
      </w:tr>
      <w:tr w14:paraId="4CACD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683C6EB">
            <w:pPr>
              <w:pStyle w:val="180"/>
              <w:rPr>
                <w:rFonts w:ascii="Times New Roman"/>
              </w:rPr>
            </w:pPr>
          </w:p>
        </w:tc>
        <w:tc>
          <w:tcPr>
            <w:tcW w:w="1556" w:type="dxa"/>
            <w:vMerge w:val="continue"/>
            <w:shd w:val="clear" w:color="auto" w:fill="auto"/>
            <w:vAlign w:val="center"/>
          </w:tcPr>
          <w:p w14:paraId="5872D314">
            <w:pPr>
              <w:pStyle w:val="180"/>
              <w:rPr>
                <w:rFonts w:ascii="Times New Roman"/>
              </w:rPr>
            </w:pPr>
          </w:p>
        </w:tc>
        <w:tc>
          <w:tcPr>
            <w:tcW w:w="1555" w:type="dxa"/>
            <w:shd w:val="clear" w:color="auto" w:fill="auto"/>
          </w:tcPr>
          <w:p w14:paraId="48187876">
            <w:pPr>
              <w:pStyle w:val="180"/>
              <w:rPr>
                <w:rFonts w:ascii="Times New Roman"/>
              </w:rPr>
            </w:pPr>
            <w:r>
              <w:rPr>
                <w:rFonts w:ascii="Times New Roman"/>
              </w:rPr>
              <w:t>草本绿地</w:t>
            </w:r>
          </w:p>
        </w:tc>
        <w:tc>
          <w:tcPr>
            <w:tcW w:w="1555" w:type="dxa"/>
            <w:shd w:val="clear" w:color="auto" w:fill="auto"/>
          </w:tcPr>
          <w:p w14:paraId="6DD22AAB">
            <w:pPr>
              <w:pStyle w:val="180"/>
              <w:rPr>
                <w:rFonts w:ascii="Times New Roman"/>
              </w:rPr>
            </w:pPr>
            <w:r>
              <w:rPr>
                <w:rFonts w:ascii="Times New Roman"/>
              </w:rPr>
              <w:t>2.54</w:t>
            </w:r>
          </w:p>
        </w:tc>
        <w:tc>
          <w:tcPr>
            <w:tcW w:w="1556" w:type="dxa"/>
            <w:shd w:val="clear" w:color="auto" w:fill="auto"/>
          </w:tcPr>
          <w:p w14:paraId="32BBE03A">
            <w:pPr>
              <w:pStyle w:val="180"/>
              <w:rPr>
                <w:rFonts w:ascii="Times New Roman"/>
              </w:rPr>
            </w:pPr>
            <w:r>
              <w:rPr>
                <w:rFonts w:ascii="Times New Roman"/>
              </w:rPr>
              <w:t>1.52</w:t>
            </w:r>
          </w:p>
        </w:tc>
        <w:tc>
          <w:tcPr>
            <w:tcW w:w="1556" w:type="dxa"/>
            <w:shd w:val="clear" w:color="auto" w:fill="auto"/>
          </w:tcPr>
          <w:p w14:paraId="6C95DF85">
            <w:pPr>
              <w:pStyle w:val="180"/>
              <w:rPr>
                <w:rFonts w:ascii="Times New Roman"/>
              </w:rPr>
            </w:pPr>
            <w:r>
              <w:rPr>
                <w:rFonts w:ascii="Times New Roman"/>
              </w:rPr>
              <w:t>7.18</w:t>
            </w:r>
          </w:p>
        </w:tc>
      </w:tr>
    </w:tbl>
    <w:p w14:paraId="1D002396">
      <w:pPr>
        <w:pStyle w:val="80"/>
        <w:spacing w:before="156" w:after="156"/>
        <w:rPr>
          <w:rFonts w:ascii="Times New Roman"/>
        </w:rPr>
      </w:pPr>
      <w:bookmarkStart w:id="178" w:name="_Toc179674323"/>
      <w:bookmarkStart w:id="179" w:name="_Toc203399482"/>
      <w:bookmarkStart w:id="180" w:name="_Toc192077524"/>
      <w:bookmarkStart w:id="181" w:name="_Toc203399086"/>
      <w:r>
        <w:rPr>
          <w:rFonts w:ascii="Times New Roman"/>
        </w:rPr>
        <w:t>水质净化服务核算主要参数</w:t>
      </w:r>
      <w:bookmarkEnd w:id="178"/>
      <w:bookmarkEnd w:id="179"/>
      <w:bookmarkEnd w:id="180"/>
      <w:bookmarkEnd w:id="181"/>
    </w:p>
    <w:p w14:paraId="2961FB13">
      <w:pPr>
        <w:pStyle w:val="58"/>
        <w:ind w:firstLine="420"/>
        <w:rPr>
          <w:rFonts w:ascii="Times New Roman"/>
        </w:rPr>
      </w:pPr>
      <w:r>
        <w:rPr>
          <w:rFonts w:ascii="Times New Roman"/>
        </w:rPr>
        <w:t>水质净化服务实物量核算中，湿地和城市水体空间对各类水体污染物的单位面积净化量参数见表C.</w:t>
      </w:r>
      <w:r>
        <w:rPr>
          <w:rFonts w:hint="eastAsia" w:ascii="Times New Roman"/>
        </w:rPr>
        <w:t>10</w:t>
      </w:r>
      <w:r>
        <w:rPr>
          <w:rFonts w:ascii="Times New Roman"/>
        </w:rPr>
        <w:t>。</w:t>
      </w:r>
    </w:p>
    <w:p w14:paraId="2EE9C99E">
      <w:pPr>
        <w:pStyle w:val="79"/>
        <w:numPr>
          <w:ilvl w:val="0"/>
          <w:numId w:val="0"/>
        </w:numPr>
        <w:spacing w:before="156" w:after="156"/>
        <w:rPr>
          <w:rFonts w:ascii="Times New Roman"/>
        </w:rPr>
      </w:pPr>
      <w:r>
        <w:rPr>
          <w:rFonts w:ascii="Times New Roman"/>
        </w:rPr>
        <w:t>表C.</w:t>
      </w:r>
      <w:r>
        <w:rPr>
          <w:rFonts w:hint="eastAsia" w:ascii="Times New Roman"/>
        </w:rPr>
        <w:t>10</w:t>
      </w:r>
      <w:r>
        <w:rPr>
          <w:rFonts w:ascii="Times New Roman"/>
        </w:rPr>
        <w:t>湿地和城市水体空间对各类水体污染物净化量参考值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AB83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14:paraId="59E87156">
            <w:pPr>
              <w:pStyle w:val="180"/>
              <w:rPr>
                <w:rFonts w:ascii="Times New Roman"/>
              </w:rPr>
            </w:pPr>
            <w:r>
              <w:rPr>
                <w:rFonts w:ascii="Times New Roman"/>
              </w:rPr>
              <w:t>污染物类型</w:t>
            </w:r>
          </w:p>
        </w:tc>
        <w:tc>
          <w:tcPr>
            <w:tcW w:w="4667" w:type="dxa"/>
            <w:tcBorders>
              <w:top w:val="single" w:color="auto" w:sz="8" w:space="0"/>
              <w:bottom w:val="single" w:color="auto" w:sz="8" w:space="0"/>
            </w:tcBorders>
            <w:shd w:val="clear" w:color="auto" w:fill="auto"/>
          </w:tcPr>
          <w:p w14:paraId="4550E043">
            <w:pPr>
              <w:pStyle w:val="180"/>
              <w:rPr>
                <w:rFonts w:ascii="Times New Roman"/>
              </w:rPr>
            </w:pPr>
            <w:r>
              <w:rPr>
                <w:rFonts w:ascii="Times New Roman"/>
              </w:rPr>
              <w:t>净化量（t/（km</w:t>
            </w:r>
            <w:r>
              <w:rPr>
                <w:rFonts w:ascii="Times New Roman"/>
                <w:vertAlign w:val="superscript"/>
              </w:rPr>
              <w:t>2</w:t>
            </w:r>
            <w:r>
              <w:rPr>
                <w:rFonts w:ascii="Times New Roman"/>
              </w:rPr>
              <w:t>·a））</w:t>
            </w:r>
          </w:p>
        </w:tc>
      </w:tr>
      <w:tr w14:paraId="27B0C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14:paraId="178A2800">
            <w:pPr>
              <w:pStyle w:val="180"/>
              <w:rPr>
                <w:rFonts w:ascii="Times New Roman"/>
              </w:rPr>
            </w:pPr>
            <w:r>
              <w:rPr>
                <w:rFonts w:ascii="Times New Roman"/>
              </w:rPr>
              <w:t>化学需氧量</w:t>
            </w:r>
          </w:p>
        </w:tc>
        <w:tc>
          <w:tcPr>
            <w:tcW w:w="4667" w:type="dxa"/>
            <w:tcBorders>
              <w:top w:val="single" w:color="auto" w:sz="8" w:space="0"/>
            </w:tcBorders>
            <w:shd w:val="clear" w:color="auto" w:fill="auto"/>
          </w:tcPr>
          <w:p w14:paraId="2A2D5208">
            <w:pPr>
              <w:pStyle w:val="180"/>
              <w:rPr>
                <w:rFonts w:ascii="Times New Roman"/>
              </w:rPr>
            </w:pPr>
            <w:r>
              <w:rPr>
                <w:rFonts w:ascii="Times New Roman"/>
              </w:rPr>
              <w:t>110.43</w:t>
            </w:r>
          </w:p>
        </w:tc>
      </w:tr>
      <w:tr w14:paraId="298D2D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4311D2C1">
            <w:pPr>
              <w:pStyle w:val="180"/>
              <w:rPr>
                <w:rFonts w:ascii="Times New Roman"/>
              </w:rPr>
            </w:pPr>
            <w:r>
              <w:rPr>
                <w:rFonts w:ascii="Times New Roman"/>
              </w:rPr>
              <w:t>总氮</w:t>
            </w:r>
          </w:p>
        </w:tc>
        <w:tc>
          <w:tcPr>
            <w:tcW w:w="4667" w:type="dxa"/>
            <w:shd w:val="clear" w:color="auto" w:fill="auto"/>
          </w:tcPr>
          <w:p w14:paraId="1DCF0205">
            <w:pPr>
              <w:pStyle w:val="180"/>
              <w:rPr>
                <w:rFonts w:ascii="Times New Roman"/>
              </w:rPr>
            </w:pPr>
            <w:r>
              <w:rPr>
                <w:rFonts w:ascii="Times New Roman"/>
              </w:rPr>
              <w:t>8.56</w:t>
            </w:r>
          </w:p>
        </w:tc>
      </w:tr>
      <w:tr w14:paraId="4D6F06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281247CA">
            <w:pPr>
              <w:pStyle w:val="180"/>
              <w:rPr>
                <w:rFonts w:ascii="Times New Roman"/>
              </w:rPr>
            </w:pPr>
            <w:r>
              <w:rPr>
                <w:rFonts w:ascii="Times New Roman"/>
              </w:rPr>
              <w:t>总磷</w:t>
            </w:r>
          </w:p>
        </w:tc>
        <w:tc>
          <w:tcPr>
            <w:tcW w:w="4667" w:type="dxa"/>
            <w:shd w:val="clear" w:color="auto" w:fill="auto"/>
          </w:tcPr>
          <w:p w14:paraId="6058E5A6">
            <w:pPr>
              <w:pStyle w:val="180"/>
              <w:rPr>
                <w:rFonts w:ascii="Times New Roman"/>
              </w:rPr>
            </w:pPr>
            <w:r>
              <w:rPr>
                <w:rFonts w:ascii="Times New Roman"/>
              </w:rPr>
              <w:t>8.56</w:t>
            </w:r>
          </w:p>
        </w:tc>
      </w:tr>
    </w:tbl>
    <w:p w14:paraId="37504D4C">
      <w:pPr>
        <w:pStyle w:val="80"/>
        <w:spacing w:before="156" w:after="156"/>
        <w:rPr>
          <w:rFonts w:ascii="Times New Roman"/>
        </w:rPr>
      </w:pPr>
      <w:bookmarkStart w:id="182" w:name="_Toc203399483"/>
      <w:bookmarkStart w:id="183" w:name="_Toc192077525"/>
      <w:bookmarkStart w:id="184" w:name="_Toc203399087"/>
      <w:bookmarkStart w:id="185" w:name="_Toc179674324"/>
      <w:r>
        <w:rPr>
          <w:rFonts w:ascii="Times New Roman"/>
        </w:rPr>
        <w:t>固碳服务核算主要参数</w:t>
      </w:r>
      <w:bookmarkEnd w:id="182"/>
      <w:bookmarkEnd w:id="183"/>
      <w:bookmarkEnd w:id="184"/>
      <w:bookmarkEnd w:id="185"/>
    </w:p>
    <w:p w14:paraId="1EB23A59">
      <w:pPr>
        <w:pStyle w:val="81"/>
        <w:spacing w:before="156" w:after="156"/>
        <w:rPr>
          <w:rFonts w:ascii="Times New Roman"/>
        </w:rPr>
      </w:pPr>
      <w:r>
        <w:rPr>
          <w:rFonts w:ascii="Times New Roman"/>
        </w:rPr>
        <w:t>森林生态系统固碳速率</w:t>
      </w:r>
    </w:p>
    <w:p w14:paraId="367524BA">
      <w:pPr>
        <w:pStyle w:val="58"/>
        <w:ind w:firstLine="420"/>
        <w:rPr>
          <w:rFonts w:ascii="Times New Roman"/>
        </w:rPr>
      </w:pPr>
      <w:r>
        <w:rPr>
          <w:rFonts w:ascii="Times New Roman"/>
        </w:rPr>
        <w:t>森林生态系统（含灌木林）植被固碳速率和土壤固碳速率，宜由森林清查数据计算获取。在缺少清查数据时，也可参考表C.1</w:t>
      </w:r>
      <w:r>
        <w:rPr>
          <w:rFonts w:hint="eastAsia" w:ascii="Times New Roman"/>
        </w:rPr>
        <w:t>1</w:t>
      </w:r>
      <w:r>
        <w:rPr>
          <w:rFonts w:ascii="Times New Roman"/>
        </w:rPr>
        <w:t>。</w:t>
      </w:r>
    </w:p>
    <w:p w14:paraId="470EB67B">
      <w:pPr>
        <w:pStyle w:val="79"/>
        <w:numPr>
          <w:ilvl w:val="0"/>
          <w:numId w:val="0"/>
        </w:numPr>
        <w:spacing w:before="156" w:after="156"/>
        <w:rPr>
          <w:rFonts w:ascii="Times New Roman"/>
        </w:rPr>
      </w:pPr>
      <w:r>
        <w:rPr>
          <w:rFonts w:ascii="Times New Roman"/>
        </w:rPr>
        <w:t>表C.1</w:t>
      </w:r>
      <w:r>
        <w:rPr>
          <w:rFonts w:hint="eastAsia" w:ascii="Times New Roman"/>
        </w:rPr>
        <w:t>1</w:t>
      </w:r>
      <w:r>
        <w:rPr>
          <w:rFonts w:ascii="Times New Roman"/>
        </w:rPr>
        <w:t>森林生态系统固碳速率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3118"/>
        <w:gridCol w:w="2120"/>
        <w:gridCol w:w="2121"/>
      </w:tblGrid>
      <w:tr w14:paraId="0C4DBB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14:paraId="1A7B6E65">
            <w:pPr>
              <w:pStyle w:val="180"/>
              <w:rPr>
                <w:rFonts w:ascii="Times New Roman"/>
              </w:rPr>
            </w:pPr>
            <w:r>
              <w:rPr>
                <w:rFonts w:ascii="Times New Roman"/>
              </w:rPr>
              <w:t>安徽省</w:t>
            </w:r>
          </w:p>
        </w:tc>
        <w:tc>
          <w:tcPr>
            <w:tcW w:w="3118" w:type="dxa"/>
            <w:tcBorders>
              <w:top w:val="single" w:color="auto" w:sz="8" w:space="0"/>
              <w:bottom w:val="single" w:color="auto" w:sz="8" w:space="0"/>
            </w:tcBorders>
            <w:shd w:val="clear" w:color="auto" w:fill="auto"/>
            <w:vAlign w:val="center"/>
          </w:tcPr>
          <w:p w14:paraId="0C46C6C7">
            <w:pPr>
              <w:pStyle w:val="180"/>
              <w:rPr>
                <w:rFonts w:ascii="Times New Roman"/>
              </w:rPr>
            </w:pPr>
            <w:r>
              <w:rPr>
                <w:rFonts w:ascii="Times New Roman"/>
              </w:rPr>
              <w:t>分区</w:t>
            </w:r>
          </w:p>
        </w:tc>
        <w:tc>
          <w:tcPr>
            <w:tcW w:w="2120" w:type="dxa"/>
            <w:tcBorders>
              <w:top w:val="single" w:color="auto" w:sz="8" w:space="0"/>
              <w:bottom w:val="single" w:color="auto" w:sz="8" w:space="0"/>
            </w:tcBorders>
            <w:shd w:val="clear" w:color="auto" w:fill="auto"/>
          </w:tcPr>
          <w:p w14:paraId="1244689C">
            <w:pPr>
              <w:pStyle w:val="180"/>
              <w:rPr>
                <w:rFonts w:ascii="Times New Roman"/>
              </w:rPr>
            </w:pPr>
            <w:r>
              <w:rPr>
                <w:rFonts w:ascii="Times New Roman"/>
              </w:rPr>
              <w:t>森林植被固碳速率</w:t>
            </w:r>
          </w:p>
          <w:p w14:paraId="656DD181">
            <w:pPr>
              <w:pStyle w:val="180"/>
              <w:rPr>
                <w:rFonts w:ascii="Times New Roman"/>
                <w:b/>
              </w:rPr>
            </w:pPr>
            <w:r>
              <w:rPr>
                <w:rFonts w:ascii="Times New Roman"/>
              </w:rPr>
              <w:t>tC/（hm</w:t>
            </w:r>
            <w:r>
              <w:rPr>
                <w:rFonts w:ascii="Times New Roman"/>
                <w:vertAlign w:val="superscript"/>
              </w:rPr>
              <w:t>2</w:t>
            </w:r>
            <w:r>
              <w:rPr>
                <w:rFonts w:ascii="Times New Roman"/>
              </w:rPr>
              <w:t>·a）</w:t>
            </w:r>
          </w:p>
        </w:tc>
        <w:tc>
          <w:tcPr>
            <w:tcW w:w="2121" w:type="dxa"/>
            <w:tcBorders>
              <w:top w:val="single" w:color="auto" w:sz="8" w:space="0"/>
              <w:bottom w:val="single" w:color="auto" w:sz="8" w:space="0"/>
            </w:tcBorders>
            <w:shd w:val="clear" w:color="auto" w:fill="auto"/>
          </w:tcPr>
          <w:p w14:paraId="410B41D7">
            <w:pPr>
              <w:pStyle w:val="180"/>
              <w:rPr>
                <w:rFonts w:ascii="Times New Roman"/>
              </w:rPr>
            </w:pPr>
            <w:r>
              <w:rPr>
                <w:rFonts w:ascii="Times New Roman"/>
              </w:rPr>
              <w:t>森林土壤固碳速率</w:t>
            </w:r>
          </w:p>
          <w:p w14:paraId="67E9B83C">
            <w:pPr>
              <w:pStyle w:val="180"/>
              <w:rPr>
                <w:rFonts w:ascii="Times New Roman"/>
                <w:b/>
              </w:rPr>
            </w:pPr>
            <w:r>
              <w:rPr>
                <w:rFonts w:ascii="Times New Roman"/>
              </w:rPr>
              <w:t>tC/（hm</w:t>
            </w:r>
            <w:r>
              <w:rPr>
                <w:rFonts w:ascii="Times New Roman"/>
                <w:vertAlign w:val="superscript"/>
              </w:rPr>
              <w:t>2</w:t>
            </w:r>
            <w:r>
              <w:rPr>
                <w:rFonts w:ascii="Times New Roman"/>
              </w:rPr>
              <w:t>·a）</w:t>
            </w:r>
          </w:p>
        </w:tc>
      </w:tr>
      <w:tr w14:paraId="0990D1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shd w:val="clear" w:color="auto" w:fill="auto"/>
            <w:vAlign w:val="center"/>
          </w:tcPr>
          <w:p w14:paraId="1D20DD54">
            <w:pPr>
              <w:pStyle w:val="180"/>
              <w:rPr>
                <w:rFonts w:ascii="Times New Roman"/>
              </w:rPr>
            </w:pPr>
            <w:r>
              <w:rPr>
                <w:rFonts w:ascii="Times New Roman"/>
              </w:rPr>
              <w:t>淮河以北地区</w:t>
            </w:r>
          </w:p>
        </w:tc>
        <w:tc>
          <w:tcPr>
            <w:tcW w:w="3118" w:type="dxa"/>
            <w:tcBorders>
              <w:top w:val="single" w:color="auto" w:sz="8" w:space="0"/>
            </w:tcBorders>
            <w:shd w:val="clear" w:color="auto" w:fill="auto"/>
          </w:tcPr>
          <w:p w14:paraId="10D78F79">
            <w:pPr>
              <w:pStyle w:val="180"/>
              <w:rPr>
                <w:rFonts w:ascii="Times New Roman"/>
              </w:rPr>
            </w:pPr>
            <w:r>
              <w:rPr>
                <w:rFonts w:ascii="Times New Roman"/>
              </w:rPr>
              <w:t>暖温带南部落叶栎林地带</w:t>
            </w:r>
          </w:p>
        </w:tc>
        <w:tc>
          <w:tcPr>
            <w:tcW w:w="2120" w:type="dxa"/>
            <w:tcBorders>
              <w:top w:val="single" w:color="auto" w:sz="8" w:space="0"/>
            </w:tcBorders>
            <w:shd w:val="clear" w:color="auto" w:fill="auto"/>
            <w:vAlign w:val="center"/>
          </w:tcPr>
          <w:p w14:paraId="38A7D206">
            <w:pPr>
              <w:pStyle w:val="180"/>
              <w:rPr>
                <w:rFonts w:ascii="Times New Roman"/>
              </w:rPr>
            </w:pPr>
            <w:r>
              <w:rPr>
                <w:rFonts w:ascii="Times New Roman"/>
              </w:rPr>
              <w:t>0.996</w:t>
            </w:r>
          </w:p>
        </w:tc>
        <w:tc>
          <w:tcPr>
            <w:tcW w:w="2121" w:type="dxa"/>
            <w:tcBorders>
              <w:top w:val="single" w:color="auto" w:sz="8" w:space="0"/>
            </w:tcBorders>
            <w:shd w:val="clear" w:color="auto" w:fill="auto"/>
            <w:vAlign w:val="center"/>
          </w:tcPr>
          <w:p w14:paraId="19310B72">
            <w:pPr>
              <w:pStyle w:val="180"/>
              <w:rPr>
                <w:rFonts w:ascii="Times New Roman"/>
              </w:rPr>
            </w:pPr>
            <w:r>
              <w:rPr>
                <w:rFonts w:ascii="Times New Roman"/>
              </w:rPr>
              <w:t>0.378</w:t>
            </w:r>
          </w:p>
        </w:tc>
      </w:tr>
      <w:tr w14:paraId="4CE455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vAlign w:val="center"/>
          </w:tcPr>
          <w:p w14:paraId="13AFF7BA">
            <w:pPr>
              <w:pStyle w:val="180"/>
              <w:rPr>
                <w:rFonts w:ascii="Times New Roman"/>
              </w:rPr>
            </w:pPr>
            <w:r>
              <w:rPr>
                <w:rFonts w:ascii="Times New Roman"/>
              </w:rPr>
              <w:t>淮河以南地区</w:t>
            </w:r>
          </w:p>
        </w:tc>
        <w:tc>
          <w:tcPr>
            <w:tcW w:w="3118" w:type="dxa"/>
            <w:shd w:val="clear" w:color="auto" w:fill="auto"/>
          </w:tcPr>
          <w:p w14:paraId="60BF498C">
            <w:pPr>
              <w:pStyle w:val="180"/>
              <w:rPr>
                <w:rFonts w:ascii="Times New Roman"/>
              </w:rPr>
            </w:pPr>
            <w:r>
              <w:rPr>
                <w:rFonts w:ascii="Times New Roman"/>
              </w:rPr>
              <w:t>北亚热带落叶常绿阔叶林混交林地带</w:t>
            </w:r>
          </w:p>
        </w:tc>
        <w:tc>
          <w:tcPr>
            <w:tcW w:w="2120" w:type="dxa"/>
            <w:shd w:val="clear" w:color="auto" w:fill="auto"/>
            <w:vAlign w:val="center"/>
          </w:tcPr>
          <w:p w14:paraId="25757BCB">
            <w:pPr>
              <w:pStyle w:val="180"/>
              <w:rPr>
                <w:rFonts w:ascii="Times New Roman"/>
              </w:rPr>
            </w:pPr>
            <w:r>
              <w:rPr>
                <w:rFonts w:ascii="Times New Roman"/>
              </w:rPr>
              <w:t>0.870</w:t>
            </w:r>
          </w:p>
        </w:tc>
        <w:tc>
          <w:tcPr>
            <w:tcW w:w="2121" w:type="dxa"/>
            <w:shd w:val="clear" w:color="auto" w:fill="auto"/>
            <w:vAlign w:val="center"/>
          </w:tcPr>
          <w:p w14:paraId="271ADEDC">
            <w:pPr>
              <w:pStyle w:val="180"/>
              <w:rPr>
                <w:rFonts w:ascii="Times New Roman"/>
              </w:rPr>
            </w:pPr>
            <w:r>
              <w:rPr>
                <w:rFonts w:ascii="Times New Roman"/>
              </w:rPr>
              <w:t>0.384</w:t>
            </w:r>
          </w:p>
        </w:tc>
      </w:tr>
    </w:tbl>
    <w:p w14:paraId="6EB7605A">
      <w:pPr>
        <w:pStyle w:val="81"/>
        <w:spacing w:before="156" w:after="156"/>
        <w:rPr>
          <w:rFonts w:ascii="Times New Roman"/>
        </w:rPr>
      </w:pPr>
      <w:r>
        <w:rPr>
          <w:rFonts w:ascii="Times New Roman"/>
        </w:rPr>
        <w:t>草地生态系统土壤固碳速率</w:t>
      </w:r>
    </w:p>
    <w:p w14:paraId="0BF857BB">
      <w:pPr>
        <w:pStyle w:val="58"/>
        <w:ind w:firstLine="420"/>
        <w:rPr>
          <w:rFonts w:ascii="Times New Roman"/>
        </w:rPr>
      </w:pPr>
      <w:r>
        <w:rPr>
          <w:rFonts w:ascii="Times New Roman"/>
        </w:rPr>
        <w:t>草地生态系统固碳速率，可参考表C.1</w:t>
      </w:r>
      <w:r>
        <w:rPr>
          <w:rFonts w:hint="eastAsia" w:ascii="Times New Roman"/>
        </w:rPr>
        <w:t>2</w:t>
      </w:r>
      <w:r>
        <w:rPr>
          <w:rFonts w:ascii="Times New Roman"/>
        </w:rPr>
        <w:t>。</w:t>
      </w:r>
    </w:p>
    <w:p w14:paraId="514A5E4D">
      <w:pPr>
        <w:pStyle w:val="79"/>
        <w:numPr>
          <w:ilvl w:val="0"/>
          <w:numId w:val="0"/>
        </w:numPr>
        <w:spacing w:before="156" w:after="156"/>
        <w:rPr>
          <w:rFonts w:ascii="Times New Roman"/>
        </w:rPr>
      </w:pPr>
      <w:r>
        <w:rPr>
          <w:rFonts w:ascii="Times New Roman"/>
        </w:rPr>
        <w:t>表C.1</w:t>
      </w:r>
      <w:r>
        <w:rPr>
          <w:rFonts w:hint="eastAsia" w:ascii="Times New Roman"/>
        </w:rPr>
        <w:t xml:space="preserve">2 </w:t>
      </w:r>
      <w:r>
        <w:rPr>
          <w:rFonts w:ascii="Times New Roman"/>
        </w:rPr>
        <w:t>草地土壤固碳速率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3260"/>
        <w:gridCol w:w="4099"/>
      </w:tblGrid>
      <w:tr w14:paraId="6A888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shd w:val="clear" w:color="auto" w:fill="auto"/>
            <w:vAlign w:val="center"/>
          </w:tcPr>
          <w:p w14:paraId="2D1080BF">
            <w:pPr>
              <w:pStyle w:val="180"/>
              <w:rPr>
                <w:rFonts w:ascii="Times New Roman"/>
              </w:rPr>
            </w:pPr>
            <w:r>
              <w:rPr>
                <w:rFonts w:ascii="Times New Roman"/>
              </w:rPr>
              <w:t>安徽省</w:t>
            </w:r>
          </w:p>
        </w:tc>
        <w:tc>
          <w:tcPr>
            <w:tcW w:w="3260" w:type="dxa"/>
            <w:tcBorders>
              <w:top w:val="single" w:color="auto" w:sz="8" w:space="0"/>
              <w:bottom w:val="single" w:color="auto" w:sz="8" w:space="0"/>
            </w:tcBorders>
            <w:shd w:val="clear" w:color="auto" w:fill="auto"/>
            <w:vAlign w:val="center"/>
          </w:tcPr>
          <w:p w14:paraId="6D27F1E1">
            <w:pPr>
              <w:pStyle w:val="180"/>
              <w:rPr>
                <w:rFonts w:ascii="Times New Roman"/>
              </w:rPr>
            </w:pPr>
            <w:r>
              <w:rPr>
                <w:rFonts w:ascii="Times New Roman"/>
              </w:rPr>
              <w:t>分区</w:t>
            </w:r>
          </w:p>
        </w:tc>
        <w:tc>
          <w:tcPr>
            <w:tcW w:w="4099" w:type="dxa"/>
            <w:tcBorders>
              <w:top w:val="single" w:color="auto" w:sz="8" w:space="0"/>
              <w:bottom w:val="single" w:color="auto" w:sz="8" w:space="0"/>
            </w:tcBorders>
            <w:shd w:val="clear" w:color="auto" w:fill="auto"/>
          </w:tcPr>
          <w:p w14:paraId="3077446B">
            <w:pPr>
              <w:pStyle w:val="180"/>
              <w:rPr>
                <w:rFonts w:ascii="Times New Roman"/>
              </w:rPr>
            </w:pPr>
            <w:r>
              <w:rPr>
                <w:rFonts w:ascii="Times New Roman"/>
              </w:rPr>
              <w:t>草地土壤固碳速率（tC/（hm</w:t>
            </w:r>
            <w:r>
              <w:rPr>
                <w:rFonts w:ascii="Times New Roman"/>
                <w:vertAlign w:val="superscript"/>
              </w:rPr>
              <w:t>2</w:t>
            </w:r>
            <w:r>
              <w:rPr>
                <w:rFonts w:ascii="Times New Roman"/>
              </w:rPr>
              <w:t>·a））</w:t>
            </w:r>
          </w:p>
        </w:tc>
      </w:tr>
      <w:tr w14:paraId="6469E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shd w:val="clear" w:color="auto" w:fill="auto"/>
          </w:tcPr>
          <w:p w14:paraId="1241B5DD">
            <w:pPr>
              <w:pStyle w:val="180"/>
              <w:rPr>
                <w:rFonts w:ascii="Times New Roman"/>
              </w:rPr>
            </w:pPr>
            <w:r>
              <w:rPr>
                <w:rFonts w:ascii="Times New Roman"/>
              </w:rPr>
              <w:t>淮河以北地区</w:t>
            </w:r>
          </w:p>
        </w:tc>
        <w:tc>
          <w:tcPr>
            <w:tcW w:w="3260" w:type="dxa"/>
            <w:tcBorders>
              <w:top w:val="single" w:color="auto" w:sz="8" w:space="0"/>
            </w:tcBorders>
            <w:shd w:val="clear" w:color="auto" w:fill="auto"/>
          </w:tcPr>
          <w:p w14:paraId="7DEAAAE2">
            <w:pPr>
              <w:pStyle w:val="180"/>
              <w:rPr>
                <w:rFonts w:ascii="Times New Roman"/>
              </w:rPr>
            </w:pPr>
            <w:r>
              <w:rPr>
                <w:rFonts w:ascii="Times New Roman"/>
              </w:rPr>
              <w:t>暖温带南部落叶栎林地带</w:t>
            </w:r>
          </w:p>
        </w:tc>
        <w:tc>
          <w:tcPr>
            <w:tcW w:w="4099" w:type="dxa"/>
            <w:tcBorders>
              <w:top w:val="single" w:color="auto" w:sz="8" w:space="0"/>
            </w:tcBorders>
            <w:shd w:val="clear" w:color="auto" w:fill="auto"/>
          </w:tcPr>
          <w:p w14:paraId="2EAAAADF">
            <w:pPr>
              <w:pStyle w:val="180"/>
              <w:rPr>
                <w:rFonts w:ascii="Times New Roman"/>
              </w:rPr>
            </w:pPr>
            <w:r>
              <w:rPr>
                <w:rFonts w:ascii="Times New Roman"/>
              </w:rPr>
              <w:t>0.020</w:t>
            </w:r>
          </w:p>
        </w:tc>
      </w:tr>
      <w:tr w14:paraId="02627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shd w:val="clear" w:color="auto" w:fill="auto"/>
          </w:tcPr>
          <w:p w14:paraId="4F2052B3">
            <w:pPr>
              <w:pStyle w:val="180"/>
              <w:rPr>
                <w:rFonts w:ascii="Times New Roman"/>
              </w:rPr>
            </w:pPr>
            <w:r>
              <w:rPr>
                <w:rFonts w:ascii="Times New Roman"/>
              </w:rPr>
              <w:t>淮河以南地区</w:t>
            </w:r>
          </w:p>
        </w:tc>
        <w:tc>
          <w:tcPr>
            <w:tcW w:w="3260" w:type="dxa"/>
            <w:shd w:val="clear" w:color="auto" w:fill="auto"/>
          </w:tcPr>
          <w:p w14:paraId="261179B7">
            <w:pPr>
              <w:pStyle w:val="180"/>
              <w:rPr>
                <w:rFonts w:ascii="Times New Roman"/>
              </w:rPr>
            </w:pPr>
            <w:r>
              <w:rPr>
                <w:rFonts w:ascii="Times New Roman"/>
              </w:rPr>
              <w:t>北亚热带落叶常绿阔叶林混交林地带</w:t>
            </w:r>
          </w:p>
        </w:tc>
        <w:tc>
          <w:tcPr>
            <w:tcW w:w="4099" w:type="dxa"/>
            <w:shd w:val="clear" w:color="auto" w:fill="auto"/>
          </w:tcPr>
          <w:p w14:paraId="07772F69">
            <w:pPr>
              <w:pStyle w:val="180"/>
              <w:rPr>
                <w:rFonts w:ascii="Times New Roman"/>
              </w:rPr>
            </w:pPr>
            <w:r>
              <w:rPr>
                <w:rFonts w:ascii="Times New Roman"/>
              </w:rPr>
              <w:t>0.022</w:t>
            </w:r>
          </w:p>
        </w:tc>
      </w:tr>
    </w:tbl>
    <w:p w14:paraId="17AFE5A5">
      <w:pPr>
        <w:pStyle w:val="81"/>
        <w:spacing w:before="156" w:after="156"/>
        <w:rPr>
          <w:rFonts w:ascii="Times New Roman"/>
        </w:rPr>
      </w:pPr>
      <w:r>
        <w:rPr>
          <w:rFonts w:ascii="Times New Roman"/>
        </w:rPr>
        <w:t>湿地生态系统土壤固碳速率</w:t>
      </w:r>
    </w:p>
    <w:p w14:paraId="5209A3F7">
      <w:pPr>
        <w:pStyle w:val="58"/>
        <w:ind w:firstLine="420"/>
        <w:rPr>
          <w:rFonts w:ascii="Times New Roman"/>
        </w:rPr>
      </w:pPr>
      <w:r>
        <w:rPr>
          <w:rFonts w:ascii="Times New Roman"/>
        </w:rPr>
        <w:t>湿地生态系统固碳速率，默认取56.67gC/（m</w:t>
      </w:r>
      <w:r>
        <w:rPr>
          <w:rFonts w:ascii="Times New Roman"/>
          <w:vertAlign w:val="superscript"/>
        </w:rPr>
        <w:t>2</w:t>
      </w:r>
      <w:r>
        <w:rPr>
          <w:rFonts w:ascii="Times New Roman"/>
        </w:rPr>
        <w:t>·a）。</w:t>
      </w:r>
    </w:p>
    <w:p w14:paraId="56E40DFA">
      <w:pPr>
        <w:pStyle w:val="81"/>
        <w:spacing w:before="156" w:after="156"/>
        <w:rPr>
          <w:rFonts w:ascii="Times New Roman"/>
        </w:rPr>
      </w:pPr>
      <w:r>
        <w:rPr>
          <w:rFonts w:ascii="Times New Roman"/>
        </w:rPr>
        <w:t>未秸秆还田的农田土壤固碳速率</w:t>
      </w:r>
    </w:p>
    <w:p w14:paraId="05F90218">
      <w:pPr>
        <w:pStyle w:val="58"/>
        <w:ind w:firstLine="420"/>
        <w:rPr>
          <w:rFonts w:ascii="Times New Roman"/>
        </w:rPr>
      </w:pPr>
      <w:r>
        <w:rPr>
          <w:rFonts w:ascii="Times New Roman"/>
        </w:rPr>
        <w:t>淮河以北地区按照公式（C.3</w:t>
      </w:r>
      <w:r>
        <w:rPr>
          <w:rFonts w:hint="eastAsia" w:ascii="Times New Roman"/>
        </w:rPr>
        <w:t>4</w:t>
      </w:r>
      <w:r>
        <w:rPr>
          <w:rFonts w:ascii="Times New Roman"/>
        </w:rPr>
        <w:t>）（C.3</w:t>
      </w:r>
      <w:r>
        <w:rPr>
          <w:rFonts w:hint="eastAsia" w:ascii="Times New Roman"/>
        </w:rPr>
        <w:t>6</w:t>
      </w:r>
      <w:r>
        <w:rPr>
          <w:rFonts w:ascii="Times New Roman"/>
        </w:rPr>
        <w:t>）计算，淮河以南地区按照公式（C.3</w:t>
      </w:r>
      <w:r>
        <w:rPr>
          <w:rFonts w:hint="eastAsia" w:ascii="Times New Roman"/>
        </w:rPr>
        <w:t>5</w:t>
      </w:r>
      <w:r>
        <w:rPr>
          <w:rFonts w:ascii="Times New Roman"/>
        </w:rPr>
        <w:t>）（C.3</w:t>
      </w:r>
      <w:r>
        <w:rPr>
          <w:rFonts w:hint="eastAsia" w:ascii="Times New Roman"/>
        </w:rPr>
        <w:t>6</w:t>
      </w:r>
      <w:r>
        <w:rPr>
          <w:rFonts w:ascii="Times New Roman"/>
        </w:rPr>
        <w:t>）计算。</w:t>
      </w:r>
    </w:p>
    <w:p w14:paraId="3CD21721">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ACSR</m:t>
            </m:r>
            <m:ctrlPr>
              <w:rPr>
                <w:rFonts w:ascii="Cambria Math" w:hAnsi="Cambria Math"/>
              </w:rPr>
            </m:ctrlPr>
          </m:e>
          <m:sub>
            <m:r>
              <m:rPr/>
              <w:rPr>
                <w:rFonts w:ascii="Cambria Math" w:hAnsi="Cambria Math"/>
              </w:rPr>
              <m:t>N</m:t>
            </m:r>
            <m:ctrlPr>
              <w:rPr>
                <w:rFonts w:ascii="Cambria Math" w:hAnsi="Cambria Math"/>
              </w:rPr>
            </m:ctrlPr>
          </m:sub>
        </m:sSub>
        <m:r>
          <m:rPr/>
          <w:rPr>
            <w:rFonts w:ascii="Cambria Math" w:hAnsi="Cambria Math"/>
          </w:rPr>
          <m:t>=1.5339×TNF−0.267</m:t>
        </m:r>
      </m:oMath>
      <w:r>
        <w:rPr>
          <w:rFonts w:ascii="Times New Roman" w:hAnsi="Times New Roman" w:eastAsia="微软雅黑"/>
        </w:rPr>
        <w:tab/>
      </w:r>
      <w:r>
        <w:rPr>
          <w:rFonts w:ascii="Times New Roman" w:hAnsi="Times New Roman"/>
        </w:rPr>
        <w:t>(C.</w:t>
      </w:r>
      <w:r>
        <w:rPr>
          <w:rFonts w:hint="eastAsia" w:ascii="Times New Roman" w:hAnsi="Times New Roman"/>
        </w:rPr>
        <w:t>34</w:t>
      </w:r>
      <w:r>
        <w:rPr>
          <w:rFonts w:ascii="Times New Roman" w:hAnsi="Times New Roman"/>
        </w:rPr>
        <w:t>)</w:t>
      </w:r>
    </w:p>
    <w:p w14:paraId="62CE209B">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ACSR</m:t>
            </m:r>
            <m:ctrlPr>
              <w:rPr>
                <w:rFonts w:ascii="Cambria Math" w:hAnsi="Cambria Math"/>
              </w:rPr>
            </m:ctrlPr>
          </m:e>
          <m:sub>
            <m:r>
              <m:rPr/>
              <w:rPr>
                <w:rFonts w:ascii="Cambria Math" w:hAnsi="Cambria Math"/>
              </w:rPr>
              <m:t>N</m:t>
            </m:r>
            <m:ctrlPr>
              <w:rPr>
                <w:rFonts w:ascii="Cambria Math" w:hAnsi="Cambria Math"/>
              </w:rPr>
            </m:ctrlPr>
          </m:sub>
        </m:sSub>
        <m:r>
          <m:rPr/>
          <w:rPr>
            <w:rFonts w:ascii="Cambria Math" w:hAnsi="Cambria Math"/>
          </w:rPr>
          <m:t>=0.5286×TNF+0.002</m:t>
        </m:r>
      </m:oMath>
      <w:r>
        <w:rPr>
          <w:rFonts w:ascii="Times New Roman" w:hAnsi="Times New Roman" w:eastAsia="微软雅黑"/>
        </w:rPr>
        <w:tab/>
      </w:r>
      <w:r>
        <w:rPr>
          <w:rFonts w:ascii="Times New Roman" w:hAnsi="Times New Roman"/>
        </w:rPr>
        <w:t>(C.</w:t>
      </w:r>
      <w:r>
        <w:rPr>
          <w:rFonts w:hint="eastAsia" w:ascii="Times New Roman" w:hAnsi="Times New Roman"/>
        </w:rPr>
        <w:t>35</w:t>
      </w:r>
      <w:r>
        <w:rPr>
          <w:rFonts w:ascii="Times New Roman" w:hAnsi="Times New Roman"/>
        </w:rPr>
        <w:t>)</w:t>
      </w:r>
    </w:p>
    <w:p w14:paraId="18C5CF6D">
      <w:pPr>
        <w:pStyle w:val="115"/>
        <w:rPr>
          <w:rFonts w:ascii="Times New Roman" w:hAnsi="Times New Roman"/>
        </w:rPr>
      </w:pPr>
      <w:r>
        <w:rPr>
          <w:rFonts w:ascii="Times New Roman" w:hAnsi="Times New Roman"/>
        </w:rPr>
        <w:tab/>
      </w:r>
      <m:oMath>
        <m:r>
          <m:rPr/>
          <w:rPr>
            <w:rFonts w:ascii="Cambria Math" w:hAnsi="Cambria Math"/>
          </w:rPr>
          <m:t>TNF=</m:t>
        </m:r>
        <m:d>
          <m:dPr>
            <m:ctrlPr>
              <w:rPr>
                <w:rFonts w:ascii="Cambria Math" w:hAnsi="Cambria Math"/>
                <w:i/>
                <w:iCs/>
              </w:rPr>
            </m:ctrlPr>
          </m:dPr>
          <m:e>
            <m:r>
              <m:rPr/>
              <w:rPr>
                <w:rFonts w:ascii="Cambria Math" w:hAnsi="Cambria Math"/>
              </w:rPr>
              <m:t>NF+CF×0.3</m:t>
            </m:r>
            <m:ctrlPr>
              <w:rPr>
                <w:rFonts w:ascii="Cambria Math" w:hAnsi="Cambria Math"/>
                <w:i/>
                <w:iCs/>
              </w:rPr>
            </m:ctrlPr>
          </m:e>
        </m:d>
        <m:r>
          <m:rPr/>
          <w:rPr>
            <w:rFonts w:ascii="Cambria Math" w:hAnsi="Cambria Math"/>
          </w:rPr>
          <m:t>/</m:t>
        </m:r>
        <m:sSub>
          <m:sSubPr>
            <m:ctrlPr>
              <w:rPr>
                <w:rFonts w:ascii="Cambria Math" w:hAnsi="Cambria Math"/>
                <w:i/>
                <w:iCs/>
              </w:rPr>
            </m:ctrlPr>
          </m:sSubPr>
          <m:e>
            <m:r>
              <m:rPr/>
              <w:rPr>
                <w:rFonts w:ascii="Cambria Math" w:hAnsi="Cambria Math"/>
              </w:rPr>
              <m:t>S</m:t>
            </m:r>
            <m:ctrlPr>
              <w:rPr>
                <w:rFonts w:ascii="Cambria Math" w:hAnsi="Cambria Math"/>
                <w:i/>
                <w:iCs/>
              </w:rPr>
            </m:ctrlPr>
          </m:e>
          <m:sub>
            <m:r>
              <m:rPr/>
              <w:rPr>
                <w:rFonts w:ascii="Cambria Math" w:hAnsi="Cambria Math"/>
              </w:rPr>
              <m:t>P</m:t>
            </m:r>
            <m:ctrlPr>
              <w:rPr>
                <w:rFonts w:ascii="Cambria Math" w:hAnsi="Cambria Math"/>
                <w:i/>
                <w:iCs/>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36</w:t>
      </w:r>
      <w:r>
        <w:rPr>
          <w:rFonts w:ascii="Times New Roman" w:hAnsi="Times New Roman"/>
        </w:rPr>
        <w:t>)</w:t>
      </w:r>
    </w:p>
    <w:p w14:paraId="77B33866">
      <w:pPr>
        <w:pStyle w:val="57"/>
        <w:ind w:firstLine="420"/>
        <w:rPr>
          <w:rFonts w:ascii="Times New Roman" w:hAnsi="Times New Roman"/>
        </w:rPr>
      </w:pPr>
      <w:r>
        <w:rPr>
          <w:rFonts w:ascii="Times New Roman" w:hAnsi="Times New Roman"/>
        </w:rPr>
        <w:t>式中：</w:t>
      </w:r>
    </w:p>
    <w:p w14:paraId="31879CEA">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ACSR</m:t>
            </m:r>
            <m:ctrlPr>
              <w:rPr>
                <w:rFonts w:ascii="Cambria Math" w:hAnsi="Cambria Math"/>
                <w:i/>
                <w:kern w:val="2"/>
                <w:szCs w:val="21"/>
              </w:rPr>
            </m:ctrlPr>
          </m:e>
          <m:sub>
            <m:r>
              <m:rPr/>
              <w:rPr>
                <w:rFonts w:ascii="Cambria Math" w:hAnsi="Cambria Math"/>
              </w:rPr>
              <m:t>N</m:t>
            </m:r>
            <m:ctrlPr>
              <w:rPr>
                <w:rFonts w:ascii="Cambria Math" w:hAnsi="Cambria Math"/>
                <w:i/>
                <w:kern w:val="2"/>
                <w:szCs w:val="21"/>
              </w:rPr>
            </m:ctrlPr>
          </m:sub>
        </m:sSub>
      </m:oMath>
      <w:r>
        <w:rPr>
          <w:rFonts w:ascii="Times New Roman"/>
        </w:rPr>
        <w:t>——未秸秆还田的农田土壤固碳速率，单位：tC/(hm</w:t>
      </w:r>
      <w:r>
        <w:rPr>
          <w:rFonts w:ascii="Times New Roman"/>
          <w:vertAlign w:val="superscript"/>
        </w:rPr>
        <w:t>2</w:t>
      </w:r>
      <w:r>
        <w:rPr>
          <w:rFonts w:ascii="Times New Roman"/>
        </w:rPr>
        <w:t>·a)；</w:t>
      </w:r>
    </w:p>
    <w:p w14:paraId="3A9B7A3A">
      <w:pPr>
        <w:pStyle w:val="58"/>
        <w:ind w:firstLine="420"/>
        <w:rPr>
          <w:rFonts w:ascii="Times New Roman"/>
        </w:rPr>
      </w:pPr>
      <m:oMath>
        <m:r>
          <m:rPr/>
          <w:rPr>
            <w:rFonts w:ascii="Cambria Math" w:hAnsi="Cambria Math"/>
          </w:rPr>
          <m:t>TNF</m:t>
        </m:r>
      </m:oMath>
      <w:r>
        <w:rPr>
          <w:rFonts w:ascii="Times New Roman"/>
        </w:rPr>
        <w:t>——单位面积氮肥、复合肥使用量，单位：t/(hm</w:t>
      </w:r>
      <w:r>
        <w:rPr>
          <w:rFonts w:ascii="Times New Roman"/>
          <w:vertAlign w:val="superscript"/>
        </w:rPr>
        <w:t>2</w:t>
      </w:r>
      <w:r>
        <w:rPr>
          <w:rFonts w:ascii="Times New Roman"/>
        </w:rPr>
        <w:t>·a)；</w:t>
      </w:r>
    </w:p>
    <w:p w14:paraId="79ACC5E7">
      <w:pPr>
        <w:pStyle w:val="58"/>
        <w:ind w:firstLine="420"/>
        <w:rPr>
          <w:rFonts w:ascii="Times New Roman"/>
        </w:rPr>
      </w:pPr>
      <m:oMath>
        <m:r>
          <m:rPr/>
          <w:rPr>
            <w:rFonts w:ascii="Cambria Math" w:hAnsi="Cambria Math"/>
          </w:rPr>
          <m:t>NF</m:t>
        </m:r>
      </m:oMath>
      <w:r>
        <w:rPr>
          <w:rFonts w:ascii="Times New Roman"/>
        </w:rPr>
        <w:t>——化学氮肥施用量，单位：t/(hm</w:t>
      </w:r>
      <w:r>
        <w:rPr>
          <w:rFonts w:ascii="Times New Roman"/>
          <w:vertAlign w:val="superscript"/>
        </w:rPr>
        <w:t>2</w:t>
      </w:r>
      <w:r>
        <w:rPr>
          <w:rFonts w:ascii="Times New Roman"/>
        </w:rPr>
        <w:t>·a)；</w:t>
      </w:r>
    </w:p>
    <w:p w14:paraId="74313004">
      <w:pPr>
        <w:pStyle w:val="58"/>
        <w:ind w:firstLine="420"/>
        <w:rPr>
          <w:rFonts w:ascii="Times New Roman"/>
        </w:rPr>
      </w:pPr>
      <m:oMath>
        <m:r>
          <m:rPr/>
          <w:rPr>
            <w:rFonts w:ascii="Cambria Math" w:hAnsi="Cambria Math"/>
          </w:rPr>
          <m:t>CF</m:t>
        </m:r>
      </m:oMath>
      <w:r>
        <w:rPr>
          <w:rFonts w:ascii="Times New Roman"/>
        </w:rPr>
        <w:t>——复合肥施用量，单位：t/(hm</w:t>
      </w:r>
      <w:r>
        <w:rPr>
          <w:rFonts w:ascii="Times New Roman"/>
          <w:vertAlign w:val="superscript"/>
        </w:rPr>
        <w:t>2</w:t>
      </w:r>
      <w:r>
        <w:rPr>
          <w:rFonts w:ascii="Times New Roman"/>
        </w:rPr>
        <w:t>·a)；</w:t>
      </w:r>
    </w:p>
    <w:p w14:paraId="1E0C0875">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S</m:t>
            </m:r>
            <m:ctrlPr>
              <w:rPr>
                <w:rFonts w:ascii="Cambria Math" w:hAnsi="Cambria Math"/>
                <w:i/>
                <w:kern w:val="2"/>
                <w:szCs w:val="21"/>
              </w:rPr>
            </m:ctrlPr>
          </m:e>
          <m:sub>
            <m:r>
              <m:rPr/>
              <w:rPr>
                <w:rFonts w:ascii="Cambria Math" w:hAnsi="Cambria Math"/>
              </w:rPr>
              <m:t>P</m:t>
            </m:r>
            <m:ctrlPr>
              <w:rPr>
                <w:rFonts w:ascii="Cambria Math" w:hAnsi="Cambria Math"/>
                <w:i/>
                <w:kern w:val="2"/>
                <w:szCs w:val="21"/>
              </w:rPr>
            </m:ctrlPr>
          </m:sub>
        </m:sSub>
      </m:oMath>
      <w:r>
        <w:rPr>
          <w:rFonts w:ascii="Times New Roman"/>
        </w:rPr>
        <w:t>——耕地面积，单位：hm</w:t>
      </w:r>
      <w:r>
        <w:rPr>
          <w:rFonts w:ascii="Times New Roman"/>
          <w:vertAlign w:val="superscript"/>
        </w:rPr>
        <w:t>2</w:t>
      </w:r>
      <w:r>
        <w:rPr>
          <w:rFonts w:ascii="Times New Roman"/>
        </w:rPr>
        <w:t>。</w:t>
      </w:r>
    </w:p>
    <w:p w14:paraId="4EAD45D9">
      <w:pPr>
        <w:pStyle w:val="81"/>
        <w:spacing w:before="156" w:after="156"/>
        <w:rPr>
          <w:rFonts w:ascii="Times New Roman"/>
        </w:rPr>
      </w:pPr>
      <w:r>
        <w:rPr>
          <w:rFonts w:ascii="Times New Roman"/>
        </w:rPr>
        <w:t>秸秆还田的农田土壤固碳速率</w:t>
      </w:r>
    </w:p>
    <w:p w14:paraId="685D6B66">
      <w:pPr>
        <w:pStyle w:val="58"/>
        <w:ind w:firstLine="420"/>
        <w:rPr>
          <w:rFonts w:ascii="Times New Roman"/>
        </w:rPr>
      </w:pPr>
      <w:r>
        <w:rPr>
          <w:rFonts w:ascii="Times New Roman"/>
        </w:rPr>
        <w:t>淮河以北地区按照公式（C.3</w:t>
      </w:r>
      <w:r>
        <w:rPr>
          <w:rFonts w:hint="eastAsia" w:ascii="Times New Roman"/>
        </w:rPr>
        <w:t>7</w:t>
      </w:r>
      <w:r>
        <w:rPr>
          <w:rFonts w:ascii="Times New Roman"/>
        </w:rPr>
        <w:t>）（C.3</w:t>
      </w:r>
      <w:r>
        <w:rPr>
          <w:rFonts w:hint="eastAsia" w:ascii="Times New Roman"/>
        </w:rPr>
        <w:t>9</w:t>
      </w:r>
      <w:r>
        <w:rPr>
          <w:rFonts w:ascii="Times New Roman"/>
        </w:rPr>
        <w:t>）计算，淮河以南地区按照公式（C.3</w:t>
      </w:r>
      <w:r>
        <w:rPr>
          <w:rFonts w:hint="eastAsia" w:ascii="Times New Roman"/>
        </w:rPr>
        <w:t>8</w:t>
      </w:r>
      <w:r>
        <w:rPr>
          <w:rFonts w:ascii="Times New Roman"/>
        </w:rPr>
        <w:t>）（C.3</w:t>
      </w:r>
      <w:r>
        <w:rPr>
          <w:rFonts w:hint="eastAsia" w:ascii="Times New Roman"/>
        </w:rPr>
        <w:t>9</w:t>
      </w:r>
      <w:r>
        <w:rPr>
          <w:rFonts w:ascii="Times New Roman"/>
        </w:rPr>
        <w:t>）计算。</w:t>
      </w:r>
    </w:p>
    <w:p w14:paraId="62EE1287">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ACSR</m:t>
            </m:r>
            <m:ctrlPr>
              <w:rPr>
                <w:rFonts w:ascii="Cambria Math" w:hAnsi="Cambria Math"/>
              </w:rPr>
            </m:ctrlPr>
          </m:e>
          <m:sub>
            <m:r>
              <m:rPr/>
              <w:rPr>
                <w:rFonts w:ascii="Cambria Math" w:hAnsi="Cambria Math"/>
              </w:rPr>
              <m:t>S</m:t>
            </m:r>
            <m:ctrlPr>
              <w:rPr>
                <w:rFonts w:ascii="Cambria Math" w:hAnsi="Cambria Math"/>
              </w:rPr>
            </m:ctrlPr>
          </m:sub>
        </m:sSub>
        <m:r>
          <m:rPr/>
          <w:rPr>
            <w:rFonts w:ascii="Cambria Math" w:hAnsi="Cambria Math"/>
          </w:rPr>
          <m:t>=0.401×S+0.182</m:t>
        </m:r>
      </m:oMath>
      <w:r>
        <w:rPr>
          <w:rFonts w:ascii="Times New Roman" w:hAnsi="Times New Roman" w:eastAsia="微软雅黑"/>
        </w:rPr>
        <w:tab/>
      </w:r>
      <w:r>
        <w:rPr>
          <w:rFonts w:ascii="Times New Roman" w:hAnsi="Times New Roman"/>
        </w:rPr>
        <w:t>(C.</w:t>
      </w:r>
      <w:r>
        <w:rPr>
          <w:rFonts w:hint="eastAsia" w:ascii="Times New Roman" w:hAnsi="Times New Roman"/>
        </w:rPr>
        <w:t>37</w:t>
      </w:r>
      <w:r>
        <w:rPr>
          <w:rFonts w:ascii="Times New Roman" w:hAnsi="Times New Roman"/>
        </w:rPr>
        <w:t>)</w:t>
      </w:r>
    </w:p>
    <w:p w14:paraId="6249A327">
      <w:pPr>
        <w:pStyle w:val="115"/>
        <w:rPr>
          <w:rFonts w:ascii="Times New Roman" w:hAnsi="Times New Roman"/>
        </w:rPr>
      </w:pPr>
      <w:r>
        <w:rPr>
          <w:rFonts w:ascii="Times New Roman" w:hAnsi="Times New Roman"/>
        </w:rPr>
        <w:tab/>
      </w:r>
      <m:oMath>
        <m:sSub>
          <m:sSubPr>
            <m:ctrlPr>
              <w:rPr>
                <w:rFonts w:ascii="Cambria Math" w:hAnsi="Cambria Math"/>
              </w:rPr>
            </m:ctrlPr>
          </m:sSubPr>
          <m:e>
            <m:r>
              <m:rPr/>
              <w:rPr>
                <w:rFonts w:ascii="Cambria Math" w:hAnsi="Cambria Math"/>
              </w:rPr>
              <m:t>ACSR</m:t>
            </m:r>
            <m:ctrlPr>
              <w:rPr>
                <w:rFonts w:ascii="Cambria Math" w:hAnsi="Cambria Math"/>
              </w:rPr>
            </m:ctrlPr>
          </m:e>
          <m:sub>
            <m:r>
              <m:rPr/>
              <w:rPr>
                <w:rFonts w:ascii="Cambria Math" w:hAnsi="Cambria Math"/>
              </w:rPr>
              <m:t>S</m:t>
            </m:r>
            <m:ctrlPr>
              <w:rPr>
                <w:rFonts w:ascii="Cambria Math" w:hAnsi="Cambria Math"/>
              </w:rPr>
            </m:ctrlPr>
          </m:sub>
        </m:sSub>
        <m:r>
          <m:rPr/>
          <w:rPr>
            <w:rFonts w:ascii="Cambria Math" w:hAnsi="Cambria Math"/>
          </w:rPr>
          <m:t>=0.043×S+0.375</m:t>
        </m:r>
      </m:oMath>
      <w:r>
        <w:rPr>
          <w:rFonts w:ascii="Times New Roman" w:hAnsi="Times New Roman" w:eastAsia="微软雅黑"/>
        </w:rPr>
        <w:tab/>
      </w:r>
      <w:r>
        <w:rPr>
          <w:rFonts w:ascii="Times New Roman" w:hAnsi="Times New Roman"/>
        </w:rPr>
        <w:t>(C.</w:t>
      </w:r>
      <w:r>
        <w:rPr>
          <w:rFonts w:hint="eastAsia" w:ascii="Times New Roman" w:hAnsi="Times New Roman"/>
        </w:rPr>
        <w:t>38</w:t>
      </w:r>
      <w:r>
        <w:rPr>
          <w:rFonts w:ascii="Times New Roman" w:hAnsi="Times New Roman"/>
        </w:rPr>
        <w:t>)</w:t>
      </w:r>
    </w:p>
    <w:p w14:paraId="3E04EE67">
      <w:pPr>
        <w:pStyle w:val="115"/>
        <w:rPr>
          <w:rFonts w:ascii="Times New Roman" w:hAnsi="Times New Roman"/>
        </w:rPr>
      </w:pPr>
      <w:r>
        <w:rPr>
          <w:rFonts w:ascii="Times New Roman" w:hAnsi="Times New Roman"/>
        </w:rPr>
        <w:tab/>
      </w:r>
      <m:oMath>
        <m:r>
          <m:rPr/>
          <w:rPr>
            <w:rFonts w:ascii="Cambria Math" w:hAnsi="Cambria Math"/>
          </w:rPr>
          <m:t>S=</m:t>
        </m:r>
        <m:f>
          <m:fPr>
            <m:ctrlPr>
              <w:rPr>
                <w:rFonts w:ascii="Cambria Math" w:hAnsi="Cambria Math"/>
                <w:i/>
                <w:iCs/>
              </w:rPr>
            </m:ctrlPr>
          </m:fPr>
          <m:num>
            <m:nary>
              <m:naryPr>
                <m:chr m:val="∑"/>
                <m:limLoc m:val="subSup"/>
                <m:ctrlPr>
                  <w:rPr>
                    <w:rFonts w:ascii="Cambria Math" w:hAnsi="Cambria Math"/>
                    <w:i/>
                    <w:iCs/>
                  </w:rPr>
                </m:ctrlPr>
              </m:naryPr>
              <m:sub>
                <m:r>
                  <m:rPr/>
                  <w:rPr>
                    <w:rFonts w:ascii="Cambria Math" w:hAnsi="Cambria Math"/>
                  </w:rPr>
                  <m:t>i=1</m:t>
                </m:r>
                <m:ctrlPr>
                  <w:rPr>
                    <w:rFonts w:ascii="Cambria Math" w:hAnsi="Cambria Math"/>
                    <w:i/>
                    <w:iCs/>
                  </w:rPr>
                </m:ctrlPr>
              </m:sub>
              <m:sup>
                <m:r>
                  <m:rPr/>
                  <w:rPr>
                    <w:rFonts w:ascii="Cambria Math" w:hAnsi="Cambria Math"/>
                  </w:rPr>
                  <m:t>n</m:t>
                </m:r>
                <m:ctrlPr>
                  <w:rPr>
                    <w:rFonts w:ascii="Cambria Math" w:hAnsi="Cambria Math"/>
                    <w:i/>
                    <w:iCs/>
                  </w:rPr>
                </m:ctrlPr>
              </m:sup>
              <m:e>
                <m:sSub>
                  <m:sSubPr>
                    <m:ctrlPr>
                      <w:rPr>
                        <w:rFonts w:ascii="Cambria Math" w:hAnsi="Cambria Math"/>
                        <w:i/>
                        <w:iCs/>
                      </w:rPr>
                    </m:ctrlPr>
                  </m:sSubPr>
                  <m:e>
                    <m:r>
                      <m:rPr/>
                      <w:rPr>
                        <w:rFonts w:ascii="Cambria Math" w:hAnsi="Cambria Math"/>
                      </w:rPr>
                      <m:t>CY</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SGR</m:t>
                    </m:r>
                    <m:ctrlPr>
                      <w:rPr>
                        <w:rFonts w:ascii="Cambria Math" w:hAnsi="Cambria Math"/>
                        <w:i/>
                        <w:iCs/>
                      </w:rPr>
                    </m:ctrlPr>
                  </m:e>
                  <m:sub>
                    <m:r>
                      <m:rPr/>
                      <w:rPr>
                        <w:rFonts w:ascii="Cambria Math" w:hAnsi="Cambria Math"/>
                      </w:rPr>
                      <m:t>i</m:t>
                    </m:r>
                    <m:ctrlPr>
                      <w:rPr>
                        <w:rFonts w:ascii="Cambria Math" w:hAnsi="Cambria Math"/>
                        <w:i/>
                        <w:iCs/>
                      </w:rPr>
                    </m:ctrlPr>
                  </m:sub>
                </m:sSub>
                <m:ctrlPr>
                  <w:rPr>
                    <w:rFonts w:ascii="Cambria Math" w:hAnsi="Cambria Math"/>
                    <w:i/>
                    <w:iCs/>
                  </w:rPr>
                </m:ctrlPr>
              </m:e>
            </m:nary>
            <m:ctrlPr>
              <w:rPr>
                <w:rFonts w:ascii="Cambria Math" w:hAnsi="Cambria Math"/>
                <w:i/>
                <w:iCs/>
              </w:rPr>
            </m:ctrlPr>
          </m:num>
          <m:den>
            <m:sSub>
              <m:sSubPr>
                <m:ctrlPr>
                  <w:rPr>
                    <w:rFonts w:ascii="Cambria Math" w:hAnsi="Cambria Math"/>
                    <w:i/>
                    <w:iCs/>
                  </w:rPr>
                </m:ctrlPr>
              </m:sSubPr>
              <m:e>
                <m:r>
                  <m:rPr/>
                  <w:rPr>
                    <w:rFonts w:ascii="Cambria Math" w:hAnsi="Cambria Math"/>
                  </w:rPr>
                  <m:t>S</m:t>
                </m:r>
                <m:ctrlPr>
                  <w:rPr>
                    <w:rFonts w:ascii="Cambria Math" w:hAnsi="Cambria Math"/>
                    <w:i/>
                    <w:iCs/>
                  </w:rPr>
                </m:ctrlPr>
              </m:e>
              <m:sub>
                <m:r>
                  <m:rPr/>
                  <w:rPr>
                    <w:rFonts w:ascii="Cambria Math" w:hAnsi="Cambria Math"/>
                  </w:rPr>
                  <m:t>P</m:t>
                </m:r>
                <m:ctrlPr>
                  <w:rPr>
                    <w:rFonts w:ascii="Cambria Math" w:hAnsi="Cambria Math"/>
                    <w:i/>
                    <w:iCs/>
                  </w:rPr>
                </m:ctrlPr>
              </m:sub>
            </m:sSub>
            <m:ctrlPr>
              <w:rPr>
                <w:rFonts w:ascii="Cambria Math" w:hAnsi="Cambria Math"/>
                <w:i/>
                <w:iCs/>
              </w:rPr>
            </m:ctrlPr>
          </m:den>
        </m:f>
      </m:oMath>
      <w:r>
        <w:rPr>
          <w:rFonts w:ascii="Times New Roman" w:hAnsi="Times New Roman" w:eastAsia="微软雅黑"/>
        </w:rPr>
        <w:tab/>
      </w:r>
      <w:r>
        <w:rPr>
          <w:rFonts w:ascii="Times New Roman" w:hAnsi="Times New Roman"/>
        </w:rPr>
        <w:t>(C.</w:t>
      </w:r>
      <w:r>
        <w:rPr>
          <w:rFonts w:hint="eastAsia" w:ascii="Times New Roman" w:hAnsi="Times New Roman"/>
        </w:rPr>
        <w:t>39</w:t>
      </w:r>
      <w:r>
        <w:rPr>
          <w:rFonts w:ascii="Times New Roman" w:hAnsi="Times New Roman"/>
        </w:rPr>
        <w:t>)</w:t>
      </w:r>
    </w:p>
    <w:p w14:paraId="5E3ABA16">
      <w:pPr>
        <w:pStyle w:val="57"/>
        <w:ind w:firstLine="420"/>
        <w:rPr>
          <w:rFonts w:ascii="Times New Roman" w:hAnsi="Times New Roman"/>
        </w:rPr>
      </w:pPr>
      <w:r>
        <w:rPr>
          <w:rFonts w:ascii="Times New Roman" w:hAnsi="Times New Roman"/>
        </w:rPr>
        <w:t>式中：</w:t>
      </w:r>
    </w:p>
    <w:p w14:paraId="0E01C193">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ACSR</m:t>
            </m:r>
            <m:ctrlPr>
              <w:rPr>
                <w:rFonts w:ascii="Cambria Math" w:hAnsi="Cambria Math"/>
                <w:i/>
                <w:kern w:val="2"/>
                <w:szCs w:val="21"/>
              </w:rPr>
            </m:ctrlPr>
          </m:e>
          <m:sub>
            <m:r>
              <m:rPr/>
              <w:rPr>
                <w:rFonts w:ascii="Cambria Math" w:hAnsi="Cambria Math"/>
              </w:rPr>
              <m:t>S</m:t>
            </m:r>
            <m:ctrlPr>
              <w:rPr>
                <w:rFonts w:ascii="Cambria Math" w:hAnsi="Cambria Math"/>
                <w:i/>
                <w:kern w:val="2"/>
                <w:szCs w:val="21"/>
              </w:rPr>
            </m:ctrlPr>
          </m:sub>
        </m:sSub>
      </m:oMath>
      <w:r>
        <w:rPr>
          <w:rFonts w:ascii="Times New Roman"/>
        </w:rPr>
        <w:t>——秸秆还田的农田土壤固碳速率，单位：tC/(hm</w:t>
      </w:r>
      <w:r>
        <w:rPr>
          <w:rFonts w:ascii="Times New Roman"/>
          <w:vertAlign w:val="superscript"/>
        </w:rPr>
        <w:t>2</w:t>
      </w:r>
      <w:r>
        <w:rPr>
          <w:rFonts w:ascii="Times New Roman"/>
        </w:rPr>
        <w:t>·a)；</w:t>
      </w:r>
    </w:p>
    <w:p w14:paraId="746BE73C">
      <w:pPr>
        <w:pStyle w:val="58"/>
        <w:ind w:firstLine="420"/>
        <w:rPr>
          <w:rFonts w:ascii="Times New Roman"/>
        </w:rPr>
      </w:pPr>
      <m:oMath>
        <m:r>
          <m:rPr/>
          <w:rPr>
            <w:rFonts w:ascii="Cambria Math" w:hAnsi="Cambria Math"/>
            <w:kern w:val="2"/>
            <w:szCs w:val="21"/>
          </w:rPr>
          <m:t>S</m:t>
        </m:r>
      </m:oMath>
      <w:r>
        <w:rPr>
          <w:rFonts w:ascii="Times New Roman"/>
        </w:rPr>
        <w:t>——单位耕地面积秸秆还田量，单位：t/（hm</w:t>
      </w:r>
      <w:r>
        <w:rPr>
          <w:rFonts w:ascii="Times New Roman"/>
          <w:vertAlign w:val="superscript"/>
        </w:rPr>
        <w:t>2</w:t>
      </w:r>
      <w:r>
        <w:rPr>
          <w:rFonts w:ascii="Times New Roman"/>
        </w:rPr>
        <w:t>·a）；</w:t>
      </w:r>
    </w:p>
    <w:p w14:paraId="6A92E9E5">
      <w:pPr>
        <w:pStyle w:val="58"/>
        <w:ind w:firstLine="420"/>
        <w:rPr>
          <w:rFonts w:ascii="Times New Roman"/>
        </w:rPr>
      </w:pPr>
      <m:oMath>
        <m:sSub>
          <m:sSubPr>
            <m:ctrlPr>
              <w:rPr>
                <w:rFonts w:ascii="Cambria Math" w:hAnsi="Cambria Math"/>
                <w:i/>
                <w:iCs/>
              </w:rPr>
            </m:ctrlPr>
          </m:sSubPr>
          <m:e>
            <m:r>
              <m:rPr/>
              <w:rPr>
                <w:rFonts w:ascii="Cambria Math" w:hAnsi="Cambria Math"/>
              </w:rPr>
              <m:t>CY</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ascii="Times New Roman"/>
        </w:rPr>
        <w:t>——作物</w:t>
      </w:r>
      <m:oMath>
        <m:r>
          <m:rPr/>
          <w:rPr>
            <w:rFonts w:ascii="Cambria Math" w:hAnsi="Cambria Math"/>
          </w:rPr>
          <m:t>i</m:t>
        </m:r>
      </m:oMath>
      <w:r>
        <w:rPr>
          <w:rFonts w:ascii="Times New Roman"/>
        </w:rPr>
        <w:t>核算年产量，单位：t/a；</w:t>
      </w:r>
    </w:p>
    <w:p w14:paraId="2123F532">
      <w:pPr>
        <w:pStyle w:val="58"/>
        <w:ind w:firstLine="420"/>
        <w:rPr>
          <w:rFonts w:ascii="Times New Roman"/>
        </w:rPr>
      </w:pPr>
      <m:oMath>
        <m:sSub>
          <m:sSubPr>
            <m:ctrlPr>
              <w:rPr>
                <w:rFonts w:ascii="Cambria Math" w:hAnsi="Cambria Math"/>
                <w:i/>
                <w:iCs/>
              </w:rPr>
            </m:ctrlPr>
          </m:sSubPr>
          <m:e>
            <m:r>
              <m:rPr/>
              <w:rPr>
                <w:rFonts w:ascii="Cambria Math" w:hAnsi="Cambria Math"/>
              </w:rPr>
              <m:t>SGR</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ascii="Times New Roman"/>
        </w:rPr>
        <w:t>——作物</w:t>
      </w:r>
      <m:oMath>
        <m:r>
          <m:rPr/>
          <w:rPr>
            <w:rFonts w:ascii="Cambria Math" w:hAnsi="Cambria Math"/>
          </w:rPr>
          <m:t>i</m:t>
        </m:r>
      </m:oMath>
      <w:r>
        <w:rPr>
          <w:rFonts w:ascii="Times New Roman"/>
        </w:rPr>
        <w:t>的草谷比，单位：无量纲，可参考表C.1</w:t>
      </w:r>
      <w:r>
        <w:rPr>
          <w:rFonts w:hint="eastAsia" w:ascii="Times New Roman"/>
        </w:rPr>
        <w:t>3</w:t>
      </w:r>
      <w:r>
        <w:rPr>
          <w:rFonts w:ascii="Times New Roman"/>
        </w:rPr>
        <w:t>取值；</w:t>
      </w:r>
    </w:p>
    <w:p w14:paraId="7B82546E">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S</m:t>
            </m:r>
            <m:ctrlPr>
              <w:rPr>
                <w:rFonts w:ascii="Cambria Math" w:hAnsi="Cambria Math"/>
                <w:i/>
                <w:kern w:val="2"/>
                <w:szCs w:val="21"/>
              </w:rPr>
            </m:ctrlPr>
          </m:e>
          <m:sub>
            <m:r>
              <m:rPr/>
              <w:rPr>
                <w:rFonts w:ascii="Cambria Math" w:hAnsi="Cambria Math"/>
              </w:rPr>
              <m:t>P</m:t>
            </m:r>
            <m:ctrlPr>
              <w:rPr>
                <w:rFonts w:ascii="Cambria Math" w:hAnsi="Cambria Math"/>
                <w:i/>
                <w:kern w:val="2"/>
                <w:szCs w:val="21"/>
              </w:rPr>
            </m:ctrlPr>
          </m:sub>
        </m:sSub>
      </m:oMath>
      <w:r>
        <w:rPr>
          <w:rFonts w:ascii="Times New Roman"/>
        </w:rPr>
        <w:t>——耕地面积，单位：hm</w:t>
      </w:r>
      <w:r>
        <w:rPr>
          <w:rFonts w:ascii="Times New Roman"/>
          <w:vertAlign w:val="superscript"/>
        </w:rPr>
        <w:t>2</w:t>
      </w:r>
      <w:r>
        <w:rPr>
          <w:rFonts w:ascii="Times New Roman"/>
        </w:rPr>
        <w:t>；</w:t>
      </w:r>
    </w:p>
    <w:p w14:paraId="51EDF4EC">
      <w:pPr>
        <w:pStyle w:val="58"/>
        <w:ind w:firstLine="420"/>
        <w:rPr>
          <w:rFonts w:ascii="Times New Roman"/>
        </w:rPr>
      </w:pPr>
      <m:oMath>
        <m:r>
          <m:rPr/>
          <w:rPr>
            <w:rFonts w:ascii="Cambria Math" w:hAnsi="Cambria Math"/>
          </w:rPr>
          <m:t>i</m:t>
        </m:r>
      </m:oMath>
      <w:r>
        <w:rPr>
          <w:rFonts w:ascii="Times New Roman"/>
        </w:rPr>
        <w:t>——作物类别；</w:t>
      </w:r>
    </w:p>
    <w:p w14:paraId="30D9F068">
      <w:pPr>
        <w:pStyle w:val="58"/>
        <w:ind w:firstLine="420"/>
        <w:rPr>
          <w:rFonts w:ascii="Cambria Math" w:hAnsi="Cambria Math"/>
          <w:oMath/>
        </w:rPr>
      </w:pPr>
      <m:oMath>
        <m:r>
          <m:rPr/>
          <w:rPr>
            <w:rFonts w:ascii="Cambria Math" w:hAnsi="Cambria Math"/>
          </w:rPr>
          <m:t>n</m:t>
        </m:r>
      </m:oMath>
      <w:r>
        <w:rPr>
          <w:rFonts w:ascii="Times New Roman"/>
        </w:rPr>
        <w:t>——作物种类。</w:t>
      </w:r>
      <w:r>
        <w:rPr>
          <w:rFonts w:ascii="Times New Roman"/>
        </w:rPr>
        <w:tab/>
      </w:r>
    </w:p>
    <w:p w14:paraId="33E8841F">
      <w:pPr>
        <w:pStyle w:val="79"/>
        <w:numPr>
          <w:ilvl w:val="0"/>
          <w:numId w:val="0"/>
        </w:numPr>
        <w:spacing w:before="156" w:after="156"/>
        <w:ind w:left="2977"/>
        <w:jc w:val="both"/>
        <w:rPr>
          <w:rFonts w:ascii="Times New Roman"/>
        </w:rPr>
      </w:pPr>
    </w:p>
    <w:p w14:paraId="7A2177E5">
      <w:pPr>
        <w:pStyle w:val="79"/>
        <w:numPr>
          <w:ilvl w:val="0"/>
          <w:numId w:val="0"/>
        </w:numPr>
        <w:spacing w:before="156" w:after="156"/>
        <w:ind w:left="2977"/>
        <w:jc w:val="both"/>
        <w:rPr>
          <w:rFonts w:ascii="Times New Roman"/>
        </w:rPr>
      </w:pPr>
      <w:r>
        <w:rPr>
          <w:rFonts w:ascii="Times New Roman"/>
        </w:rPr>
        <w:t>表C.1</w:t>
      </w:r>
      <w:r>
        <w:rPr>
          <w:rFonts w:hint="eastAsia" w:ascii="Times New Roman"/>
        </w:rPr>
        <w:t xml:space="preserve">3 </w:t>
      </w:r>
      <w:r>
        <w:rPr>
          <w:rFonts w:ascii="Times New Roman"/>
        </w:rPr>
        <w:t>不同作物的草谷比</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6"/>
        <w:gridCol w:w="2336"/>
        <w:gridCol w:w="2336"/>
      </w:tblGrid>
      <w:tr w14:paraId="62F66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8" w:space="0"/>
              <w:bottom w:val="single" w:color="auto" w:sz="8" w:space="0"/>
            </w:tcBorders>
            <w:shd w:val="clear" w:color="auto" w:fill="auto"/>
            <w:vAlign w:val="center"/>
          </w:tcPr>
          <w:p w14:paraId="710175D6">
            <w:pPr>
              <w:pStyle w:val="180"/>
              <w:rPr>
                <w:rFonts w:ascii="Times New Roman"/>
              </w:rPr>
            </w:pPr>
            <w:r>
              <w:rPr>
                <w:rFonts w:ascii="Times New Roman"/>
              </w:rPr>
              <w:t>作物</w:t>
            </w:r>
          </w:p>
        </w:tc>
        <w:tc>
          <w:tcPr>
            <w:tcW w:w="2336" w:type="dxa"/>
            <w:tcBorders>
              <w:top w:val="single" w:color="auto" w:sz="8" w:space="0"/>
              <w:bottom w:val="single" w:color="auto" w:sz="8" w:space="0"/>
            </w:tcBorders>
            <w:shd w:val="clear" w:color="auto" w:fill="auto"/>
            <w:vAlign w:val="center"/>
          </w:tcPr>
          <w:p w14:paraId="60129770">
            <w:pPr>
              <w:pStyle w:val="180"/>
              <w:rPr>
                <w:rFonts w:ascii="Times New Roman"/>
              </w:rPr>
            </w:pPr>
            <w:r>
              <w:rPr>
                <w:rFonts w:ascii="Times New Roman"/>
              </w:rPr>
              <w:t>草谷比</w:t>
            </w:r>
          </w:p>
        </w:tc>
        <w:tc>
          <w:tcPr>
            <w:tcW w:w="2336" w:type="dxa"/>
            <w:tcBorders>
              <w:top w:val="single" w:color="auto" w:sz="8" w:space="0"/>
              <w:bottom w:val="single" w:color="auto" w:sz="8" w:space="0"/>
            </w:tcBorders>
            <w:shd w:val="clear" w:color="auto" w:fill="auto"/>
            <w:vAlign w:val="center"/>
          </w:tcPr>
          <w:p w14:paraId="444897E7">
            <w:pPr>
              <w:pStyle w:val="180"/>
              <w:rPr>
                <w:rFonts w:ascii="Times New Roman"/>
              </w:rPr>
            </w:pPr>
            <w:r>
              <w:rPr>
                <w:rFonts w:ascii="Times New Roman"/>
              </w:rPr>
              <w:t>作物</w:t>
            </w:r>
          </w:p>
        </w:tc>
        <w:tc>
          <w:tcPr>
            <w:tcW w:w="2336" w:type="dxa"/>
            <w:tcBorders>
              <w:top w:val="single" w:color="auto" w:sz="8" w:space="0"/>
              <w:bottom w:val="single" w:color="auto" w:sz="8" w:space="0"/>
            </w:tcBorders>
            <w:shd w:val="clear" w:color="auto" w:fill="auto"/>
            <w:vAlign w:val="center"/>
          </w:tcPr>
          <w:p w14:paraId="2FF84832">
            <w:pPr>
              <w:pStyle w:val="180"/>
              <w:rPr>
                <w:rFonts w:ascii="Times New Roman"/>
              </w:rPr>
            </w:pPr>
            <w:r>
              <w:rPr>
                <w:rFonts w:ascii="Times New Roman"/>
              </w:rPr>
              <w:t>草谷比</w:t>
            </w:r>
          </w:p>
        </w:tc>
      </w:tr>
      <w:tr w14:paraId="6AACE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8" w:space="0"/>
            </w:tcBorders>
            <w:shd w:val="clear" w:color="auto" w:fill="auto"/>
            <w:vAlign w:val="center"/>
          </w:tcPr>
          <w:p w14:paraId="20DC6E9D">
            <w:pPr>
              <w:pStyle w:val="180"/>
              <w:rPr>
                <w:rFonts w:ascii="Times New Roman"/>
              </w:rPr>
            </w:pPr>
            <w:r>
              <w:rPr>
                <w:rFonts w:ascii="Times New Roman"/>
              </w:rPr>
              <w:t>水稻</w:t>
            </w:r>
          </w:p>
        </w:tc>
        <w:tc>
          <w:tcPr>
            <w:tcW w:w="2336" w:type="dxa"/>
            <w:tcBorders>
              <w:top w:val="single" w:color="auto" w:sz="8" w:space="0"/>
            </w:tcBorders>
            <w:shd w:val="clear" w:color="auto" w:fill="auto"/>
            <w:vAlign w:val="center"/>
          </w:tcPr>
          <w:p w14:paraId="438C3CCD">
            <w:pPr>
              <w:pStyle w:val="180"/>
              <w:rPr>
                <w:rFonts w:ascii="Times New Roman"/>
              </w:rPr>
            </w:pPr>
            <w:r>
              <w:rPr>
                <w:rFonts w:ascii="Times New Roman"/>
              </w:rPr>
              <w:t>0.623</w:t>
            </w:r>
          </w:p>
        </w:tc>
        <w:tc>
          <w:tcPr>
            <w:tcW w:w="2336" w:type="dxa"/>
            <w:tcBorders>
              <w:top w:val="single" w:color="auto" w:sz="8" w:space="0"/>
            </w:tcBorders>
            <w:shd w:val="clear" w:color="auto" w:fill="auto"/>
            <w:vAlign w:val="center"/>
          </w:tcPr>
          <w:p w14:paraId="76054E0D">
            <w:pPr>
              <w:pStyle w:val="180"/>
              <w:rPr>
                <w:rFonts w:ascii="Times New Roman"/>
              </w:rPr>
            </w:pPr>
            <w:r>
              <w:rPr>
                <w:rFonts w:ascii="Times New Roman"/>
              </w:rPr>
              <w:t>小麦</w:t>
            </w:r>
          </w:p>
        </w:tc>
        <w:tc>
          <w:tcPr>
            <w:tcW w:w="2336" w:type="dxa"/>
            <w:tcBorders>
              <w:top w:val="single" w:color="auto" w:sz="8" w:space="0"/>
            </w:tcBorders>
            <w:shd w:val="clear" w:color="auto" w:fill="auto"/>
            <w:vAlign w:val="center"/>
          </w:tcPr>
          <w:p w14:paraId="449030CC">
            <w:pPr>
              <w:pStyle w:val="180"/>
              <w:rPr>
                <w:rFonts w:ascii="Times New Roman"/>
              </w:rPr>
            </w:pPr>
            <w:r>
              <w:rPr>
                <w:rFonts w:ascii="Times New Roman"/>
              </w:rPr>
              <w:t>1.366</w:t>
            </w:r>
          </w:p>
        </w:tc>
      </w:tr>
      <w:tr w14:paraId="50984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06397709">
            <w:pPr>
              <w:pStyle w:val="180"/>
              <w:rPr>
                <w:rFonts w:ascii="Times New Roman"/>
              </w:rPr>
            </w:pPr>
            <w:r>
              <w:rPr>
                <w:rFonts w:ascii="Times New Roman"/>
              </w:rPr>
              <w:t>玉米</w:t>
            </w:r>
          </w:p>
        </w:tc>
        <w:tc>
          <w:tcPr>
            <w:tcW w:w="2336" w:type="dxa"/>
            <w:shd w:val="clear" w:color="auto" w:fill="auto"/>
            <w:vAlign w:val="center"/>
          </w:tcPr>
          <w:p w14:paraId="659858D4">
            <w:pPr>
              <w:pStyle w:val="180"/>
              <w:rPr>
                <w:rFonts w:ascii="Times New Roman"/>
              </w:rPr>
            </w:pPr>
            <w:r>
              <w:rPr>
                <w:rFonts w:ascii="Times New Roman"/>
              </w:rPr>
              <w:t>2.000</w:t>
            </w:r>
          </w:p>
        </w:tc>
        <w:tc>
          <w:tcPr>
            <w:tcW w:w="2336" w:type="dxa"/>
            <w:shd w:val="clear" w:color="auto" w:fill="auto"/>
            <w:vAlign w:val="center"/>
          </w:tcPr>
          <w:p w14:paraId="20949E93">
            <w:pPr>
              <w:pStyle w:val="180"/>
              <w:rPr>
                <w:rFonts w:ascii="Times New Roman"/>
              </w:rPr>
            </w:pPr>
            <w:r>
              <w:rPr>
                <w:rFonts w:ascii="Times New Roman"/>
              </w:rPr>
              <w:t>油菜</w:t>
            </w:r>
          </w:p>
        </w:tc>
        <w:tc>
          <w:tcPr>
            <w:tcW w:w="2336" w:type="dxa"/>
            <w:shd w:val="clear" w:color="auto" w:fill="auto"/>
            <w:vAlign w:val="center"/>
          </w:tcPr>
          <w:p w14:paraId="009433EA">
            <w:pPr>
              <w:pStyle w:val="180"/>
              <w:rPr>
                <w:rFonts w:ascii="Times New Roman"/>
              </w:rPr>
            </w:pPr>
            <w:r>
              <w:rPr>
                <w:rFonts w:ascii="Times New Roman"/>
              </w:rPr>
              <w:t>2.000</w:t>
            </w:r>
          </w:p>
        </w:tc>
      </w:tr>
      <w:tr w14:paraId="7B61E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shd w:val="clear" w:color="auto" w:fill="auto"/>
            <w:vAlign w:val="center"/>
          </w:tcPr>
          <w:p w14:paraId="7D248AC3">
            <w:pPr>
              <w:pStyle w:val="180"/>
              <w:rPr>
                <w:rFonts w:ascii="Times New Roman"/>
              </w:rPr>
            </w:pPr>
            <w:r>
              <w:rPr>
                <w:rFonts w:ascii="Times New Roman"/>
              </w:rPr>
              <w:t>棉花</w:t>
            </w:r>
          </w:p>
        </w:tc>
        <w:tc>
          <w:tcPr>
            <w:tcW w:w="2336" w:type="dxa"/>
            <w:shd w:val="clear" w:color="auto" w:fill="auto"/>
            <w:vAlign w:val="center"/>
          </w:tcPr>
          <w:p w14:paraId="7DEC46F5">
            <w:pPr>
              <w:pStyle w:val="180"/>
              <w:rPr>
                <w:rFonts w:ascii="Times New Roman"/>
              </w:rPr>
            </w:pPr>
            <w:r>
              <w:rPr>
                <w:rFonts w:ascii="Times New Roman"/>
              </w:rPr>
              <w:t>8.100</w:t>
            </w:r>
          </w:p>
        </w:tc>
        <w:tc>
          <w:tcPr>
            <w:tcW w:w="2336" w:type="dxa"/>
            <w:shd w:val="clear" w:color="auto" w:fill="auto"/>
            <w:vAlign w:val="center"/>
          </w:tcPr>
          <w:p w14:paraId="6C6B2966">
            <w:pPr>
              <w:pStyle w:val="180"/>
              <w:rPr>
                <w:rFonts w:ascii="Times New Roman"/>
              </w:rPr>
            </w:pPr>
            <w:r>
              <w:rPr>
                <w:rFonts w:ascii="Times New Roman"/>
              </w:rPr>
              <w:t>马铃薯</w:t>
            </w:r>
          </w:p>
        </w:tc>
        <w:tc>
          <w:tcPr>
            <w:tcW w:w="2336" w:type="dxa"/>
            <w:shd w:val="clear" w:color="auto" w:fill="auto"/>
            <w:vAlign w:val="center"/>
          </w:tcPr>
          <w:p w14:paraId="66202CC2">
            <w:pPr>
              <w:pStyle w:val="180"/>
              <w:rPr>
                <w:rFonts w:ascii="Times New Roman"/>
              </w:rPr>
            </w:pPr>
            <w:r>
              <w:rPr>
                <w:rFonts w:ascii="Times New Roman"/>
              </w:rPr>
              <w:t>0.500</w:t>
            </w:r>
          </w:p>
        </w:tc>
      </w:tr>
    </w:tbl>
    <w:p w14:paraId="770032C0">
      <w:pPr>
        <w:pStyle w:val="80"/>
        <w:spacing w:before="156" w:after="156"/>
        <w:rPr>
          <w:rFonts w:ascii="Times New Roman"/>
        </w:rPr>
      </w:pPr>
      <w:bookmarkStart w:id="186" w:name="_Toc203399484"/>
      <w:bookmarkStart w:id="187" w:name="_Toc179674325"/>
      <w:bookmarkStart w:id="188" w:name="_Toc203399088"/>
      <w:bookmarkStart w:id="189" w:name="_Toc192077526"/>
      <w:r>
        <w:rPr>
          <w:rFonts w:ascii="Times New Roman"/>
        </w:rPr>
        <w:t>局部气候调节服务核算主要参数</w:t>
      </w:r>
      <w:bookmarkEnd w:id="186"/>
      <w:bookmarkEnd w:id="187"/>
      <w:bookmarkEnd w:id="188"/>
      <w:bookmarkEnd w:id="189"/>
    </w:p>
    <w:p w14:paraId="5DA7D8DF">
      <w:pPr>
        <w:pStyle w:val="81"/>
        <w:spacing w:before="156" w:after="156"/>
        <w:rPr>
          <w:rFonts w:ascii="Times New Roman"/>
        </w:rPr>
      </w:pPr>
      <w:r>
        <w:rPr>
          <w:rFonts w:ascii="Times New Roman"/>
        </w:rPr>
        <w:t>自然水体水面日蒸发量</w:t>
      </w:r>
    </w:p>
    <w:p w14:paraId="0B37DD39">
      <w:pPr>
        <w:pStyle w:val="58"/>
        <w:ind w:firstLine="420"/>
        <w:rPr>
          <w:rFonts w:ascii="Times New Roman"/>
        </w:rPr>
      </w:pPr>
      <w:r>
        <w:rPr>
          <w:rFonts w:ascii="Times New Roman"/>
        </w:rPr>
        <w:t>自然水体水面蒸发量，按照公式（C.</w:t>
      </w:r>
      <w:r>
        <w:rPr>
          <w:rFonts w:hint="eastAsia" w:ascii="Times New Roman"/>
        </w:rPr>
        <w:t>40</w:t>
      </w:r>
      <w:r>
        <w:rPr>
          <w:rFonts w:ascii="Times New Roman"/>
        </w:rPr>
        <w:t>）计算。</w:t>
      </w:r>
    </w:p>
    <w:p w14:paraId="792E90FF">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w</m:t>
            </m:r>
            <m:ctrlPr>
              <w:rPr>
                <w:rFonts w:ascii="Cambria Math" w:hAnsi="Cambria Math"/>
                <w:i/>
              </w:rPr>
            </m:ctrlPr>
          </m:sub>
        </m:sSub>
        <m:r>
          <m:rPr/>
          <w:rPr>
            <w:rFonts w:ascii="Cambria Math" w:hAnsi="Cambria Math"/>
          </w:rPr>
          <m:t>=E×k×A×</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ascii="Times New Roman" w:hAnsi="Times New Roman" w:eastAsia="微软雅黑"/>
        </w:rPr>
        <w:tab/>
      </w:r>
      <w:r>
        <w:rPr>
          <w:rFonts w:ascii="Times New Roman" w:hAnsi="Times New Roman"/>
        </w:rPr>
        <w:t>(C.</w:t>
      </w:r>
      <w:r>
        <w:rPr>
          <w:rFonts w:hint="eastAsia" w:ascii="Times New Roman" w:hAnsi="Times New Roman"/>
        </w:rPr>
        <w:t>40</w:t>
      </w:r>
      <w:r>
        <w:rPr>
          <w:rFonts w:ascii="Times New Roman" w:hAnsi="Times New Roman"/>
        </w:rPr>
        <w:t>)</w:t>
      </w:r>
    </w:p>
    <w:p w14:paraId="0A7D76CF">
      <w:pPr>
        <w:pStyle w:val="57"/>
        <w:ind w:firstLine="420"/>
        <w:rPr>
          <w:rFonts w:ascii="Times New Roman" w:hAnsi="Times New Roman"/>
        </w:rPr>
      </w:pPr>
      <w:r>
        <w:rPr>
          <w:rFonts w:ascii="Times New Roman" w:hAnsi="Times New Roman"/>
        </w:rPr>
        <w:t>式中：</w:t>
      </w:r>
    </w:p>
    <w:p w14:paraId="0A439388">
      <w:pPr>
        <w:pStyle w:val="58"/>
        <w:ind w:firstLine="420"/>
        <w:rPr>
          <w:rFonts w:ascii="Times New Roman"/>
        </w:rPr>
      </w:pPr>
      <m:oMath>
        <m:sSub>
          <m:sSubPr>
            <m:ctrlPr>
              <w:rPr>
                <w:rFonts w:ascii="Cambria Math" w:hAnsi="Cambria Math" w:eastAsia="方正仿宋_GBK"/>
                <w:i/>
                <w:color w:val="000000" w:themeColor="text1"/>
                <w:kern w:val="15"/>
                <w14:textFill>
                  <w14:solidFill>
                    <w14:schemeClr w14:val="tx1"/>
                  </w14:solidFill>
                </w14:textFill>
              </w:rPr>
            </m:ctrlPr>
          </m:sSubPr>
          <m:e>
            <m:r>
              <m:rPr/>
              <w:rPr>
                <w:rFonts w:ascii="Cambria Math" w:hAnsi="Cambria Math" w:eastAsia="方正仿宋_GBK"/>
                <w:color w:val="000000" w:themeColor="text1"/>
                <w:kern w:val="15"/>
                <w14:textFill>
                  <w14:solidFill>
                    <w14:schemeClr w14:val="tx1"/>
                  </w14:solidFill>
                </w14:textFill>
              </w:rPr>
              <m:t>E</m:t>
            </m:r>
            <m:ctrlPr>
              <w:rPr>
                <w:rFonts w:ascii="Cambria Math" w:hAnsi="Cambria Math" w:eastAsia="方正仿宋_GBK"/>
                <w:i/>
                <w:color w:val="000000" w:themeColor="text1"/>
                <w:kern w:val="15"/>
                <w14:textFill>
                  <w14:solidFill>
                    <w14:schemeClr w14:val="tx1"/>
                  </w14:solidFill>
                </w14:textFill>
              </w:rPr>
            </m:ctrlPr>
          </m:e>
          <m:sub>
            <m:r>
              <m:rPr/>
              <w:rPr>
                <w:rFonts w:ascii="Cambria Math" w:hAnsi="Cambria Math" w:eastAsia="方正仿宋_GBK"/>
                <w:color w:val="000000" w:themeColor="text1"/>
                <w:kern w:val="15"/>
                <w14:textFill>
                  <w14:solidFill>
                    <w14:schemeClr w14:val="tx1"/>
                  </w14:solidFill>
                </w14:textFill>
              </w:rPr>
              <m:t>w</m:t>
            </m:r>
            <m:ctrlPr>
              <w:rPr>
                <w:rFonts w:ascii="Cambria Math" w:hAnsi="Cambria Math" w:eastAsia="方正仿宋_GBK"/>
                <w:i/>
                <w:color w:val="000000" w:themeColor="text1"/>
                <w:kern w:val="15"/>
                <w14:textFill>
                  <w14:solidFill>
                    <w14:schemeClr w14:val="tx1"/>
                  </w14:solidFill>
                </w14:textFill>
              </w:rPr>
            </m:ctrlPr>
          </m:sub>
        </m:sSub>
      </m:oMath>
      <w:r>
        <w:rPr>
          <w:rFonts w:ascii="Times New Roman"/>
        </w:rPr>
        <w:t>——自然水体水面日蒸发量，单位：m</w:t>
      </w:r>
      <w:r>
        <w:rPr>
          <w:rFonts w:ascii="Times New Roman"/>
          <w:vertAlign w:val="superscript"/>
        </w:rPr>
        <w:t>3</w:t>
      </w:r>
      <w:r>
        <w:rPr>
          <w:rFonts w:ascii="Times New Roman"/>
        </w:rPr>
        <w:t>；</w:t>
      </w:r>
    </w:p>
    <w:p w14:paraId="5D7F81F3">
      <w:pPr>
        <w:pStyle w:val="58"/>
        <w:ind w:firstLine="420"/>
        <w:rPr>
          <w:rFonts w:ascii="Times New Roman"/>
        </w:rPr>
      </w:pPr>
      <m:oMath>
        <m:r>
          <m:rPr/>
          <w:rPr>
            <w:rFonts w:ascii="Cambria Math" w:hAnsi="Cambria Math" w:eastAsia="方正仿宋_GBK"/>
            <w:color w:val="000000" w:themeColor="text1"/>
            <w:kern w:val="15"/>
            <w14:textFill>
              <w14:solidFill>
                <w14:schemeClr w14:val="tx1"/>
              </w14:solidFill>
            </w14:textFill>
          </w:rPr>
          <m:t>E</m:t>
        </m:r>
      </m:oMath>
      <w:r>
        <w:rPr>
          <w:rFonts w:ascii="Times New Roman"/>
        </w:rPr>
        <w:t>——小型蒸发器观测日蒸发量，单位：mm；</w:t>
      </w:r>
    </w:p>
    <w:p w14:paraId="7FA9344B">
      <w:pPr>
        <w:pStyle w:val="58"/>
        <w:ind w:firstLine="420"/>
        <w:rPr>
          <w:rFonts w:ascii="Times New Roman"/>
        </w:rPr>
      </w:pPr>
      <m:oMath>
        <m:r>
          <m:rPr/>
          <w:rPr>
            <w:rFonts w:ascii="Cambria Math" w:hAnsi="Cambria Math" w:eastAsia="方正仿宋_GBK"/>
            <w:color w:val="000000" w:themeColor="text1"/>
            <w:kern w:val="15"/>
            <w14:textFill>
              <w14:solidFill>
                <w14:schemeClr w14:val="tx1"/>
              </w14:solidFill>
            </w14:textFill>
          </w:rPr>
          <m:t>k</m:t>
        </m:r>
      </m:oMath>
      <w:r>
        <w:rPr>
          <w:rFonts w:ascii="Times New Roman"/>
        </w:rPr>
        <w:t>——小型蒸发器与自然水体蒸发折算系数，默认取0.611；</w:t>
      </w:r>
    </w:p>
    <w:p w14:paraId="19482C77">
      <w:pPr>
        <w:pStyle w:val="58"/>
        <w:ind w:firstLine="420"/>
        <w:rPr>
          <w:rFonts w:ascii="Times New Roman"/>
        </w:rPr>
      </w:pPr>
      <m:oMath>
        <m:r>
          <m:rPr/>
          <w:rPr>
            <w:rFonts w:ascii="Cambria Math" w:hAnsi="Cambria Math"/>
          </w:rPr>
          <m:t>A</m:t>
        </m:r>
      </m:oMath>
      <w:r>
        <w:rPr>
          <w:rFonts w:ascii="Times New Roman"/>
        </w:rPr>
        <w:t>——自然水体面积，单位：m</w:t>
      </w:r>
      <w:r>
        <w:rPr>
          <w:rFonts w:ascii="Times New Roman"/>
          <w:vertAlign w:val="superscript"/>
        </w:rPr>
        <w:t>2</w:t>
      </w:r>
      <w:r>
        <w:rPr>
          <w:rFonts w:ascii="Times New Roman"/>
        </w:rPr>
        <w:t>。</w:t>
      </w:r>
    </w:p>
    <w:p w14:paraId="00DE9798">
      <w:pPr>
        <w:pStyle w:val="81"/>
        <w:spacing w:before="156" w:after="156"/>
        <w:rPr>
          <w:rFonts w:ascii="Times New Roman"/>
        </w:rPr>
      </w:pPr>
      <w:r>
        <w:rPr>
          <w:rFonts w:ascii="Times New Roman"/>
        </w:rPr>
        <w:t>开放空调降温的天数</w:t>
      </w:r>
    </w:p>
    <w:p w14:paraId="766A44D5">
      <w:pPr>
        <w:pStyle w:val="58"/>
        <w:ind w:firstLine="420"/>
        <w:rPr>
          <w:rFonts w:ascii="Times New Roman"/>
        </w:rPr>
      </w:pPr>
      <w:r>
        <w:rPr>
          <w:rFonts w:ascii="Times New Roman"/>
        </w:rPr>
        <w:t>核算年份内日最高气温大于等于26℃的天数。</w:t>
      </w:r>
    </w:p>
    <w:p w14:paraId="65DF9C6F">
      <w:pPr>
        <w:pStyle w:val="81"/>
        <w:spacing w:before="156" w:after="156"/>
        <w:rPr>
          <w:rFonts w:ascii="Times New Roman"/>
        </w:rPr>
      </w:pPr>
      <w:r>
        <w:rPr>
          <w:rFonts w:ascii="Times New Roman"/>
        </w:rPr>
        <w:t>开放加湿器的天数</w:t>
      </w:r>
    </w:p>
    <w:p w14:paraId="4E8139D9">
      <w:pPr>
        <w:pStyle w:val="58"/>
        <w:ind w:firstLine="420"/>
        <w:rPr>
          <w:rFonts w:ascii="Times New Roman"/>
        </w:rPr>
      </w:pPr>
      <w:r>
        <w:rPr>
          <w:rFonts w:ascii="Times New Roman"/>
        </w:rPr>
        <w:t>核算年份内日平均湿度小于30%的天数。</w:t>
      </w:r>
    </w:p>
    <w:p w14:paraId="4E950668">
      <w:pPr>
        <w:pStyle w:val="80"/>
        <w:spacing w:before="156" w:after="156"/>
        <w:rPr>
          <w:rFonts w:ascii="Times New Roman"/>
        </w:rPr>
      </w:pPr>
      <w:bookmarkStart w:id="190" w:name="_Toc203399485"/>
      <w:bookmarkStart w:id="191" w:name="_Toc192077527"/>
      <w:bookmarkStart w:id="192" w:name="_Toc179674326"/>
      <w:bookmarkStart w:id="193" w:name="_Toc203399089"/>
      <w:r>
        <w:rPr>
          <w:rFonts w:ascii="Times New Roman"/>
        </w:rPr>
        <w:t>噪声消减服务核算主要参数</w:t>
      </w:r>
      <w:bookmarkEnd w:id="190"/>
      <w:bookmarkEnd w:id="191"/>
      <w:bookmarkEnd w:id="192"/>
      <w:bookmarkEnd w:id="193"/>
    </w:p>
    <w:p w14:paraId="4623B60C">
      <w:pPr>
        <w:pStyle w:val="81"/>
        <w:spacing w:before="156" w:after="156"/>
        <w:rPr>
          <w:rFonts w:ascii="Times New Roman"/>
        </w:rPr>
      </w:pPr>
      <w:bookmarkStart w:id="194" w:name="_Toc179674327"/>
      <w:r>
        <w:rPr>
          <w:rFonts w:ascii="Times New Roman"/>
        </w:rPr>
        <w:t>绿化带宽度分级</w:t>
      </w:r>
      <w:bookmarkEnd w:id="194"/>
    </w:p>
    <w:p w14:paraId="630BC446">
      <w:pPr>
        <w:pStyle w:val="58"/>
        <w:ind w:firstLine="420"/>
        <w:rPr>
          <w:rFonts w:ascii="Times New Roman"/>
        </w:rPr>
      </w:pPr>
      <w:r>
        <w:rPr>
          <w:rFonts w:ascii="Times New Roman"/>
        </w:rPr>
        <w:t>绿化带宽度分级，宜按照表C.1</w:t>
      </w:r>
      <w:r>
        <w:rPr>
          <w:rFonts w:hint="eastAsia" w:ascii="Times New Roman"/>
        </w:rPr>
        <w:t>4</w:t>
      </w:r>
      <w:r>
        <w:rPr>
          <w:rFonts w:ascii="Times New Roman"/>
        </w:rPr>
        <w:t>确定。</w:t>
      </w:r>
    </w:p>
    <w:p w14:paraId="55758A12">
      <w:pPr>
        <w:pStyle w:val="79"/>
        <w:numPr>
          <w:ilvl w:val="0"/>
          <w:numId w:val="0"/>
        </w:numPr>
        <w:spacing w:before="156" w:after="156"/>
        <w:ind w:left="420"/>
        <w:rPr>
          <w:rFonts w:ascii="Times New Roman"/>
        </w:rPr>
      </w:pPr>
      <w:r>
        <w:rPr>
          <w:rFonts w:ascii="Times New Roman"/>
        </w:rPr>
        <w:t>表C.1</w:t>
      </w:r>
      <w:r>
        <w:rPr>
          <w:rFonts w:hint="eastAsia" w:ascii="Times New Roman"/>
        </w:rPr>
        <w:t xml:space="preserve">4 </w:t>
      </w:r>
      <w:r>
        <w:rPr>
          <w:rFonts w:ascii="Times New Roman"/>
        </w:rPr>
        <w:t>绿化带宽度分级</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2760D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193EA9CF">
            <w:pPr>
              <w:pStyle w:val="180"/>
              <w:rPr>
                <w:rFonts w:ascii="Times New Roman"/>
              </w:rPr>
            </w:pPr>
            <w:r>
              <w:rPr>
                <w:rFonts w:ascii="Times New Roman"/>
              </w:rPr>
              <w:t>绿化带宽度（W）</w:t>
            </w:r>
          </w:p>
        </w:tc>
        <w:tc>
          <w:tcPr>
            <w:tcW w:w="4667" w:type="dxa"/>
            <w:tcBorders>
              <w:top w:val="single" w:color="auto" w:sz="8" w:space="0"/>
              <w:bottom w:val="single" w:color="auto" w:sz="8" w:space="0"/>
            </w:tcBorders>
            <w:shd w:val="clear" w:color="auto" w:fill="auto"/>
            <w:vAlign w:val="center"/>
          </w:tcPr>
          <w:p w14:paraId="140538CD">
            <w:pPr>
              <w:pStyle w:val="180"/>
              <w:rPr>
                <w:rFonts w:ascii="Times New Roman"/>
              </w:rPr>
            </w:pPr>
            <w:r>
              <w:rPr>
                <w:rFonts w:ascii="Times New Roman"/>
              </w:rPr>
              <w:t>级别</w:t>
            </w:r>
          </w:p>
        </w:tc>
      </w:tr>
      <w:tr w14:paraId="2B02A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49664F20">
            <w:pPr>
              <w:pStyle w:val="180"/>
              <w:rPr>
                <w:rFonts w:ascii="Times New Roman"/>
              </w:rPr>
            </w:pPr>
            <w:r>
              <w:rPr>
                <w:rFonts w:ascii="Times New Roman"/>
              </w:rPr>
              <w:t>W≤0.5m</w:t>
            </w:r>
          </w:p>
        </w:tc>
        <w:tc>
          <w:tcPr>
            <w:tcW w:w="4667" w:type="dxa"/>
            <w:tcBorders>
              <w:top w:val="single" w:color="auto" w:sz="8" w:space="0"/>
            </w:tcBorders>
            <w:shd w:val="clear" w:color="auto" w:fill="auto"/>
            <w:vAlign w:val="center"/>
          </w:tcPr>
          <w:p w14:paraId="74F66161">
            <w:pPr>
              <w:pStyle w:val="180"/>
              <w:rPr>
                <w:rFonts w:ascii="Times New Roman"/>
              </w:rPr>
            </w:pPr>
            <w:r>
              <w:rPr>
                <w:rFonts w:ascii="Times New Roman"/>
              </w:rPr>
              <w:t>1</w:t>
            </w:r>
          </w:p>
        </w:tc>
      </w:tr>
      <w:tr w14:paraId="3074E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1141660">
            <w:pPr>
              <w:pStyle w:val="180"/>
              <w:rPr>
                <w:rFonts w:ascii="Times New Roman"/>
              </w:rPr>
            </w:pPr>
            <w:r>
              <w:rPr>
                <w:rFonts w:ascii="Times New Roman"/>
              </w:rPr>
              <w:t>0.5m＜W≤1m</w:t>
            </w:r>
          </w:p>
        </w:tc>
        <w:tc>
          <w:tcPr>
            <w:tcW w:w="4667" w:type="dxa"/>
            <w:shd w:val="clear" w:color="auto" w:fill="auto"/>
            <w:vAlign w:val="center"/>
          </w:tcPr>
          <w:p w14:paraId="1AAB15ED">
            <w:pPr>
              <w:pStyle w:val="180"/>
              <w:rPr>
                <w:rFonts w:ascii="Times New Roman"/>
              </w:rPr>
            </w:pPr>
            <w:r>
              <w:rPr>
                <w:rFonts w:ascii="Times New Roman"/>
              </w:rPr>
              <w:t>2</w:t>
            </w:r>
          </w:p>
        </w:tc>
      </w:tr>
      <w:tr w14:paraId="6EA1CC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11AA93F">
            <w:pPr>
              <w:pStyle w:val="180"/>
              <w:rPr>
                <w:rFonts w:ascii="Times New Roman"/>
              </w:rPr>
            </w:pPr>
            <w:r>
              <w:rPr>
                <w:rFonts w:ascii="Times New Roman"/>
              </w:rPr>
              <w:t>1m＜W≤1.5m</w:t>
            </w:r>
          </w:p>
        </w:tc>
        <w:tc>
          <w:tcPr>
            <w:tcW w:w="4667" w:type="dxa"/>
            <w:shd w:val="clear" w:color="auto" w:fill="auto"/>
            <w:vAlign w:val="center"/>
          </w:tcPr>
          <w:p w14:paraId="46DB859E">
            <w:pPr>
              <w:pStyle w:val="180"/>
              <w:rPr>
                <w:rFonts w:ascii="Times New Roman"/>
              </w:rPr>
            </w:pPr>
            <w:r>
              <w:rPr>
                <w:rFonts w:ascii="Times New Roman"/>
              </w:rPr>
              <w:t>3</w:t>
            </w:r>
          </w:p>
        </w:tc>
      </w:tr>
      <w:tr w14:paraId="148CAE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03F615C">
            <w:pPr>
              <w:pStyle w:val="180"/>
              <w:rPr>
                <w:rFonts w:ascii="Times New Roman"/>
              </w:rPr>
            </w:pPr>
            <w:r>
              <w:rPr>
                <w:rFonts w:ascii="Times New Roman"/>
              </w:rPr>
              <w:t>1.5m＜W≤2m</w:t>
            </w:r>
          </w:p>
        </w:tc>
        <w:tc>
          <w:tcPr>
            <w:tcW w:w="4667" w:type="dxa"/>
            <w:shd w:val="clear" w:color="auto" w:fill="auto"/>
            <w:vAlign w:val="center"/>
          </w:tcPr>
          <w:p w14:paraId="2A86E85B">
            <w:pPr>
              <w:pStyle w:val="180"/>
              <w:rPr>
                <w:rFonts w:ascii="Times New Roman"/>
              </w:rPr>
            </w:pPr>
            <w:r>
              <w:rPr>
                <w:rFonts w:ascii="Times New Roman"/>
              </w:rPr>
              <w:t>4</w:t>
            </w:r>
          </w:p>
        </w:tc>
      </w:tr>
      <w:tr w14:paraId="5A6736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73FDC4AB">
            <w:pPr>
              <w:pStyle w:val="180"/>
              <w:rPr>
                <w:rFonts w:ascii="Times New Roman"/>
              </w:rPr>
            </w:pPr>
            <w:r>
              <w:rPr>
                <w:rFonts w:ascii="Times New Roman"/>
              </w:rPr>
              <w:t>W＞2m</w:t>
            </w:r>
          </w:p>
        </w:tc>
        <w:tc>
          <w:tcPr>
            <w:tcW w:w="4667" w:type="dxa"/>
            <w:shd w:val="clear" w:color="auto" w:fill="auto"/>
            <w:vAlign w:val="center"/>
          </w:tcPr>
          <w:p w14:paraId="696ECACE">
            <w:pPr>
              <w:pStyle w:val="180"/>
              <w:rPr>
                <w:rFonts w:ascii="Times New Roman"/>
              </w:rPr>
            </w:pPr>
            <w:r>
              <w:rPr>
                <w:rFonts w:ascii="Times New Roman"/>
              </w:rPr>
              <w:t>5</w:t>
            </w:r>
          </w:p>
        </w:tc>
      </w:tr>
    </w:tbl>
    <w:p w14:paraId="449900ED">
      <w:pPr>
        <w:pStyle w:val="81"/>
        <w:spacing w:before="156" w:after="156"/>
        <w:rPr>
          <w:rFonts w:ascii="Times New Roman"/>
        </w:rPr>
      </w:pPr>
      <w:bookmarkStart w:id="195" w:name="_Toc179674328"/>
      <w:r>
        <w:rPr>
          <w:rFonts w:ascii="Times New Roman"/>
        </w:rPr>
        <w:t>隔音墙年折旧率</w:t>
      </w:r>
      <w:bookmarkEnd w:id="195"/>
    </w:p>
    <w:p w14:paraId="3CC56F78">
      <w:pPr>
        <w:pStyle w:val="58"/>
        <w:ind w:firstLine="420"/>
        <w:rPr>
          <w:rFonts w:ascii="Times New Roman"/>
        </w:rPr>
      </w:pPr>
      <w:r>
        <w:rPr>
          <w:rFonts w:ascii="Times New Roman"/>
        </w:rPr>
        <w:t>参考JT/T 646.2-2016中公路声屏障使用寿命10年，隔音墙年折旧率取10%。</w:t>
      </w:r>
    </w:p>
    <w:p w14:paraId="7D523398">
      <w:pPr>
        <w:pStyle w:val="81"/>
        <w:spacing w:before="156" w:after="156"/>
        <w:rPr>
          <w:rFonts w:ascii="Times New Roman"/>
        </w:rPr>
      </w:pPr>
      <w:r>
        <w:rPr>
          <w:rFonts w:ascii="Times New Roman"/>
        </w:rPr>
        <w:t>隔音墙降噪水平</w:t>
      </w:r>
    </w:p>
    <w:p w14:paraId="559248BA">
      <w:pPr>
        <w:pStyle w:val="58"/>
        <w:ind w:firstLine="420"/>
        <w:rPr>
          <w:rFonts w:ascii="Times New Roman"/>
        </w:rPr>
      </w:pPr>
      <w:r>
        <w:rPr>
          <w:rFonts w:ascii="Times New Roman"/>
        </w:rPr>
        <w:t>参考JT/T 646.4-2016中不同公路声屏障声学性能要求平均值，隔音墙降噪水平默认取23dB。</w:t>
      </w:r>
    </w:p>
    <w:p w14:paraId="67FCE0CF">
      <w:pPr>
        <w:pStyle w:val="80"/>
        <w:spacing w:before="156" w:after="156"/>
        <w:rPr>
          <w:rFonts w:ascii="Times New Roman"/>
        </w:rPr>
      </w:pPr>
      <w:bookmarkStart w:id="196" w:name="_Toc192077528"/>
      <w:bookmarkStart w:id="197" w:name="_Toc203399486"/>
      <w:bookmarkStart w:id="198" w:name="_Toc203399090"/>
      <w:bookmarkStart w:id="199" w:name="_Toc179674329"/>
      <w:r>
        <w:rPr>
          <w:rFonts w:ascii="Times New Roman"/>
        </w:rPr>
        <w:t>旅游康养服务核算主要参数</w:t>
      </w:r>
      <w:bookmarkEnd w:id="196"/>
      <w:bookmarkEnd w:id="197"/>
      <w:bookmarkEnd w:id="198"/>
      <w:bookmarkEnd w:id="199"/>
    </w:p>
    <w:p w14:paraId="6B494BD9">
      <w:pPr>
        <w:pStyle w:val="81"/>
        <w:spacing w:before="156" w:after="156"/>
        <w:rPr>
          <w:rFonts w:ascii="Times New Roman"/>
        </w:rPr>
      </w:pPr>
      <w:bookmarkStart w:id="200" w:name="_Toc179674330"/>
      <w:r>
        <w:rPr>
          <w:rFonts w:ascii="Times New Roman"/>
        </w:rPr>
        <w:t>自然景区平均旅行成本</w:t>
      </w:r>
      <w:bookmarkEnd w:id="200"/>
    </w:p>
    <w:p w14:paraId="75EFBE30">
      <w:pPr>
        <w:pStyle w:val="58"/>
        <w:ind w:firstLine="420"/>
        <w:rPr>
          <w:rFonts w:ascii="Times New Roman"/>
        </w:rPr>
      </w:pPr>
      <w:r>
        <w:rPr>
          <w:rFonts w:ascii="Times New Roman"/>
        </w:rPr>
        <w:t>平均旅行成本包括旅行时间成本和旅行直接费用，按照公式（C.4</w:t>
      </w:r>
      <w:r>
        <w:rPr>
          <w:rFonts w:hint="eastAsia" w:ascii="Times New Roman"/>
        </w:rPr>
        <w:t>1</w:t>
      </w:r>
      <w:r>
        <w:rPr>
          <w:rFonts w:ascii="Times New Roman"/>
        </w:rPr>
        <w:t>）（C.</w:t>
      </w:r>
      <w:r>
        <w:rPr>
          <w:rFonts w:hint="eastAsia" w:ascii="Times New Roman"/>
        </w:rPr>
        <w:t>42</w:t>
      </w:r>
      <w:r>
        <w:rPr>
          <w:rFonts w:ascii="Times New Roman"/>
        </w:rPr>
        <w:t>）（C.4</w:t>
      </w:r>
      <w:r>
        <w:rPr>
          <w:rFonts w:hint="eastAsia" w:ascii="Times New Roman"/>
        </w:rPr>
        <w:t>3</w:t>
      </w:r>
      <w:r>
        <w:rPr>
          <w:rFonts w:ascii="Times New Roman"/>
        </w:rPr>
        <w:t>）计算。</w:t>
      </w:r>
    </w:p>
    <w:p w14:paraId="0960291B">
      <w:pPr>
        <w:pStyle w:val="115"/>
        <w:rPr>
          <w:rFonts w:ascii="Times New Roman" w:hAnsi="Times New Roman"/>
        </w:rPr>
      </w:pPr>
      <w:r>
        <w:rPr>
          <w:rFonts w:ascii="Times New Roman" w:hAnsi="Times New Roman"/>
        </w:rPr>
        <w:tab/>
      </w:r>
      <m:oMath>
        <m:r>
          <m:rPr/>
          <w:rPr>
            <w:rFonts w:ascii="Cambria Math" w:hAnsi="Cambria Math"/>
          </w:rPr>
          <m:t>TC=</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di</m:t>
            </m:r>
            <m:ctrlPr>
              <w:rPr>
                <w:rFonts w:ascii="Cambria Math" w:hAnsi="Cambria Math"/>
                <w:i/>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41</w:t>
      </w:r>
      <w:r>
        <w:rPr>
          <w:rFonts w:ascii="Times New Roman" w:hAnsi="Times New Roman"/>
        </w:rPr>
        <w:t>)</w:t>
      </w:r>
    </w:p>
    <w:p w14:paraId="4915B96A">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ti</m:t>
            </m:r>
            <m:ctrlPr>
              <w:rPr>
                <w:rFonts w:ascii="Cambria Math" w:hAnsi="Cambria Math"/>
                <w:i/>
              </w:rPr>
            </m:ctrlPr>
          </m:sub>
        </m:sSub>
        <m:r>
          <m:rPr/>
          <w:rPr>
            <w:rFonts w:ascii="Cambria Math" w:hAnsi="Cambria Math"/>
          </w:rPr>
          <m:t>=</m:t>
        </m:r>
        <m:d>
          <m:dPr>
            <m:ctrlPr>
              <w:rPr>
                <w:rFonts w:ascii="Cambria Math" w:hAnsi="Cambria Math"/>
                <w:i/>
              </w:rPr>
            </m:ctrlPr>
          </m:dPr>
          <m:e>
            <m:r>
              <m:rPr/>
              <w:rPr>
                <w:rFonts w:ascii="Cambria Math" w:hAnsi="Cambria Math"/>
              </w:rPr>
              <m:t>TO×S+TI</m:t>
            </m:r>
            <m:ctrlPr>
              <w:rPr>
                <w:rFonts w:ascii="Cambria Math" w:hAnsi="Cambria Math"/>
                <w:i/>
              </w:rPr>
            </m:ctrlPr>
          </m:e>
        </m:d>
        <m:r>
          <m:rPr/>
          <w:rPr>
            <w:rFonts w:ascii="Cambria Math" w:hAnsi="Cambria Math"/>
          </w:rPr>
          <m:t>×W</m:t>
        </m:r>
      </m:oMath>
      <w:r>
        <w:rPr>
          <w:rFonts w:ascii="Times New Roman" w:hAnsi="Times New Roman" w:eastAsia="微软雅黑"/>
        </w:rPr>
        <w:tab/>
      </w:r>
      <w:r>
        <w:rPr>
          <w:rFonts w:ascii="Times New Roman" w:hAnsi="Times New Roman"/>
        </w:rPr>
        <w:t>(C.</w:t>
      </w:r>
      <w:r>
        <w:rPr>
          <w:rFonts w:hint="eastAsia" w:ascii="Times New Roman" w:hAnsi="Times New Roman"/>
        </w:rPr>
        <w:t>42</w:t>
      </w:r>
      <w:r>
        <w:rPr>
          <w:rFonts w:ascii="Times New Roman" w:hAnsi="Times New Roman"/>
        </w:rPr>
        <w:t>)</w:t>
      </w:r>
    </w:p>
    <w:p w14:paraId="6176F1B8">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di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tc</m:t>
            </m:r>
            <m:ctrlPr>
              <w:rPr>
                <w:rFonts w:ascii="Cambria Math" w:hAnsi="Cambria Math"/>
                <w:i/>
              </w:rPr>
            </m:ctrlPr>
          </m:sub>
        </m:sSub>
        <m:r>
          <m:rPr/>
          <w:rPr>
            <w:rFonts w:ascii="Cambria Math" w:hAnsi="Cambria Math"/>
          </w:rPr>
          <m:t>×S+</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lf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ef</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n</m:t>
            </m:r>
            <m:ctrlPr>
              <w:rPr>
                <w:rFonts w:ascii="Cambria Math" w:hAnsi="Cambria Math"/>
                <w:i/>
              </w:rPr>
            </m:ctrlPr>
          </m:sub>
        </m:sSub>
      </m:oMath>
      <w:r>
        <w:rPr>
          <w:rFonts w:ascii="Times New Roman" w:hAnsi="Times New Roman" w:eastAsia="微软雅黑"/>
        </w:rPr>
        <w:tab/>
      </w:r>
      <w:r>
        <w:rPr>
          <w:rFonts w:ascii="Times New Roman" w:hAnsi="Times New Roman"/>
        </w:rPr>
        <w:t>(C.</w:t>
      </w:r>
      <w:r>
        <w:rPr>
          <w:rFonts w:hint="eastAsia" w:ascii="Times New Roman" w:hAnsi="Times New Roman"/>
        </w:rPr>
        <w:t>43</w:t>
      </w:r>
      <w:r>
        <w:rPr>
          <w:rFonts w:ascii="Times New Roman" w:hAnsi="Times New Roman"/>
        </w:rPr>
        <w:t>)</w:t>
      </w:r>
    </w:p>
    <w:p w14:paraId="2B24145C">
      <w:pPr>
        <w:pStyle w:val="58"/>
        <w:ind w:firstLine="420"/>
        <w:rPr>
          <w:rFonts w:ascii="Times New Roman"/>
        </w:rPr>
      </w:pPr>
      <m:oMath>
        <m:r>
          <m:rPr/>
          <w:rPr>
            <w:rFonts w:ascii="Cambria Math" w:hAnsi="Cambria Math"/>
          </w:rPr>
          <m:t>TC</m:t>
        </m:r>
      </m:oMath>
      <w:r>
        <w:rPr>
          <w:rFonts w:ascii="Times New Roman"/>
        </w:rPr>
        <w:t>——自然景区</w:t>
      </w:r>
      <w:r>
        <w:rPr>
          <w:rFonts w:hint="eastAsia" w:ascii="Times New Roman"/>
        </w:rPr>
        <w:t>和自然类旅游康养度假区</w:t>
      </w:r>
      <w:r>
        <w:rPr>
          <w:rFonts w:ascii="Times New Roman"/>
        </w:rPr>
        <w:t>平均旅行成本，单位：元/人次；</w:t>
      </w:r>
    </w:p>
    <w:p w14:paraId="222DD235">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ti</m:t>
            </m:r>
            <m:ctrlPr>
              <w:rPr>
                <w:rFonts w:ascii="Cambria Math" w:hAnsi="Cambria Math"/>
                <w:i/>
                <w:kern w:val="2"/>
                <w:szCs w:val="21"/>
              </w:rPr>
            </m:ctrlPr>
          </m:sub>
        </m:sSub>
      </m:oMath>
      <w:r>
        <w:rPr>
          <w:rFonts w:ascii="Times New Roman"/>
        </w:rPr>
        <w:t>——自然景区</w:t>
      </w:r>
      <w:r>
        <w:rPr>
          <w:rFonts w:hint="eastAsia" w:ascii="Times New Roman"/>
        </w:rPr>
        <w:t>和自然类旅游康养度假区</w:t>
      </w:r>
      <w:r>
        <w:rPr>
          <w:rFonts w:ascii="Times New Roman"/>
        </w:rPr>
        <w:t>平均旅行成本，单位：元</w:t>
      </w:r>
      <w:r>
        <w:rPr>
          <w:rFonts w:ascii="Times New Roman" w:eastAsia="Times New Roman"/>
        </w:rPr>
        <w:t>/</w:t>
      </w:r>
      <w:r>
        <w:rPr>
          <w:rFonts w:ascii="Times New Roman"/>
        </w:rPr>
        <w:t>人次；</w:t>
      </w:r>
    </w:p>
    <w:p w14:paraId="52E60B5A">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di</m:t>
            </m:r>
            <m:ctrlPr>
              <w:rPr>
                <w:rFonts w:ascii="Cambria Math" w:hAnsi="Cambria Math"/>
                <w:i/>
                <w:kern w:val="2"/>
                <w:szCs w:val="21"/>
              </w:rPr>
            </m:ctrlPr>
          </m:sub>
        </m:sSub>
      </m:oMath>
      <w:r>
        <w:rPr>
          <w:rFonts w:ascii="Times New Roman"/>
        </w:rPr>
        <w:t>——自然景区</w:t>
      </w:r>
      <w:r>
        <w:rPr>
          <w:rFonts w:hint="eastAsia" w:ascii="Times New Roman"/>
        </w:rPr>
        <w:t>和自然类旅游康养度假区</w:t>
      </w:r>
      <w:r>
        <w:rPr>
          <w:rFonts w:ascii="Times New Roman"/>
        </w:rPr>
        <w:t>平均旅行直接费用，单位：元</w:t>
      </w:r>
      <w:r>
        <w:rPr>
          <w:rFonts w:ascii="Times New Roman" w:eastAsia="Times New Roman"/>
        </w:rPr>
        <w:t>/</w:t>
      </w:r>
      <w:r>
        <w:rPr>
          <w:rFonts w:ascii="Times New Roman"/>
        </w:rPr>
        <w:t>人次；</w:t>
      </w:r>
    </w:p>
    <w:p w14:paraId="5E4E5C34">
      <w:pPr>
        <w:pStyle w:val="58"/>
        <w:ind w:firstLine="420"/>
        <w:rPr>
          <w:rFonts w:ascii="Times New Roman"/>
        </w:rPr>
      </w:pPr>
      <m:oMath>
        <m:r>
          <m:rPr/>
          <w:rPr>
            <w:rFonts w:ascii="Cambria Math" w:hAnsi="Cambria Math"/>
          </w:rPr>
          <m:t>TO</m:t>
        </m:r>
      </m:oMath>
      <w:r>
        <w:rPr>
          <w:rFonts w:ascii="Times New Roman"/>
        </w:rPr>
        <w:t>——旅行平均在途时间，包括往返旅游地的城际交通和前往景区的市内交通时间，单位：</w:t>
      </w:r>
      <w:r>
        <w:rPr>
          <w:rFonts w:ascii="Times New Roman" w:eastAsia="Times New Roman"/>
        </w:rPr>
        <w:t>d/</w:t>
      </w:r>
      <w:r>
        <w:rPr>
          <w:rFonts w:ascii="Times New Roman"/>
        </w:rPr>
        <w:t>人次；</w:t>
      </w:r>
    </w:p>
    <w:p w14:paraId="7F340EEE">
      <w:pPr>
        <w:pStyle w:val="58"/>
        <w:ind w:firstLine="420"/>
        <w:rPr>
          <w:rFonts w:ascii="Times New Roman"/>
        </w:rPr>
      </w:pPr>
      <m:oMath>
        <m:r>
          <m:rPr/>
          <w:rPr>
            <w:rFonts w:ascii="Cambria Math" w:hAnsi="Cambria Math"/>
            <w:kern w:val="2"/>
            <w:szCs w:val="21"/>
          </w:rPr>
          <m:t>S</m:t>
        </m:r>
      </m:oMath>
      <w:r>
        <w:rPr>
          <w:rFonts w:ascii="Times New Roman"/>
        </w:rPr>
        <w:t>——自然类景区</w:t>
      </w:r>
      <w:r>
        <w:rPr>
          <w:rFonts w:hint="eastAsia" w:ascii="Times New Roman"/>
        </w:rPr>
        <w:t>和自然类旅游康养度假区</w:t>
      </w:r>
      <w:r>
        <w:rPr>
          <w:rFonts w:ascii="Times New Roman"/>
        </w:rPr>
        <w:t>旅行时间分配率，即自然类景区游览时间与各类景区游览总时间的比例，单位：%；</w:t>
      </w:r>
    </w:p>
    <w:p w14:paraId="0B2DAAB6">
      <w:pPr>
        <w:pStyle w:val="58"/>
        <w:ind w:firstLine="420"/>
        <w:rPr>
          <w:rFonts w:ascii="Times New Roman"/>
          <w:i/>
          <w:kern w:val="2"/>
          <w:szCs w:val="21"/>
        </w:rPr>
      </w:pPr>
      <m:oMath>
        <m:r>
          <m:rPr/>
          <w:rPr>
            <w:rFonts w:ascii="Cambria Math" w:hAnsi="Cambria Math"/>
            <w:kern w:val="2"/>
            <w:szCs w:val="21"/>
          </w:rPr>
          <m:t>TI</m:t>
        </m:r>
      </m:oMath>
      <w:r>
        <w:rPr>
          <w:rFonts w:ascii="Times New Roman"/>
          <w:i/>
          <w:kern w:val="2"/>
          <w:szCs w:val="21"/>
        </w:rPr>
        <w:t>——</w:t>
      </w:r>
      <w:r>
        <w:rPr>
          <w:rFonts w:ascii="Times New Roman"/>
        </w:rPr>
        <w:t>游客</w:t>
      </w:r>
      <w:r>
        <w:rPr>
          <w:rFonts w:ascii="Times New Roman"/>
          <w:iCs/>
          <w:kern w:val="2"/>
          <w:szCs w:val="21"/>
        </w:rPr>
        <w:t>自然类景区</w:t>
      </w:r>
      <w:r>
        <w:rPr>
          <w:rFonts w:hint="eastAsia" w:ascii="Times New Roman"/>
        </w:rPr>
        <w:t>和旅游康养度假区</w:t>
      </w:r>
      <w:r>
        <w:rPr>
          <w:rFonts w:ascii="Times New Roman"/>
          <w:iCs/>
          <w:kern w:val="2"/>
          <w:szCs w:val="21"/>
        </w:rPr>
        <w:t>游览的平均时间，单位：d/人次；</w:t>
      </w:r>
    </w:p>
    <w:p w14:paraId="71FAD178">
      <w:pPr>
        <w:pStyle w:val="58"/>
        <w:ind w:firstLine="420"/>
        <w:rPr>
          <w:rFonts w:ascii="Times New Roman"/>
        </w:rPr>
      </w:pPr>
      <m:oMath>
        <m:r>
          <m:rPr/>
          <w:rPr>
            <w:rFonts w:ascii="Cambria Math" w:hAnsi="Cambria Math"/>
            <w:kern w:val="2"/>
            <w:szCs w:val="21"/>
          </w:rPr>
          <m:t>W</m:t>
        </m:r>
      </m:oMath>
      <w:r>
        <w:rPr>
          <w:rFonts w:ascii="Times New Roman" w:eastAsiaTheme="minorEastAsia"/>
        </w:rPr>
        <w:t>——</w:t>
      </w:r>
      <w:r>
        <w:rPr>
          <w:rFonts w:ascii="Times New Roman"/>
        </w:rPr>
        <w:t>游客的日平均工资，单位：元</w:t>
      </w:r>
      <w:r>
        <w:rPr>
          <w:rFonts w:ascii="Times New Roman" w:eastAsiaTheme="minorEastAsia"/>
        </w:rPr>
        <w:t>/</w:t>
      </w:r>
      <w:r>
        <w:rPr>
          <w:rFonts w:ascii="Times New Roman"/>
        </w:rPr>
        <w:t>人·天；</w:t>
      </w:r>
    </w:p>
    <w:p w14:paraId="3E42E221">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tc</m:t>
            </m:r>
            <m:ctrlPr>
              <w:rPr>
                <w:rFonts w:ascii="Cambria Math" w:hAnsi="Cambria Math"/>
                <w:i/>
                <w:kern w:val="2"/>
                <w:szCs w:val="21"/>
              </w:rPr>
            </m:ctrlPr>
          </m:sub>
        </m:sSub>
      </m:oMath>
      <w:r>
        <w:rPr>
          <w:rFonts w:ascii="Times New Roman"/>
        </w:rPr>
        <w:t>——前往目的地的市际交通费用，单位：元/人次。</w:t>
      </w:r>
    </w:p>
    <w:p w14:paraId="26E9D771">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lf</m:t>
            </m:r>
            <m:ctrlPr>
              <w:rPr>
                <w:rFonts w:ascii="Cambria Math" w:hAnsi="Cambria Math"/>
                <w:i/>
                <w:kern w:val="2"/>
                <w:szCs w:val="21"/>
              </w:rPr>
            </m:ctrlPr>
          </m:sub>
        </m:sSub>
      </m:oMath>
      <w:r>
        <w:rPr>
          <w:rFonts w:ascii="Times New Roman"/>
        </w:rPr>
        <w:t>——自然</w:t>
      </w:r>
      <w:r>
        <w:rPr>
          <w:rFonts w:ascii="Times New Roman"/>
          <w:w w:val="105"/>
        </w:rPr>
        <w:t>景区</w:t>
      </w:r>
      <w:r>
        <w:rPr>
          <w:rFonts w:hint="eastAsia" w:ascii="Times New Roman"/>
        </w:rPr>
        <w:t>和自然类旅游康养度假区</w:t>
      </w:r>
      <w:r>
        <w:rPr>
          <w:rFonts w:ascii="Times New Roman"/>
          <w:w w:val="105"/>
        </w:rPr>
        <w:t>内食宿花费，</w:t>
      </w:r>
      <w:r>
        <w:rPr>
          <w:rFonts w:ascii="Times New Roman"/>
        </w:rPr>
        <w:t>单位：元/人次。</w:t>
      </w:r>
    </w:p>
    <w:p w14:paraId="73FAE084">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ef</m:t>
            </m:r>
            <m:ctrlPr>
              <w:rPr>
                <w:rFonts w:ascii="Cambria Math" w:hAnsi="Cambria Math"/>
                <w:i/>
                <w:kern w:val="2"/>
                <w:szCs w:val="21"/>
              </w:rPr>
            </m:ctrlPr>
          </m:sub>
        </m:sSub>
      </m:oMath>
      <w:r>
        <w:rPr>
          <w:rFonts w:ascii="Times New Roman"/>
        </w:rPr>
        <w:t>——自然景区</w:t>
      </w:r>
      <w:r>
        <w:rPr>
          <w:rFonts w:hint="eastAsia" w:ascii="Times New Roman"/>
        </w:rPr>
        <w:t>和自然类旅游康养度假区</w:t>
      </w:r>
      <w:r>
        <w:rPr>
          <w:rFonts w:ascii="Times New Roman"/>
        </w:rPr>
        <w:t>门票和往返的交通费用，单位：元/人次。</w:t>
      </w:r>
    </w:p>
    <w:p w14:paraId="7A841951">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n</m:t>
            </m:r>
            <m:ctrlPr>
              <w:rPr>
                <w:rFonts w:ascii="Cambria Math" w:hAnsi="Cambria Math"/>
                <w:i/>
                <w:kern w:val="2"/>
                <w:szCs w:val="21"/>
              </w:rPr>
            </m:ctrlPr>
          </m:sub>
        </m:sSub>
      </m:oMath>
      <w:r>
        <w:rPr>
          <w:rFonts w:ascii="Times New Roman"/>
        </w:rPr>
        <w:t>——</w:t>
      </w:r>
      <w:r>
        <w:rPr>
          <w:rFonts w:ascii="Times New Roman"/>
          <w:w w:val="105"/>
        </w:rPr>
        <w:t>自然景区</w:t>
      </w:r>
      <w:r>
        <w:rPr>
          <w:rFonts w:hint="eastAsia" w:ascii="Times New Roman"/>
        </w:rPr>
        <w:t>和自然类旅游康养度假区</w:t>
      </w:r>
      <w:r>
        <w:rPr>
          <w:rFonts w:ascii="Times New Roman"/>
          <w:w w:val="105"/>
        </w:rPr>
        <w:t>购物、娱乐等延伸相关花费</w:t>
      </w:r>
      <w:r>
        <w:rPr>
          <w:rFonts w:ascii="Times New Roman"/>
          <w:spacing w:val="-2"/>
          <w:w w:val="115"/>
        </w:rPr>
        <w:t>，</w:t>
      </w:r>
      <w:r>
        <w:rPr>
          <w:rFonts w:ascii="Times New Roman"/>
        </w:rPr>
        <w:t>单位：元/人次。</w:t>
      </w:r>
    </w:p>
    <w:p w14:paraId="38CC31E3">
      <w:pPr>
        <w:pStyle w:val="181"/>
        <w:rPr>
          <w:rFonts w:ascii="Times New Roman"/>
        </w:rPr>
      </w:pPr>
      <w:r>
        <w:rPr>
          <w:rFonts w:ascii="Times New Roman"/>
        </w:rPr>
        <w:t>应采用问卷调查方式获取上述数据。问卷设计、调查方法、质量控制、结果使用等可参考DB11/T 2059-2022。</w:t>
      </w:r>
    </w:p>
    <w:p w14:paraId="0CA295E1">
      <w:pPr>
        <w:pStyle w:val="81"/>
        <w:spacing w:before="156" w:after="156"/>
        <w:rPr>
          <w:rFonts w:ascii="Times New Roman"/>
        </w:rPr>
      </w:pPr>
      <w:bookmarkStart w:id="201" w:name="_Toc179674331"/>
      <w:r>
        <w:rPr>
          <w:rFonts w:ascii="Times New Roman"/>
        </w:rPr>
        <w:t>旅游康养自然景观倾向度</w:t>
      </w:r>
      <w:bookmarkEnd w:id="201"/>
    </w:p>
    <w:p w14:paraId="545C85FE">
      <w:pPr>
        <w:pStyle w:val="58"/>
        <w:ind w:firstLine="420"/>
        <w:rPr>
          <w:rFonts w:ascii="Times New Roman"/>
        </w:rPr>
      </w:pPr>
      <w:r>
        <w:rPr>
          <w:rFonts w:ascii="Times New Roman"/>
        </w:rPr>
        <w:t>自然景观倾向度按照公式（C.4</w:t>
      </w:r>
      <w:r>
        <w:rPr>
          <w:rFonts w:hint="eastAsia" w:ascii="Times New Roman"/>
        </w:rPr>
        <w:t>4</w:t>
      </w:r>
      <w:r>
        <w:rPr>
          <w:rFonts w:ascii="Times New Roman"/>
        </w:rPr>
        <w:t>）计算。</w:t>
      </w:r>
    </w:p>
    <w:p w14:paraId="7C8D5662">
      <w:pPr>
        <w:pStyle w:val="115"/>
        <w:rPr>
          <w:rFonts w:ascii="Times New Roman" w:hAnsi="Times New Roman"/>
        </w:rPr>
      </w:pPr>
      <w:r>
        <w:rPr>
          <w:rFonts w:ascii="Times New Roman" w:hAnsi="Times New Roman"/>
        </w:rPr>
        <w:tab/>
      </w:r>
      <m:oMath>
        <m:r>
          <m:rPr/>
          <w:rPr>
            <w:rFonts w:ascii="Cambria Math" w:hAnsi="Cambria Math"/>
          </w:rPr>
          <m:t>NC=</m:t>
        </m:r>
        <m:f>
          <m:fPr>
            <m:ctrlPr>
              <w:rPr>
                <w:rFonts w:ascii="Cambria Math" w:hAnsi="Cambria Math"/>
                <w:i/>
              </w:rPr>
            </m:ctrlPr>
          </m:fPr>
          <m:num>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NC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num>
          <m:den>
            <m:r>
              <m:rPr/>
              <w:rPr>
                <w:rFonts w:ascii="Cambria Math" w:hAnsi="Cambria Math"/>
              </w:rPr>
              <m:t>n</m:t>
            </m:r>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44</w:t>
      </w:r>
      <w:r>
        <w:rPr>
          <w:rFonts w:ascii="Times New Roman" w:hAnsi="Times New Roman"/>
        </w:rPr>
        <w:t>)</w:t>
      </w:r>
    </w:p>
    <w:p w14:paraId="5537EA22">
      <w:pPr>
        <w:pStyle w:val="57"/>
        <w:ind w:firstLine="420"/>
        <w:rPr>
          <w:rFonts w:ascii="Times New Roman" w:hAnsi="Times New Roman"/>
        </w:rPr>
      </w:pPr>
      <w:r>
        <w:rPr>
          <w:rFonts w:ascii="Times New Roman" w:hAnsi="Times New Roman"/>
        </w:rPr>
        <w:t>式中：</w:t>
      </w:r>
    </w:p>
    <w:p w14:paraId="5D1DEFFE">
      <w:pPr>
        <w:pStyle w:val="58"/>
        <w:ind w:firstLine="420"/>
        <w:rPr>
          <w:rFonts w:ascii="Times New Roman"/>
        </w:rPr>
      </w:pPr>
      <m:oMath>
        <m:r>
          <m:rPr/>
          <w:rPr>
            <w:rFonts w:ascii="Cambria Math" w:hAnsi="Cambria Math"/>
          </w:rPr>
          <m:t>NC</m:t>
        </m:r>
      </m:oMath>
      <w:r>
        <w:rPr>
          <w:rFonts w:ascii="Times New Roman"/>
        </w:rPr>
        <w:t>——自然景观倾向度，单位（%）;</w:t>
      </w:r>
    </w:p>
    <w:p w14:paraId="608CD4B7">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NC</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ascii="Times New Roman"/>
        </w:rPr>
        <w:t>——调查问卷中，第</w:t>
      </w:r>
      <m:oMath>
        <m:r>
          <m:rPr/>
          <w:rPr>
            <w:rFonts w:ascii="Cambria Math" w:hAnsi="Cambria Math"/>
          </w:rPr>
          <m:t>i</m:t>
        </m:r>
      </m:oMath>
      <w:r>
        <w:rPr>
          <w:rFonts w:ascii="Times New Roman"/>
        </w:rPr>
        <w:t>名受访者对某一自然景区的自然景观倾向度，即游客感受</w:t>
      </w:r>
      <w:r>
        <w:rPr>
          <w:rFonts w:ascii="Times New Roman"/>
          <w:iCs/>
        </w:rPr>
        <w:t>自然风光在该景区游览体验中占比，单位：%;</w:t>
      </w:r>
    </w:p>
    <w:p w14:paraId="15C94A79">
      <w:pPr>
        <w:pStyle w:val="58"/>
        <w:ind w:firstLine="420"/>
        <w:rPr>
          <w:rFonts w:ascii="Times New Roman"/>
        </w:rPr>
      </w:pPr>
      <m:oMath>
        <m:r>
          <m:rPr/>
          <w:rPr>
            <w:rFonts w:ascii="Cambria Math" w:hAnsi="Cambria Math"/>
          </w:rPr>
          <m:t>n</m:t>
        </m:r>
      </m:oMath>
      <w:r>
        <w:rPr>
          <w:rFonts w:ascii="Times New Roman"/>
        </w:rPr>
        <w:t>——问卷调查受访总人数。</w:t>
      </w:r>
    </w:p>
    <w:p w14:paraId="663ABD33">
      <w:pPr>
        <w:pStyle w:val="182"/>
        <w:numPr>
          <w:ilvl w:val="0"/>
          <w:numId w:val="33"/>
        </w:numPr>
        <w:rPr>
          <w:rFonts w:ascii="Times New Roman"/>
        </w:rPr>
      </w:pPr>
      <w:r>
        <w:rPr>
          <w:rFonts w:ascii="Times New Roman"/>
        </w:rPr>
        <w:t>应采用问卷调查方式获取上述数据。问卷设计、调查方法、质量控制、结果使用等可参考DB11/T 2059-2022；</w:t>
      </w:r>
    </w:p>
    <w:p w14:paraId="76794509">
      <w:pPr>
        <w:pStyle w:val="182"/>
        <w:rPr>
          <w:rFonts w:ascii="Times New Roman"/>
        </w:rPr>
      </w:pPr>
      <w:r>
        <w:rPr>
          <w:rFonts w:ascii="Times New Roman"/>
        </w:rPr>
        <w:t>该参数计算方法适用于休闲游憩自然景观倾向度计算。</w:t>
      </w:r>
    </w:p>
    <w:p w14:paraId="255A5F9C">
      <w:pPr>
        <w:pStyle w:val="80"/>
        <w:spacing w:before="156" w:after="156"/>
        <w:rPr>
          <w:rFonts w:ascii="Times New Roman"/>
        </w:rPr>
      </w:pPr>
      <w:bookmarkStart w:id="202" w:name="_Toc179674332"/>
      <w:bookmarkStart w:id="203" w:name="_Toc192077529"/>
      <w:bookmarkStart w:id="204" w:name="_Toc203399091"/>
      <w:bookmarkStart w:id="205" w:name="_Toc203399487"/>
      <w:r>
        <w:rPr>
          <w:rFonts w:ascii="Times New Roman"/>
        </w:rPr>
        <w:t>休闲游憩服务核算主要参数</w:t>
      </w:r>
      <w:bookmarkEnd w:id="202"/>
      <w:bookmarkEnd w:id="203"/>
      <w:bookmarkEnd w:id="204"/>
      <w:bookmarkEnd w:id="205"/>
    </w:p>
    <w:p w14:paraId="1712A889">
      <w:pPr>
        <w:pStyle w:val="81"/>
        <w:spacing w:before="156" w:after="156"/>
        <w:rPr>
          <w:rFonts w:ascii="Times New Roman"/>
        </w:rPr>
      </w:pPr>
      <w:bookmarkStart w:id="206" w:name="_Toc179674333"/>
      <w:r>
        <w:rPr>
          <w:rFonts w:ascii="Times New Roman"/>
        </w:rPr>
        <w:t>公园绿化活动场地服务半径覆盖率</w:t>
      </w:r>
      <w:bookmarkEnd w:id="206"/>
    </w:p>
    <w:p w14:paraId="41D84079">
      <w:pPr>
        <w:pStyle w:val="58"/>
        <w:ind w:firstLine="420"/>
        <w:rPr>
          <w:rFonts w:ascii="Times New Roman"/>
        </w:rPr>
      </w:pPr>
      <w:r>
        <w:rPr>
          <w:rFonts w:ascii="Times New Roman"/>
        </w:rPr>
        <w:t>公园绿化活动场地服务半径覆盖率按照公式（C.4</w:t>
      </w:r>
      <w:r>
        <w:rPr>
          <w:rFonts w:hint="eastAsia" w:ascii="Times New Roman"/>
        </w:rPr>
        <w:t>5</w:t>
      </w:r>
      <w:r>
        <w:rPr>
          <w:rFonts w:ascii="Times New Roman"/>
        </w:rPr>
        <w:t>）计算，公园绿化活动场地服务半径取值见表C.1</w:t>
      </w:r>
      <w:r>
        <w:rPr>
          <w:rFonts w:hint="eastAsia" w:ascii="Times New Roman"/>
        </w:rPr>
        <w:t>5</w:t>
      </w:r>
      <w:r>
        <w:rPr>
          <w:rFonts w:ascii="Times New Roman"/>
        </w:rPr>
        <w:t>。</w:t>
      </w:r>
    </w:p>
    <w:p w14:paraId="202E3E59">
      <w:pPr>
        <w:pStyle w:val="58"/>
        <w:ind w:firstLine="420"/>
        <w:rPr>
          <w:rFonts w:ascii="Times New Roman"/>
        </w:rPr>
      </w:pPr>
    </w:p>
    <w:p w14:paraId="291A8E63">
      <w:pPr>
        <w:pStyle w:val="115"/>
        <w:rPr>
          <w:rFonts w:ascii="Times New Roman" w:hAnsi="Times New Roman"/>
        </w:rPr>
      </w:pPr>
      <w:r>
        <w:rPr>
          <w:rFonts w:ascii="Times New Roman" w:hAnsi="Times New Roman"/>
        </w:rPr>
        <w:tab/>
      </w:r>
      <m:oMath>
        <m:r>
          <m:rPr/>
          <w:rPr>
            <w:rFonts w:ascii="Cambria Math" w:hAnsi="Cambria Math"/>
          </w:rPr>
          <m:t>Pc=</m:t>
        </m:r>
        <m:f>
          <m:fPr>
            <m:ctrlPr>
              <w:rPr>
                <w:rFonts w:ascii="Cambria Math" w:hAnsi="Cambria Math"/>
                <w:i/>
              </w:rPr>
            </m:ctrlPr>
          </m:fPr>
          <m:num>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p</m:t>
                </m:r>
                <m:ctrlPr>
                  <w:rPr>
                    <w:rFonts w:ascii="Cambria Math" w:hAnsi="Cambria Math"/>
                    <w:i/>
                  </w:rPr>
                </m:ctrlPr>
              </m:sub>
            </m:sSub>
            <m:ctrlPr>
              <w:rPr>
                <w:rFonts w:ascii="Cambria Math" w:hAnsi="Cambria Math"/>
                <w:i/>
              </w:rPr>
            </m:ctrlPr>
          </m:num>
          <m:den>
            <m:r>
              <m:rPr/>
              <w:rPr>
                <w:rFonts w:ascii="Cambria Math" w:hAnsi="Cambria Math"/>
              </w:rPr>
              <m:t>A</m:t>
            </m:r>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45</w:t>
      </w:r>
      <w:r>
        <w:rPr>
          <w:rFonts w:ascii="Times New Roman" w:hAnsi="Times New Roman"/>
        </w:rPr>
        <w:t>)</w:t>
      </w:r>
    </w:p>
    <w:p w14:paraId="7AD52C53">
      <w:pPr>
        <w:pStyle w:val="57"/>
        <w:ind w:firstLine="420"/>
        <w:rPr>
          <w:rFonts w:ascii="Times New Roman" w:hAnsi="Times New Roman"/>
        </w:rPr>
      </w:pPr>
      <w:r>
        <w:rPr>
          <w:rFonts w:ascii="Times New Roman" w:hAnsi="Times New Roman"/>
        </w:rPr>
        <w:t>式中：</w:t>
      </w:r>
    </w:p>
    <w:p w14:paraId="5F126D7A">
      <w:pPr>
        <w:pStyle w:val="58"/>
        <w:ind w:firstLine="420"/>
        <w:rPr>
          <w:rFonts w:ascii="Times New Roman"/>
        </w:rPr>
      </w:pPr>
      <m:oMath>
        <m:r>
          <m:rPr/>
          <w:rPr>
            <w:rFonts w:ascii="Cambria Math" w:hAnsi="Cambria Math"/>
          </w:rPr>
          <m:t>Pc</m:t>
        </m:r>
      </m:oMath>
      <w:r>
        <w:rPr>
          <w:rFonts w:ascii="Times New Roman"/>
        </w:rPr>
        <w:t>——核算区域建成区范围内公园绿化活动场地服务半径覆盖率，单位：%；</w:t>
      </w:r>
    </w:p>
    <w:p w14:paraId="60FECEF0">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A</m:t>
            </m:r>
            <m:ctrlPr>
              <w:rPr>
                <w:rFonts w:ascii="Cambria Math" w:hAnsi="Cambria Math"/>
                <w:i/>
                <w:kern w:val="2"/>
                <w:szCs w:val="21"/>
              </w:rPr>
            </m:ctrlPr>
          </m:e>
          <m:sub>
            <m:r>
              <m:rPr/>
              <w:rPr>
                <w:rFonts w:ascii="Cambria Math" w:hAnsi="Cambria Math"/>
              </w:rPr>
              <m:t>p</m:t>
            </m:r>
            <m:ctrlPr>
              <w:rPr>
                <w:rFonts w:ascii="Cambria Math" w:hAnsi="Cambria Math"/>
                <w:i/>
                <w:kern w:val="2"/>
                <w:szCs w:val="21"/>
              </w:rPr>
            </m:ctrlPr>
          </m:sub>
        </m:sSub>
      </m:oMath>
      <w:r>
        <w:rPr>
          <w:rFonts w:ascii="Times New Roman"/>
        </w:rPr>
        <w:t>——核算区域建成区范围内公园绿化活动场地服务半径覆盖的居住用地面积，单位：km</w:t>
      </w:r>
      <w:r>
        <w:rPr>
          <w:rFonts w:ascii="Times New Roman"/>
          <w:vertAlign w:val="superscript"/>
        </w:rPr>
        <w:t>2</w:t>
      </w:r>
      <w:r>
        <w:rPr>
          <w:rFonts w:ascii="Times New Roman"/>
        </w:rPr>
        <w:t>；</w:t>
      </w:r>
    </w:p>
    <w:p w14:paraId="2A55C36D">
      <w:pPr>
        <w:pStyle w:val="58"/>
        <w:ind w:firstLine="420"/>
        <w:rPr>
          <w:rFonts w:ascii="Times New Roman"/>
        </w:rPr>
      </w:pPr>
      <m:oMath>
        <m:r>
          <m:rPr/>
          <w:rPr>
            <w:rFonts w:ascii="Cambria Math" w:hAnsi="Cambria Math"/>
          </w:rPr>
          <m:t>A</m:t>
        </m:r>
      </m:oMath>
      <w:r>
        <w:rPr>
          <w:rFonts w:ascii="Times New Roman"/>
        </w:rPr>
        <w:t>——核算区域内建成区面积；</w:t>
      </w:r>
    </w:p>
    <w:p w14:paraId="3736F833">
      <w:pPr>
        <w:pStyle w:val="79"/>
        <w:numPr>
          <w:ilvl w:val="0"/>
          <w:numId w:val="0"/>
        </w:numPr>
        <w:spacing w:before="156" w:after="156"/>
        <w:ind w:left="420"/>
        <w:rPr>
          <w:rFonts w:ascii="Times New Roman"/>
        </w:rPr>
      </w:pPr>
    </w:p>
    <w:p w14:paraId="52DCA0EE">
      <w:pPr>
        <w:pStyle w:val="79"/>
        <w:numPr>
          <w:ilvl w:val="0"/>
          <w:numId w:val="0"/>
        </w:numPr>
        <w:spacing w:before="156" w:after="156"/>
        <w:ind w:left="420"/>
        <w:rPr>
          <w:rFonts w:ascii="Times New Roman"/>
        </w:rPr>
      </w:pPr>
      <w:r>
        <w:rPr>
          <w:rFonts w:ascii="Times New Roman"/>
        </w:rPr>
        <w:t>表C.1</w:t>
      </w:r>
      <w:r>
        <w:rPr>
          <w:rFonts w:hint="eastAsia" w:ascii="Times New Roman"/>
        </w:rPr>
        <w:t>5</w:t>
      </w:r>
      <w:r>
        <w:rPr>
          <w:rFonts w:ascii="Times New Roman"/>
        </w:rPr>
        <w:t>公园绿化活动场地服务半径</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7277C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7516B395">
            <w:pPr>
              <w:pStyle w:val="180"/>
            </w:pPr>
            <w:r>
              <w:t>公园绿化活动场地规模</w:t>
            </w:r>
          </w:p>
        </w:tc>
        <w:tc>
          <w:tcPr>
            <w:tcW w:w="4667" w:type="dxa"/>
            <w:tcBorders>
              <w:top w:val="single" w:color="auto" w:sz="8" w:space="0"/>
              <w:bottom w:val="single" w:color="auto" w:sz="8" w:space="0"/>
            </w:tcBorders>
            <w:shd w:val="clear" w:color="auto" w:fill="auto"/>
            <w:vAlign w:val="center"/>
          </w:tcPr>
          <w:p w14:paraId="02F45544">
            <w:pPr>
              <w:pStyle w:val="180"/>
            </w:pPr>
            <w:r>
              <w:t>服务半径</w:t>
            </w:r>
          </w:p>
        </w:tc>
      </w:tr>
      <w:tr w14:paraId="58DBE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78474235">
            <w:pPr>
              <w:pStyle w:val="180"/>
            </w:pPr>
            <w:r>
              <w:t>≥5000m</w:t>
            </w:r>
            <w:r>
              <w:rPr>
                <w:vertAlign w:val="superscript"/>
              </w:rPr>
              <w:t>2</w:t>
            </w:r>
          </w:p>
        </w:tc>
        <w:tc>
          <w:tcPr>
            <w:tcW w:w="4667" w:type="dxa"/>
            <w:tcBorders>
              <w:top w:val="single" w:color="auto" w:sz="8" w:space="0"/>
            </w:tcBorders>
            <w:shd w:val="clear" w:color="auto" w:fill="auto"/>
            <w:vAlign w:val="center"/>
          </w:tcPr>
          <w:p w14:paraId="60C3F6B2">
            <w:pPr>
              <w:pStyle w:val="180"/>
            </w:pPr>
            <w:r>
              <w:t>500m</w:t>
            </w:r>
          </w:p>
        </w:tc>
      </w:tr>
      <w:tr w14:paraId="7AAE1D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070DB836">
            <w:pPr>
              <w:pStyle w:val="180"/>
            </w:pPr>
            <w:r>
              <w:t>＜5000m</w:t>
            </w:r>
            <w:r>
              <w:rPr>
                <w:vertAlign w:val="superscript"/>
              </w:rPr>
              <w:t>2</w:t>
            </w:r>
          </w:p>
        </w:tc>
        <w:tc>
          <w:tcPr>
            <w:tcW w:w="4667" w:type="dxa"/>
            <w:shd w:val="clear" w:color="auto" w:fill="auto"/>
            <w:vAlign w:val="center"/>
          </w:tcPr>
          <w:p w14:paraId="3460A531">
            <w:pPr>
              <w:pStyle w:val="180"/>
            </w:pPr>
            <w:r>
              <w:t>300m</w:t>
            </w:r>
          </w:p>
        </w:tc>
      </w:tr>
    </w:tbl>
    <w:p w14:paraId="04B8E7A9">
      <w:pPr>
        <w:pStyle w:val="81"/>
        <w:spacing w:before="156" w:after="156"/>
        <w:rPr>
          <w:rFonts w:ascii="Times New Roman"/>
        </w:rPr>
      </w:pPr>
      <w:bookmarkStart w:id="207" w:name="_Toc179674334"/>
      <w:r>
        <w:rPr>
          <w:rFonts w:ascii="Times New Roman"/>
        </w:rPr>
        <w:t>休闲游憩自然景观倾向度</w:t>
      </w:r>
      <w:bookmarkEnd w:id="207"/>
    </w:p>
    <w:p w14:paraId="449BF0D2">
      <w:pPr>
        <w:pStyle w:val="58"/>
        <w:ind w:firstLine="420"/>
        <w:rPr>
          <w:rFonts w:ascii="Times New Roman"/>
        </w:rPr>
      </w:pPr>
      <w:r>
        <w:rPr>
          <w:rFonts w:ascii="Times New Roman"/>
        </w:rPr>
        <w:t>自然景观倾向度计算方法可参考附录C.11.2。</w:t>
      </w:r>
    </w:p>
    <w:p w14:paraId="2D728B7F">
      <w:pPr>
        <w:pStyle w:val="80"/>
        <w:spacing w:before="156" w:after="156"/>
        <w:rPr>
          <w:rFonts w:ascii="Times New Roman"/>
        </w:rPr>
      </w:pPr>
      <w:bookmarkStart w:id="208" w:name="_Toc203399092"/>
      <w:bookmarkStart w:id="209" w:name="_Toc179674335"/>
      <w:bookmarkStart w:id="210" w:name="_Toc203399488"/>
      <w:bookmarkStart w:id="211" w:name="_Toc192077530"/>
      <w:r>
        <w:rPr>
          <w:rFonts w:ascii="Times New Roman"/>
        </w:rPr>
        <w:t>景观增值服务核算主要参数</w:t>
      </w:r>
      <w:bookmarkEnd w:id="208"/>
      <w:bookmarkEnd w:id="209"/>
      <w:bookmarkEnd w:id="210"/>
      <w:bookmarkEnd w:id="211"/>
    </w:p>
    <w:p w14:paraId="1E5E4D7F">
      <w:pPr>
        <w:pStyle w:val="81"/>
        <w:spacing w:before="156" w:after="156"/>
        <w:rPr>
          <w:rFonts w:ascii="Times New Roman"/>
        </w:rPr>
      </w:pPr>
      <w:bookmarkStart w:id="212" w:name="_Toc179674336"/>
      <w:r>
        <w:rPr>
          <w:rFonts w:ascii="Times New Roman"/>
        </w:rPr>
        <w:t>酒店景观房平均单价</w:t>
      </w:r>
      <w:bookmarkEnd w:id="212"/>
    </w:p>
    <w:p w14:paraId="22CFCA1E">
      <w:pPr>
        <w:pStyle w:val="58"/>
        <w:ind w:firstLine="420"/>
        <w:rPr>
          <w:rFonts w:ascii="Times New Roman"/>
        </w:rPr>
      </w:pPr>
      <w:r>
        <w:rPr>
          <w:rFonts w:ascii="Times New Roman"/>
        </w:rPr>
        <w:t>酒店景观房平均单价按照公式（C.4</w:t>
      </w:r>
      <w:r>
        <w:rPr>
          <w:rFonts w:hint="eastAsia" w:ascii="Times New Roman"/>
        </w:rPr>
        <w:t>6</w:t>
      </w:r>
      <w:r>
        <w:rPr>
          <w:rFonts w:ascii="Times New Roman"/>
        </w:rPr>
        <w:t>）计算。</w:t>
      </w:r>
    </w:p>
    <w:p w14:paraId="1889B798">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d>
            <m:ctrlPr>
              <w:rPr>
                <w:rFonts w:ascii="Cambria Math" w:hAnsi="Cambria Math"/>
                <w:i/>
              </w:rPr>
            </m:ctrlPr>
          </m:num>
          <m:den>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MS Gothic"/>
                      </w:rPr>
                      <m:t xml:space="preserve">ℎ </m:t>
                    </m:r>
                    <m:r>
                      <m:rPr/>
                      <w:rPr>
                        <w:rFonts w:ascii="Cambria Math" w:hAnsi="Cambria Math" w:eastAsiaTheme="minorEastAsia"/>
                      </w:rPr>
                      <m:t>i</m:t>
                    </m:r>
                    <m:ctrlPr>
                      <w:rPr>
                        <w:rFonts w:ascii="Cambria Math" w:hAnsi="Cambria Math"/>
                        <w:i/>
                      </w:rPr>
                    </m:ctrlPr>
                  </m:sub>
                </m:sSub>
                <m:ctrlPr>
                  <w:rPr>
                    <w:rFonts w:ascii="Cambria Math" w:hAnsi="Cambria Math"/>
                    <w:i/>
                  </w:rPr>
                </m:ctrlPr>
              </m:e>
            </m:nary>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46</w:t>
      </w:r>
      <w:r>
        <w:rPr>
          <w:rFonts w:ascii="Times New Roman" w:hAnsi="Times New Roman"/>
        </w:rPr>
        <w:t>)</w:t>
      </w:r>
    </w:p>
    <w:p w14:paraId="7654FBC3">
      <w:pPr>
        <w:pStyle w:val="58"/>
        <w:ind w:firstLine="420"/>
        <w:rPr>
          <w:rFonts w:ascii="Times New Roman"/>
          <w:iCs/>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eastAsia="MS Gothic"/>
              </w:rPr>
              <m:t>ℎ</m:t>
            </m:r>
            <m:ctrlPr>
              <w:rPr>
                <w:rFonts w:ascii="Cambria Math" w:hAnsi="Cambria Math"/>
                <w:i/>
                <w:kern w:val="2"/>
                <w:szCs w:val="21"/>
              </w:rPr>
            </m:ctrlPr>
          </m:sub>
        </m:sSub>
      </m:oMath>
      <w:r>
        <w:rPr>
          <w:rFonts w:ascii="Times New Roman"/>
          <w:iCs/>
        </w:rPr>
        <w:t>——酒店宾馆景观房平均单价，单位：元/间夜；</w:t>
      </w:r>
    </w:p>
    <w:p w14:paraId="354B54DD">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1</m:t>
            </m:r>
            <m:ctrlPr>
              <w:rPr>
                <w:rFonts w:ascii="Cambria Math" w:hAnsi="Cambria Math"/>
                <w:i/>
                <w:kern w:val="2"/>
                <w:szCs w:val="21"/>
              </w:rPr>
            </m:ctrlPr>
          </m:sub>
        </m:sSub>
      </m:oMath>
      <w:r>
        <w:rPr>
          <w:rFonts w:ascii="Times New Roman"/>
        </w:rPr>
        <w:t>——抽样调查样本中，自然景区内的酒店总销售额，单位：元；</w:t>
      </w:r>
    </w:p>
    <w:p w14:paraId="260360DA">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——抽样调查样本中，自然景区外的酒店景观房的总销售额，单位：元；</w:t>
      </w:r>
    </w:p>
    <w:p w14:paraId="6AA7585F">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N</m:t>
            </m:r>
            <m:ctrlPr>
              <w:rPr>
                <w:rFonts w:ascii="Cambria Math" w:hAnsi="Cambria Math"/>
                <w:i/>
                <w:kern w:val="2"/>
                <w:szCs w:val="21"/>
              </w:rPr>
            </m:ctrlPr>
          </m:e>
          <m:sub>
            <m:r>
              <m:rPr/>
              <w:rPr>
                <w:rFonts w:ascii="Cambria Math" w:hAnsi="Cambria Math" w:eastAsia="MS Gothic"/>
              </w:rPr>
              <m:t xml:space="preserve">ℎ </m:t>
            </m:r>
            <m:r>
              <m:rPr/>
              <w:rPr>
                <w:rFonts w:ascii="Cambria Math" w:hAnsi="Cambria Math" w:eastAsiaTheme="minorEastAsia"/>
              </w:rPr>
              <m:t>i</m:t>
            </m:r>
            <m:ctrlPr>
              <w:rPr>
                <w:rFonts w:ascii="Cambria Math" w:hAnsi="Cambria Math"/>
                <w:i/>
                <w:kern w:val="2"/>
                <w:szCs w:val="21"/>
              </w:rPr>
            </m:ctrlPr>
          </m:sub>
        </m:sSub>
      </m:oMath>
      <w:r>
        <w:rPr>
          <w:rFonts w:ascii="Times New Roman"/>
        </w:rPr>
        <w:t>——抽样调查中，第</w:t>
      </w:r>
      <m:oMath>
        <m:r>
          <m:rPr/>
          <w:rPr>
            <w:rFonts w:ascii="Cambria Math" w:hAnsi="Cambria Math" w:eastAsiaTheme="minorEastAsia"/>
          </w:rPr>
          <m:t>i</m:t>
        </m:r>
      </m:oMath>
      <w:r>
        <w:rPr>
          <w:rFonts w:ascii="Times New Roman"/>
        </w:rPr>
        <w:t>个酒店的景观房销售面积，单位：间夜。</w:t>
      </w:r>
    </w:p>
    <w:p w14:paraId="30F611CC">
      <w:pPr>
        <w:pStyle w:val="181"/>
        <w:rPr>
          <w:rFonts w:ascii="Times New Roman"/>
        </w:rPr>
      </w:pPr>
      <w:r>
        <w:rPr>
          <w:rFonts w:ascii="Times New Roman"/>
        </w:rPr>
        <w:t>应采用问卷调查方式获取上述数据。问卷设计、调查方法、质量控制、结果使用等可参考DB11/T 2059-2022。</w:t>
      </w:r>
    </w:p>
    <w:p w14:paraId="6B159E6A">
      <w:pPr>
        <w:pStyle w:val="81"/>
        <w:spacing w:before="156" w:after="156"/>
        <w:rPr>
          <w:rFonts w:ascii="Times New Roman"/>
        </w:rPr>
      </w:pPr>
      <w:bookmarkStart w:id="213" w:name="_Toc179674337"/>
      <w:r>
        <w:rPr>
          <w:rFonts w:ascii="Times New Roman"/>
        </w:rPr>
        <w:t>酒店景观房景观溢价系数</w:t>
      </w:r>
      <w:bookmarkEnd w:id="213"/>
    </w:p>
    <w:p w14:paraId="376B4A82">
      <w:pPr>
        <w:pStyle w:val="58"/>
        <w:ind w:firstLine="420"/>
        <w:rPr>
          <w:rFonts w:ascii="Times New Roman"/>
        </w:rPr>
      </w:pPr>
      <w:r>
        <w:rPr>
          <w:rFonts w:ascii="Times New Roman"/>
          <w:iCs/>
        </w:rPr>
        <w:t>酒店宾馆景观房景观溢价系数</w:t>
      </w:r>
      <w:r>
        <w:rPr>
          <w:rFonts w:ascii="Times New Roman"/>
        </w:rPr>
        <w:t>按照公式（C.4</w:t>
      </w:r>
      <w:r>
        <w:rPr>
          <w:rFonts w:hint="eastAsia" w:ascii="Times New Roman"/>
        </w:rPr>
        <w:t>7</w:t>
      </w:r>
      <w:r>
        <w:rPr>
          <w:rFonts w:ascii="Times New Roman"/>
        </w:rPr>
        <w:t>）计算。</w:t>
      </w:r>
    </w:p>
    <w:p w14:paraId="2A163CC3">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47</w:t>
      </w:r>
      <w:r>
        <w:rPr>
          <w:rFonts w:ascii="Times New Roman" w:hAnsi="Times New Roman"/>
        </w:rPr>
        <w:t>)</w:t>
      </w:r>
    </w:p>
    <w:p w14:paraId="3225CF05">
      <w:pPr>
        <w:pStyle w:val="57"/>
        <w:ind w:firstLine="420"/>
        <w:rPr>
          <w:rFonts w:ascii="Times New Roman" w:hAnsi="Times New Roman"/>
        </w:rPr>
      </w:pPr>
      <w:r>
        <w:rPr>
          <w:rFonts w:ascii="Times New Roman" w:hAnsi="Times New Roman"/>
        </w:rPr>
        <w:t>式中：</w:t>
      </w:r>
    </w:p>
    <w:p w14:paraId="6F83C5E9">
      <w:pPr>
        <w:pStyle w:val="58"/>
        <w:ind w:firstLine="420"/>
        <w:rPr>
          <w:rFonts w:ascii="Times New Roman"/>
          <w:iCs/>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eastAsia="MS Gothic"/>
              </w:rPr>
              <m:t>ℎ</m:t>
            </m:r>
            <m:ctrlPr>
              <w:rPr>
                <w:rFonts w:ascii="Cambria Math" w:hAnsi="Cambria Math"/>
                <w:i/>
                <w:kern w:val="2"/>
                <w:szCs w:val="21"/>
              </w:rPr>
            </m:ctrlPr>
          </m:sub>
        </m:sSub>
      </m:oMath>
      <w:r>
        <w:rPr>
          <w:rFonts w:ascii="Times New Roman"/>
          <w:iCs/>
        </w:rPr>
        <w:t>——酒店宾馆景观房景观溢价系数，单位：%；</w:t>
      </w:r>
    </w:p>
    <w:p w14:paraId="2D4C6658">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——抽样调查中，非景区宾馆酒店有景观房酒店的景观房销售单价，单位：元/间夜；</w:t>
      </w:r>
    </w:p>
    <w:p w14:paraId="66FF0A9E">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——抽样调查中，非景区宾馆酒店有景观房酒店的非景观房销售单价，单位：元/间夜；</w:t>
      </w:r>
    </w:p>
    <w:p w14:paraId="614748A1">
      <w:pPr>
        <w:pStyle w:val="181"/>
        <w:rPr>
          <w:rFonts w:ascii="Times New Roman"/>
        </w:rPr>
      </w:pPr>
      <w:r>
        <w:rPr>
          <w:rFonts w:ascii="Times New Roman"/>
        </w:rPr>
        <w:t>应采用问卷调查方式获取上述数据。问卷设计、调查方法、质量控制、结果使用等可参考DB11/T 2059-2022。</w:t>
      </w:r>
    </w:p>
    <w:p w14:paraId="06BA44A6">
      <w:pPr>
        <w:pStyle w:val="81"/>
        <w:spacing w:before="156" w:after="156"/>
        <w:rPr>
          <w:rFonts w:ascii="Times New Roman"/>
        </w:rPr>
      </w:pPr>
      <w:bookmarkStart w:id="214" w:name="_Toc179674338"/>
      <w:r>
        <w:rPr>
          <w:rFonts w:ascii="Times New Roman"/>
        </w:rPr>
        <w:t>自有住房景观房平均单价</w:t>
      </w:r>
      <w:bookmarkEnd w:id="214"/>
    </w:p>
    <w:p w14:paraId="32E846F5">
      <w:pPr>
        <w:pStyle w:val="58"/>
        <w:ind w:firstLine="420"/>
        <w:rPr>
          <w:rFonts w:ascii="Times New Roman"/>
        </w:rPr>
      </w:pPr>
      <w:r>
        <w:rPr>
          <w:rFonts w:ascii="Times New Roman"/>
        </w:rPr>
        <w:t>酒店景观房平均单价按照公式（C.4</w:t>
      </w:r>
      <w:r>
        <w:rPr>
          <w:rFonts w:hint="eastAsia" w:ascii="Times New Roman"/>
        </w:rPr>
        <w:t>8</w:t>
      </w:r>
      <w:r>
        <w:rPr>
          <w:rFonts w:ascii="Times New Roman"/>
        </w:rPr>
        <w:t>）计算。</w:t>
      </w:r>
    </w:p>
    <w:p w14:paraId="13F6F6C1">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m:rPr/>
                      <w:rPr>
                        <w:rFonts w:ascii="Cambria Math" w:hAnsi="Cambria Math"/>
                      </w:rPr>
                      <m:t>RT</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+R</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e>
            </m:d>
            <m:ctrlPr>
              <w:rPr>
                <w:rFonts w:ascii="Cambria Math" w:hAnsi="Cambria Math"/>
                <w:i/>
              </w:rPr>
            </m:ctrlPr>
          </m:num>
          <m:den>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eastAsiaTheme="minorEastAsia"/>
                      </w:rPr>
                      <m:t>r</m:t>
                    </m:r>
                    <m:r>
                      <m:rPr/>
                      <w:rPr>
                        <w:rFonts w:ascii="Cambria Math" w:hAnsi="Cambria Math" w:eastAsia="MS Gothic"/>
                      </w:rPr>
                      <m:t xml:space="preserve"> </m:t>
                    </m:r>
                    <m:r>
                      <m:rPr/>
                      <w:rPr>
                        <w:rFonts w:ascii="Cambria Math" w:hAnsi="Cambria Math" w:eastAsiaTheme="minorEastAsia"/>
                      </w:rPr>
                      <m:t>i</m:t>
                    </m:r>
                    <m:ctrlPr>
                      <w:rPr>
                        <w:rFonts w:ascii="Cambria Math" w:hAnsi="Cambria Math"/>
                        <w:i/>
                      </w:rPr>
                    </m:ctrlPr>
                  </m:sub>
                </m:sSub>
                <m:ctrlPr>
                  <w:rPr>
                    <w:rFonts w:ascii="Cambria Math" w:hAnsi="Cambria Math"/>
                    <w:i/>
                  </w:rPr>
                </m:ctrlPr>
              </m:e>
            </m:nary>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48</w:t>
      </w:r>
      <w:r>
        <w:rPr>
          <w:rFonts w:ascii="Times New Roman" w:hAnsi="Times New Roman"/>
        </w:rPr>
        <w:t>)</w:t>
      </w:r>
    </w:p>
    <w:p w14:paraId="0465041D">
      <w:pPr>
        <w:pStyle w:val="57"/>
        <w:ind w:firstLine="420"/>
        <w:rPr>
          <w:rFonts w:ascii="Times New Roman" w:hAnsi="Times New Roman"/>
        </w:rPr>
      </w:pPr>
      <w:r>
        <w:rPr>
          <w:rFonts w:ascii="Times New Roman" w:hAnsi="Times New Roman"/>
        </w:rPr>
        <w:t>式中：</w:t>
      </w:r>
    </w:p>
    <w:p w14:paraId="325B7047">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eastAsiaTheme="minorEastAsia"/>
              </w:rPr>
              <m:t>r</m:t>
            </m:r>
            <m:ctrlPr>
              <w:rPr>
                <w:rFonts w:ascii="Cambria Math" w:hAnsi="Cambria Math"/>
                <w:i/>
                <w:kern w:val="2"/>
                <w:szCs w:val="21"/>
              </w:rPr>
            </m:ctrlPr>
          </m:sub>
        </m:sSub>
      </m:oMath>
      <w:r>
        <w:rPr>
          <w:rFonts w:ascii="Times New Roman"/>
        </w:rPr>
        <w:t>——自有住房景观房平均年租金</w:t>
      </w:r>
      <w:r>
        <w:rPr>
          <w:rFonts w:ascii="Times New Roman"/>
          <w:iCs/>
        </w:rPr>
        <w:t>，单位：元/m</w:t>
      </w:r>
      <w:r>
        <w:rPr>
          <w:rFonts w:ascii="Times New Roman"/>
          <w:iCs/>
          <w:vertAlign w:val="superscript"/>
        </w:rPr>
        <w:t>2</w:t>
      </w:r>
      <w:r>
        <w:rPr>
          <w:rFonts w:ascii="Times New Roman"/>
          <w:iCs/>
        </w:rPr>
        <w:t>·a；</w:t>
      </w:r>
    </w:p>
    <w:p w14:paraId="78EF1FEB">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RT</m:t>
            </m:r>
            <m:ctrlPr>
              <w:rPr>
                <w:rFonts w:ascii="Cambria Math" w:hAnsi="Cambria Math"/>
                <w:i/>
                <w:kern w:val="2"/>
                <w:szCs w:val="21"/>
              </w:rPr>
            </m:ctrlPr>
          </m:e>
          <m:sub>
            <m:r>
              <m:rPr/>
              <w:rPr>
                <w:rFonts w:ascii="Cambria Math" w:hAnsi="Cambria Math"/>
              </w:rPr>
              <m:t>1</m:t>
            </m:r>
            <m:ctrlPr>
              <w:rPr>
                <w:rFonts w:ascii="Cambria Math" w:hAnsi="Cambria Math"/>
                <w:i/>
                <w:kern w:val="2"/>
                <w:szCs w:val="21"/>
              </w:rPr>
            </m:ctrlPr>
          </m:sub>
        </m:sSub>
      </m:oMath>
      <w:r>
        <w:rPr>
          <w:rFonts w:ascii="Times New Roman"/>
        </w:rPr>
        <w:t>——抽样调查样本中，自然景区内的自有住房租金总额，单位：元</w:t>
      </w:r>
      <w:r>
        <w:rPr>
          <w:rFonts w:ascii="Times New Roman"/>
          <w:iCs/>
        </w:rPr>
        <w:t>/a</w:t>
      </w:r>
      <w:r>
        <w:rPr>
          <w:rFonts w:ascii="Times New Roman"/>
        </w:rPr>
        <w:t>；</w:t>
      </w:r>
    </w:p>
    <w:p w14:paraId="08A86932">
      <w:pPr>
        <w:pStyle w:val="58"/>
        <w:ind w:firstLine="420"/>
        <w:rPr>
          <w:rFonts w:ascii="Times New Roman"/>
        </w:rPr>
      </w:pPr>
      <m:oMath>
        <m:r>
          <m:rPr/>
          <w:rPr>
            <w:rFonts w:ascii="Cambria Math" w:hAnsi="Cambria Math"/>
            <w:kern w:val="2"/>
            <w:szCs w:val="21"/>
          </w:rPr>
          <m:t>R</m:t>
        </m:r>
        <m:sSub>
          <m:sSubPr>
            <m:ctrlPr>
              <w:rPr>
                <w:rFonts w:ascii="Cambria Math" w:hAnsi="Cambria Math"/>
                <w:i/>
                <w:kern w:val="2"/>
                <w:szCs w:val="21"/>
              </w:rPr>
            </m:ctrlPr>
          </m:sSubPr>
          <m:e>
            <m:r>
              <m:rPr/>
              <w:rPr>
                <w:rFonts w:ascii="Cambria Math" w:hAnsi="Cambria Math"/>
              </w:rPr>
              <m:t>T</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——抽样调查样本中，自然景区外的自有住房景区房租金总额，单位：元</w:t>
      </w:r>
      <w:r>
        <w:rPr>
          <w:rFonts w:ascii="Times New Roman"/>
          <w:iCs/>
        </w:rPr>
        <w:t>/a</w:t>
      </w:r>
      <w:r>
        <w:rPr>
          <w:rFonts w:ascii="Times New Roman"/>
        </w:rPr>
        <w:t>；</w:t>
      </w:r>
    </w:p>
    <w:p w14:paraId="3FD84927">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N</m:t>
            </m:r>
            <m:ctrlPr>
              <w:rPr>
                <w:rFonts w:ascii="Cambria Math" w:hAnsi="Cambria Math"/>
                <w:i/>
                <w:kern w:val="2"/>
                <w:szCs w:val="21"/>
              </w:rPr>
            </m:ctrlPr>
          </m:e>
          <m:sub>
            <m:r>
              <m:rPr/>
              <w:rPr>
                <w:rFonts w:ascii="Cambria Math" w:hAnsi="Cambria Math" w:eastAsiaTheme="minorEastAsia"/>
              </w:rPr>
              <m:t>r</m:t>
            </m:r>
            <m:r>
              <m:rPr/>
              <w:rPr>
                <w:rFonts w:ascii="Cambria Math" w:hAnsi="Cambria Math" w:eastAsia="MS Gothic"/>
              </w:rPr>
              <m:t xml:space="preserve"> </m:t>
            </m:r>
            <m:r>
              <m:rPr/>
              <w:rPr>
                <w:rFonts w:ascii="Cambria Math" w:hAnsi="Cambria Math" w:eastAsiaTheme="minorEastAsia"/>
              </w:rPr>
              <m:t>i</m:t>
            </m:r>
            <m:ctrlPr>
              <w:rPr>
                <w:rFonts w:ascii="Cambria Math" w:hAnsi="Cambria Math"/>
                <w:i/>
                <w:kern w:val="2"/>
                <w:szCs w:val="21"/>
              </w:rPr>
            </m:ctrlPr>
          </m:sub>
        </m:sSub>
      </m:oMath>
      <w:r>
        <w:rPr>
          <w:rFonts w:ascii="Times New Roman"/>
        </w:rPr>
        <w:t>——抽样调查中，第</w:t>
      </w:r>
      <m:oMath>
        <m:r>
          <m:rPr/>
          <w:rPr>
            <w:rFonts w:ascii="Cambria Math" w:hAnsi="Cambria Math" w:eastAsiaTheme="minorEastAsia"/>
          </w:rPr>
          <m:t>i</m:t>
        </m:r>
      </m:oMath>
      <w:r>
        <w:rPr>
          <w:rFonts w:ascii="Times New Roman"/>
        </w:rPr>
        <w:t>个小区的景观房总面积，单位：m</w:t>
      </w:r>
      <w:r>
        <w:rPr>
          <w:rFonts w:ascii="Times New Roman"/>
          <w:vertAlign w:val="superscript"/>
        </w:rPr>
        <w:t>2</w:t>
      </w:r>
      <w:r>
        <w:rPr>
          <w:rFonts w:ascii="Times New Roman"/>
        </w:rPr>
        <w:t>。</w:t>
      </w:r>
    </w:p>
    <w:p w14:paraId="677B3A87">
      <w:pPr>
        <w:pStyle w:val="181"/>
        <w:rPr>
          <w:rFonts w:ascii="Times New Roman"/>
        </w:rPr>
      </w:pPr>
      <w:r>
        <w:rPr>
          <w:rFonts w:ascii="Times New Roman"/>
        </w:rPr>
        <w:t>应采用问卷调查方式，开展自有住房景观房平均单价测算，问卷设计、调查方法、质量控制、结果使用等可参考DB11/T 2059-2022。</w:t>
      </w:r>
    </w:p>
    <w:p w14:paraId="7D813351">
      <w:pPr>
        <w:pStyle w:val="81"/>
        <w:spacing w:before="156" w:after="156"/>
        <w:rPr>
          <w:rFonts w:ascii="Times New Roman"/>
        </w:rPr>
      </w:pPr>
      <w:bookmarkStart w:id="215" w:name="_Toc179674339"/>
      <w:r>
        <w:rPr>
          <w:rFonts w:ascii="Times New Roman"/>
        </w:rPr>
        <w:t>自有住房景观房景观溢价系数</w:t>
      </w:r>
      <w:bookmarkEnd w:id="215"/>
    </w:p>
    <w:p w14:paraId="609AA84E">
      <w:pPr>
        <w:pStyle w:val="58"/>
        <w:ind w:firstLine="420"/>
        <w:rPr>
          <w:rFonts w:ascii="Times New Roman"/>
        </w:rPr>
      </w:pPr>
      <w:r>
        <w:rPr>
          <w:rFonts w:ascii="Times New Roman"/>
          <w:iCs/>
        </w:rPr>
        <w:t>自有住房景观房景观溢价系数</w:t>
      </w:r>
      <w:r>
        <w:rPr>
          <w:rFonts w:ascii="Times New Roman"/>
        </w:rPr>
        <w:t>按照公式（C.4</w:t>
      </w:r>
      <w:r>
        <w:rPr>
          <w:rFonts w:hint="eastAsia" w:ascii="Times New Roman"/>
        </w:rPr>
        <w:t>9</w:t>
      </w:r>
      <w:r>
        <w:rPr>
          <w:rFonts w:ascii="Times New Roman"/>
        </w:rPr>
        <w:t>）计算。</w:t>
      </w:r>
    </w:p>
    <w:p w14:paraId="2837982C">
      <w:pPr>
        <w:pStyle w:val="115"/>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oMath>
      <w:r>
        <w:rPr>
          <w:rFonts w:ascii="Times New Roman" w:hAnsi="Times New Roman" w:eastAsia="微软雅黑"/>
        </w:rPr>
        <w:tab/>
      </w:r>
      <w:r>
        <w:rPr>
          <w:rFonts w:ascii="Times New Roman" w:hAnsi="Times New Roman"/>
        </w:rPr>
        <w:t>(C.</w:t>
      </w:r>
      <w:r>
        <w:rPr>
          <w:rFonts w:hint="eastAsia" w:ascii="Times New Roman" w:hAnsi="Times New Roman"/>
        </w:rPr>
        <w:t>49</w:t>
      </w:r>
      <w:r>
        <w:rPr>
          <w:rFonts w:ascii="Times New Roman" w:hAnsi="Times New Roman"/>
        </w:rPr>
        <w:t>)</w:t>
      </w:r>
    </w:p>
    <w:p w14:paraId="77D58FAC">
      <w:pPr>
        <w:pStyle w:val="57"/>
        <w:ind w:firstLine="420"/>
        <w:rPr>
          <w:rFonts w:ascii="Times New Roman" w:hAnsi="Times New Roman"/>
        </w:rPr>
      </w:pPr>
      <w:r>
        <w:rPr>
          <w:rFonts w:ascii="Times New Roman" w:hAnsi="Times New Roman"/>
        </w:rPr>
        <w:t>式中：</w:t>
      </w:r>
    </w:p>
    <w:p w14:paraId="56F5A275">
      <w:pPr>
        <w:pStyle w:val="58"/>
        <w:ind w:firstLine="420"/>
        <w:rPr>
          <w:rFonts w:ascii="Times New Roman"/>
          <w:iCs/>
        </w:rPr>
      </w:pPr>
      <m:oMath>
        <m:sSub>
          <m:sSubPr>
            <m:ctrlPr>
              <w:rPr>
                <w:rFonts w:ascii="Cambria Math" w:hAnsi="Cambria Math"/>
                <w:i/>
                <w:kern w:val="2"/>
                <w:szCs w:val="21"/>
              </w:rPr>
            </m:ctrlPr>
          </m:sSubPr>
          <m:e>
            <m:r>
              <m:rPr/>
              <w:rPr>
                <w:rFonts w:ascii="Cambria Math" w:hAnsi="Cambria Math"/>
              </w:rPr>
              <m:t>R</m:t>
            </m:r>
            <m:ctrlPr>
              <w:rPr>
                <w:rFonts w:ascii="Cambria Math" w:hAnsi="Cambria Math"/>
                <w:i/>
                <w:kern w:val="2"/>
                <w:szCs w:val="21"/>
              </w:rPr>
            </m:ctrlPr>
          </m:e>
          <m:sub>
            <m:r>
              <m:rPr/>
              <w:rPr>
                <w:rFonts w:ascii="Cambria Math" w:hAnsi="Cambria Math"/>
                <w:kern w:val="2"/>
                <w:szCs w:val="21"/>
              </w:rPr>
              <m:t>r</m:t>
            </m:r>
            <m:ctrlPr>
              <w:rPr>
                <w:rFonts w:ascii="Cambria Math" w:hAnsi="Cambria Math"/>
                <w:i/>
                <w:kern w:val="2"/>
                <w:szCs w:val="21"/>
              </w:rPr>
            </m:ctrlPr>
          </m:sub>
        </m:sSub>
      </m:oMath>
      <w:r>
        <w:rPr>
          <w:rFonts w:ascii="Times New Roman"/>
          <w:iCs/>
        </w:rPr>
        <w:t>——自有住房景观房景观溢价系数，单位：%；</w:t>
      </w:r>
    </w:p>
    <w:p w14:paraId="28664EC7">
      <w:pPr>
        <w:pStyle w:val="58"/>
        <w:ind w:firstLine="420"/>
        <w:rPr>
          <w:rFonts w:ascii="Times New Roman"/>
        </w:rPr>
      </w:pPr>
      <m:oMath>
        <m:r>
          <m:rPr/>
          <w:rPr>
            <w:rFonts w:ascii="Cambria Math" w:hAnsi="Cambria Math"/>
            <w:kern w:val="2"/>
            <w:szCs w:val="21"/>
          </w:rPr>
          <m:t>R</m:t>
        </m:r>
        <m:sSub>
          <m:sSubPr>
            <m:ctrlPr>
              <w:rPr>
                <w:rFonts w:ascii="Cambria Math" w:hAnsi="Cambria Math"/>
                <w:i/>
                <w:kern w:val="2"/>
                <w:szCs w:val="21"/>
              </w:rPr>
            </m:ctrlPr>
          </m:sSubPr>
          <m:e>
            <m:r>
              <m:rPr/>
              <w:rPr>
                <w:rFonts w:ascii="Cambria Math" w:hAnsi="Cambria Math"/>
              </w:rPr>
              <m:t>P</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——抽样调查中，非景区内小区景观房销售单价，单位：元/m</w:t>
      </w:r>
      <w:r>
        <w:rPr>
          <w:rFonts w:ascii="Times New Roman"/>
          <w:vertAlign w:val="superscript"/>
        </w:rPr>
        <w:t>2</w:t>
      </w:r>
      <w:r>
        <w:rPr>
          <w:rFonts w:ascii="Times New Roman"/>
        </w:rPr>
        <w:t>；</w:t>
      </w:r>
    </w:p>
    <w:p w14:paraId="77E8EDD3">
      <w:pPr>
        <w:pStyle w:val="58"/>
        <w:ind w:firstLine="420"/>
        <w:rPr>
          <w:rFonts w:ascii="Times New Roman"/>
        </w:rPr>
      </w:pPr>
      <m:oMath>
        <m:sSub>
          <m:sSubPr>
            <m:ctrlPr>
              <w:rPr>
                <w:rFonts w:ascii="Cambria Math" w:hAnsi="Cambria Math"/>
                <w:i/>
                <w:kern w:val="2"/>
                <w:szCs w:val="21"/>
              </w:rPr>
            </m:ctrlPr>
          </m:sSubPr>
          <m:e>
            <m:r>
              <m:rPr/>
              <w:rPr>
                <w:rFonts w:ascii="Cambria Math" w:hAnsi="Cambria Math"/>
              </w:rPr>
              <m:t>RP</m:t>
            </m:r>
            <m:ctrlPr>
              <w:rPr>
                <w:rFonts w:ascii="Cambria Math" w:hAnsi="Cambria Math"/>
                <w:i/>
                <w:kern w:val="2"/>
                <w:szCs w:val="21"/>
              </w:rPr>
            </m:ctrlPr>
          </m:e>
          <m:sub>
            <m:r>
              <m:rPr/>
              <w:rPr>
                <w:rFonts w:ascii="Cambria Math" w:hAnsi="Cambria Math"/>
              </w:rPr>
              <m:t>2</m:t>
            </m:r>
            <m:ctrlPr>
              <w:rPr>
                <w:rFonts w:ascii="Cambria Math" w:hAnsi="Cambria Math"/>
                <w:i/>
                <w:kern w:val="2"/>
                <w:szCs w:val="21"/>
              </w:rPr>
            </m:ctrlPr>
          </m:sub>
        </m:sSub>
      </m:oMath>
      <w:r>
        <w:rPr>
          <w:rFonts w:ascii="Times New Roman"/>
        </w:rPr>
        <w:t>——抽样调查中，非景区内小区非景观房销售单价，单位：元m</w:t>
      </w:r>
      <w:r>
        <w:rPr>
          <w:rFonts w:ascii="Times New Roman"/>
          <w:vertAlign w:val="superscript"/>
        </w:rPr>
        <w:t>2</w:t>
      </w:r>
      <w:r>
        <w:rPr>
          <w:rFonts w:ascii="Times New Roman"/>
        </w:rPr>
        <w:t>。</w:t>
      </w:r>
    </w:p>
    <w:p w14:paraId="3DF8A712">
      <w:pPr>
        <w:pStyle w:val="181"/>
        <w:rPr>
          <w:rFonts w:ascii="Times New Roman"/>
        </w:rPr>
      </w:pPr>
      <w:r>
        <w:rPr>
          <w:rFonts w:ascii="Times New Roman"/>
        </w:rPr>
        <w:t>应采用问卷调查方式获取上述数据。问卷设计、调查方法、质量控制、结果使用等可参考DB11/T 2059-2022。</w:t>
      </w:r>
    </w:p>
    <w:p w14:paraId="072E3B47">
      <w:pPr>
        <w:pStyle w:val="80"/>
        <w:spacing w:before="156" w:after="156"/>
        <w:rPr>
          <w:rFonts w:ascii="Times New Roman"/>
        </w:rPr>
      </w:pPr>
      <w:bookmarkStart w:id="216" w:name="_Toc203399093"/>
      <w:bookmarkStart w:id="217" w:name="_Toc203399489"/>
      <w:bookmarkStart w:id="218" w:name="_Toc192077531"/>
      <w:bookmarkStart w:id="219" w:name="_Toc179674340"/>
      <w:r>
        <w:rPr>
          <w:rFonts w:ascii="Times New Roman"/>
        </w:rPr>
        <w:t>价格参数</w:t>
      </w:r>
      <w:bookmarkEnd w:id="216"/>
      <w:bookmarkEnd w:id="217"/>
      <w:bookmarkEnd w:id="218"/>
      <w:bookmarkEnd w:id="219"/>
    </w:p>
    <w:p w14:paraId="13A4CF30">
      <w:pPr>
        <w:pStyle w:val="58"/>
        <w:ind w:firstLine="420"/>
        <w:rPr>
          <w:rFonts w:ascii="Times New Roman"/>
        </w:rPr>
      </w:pPr>
      <w:r>
        <w:rPr>
          <w:rFonts w:ascii="Times New Roman"/>
        </w:rPr>
        <w:t>价值量计算过程，</w:t>
      </w:r>
      <w:r>
        <w:rPr>
          <w:rFonts w:hint="eastAsia" w:ascii="Times New Roman"/>
        </w:rPr>
        <w:t>部分</w:t>
      </w:r>
      <w:r>
        <w:rPr>
          <w:rFonts w:ascii="Times New Roman"/>
        </w:rPr>
        <w:t>价格指标的参考价和定价依据，见表C.1</w:t>
      </w:r>
      <w:r>
        <w:rPr>
          <w:rFonts w:hint="eastAsia" w:ascii="Times New Roman"/>
        </w:rPr>
        <w:t>6</w:t>
      </w:r>
      <w:r>
        <w:rPr>
          <w:rFonts w:ascii="Times New Roman"/>
        </w:rPr>
        <w:t>。</w:t>
      </w:r>
    </w:p>
    <w:p w14:paraId="34AD2759">
      <w:pPr>
        <w:pStyle w:val="79"/>
        <w:numPr>
          <w:ilvl w:val="0"/>
          <w:numId w:val="0"/>
        </w:numPr>
        <w:spacing w:before="156" w:after="156"/>
        <w:ind w:left="420"/>
        <w:rPr>
          <w:rFonts w:ascii="Times New Roman"/>
        </w:rPr>
      </w:pPr>
      <w:r>
        <w:rPr>
          <w:rFonts w:ascii="Times New Roman"/>
        </w:rPr>
        <w:t>表C.1</w:t>
      </w:r>
      <w:r>
        <w:rPr>
          <w:rFonts w:hint="eastAsia" w:ascii="Times New Roman"/>
        </w:rPr>
        <w:t>6部分</w:t>
      </w:r>
      <w:r>
        <w:rPr>
          <w:rFonts w:ascii="Times New Roman"/>
        </w:rPr>
        <w:t>推荐参考价与定价依据</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183"/>
        <w:gridCol w:w="1867"/>
        <w:gridCol w:w="1867"/>
        <w:gridCol w:w="1867"/>
      </w:tblGrid>
      <w:tr w14:paraId="66BF2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shd w:val="clear" w:color="auto" w:fill="auto"/>
            <w:vAlign w:val="center"/>
          </w:tcPr>
          <w:p w14:paraId="71CB6309">
            <w:pPr>
              <w:pStyle w:val="180"/>
              <w:rPr>
                <w:rFonts w:ascii="Times New Roman"/>
                <w:b/>
                <w:bCs/>
              </w:rPr>
            </w:pPr>
            <w:r>
              <w:rPr>
                <w:rFonts w:ascii="Times New Roman"/>
                <w:b/>
                <w:bCs/>
              </w:rPr>
              <w:t>价格指标</w:t>
            </w:r>
          </w:p>
        </w:tc>
        <w:tc>
          <w:tcPr>
            <w:tcW w:w="2183" w:type="dxa"/>
            <w:tcBorders>
              <w:top w:val="single" w:color="auto" w:sz="8" w:space="0"/>
              <w:bottom w:val="single" w:color="auto" w:sz="8" w:space="0"/>
            </w:tcBorders>
            <w:shd w:val="clear" w:color="auto" w:fill="auto"/>
            <w:vAlign w:val="center"/>
          </w:tcPr>
          <w:p w14:paraId="22A34B14">
            <w:pPr>
              <w:pStyle w:val="180"/>
              <w:rPr>
                <w:rFonts w:ascii="Times New Roman"/>
                <w:b/>
                <w:bCs/>
              </w:rPr>
            </w:pPr>
            <w:r>
              <w:rPr>
                <w:rFonts w:ascii="Times New Roman"/>
                <w:b/>
                <w:bCs/>
              </w:rPr>
              <w:t>推荐参考价</w:t>
            </w:r>
          </w:p>
        </w:tc>
        <w:tc>
          <w:tcPr>
            <w:tcW w:w="1867" w:type="dxa"/>
            <w:tcBorders>
              <w:top w:val="single" w:color="auto" w:sz="8" w:space="0"/>
              <w:bottom w:val="single" w:color="auto" w:sz="8" w:space="0"/>
            </w:tcBorders>
            <w:shd w:val="clear" w:color="auto" w:fill="auto"/>
            <w:vAlign w:val="center"/>
          </w:tcPr>
          <w:p w14:paraId="6D840D03">
            <w:pPr>
              <w:pStyle w:val="180"/>
              <w:rPr>
                <w:rFonts w:ascii="Times New Roman"/>
                <w:b/>
                <w:bCs/>
              </w:rPr>
            </w:pPr>
            <w:r>
              <w:rPr>
                <w:rFonts w:ascii="Times New Roman"/>
                <w:b/>
                <w:bCs/>
              </w:rPr>
              <w:t>价格类型</w:t>
            </w:r>
          </w:p>
        </w:tc>
        <w:tc>
          <w:tcPr>
            <w:tcW w:w="1867" w:type="dxa"/>
            <w:tcBorders>
              <w:top w:val="single" w:color="auto" w:sz="8" w:space="0"/>
              <w:bottom w:val="single" w:color="auto" w:sz="8" w:space="0"/>
            </w:tcBorders>
            <w:shd w:val="clear" w:color="auto" w:fill="auto"/>
            <w:vAlign w:val="center"/>
          </w:tcPr>
          <w:p w14:paraId="7DF4289E">
            <w:pPr>
              <w:pStyle w:val="180"/>
              <w:rPr>
                <w:rFonts w:ascii="Times New Roman"/>
                <w:b/>
                <w:bCs/>
              </w:rPr>
            </w:pPr>
            <w:r>
              <w:rPr>
                <w:rFonts w:ascii="Times New Roman"/>
                <w:b/>
                <w:bCs/>
              </w:rPr>
              <w:t>定价依据</w:t>
            </w:r>
          </w:p>
        </w:tc>
        <w:tc>
          <w:tcPr>
            <w:tcW w:w="1867" w:type="dxa"/>
            <w:tcBorders>
              <w:top w:val="single" w:color="auto" w:sz="8" w:space="0"/>
              <w:bottom w:val="single" w:color="auto" w:sz="8" w:space="0"/>
            </w:tcBorders>
            <w:shd w:val="clear" w:color="auto" w:fill="auto"/>
            <w:vAlign w:val="center"/>
          </w:tcPr>
          <w:p w14:paraId="1AC73168">
            <w:pPr>
              <w:pStyle w:val="180"/>
              <w:rPr>
                <w:rFonts w:ascii="Times New Roman"/>
                <w:b/>
                <w:bCs/>
              </w:rPr>
            </w:pPr>
            <w:r>
              <w:rPr>
                <w:rFonts w:ascii="Times New Roman"/>
                <w:b/>
                <w:bCs/>
              </w:rPr>
              <w:t>适用核算项目</w:t>
            </w:r>
          </w:p>
        </w:tc>
      </w:tr>
      <w:tr w14:paraId="19D4D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4F520AC8">
            <w:pPr>
              <w:pStyle w:val="180"/>
              <w:rPr>
                <w:rFonts w:ascii="Times New Roman"/>
              </w:rPr>
            </w:pPr>
            <w:r>
              <w:rPr>
                <w:rFonts w:ascii="Times New Roman"/>
              </w:rPr>
              <w:t>水资源税</w:t>
            </w:r>
          </w:p>
        </w:tc>
        <w:tc>
          <w:tcPr>
            <w:tcW w:w="2183" w:type="dxa"/>
            <w:shd w:val="clear" w:color="auto" w:fill="auto"/>
            <w:vAlign w:val="center"/>
          </w:tcPr>
          <w:p w14:paraId="19747625">
            <w:pPr>
              <w:pStyle w:val="180"/>
              <w:rPr>
                <w:rFonts w:ascii="Times New Roman"/>
              </w:rPr>
            </w:pPr>
            <w:r>
              <w:rPr>
                <w:rFonts w:ascii="Times New Roman"/>
              </w:rPr>
              <w:t>地表水：淮河流域、合肥市、滁州市0.12元/m</w:t>
            </w:r>
            <w:r>
              <w:rPr>
                <w:rFonts w:ascii="Times New Roman"/>
                <w:vertAlign w:val="superscript"/>
              </w:rPr>
              <w:t>3</w:t>
            </w:r>
            <w:r>
              <w:rPr>
                <w:rFonts w:ascii="Times New Roman"/>
              </w:rPr>
              <w:t>；其他地区0.08元/m</w:t>
            </w:r>
            <w:r>
              <w:rPr>
                <w:rFonts w:ascii="Times New Roman"/>
                <w:vertAlign w:val="superscript"/>
              </w:rPr>
              <w:t>3</w:t>
            </w:r>
          </w:p>
          <w:p w14:paraId="23E53AF7">
            <w:pPr>
              <w:pStyle w:val="180"/>
              <w:rPr>
                <w:rFonts w:ascii="Times New Roman"/>
              </w:rPr>
            </w:pPr>
            <w:r>
              <w:rPr>
                <w:rFonts w:ascii="Times New Roman"/>
              </w:rPr>
              <w:t>浅层地下水：0.15元/m³</w:t>
            </w:r>
          </w:p>
        </w:tc>
        <w:tc>
          <w:tcPr>
            <w:tcW w:w="1867" w:type="dxa"/>
            <w:shd w:val="clear" w:color="auto" w:fill="auto"/>
            <w:vAlign w:val="center"/>
          </w:tcPr>
          <w:p w14:paraId="2C13E12F">
            <w:pPr>
              <w:pStyle w:val="180"/>
              <w:rPr>
                <w:rFonts w:ascii="Times New Roman"/>
              </w:rPr>
            </w:pPr>
            <w:r>
              <w:rPr>
                <w:rFonts w:ascii="Times New Roman"/>
              </w:rPr>
              <w:t>政府定价</w:t>
            </w:r>
          </w:p>
        </w:tc>
        <w:tc>
          <w:tcPr>
            <w:tcW w:w="1867" w:type="dxa"/>
            <w:shd w:val="clear" w:color="auto" w:fill="auto"/>
            <w:vAlign w:val="center"/>
          </w:tcPr>
          <w:p w14:paraId="11B29E8B">
            <w:pPr>
              <w:pStyle w:val="180"/>
              <w:rPr>
                <w:rFonts w:ascii="Times New Roman"/>
              </w:rPr>
            </w:pPr>
            <w:r>
              <w:rPr>
                <w:rFonts w:ascii="Times New Roman"/>
              </w:rPr>
              <w:t>《关于水资源税改革试点有关事项的通知》</w:t>
            </w:r>
          </w:p>
        </w:tc>
        <w:tc>
          <w:tcPr>
            <w:tcW w:w="1867" w:type="dxa"/>
            <w:shd w:val="clear" w:color="auto" w:fill="auto"/>
            <w:vAlign w:val="center"/>
          </w:tcPr>
          <w:p w14:paraId="0C790581">
            <w:pPr>
              <w:pStyle w:val="180"/>
              <w:rPr>
                <w:rFonts w:ascii="Times New Roman"/>
              </w:rPr>
            </w:pPr>
            <w:r>
              <w:rPr>
                <w:rFonts w:ascii="Times New Roman"/>
              </w:rPr>
              <w:t>水资源供给</w:t>
            </w:r>
          </w:p>
        </w:tc>
      </w:tr>
      <w:tr w14:paraId="2005A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149D1C0D">
            <w:pPr>
              <w:pStyle w:val="180"/>
              <w:rPr>
                <w:rFonts w:ascii="Times New Roman"/>
              </w:rPr>
            </w:pPr>
            <w:r>
              <w:rPr>
                <w:rFonts w:ascii="Times New Roman"/>
              </w:rPr>
              <w:t>生物质发电标杆上网电价</w:t>
            </w:r>
          </w:p>
        </w:tc>
        <w:tc>
          <w:tcPr>
            <w:tcW w:w="2183" w:type="dxa"/>
            <w:shd w:val="clear" w:color="auto" w:fill="auto"/>
            <w:vAlign w:val="center"/>
          </w:tcPr>
          <w:p w14:paraId="6A49C921">
            <w:pPr>
              <w:pStyle w:val="180"/>
              <w:rPr>
                <w:rFonts w:ascii="Times New Roman"/>
              </w:rPr>
            </w:pPr>
            <w:r>
              <w:rPr>
                <w:rFonts w:ascii="Times New Roman"/>
              </w:rPr>
              <w:t>0.75元/kWh</w:t>
            </w:r>
          </w:p>
        </w:tc>
        <w:tc>
          <w:tcPr>
            <w:tcW w:w="1867" w:type="dxa"/>
            <w:shd w:val="clear" w:color="auto" w:fill="auto"/>
            <w:vAlign w:val="center"/>
          </w:tcPr>
          <w:p w14:paraId="2BB5EFD9">
            <w:pPr>
              <w:pStyle w:val="180"/>
              <w:rPr>
                <w:rFonts w:ascii="Times New Roman"/>
              </w:rPr>
            </w:pPr>
            <w:r>
              <w:rPr>
                <w:rFonts w:ascii="Times New Roman"/>
              </w:rPr>
              <w:t>政府定价</w:t>
            </w:r>
          </w:p>
        </w:tc>
        <w:tc>
          <w:tcPr>
            <w:tcW w:w="1867" w:type="dxa"/>
            <w:shd w:val="clear" w:color="auto" w:fill="auto"/>
            <w:vAlign w:val="center"/>
          </w:tcPr>
          <w:p w14:paraId="7DBF3125">
            <w:pPr>
              <w:pStyle w:val="180"/>
              <w:rPr>
                <w:rFonts w:ascii="Times New Roman"/>
              </w:rPr>
            </w:pPr>
            <w:r>
              <w:rPr>
                <w:rFonts w:ascii="Times New Roman"/>
              </w:rPr>
              <w:t>《关于完善农林生物质发电价格政策的通知》</w:t>
            </w:r>
          </w:p>
        </w:tc>
        <w:tc>
          <w:tcPr>
            <w:tcW w:w="1867" w:type="dxa"/>
            <w:shd w:val="clear" w:color="auto" w:fill="auto"/>
            <w:vAlign w:val="center"/>
          </w:tcPr>
          <w:p w14:paraId="2ACD4610">
            <w:pPr>
              <w:pStyle w:val="180"/>
              <w:rPr>
                <w:rFonts w:ascii="Times New Roman"/>
              </w:rPr>
            </w:pPr>
            <w:r>
              <w:rPr>
                <w:rFonts w:ascii="Times New Roman"/>
              </w:rPr>
              <w:t>生物能源供给</w:t>
            </w:r>
          </w:p>
        </w:tc>
      </w:tr>
      <w:tr w14:paraId="3E8899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1368426A">
            <w:pPr>
              <w:pStyle w:val="180"/>
              <w:rPr>
                <w:rFonts w:ascii="Times New Roman"/>
              </w:rPr>
            </w:pPr>
            <w:r>
              <w:rPr>
                <w:rFonts w:ascii="Times New Roman"/>
              </w:rPr>
              <w:t>碳交易价格</w:t>
            </w:r>
          </w:p>
        </w:tc>
        <w:tc>
          <w:tcPr>
            <w:tcW w:w="2183" w:type="dxa"/>
            <w:shd w:val="clear" w:color="auto" w:fill="auto"/>
            <w:vAlign w:val="center"/>
          </w:tcPr>
          <w:p w14:paraId="21C8966E">
            <w:pPr>
              <w:pStyle w:val="180"/>
              <w:rPr>
                <w:rFonts w:ascii="Times New Roman"/>
              </w:rPr>
            </w:pPr>
            <w:r>
              <w:rPr>
                <w:rFonts w:ascii="Times New Roman"/>
              </w:rPr>
              <w:t>当年市场价</w:t>
            </w:r>
          </w:p>
        </w:tc>
        <w:tc>
          <w:tcPr>
            <w:tcW w:w="1867" w:type="dxa"/>
            <w:shd w:val="clear" w:color="auto" w:fill="auto"/>
            <w:vAlign w:val="center"/>
          </w:tcPr>
          <w:p w14:paraId="273FBD19">
            <w:pPr>
              <w:pStyle w:val="180"/>
              <w:rPr>
                <w:rFonts w:ascii="Times New Roman"/>
              </w:rPr>
            </w:pPr>
            <w:r>
              <w:rPr>
                <w:rFonts w:ascii="Times New Roman"/>
              </w:rPr>
              <w:t>市场定价</w:t>
            </w:r>
          </w:p>
        </w:tc>
        <w:tc>
          <w:tcPr>
            <w:tcW w:w="1867" w:type="dxa"/>
            <w:shd w:val="clear" w:color="auto" w:fill="auto"/>
            <w:vAlign w:val="center"/>
          </w:tcPr>
          <w:p w14:paraId="53463854">
            <w:pPr>
              <w:pStyle w:val="180"/>
              <w:rPr>
                <w:rFonts w:ascii="Times New Roman"/>
              </w:rPr>
            </w:pPr>
            <w:r>
              <w:rPr>
                <w:rFonts w:ascii="Times New Roman"/>
              </w:rPr>
              <w:t>全国碳市场信息网</w:t>
            </w:r>
          </w:p>
        </w:tc>
        <w:tc>
          <w:tcPr>
            <w:tcW w:w="1867" w:type="dxa"/>
            <w:shd w:val="clear" w:color="auto" w:fill="auto"/>
            <w:vAlign w:val="center"/>
          </w:tcPr>
          <w:p w14:paraId="47EBDCF6">
            <w:pPr>
              <w:pStyle w:val="180"/>
              <w:rPr>
                <w:rFonts w:ascii="Times New Roman"/>
              </w:rPr>
            </w:pPr>
            <w:r>
              <w:rPr>
                <w:rFonts w:ascii="Times New Roman"/>
              </w:rPr>
              <w:t>生物能源产品供给、固碳服务</w:t>
            </w:r>
          </w:p>
        </w:tc>
      </w:tr>
      <w:tr w14:paraId="65727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1968CB42">
            <w:pPr>
              <w:pStyle w:val="180"/>
              <w:rPr>
                <w:rFonts w:ascii="Times New Roman"/>
              </w:rPr>
            </w:pPr>
            <w:r>
              <w:rPr>
                <w:rFonts w:ascii="Times New Roman"/>
              </w:rPr>
              <w:t>水库单位库容的年运营成本</w:t>
            </w:r>
          </w:p>
        </w:tc>
        <w:tc>
          <w:tcPr>
            <w:tcW w:w="2183" w:type="dxa"/>
            <w:shd w:val="clear" w:color="auto" w:fill="auto"/>
            <w:vAlign w:val="center"/>
          </w:tcPr>
          <w:p w14:paraId="644A6523">
            <w:pPr>
              <w:pStyle w:val="180"/>
              <w:rPr>
                <w:rFonts w:ascii="Times New Roman"/>
              </w:rPr>
            </w:pPr>
            <w:r>
              <w:rPr>
                <w:rFonts w:ascii="Times New Roman"/>
              </w:rPr>
              <w:t>当年市场价</w:t>
            </w:r>
          </w:p>
        </w:tc>
        <w:tc>
          <w:tcPr>
            <w:tcW w:w="1867" w:type="dxa"/>
            <w:shd w:val="clear" w:color="auto" w:fill="auto"/>
            <w:vAlign w:val="center"/>
          </w:tcPr>
          <w:p w14:paraId="1516D878">
            <w:pPr>
              <w:pStyle w:val="180"/>
              <w:rPr>
                <w:rFonts w:ascii="Times New Roman"/>
              </w:rPr>
            </w:pPr>
            <w:r>
              <w:rPr>
                <w:rFonts w:ascii="Times New Roman"/>
              </w:rPr>
              <w:t>市场定价</w:t>
            </w:r>
          </w:p>
        </w:tc>
        <w:tc>
          <w:tcPr>
            <w:tcW w:w="1867" w:type="dxa"/>
            <w:shd w:val="clear" w:color="auto" w:fill="auto"/>
            <w:vAlign w:val="center"/>
          </w:tcPr>
          <w:p w14:paraId="287B2486">
            <w:pPr>
              <w:pStyle w:val="180"/>
              <w:rPr>
                <w:rFonts w:ascii="Times New Roman"/>
              </w:rPr>
            </w:pPr>
            <w:r>
              <w:rPr>
                <w:rFonts w:ascii="Times New Roman"/>
              </w:rPr>
              <w:t>市场调研</w:t>
            </w:r>
          </w:p>
        </w:tc>
        <w:tc>
          <w:tcPr>
            <w:tcW w:w="1867" w:type="dxa"/>
            <w:vMerge w:val="restart"/>
            <w:shd w:val="clear" w:color="auto" w:fill="auto"/>
            <w:vAlign w:val="center"/>
          </w:tcPr>
          <w:p w14:paraId="1734F39C">
            <w:pPr>
              <w:pStyle w:val="180"/>
              <w:rPr>
                <w:rFonts w:ascii="Times New Roman"/>
              </w:rPr>
            </w:pPr>
            <w:r>
              <w:rPr>
                <w:rFonts w:ascii="Times New Roman"/>
              </w:rPr>
              <w:t>水源涵养服务、洪水调蓄服务</w:t>
            </w:r>
          </w:p>
        </w:tc>
      </w:tr>
      <w:tr w14:paraId="44F3B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2CE680E">
            <w:pPr>
              <w:pStyle w:val="180"/>
              <w:rPr>
                <w:rFonts w:ascii="Times New Roman"/>
              </w:rPr>
            </w:pPr>
            <w:r>
              <w:rPr>
                <w:rFonts w:ascii="Times New Roman"/>
              </w:rPr>
              <w:t>水库单位库容的工程造价</w:t>
            </w:r>
          </w:p>
        </w:tc>
        <w:tc>
          <w:tcPr>
            <w:tcW w:w="2183" w:type="dxa"/>
            <w:shd w:val="clear" w:color="auto" w:fill="auto"/>
            <w:vAlign w:val="center"/>
          </w:tcPr>
          <w:p w14:paraId="737AD7D8">
            <w:pPr>
              <w:pStyle w:val="180"/>
              <w:rPr>
                <w:rFonts w:ascii="Times New Roman"/>
              </w:rPr>
            </w:pPr>
            <w:r>
              <w:rPr>
                <w:rFonts w:ascii="Times New Roman"/>
              </w:rPr>
              <w:t>当年市场价</w:t>
            </w:r>
          </w:p>
        </w:tc>
        <w:tc>
          <w:tcPr>
            <w:tcW w:w="1867" w:type="dxa"/>
            <w:shd w:val="clear" w:color="auto" w:fill="auto"/>
            <w:vAlign w:val="center"/>
          </w:tcPr>
          <w:p w14:paraId="4AB775ED">
            <w:pPr>
              <w:pStyle w:val="180"/>
              <w:rPr>
                <w:rFonts w:ascii="Times New Roman"/>
              </w:rPr>
            </w:pPr>
            <w:r>
              <w:rPr>
                <w:rFonts w:ascii="Times New Roman"/>
              </w:rPr>
              <w:t>市场定价</w:t>
            </w:r>
          </w:p>
        </w:tc>
        <w:tc>
          <w:tcPr>
            <w:tcW w:w="1867" w:type="dxa"/>
            <w:shd w:val="clear" w:color="auto" w:fill="auto"/>
            <w:vAlign w:val="center"/>
          </w:tcPr>
          <w:p w14:paraId="7B33D3B2">
            <w:pPr>
              <w:pStyle w:val="180"/>
              <w:rPr>
                <w:rFonts w:ascii="Times New Roman"/>
              </w:rPr>
            </w:pPr>
            <w:r>
              <w:rPr>
                <w:rFonts w:ascii="Times New Roman"/>
              </w:rPr>
              <w:t>市场调研</w:t>
            </w:r>
          </w:p>
        </w:tc>
        <w:tc>
          <w:tcPr>
            <w:tcW w:w="1867" w:type="dxa"/>
            <w:vMerge w:val="continue"/>
            <w:shd w:val="clear" w:color="auto" w:fill="auto"/>
            <w:vAlign w:val="center"/>
          </w:tcPr>
          <w:p w14:paraId="0E4D4243">
            <w:pPr>
              <w:pStyle w:val="180"/>
              <w:rPr>
                <w:rFonts w:ascii="Times New Roman"/>
              </w:rPr>
            </w:pPr>
          </w:p>
        </w:tc>
      </w:tr>
      <w:tr w14:paraId="78C5D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557517DF">
            <w:pPr>
              <w:pStyle w:val="180"/>
              <w:rPr>
                <w:rFonts w:ascii="Times New Roman"/>
              </w:rPr>
            </w:pPr>
            <w:r>
              <w:rPr>
                <w:rFonts w:ascii="Times New Roman"/>
              </w:rPr>
              <w:t>水库单位库容清淤工程费用</w:t>
            </w:r>
          </w:p>
        </w:tc>
        <w:tc>
          <w:tcPr>
            <w:tcW w:w="2183" w:type="dxa"/>
            <w:shd w:val="clear" w:color="auto" w:fill="auto"/>
            <w:vAlign w:val="center"/>
          </w:tcPr>
          <w:p w14:paraId="0821AF4A">
            <w:pPr>
              <w:pStyle w:val="180"/>
              <w:rPr>
                <w:rFonts w:ascii="Times New Roman"/>
              </w:rPr>
            </w:pPr>
            <w:r>
              <w:rPr>
                <w:rFonts w:ascii="Times New Roman"/>
              </w:rPr>
              <w:t>当年市场价</w:t>
            </w:r>
          </w:p>
        </w:tc>
        <w:tc>
          <w:tcPr>
            <w:tcW w:w="1867" w:type="dxa"/>
            <w:shd w:val="clear" w:color="auto" w:fill="auto"/>
            <w:vAlign w:val="center"/>
          </w:tcPr>
          <w:p w14:paraId="0F4E653B">
            <w:pPr>
              <w:pStyle w:val="180"/>
              <w:rPr>
                <w:rFonts w:ascii="Times New Roman"/>
              </w:rPr>
            </w:pPr>
            <w:r>
              <w:rPr>
                <w:rFonts w:ascii="Times New Roman"/>
              </w:rPr>
              <w:t>市场定价</w:t>
            </w:r>
          </w:p>
        </w:tc>
        <w:tc>
          <w:tcPr>
            <w:tcW w:w="1867" w:type="dxa"/>
            <w:shd w:val="clear" w:color="auto" w:fill="auto"/>
            <w:vAlign w:val="center"/>
          </w:tcPr>
          <w:p w14:paraId="4D8E3684">
            <w:pPr>
              <w:pStyle w:val="180"/>
              <w:rPr>
                <w:rFonts w:ascii="Times New Roman"/>
              </w:rPr>
            </w:pPr>
            <w:r>
              <w:rPr>
                <w:rFonts w:ascii="Times New Roman"/>
              </w:rPr>
              <w:t>市场调研</w:t>
            </w:r>
          </w:p>
        </w:tc>
        <w:tc>
          <w:tcPr>
            <w:tcW w:w="1867" w:type="dxa"/>
            <w:vMerge w:val="restart"/>
            <w:shd w:val="clear" w:color="auto" w:fill="auto"/>
            <w:vAlign w:val="center"/>
          </w:tcPr>
          <w:p w14:paraId="63CE34A0">
            <w:pPr>
              <w:pStyle w:val="180"/>
              <w:rPr>
                <w:rFonts w:ascii="Times New Roman"/>
              </w:rPr>
            </w:pPr>
            <w:r>
              <w:rPr>
                <w:rFonts w:ascii="Times New Roman"/>
              </w:rPr>
              <w:t>土壤保持服务</w:t>
            </w:r>
          </w:p>
        </w:tc>
      </w:tr>
      <w:tr w14:paraId="67EB68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5856E08D">
            <w:pPr>
              <w:pStyle w:val="180"/>
              <w:rPr>
                <w:rFonts w:ascii="Times New Roman"/>
              </w:rPr>
            </w:pPr>
            <w:r>
              <w:rPr>
                <w:rFonts w:ascii="Times New Roman"/>
              </w:rPr>
              <w:t>含氮废水处理成本</w:t>
            </w:r>
          </w:p>
        </w:tc>
        <w:tc>
          <w:tcPr>
            <w:tcW w:w="2183" w:type="dxa"/>
            <w:shd w:val="clear" w:color="auto" w:fill="auto"/>
            <w:vAlign w:val="center"/>
          </w:tcPr>
          <w:p w14:paraId="17F1645B">
            <w:pPr>
              <w:pStyle w:val="180"/>
              <w:rPr>
                <w:rFonts w:ascii="Times New Roman"/>
              </w:rPr>
            </w:pPr>
            <w:r>
              <w:rPr>
                <w:rFonts w:ascii="Times New Roman"/>
              </w:rPr>
              <w:t>1750元/t</w:t>
            </w:r>
          </w:p>
        </w:tc>
        <w:tc>
          <w:tcPr>
            <w:tcW w:w="1867" w:type="dxa"/>
            <w:shd w:val="clear" w:color="auto" w:fill="auto"/>
            <w:vAlign w:val="center"/>
          </w:tcPr>
          <w:p w14:paraId="22A3B673">
            <w:pPr>
              <w:pStyle w:val="180"/>
              <w:rPr>
                <w:rFonts w:ascii="Times New Roman"/>
              </w:rPr>
            </w:pPr>
            <w:r>
              <w:rPr>
                <w:rFonts w:ascii="Times New Roman"/>
              </w:rPr>
              <w:t>政府定价</w:t>
            </w:r>
          </w:p>
        </w:tc>
        <w:tc>
          <w:tcPr>
            <w:tcW w:w="1867" w:type="dxa"/>
            <w:vMerge w:val="restart"/>
            <w:shd w:val="clear" w:color="auto" w:fill="auto"/>
            <w:vAlign w:val="center"/>
          </w:tcPr>
          <w:p w14:paraId="7D9B26E0">
            <w:pPr>
              <w:pStyle w:val="180"/>
              <w:rPr>
                <w:rFonts w:ascii="Times New Roman"/>
              </w:rPr>
            </w:pPr>
            <w:r>
              <w:rPr>
                <w:rFonts w:ascii="Times New Roman"/>
              </w:rPr>
              <w:t>安徽省环境保护税核定征收管理办法</w:t>
            </w:r>
          </w:p>
        </w:tc>
        <w:tc>
          <w:tcPr>
            <w:tcW w:w="1867" w:type="dxa"/>
            <w:vMerge w:val="continue"/>
            <w:shd w:val="clear" w:color="auto" w:fill="auto"/>
            <w:vAlign w:val="center"/>
          </w:tcPr>
          <w:p w14:paraId="442F5C0E">
            <w:pPr>
              <w:pStyle w:val="180"/>
              <w:rPr>
                <w:rFonts w:ascii="Times New Roman"/>
              </w:rPr>
            </w:pPr>
          </w:p>
        </w:tc>
      </w:tr>
      <w:tr w14:paraId="4670F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4D156B37">
            <w:pPr>
              <w:pStyle w:val="180"/>
              <w:rPr>
                <w:rFonts w:ascii="Times New Roman"/>
              </w:rPr>
            </w:pPr>
            <w:r>
              <w:rPr>
                <w:rFonts w:ascii="Times New Roman"/>
              </w:rPr>
              <w:t>含磷废水处理成本</w:t>
            </w:r>
          </w:p>
        </w:tc>
        <w:tc>
          <w:tcPr>
            <w:tcW w:w="2183" w:type="dxa"/>
            <w:shd w:val="clear" w:color="auto" w:fill="auto"/>
            <w:vAlign w:val="center"/>
          </w:tcPr>
          <w:p w14:paraId="49BEFFF6">
            <w:pPr>
              <w:pStyle w:val="180"/>
              <w:rPr>
                <w:rFonts w:ascii="Times New Roman"/>
              </w:rPr>
            </w:pPr>
            <w:r>
              <w:rPr>
                <w:rFonts w:ascii="Times New Roman"/>
              </w:rPr>
              <w:t>5600元/t</w:t>
            </w:r>
          </w:p>
        </w:tc>
        <w:tc>
          <w:tcPr>
            <w:tcW w:w="1867" w:type="dxa"/>
            <w:shd w:val="clear" w:color="auto" w:fill="auto"/>
            <w:vAlign w:val="center"/>
          </w:tcPr>
          <w:p w14:paraId="3F6E582F">
            <w:pPr>
              <w:pStyle w:val="180"/>
              <w:rPr>
                <w:rFonts w:ascii="Times New Roman"/>
              </w:rPr>
            </w:pPr>
            <w:r>
              <w:rPr>
                <w:rFonts w:ascii="Times New Roman"/>
              </w:rPr>
              <w:t>政府定价</w:t>
            </w:r>
          </w:p>
        </w:tc>
        <w:tc>
          <w:tcPr>
            <w:tcW w:w="1867" w:type="dxa"/>
            <w:vMerge w:val="continue"/>
            <w:shd w:val="clear" w:color="auto" w:fill="auto"/>
            <w:vAlign w:val="center"/>
          </w:tcPr>
          <w:p w14:paraId="0739D86C">
            <w:pPr>
              <w:pStyle w:val="180"/>
              <w:rPr>
                <w:rFonts w:ascii="Times New Roman"/>
              </w:rPr>
            </w:pPr>
          </w:p>
        </w:tc>
        <w:tc>
          <w:tcPr>
            <w:tcW w:w="1867" w:type="dxa"/>
            <w:vMerge w:val="continue"/>
            <w:shd w:val="clear" w:color="auto" w:fill="auto"/>
            <w:vAlign w:val="center"/>
          </w:tcPr>
          <w:p w14:paraId="51305670">
            <w:pPr>
              <w:pStyle w:val="180"/>
              <w:rPr>
                <w:rFonts w:ascii="Times New Roman"/>
              </w:rPr>
            </w:pPr>
          </w:p>
        </w:tc>
      </w:tr>
      <w:tr w14:paraId="3CB497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5E09000">
            <w:pPr>
              <w:pStyle w:val="180"/>
              <w:rPr>
                <w:rFonts w:ascii="Times New Roman"/>
              </w:rPr>
            </w:pPr>
            <w:r>
              <w:rPr>
                <w:rFonts w:ascii="Times New Roman"/>
              </w:rPr>
              <w:t>净化二氧化硫</w:t>
            </w:r>
          </w:p>
        </w:tc>
        <w:tc>
          <w:tcPr>
            <w:tcW w:w="2183" w:type="dxa"/>
            <w:shd w:val="clear" w:color="auto" w:fill="auto"/>
            <w:vAlign w:val="center"/>
          </w:tcPr>
          <w:p w14:paraId="43015599">
            <w:pPr>
              <w:pStyle w:val="180"/>
              <w:rPr>
                <w:rFonts w:ascii="Times New Roman"/>
              </w:rPr>
            </w:pPr>
            <w:r>
              <w:rPr>
                <w:rFonts w:ascii="Times New Roman"/>
              </w:rPr>
              <w:t>1263元/t</w:t>
            </w:r>
          </w:p>
        </w:tc>
        <w:tc>
          <w:tcPr>
            <w:tcW w:w="1867" w:type="dxa"/>
            <w:shd w:val="clear" w:color="auto" w:fill="auto"/>
            <w:vAlign w:val="center"/>
          </w:tcPr>
          <w:p w14:paraId="253DA354">
            <w:pPr>
              <w:pStyle w:val="180"/>
              <w:rPr>
                <w:rFonts w:ascii="Times New Roman"/>
              </w:rPr>
            </w:pPr>
            <w:r>
              <w:rPr>
                <w:rFonts w:ascii="Times New Roman"/>
              </w:rPr>
              <w:t>政府定价</w:t>
            </w:r>
          </w:p>
        </w:tc>
        <w:tc>
          <w:tcPr>
            <w:tcW w:w="1867" w:type="dxa"/>
            <w:vMerge w:val="continue"/>
            <w:shd w:val="clear" w:color="auto" w:fill="auto"/>
            <w:vAlign w:val="center"/>
          </w:tcPr>
          <w:p w14:paraId="48AF91B3">
            <w:pPr>
              <w:pStyle w:val="180"/>
              <w:rPr>
                <w:rFonts w:ascii="Times New Roman"/>
              </w:rPr>
            </w:pPr>
          </w:p>
        </w:tc>
        <w:tc>
          <w:tcPr>
            <w:tcW w:w="1867" w:type="dxa"/>
            <w:vMerge w:val="restart"/>
            <w:shd w:val="clear" w:color="auto" w:fill="auto"/>
            <w:vAlign w:val="center"/>
          </w:tcPr>
          <w:p w14:paraId="1275651C">
            <w:pPr>
              <w:pStyle w:val="180"/>
              <w:rPr>
                <w:rFonts w:ascii="Times New Roman"/>
              </w:rPr>
            </w:pPr>
            <w:r>
              <w:rPr>
                <w:rFonts w:ascii="Times New Roman"/>
              </w:rPr>
              <w:t>空气净化服务</w:t>
            </w:r>
          </w:p>
        </w:tc>
      </w:tr>
      <w:tr w14:paraId="13140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7350DC6">
            <w:pPr>
              <w:pStyle w:val="180"/>
              <w:rPr>
                <w:rFonts w:ascii="Times New Roman"/>
              </w:rPr>
            </w:pPr>
            <w:r>
              <w:rPr>
                <w:rFonts w:ascii="Times New Roman"/>
              </w:rPr>
              <w:t>净化氮氧化物</w:t>
            </w:r>
          </w:p>
        </w:tc>
        <w:tc>
          <w:tcPr>
            <w:tcW w:w="2183" w:type="dxa"/>
            <w:shd w:val="clear" w:color="auto" w:fill="auto"/>
            <w:vAlign w:val="center"/>
          </w:tcPr>
          <w:p w14:paraId="495E6B5A">
            <w:pPr>
              <w:pStyle w:val="180"/>
              <w:rPr>
                <w:rFonts w:ascii="Times New Roman"/>
              </w:rPr>
            </w:pPr>
            <w:r>
              <w:rPr>
                <w:rFonts w:ascii="Times New Roman"/>
              </w:rPr>
              <w:t>1263元/t</w:t>
            </w:r>
          </w:p>
        </w:tc>
        <w:tc>
          <w:tcPr>
            <w:tcW w:w="1867" w:type="dxa"/>
            <w:shd w:val="clear" w:color="auto" w:fill="auto"/>
            <w:vAlign w:val="center"/>
          </w:tcPr>
          <w:p w14:paraId="46493070">
            <w:pPr>
              <w:pStyle w:val="180"/>
              <w:rPr>
                <w:rFonts w:ascii="Times New Roman"/>
              </w:rPr>
            </w:pPr>
            <w:r>
              <w:rPr>
                <w:rFonts w:ascii="Times New Roman"/>
              </w:rPr>
              <w:t>政府定价</w:t>
            </w:r>
          </w:p>
        </w:tc>
        <w:tc>
          <w:tcPr>
            <w:tcW w:w="1867" w:type="dxa"/>
            <w:vMerge w:val="continue"/>
            <w:shd w:val="clear" w:color="auto" w:fill="auto"/>
            <w:vAlign w:val="center"/>
          </w:tcPr>
          <w:p w14:paraId="00D4233D">
            <w:pPr>
              <w:pStyle w:val="180"/>
              <w:rPr>
                <w:rFonts w:ascii="Times New Roman"/>
              </w:rPr>
            </w:pPr>
          </w:p>
        </w:tc>
        <w:tc>
          <w:tcPr>
            <w:tcW w:w="1867" w:type="dxa"/>
            <w:vMerge w:val="continue"/>
            <w:shd w:val="clear" w:color="auto" w:fill="auto"/>
            <w:vAlign w:val="center"/>
          </w:tcPr>
          <w:p w14:paraId="655899E0">
            <w:pPr>
              <w:pStyle w:val="180"/>
              <w:rPr>
                <w:rFonts w:ascii="Times New Roman"/>
              </w:rPr>
            </w:pPr>
          </w:p>
        </w:tc>
      </w:tr>
      <w:tr w14:paraId="4A3F6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0189F8EC">
            <w:pPr>
              <w:pStyle w:val="180"/>
              <w:rPr>
                <w:rFonts w:ascii="Times New Roman"/>
              </w:rPr>
            </w:pPr>
            <w:r>
              <w:rPr>
                <w:rFonts w:ascii="Times New Roman"/>
              </w:rPr>
              <w:t>净化粉尘</w:t>
            </w:r>
          </w:p>
        </w:tc>
        <w:tc>
          <w:tcPr>
            <w:tcW w:w="2183" w:type="dxa"/>
            <w:shd w:val="clear" w:color="auto" w:fill="auto"/>
            <w:vAlign w:val="center"/>
          </w:tcPr>
          <w:p w14:paraId="251F276A">
            <w:pPr>
              <w:pStyle w:val="180"/>
              <w:rPr>
                <w:rFonts w:ascii="Times New Roman"/>
              </w:rPr>
            </w:pPr>
            <w:r>
              <w:rPr>
                <w:rFonts w:ascii="Times New Roman"/>
              </w:rPr>
              <w:t>300元/t</w:t>
            </w:r>
          </w:p>
        </w:tc>
        <w:tc>
          <w:tcPr>
            <w:tcW w:w="1867" w:type="dxa"/>
            <w:shd w:val="clear" w:color="auto" w:fill="auto"/>
            <w:vAlign w:val="center"/>
          </w:tcPr>
          <w:p w14:paraId="3737D165">
            <w:pPr>
              <w:pStyle w:val="180"/>
              <w:rPr>
                <w:rFonts w:ascii="Times New Roman"/>
              </w:rPr>
            </w:pPr>
            <w:r>
              <w:rPr>
                <w:rFonts w:ascii="Times New Roman"/>
              </w:rPr>
              <w:t>政府定价</w:t>
            </w:r>
          </w:p>
        </w:tc>
        <w:tc>
          <w:tcPr>
            <w:tcW w:w="1867" w:type="dxa"/>
            <w:vMerge w:val="continue"/>
            <w:shd w:val="clear" w:color="auto" w:fill="auto"/>
            <w:vAlign w:val="center"/>
          </w:tcPr>
          <w:p w14:paraId="7368E465">
            <w:pPr>
              <w:pStyle w:val="180"/>
              <w:rPr>
                <w:rFonts w:ascii="Times New Roman"/>
              </w:rPr>
            </w:pPr>
          </w:p>
        </w:tc>
        <w:tc>
          <w:tcPr>
            <w:tcW w:w="1867" w:type="dxa"/>
            <w:vMerge w:val="continue"/>
            <w:shd w:val="clear" w:color="auto" w:fill="auto"/>
            <w:vAlign w:val="center"/>
          </w:tcPr>
          <w:p w14:paraId="1A0EF0FA">
            <w:pPr>
              <w:pStyle w:val="180"/>
              <w:rPr>
                <w:rFonts w:ascii="Times New Roman"/>
              </w:rPr>
            </w:pPr>
          </w:p>
        </w:tc>
      </w:tr>
      <w:tr w14:paraId="14510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DFBCA4F">
            <w:pPr>
              <w:pStyle w:val="180"/>
              <w:rPr>
                <w:rFonts w:ascii="Times New Roman"/>
              </w:rPr>
            </w:pPr>
            <w:r>
              <w:rPr>
                <w:rFonts w:ascii="Times New Roman"/>
              </w:rPr>
              <w:t>净化化学需氧量</w:t>
            </w:r>
          </w:p>
        </w:tc>
        <w:tc>
          <w:tcPr>
            <w:tcW w:w="2183" w:type="dxa"/>
            <w:shd w:val="clear" w:color="auto" w:fill="auto"/>
            <w:vAlign w:val="center"/>
          </w:tcPr>
          <w:p w14:paraId="3F8D360E">
            <w:pPr>
              <w:pStyle w:val="180"/>
              <w:rPr>
                <w:rFonts w:ascii="Times New Roman"/>
              </w:rPr>
            </w:pPr>
            <w:r>
              <w:rPr>
                <w:rFonts w:ascii="Times New Roman"/>
              </w:rPr>
              <w:t>1400元/t</w:t>
            </w:r>
          </w:p>
        </w:tc>
        <w:tc>
          <w:tcPr>
            <w:tcW w:w="1867" w:type="dxa"/>
            <w:shd w:val="clear" w:color="auto" w:fill="auto"/>
            <w:vAlign w:val="center"/>
          </w:tcPr>
          <w:p w14:paraId="275F8C95">
            <w:pPr>
              <w:pStyle w:val="180"/>
              <w:rPr>
                <w:rFonts w:ascii="Times New Roman"/>
              </w:rPr>
            </w:pPr>
            <w:r>
              <w:rPr>
                <w:rFonts w:ascii="Times New Roman"/>
              </w:rPr>
              <w:t>政府定价</w:t>
            </w:r>
          </w:p>
        </w:tc>
        <w:tc>
          <w:tcPr>
            <w:tcW w:w="1867" w:type="dxa"/>
            <w:vMerge w:val="continue"/>
            <w:shd w:val="clear" w:color="auto" w:fill="auto"/>
            <w:vAlign w:val="center"/>
          </w:tcPr>
          <w:p w14:paraId="17A0ED46">
            <w:pPr>
              <w:pStyle w:val="180"/>
              <w:rPr>
                <w:rFonts w:ascii="Times New Roman"/>
              </w:rPr>
            </w:pPr>
          </w:p>
        </w:tc>
        <w:tc>
          <w:tcPr>
            <w:tcW w:w="1867" w:type="dxa"/>
            <w:vMerge w:val="restart"/>
            <w:shd w:val="clear" w:color="auto" w:fill="auto"/>
            <w:vAlign w:val="center"/>
          </w:tcPr>
          <w:p w14:paraId="13BB524D">
            <w:pPr>
              <w:pStyle w:val="180"/>
              <w:rPr>
                <w:rFonts w:ascii="Times New Roman"/>
              </w:rPr>
            </w:pPr>
            <w:r>
              <w:rPr>
                <w:rFonts w:ascii="Times New Roman"/>
              </w:rPr>
              <w:t>水质净化服务</w:t>
            </w:r>
          </w:p>
        </w:tc>
      </w:tr>
      <w:tr w14:paraId="36FD3C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04582FCA">
            <w:pPr>
              <w:pStyle w:val="180"/>
              <w:rPr>
                <w:rFonts w:ascii="Times New Roman"/>
              </w:rPr>
            </w:pPr>
            <w:r>
              <w:rPr>
                <w:rFonts w:ascii="Times New Roman"/>
              </w:rPr>
              <w:t>净化氨氮</w:t>
            </w:r>
          </w:p>
        </w:tc>
        <w:tc>
          <w:tcPr>
            <w:tcW w:w="2183" w:type="dxa"/>
            <w:shd w:val="clear" w:color="auto" w:fill="auto"/>
            <w:vAlign w:val="center"/>
          </w:tcPr>
          <w:p w14:paraId="462E03D7">
            <w:pPr>
              <w:pStyle w:val="180"/>
              <w:rPr>
                <w:rFonts w:ascii="Times New Roman"/>
              </w:rPr>
            </w:pPr>
            <w:r>
              <w:rPr>
                <w:rFonts w:ascii="Times New Roman"/>
              </w:rPr>
              <w:t>1750元/t</w:t>
            </w:r>
          </w:p>
        </w:tc>
        <w:tc>
          <w:tcPr>
            <w:tcW w:w="1867" w:type="dxa"/>
            <w:shd w:val="clear" w:color="auto" w:fill="auto"/>
            <w:vAlign w:val="center"/>
          </w:tcPr>
          <w:p w14:paraId="6E56366E">
            <w:pPr>
              <w:pStyle w:val="180"/>
              <w:rPr>
                <w:rFonts w:ascii="Times New Roman"/>
              </w:rPr>
            </w:pPr>
            <w:r>
              <w:rPr>
                <w:rFonts w:ascii="Times New Roman"/>
              </w:rPr>
              <w:t>政府定价</w:t>
            </w:r>
          </w:p>
        </w:tc>
        <w:tc>
          <w:tcPr>
            <w:tcW w:w="1867" w:type="dxa"/>
            <w:vMerge w:val="continue"/>
            <w:shd w:val="clear" w:color="auto" w:fill="auto"/>
            <w:vAlign w:val="center"/>
          </w:tcPr>
          <w:p w14:paraId="7C73064E">
            <w:pPr>
              <w:pStyle w:val="180"/>
              <w:rPr>
                <w:rFonts w:ascii="Times New Roman"/>
              </w:rPr>
            </w:pPr>
          </w:p>
        </w:tc>
        <w:tc>
          <w:tcPr>
            <w:tcW w:w="1867" w:type="dxa"/>
            <w:vMerge w:val="continue"/>
            <w:shd w:val="clear" w:color="auto" w:fill="auto"/>
            <w:vAlign w:val="center"/>
          </w:tcPr>
          <w:p w14:paraId="63C5D159">
            <w:pPr>
              <w:pStyle w:val="180"/>
              <w:rPr>
                <w:rFonts w:ascii="Times New Roman"/>
              </w:rPr>
            </w:pPr>
          </w:p>
        </w:tc>
      </w:tr>
      <w:tr w14:paraId="5825E2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2C0C3C57">
            <w:pPr>
              <w:pStyle w:val="180"/>
              <w:rPr>
                <w:rFonts w:ascii="Times New Roman"/>
              </w:rPr>
            </w:pPr>
            <w:r>
              <w:rPr>
                <w:rFonts w:ascii="Times New Roman"/>
              </w:rPr>
              <w:t>净化总磷</w:t>
            </w:r>
          </w:p>
        </w:tc>
        <w:tc>
          <w:tcPr>
            <w:tcW w:w="2183" w:type="dxa"/>
            <w:shd w:val="clear" w:color="auto" w:fill="auto"/>
            <w:vAlign w:val="center"/>
          </w:tcPr>
          <w:p w14:paraId="6C73AA7F">
            <w:pPr>
              <w:pStyle w:val="180"/>
              <w:rPr>
                <w:rFonts w:ascii="Times New Roman"/>
              </w:rPr>
            </w:pPr>
            <w:r>
              <w:rPr>
                <w:rFonts w:ascii="Times New Roman"/>
              </w:rPr>
              <w:t>5600元/t</w:t>
            </w:r>
          </w:p>
        </w:tc>
        <w:tc>
          <w:tcPr>
            <w:tcW w:w="1867" w:type="dxa"/>
            <w:shd w:val="clear" w:color="auto" w:fill="auto"/>
            <w:vAlign w:val="center"/>
          </w:tcPr>
          <w:p w14:paraId="2C60C29F">
            <w:pPr>
              <w:pStyle w:val="180"/>
              <w:rPr>
                <w:rFonts w:ascii="Times New Roman"/>
              </w:rPr>
            </w:pPr>
            <w:r>
              <w:rPr>
                <w:rFonts w:ascii="Times New Roman"/>
              </w:rPr>
              <w:t>政府定价</w:t>
            </w:r>
          </w:p>
        </w:tc>
        <w:tc>
          <w:tcPr>
            <w:tcW w:w="1867" w:type="dxa"/>
            <w:vMerge w:val="continue"/>
            <w:shd w:val="clear" w:color="auto" w:fill="auto"/>
            <w:vAlign w:val="center"/>
          </w:tcPr>
          <w:p w14:paraId="17172A9A">
            <w:pPr>
              <w:pStyle w:val="180"/>
              <w:rPr>
                <w:rFonts w:ascii="Times New Roman"/>
              </w:rPr>
            </w:pPr>
          </w:p>
        </w:tc>
        <w:tc>
          <w:tcPr>
            <w:tcW w:w="1867" w:type="dxa"/>
            <w:vMerge w:val="continue"/>
            <w:shd w:val="clear" w:color="auto" w:fill="auto"/>
            <w:vAlign w:val="center"/>
          </w:tcPr>
          <w:p w14:paraId="6ECA0B71">
            <w:pPr>
              <w:pStyle w:val="180"/>
              <w:rPr>
                <w:rFonts w:ascii="Times New Roman"/>
              </w:rPr>
            </w:pPr>
          </w:p>
        </w:tc>
      </w:tr>
      <w:tr w14:paraId="7E78D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406BD9CB">
            <w:pPr>
              <w:pStyle w:val="180"/>
              <w:rPr>
                <w:rFonts w:ascii="Times New Roman"/>
              </w:rPr>
            </w:pPr>
            <w:r>
              <w:rPr>
                <w:rFonts w:ascii="Times New Roman"/>
              </w:rPr>
              <w:t>电价</w:t>
            </w:r>
          </w:p>
        </w:tc>
        <w:tc>
          <w:tcPr>
            <w:tcW w:w="2183" w:type="dxa"/>
            <w:shd w:val="clear" w:color="auto" w:fill="auto"/>
            <w:vAlign w:val="center"/>
          </w:tcPr>
          <w:p w14:paraId="048F200F">
            <w:pPr>
              <w:pStyle w:val="180"/>
              <w:rPr>
                <w:rFonts w:ascii="Times New Roman"/>
              </w:rPr>
            </w:pPr>
            <w:r>
              <w:rPr>
                <w:rFonts w:ascii="Times New Roman"/>
              </w:rPr>
              <w:t>0.5653元/kWh</w:t>
            </w:r>
          </w:p>
        </w:tc>
        <w:tc>
          <w:tcPr>
            <w:tcW w:w="1867" w:type="dxa"/>
            <w:shd w:val="clear" w:color="auto" w:fill="auto"/>
            <w:vAlign w:val="center"/>
          </w:tcPr>
          <w:p w14:paraId="01CD94BA">
            <w:pPr>
              <w:pStyle w:val="180"/>
              <w:rPr>
                <w:rFonts w:ascii="Times New Roman"/>
              </w:rPr>
            </w:pPr>
            <w:r>
              <w:rPr>
                <w:rFonts w:ascii="Times New Roman"/>
              </w:rPr>
              <w:t>政府定价</w:t>
            </w:r>
          </w:p>
        </w:tc>
        <w:tc>
          <w:tcPr>
            <w:tcW w:w="1867" w:type="dxa"/>
            <w:shd w:val="clear" w:color="auto" w:fill="auto"/>
            <w:vAlign w:val="center"/>
          </w:tcPr>
          <w:p w14:paraId="46CF5CAA">
            <w:pPr>
              <w:pStyle w:val="180"/>
              <w:rPr>
                <w:rFonts w:ascii="Times New Roman"/>
              </w:rPr>
            </w:pPr>
            <w:r>
              <w:rPr>
                <w:rFonts w:ascii="Times New Roman"/>
              </w:rPr>
              <w:t>安徽省居民电价</w:t>
            </w:r>
          </w:p>
        </w:tc>
        <w:tc>
          <w:tcPr>
            <w:tcW w:w="1867" w:type="dxa"/>
            <w:shd w:val="clear" w:color="auto" w:fill="auto"/>
            <w:vAlign w:val="center"/>
          </w:tcPr>
          <w:p w14:paraId="1C22CF56">
            <w:pPr>
              <w:pStyle w:val="180"/>
              <w:rPr>
                <w:rFonts w:ascii="Times New Roman"/>
              </w:rPr>
            </w:pPr>
            <w:r>
              <w:rPr>
                <w:rFonts w:ascii="Times New Roman"/>
              </w:rPr>
              <w:t>局部气候调节服务</w:t>
            </w:r>
          </w:p>
        </w:tc>
      </w:tr>
      <w:tr w14:paraId="6CB66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DED4656">
            <w:pPr>
              <w:pStyle w:val="180"/>
              <w:rPr>
                <w:rFonts w:ascii="Times New Roman"/>
              </w:rPr>
            </w:pPr>
            <w:r>
              <w:rPr>
                <w:rFonts w:ascii="Times New Roman"/>
              </w:rPr>
              <w:t>隔音墙建造成本</w:t>
            </w:r>
          </w:p>
        </w:tc>
        <w:tc>
          <w:tcPr>
            <w:tcW w:w="2183" w:type="dxa"/>
            <w:shd w:val="clear" w:color="auto" w:fill="auto"/>
            <w:vAlign w:val="center"/>
          </w:tcPr>
          <w:p w14:paraId="12B048C2">
            <w:pPr>
              <w:pStyle w:val="180"/>
              <w:rPr>
                <w:rFonts w:ascii="Times New Roman"/>
              </w:rPr>
            </w:pPr>
            <w:r>
              <w:rPr>
                <w:rFonts w:ascii="Times New Roman"/>
              </w:rPr>
              <w:t>516500元/（dB·km）</w:t>
            </w:r>
          </w:p>
        </w:tc>
        <w:tc>
          <w:tcPr>
            <w:tcW w:w="1867" w:type="dxa"/>
            <w:shd w:val="clear" w:color="auto" w:fill="auto"/>
            <w:vAlign w:val="center"/>
          </w:tcPr>
          <w:p w14:paraId="0FE3E32A">
            <w:pPr>
              <w:pStyle w:val="180"/>
              <w:rPr>
                <w:rFonts w:ascii="Times New Roman"/>
              </w:rPr>
            </w:pPr>
            <w:r>
              <w:rPr>
                <w:rFonts w:ascii="Times New Roman"/>
              </w:rPr>
              <w:t>市场参考价（2024年）</w:t>
            </w:r>
          </w:p>
        </w:tc>
        <w:tc>
          <w:tcPr>
            <w:tcW w:w="1867" w:type="dxa"/>
            <w:shd w:val="clear" w:color="auto" w:fill="auto"/>
            <w:vAlign w:val="center"/>
          </w:tcPr>
          <w:p w14:paraId="348E8DF0">
            <w:pPr>
              <w:pStyle w:val="180"/>
              <w:rPr>
                <w:rFonts w:ascii="Times New Roman"/>
              </w:rPr>
            </w:pPr>
            <w:r>
              <w:rPr>
                <w:rFonts w:ascii="Times New Roman"/>
              </w:rPr>
              <w:t>参考DB34/T 2393-2019中提供的声屏障定额材料单价，JT/T 646.4-2016中提供的公路声屏障声学性能要求。</w:t>
            </w:r>
          </w:p>
        </w:tc>
        <w:tc>
          <w:tcPr>
            <w:tcW w:w="1867" w:type="dxa"/>
            <w:vMerge w:val="restart"/>
            <w:shd w:val="clear" w:color="auto" w:fill="auto"/>
            <w:vAlign w:val="center"/>
          </w:tcPr>
          <w:p w14:paraId="5BE7F532">
            <w:pPr>
              <w:pStyle w:val="180"/>
              <w:rPr>
                <w:rFonts w:ascii="Times New Roman"/>
              </w:rPr>
            </w:pPr>
            <w:r>
              <w:rPr>
                <w:rFonts w:ascii="Times New Roman"/>
              </w:rPr>
              <w:t>噪声消减服务</w:t>
            </w:r>
          </w:p>
        </w:tc>
      </w:tr>
      <w:tr w14:paraId="32FB5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2C2D99C4">
            <w:pPr>
              <w:pStyle w:val="180"/>
              <w:rPr>
                <w:rFonts w:ascii="Times New Roman"/>
              </w:rPr>
            </w:pPr>
            <w:r>
              <w:rPr>
                <w:rFonts w:ascii="Times New Roman"/>
              </w:rPr>
              <w:t>隔音墙维护成本</w:t>
            </w:r>
          </w:p>
        </w:tc>
        <w:tc>
          <w:tcPr>
            <w:tcW w:w="2183" w:type="dxa"/>
            <w:shd w:val="clear" w:color="auto" w:fill="auto"/>
            <w:vAlign w:val="center"/>
          </w:tcPr>
          <w:p w14:paraId="6C70CD71">
            <w:pPr>
              <w:pStyle w:val="180"/>
              <w:rPr>
                <w:rFonts w:ascii="Times New Roman"/>
              </w:rPr>
            </w:pPr>
            <w:r>
              <w:rPr>
                <w:rFonts w:ascii="Times New Roman"/>
              </w:rPr>
              <w:t>3600元/（dB·km）</w:t>
            </w:r>
          </w:p>
        </w:tc>
        <w:tc>
          <w:tcPr>
            <w:tcW w:w="1867" w:type="dxa"/>
            <w:shd w:val="clear" w:color="auto" w:fill="auto"/>
          </w:tcPr>
          <w:p w14:paraId="3E864EB4">
            <w:pPr>
              <w:pStyle w:val="180"/>
              <w:rPr>
                <w:rFonts w:ascii="Times New Roman"/>
              </w:rPr>
            </w:pPr>
            <w:r>
              <w:rPr>
                <w:rFonts w:ascii="Times New Roman"/>
              </w:rPr>
              <w:t>市场参考价</w:t>
            </w:r>
          </w:p>
          <w:p w14:paraId="41862389">
            <w:pPr>
              <w:pStyle w:val="180"/>
              <w:rPr>
                <w:rFonts w:ascii="Times New Roman"/>
              </w:rPr>
            </w:pPr>
            <w:r>
              <w:rPr>
                <w:rFonts w:ascii="Times New Roman"/>
              </w:rPr>
              <w:t>（2024年）</w:t>
            </w:r>
          </w:p>
        </w:tc>
        <w:tc>
          <w:tcPr>
            <w:tcW w:w="1867" w:type="dxa"/>
            <w:shd w:val="clear" w:color="auto" w:fill="auto"/>
            <w:vAlign w:val="center"/>
          </w:tcPr>
          <w:p w14:paraId="520E17EF">
            <w:pPr>
              <w:pStyle w:val="180"/>
              <w:rPr>
                <w:rFonts w:ascii="Times New Roman"/>
              </w:rPr>
            </w:pPr>
            <w:r>
              <w:rPr>
                <w:rFonts w:ascii="Times New Roman"/>
              </w:rPr>
              <w:t>参考交通运输部《全国收费公路统计公报》</w:t>
            </w:r>
          </w:p>
        </w:tc>
        <w:tc>
          <w:tcPr>
            <w:tcW w:w="1867" w:type="dxa"/>
            <w:vMerge w:val="continue"/>
            <w:shd w:val="clear" w:color="auto" w:fill="auto"/>
            <w:vAlign w:val="center"/>
          </w:tcPr>
          <w:p w14:paraId="01B90B83">
            <w:pPr>
              <w:pStyle w:val="180"/>
              <w:rPr>
                <w:rFonts w:ascii="Times New Roman"/>
              </w:rPr>
            </w:pPr>
          </w:p>
        </w:tc>
      </w:tr>
      <w:tr w14:paraId="7C5D6B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bottom w:val="single" w:color="auto" w:sz="8" w:space="0"/>
            </w:tcBorders>
            <w:shd w:val="clear" w:color="auto" w:fill="auto"/>
            <w:vAlign w:val="center"/>
          </w:tcPr>
          <w:p w14:paraId="6E92C4D2">
            <w:pPr>
              <w:pStyle w:val="182"/>
              <w:numPr>
                <w:ilvl w:val="0"/>
                <w:numId w:val="33"/>
              </w:numPr>
              <w:rPr>
                <w:rFonts w:ascii="Times New Roman"/>
              </w:rPr>
            </w:pPr>
            <w:r>
              <w:rPr>
                <w:rFonts w:ascii="Times New Roman"/>
              </w:rPr>
              <w:t>市场参考价的指标，宜优先采用当地物价部门价格监测数据或市场调研价格，也可参考招投标信息、工程造价类网站、电商平台等网络信息确定。如使用本表参考价格，可采用安徽省多年PPI数据将参考年份的价格折算为核算年份价格。</w:t>
            </w:r>
          </w:p>
          <w:p w14:paraId="0F95AEBE">
            <w:pPr>
              <w:pStyle w:val="182"/>
              <w:numPr>
                <w:ilvl w:val="0"/>
                <w:numId w:val="33"/>
              </w:numPr>
              <w:rPr>
                <w:rFonts w:ascii="Times New Roman"/>
              </w:rPr>
            </w:pPr>
            <w:r>
              <w:rPr>
                <w:rFonts w:ascii="Times New Roman"/>
              </w:rPr>
              <w:t>政府定价指标应在政府价格调整后及时调整。</w:t>
            </w:r>
          </w:p>
        </w:tc>
      </w:tr>
    </w:tbl>
    <w:p w14:paraId="26F74A65">
      <w:pPr>
        <w:pStyle w:val="58"/>
        <w:ind w:firstLine="0" w:firstLineChars="0"/>
        <w:sectPr>
          <w:headerReference r:id="rId14" w:type="default"/>
          <w:footerReference r:id="rId16" w:type="default"/>
          <w:headerReference r:id="rId15" w:type="even"/>
          <w:footerReference r:id="rId17" w:type="even"/>
          <w:pgSz w:w="11906" w:h="16838"/>
          <w:pgMar w:top="1928" w:right="1134" w:bottom="1134" w:left="1134" w:header="1418" w:footer="1134" w:gutter="284"/>
          <w:cols w:space="425" w:num="1"/>
          <w:formProt w:val="0"/>
          <w:docGrid w:type="lines" w:linePitch="312" w:charSpace="0"/>
        </w:sectPr>
      </w:pPr>
    </w:p>
    <w:p w14:paraId="77EDDA08">
      <w:pPr>
        <w:pStyle w:val="200"/>
        <w:rPr>
          <w:rFonts w:hint="eastAsia"/>
          <w:vanish w:val="0"/>
        </w:rPr>
      </w:pPr>
    </w:p>
    <w:p w14:paraId="7AD260D6">
      <w:pPr>
        <w:pStyle w:val="201"/>
        <w:rPr>
          <w:vanish w:val="0"/>
        </w:rPr>
      </w:pPr>
    </w:p>
    <w:p w14:paraId="73D9DC5D">
      <w:pPr>
        <w:pStyle w:val="78"/>
        <w:spacing w:after="156"/>
      </w:pPr>
      <w:r>
        <w:br w:type="textWrapping"/>
      </w:r>
      <w:bookmarkStart w:id="220" w:name="_Toc203399490"/>
      <w:bookmarkStart w:id="221" w:name="_Toc203399094"/>
      <w:r>
        <w:rPr>
          <w:rFonts w:hint="eastAsia"/>
        </w:rPr>
        <w:t>（资料性）</w:t>
      </w:r>
      <w:bookmarkStart w:id="222" w:name="_Toc192077532"/>
      <w:r>
        <w:rPr>
          <w:rFonts w:ascii="Times New Roman"/>
        </w:rPr>
        <w:br w:type="textWrapping"/>
      </w:r>
      <w:r>
        <w:rPr>
          <w:rFonts w:ascii="Times New Roman"/>
        </w:rPr>
        <w:t>数据资料来源</w:t>
      </w:r>
      <w:bookmarkEnd w:id="220"/>
      <w:bookmarkEnd w:id="221"/>
      <w:bookmarkEnd w:id="222"/>
    </w:p>
    <w:p w14:paraId="07E7C7E9">
      <w:pPr>
        <w:pStyle w:val="80"/>
        <w:spacing w:before="156" w:after="156"/>
        <w:rPr>
          <w:rFonts w:ascii="Times New Roman"/>
        </w:rPr>
      </w:pPr>
      <w:r>
        <w:rPr>
          <w:rFonts w:hint="eastAsia" w:ascii="Times New Roman"/>
        </w:rPr>
        <w:t xml:space="preserve"> </w:t>
      </w:r>
      <w:bookmarkStart w:id="223" w:name="_Toc203399095"/>
      <w:bookmarkStart w:id="224" w:name="_Toc203399491"/>
      <w:r>
        <w:rPr>
          <w:rFonts w:ascii="Times New Roman"/>
        </w:rPr>
        <w:t>生态产品价值核算所需的数据资料来源见表D.1。</w:t>
      </w:r>
      <w:bookmarkEnd w:id="223"/>
      <w:bookmarkEnd w:id="224"/>
    </w:p>
    <w:p w14:paraId="61ECED51">
      <w:pPr>
        <w:widowControl/>
        <w:snapToGrid w:val="0"/>
        <w:spacing w:before="156" w:beforeLines="50" w:after="156" w:afterLines="50" w:line="240" w:lineRule="auto"/>
        <w:jc w:val="center"/>
        <w:textAlignment w:val="baseline"/>
        <w:rPr>
          <w:rFonts w:ascii="Times New Roman" w:hAnsi="Times New Roman" w:eastAsia="黑体"/>
          <w:kern w:val="21"/>
          <w:szCs w:val="20"/>
        </w:rPr>
      </w:pPr>
      <w:r>
        <w:rPr>
          <w:rFonts w:ascii="Times New Roman" w:hAnsi="Times New Roman"/>
          <w:kern w:val="0"/>
          <w:szCs w:val="20"/>
        </w:rPr>
        <w:t>表D.1</w:t>
      </w:r>
      <w:r>
        <w:rPr>
          <w:rFonts w:ascii="Times New Roman" w:hAnsi="Times New Roman" w:eastAsia="黑体"/>
          <w:kern w:val="21"/>
          <w:szCs w:val="20"/>
        </w:rPr>
        <w:t>生态产品价值核算数据资料来源表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25"/>
        <w:gridCol w:w="759"/>
        <w:gridCol w:w="1006"/>
        <w:gridCol w:w="2296"/>
        <w:gridCol w:w="1085"/>
        <w:gridCol w:w="1085"/>
        <w:gridCol w:w="1178"/>
      </w:tblGrid>
      <w:tr w14:paraId="6661A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25" w:type="dxa"/>
            <w:tcBorders>
              <w:top w:val="single" w:color="auto" w:sz="8" w:space="0"/>
              <w:bottom w:val="single" w:color="auto" w:sz="8" w:space="0"/>
            </w:tcBorders>
            <w:shd w:val="clear" w:color="auto" w:fill="auto"/>
            <w:vAlign w:val="center"/>
          </w:tcPr>
          <w:p w14:paraId="595914B1">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所需数据</w:t>
            </w:r>
          </w:p>
        </w:tc>
        <w:tc>
          <w:tcPr>
            <w:tcW w:w="759" w:type="dxa"/>
            <w:tcBorders>
              <w:top w:val="single" w:color="auto" w:sz="8" w:space="0"/>
              <w:bottom w:val="single" w:color="auto" w:sz="8" w:space="0"/>
            </w:tcBorders>
            <w:shd w:val="clear" w:color="auto" w:fill="auto"/>
            <w:vAlign w:val="center"/>
          </w:tcPr>
          <w:p w14:paraId="497BA317">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数据格式</w:t>
            </w:r>
          </w:p>
        </w:tc>
        <w:tc>
          <w:tcPr>
            <w:tcW w:w="1006" w:type="dxa"/>
            <w:tcBorders>
              <w:top w:val="single" w:color="auto" w:sz="8" w:space="0"/>
              <w:bottom w:val="single" w:color="auto" w:sz="8" w:space="0"/>
            </w:tcBorders>
            <w:shd w:val="clear" w:color="auto" w:fill="auto"/>
            <w:vAlign w:val="center"/>
          </w:tcPr>
          <w:p w14:paraId="272C8C90">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数据单位</w:t>
            </w:r>
          </w:p>
        </w:tc>
        <w:tc>
          <w:tcPr>
            <w:tcW w:w="2296" w:type="dxa"/>
            <w:tcBorders>
              <w:top w:val="single" w:color="auto" w:sz="8" w:space="0"/>
              <w:bottom w:val="single" w:color="auto" w:sz="8" w:space="0"/>
            </w:tcBorders>
            <w:shd w:val="clear" w:color="auto" w:fill="auto"/>
            <w:vAlign w:val="center"/>
          </w:tcPr>
          <w:p w14:paraId="731936AB">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数据说明</w:t>
            </w:r>
          </w:p>
        </w:tc>
        <w:tc>
          <w:tcPr>
            <w:tcW w:w="1085" w:type="dxa"/>
            <w:tcBorders>
              <w:top w:val="single" w:color="auto" w:sz="8" w:space="0"/>
              <w:bottom w:val="single" w:color="auto" w:sz="8" w:space="0"/>
            </w:tcBorders>
            <w:shd w:val="clear" w:color="auto" w:fill="auto"/>
            <w:vAlign w:val="center"/>
          </w:tcPr>
          <w:p w14:paraId="29532D77">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数据来源</w:t>
            </w:r>
          </w:p>
        </w:tc>
        <w:tc>
          <w:tcPr>
            <w:tcW w:w="1085" w:type="dxa"/>
            <w:tcBorders>
              <w:top w:val="single" w:color="auto" w:sz="8" w:space="0"/>
              <w:bottom w:val="single" w:color="auto" w:sz="8" w:space="0"/>
            </w:tcBorders>
            <w:shd w:val="clear" w:color="auto" w:fill="auto"/>
            <w:vAlign w:val="center"/>
          </w:tcPr>
          <w:p w14:paraId="77040512">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数据频率</w:t>
            </w:r>
          </w:p>
        </w:tc>
        <w:tc>
          <w:tcPr>
            <w:tcW w:w="1178" w:type="dxa"/>
            <w:tcBorders>
              <w:top w:val="single" w:color="auto" w:sz="8" w:space="0"/>
              <w:bottom w:val="single" w:color="auto" w:sz="8" w:space="0"/>
            </w:tcBorders>
            <w:shd w:val="clear" w:color="auto" w:fill="auto"/>
            <w:vAlign w:val="center"/>
          </w:tcPr>
          <w:p w14:paraId="70437162">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b/>
                <w:bCs/>
                <w:kern w:val="0"/>
                <w:sz w:val="18"/>
                <w:szCs w:val="20"/>
              </w:rPr>
              <w:t>适用核算指标</w:t>
            </w:r>
          </w:p>
        </w:tc>
      </w:tr>
      <w:tr w14:paraId="0C0817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tcBorders>
              <w:top w:val="single" w:color="auto" w:sz="8" w:space="0"/>
            </w:tcBorders>
            <w:shd w:val="clear" w:color="auto" w:fill="auto"/>
            <w:vAlign w:val="center"/>
          </w:tcPr>
          <w:p w14:paraId="4A7EABA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行政区划图</w:t>
            </w:r>
          </w:p>
        </w:tc>
        <w:tc>
          <w:tcPr>
            <w:tcW w:w="759" w:type="dxa"/>
            <w:tcBorders>
              <w:top w:val="single" w:color="auto" w:sz="8" w:space="0"/>
            </w:tcBorders>
            <w:shd w:val="clear" w:color="auto" w:fill="auto"/>
            <w:vAlign w:val="center"/>
          </w:tcPr>
          <w:p w14:paraId="788C304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矢量数据</w:t>
            </w:r>
          </w:p>
        </w:tc>
        <w:tc>
          <w:tcPr>
            <w:tcW w:w="1006" w:type="dxa"/>
            <w:tcBorders>
              <w:top w:val="single" w:color="auto" w:sz="8" w:space="0"/>
            </w:tcBorders>
            <w:shd w:val="clear" w:color="auto" w:fill="auto"/>
            <w:vAlign w:val="center"/>
          </w:tcPr>
          <w:p w14:paraId="35253BB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tcBorders>
              <w:top w:val="single" w:color="auto" w:sz="8" w:space="0"/>
            </w:tcBorders>
            <w:shd w:val="clear" w:color="auto" w:fill="auto"/>
            <w:vAlign w:val="center"/>
          </w:tcPr>
          <w:p w14:paraId="70706AD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最小行政区划单元视核算需要而定</w:t>
            </w:r>
          </w:p>
        </w:tc>
        <w:tc>
          <w:tcPr>
            <w:tcW w:w="1085" w:type="dxa"/>
            <w:tcBorders>
              <w:top w:val="single" w:color="auto" w:sz="8" w:space="0"/>
            </w:tcBorders>
            <w:shd w:val="clear" w:color="auto" w:fill="auto"/>
            <w:vAlign w:val="center"/>
          </w:tcPr>
          <w:p w14:paraId="23BF9D0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测绘部门</w:t>
            </w:r>
          </w:p>
        </w:tc>
        <w:tc>
          <w:tcPr>
            <w:tcW w:w="1085" w:type="dxa"/>
            <w:tcBorders>
              <w:top w:val="single" w:color="auto" w:sz="8" w:space="0"/>
            </w:tcBorders>
            <w:shd w:val="clear" w:color="auto" w:fill="auto"/>
            <w:vAlign w:val="center"/>
          </w:tcPr>
          <w:p w14:paraId="08F74CF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tcBorders>
              <w:top w:val="single" w:color="auto" w:sz="8" w:space="0"/>
            </w:tcBorders>
            <w:shd w:val="clear" w:color="auto" w:fill="auto"/>
            <w:vAlign w:val="center"/>
          </w:tcPr>
          <w:p w14:paraId="124F6CA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17E4BA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2D8840E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生态系统图</w:t>
            </w:r>
          </w:p>
        </w:tc>
        <w:tc>
          <w:tcPr>
            <w:tcW w:w="759" w:type="dxa"/>
            <w:shd w:val="clear" w:color="auto" w:fill="auto"/>
            <w:vAlign w:val="center"/>
          </w:tcPr>
          <w:p w14:paraId="5F2F43B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矢量数据</w:t>
            </w:r>
          </w:p>
        </w:tc>
        <w:tc>
          <w:tcPr>
            <w:tcW w:w="1006" w:type="dxa"/>
            <w:shd w:val="clear" w:color="auto" w:fill="auto"/>
            <w:vAlign w:val="center"/>
          </w:tcPr>
          <w:p w14:paraId="3345ED9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1CB7B9F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分类至少到Ⅱ级</w:t>
            </w:r>
          </w:p>
        </w:tc>
        <w:tc>
          <w:tcPr>
            <w:tcW w:w="1085" w:type="dxa"/>
            <w:shd w:val="clear" w:color="auto" w:fill="auto"/>
            <w:vAlign w:val="center"/>
          </w:tcPr>
          <w:p w14:paraId="4F659D2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生态环境部门或中国科学院资源环境科学数据中心</w:t>
            </w:r>
          </w:p>
        </w:tc>
        <w:tc>
          <w:tcPr>
            <w:tcW w:w="1085" w:type="dxa"/>
            <w:shd w:val="clear" w:color="auto" w:fill="auto"/>
            <w:vAlign w:val="center"/>
          </w:tcPr>
          <w:p w14:paraId="084AE75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C9AC0D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54070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CDBEAA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土地利用图</w:t>
            </w:r>
          </w:p>
        </w:tc>
        <w:tc>
          <w:tcPr>
            <w:tcW w:w="759" w:type="dxa"/>
            <w:shd w:val="clear" w:color="auto" w:fill="auto"/>
            <w:vAlign w:val="center"/>
          </w:tcPr>
          <w:p w14:paraId="5BC6D3C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矢量数据</w:t>
            </w:r>
          </w:p>
        </w:tc>
        <w:tc>
          <w:tcPr>
            <w:tcW w:w="1006" w:type="dxa"/>
            <w:shd w:val="clear" w:color="auto" w:fill="auto"/>
            <w:vAlign w:val="center"/>
          </w:tcPr>
          <w:p w14:paraId="75B7467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131746E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分类至少到二级类</w:t>
            </w:r>
          </w:p>
        </w:tc>
        <w:tc>
          <w:tcPr>
            <w:tcW w:w="1085" w:type="dxa"/>
            <w:shd w:val="clear" w:color="auto" w:fill="auto"/>
            <w:vAlign w:val="center"/>
          </w:tcPr>
          <w:p w14:paraId="7F07051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自然资源部门</w:t>
            </w:r>
          </w:p>
        </w:tc>
        <w:tc>
          <w:tcPr>
            <w:tcW w:w="1085" w:type="dxa"/>
            <w:shd w:val="clear" w:color="auto" w:fill="auto"/>
            <w:vAlign w:val="center"/>
          </w:tcPr>
          <w:p w14:paraId="4B5C58D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0CA17F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757081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2CDDC3D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遥感影像图</w:t>
            </w:r>
          </w:p>
        </w:tc>
        <w:tc>
          <w:tcPr>
            <w:tcW w:w="759" w:type="dxa"/>
            <w:shd w:val="clear" w:color="auto" w:fill="auto"/>
            <w:vAlign w:val="center"/>
          </w:tcPr>
          <w:p w14:paraId="52AE981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0F0DC92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1EE9CCD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完整覆盖核算区，空间分辨率优于30m</w:t>
            </w:r>
          </w:p>
        </w:tc>
        <w:tc>
          <w:tcPr>
            <w:tcW w:w="1085" w:type="dxa"/>
            <w:shd w:val="clear" w:color="auto" w:fill="auto"/>
            <w:vAlign w:val="center"/>
          </w:tcPr>
          <w:p w14:paraId="0A64CD8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自然资源部门</w:t>
            </w:r>
          </w:p>
        </w:tc>
        <w:tc>
          <w:tcPr>
            <w:tcW w:w="1085" w:type="dxa"/>
            <w:shd w:val="clear" w:color="auto" w:fill="auto"/>
            <w:vAlign w:val="center"/>
          </w:tcPr>
          <w:p w14:paraId="582E1B1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7BD354F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0FE0C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781A1F6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土壤类型图</w:t>
            </w:r>
          </w:p>
        </w:tc>
        <w:tc>
          <w:tcPr>
            <w:tcW w:w="759" w:type="dxa"/>
            <w:shd w:val="clear" w:color="auto" w:fill="auto"/>
            <w:vAlign w:val="center"/>
          </w:tcPr>
          <w:p w14:paraId="1D32A49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矢量数据</w:t>
            </w:r>
          </w:p>
        </w:tc>
        <w:tc>
          <w:tcPr>
            <w:tcW w:w="1006" w:type="dxa"/>
            <w:shd w:val="clear" w:color="auto" w:fill="auto"/>
            <w:vAlign w:val="center"/>
          </w:tcPr>
          <w:p w14:paraId="3AE0A19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56A450A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分类至少到土类</w:t>
            </w:r>
          </w:p>
        </w:tc>
        <w:tc>
          <w:tcPr>
            <w:tcW w:w="1085" w:type="dxa"/>
            <w:shd w:val="clear" w:color="auto" w:fill="auto"/>
            <w:vAlign w:val="center"/>
          </w:tcPr>
          <w:p w14:paraId="78B63FD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农业部门或中国科学院资源环境科学数据中心</w:t>
            </w:r>
          </w:p>
        </w:tc>
        <w:tc>
          <w:tcPr>
            <w:tcW w:w="1085" w:type="dxa"/>
            <w:shd w:val="clear" w:color="auto" w:fill="auto"/>
            <w:vAlign w:val="center"/>
          </w:tcPr>
          <w:p w14:paraId="02BB6DD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6B7202C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0B24A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C334DD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DEM数据</w:t>
            </w:r>
          </w:p>
        </w:tc>
        <w:tc>
          <w:tcPr>
            <w:tcW w:w="759" w:type="dxa"/>
            <w:shd w:val="clear" w:color="auto" w:fill="auto"/>
            <w:vAlign w:val="center"/>
          </w:tcPr>
          <w:p w14:paraId="173D282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20399F0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5D97BBD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完整覆盖核算区，空间分辨率优于30m</w:t>
            </w:r>
          </w:p>
        </w:tc>
        <w:tc>
          <w:tcPr>
            <w:tcW w:w="1085" w:type="dxa"/>
            <w:shd w:val="clear" w:color="auto" w:fill="auto"/>
            <w:vAlign w:val="center"/>
          </w:tcPr>
          <w:p w14:paraId="210E2C8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自然资源部门或中国科学院资源环境科学数据中心</w:t>
            </w:r>
          </w:p>
        </w:tc>
        <w:tc>
          <w:tcPr>
            <w:tcW w:w="1085" w:type="dxa"/>
            <w:shd w:val="clear" w:color="auto" w:fill="auto"/>
            <w:vAlign w:val="center"/>
          </w:tcPr>
          <w:p w14:paraId="37D00A5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4328B13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通用数据</w:t>
            </w:r>
          </w:p>
        </w:tc>
      </w:tr>
      <w:tr w14:paraId="2E6D5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180E130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农林牧渔产品年产量</w:t>
            </w:r>
          </w:p>
        </w:tc>
        <w:tc>
          <w:tcPr>
            <w:tcW w:w="759" w:type="dxa"/>
            <w:shd w:val="clear" w:color="auto" w:fill="auto"/>
            <w:vAlign w:val="center"/>
          </w:tcPr>
          <w:p w14:paraId="6EFCA89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6DDC99C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t/a</w:t>
            </w:r>
          </w:p>
        </w:tc>
        <w:tc>
          <w:tcPr>
            <w:tcW w:w="2296" w:type="dxa"/>
            <w:shd w:val="clear" w:color="auto" w:fill="auto"/>
            <w:vAlign w:val="center"/>
          </w:tcPr>
          <w:p w14:paraId="4304109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农林牧渔产品分产品类型年收获量</w:t>
            </w:r>
          </w:p>
        </w:tc>
        <w:tc>
          <w:tcPr>
            <w:tcW w:w="1085" w:type="dxa"/>
            <w:shd w:val="clear" w:color="auto" w:fill="auto"/>
            <w:vAlign w:val="center"/>
          </w:tcPr>
          <w:p w14:paraId="0DFCDAE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统计部门或农业部门</w:t>
            </w:r>
          </w:p>
        </w:tc>
        <w:tc>
          <w:tcPr>
            <w:tcW w:w="1085" w:type="dxa"/>
            <w:shd w:val="clear" w:color="auto" w:fill="auto"/>
            <w:vAlign w:val="center"/>
          </w:tcPr>
          <w:p w14:paraId="3866A14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544677C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生物质产品供给实物量、固碳服务实物量</w:t>
            </w:r>
          </w:p>
        </w:tc>
      </w:tr>
      <w:tr w14:paraId="1D6D87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304B57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农林牧渔产品价格</w:t>
            </w:r>
          </w:p>
        </w:tc>
        <w:tc>
          <w:tcPr>
            <w:tcW w:w="759" w:type="dxa"/>
            <w:shd w:val="clear" w:color="auto" w:fill="auto"/>
            <w:vAlign w:val="center"/>
          </w:tcPr>
          <w:p w14:paraId="56B2E36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27CA0D2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元/kg</w:t>
            </w:r>
          </w:p>
        </w:tc>
        <w:tc>
          <w:tcPr>
            <w:tcW w:w="2296" w:type="dxa"/>
            <w:shd w:val="clear" w:color="auto" w:fill="auto"/>
            <w:vAlign w:val="center"/>
          </w:tcPr>
          <w:p w14:paraId="0D686AB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各类农林牧渔产品年均价格</w:t>
            </w:r>
          </w:p>
        </w:tc>
        <w:tc>
          <w:tcPr>
            <w:tcW w:w="1085" w:type="dxa"/>
            <w:shd w:val="clear" w:color="auto" w:fill="auto"/>
            <w:vAlign w:val="center"/>
          </w:tcPr>
          <w:p w14:paraId="79D3A40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物价部门或市场调查</w:t>
            </w:r>
          </w:p>
        </w:tc>
        <w:tc>
          <w:tcPr>
            <w:tcW w:w="1085" w:type="dxa"/>
            <w:shd w:val="clear" w:color="auto" w:fill="auto"/>
            <w:vAlign w:val="center"/>
          </w:tcPr>
          <w:p w14:paraId="4747C84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7DB26D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生物质产品供给价值量</w:t>
            </w:r>
          </w:p>
        </w:tc>
      </w:tr>
      <w:tr w14:paraId="5E8C9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DF2515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农林牧渔产品生产成本</w:t>
            </w:r>
          </w:p>
        </w:tc>
        <w:tc>
          <w:tcPr>
            <w:tcW w:w="759" w:type="dxa"/>
            <w:shd w:val="clear" w:color="auto" w:fill="auto"/>
            <w:vAlign w:val="center"/>
          </w:tcPr>
          <w:p w14:paraId="24268B0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75AFABD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元/kg</w:t>
            </w:r>
          </w:p>
        </w:tc>
        <w:tc>
          <w:tcPr>
            <w:tcW w:w="2296" w:type="dxa"/>
            <w:shd w:val="clear" w:color="auto" w:fill="auto"/>
            <w:vAlign w:val="center"/>
          </w:tcPr>
          <w:p w14:paraId="6F60F27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生产各类农林牧渔产品投入的成本</w:t>
            </w:r>
          </w:p>
        </w:tc>
        <w:tc>
          <w:tcPr>
            <w:tcW w:w="1085" w:type="dxa"/>
            <w:shd w:val="clear" w:color="auto" w:fill="auto"/>
            <w:vAlign w:val="center"/>
          </w:tcPr>
          <w:p w14:paraId="754357A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农业部门或市场调查</w:t>
            </w:r>
          </w:p>
        </w:tc>
        <w:tc>
          <w:tcPr>
            <w:tcW w:w="1085" w:type="dxa"/>
            <w:shd w:val="clear" w:color="auto" w:fill="auto"/>
            <w:vAlign w:val="center"/>
          </w:tcPr>
          <w:p w14:paraId="3387D04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7C4E2FC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生物质产品供给价值量</w:t>
            </w:r>
          </w:p>
        </w:tc>
      </w:tr>
      <w:tr w14:paraId="160D96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5278795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农林牧渔产品增加值</w:t>
            </w:r>
          </w:p>
        </w:tc>
        <w:tc>
          <w:tcPr>
            <w:tcW w:w="759" w:type="dxa"/>
            <w:shd w:val="clear" w:color="auto" w:fill="auto"/>
            <w:vAlign w:val="center"/>
          </w:tcPr>
          <w:p w14:paraId="72D4ABF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63D611F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万元</w:t>
            </w:r>
          </w:p>
        </w:tc>
        <w:tc>
          <w:tcPr>
            <w:tcW w:w="2296" w:type="dxa"/>
            <w:shd w:val="clear" w:color="auto" w:fill="auto"/>
            <w:vAlign w:val="center"/>
          </w:tcPr>
          <w:p w14:paraId="267D59C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农林牧渔产品年增加值</w:t>
            </w:r>
          </w:p>
        </w:tc>
        <w:tc>
          <w:tcPr>
            <w:tcW w:w="1085" w:type="dxa"/>
            <w:shd w:val="clear" w:color="auto" w:fill="auto"/>
            <w:vAlign w:val="center"/>
          </w:tcPr>
          <w:p w14:paraId="31EAD21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统计部门</w:t>
            </w:r>
          </w:p>
        </w:tc>
        <w:tc>
          <w:tcPr>
            <w:tcW w:w="1085" w:type="dxa"/>
            <w:shd w:val="clear" w:color="auto" w:fill="auto"/>
            <w:vAlign w:val="center"/>
          </w:tcPr>
          <w:p w14:paraId="188B3E5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0E32BA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生物质供给价值量</w:t>
            </w:r>
          </w:p>
        </w:tc>
      </w:tr>
      <w:tr w14:paraId="03D48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225E419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本地生活用水量</w:t>
            </w:r>
          </w:p>
        </w:tc>
        <w:tc>
          <w:tcPr>
            <w:tcW w:w="759" w:type="dxa"/>
            <w:shd w:val="clear" w:color="auto" w:fill="auto"/>
            <w:vAlign w:val="center"/>
          </w:tcPr>
          <w:p w14:paraId="1506E38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4454335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t/a</w:t>
            </w:r>
          </w:p>
        </w:tc>
        <w:tc>
          <w:tcPr>
            <w:tcW w:w="2296" w:type="dxa"/>
            <w:shd w:val="clear" w:color="auto" w:fill="auto"/>
            <w:vAlign w:val="center"/>
          </w:tcPr>
          <w:p w14:paraId="6D42ADB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达到或优于Ⅲ类标准的生活用水取水量或用水量</w:t>
            </w:r>
          </w:p>
        </w:tc>
        <w:tc>
          <w:tcPr>
            <w:tcW w:w="1085" w:type="dxa"/>
            <w:shd w:val="clear" w:color="auto" w:fill="auto"/>
            <w:vAlign w:val="center"/>
          </w:tcPr>
          <w:p w14:paraId="320FB4F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统计部门或水利部门</w:t>
            </w:r>
          </w:p>
        </w:tc>
        <w:tc>
          <w:tcPr>
            <w:tcW w:w="1085" w:type="dxa"/>
            <w:shd w:val="clear" w:color="auto" w:fill="auto"/>
            <w:vAlign w:val="center"/>
          </w:tcPr>
          <w:p w14:paraId="1F9DBC3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0149B5E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水资源供给实物量</w:t>
            </w:r>
          </w:p>
        </w:tc>
      </w:tr>
      <w:tr w14:paraId="03E16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C36EA8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出境水量</w:t>
            </w:r>
          </w:p>
        </w:tc>
        <w:tc>
          <w:tcPr>
            <w:tcW w:w="759" w:type="dxa"/>
            <w:shd w:val="clear" w:color="auto" w:fill="auto"/>
            <w:vAlign w:val="center"/>
          </w:tcPr>
          <w:p w14:paraId="31D0239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18F1B9D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t/a</w:t>
            </w:r>
          </w:p>
        </w:tc>
        <w:tc>
          <w:tcPr>
            <w:tcW w:w="2296" w:type="dxa"/>
            <w:shd w:val="clear" w:color="auto" w:fill="auto"/>
            <w:vAlign w:val="center"/>
          </w:tcPr>
          <w:p w14:paraId="0C74422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达到或优于Ⅲ类标准的出境和调出水量</w:t>
            </w:r>
          </w:p>
        </w:tc>
        <w:tc>
          <w:tcPr>
            <w:tcW w:w="1085" w:type="dxa"/>
            <w:shd w:val="clear" w:color="auto" w:fill="auto"/>
            <w:vAlign w:val="center"/>
          </w:tcPr>
          <w:p w14:paraId="631BB1F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统计部门或水利部门</w:t>
            </w:r>
          </w:p>
        </w:tc>
        <w:tc>
          <w:tcPr>
            <w:tcW w:w="1085" w:type="dxa"/>
            <w:shd w:val="clear" w:color="auto" w:fill="auto"/>
            <w:vAlign w:val="center"/>
          </w:tcPr>
          <w:p w14:paraId="3886D64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7D7263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水资源供给实物量</w:t>
            </w:r>
          </w:p>
        </w:tc>
      </w:tr>
      <w:tr w14:paraId="4A52B8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7A0CAC5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入境水量</w:t>
            </w:r>
          </w:p>
        </w:tc>
        <w:tc>
          <w:tcPr>
            <w:tcW w:w="759" w:type="dxa"/>
            <w:shd w:val="clear" w:color="auto" w:fill="auto"/>
            <w:vAlign w:val="center"/>
          </w:tcPr>
          <w:p w14:paraId="533C5BC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4D99909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t/a</w:t>
            </w:r>
          </w:p>
        </w:tc>
        <w:tc>
          <w:tcPr>
            <w:tcW w:w="2296" w:type="dxa"/>
            <w:shd w:val="clear" w:color="auto" w:fill="auto"/>
            <w:vAlign w:val="center"/>
          </w:tcPr>
          <w:p w14:paraId="174C227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达到或优于Ⅲ类标准的入境和调入水量</w:t>
            </w:r>
          </w:p>
        </w:tc>
        <w:tc>
          <w:tcPr>
            <w:tcW w:w="1085" w:type="dxa"/>
            <w:shd w:val="clear" w:color="auto" w:fill="auto"/>
            <w:vAlign w:val="center"/>
          </w:tcPr>
          <w:p w14:paraId="5ED3A2A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统计部门或水利部门</w:t>
            </w:r>
          </w:p>
        </w:tc>
        <w:tc>
          <w:tcPr>
            <w:tcW w:w="1085" w:type="dxa"/>
            <w:shd w:val="clear" w:color="auto" w:fill="auto"/>
            <w:vAlign w:val="center"/>
          </w:tcPr>
          <w:p w14:paraId="7814801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4582E9D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水资源供给实物量</w:t>
            </w:r>
          </w:p>
        </w:tc>
      </w:tr>
      <w:tr w14:paraId="663CE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28476B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生物质电厂调查数据</w:t>
            </w:r>
          </w:p>
        </w:tc>
        <w:tc>
          <w:tcPr>
            <w:tcW w:w="759" w:type="dxa"/>
            <w:shd w:val="clear" w:color="auto" w:fill="auto"/>
            <w:vAlign w:val="center"/>
          </w:tcPr>
          <w:p w14:paraId="0ECAC2C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139E97D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46340D9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核算区域及周边地区，使用本地生物质的生物质电厂年发电量、生物质转化发电量占发电总量比例、使用本地生物质原料占比、年运营成本、生物质发电项目工程造价、生物质发电项目年折旧率，分电厂统计</w:t>
            </w:r>
          </w:p>
        </w:tc>
        <w:tc>
          <w:tcPr>
            <w:tcW w:w="1085" w:type="dxa"/>
            <w:shd w:val="clear" w:color="auto" w:fill="auto"/>
            <w:vAlign w:val="center"/>
          </w:tcPr>
          <w:p w14:paraId="55FB193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能源部门或实地调查</w:t>
            </w:r>
          </w:p>
        </w:tc>
        <w:tc>
          <w:tcPr>
            <w:tcW w:w="1085" w:type="dxa"/>
            <w:shd w:val="clear" w:color="auto" w:fill="auto"/>
            <w:vAlign w:val="center"/>
          </w:tcPr>
          <w:p w14:paraId="1D02993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07BC84B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生物质能供给实物量、生物质能供给价值量</w:t>
            </w:r>
          </w:p>
        </w:tc>
      </w:tr>
      <w:tr w14:paraId="580914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4A15FC4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生物质产品燃料化利用总量</w:t>
            </w:r>
          </w:p>
        </w:tc>
        <w:tc>
          <w:tcPr>
            <w:tcW w:w="759" w:type="dxa"/>
            <w:shd w:val="clear" w:color="auto" w:fill="auto"/>
            <w:vAlign w:val="center"/>
          </w:tcPr>
          <w:p w14:paraId="487B0F3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3403CDB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t/a</w:t>
            </w:r>
          </w:p>
        </w:tc>
        <w:tc>
          <w:tcPr>
            <w:tcW w:w="2296" w:type="dxa"/>
            <w:shd w:val="clear" w:color="auto" w:fill="auto"/>
            <w:vAlign w:val="center"/>
          </w:tcPr>
          <w:p w14:paraId="10F8587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核算区域核算年份生物质产品燃料化利用总量</w:t>
            </w:r>
          </w:p>
        </w:tc>
        <w:tc>
          <w:tcPr>
            <w:tcW w:w="1085" w:type="dxa"/>
            <w:shd w:val="clear" w:color="auto" w:fill="auto"/>
            <w:vAlign w:val="center"/>
          </w:tcPr>
          <w:p w14:paraId="2266F61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能源部门或实地调查</w:t>
            </w:r>
          </w:p>
        </w:tc>
        <w:tc>
          <w:tcPr>
            <w:tcW w:w="1085" w:type="dxa"/>
            <w:shd w:val="clear" w:color="auto" w:fill="auto"/>
            <w:vAlign w:val="center"/>
          </w:tcPr>
          <w:p w14:paraId="62FCC6C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166266A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生物质能供给价值量</w:t>
            </w:r>
          </w:p>
        </w:tc>
      </w:tr>
      <w:tr w14:paraId="004A4F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F7280A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碳交易价格</w:t>
            </w:r>
          </w:p>
        </w:tc>
        <w:tc>
          <w:tcPr>
            <w:tcW w:w="759" w:type="dxa"/>
            <w:shd w:val="clear" w:color="auto" w:fill="auto"/>
            <w:vAlign w:val="center"/>
          </w:tcPr>
          <w:p w14:paraId="16BF92F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4E75DC0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元/ tC</w:t>
            </w:r>
          </w:p>
        </w:tc>
        <w:tc>
          <w:tcPr>
            <w:tcW w:w="2296" w:type="dxa"/>
            <w:shd w:val="clear" w:color="auto" w:fill="auto"/>
            <w:vAlign w:val="center"/>
          </w:tcPr>
          <w:p w14:paraId="1A86F1A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全国碳市场年均碳交易单价</w:t>
            </w:r>
          </w:p>
        </w:tc>
        <w:tc>
          <w:tcPr>
            <w:tcW w:w="1085" w:type="dxa"/>
            <w:shd w:val="clear" w:color="auto" w:fill="auto"/>
            <w:vAlign w:val="center"/>
          </w:tcPr>
          <w:p w14:paraId="45F0755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全国碳市场交易网</w:t>
            </w:r>
          </w:p>
        </w:tc>
        <w:tc>
          <w:tcPr>
            <w:tcW w:w="1085" w:type="dxa"/>
            <w:shd w:val="clear" w:color="auto" w:fill="auto"/>
            <w:vAlign w:val="center"/>
          </w:tcPr>
          <w:p w14:paraId="34D2923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0D408C1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生物质供给价值量、固碳服务价值量</w:t>
            </w:r>
          </w:p>
        </w:tc>
      </w:tr>
      <w:tr w14:paraId="3A3C1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restart"/>
            <w:shd w:val="clear" w:color="auto" w:fill="auto"/>
            <w:vAlign w:val="center"/>
          </w:tcPr>
          <w:p w14:paraId="3DDBADB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年气象数据</w:t>
            </w:r>
          </w:p>
        </w:tc>
        <w:tc>
          <w:tcPr>
            <w:tcW w:w="759" w:type="dxa"/>
            <w:shd w:val="clear" w:color="auto" w:fill="auto"/>
            <w:vAlign w:val="center"/>
          </w:tcPr>
          <w:p w14:paraId="2FA4343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格网数据</w:t>
            </w:r>
          </w:p>
        </w:tc>
        <w:tc>
          <w:tcPr>
            <w:tcW w:w="1006" w:type="dxa"/>
            <w:shd w:val="clear" w:color="auto" w:fill="auto"/>
            <w:vAlign w:val="center"/>
          </w:tcPr>
          <w:p w14:paraId="497468C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11E3FCE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包括年降水量、年蒸散发量、年平均气温，格网尺寸优于1km×1km</w:t>
            </w:r>
          </w:p>
        </w:tc>
        <w:tc>
          <w:tcPr>
            <w:tcW w:w="1085" w:type="dxa"/>
            <w:shd w:val="clear" w:color="auto" w:fill="auto"/>
            <w:vAlign w:val="center"/>
          </w:tcPr>
          <w:p w14:paraId="726ABBC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03B2BD8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7B1D9DC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w:t>
            </w:r>
          </w:p>
        </w:tc>
      </w:tr>
      <w:tr w14:paraId="7B3DB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continue"/>
            <w:shd w:val="clear" w:color="auto" w:fill="auto"/>
            <w:vAlign w:val="center"/>
          </w:tcPr>
          <w:p w14:paraId="2D437444">
            <w:pPr>
              <w:widowControl/>
              <w:autoSpaceDE w:val="0"/>
              <w:autoSpaceDN w:val="0"/>
              <w:adjustRightInd/>
              <w:spacing w:line="240" w:lineRule="auto"/>
              <w:jc w:val="center"/>
              <w:rPr>
                <w:rFonts w:ascii="Times New Roman" w:hAnsi="Times New Roman"/>
                <w:kern w:val="0"/>
                <w:sz w:val="18"/>
                <w:szCs w:val="20"/>
              </w:rPr>
            </w:pPr>
          </w:p>
        </w:tc>
        <w:tc>
          <w:tcPr>
            <w:tcW w:w="759" w:type="dxa"/>
            <w:shd w:val="clear" w:color="auto" w:fill="auto"/>
            <w:vAlign w:val="center"/>
          </w:tcPr>
          <w:p w14:paraId="0FD029F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3FE7040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1C937BA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气象站观测数据，包括年降水量、年蒸散发量、年平均气温、气象站坐标，分气象站统计，气象站需覆盖核算区及周边区域，满足空间插值需要</w:t>
            </w:r>
          </w:p>
        </w:tc>
        <w:tc>
          <w:tcPr>
            <w:tcW w:w="1085" w:type="dxa"/>
            <w:shd w:val="clear" w:color="auto" w:fill="auto"/>
            <w:vAlign w:val="center"/>
          </w:tcPr>
          <w:p w14:paraId="60FC9FF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5690E9A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10612E6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w:t>
            </w:r>
          </w:p>
        </w:tc>
      </w:tr>
      <w:tr w14:paraId="00F1C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restart"/>
            <w:shd w:val="clear" w:color="auto" w:fill="auto"/>
            <w:vAlign w:val="center"/>
          </w:tcPr>
          <w:p w14:paraId="0A24AF8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月气象数据</w:t>
            </w:r>
          </w:p>
        </w:tc>
        <w:tc>
          <w:tcPr>
            <w:tcW w:w="759" w:type="dxa"/>
            <w:shd w:val="clear" w:color="auto" w:fill="auto"/>
            <w:vAlign w:val="center"/>
          </w:tcPr>
          <w:p w14:paraId="3C6D904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格网数据</w:t>
            </w:r>
          </w:p>
        </w:tc>
        <w:tc>
          <w:tcPr>
            <w:tcW w:w="1006" w:type="dxa"/>
            <w:shd w:val="clear" w:color="auto" w:fill="auto"/>
            <w:vAlign w:val="center"/>
          </w:tcPr>
          <w:p w14:paraId="5243BD6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0BC6875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包括月降水量，格网尺寸优于1km×1km</w:t>
            </w:r>
          </w:p>
        </w:tc>
        <w:tc>
          <w:tcPr>
            <w:tcW w:w="1085" w:type="dxa"/>
            <w:shd w:val="clear" w:color="auto" w:fill="auto"/>
            <w:vAlign w:val="center"/>
          </w:tcPr>
          <w:p w14:paraId="5A43DE4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78B39F1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当年逐月数据</w:t>
            </w:r>
          </w:p>
        </w:tc>
        <w:tc>
          <w:tcPr>
            <w:tcW w:w="1178" w:type="dxa"/>
            <w:shd w:val="clear" w:color="auto" w:fill="auto"/>
            <w:vAlign w:val="center"/>
          </w:tcPr>
          <w:p w14:paraId="1DEBFA6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水土保持服务实物量</w:t>
            </w:r>
          </w:p>
        </w:tc>
      </w:tr>
      <w:tr w14:paraId="32F9C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continue"/>
            <w:shd w:val="clear" w:color="auto" w:fill="auto"/>
            <w:vAlign w:val="center"/>
          </w:tcPr>
          <w:p w14:paraId="57538BAA">
            <w:pPr>
              <w:widowControl/>
              <w:autoSpaceDE w:val="0"/>
              <w:autoSpaceDN w:val="0"/>
              <w:adjustRightInd/>
              <w:spacing w:line="240" w:lineRule="auto"/>
              <w:jc w:val="center"/>
              <w:rPr>
                <w:rFonts w:ascii="Times New Roman" w:hAnsi="Times New Roman"/>
                <w:kern w:val="0"/>
                <w:sz w:val="18"/>
                <w:szCs w:val="20"/>
              </w:rPr>
            </w:pPr>
          </w:p>
        </w:tc>
        <w:tc>
          <w:tcPr>
            <w:tcW w:w="759" w:type="dxa"/>
            <w:shd w:val="clear" w:color="auto" w:fill="auto"/>
            <w:vAlign w:val="center"/>
          </w:tcPr>
          <w:p w14:paraId="3B21D7D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1C624BA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01FD9C9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气象站观测数据，包括月降水量、气象站坐标，分气象站统计，气象站需覆盖核算区及周边区域，满足空间插值需要</w:t>
            </w:r>
          </w:p>
        </w:tc>
        <w:tc>
          <w:tcPr>
            <w:tcW w:w="1085" w:type="dxa"/>
            <w:shd w:val="clear" w:color="auto" w:fill="auto"/>
            <w:vAlign w:val="center"/>
          </w:tcPr>
          <w:p w14:paraId="796C180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42E39F7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当年逐月数据</w:t>
            </w:r>
          </w:p>
        </w:tc>
        <w:tc>
          <w:tcPr>
            <w:tcW w:w="1178" w:type="dxa"/>
            <w:shd w:val="clear" w:color="auto" w:fill="auto"/>
            <w:vAlign w:val="center"/>
          </w:tcPr>
          <w:p w14:paraId="316962A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水土保持服务实物量</w:t>
            </w:r>
          </w:p>
        </w:tc>
      </w:tr>
      <w:tr w14:paraId="05BD2D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restart"/>
            <w:shd w:val="clear" w:color="auto" w:fill="auto"/>
            <w:vAlign w:val="center"/>
          </w:tcPr>
          <w:p w14:paraId="339B318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日气象数据</w:t>
            </w:r>
          </w:p>
        </w:tc>
        <w:tc>
          <w:tcPr>
            <w:tcW w:w="759" w:type="dxa"/>
            <w:shd w:val="clear" w:color="auto" w:fill="auto"/>
            <w:vAlign w:val="center"/>
          </w:tcPr>
          <w:p w14:paraId="63C7FC2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格网数据</w:t>
            </w:r>
          </w:p>
        </w:tc>
        <w:tc>
          <w:tcPr>
            <w:tcW w:w="1006" w:type="dxa"/>
            <w:shd w:val="clear" w:color="auto" w:fill="auto"/>
            <w:vAlign w:val="center"/>
          </w:tcPr>
          <w:p w14:paraId="0A225F6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63B1F0F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包括日降水量、日最高气温、日平均湿度，格网尺寸优于1km×1km</w:t>
            </w:r>
          </w:p>
        </w:tc>
        <w:tc>
          <w:tcPr>
            <w:tcW w:w="1085" w:type="dxa"/>
            <w:shd w:val="clear" w:color="auto" w:fill="auto"/>
            <w:vAlign w:val="center"/>
          </w:tcPr>
          <w:p w14:paraId="3C752C3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762CF0B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当年逐日数据</w:t>
            </w:r>
          </w:p>
        </w:tc>
        <w:tc>
          <w:tcPr>
            <w:tcW w:w="1178" w:type="dxa"/>
            <w:shd w:val="clear" w:color="auto" w:fill="auto"/>
            <w:vAlign w:val="center"/>
          </w:tcPr>
          <w:p w14:paraId="351BC76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水源涵养服务实物量、土壤保持服务实物量、洪水调蓄服务、局部气候调节服务实物量</w:t>
            </w:r>
          </w:p>
        </w:tc>
      </w:tr>
      <w:tr w14:paraId="272BC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vMerge w:val="continue"/>
            <w:shd w:val="clear" w:color="auto" w:fill="auto"/>
            <w:vAlign w:val="center"/>
          </w:tcPr>
          <w:p w14:paraId="458B6AD3">
            <w:pPr>
              <w:widowControl/>
              <w:autoSpaceDE w:val="0"/>
              <w:autoSpaceDN w:val="0"/>
              <w:adjustRightInd/>
              <w:spacing w:line="240" w:lineRule="auto"/>
              <w:jc w:val="center"/>
              <w:rPr>
                <w:rFonts w:ascii="Times New Roman" w:hAnsi="Times New Roman"/>
                <w:kern w:val="0"/>
                <w:sz w:val="18"/>
                <w:szCs w:val="20"/>
              </w:rPr>
            </w:pPr>
          </w:p>
        </w:tc>
        <w:tc>
          <w:tcPr>
            <w:tcW w:w="759" w:type="dxa"/>
            <w:shd w:val="clear" w:color="auto" w:fill="auto"/>
            <w:vAlign w:val="center"/>
          </w:tcPr>
          <w:p w14:paraId="108E007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32B57B1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7740570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气象站观测数据，包括日降水量、日最高气温、日平均湿度、气象站坐标，分气象站统计，气象站需覆盖核算区及周边区域，满足空间插值需要</w:t>
            </w:r>
          </w:p>
        </w:tc>
        <w:tc>
          <w:tcPr>
            <w:tcW w:w="1085" w:type="dxa"/>
            <w:shd w:val="clear" w:color="auto" w:fill="auto"/>
            <w:vAlign w:val="center"/>
          </w:tcPr>
          <w:p w14:paraId="7A58A04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3509CF1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当年逐日数据</w:t>
            </w:r>
          </w:p>
        </w:tc>
        <w:tc>
          <w:tcPr>
            <w:tcW w:w="1178" w:type="dxa"/>
            <w:shd w:val="clear" w:color="auto" w:fill="auto"/>
            <w:vAlign w:val="center"/>
          </w:tcPr>
          <w:p w14:paraId="545A4C3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水源涵养服务实物量、土壤保持服务实物量、洪水调蓄服务、局部气候调节服务实物量</w:t>
            </w:r>
          </w:p>
        </w:tc>
      </w:tr>
      <w:tr w14:paraId="5F415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560F0F7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土壤质地数据</w:t>
            </w:r>
          </w:p>
        </w:tc>
        <w:tc>
          <w:tcPr>
            <w:tcW w:w="759" w:type="dxa"/>
            <w:shd w:val="clear" w:color="auto" w:fill="auto"/>
            <w:vAlign w:val="center"/>
          </w:tcPr>
          <w:p w14:paraId="1AD1BDB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7B67319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40E6B5E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包含中国制粒径分级和美制粒径分级两种分级标准下土壤质地数据</w:t>
            </w:r>
          </w:p>
        </w:tc>
        <w:tc>
          <w:tcPr>
            <w:tcW w:w="1085" w:type="dxa"/>
            <w:shd w:val="clear" w:color="auto" w:fill="auto"/>
            <w:vAlign w:val="center"/>
          </w:tcPr>
          <w:p w14:paraId="6DDDAB3F">
            <w:pPr>
              <w:widowControl/>
              <w:autoSpaceDE w:val="0"/>
              <w:autoSpaceDN w:val="0"/>
              <w:adjustRightInd/>
              <w:spacing w:line="240" w:lineRule="auto"/>
              <w:jc w:val="center"/>
              <w:rPr>
                <w:rFonts w:ascii="Times New Roman" w:hAnsi="Times New Roman"/>
                <w:b/>
                <w:bCs/>
                <w:kern w:val="0"/>
                <w:sz w:val="18"/>
                <w:szCs w:val="20"/>
              </w:rPr>
            </w:pPr>
            <w:r>
              <w:rPr>
                <w:rFonts w:ascii="Times New Roman" w:hAnsi="Times New Roman"/>
                <w:kern w:val="0"/>
                <w:sz w:val="18"/>
                <w:szCs w:val="20"/>
              </w:rPr>
              <w:t>农业部门或中国科学院资源环境科学数据中心</w:t>
            </w:r>
          </w:p>
        </w:tc>
        <w:tc>
          <w:tcPr>
            <w:tcW w:w="1085" w:type="dxa"/>
            <w:shd w:val="clear" w:color="auto" w:fill="auto"/>
            <w:vAlign w:val="center"/>
          </w:tcPr>
          <w:p w14:paraId="6BFF768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4273604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水源涵养服务实物量、土壤保持服务实物量</w:t>
            </w:r>
          </w:p>
        </w:tc>
      </w:tr>
      <w:tr w14:paraId="68DE79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99AE28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土壤调查数据</w:t>
            </w:r>
          </w:p>
        </w:tc>
        <w:tc>
          <w:tcPr>
            <w:tcW w:w="759" w:type="dxa"/>
            <w:shd w:val="clear" w:color="auto" w:fill="auto"/>
            <w:vAlign w:val="center"/>
          </w:tcPr>
          <w:p w14:paraId="75F25BF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6DBE1E2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3197330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采样调查数据按土壤类型赋值，包括各样点土壤类型、容重、全氮、全磷、有机质含量等属性数据。</w:t>
            </w:r>
          </w:p>
        </w:tc>
        <w:tc>
          <w:tcPr>
            <w:tcW w:w="1085" w:type="dxa"/>
            <w:shd w:val="clear" w:color="auto" w:fill="auto"/>
            <w:vAlign w:val="center"/>
          </w:tcPr>
          <w:p w14:paraId="108C84C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农业部门或采样实测</w:t>
            </w:r>
          </w:p>
        </w:tc>
        <w:tc>
          <w:tcPr>
            <w:tcW w:w="1085" w:type="dxa"/>
            <w:shd w:val="clear" w:color="auto" w:fill="auto"/>
            <w:vAlign w:val="center"/>
          </w:tcPr>
          <w:p w14:paraId="79CFABB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2EFADC3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水源涵养实物量、土壤保持服务实物量、土壤保持价值量、洪水调蓄实物量、</w:t>
            </w:r>
          </w:p>
        </w:tc>
      </w:tr>
      <w:tr w14:paraId="40359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9DC903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物候期</w:t>
            </w:r>
          </w:p>
        </w:tc>
        <w:tc>
          <w:tcPr>
            <w:tcW w:w="759" w:type="dxa"/>
            <w:shd w:val="clear" w:color="auto" w:fill="auto"/>
            <w:vAlign w:val="center"/>
          </w:tcPr>
          <w:p w14:paraId="5D955D0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461EC79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25DB8A8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植物生长期和休止期起止时间</w:t>
            </w:r>
          </w:p>
        </w:tc>
        <w:tc>
          <w:tcPr>
            <w:tcW w:w="1085" w:type="dxa"/>
            <w:shd w:val="clear" w:color="auto" w:fill="auto"/>
            <w:vAlign w:val="center"/>
          </w:tcPr>
          <w:p w14:paraId="725D358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农业部门或气象部门</w:t>
            </w:r>
          </w:p>
        </w:tc>
        <w:tc>
          <w:tcPr>
            <w:tcW w:w="1085" w:type="dxa"/>
            <w:shd w:val="clear" w:color="auto" w:fill="auto"/>
            <w:vAlign w:val="center"/>
          </w:tcPr>
          <w:p w14:paraId="7CDA6A0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6221A7F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w:t>
            </w:r>
          </w:p>
        </w:tc>
      </w:tr>
      <w:tr w14:paraId="021D3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2B3847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径流系数</w:t>
            </w:r>
          </w:p>
        </w:tc>
        <w:tc>
          <w:tcPr>
            <w:tcW w:w="759" w:type="dxa"/>
            <w:shd w:val="clear" w:color="auto" w:fill="auto"/>
            <w:vAlign w:val="center"/>
          </w:tcPr>
          <w:p w14:paraId="1BEDB6B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0986D95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154C3F5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实测核算区域各生态系统径流系数</w:t>
            </w:r>
          </w:p>
        </w:tc>
        <w:tc>
          <w:tcPr>
            <w:tcW w:w="1085" w:type="dxa"/>
            <w:shd w:val="clear" w:color="auto" w:fill="auto"/>
            <w:vAlign w:val="center"/>
          </w:tcPr>
          <w:p w14:paraId="2927901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水利部门或实地调查</w:t>
            </w:r>
          </w:p>
        </w:tc>
        <w:tc>
          <w:tcPr>
            <w:tcW w:w="1085" w:type="dxa"/>
            <w:shd w:val="clear" w:color="auto" w:fill="auto"/>
            <w:vAlign w:val="center"/>
          </w:tcPr>
          <w:p w14:paraId="6DCF191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3D019E2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w:t>
            </w:r>
          </w:p>
        </w:tc>
      </w:tr>
      <w:tr w14:paraId="53F63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6CC15B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遥感卫星蒸散发产品</w:t>
            </w:r>
          </w:p>
        </w:tc>
        <w:tc>
          <w:tcPr>
            <w:tcW w:w="759" w:type="dxa"/>
            <w:shd w:val="clear" w:color="auto" w:fill="auto"/>
            <w:vAlign w:val="center"/>
          </w:tcPr>
          <w:p w14:paraId="4E6AB1C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6E33000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mm</w:t>
            </w:r>
          </w:p>
        </w:tc>
        <w:tc>
          <w:tcPr>
            <w:tcW w:w="2296" w:type="dxa"/>
            <w:shd w:val="clear" w:color="auto" w:fill="auto"/>
            <w:vAlign w:val="center"/>
          </w:tcPr>
          <w:p w14:paraId="3594D32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可利用EOS/MODIS MOD16 A3数据集或类似气象卫星数据</w:t>
            </w:r>
          </w:p>
        </w:tc>
        <w:tc>
          <w:tcPr>
            <w:tcW w:w="1085" w:type="dxa"/>
            <w:shd w:val="clear" w:color="auto" w:fill="auto"/>
            <w:vAlign w:val="center"/>
          </w:tcPr>
          <w:p w14:paraId="297450A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气象部门或互联网</w:t>
            </w:r>
          </w:p>
        </w:tc>
        <w:tc>
          <w:tcPr>
            <w:tcW w:w="1085" w:type="dxa"/>
            <w:shd w:val="clear" w:color="auto" w:fill="auto"/>
            <w:vAlign w:val="center"/>
          </w:tcPr>
          <w:p w14:paraId="6E473BA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DC89B2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水源涵养服务实物量</w:t>
            </w:r>
          </w:p>
        </w:tc>
      </w:tr>
      <w:tr w14:paraId="57C1F5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289C996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归一化植被指数（NDVI）</w:t>
            </w:r>
          </w:p>
        </w:tc>
        <w:tc>
          <w:tcPr>
            <w:tcW w:w="759" w:type="dxa"/>
            <w:shd w:val="clear" w:color="auto" w:fill="auto"/>
            <w:vAlign w:val="center"/>
          </w:tcPr>
          <w:p w14:paraId="1AB52FD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栅格数据</w:t>
            </w:r>
          </w:p>
        </w:tc>
        <w:tc>
          <w:tcPr>
            <w:tcW w:w="1006" w:type="dxa"/>
            <w:shd w:val="clear" w:color="auto" w:fill="auto"/>
            <w:vAlign w:val="center"/>
          </w:tcPr>
          <w:p w14:paraId="33F888B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60A1D73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完整覆盖核算区，空间分辨率优于30m</w:t>
            </w:r>
          </w:p>
        </w:tc>
        <w:tc>
          <w:tcPr>
            <w:tcW w:w="1085" w:type="dxa"/>
            <w:shd w:val="clear" w:color="auto" w:fill="auto"/>
            <w:vAlign w:val="center"/>
          </w:tcPr>
          <w:p w14:paraId="3BCACAD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生态环境部门</w:t>
            </w:r>
          </w:p>
        </w:tc>
        <w:tc>
          <w:tcPr>
            <w:tcW w:w="1085" w:type="dxa"/>
            <w:shd w:val="clear" w:color="auto" w:fill="auto"/>
            <w:vAlign w:val="center"/>
          </w:tcPr>
          <w:p w14:paraId="6DD4CD8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17DEC1E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土壤保持服务实物量</w:t>
            </w:r>
          </w:p>
        </w:tc>
      </w:tr>
      <w:tr w14:paraId="3D232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46EB019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水库调查数据</w:t>
            </w:r>
          </w:p>
        </w:tc>
        <w:tc>
          <w:tcPr>
            <w:tcW w:w="759" w:type="dxa"/>
            <w:shd w:val="clear" w:color="auto" w:fill="auto"/>
            <w:vAlign w:val="center"/>
          </w:tcPr>
          <w:p w14:paraId="40A8565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1506388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2AB4625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各水库总库容、各水库防洪库容、各水库工程造价、各水库年折旧率、各水库单位库容清淤工程费用、水库单位库容年运营成本</w:t>
            </w:r>
          </w:p>
        </w:tc>
        <w:tc>
          <w:tcPr>
            <w:tcW w:w="1085" w:type="dxa"/>
            <w:shd w:val="clear" w:color="auto" w:fill="auto"/>
            <w:vAlign w:val="center"/>
          </w:tcPr>
          <w:p w14:paraId="652DC41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水利部门和实地调查</w:t>
            </w:r>
          </w:p>
        </w:tc>
        <w:tc>
          <w:tcPr>
            <w:tcW w:w="1085" w:type="dxa"/>
            <w:shd w:val="clear" w:color="auto" w:fill="auto"/>
            <w:vAlign w:val="center"/>
          </w:tcPr>
          <w:p w14:paraId="27C8F62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6397444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土壤涵养服务价值量、洪水调蓄实物量</w:t>
            </w:r>
          </w:p>
        </w:tc>
      </w:tr>
      <w:tr w14:paraId="60F49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9A9EBB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水田田埂高度</w:t>
            </w:r>
          </w:p>
        </w:tc>
        <w:tc>
          <w:tcPr>
            <w:tcW w:w="759" w:type="dxa"/>
            <w:shd w:val="clear" w:color="auto" w:fill="auto"/>
            <w:vAlign w:val="center"/>
          </w:tcPr>
          <w:p w14:paraId="56C5445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68DABA0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2A1FA03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核算地区水田田埂平均高度</w:t>
            </w:r>
          </w:p>
        </w:tc>
        <w:tc>
          <w:tcPr>
            <w:tcW w:w="1085" w:type="dxa"/>
            <w:shd w:val="clear" w:color="auto" w:fill="auto"/>
            <w:vAlign w:val="center"/>
          </w:tcPr>
          <w:p w14:paraId="1A53547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农业部门或实地调查</w:t>
            </w:r>
          </w:p>
        </w:tc>
        <w:tc>
          <w:tcPr>
            <w:tcW w:w="1085" w:type="dxa"/>
            <w:shd w:val="clear" w:color="auto" w:fill="auto"/>
            <w:vAlign w:val="center"/>
          </w:tcPr>
          <w:p w14:paraId="09DC79A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6A33D16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5C0FD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220569F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水稻生育期平均蓄水深度</w:t>
            </w:r>
          </w:p>
        </w:tc>
        <w:tc>
          <w:tcPr>
            <w:tcW w:w="759" w:type="dxa"/>
            <w:shd w:val="clear" w:color="auto" w:fill="auto"/>
            <w:vAlign w:val="center"/>
          </w:tcPr>
          <w:p w14:paraId="44BEBBF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643EA68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5287B68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核算地区水稻生育期平均蓄水深度</w:t>
            </w:r>
          </w:p>
        </w:tc>
        <w:tc>
          <w:tcPr>
            <w:tcW w:w="1085" w:type="dxa"/>
            <w:shd w:val="clear" w:color="auto" w:fill="auto"/>
            <w:vAlign w:val="center"/>
          </w:tcPr>
          <w:p w14:paraId="3B71397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农业部门或实地调查</w:t>
            </w:r>
          </w:p>
        </w:tc>
        <w:tc>
          <w:tcPr>
            <w:tcW w:w="1085" w:type="dxa"/>
            <w:shd w:val="clear" w:color="auto" w:fill="auto"/>
            <w:vAlign w:val="center"/>
          </w:tcPr>
          <w:p w14:paraId="01B5A84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31065C4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645C57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6B83AD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洪水发生次数</w:t>
            </w:r>
          </w:p>
        </w:tc>
        <w:tc>
          <w:tcPr>
            <w:tcW w:w="759" w:type="dxa"/>
            <w:shd w:val="clear" w:color="auto" w:fill="auto"/>
            <w:vAlign w:val="center"/>
          </w:tcPr>
          <w:p w14:paraId="44B574F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0055DA9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次</w:t>
            </w:r>
          </w:p>
        </w:tc>
        <w:tc>
          <w:tcPr>
            <w:tcW w:w="2296" w:type="dxa"/>
            <w:shd w:val="clear" w:color="auto" w:fill="auto"/>
            <w:vAlign w:val="center"/>
          </w:tcPr>
          <w:p w14:paraId="78AE992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核算区域核算年份洪水发生次数</w:t>
            </w:r>
          </w:p>
        </w:tc>
        <w:tc>
          <w:tcPr>
            <w:tcW w:w="1085" w:type="dxa"/>
            <w:shd w:val="clear" w:color="auto" w:fill="auto"/>
            <w:vAlign w:val="center"/>
          </w:tcPr>
          <w:p w14:paraId="5D3775D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w:t>
            </w:r>
          </w:p>
        </w:tc>
        <w:tc>
          <w:tcPr>
            <w:tcW w:w="1085" w:type="dxa"/>
            <w:shd w:val="clear" w:color="auto" w:fill="auto"/>
            <w:vAlign w:val="center"/>
          </w:tcPr>
          <w:p w14:paraId="33B1AD2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424B788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1A0CB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458705F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城市水体面积</w:t>
            </w:r>
          </w:p>
        </w:tc>
        <w:tc>
          <w:tcPr>
            <w:tcW w:w="759" w:type="dxa"/>
            <w:shd w:val="clear" w:color="auto" w:fill="auto"/>
            <w:vAlign w:val="center"/>
          </w:tcPr>
          <w:p w14:paraId="67FBEBE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4695F8B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km</w:t>
            </w:r>
            <w:r>
              <w:rPr>
                <w:rFonts w:ascii="Times New Roman" w:hAnsi="Times New Roman"/>
                <w:kern w:val="0"/>
                <w:sz w:val="18"/>
                <w:szCs w:val="20"/>
                <w:vertAlign w:val="superscript"/>
              </w:rPr>
              <w:t>2</w:t>
            </w:r>
          </w:p>
        </w:tc>
        <w:tc>
          <w:tcPr>
            <w:tcW w:w="2296" w:type="dxa"/>
            <w:shd w:val="clear" w:color="auto" w:fill="auto"/>
            <w:vAlign w:val="center"/>
          </w:tcPr>
          <w:p w14:paraId="0272C79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核算区域城市水体面积</w:t>
            </w:r>
          </w:p>
        </w:tc>
        <w:tc>
          <w:tcPr>
            <w:tcW w:w="1085" w:type="dxa"/>
            <w:shd w:val="clear" w:color="auto" w:fill="auto"/>
            <w:vAlign w:val="center"/>
          </w:tcPr>
          <w:p w14:paraId="085EC5A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住建部门</w:t>
            </w:r>
          </w:p>
        </w:tc>
        <w:tc>
          <w:tcPr>
            <w:tcW w:w="1085" w:type="dxa"/>
            <w:shd w:val="clear" w:color="auto" w:fill="auto"/>
            <w:vAlign w:val="center"/>
          </w:tcPr>
          <w:p w14:paraId="36D1E93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DEDE23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4FF6B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761BC26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洪水期城市水体平均滞水高度</w:t>
            </w:r>
          </w:p>
        </w:tc>
        <w:tc>
          <w:tcPr>
            <w:tcW w:w="759" w:type="dxa"/>
            <w:shd w:val="clear" w:color="auto" w:fill="auto"/>
            <w:vAlign w:val="center"/>
          </w:tcPr>
          <w:p w14:paraId="21FDE40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2420B42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15AB57E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城市水体常水位与池岸顶边的高差</w:t>
            </w:r>
          </w:p>
        </w:tc>
        <w:tc>
          <w:tcPr>
            <w:tcW w:w="1085" w:type="dxa"/>
            <w:shd w:val="clear" w:color="auto" w:fill="auto"/>
            <w:vAlign w:val="center"/>
          </w:tcPr>
          <w:p w14:paraId="6958847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住建部门或实地调查</w:t>
            </w:r>
          </w:p>
        </w:tc>
        <w:tc>
          <w:tcPr>
            <w:tcW w:w="1085" w:type="dxa"/>
            <w:shd w:val="clear" w:color="auto" w:fill="auto"/>
            <w:vAlign w:val="center"/>
          </w:tcPr>
          <w:p w14:paraId="03DFE9D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401A673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42257F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47C4BF3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湖泊换水次数</w:t>
            </w:r>
          </w:p>
        </w:tc>
        <w:tc>
          <w:tcPr>
            <w:tcW w:w="759" w:type="dxa"/>
            <w:shd w:val="clear" w:color="auto" w:fill="auto"/>
            <w:vAlign w:val="center"/>
          </w:tcPr>
          <w:p w14:paraId="61E8869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307FE7A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r>
              <w:rPr>
                <w:rFonts w:ascii="Times New Roman" w:hAnsi="Times New Roman"/>
                <w:kern w:val="0"/>
                <w:sz w:val="18"/>
                <w:szCs w:val="20"/>
                <w:vertAlign w:val="superscript"/>
              </w:rPr>
              <w:t>3</w:t>
            </w:r>
          </w:p>
        </w:tc>
        <w:tc>
          <w:tcPr>
            <w:tcW w:w="2296" w:type="dxa"/>
            <w:shd w:val="clear" w:color="auto" w:fill="auto"/>
            <w:vAlign w:val="center"/>
          </w:tcPr>
          <w:p w14:paraId="35E6F69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核算区域各湖泊年换水次数</w:t>
            </w:r>
          </w:p>
        </w:tc>
        <w:tc>
          <w:tcPr>
            <w:tcW w:w="1085" w:type="dxa"/>
            <w:shd w:val="clear" w:color="auto" w:fill="auto"/>
            <w:vAlign w:val="center"/>
          </w:tcPr>
          <w:p w14:paraId="788EE18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w:t>
            </w:r>
          </w:p>
        </w:tc>
        <w:tc>
          <w:tcPr>
            <w:tcW w:w="1085" w:type="dxa"/>
            <w:shd w:val="clear" w:color="auto" w:fill="auto"/>
            <w:vAlign w:val="center"/>
          </w:tcPr>
          <w:p w14:paraId="1C6F271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6F3AE9B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14B45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3861BB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沼泽土壤蓄水深度</w:t>
            </w:r>
          </w:p>
        </w:tc>
        <w:tc>
          <w:tcPr>
            <w:tcW w:w="759" w:type="dxa"/>
            <w:shd w:val="clear" w:color="auto" w:fill="auto"/>
            <w:vAlign w:val="center"/>
          </w:tcPr>
          <w:p w14:paraId="3AE1E07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066E37A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4D59375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核算区域沼泽土壤蓄水深度</w:t>
            </w:r>
          </w:p>
        </w:tc>
        <w:tc>
          <w:tcPr>
            <w:tcW w:w="1085" w:type="dxa"/>
            <w:shd w:val="clear" w:color="auto" w:fill="auto"/>
            <w:vAlign w:val="center"/>
          </w:tcPr>
          <w:p w14:paraId="72ACD74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水利部门或实地调查</w:t>
            </w:r>
          </w:p>
        </w:tc>
        <w:tc>
          <w:tcPr>
            <w:tcW w:w="1085" w:type="dxa"/>
            <w:shd w:val="clear" w:color="auto" w:fill="auto"/>
            <w:vAlign w:val="center"/>
          </w:tcPr>
          <w:p w14:paraId="6BCA998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566FA90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3D5450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474B7F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沼泽土壤含水量率</w:t>
            </w:r>
          </w:p>
        </w:tc>
        <w:tc>
          <w:tcPr>
            <w:tcW w:w="759" w:type="dxa"/>
            <w:shd w:val="clear" w:color="auto" w:fill="auto"/>
            <w:vAlign w:val="center"/>
          </w:tcPr>
          <w:p w14:paraId="6CC38FD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2571517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07501F5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核算区域汛期前后沼泽土壤含水率</w:t>
            </w:r>
          </w:p>
        </w:tc>
        <w:tc>
          <w:tcPr>
            <w:tcW w:w="1085" w:type="dxa"/>
            <w:shd w:val="clear" w:color="auto" w:fill="auto"/>
            <w:vAlign w:val="center"/>
          </w:tcPr>
          <w:p w14:paraId="27CE70B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水利部门或实地调查</w:t>
            </w:r>
          </w:p>
        </w:tc>
        <w:tc>
          <w:tcPr>
            <w:tcW w:w="1085" w:type="dxa"/>
            <w:shd w:val="clear" w:color="auto" w:fill="auto"/>
            <w:vAlign w:val="center"/>
          </w:tcPr>
          <w:p w14:paraId="35C80EB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56E8D58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02DA01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69271F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沼泽湿地地表滞水高度</w:t>
            </w:r>
          </w:p>
        </w:tc>
        <w:tc>
          <w:tcPr>
            <w:tcW w:w="759" w:type="dxa"/>
            <w:shd w:val="clear" w:color="auto" w:fill="auto"/>
            <w:vAlign w:val="center"/>
          </w:tcPr>
          <w:p w14:paraId="1B2A7C6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47F432D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m</w:t>
            </w:r>
          </w:p>
        </w:tc>
        <w:tc>
          <w:tcPr>
            <w:tcW w:w="2296" w:type="dxa"/>
            <w:shd w:val="clear" w:color="auto" w:fill="auto"/>
            <w:vAlign w:val="center"/>
          </w:tcPr>
          <w:p w14:paraId="7E4E783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核算区域沼泽湿地地表滞水高度</w:t>
            </w:r>
          </w:p>
        </w:tc>
        <w:tc>
          <w:tcPr>
            <w:tcW w:w="1085" w:type="dxa"/>
            <w:shd w:val="clear" w:color="auto" w:fill="auto"/>
            <w:vAlign w:val="center"/>
          </w:tcPr>
          <w:p w14:paraId="2367566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水利部门或实地调查</w:t>
            </w:r>
          </w:p>
        </w:tc>
        <w:tc>
          <w:tcPr>
            <w:tcW w:w="1085" w:type="dxa"/>
            <w:shd w:val="clear" w:color="auto" w:fill="auto"/>
            <w:vAlign w:val="center"/>
          </w:tcPr>
          <w:p w14:paraId="4E69DD9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4E67E57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洪水调蓄实物量</w:t>
            </w:r>
          </w:p>
        </w:tc>
      </w:tr>
      <w:tr w14:paraId="30169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06E24D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秸秆还田的农田面积</w:t>
            </w:r>
          </w:p>
        </w:tc>
        <w:tc>
          <w:tcPr>
            <w:tcW w:w="759" w:type="dxa"/>
            <w:shd w:val="clear" w:color="auto" w:fill="auto"/>
            <w:vAlign w:val="center"/>
          </w:tcPr>
          <w:p w14:paraId="1C879E2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19CC07E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ha</w:t>
            </w:r>
            <w:r>
              <w:rPr>
                <w:rFonts w:ascii="Times New Roman" w:hAnsi="Times New Roman"/>
                <w:kern w:val="0"/>
                <w:sz w:val="18"/>
                <w:szCs w:val="20"/>
                <w:vertAlign w:val="superscript"/>
              </w:rPr>
              <w:t>2</w:t>
            </w:r>
          </w:p>
        </w:tc>
        <w:tc>
          <w:tcPr>
            <w:tcW w:w="2296" w:type="dxa"/>
            <w:shd w:val="clear" w:color="auto" w:fill="auto"/>
            <w:vAlign w:val="center"/>
          </w:tcPr>
          <w:p w14:paraId="4358BEC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核算区域秸秆还田的农田面积</w:t>
            </w:r>
          </w:p>
        </w:tc>
        <w:tc>
          <w:tcPr>
            <w:tcW w:w="1085" w:type="dxa"/>
            <w:shd w:val="clear" w:color="auto" w:fill="auto"/>
            <w:vAlign w:val="center"/>
          </w:tcPr>
          <w:p w14:paraId="3E9C299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w:t>
            </w:r>
          </w:p>
        </w:tc>
        <w:tc>
          <w:tcPr>
            <w:tcW w:w="1085" w:type="dxa"/>
            <w:shd w:val="clear" w:color="auto" w:fill="auto"/>
            <w:vAlign w:val="center"/>
          </w:tcPr>
          <w:p w14:paraId="07F4F5C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5B859E4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固碳服务实物量</w:t>
            </w:r>
          </w:p>
        </w:tc>
      </w:tr>
      <w:tr w14:paraId="6DF26D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E83B03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固碳速率</w:t>
            </w:r>
          </w:p>
        </w:tc>
        <w:tc>
          <w:tcPr>
            <w:tcW w:w="759" w:type="dxa"/>
            <w:shd w:val="clear" w:color="auto" w:fill="auto"/>
            <w:vAlign w:val="center"/>
          </w:tcPr>
          <w:p w14:paraId="4D0C251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65F8C28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tC/(hm</w:t>
            </w:r>
            <w:r>
              <w:rPr>
                <w:rFonts w:ascii="Times New Roman" w:hAnsi="Times New Roman"/>
                <w:kern w:val="0"/>
                <w:sz w:val="18"/>
                <w:szCs w:val="20"/>
                <w:vertAlign w:val="superscript"/>
              </w:rPr>
              <w:t>2</w:t>
            </w:r>
            <w:r>
              <w:rPr>
                <w:rFonts w:ascii="Times New Roman" w:hAnsi="Times New Roman"/>
                <w:kern w:val="0"/>
                <w:sz w:val="18"/>
                <w:szCs w:val="20"/>
              </w:rPr>
              <w:t>·a)</w:t>
            </w:r>
          </w:p>
        </w:tc>
        <w:tc>
          <w:tcPr>
            <w:tcW w:w="2296" w:type="dxa"/>
            <w:shd w:val="clear" w:color="auto" w:fill="auto"/>
            <w:vAlign w:val="center"/>
          </w:tcPr>
          <w:p w14:paraId="134C35C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核算区域各类生态系统固碳速率</w:t>
            </w:r>
          </w:p>
        </w:tc>
        <w:tc>
          <w:tcPr>
            <w:tcW w:w="1085" w:type="dxa"/>
            <w:shd w:val="clear" w:color="auto" w:fill="auto"/>
            <w:vAlign w:val="center"/>
          </w:tcPr>
          <w:p w14:paraId="6DB6C5C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林业部门或实地调查</w:t>
            </w:r>
          </w:p>
        </w:tc>
        <w:tc>
          <w:tcPr>
            <w:tcW w:w="1085" w:type="dxa"/>
            <w:shd w:val="clear" w:color="auto" w:fill="auto"/>
            <w:vAlign w:val="center"/>
          </w:tcPr>
          <w:p w14:paraId="17CDC0D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4B6B499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固碳服务实物量</w:t>
            </w:r>
          </w:p>
        </w:tc>
      </w:tr>
      <w:tr w14:paraId="6FC49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8713CE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化肥施用量</w:t>
            </w:r>
          </w:p>
        </w:tc>
        <w:tc>
          <w:tcPr>
            <w:tcW w:w="759" w:type="dxa"/>
            <w:shd w:val="clear" w:color="auto" w:fill="auto"/>
            <w:vAlign w:val="center"/>
          </w:tcPr>
          <w:p w14:paraId="7B39345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5C9ACF9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t/hm</w:t>
            </w:r>
            <w:r>
              <w:rPr>
                <w:rFonts w:ascii="Times New Roman" w:hAnsi="Times New Roman"/>
                <w:kern w:val="0"/>
                <w:sz w:val="18"/>
                <w:szCs w:val="20"/>
                <w:vertAlign w:val="superscript"/>
              </w:rPr>
              <w:t>2</w:t>
            </w:r>
          </w:p>
        </w:tc>
        <w:tc>
          <w:tcPr>
            <w:tcW w:w="2296" w:type="dxa"/>
            <w:shd w:val="clear" w:color="auto" w:fill="auto"/>
            <w:vAlign w:val="center"/>
          </w:tcPr>
          <w:p w14:paraId="3A19CA3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核算区域单位面积氮肥和复合肥的施用量</w:t>
            </w:r>
          </w:p>
        </w:tc>
        <w:tc>
          <w:tcPr>
            <w:tcW w:w="1085" w:type="dxa"/>
            <w:shd w:val="clear" w:color="auto" w:fill="auto"/>
            <w:vAlign w:val="center"/>
          </w:tcPr>
          <w:p w14:paraId="0A6F5FF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农业部门或统计部门</w:t>
            </w:r>
          </w:p>
        </w:tc>
        <w:tc>
          <w:tcPr>
            <w:tcW w:w="1085" w:type="dxa"/>
            <w:shd w:val="clear" w:color="auto" w:fill="auto"/>
            <w:vAlign w:val="center"/>
          </w:tcPr>
          <w:p w14:paraId="6DC18B9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514887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固碳服务实物量</w:t>
            </w:r>
          </w:p>
        </w:tc>
      </w:tr>
      <w:tr w14:paraId="0CDB3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63D802D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秸秆还田量</w:t>
            </w:r>
          </w:p>
        </w:tc>
        <w:tc>
          <w:tcPr>
            <w:tcW w:w="759" w:type="dxa"/>
            <w:shd w:val="clear" w:color="auto" w:fill="auto"/>
            <w:vAlign w:val="center"/>
          </w:tcPr>
          <w:p w14:paraId="70F1C9D8">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06D9583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t</w:t>
            </w:r>
          </w:p>
        </w:tc>
        <w:tc>
          <w:tcPr>
            <w:tcW w:w="2296" w:type="dxa"/>
            <w:shd w:val="clear" w:color="auto" w:fill="auto"/>
            <w:vAlign w:val="center"/>
          </w:tcPr>
          <w:p w14:paraId="5B19C31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核算区域单位耕地面积秸秆还田量</w:t>
            </w:r>
          </w:p>
        </w:tc>
        <w:tc>
          <w:tcPr>
            <w:tcW w:w="1085" w:type="dxa"/>
            <w:shd w:val="clear" w:color="auto" w:fill="auto"/>
            <w:vAlign w:val="center"/>
          </w:tcPr>
          <w:p w14:paraId="065E416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农业部门或发改部门</w:t>
            </w:r>
          </w:p>
        </w:tc>
        <w:tc>
          <w:tcPr>
            <w:tcW w:w="1085" w:type="dxa"/>
            <w:shd w:val="clear" w:color="auto" w:fill="auto"/>
            <w:vAlign w:val="center"/>
          </w:tcPr>
          <w:p w14:paraId="68FF72B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AE0CB1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固碳服务实物量</w:t>
            </w:r>
          </w:p>
        </w:tc>
      </w:tr>
      <w:tr w14:paraId="1B0F4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51CB323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工业制氧价格</w:t>
            </w:r>
          </w:p>
        </w:tc>
        <w:tc>
          <w:tcPr>
            <w:tcW w:w="759" w:type="dxa"/>
            <w:shd w:val="clear" w:color="auto" w:fill="auto"/>
            <w:vAlign w:val="center"/>
          </w:tcPr>
          <w:p w14:paraId="7B52959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文本数据</w:t>
            </w:r>
          </w:p>
        </w:tc>
        <w:tc>
          <w:tcPr>
            <w:tcW w:w="1006" w:type="dxa"/>
            <w:shd w:val="clear" w:color="auto" w:fill="auto"/>
            <w:vAlign w:val="center"/>
          </w:tcPr>
          <w:p w14:paraId="2A41966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元/t</w:t>
            </w:r>
          </w:p>
        </w:tc>
        <w:tc>
          <w:tcPr>
            <w:tcW w:w="2296" w:type="dxa"/>
            <w:shd w:val="clear" w:color="auto" w:fill="auto"/>
            <w:vAlign w:val="center"/>
          </w:tcPr>
          <w:p w14:paraId="3132B68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核算年份工业制氧平均价格</w:t>
            </w:r>
          </w:p>
        </w:tc>
        <w:tc>
          <w:tcPr>
            <w:tcW w:w="1085" w:type="dxa"/>
            <w:shd w:val="clear" w:color="auto" w:fill="auto"/>
            <w:vAlign w:val="center"/>
          </w:tcPr>
          <w:p w14:paraId="0190D76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调查数据</w:t>
            </w:r>
          </w:p>
        </w:tc>
        <w:tc>
          <w:tcPr>
            <w:tcW w:w="1085" w:type="dxa"/>
            <w:shd w:val="clear" w:color="auto" w:fill="auto"/>
            <w:vAlign w:val="center"/>
          </w:tcPr>
          <w:p w14:paraId="2CA417A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E2D4DD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释氧服务价值量</w:t>
            </w:r>
          </w:p>
        </w:tc>
      </w:tr>
      <w:tr w14:paraId="05D11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52DCDD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单位面积蒸腾消耗热量</w:t>
            </w:r>
          </w:p>
        </w:tc>
        <w:tc>
          <w:tcPr>
            <w:tcW w:w="759" w:type="dxa"/>
            <w:shd w:val="clear" w:color="auto" w:fill="auto"/>
            <w:vAlign w:val="center"/>
          </w:tcPr>
          <w:p w14:paraId="393D69A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040C3AD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kJ/（m</w:t>
            </w:r>
            <w:r>
              <w:rPr>
                <w:rFonts w:ascii="Times New Roman" w:hAnsi="Times New Roman"/>
                <w:kern w:val="0"/>
                <w:sz w:val="18"/>
                <w:szCs w:val="20"/>
                <w:vertAlign w:val="superscript"/>
              </w:rPr>
              <w:t>2</w:t>
            </w:r>
            <w:r>
              <w:rPr>
                <w:rFonts w:ascii="Times New Roman" w:hAnsi="Times New Roman"/>
                <w:kern w:val="0"/>
                <w:sz w:val="18"/>
                <w:szCs w:val="20"/>
              </w:rPr>
              <w:t>·d）</w:t>
            </w:r>
          </w:p>
        </w:tc>
        <w:tc>
          <w:tcPr>
            <w:tcW w:w="2296" w:type="dxa"/>
            <w:shd w:val="clear" w:color="auto" w:fill="auto"/>
            <w:vAlign w:val="center"/>
          </w:tcPr>
          <w:p w14:paraId="643A77F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可利用EOS/MOD16A2 LE数据集，计算各类生态系统的单位面积日均潜热通量，或类似气象卫星数据</w:t>
            </w:r>
          </w:p>
        </w:tc>
        <w:tc>
          <w:tcPr>
            <w:tcW w:w="1085" w:type="dxa"/>
            <w:shd w:val="clear" w:color="auto" w:fill="auto"/>
            <w:vAlign w:val="center"/>
          </w:tcPr>
          <w:p w14:paraId="32181B9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气象部门或互联网</w:t>
            </w:r>
          </w:p>
        </w:tc>
        <w:tc>
          <w:tcPr>
            <w:tcW w:w="1085" w:type="dxa"/>
            <w:shd w:val="clear" w:color="auto" w:fill="auto"/>
            <w:vAlign w:val="center"/>
          </w:tcPr>
          <w:p w14:paraId="61E81F5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当年逐日数据</w:t>
            </w:r>
          </w:p>
        </w:tc>
        <w:tc>
          <w:tcPr>
            <w:tcW w:w="1178" w:type="dxa"/>
            <w:shd w:val="clear" w:color="auto" w:fill="auto"/>
            <w:vAlign w:val="center"/>
          </w:tcPr>
          <w:p w14:paraId="210632A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局部气候调节实物量</w:t>
            </w:r>
          </w:p>
        </w:tc>
      </w:tr>
      <w:tr w14:paraId="21B5F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41DBEE2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道路数据</w:t>
            </w:r>
          </w:p>
        </w:tc>
        <w:tc>
          <w:tcPr>
            <w:tcW w:w="759" w:type="dxa"/>
            <w:shd w:val="clear" w:color="auto" w:fill="auto"/>
            <w:vAlign w:val="center"/>
          </w:tcPr>
          <w:p w14:paraId="2D4C980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6E71050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00DBD2F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建成区范围内道路分布图，需包含车道数、绿化带宽度等属性数据</w:t>
            </w:r>
          </w:p>
        </w:tc>
        <w:tc>
          <w:tcPr>
            <w:tcW w:w="1085" w:type="dxa"/>
            <w:shd w:val="clear" w:color="auto" w:fill="auto"/>
            <w:vAlign w:val="center"/>
          </w:tcPr>
          <w:p w14:paraId="0C39F2C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住建部门</w:t>
            </w:r>
          </w:p>
        </w:tc>
        <w:tc>
          <w:tcPr>
            <w:tcW w:w="1085" w:type="dxa"/>
            <w:shd w:val="clear" w:color="auto" w:fill="auto"/>
            <w:vAlign w:val="center"/>
          </w:tcPr>
          <w:p w14:paraId="26237EF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ACB3B7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噪声消减服务实物量</w:t>
            </w:r>
          </w:p>
        </w:tc>
      </w:tr>
      <w:tr w14:paraId="44B6FA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5C4B69C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道路噪声数据</w:t>
            </w:r>
          </w:p>
        </w:tc>
        <w:tc>
          <w:tcPr>
            <w:tcW w:w="759" w:type="dxa"/>
            <w:shd w:val="clear" w:color="auto" w:fill="auto"/>
            <w:vAlign w:val="center"/>
          </w:tcPr>
          <w:p w14:paraId="542640A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5A8A1696">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dB</w:t>
            </w:r>
          </w:p>
        </w:tc>
        <w:tc>
          <w:tcPr>
            <w:tcW w:w="2296" w:type="dxa"/>
            <w:shd w:val="clear" w:color="auto" w:fill="auto"/>
            <w:vAlign w:val="center"/>
          </w:tcPr>
          <w:p w14:paraId="7E9157D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样点处绿化带近路侧和绿化带院路侧噪声</w:t>
            </w:r>
          </w:p>
        </w:tc>
        <w:tc>
          <w:tcPr>
            <w:tcW w:w="1085" w:type="dxa"/>
            <w:shd w:val="clear" w:color="auto" w:fill="auto"/>
            <w:vAlign w:val="center"/>
          </w:tcPr>
          <w:p w14:paraId="28E50EF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住建部门或实测数据</w:t>
            </w:r>
          </w:p>
        </w:tc>
        <w:tc>
          <w:tcPr>
            <w:tcW w:w="1085" w:type="dxa"/>
            <w:shd w:val="clear" w:color="auto" w:fill="auto"/>
            <w:vAlign w:val="center"/>
          </w:tcPr>
          <w:p w14:paraId="767C8E85">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23746E4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噪声消减服务实物量</w:t>
            </w:r>
          </w:p>
        </w:tc>
      </w:tr>
      <w:tr w14:paraId="75E29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3AB6B08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隔音墙建造维护成本</w:t>
            </w:r>
          </w:p>
        </w:tc>
        <w:tc>
          <w:tcPr>
            <w:tcW w:w="759" w:type="dxa"/>
            <w:shd w:val="clear" w:color="auto" w:fill="auto"/>
            <w:vAlign w:val="center"/>
          </w:tcPr>
          <w:p w14:paraId="0D9E81C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表格数据</w:t>
            </w:r>
          </w:p>
        </w:tc>
        <w:tc>
          <w:tcPr>
            <w:tcW w:w="1006" w:type="dxa"/>
            <w:shd w:val="clear" w:color="auto" w:fill="auto"/>
            <w:vAlign w:val="center"/>
          </w:tcPr>
          <w:p w14:paraId="14E4C61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元/km</w:t>
            </w:r>
          </w:p>
        </w:tc>
        <w:tc>
          <w:tcPr>
            <w:tcW w:w="2296" w:type="dxa"/>
            <w:shd w:val="clear" w:color="auto" w:fill="auto"/>
            <w:vAlign w:val="center"/>
          </w:tcPr>
          <w:p w14:paraId="27905FA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隔音墙的建造成本、年维护成本、年折旧率</w:t>
            </w:r>
          </w:p>
        </w:tc>
        <w:tc>
          <w:tcPr>
            <w:tcW w:w="1085" w:type="dxa"/>
            <w:shd w:val="clear" w:color="auto" w:fill="auto"/>
            <w:vAlign w:val="center"/>
          </w:tcPr>
          <w:p w14:paraId="68B2A12C">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交通部门或实地调查</w:t>
            </w:r>
          </w:p>
        </w:tc>
        <w:tc>
          <w:tcPr>
            <w:tcW w:w="1085" w:type="dxa"/>
            <w:shd w:val="clear" w:color="auto" w:fill="auto"/>
            <w:vAlign w:val="center"/>
          </w:tcPr>
          <w:p w14:paraId="27DDF97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长期数据</w:t>
            </w:r>
          </w:p>
        </w:tc>
        <w:tc>
          <w:tcPr>
            <w:tcW w:w="1178" w:type="dxa"/>
            <w:shd w:val="clear" w:color="auto" w:fill="auto"/>
            <w:vAlign w:val="center"/>
          </w:tcPr>
          <w:p w14:paraId="09B813F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噪声消减服务价值量</w:t>
            </w:r>
          </w:p>
        </w:tc>
      </w:tr>
      <w:tr w14:paraId="374C47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10553A8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旅游康养问卷调查数据</w:t>
            </w:r>
          </w:p>
        </w:tc>
        <w:tc>
          <w:tcPr>
            <w:tcW w:w="759" w:type="dxa"/>
            <w:shd w:val="clear" w:color="auto" w:fill="auto"/>
            <w:vAlign w:val="center"/>
          </w:tcPr>
          <w:p w14:paraId="30B2A482">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问卷数据</w:t>
            </w:r>
          </w:p>
        </w:tc>
        <w:tc>
          <w:tcPr>
            <w:tcW w:w="1006" w:type="dxa"/>
            <w:shd w:val="clear" w:color="auto" w:fill="auto"/>
            <w:vAlign w:val="center"/>
          </w:tcPr>
          <w:p w14:paraId="505DDECD">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3C393491">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旅游康养问卷调查</w:t>
            </w:r>
          </w:p>
        </w:tc>
        <w:tc>
          <w:tcPr>
            <w:tcW w:w="1085" w:type="dxa"/>
            <w:shd w:val="clear" w:color="auto" w:fill="auto"/>
            <w:vAlign w:val="center"/>
          </w:tcPr>
          <w:p w14:paraId="79A26D33">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问卷调查</w:t>
            </w:r>
          </w:p>
        </w:tc>
        <w:tc>
          <w:tcPr>
            <w:tcW w:w="1085" w:type="dxa"/>
            <w:shd w:val="clear" w:color="auto" w:fill="auto"/>
            <w:vAlign w:val="center"/>
          </w:tcPr>
          <w:p w14:paraId="6744252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3C522B1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旅游康养服务实物量、旅游康养服务价值量</w:t>
            </w:r>
          </w:p>
        </w:tc>
      </w:tr>
      <w:tr w14:paraId="3C52EB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045D2FA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休闲游憩问卷调查数据</w:t>
            </w:r>
          </w:p>
        </w:tc>
        <w:tc>
          <w:tcPr>
            <w:tcW w:w="759" w:type="dxa"/>
            <w:shd w:val="clear" w:color="auto" w:fill="auto"/>
            <w:vAlign w:val="center"/>
          </w:tcPr>
          <w:p w14:paraId="05F9508B">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问卷数据</w:t>
            </w:r>
          </w:p>
        </w:tc>
        <w:tc>
          <w:tcPr>
            <w:tcW w:w="1006" w:type="dxa"/>
            <w:shd w:val="clear" w:color="auto" w:fill="auto"/>
            <w:vAlign w:val="center"/>
          </w:tcPr>
          <w:p w14:paraId="48938D2F">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5F9C0FC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休闲游憩问卷调查</w:t>
            </w:r>
          </w:p>
        </w:tc>
        <w:tc>
          <w:tcPr>
            <w:tcW w:w="1085" w:type="dxa"/>
            <w:shd w:val="clear" w:color="auto" w:fill="auto"/>
            <w:vAlign w:val="center"/>
          </w:tcPr>
          <w:p w14:paraId="0115242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问卷调查</w:t>
            </w:r>
          </w:p>
        </w:tc>
        <w:tc>
          <w:tcPr>
            <w:tcW w:w="1085" w:type="dxa"/>
            <w:shd w:val="clear" w:color="auto" w:fill="auto"/>
            <w:vAlign w:val="center"/>
          </w:tcPr>
          <w:p w14:paraId="23179E4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5C1F6AD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休闲游憩服务实物量、休闲游憩服务价值量</w:t>
            </w:r>
          </w:p>
        </w:tc>
      </w:tr>
      <w:tr w14:paraId="166F0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25" w:type="dxa"/>
            <w:shd w:val="clear" w:color="auto" w:fill="auto"/>
            <w:vAlign w:val="center"/>
          </w:tcPr>
          <w:p w14:paraId="5421556E">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景观增值问卷调查数据</w:t>
            </w:r>
          </w:p>
        </w:tc>
        <w:tc>
          <w:tcPr>
            <w:tcW w:w="759" w:type="dxa"/>
            <w:shd w:val="clear" w:color="auto" w:fill="auto"/>
            <w:vAlign w:val="center"/>
          </w:tcPr>
          <w:p w14:paraId="1DD7453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问卷数据</w:t>
            </w:r>
          </w:p>
        </w:tc>
        <w:tc>
          <w:tcPr>
            <w:tcW w:w="1006" w:type="dxa"/>
            <w:shd w:val="clear" w:color="auto" w:fill="auto"/>
            <w:vAlign w:val="center"/>
          </w:tcPr>
          <w:p w14:paraId="66860F50">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w:t>
            </w:r>
          </w:p>
        </w:tc>
        <w:tc>
          <w:tcPr>
            <w:tcW w:w="2296" w:type="dxa"/>
            <w:shd w:val="clear" w:color="auto" w:fill="auto"/>
            <w:vAlign w:val="center"/>
          </w:tcPr>
          <w:p w14:paraId="400657D7">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景观增值问卷调查</w:t>
            </w:r>
          </w:p>
        </w:tc>
        <w:tc>
          <w:tcPr>
            <w:tcW w:w="1085" w:type="dxa"/>
            <w:shd w:val="clear" w:color="auto" w:fill="auto"/>
            <w:vAlign w:val="center"/>
          </w:tcPr>
          <w:p w14:paraId="4E649C89">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问卷调查</w:t>
            </w:r>
          </w:p>
        </w:tc>
        <w:tc>
          <w:tcPr>
            <w:tcW w:w="1085" w:type="dxa"/>
            <w:shd w:val="clear" w:color="auto" w:fill="auto"/>
            <w:vAlign w:val="center"/>
          </w:tcPr>
          <w:p w14:paraId="04D60DEA">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当年数据</w:t>
            </w:r>
          </w:p>
        </w:tc>
        <w:tc>
          <w:tcPr>
            <w:tcW w:w="1178" w:type="dxa"/>
            <w:shd w:val="clear" w:color="auto" w:fill="auto"/>
            <w:vAlign w:val="center"/>
          </w:tcPr>
          <w:p w14:paraId="22E06AD4">
            <w:pPr>
              <w:widowControl/>
              <w:autoSpaceDE w:val="0"/>
              <w:autoSpaceDN w:val="0"/>
              <w:adjustRightInd/>
              <w:spacing w:line="240" w:lineRule="auto"/>
              <w:jc w:val="center"/>
              <w:rPr>
                <w:rFonts w:ascii="Times New Roman" w:hAnsi="Times New Roman"/>
                <w:kern w:val="0"/>
                <w:sz w:val="18"/>
                <w:szCs w:val="20"/>
              </w:rPr>
            </w:pPr>
            <w:r>
              <w:rPr>
                <w:rFonts w:ascii="Times New Roman" w:hAnsi="Times New Roman"/>
                <w:kern w:val="0"/>
                <w:sz w:val="18"/>
                <w:szCs w:val="20"/>
              </w:rPr>
              <w:t>景观增值服务实物量、景观增值服务价值量</w:t>
            </w:r>
          </w:p>
        </w:tc>
      </w:tr>
      <w:bookmarkEnd w:id="132"/>
    </w:tbl>
    <w:p w14:paraId="3DC2A075">
      <w:pPr>
        <w:pStyle w:val="58"/>
        <w:ind w:firstLine="0" w:firstLineChars="0"/>
        <w:jc w:val="center"/>
      </w:pPr>
    </w:p>
    <w:p w14:paraId="6E928C88">
      <w:pPr>
        <w:pStyle w:val="58"/>
        <w:ind w:firstLine="0" w:firstLineChars="0"/>
      </w:pPr>
    </w:p>
    <w:p w14:paraId="07262A0E">
      <w:pPr>
        <w:pStyle w:val="80"/>
        <w:spacing w:before="156" w:after="156"/>
        <w:rPr>
          <w:rFonts w:hint="eastAsia" w:ascii="宋体" w:hAnsi="宋体" w:cs="宋体"/>
          <w:kern w:val="0"/>
          <w:sz w:val="15"/>
          <w:lang w:eastAsia="zh-TW"/>
        </w:rPr>
      </w:pPr>
      <w:bookmarkStart w:id="225" w:name="_Toc203399492"/>
      <w:bookmarkStart w:id="226" w:name="_Toc203399096"/>
      <w:r>
        <w:rPr>
          <w:rFonts w:hint="eastAsia" w:ascii="Times New Roman"/>
        </w:rPr>
        <w:t>表D</w:t>
      </w:r>
      <w:r>
        <w:rPr>
          <w:rFonts w:ascii="Times New Roman"/>
        </w:rPr>
        <w:t>.</w:t>
      </w:r>
      <w:r>
        <w:rPr>
          <w:rFonts w:hint="eastAsia" w:ascii="Times New Roman"/>
        </w:rPr>
        <w:t>2</w:t>
      </w:r>
      <w:r>
        <w:rPr>
          <w:rFonts w:ascii="Times New Roman"/>
        </w:rPr>
        <w:t xml:space="preserve"> </w:t>
      </w:r>
      <w:r>
        <w:rPr>
          <w:rFonts w:hint="eastAsia" w:ascii="Times New Roman"/>
        </w:rPr>
        <w:t>规定了核算涉及的空间专题图制作要求</w:t>
      </w:r>
      <w:r>
        <w:rPr>
          <w:rFonts w:hint="eastAsia" w:ascii="宋体" w:hAnsi="宋体" w:cs="宋体"/>
          <w:kern w:val="0"/>
          <w:lang w:eastAsia="zh-TW"/>
        </w:rPr>
        <w:t>。</w:t>
      </w:r>
      <w:bookmarkEnd w:id="225"/>
      <w:bookmarkEnd w:id="226"/>
    </w:p>
    <w:p w14:paraId="5E281D3F">
      <w:pPr>
        <w:autoSpaceDE w:val="0"/>
        <w:autoSpaceDN w:val="0"/>
        <w:adjustRightInd/>
        <w:spacing w:line="240" w:lineRule="auto"/>
        <w:ind w:left="113" w:right="365"/>
        <w:jc w:val="center"/>
        <w:rPr>
          <w:rFonts w:hint="eastAsia" w:ascii="黑体" w:hAnsi="宋体" w:eastAsia="黑体" w:cs="宋体"/>
          <w:kern w:val="0"/>
        </w:rPr>
      </w:pPr>
      <w:r>
        <w:rPr>
          <w:rFonts w:hint="eastAsia" w:ascii="黑体" w:hAnsi="宋体" w:eastAsia="黑体" w:cs="宋体"/>
          <w:kern w:val="0"/>
          <w:lang w:eastAsia="zh-TW"/>
        </w:rPr>
        <w:t>表</w:t>
      </w:r>
      <w:r>
        <w:rPr>
          <w:rFonts w:hint="eastAsia" w:ascii="Times New Roman" w:hAnsi="宋体" w:cs="宋体" w:eastAsiaTheme="minorEastAsia"/>
          <w:kern w:val="0"/>
        </w:rPr>
        <w:t>D</w:t>
      </w:r>
      <w:r>
        <w:rPr>
          <w:rFonts w:ascii="Times New Roman" w:hAnsi="宋体" w:eastAsia="Times New Roman" w:cs="宋体"/>
          <w:kern w:val="0"/>
          <w:lang w:eastAsia="zh-TW"/>
        </w:rPr>
        <w:t>.</w:t>
      </w:r>
      <w:r>
        <w:rPr>
          <w:rFonts w:hint="eastAsia" w:ascii="Times New Roman" w:hAnsi="宋体" w:cs="宋体" w:eastAsiaTheme="minorEastAsia"/>
          <w:kern w:val="0"/>
        </w:rPr>
        <w:t>2</w:t>
      </w:r>
      <w:r>
        <w:rPr>
          <w:rFonts w:ascii="Times New Roman" w:hAnsi="宋体" w:eastAsia="Times New Roman" w:cs="宋体"/>
          <w:kern w:val="0"/>
          <w:lang w:eastAsia="zh-TW"/>
        </w:rPr>
        <w:t xml:space="preserve"> </w:t>
      </w:r>
      <w:r>
        <w:rPr>
          <w:rFonts w:hint="eastAsia" w:ascii="黑体" w:hAnsi="宋体" w:eastAsia="黑体" w:cs="宋体"/>
          <w:kern w:val="0"/>
          <w:lang w:eastAsia="zh-TW"/>
        </w:rPr>
        <w:t>核算涉及的空间专题图制作要求</w:t>
      </w:r>
    </w:p>
    <w:tbl>
      <w:tblPr>
        <w:tblStyle w:val="28"/>
        <w:tblW w:w="935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01"/>
        <w:gridCol w:w="7655"/>
      </w:tblGrid>
      <w:tr w14:paraId="3F736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1" w:hRule="atLeast"/>
        </w:trPr>
        <w:tc>
          <w:tcPr>
            <w:tcW w:w="1701" w:type="dxa"/>
            <w:vAlign w:val="center"/>
          </w:tcPr>
          <w:p w14:paraId="43F6E2A3">
            <w:pPr>
              <w:autoSpaceDE w:val="0"/>
              <w:autoSpaceDN w:val="0"/>
              <w:adjustRightInd/>
              <w:spacing w:before="95" w:line="240" w:lineRule="auto"/>
              <w:ind w:left="385" w:right="364"/>
              <w:jc w:val="center"/>
              <w:rPr>
                <w:rFonts w:ascii="Times New Roman" w:hAnsi="Times New Roman"/>
                <w:b/>
                <w:kern w:val="0"/>
                <w:sz w:val="18"/>
                <w:szCs w:val="22"/>
                <w:lang w:eastAsia="zh-TW"/>
              </w:rPr>
            </w:pPr>
            <w:r>
              <w:rPr>
                <w:rFonts w:ascii="Times New Roman" w:hAnsi="Times New Roman"/>
                <w:b/>
                <w:kern w:val="0"/>
                <w:sz w:val="18"/>
                <w:szCs w:val="22"/>
                <w:lang w:eastAsia="zh-TW"/>
              </w:rPr>
              <w:t>项目</w:t>
            </w:r>
          </w:p>
        </w:tc>
        <w:tc>
          <w:tcPr>
            <w:tcW w:w="7655" w:type="dxa"/>
            <w:vAlign w:val="center"/>
          </w:tcPr>
          <w:p w14:paraId="71615E81">
            <w:pPr>
              <w:autoSpaceDE w:val="0"/>
              <w:autoSpaceDN w:val="0"/>
              <w:adjustRightInd/>
              <w:spacing w:before="95" w:line="240" w:lineRule="auto"/>
              <w:ind w:left="2210" w:right="2190"/>
              <w:jc w:val="center"/>
              <w:rPr>
                <w:rFonts w:ascii="Times New Roman" w:hAnsi="Times New Roman"/>
                <w:b/>
                <w:kern w:val="0"/>
                <w:sz w:val="18"/>
                <w:szCs w:val="22"/>
                <w:lang w:eastAsia="zh-TW"/>
              </w:rPr>
            </w:pPr>
            <w:r>
              <w:rPr>
                <w:rFonts w:ascii="Times New Roman" w:hAnsi="Times New Roman"/>
                <w:b/>
                <w:kern w:val="0"/>
                <w:sz w:val="18"/>
                <w:szCs w:val="22"/>
                <w:lang w:eastAsia="zh-TW"/>
              </w:rPr>
              <w:t>要求</w:t>
            </w:r>
          </w:p>
        </w:tc>
      </w:tr>
      <w:tr w14:paraId="76449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3" w:hRule="atLeast"/>
        </w:trPr>
        <w:tc>
          <w:tcPr>
            <w:tcW w:w="1701" w:type="dxa"/>
            <w:vAlign w:val="center"/>
          </w:tcPr>
          <w:p w14:paraId="4A090695">
            <w:pPr>
              <w:autoSpaceDE w:val="0"/>
              <w:autoSpaceDN w:val="0"/>
              <w:adjustRightInd/>
              <w:spacing w:before="98" w:line="240" w:lineRule="auto"/>
              <w:ind w:left="385" w:right="369"/>
              <w:jc w:val="center"/>
              <w:rPr>
                <w:rFonts w:ascii="Times New Roman" w:hAnsi="Times New Roman"/>
                <w:kern w:val="0"/>
                <w:sz w:val="18"/>
                <w:szCs w:val="22"/>
                <w:lang w:eastAsia="zh-TW"/>
              </w:rPr>
            </w:pPr>
            <w:r>
              <w:rPr>
                <w:rFonts w:ascii="Times New Roman" w:hAnsi="Times New Roman"/>
                <w:kern w:val="0"/>
                <w:sz w:val="18"/>
                <w:szCs w:val="22"/>
                <w:lang w:eastAsia="zh-TW"/>
              </w:rPr>
              <w:t>坐标系统</w:t>
            </w:r>
          </w:p>
        </w:tc>
        <w:tc>
          <w:tcPr>
            <w:tcW w:w="7655" w:type="dxa"/>
            <w:vAlign w:val="center"/>
          </w:tcPr>
          <w:p w14:paraId="574E69FA">
            <w:pPr>
              <w:autoSpaceDE w:val="0"/>
              <w:autoSpaceDN w:val="0"/>
              <w:adjustRightInd/>
              <w:spacing w:before="98" w:line="240" w:lineRule="auto"/>
              <w:ind w:left="2210" w:right="2190"/>
              <w:jc w:val="center"/>
              <w:rPr>
                <w:rFonts w:ascii="Times New Roman" w:hAnsi="Times New Roman"/>
                <w:kern w:val="0"/>
                <w:sz w:val="18"/>
                <w:szCs w:val="22"/>
                <w:lang w:eastAsia="zh-TW"/>
              </w:rPr>
            </w:pPr>
            <w:r>
              <w:rPr>
                <w:rFonts w:ascii="Times New Roman" w:hAnsi="Times New Roman"/>
                <w:kern w:val="0"/>
                <w:sz w:val="18"/>
                <w:szCs w:val="22"/>
                <w:lang w:eastAsia="zh-TW"/>
              </w:rPr>
              <w:t xml:space="preserve">采用 </w:t>
            </w:r>
            <w:r>
              <w:rPr>
                <w:rFonts w:ascii="Times New Roman" w:hAnsi="Times New Roman" w:eastAsia="Times New Roman"/>
                <w:kern w:val="0"/>
                <w:sz w:val="18"/>
                <w:szCs w:val="22"/>
                <w:lang w:eastAsia="zh-TW"/>
              </w:rPr>
              <w:t xml:space="preserve">2000 </w:t>
            </w:r>
            <w:r>
              <w:rPr>
                <w:rFonts w:ascii="Times New Roman" w:hAnsi="Times New Roman"/>
                <w:kern w:val="0"/>
                <w:sz w:val="18"/>
                <w:szCs w:val="22"/>
                <w:lang w:eastAsia="zh-TW"/>
              </w:rPr>
              <w:t>国家大地坐标系</w:t>
            </w:r>
          </w:p>
        </w:tc>
      </w:tr>
      <w:tr w14:paraId="00CB7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83" w:hRule="atLeast"/>
        </w:trPr>
        <w:tc>
          <w:tcPr>
            <w:tcW w:w="1701" w:type="dxa"/>
            <w:vAlign w:val="center"/>
          </w:tcPr>
          <w:p w14:paraId="3FB83426">
            <w:pPr>
              <w:autoSpaceDE w:val="0"/>
              <w:autoSpaceDN w:val="0"/>
              <w:adjustRightInd/>
              <w:spacing w:line="240" w:lineRule="auto"/>
              <w:jc w:val="center"/>
              <w:rPr>
                <w:rFonts w:ascii="Times New Roman" w:hAnsi="Times New Roman"/>
                <w:kern w:val="0"/>
                <w:sz w:val="18"/>
                <w:szCs w:val="22"/>
              </w:rPr>
            </w:pPr>
            <w:r>
              <w:rPr>
                <w:rFonts w:ascii="Times New Roman" w:hAnsi="Times New Roman"/>
                <w:kern w:val="0"/>
                <w:sz w:val="18"/>
                <w:szCs w:val="22"/>
                <w:lang w:eastAsia="zh-TW"/>
              </w:rPr>
              <w:t>图面要素</w:t>
            </w:r>
          </w:p>
        </w:tc>
        <w:tc>
          <w:tcPr>
            <w:tcW w:w="7655" w:type="dxa"/>
            <w:vAlign w:val="center"/>
          </w:tcPr>
          <w:p w14:paraId="18B55D5D">
            <w:pPr>
              <w:autoSpaceDE w:val="0"/>
              <w:autoSpaceDN w:val="0"/>
              <w:adjustRightInd/>
              <w:spacing w:before="93" w:line="278" w:lineRule="auto"/>
              <w:ind w:left="107" w:right="-15"/>
              <w:jc w:val="center"/>
              <w:rPr>
                <w:rFonts w:ascii="Times New Roman" w:hAnsi="Times New Roman"/>
                <w:kern w:val="0"/>
                <w:sz w:val="18"/>
                <w:szCs w:val="22"/>
                <w:lang w:eastAsia="zh-TW"/>
              </w:rPr>
            </w:pPr>
            <w:r>
              <w:rPr>
                <w:rFonts w:ascii="Times New Roman" w:hAnsi="Times New Roman"/>
                <w:kern w:val="0"/>
                <w:sz w:val="18"/>
                <w:szCs w:val="22"/>
                <w:lang w:eastAsia="zh-TW"/>
              </w:rPr>
              <w:t>利用提取获得的应用专题产品作为主要图面要素，叠加省界、地区界、县界等行</w:t>
            </w:r>
            <w:r>
              <w:rPr>
                <w:rFonts w:ascii="Times New Roman" w:hAnsi="Times New Roman"/>
                <w:spacing w:val="-4"/>
                <w:kern w:val="0"/>
                <w:sz w:val="18"/>
                <w:szCs w:val="22"/>
                <w:lang w:eastAsia="zh-TW"/>
              </w:rPr>
              <w:t>政区界要素，并根据实际需要添加各类名称注记，例如城市名称、行政区域注记、图名、核算时段、注记、比例尺等内容。</w:t>
            </w:r>
          </w:p>
        </w:tc>
      </w:tr>
      <w:tr w14:paraId="3A329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30" w:hRule="atLeast"/>
        </w:trPr>
        <w:tc>
          <w:tcPr>
            <w:tcW w:w="1701" w:type="dxa"/>
            <w:vAlign w:val="center"/>
          </w:tcPr>
          <w:p w14:paraId="19B4191B">
            <w:pPr>
              <w:autoSpaceDE w:val="0"/>
              <w:autoSpaceDN w:val="0"/>
              <w:adjustRightInd/>
              <w:spacing w:before="1" w:line="240" w:lineRule="auto"/>
              <w:ind w:right="369"/>
              <w:jc w:val="center"/>
              <w:rPr>
                <w:rFonts w:ascii="Times New Roman" w:hAnsi="Times New Roman"/>
                <w:kern w:val="0"/>
                <w:sz w:val="18"/>
                <w:szCs w:val="22"/>
                <w:lang w:eastAsia="zh-TW"/>
              </w:rPr>
            </w:pPr>
            <w:r>
              <w:rPr>
                <w:rFonts w:ascii="Times New Roman" w:hAnsi="Times New Roman"/>
                <w:kern w:val="0"/>
                <w:sz w:val="18"/>
                <w:szCs w:val="22"/>
              </w:rPr>
              <w:t xml:space="preserve">   </w:t>
            </w:r>
            <w:r>
              <w:rPr>
                <w:rFonts w:ascii="Times New Roman" w:hAnsi="Times New Roman"/>
                <w:kern w:val="0"/>
                <w:sz w:val="18"/>
                <w:szCs w:val="22"/>
                <w:lang w:eastAsia="zh-TW"/>
              </w:rPr>
              <w:t>图件产品</w:t>
            </w:r>
          </w:p>
        </w:tc>
        <w:tc>
          <w:tcPr>
            <w:tcW w:w="7655" w:type="dxa"/>
            <w:vAlign w:val="center"/>
          </w:tcPr>
          <w:p w14:paraId="2D33E05A">
            <w:pPr>
              <w:autoSpaceDE w:val="0"/>
              <w:autoSpaceDN w:val="0"/>
              <w:adjustRightInd/>
              <w:spacing w:before="151" w:line="278" w:lineRule="auto"/>
              <w:ind w:left="107" w:right="146"/>
              <w:jc w:val="center"/>
              <w:rPr>
                <w:rFonts w:ascii="Times New Roman" w:hAnsi="Times New Roman"/>
                <w:kern w:val="0"/>
                <w:sz w:val="18"/>
                <w:szCs w:val="22"/>
                <w:lang w:eastAsia="zh-TW"/>
              </w:rPr>
            </w:pPr>
            <w:r>
              <w:rPr>
                <w:rFonts w:ascii="Times New Roman" w:hAnsi="Times New Roman"/>
                <w:kern w:val="0"/>
                <w:sz w:val="18"/>
                <w:szCs w:val="22"/>
                <w:lang w:eastAsia="zh-TW"/>
              </w:rPr>
              <w:t>主要图件包括要素图斑详图，各个专题产品详图，其他图件方面，可根据实际需要制作。</w:t>
            </w:r>
          </w:p>
        </w:tc>
      </w:tr>
    </w:tbl>
    <w:p w14:paraId="42B8F3BC">
      <w:pPr>
        <w:pStyle w:val="65"/>
        <w:spacing w:after="156"/>
        <w:rPr>
          <w:rFonts w:ascii="Times New Roman" w:hAnsi="Times New Roman"/>
        </w:rPr>
      </w:pPr>
      <w:bookmarkStart w:id="227" w:name="_Toc203399097"/>
      <w:bookmarkStart w:id="228" w:name="_Toc195818181"/>
      <w:bookmarkStart w:id="229" w:name="_Toc203399493"/>
      <w:r>
        <w:rPr>
          <w:rFonts w:ascii="Times New Roman" w:hAnsi="Times New Roman"/>
          <w:spacing w:val="105"/>
        </w:rPr>
        <w:t>参考文</w:t>
      </w:r>
      <w:r>
        <w:rPr>
          <w:rFonts w:ascii="Times New Roman" w:hAnsi="Times New Roman"/>
        </w:rPr>
        <w:t>献</w:t>
      </w:r>
      <w:bookmarkEnd w:id="227"/>
      <w:bookmarkEnd w:id="228"/>
      <w:bookmarkEnd w:id="229"/>
    </w:p>
    <w:p w14:paraId="4C6B57DA">
      <w:pPr>
        <w:pStyle w:val="58"/>
        <w:ind w:firstLine="420"/>
        <w:rPr>
          <w:rFonts w:ascii="Times New Roman"/>
        </w:rPr>
      </w:pPr>
      <w:r>
        <w:rPr>
          <w:rFonts w:ascii="Times New Roman"/>
        </w:rPr>
        <w:t>[1]</w:t>
      </w:r>
      <w:r>
        <w:rPr>
          <w:rFonts w:hint="eastAsia" w:ascii="Times New Roman"/>
        </w:rPr>
        <w:t xml:space="preserve"> </w:t>
      </w:r>
      <w:r>
        <w:rPr>
          <w:rFonts w:ascii="Times New Roman"/>
        </w:rPr>
        <w:t xml:space="preserve">GB 50420 </w:t>
      </w:r>
      <w:r>
        <w:fldChar w:fldCharType="begin"/>
      </w:r>
      <w:r>
        <w:instrText xml:space="preserve"> HYPERLINK "http://www.baidu.com/link?url=0UOeFbI3CoQ0xH3tkWowgRb8tgKLy1weYCqeYdJAMvLtgjbFOUgPCuD36S2QLnAyveadg2Ve7KroEJ8O0e7Fja" </w:instrText>
      </w:r>
      <w:r>
        <w:fldChar w:fldCharType="separate"/>
      </w:r>
      <w:r>
        <w:rPr>
          <w:rStyle w:val="34"/>
          <w:rFonts w:ascii="Times New Roman"/>
        </w:rPr>
        <w:t>城市绿地设计规范</w:t>
      </w:r>
      <w:r>
        <w:rPr>
          <w:rStyle w:val="34"/>
          <w:rFonts w:ascii="Times New Roman"/>
        </w:rPr>
        <w:fldChar w:fldCharType="end"/>
      </w:r>
    </w:p>
    <w:p w14:paraId="4D1616E5">
      <w:pPr>
        <w:pStyle w:val="58"/>
        <w:ind w:firstLine="420"/>
        <w:rPr>
          <w:rFonts w:ascii="Times New Roman"/>
        </w:rPr>
      </w:pPr>
      <w:r>
        <w:rPr>
          <w:rFonts w:hint="eastAsia" w:ascii="Times New Roman"/>
        </w:rPr>
        <w:t>[2] GB/T 28592 降水量等级</w:t>
      </w:r>
    </w:p>
    <w:p w14:paraId="63791AB8">
      <w:pPr>
        <w:pStyle w:val="58"/>
        <w:ind w:firstLine="420"/>
        <w:rPr>
          <w:rFonts w:ascii="Times New Roman"/>
        </w:rPr>
      </w:pPr>
      <w:r>
        <w:rPr>
          <w:rFonts w:hint="eastAsia" w:ascii="Times New Roman"/>
        </w:rPr>
        <w:t xml:space="preserve">[3] </w:t>
      </w:r>
      <w:r>
        <w:rPr>
          <w:rFonts w:ascii="Times New Roman"/>
        </w:rPr>
        <w:t>GB/T 42340-2023 生态系统评估 生态系统格局与质量评价方法</w:t>
      </w:r>
    </w:p>
    <w:p w14:paraId="3802E248">
      <w:pPr>
        <w:pStyle w:val="58"/>
        <w:ind w:firstLine="420"/>
        <w:rPr>
          <w:rFonts w:ascii="Times New Roman"/>
        </w:rPr>
      </w:pPr>
      <w:r>
        <w:rPr>
          <w:rFonts w:hint="eastAsia" w:ascii="Times New Roman"/>
        </w:rPr>
        <w:t xml:space="preserve">[4] </w:t>
      </w:r>
      <w:bookmarkStart w:id="230" w:name="OLE_LINK40"/>
      <w:r>
        <w:rPr>
          <w:rFonts w:ascii="Times New Roman"/>
        </w:rPr>
        <w:t>HJ 1142</w:t>
      </w:r>
      <w:bookmarkEnd w:id="230"/>
      <w:r>
        <w:rPr>
          <w:rFonts w:hint="eastAsia" w:ascii="Times New Roman"/>
        </w:rPr>
        <w:t>-2020</w:t>
      </w:r>
      <w:r>
        <w:rPr>
          <w:rFonts w:ascii="Times New Roman"/>
        </w:rPr>
        <w:t xml:space="preserve"> 生态保护红线监管技术规范生态功能评价(试行)</w:t>
      </w:r>
    </w:p>
    <w:p w14:paraId="61AFAB09">
      <w:pPr>
        <w:pStyle w:val="58"/>
        <w:ind w:firstLine="420"/>
        <w:rPr>
          <w:rFonts w:ascii="Times New Roman"/>
        </w:rPr>
      </w:pPr>
      <w:r>
        <w:rPr>
          <w:rFonts w:hint="eastAsia" w:ascii="Times New Roman"/>
        </w:rPr>
        <w:t xml:space="preserve">[5] </w:t>
      </w:r>
      <w:r>
        <w:rPr>
          <w:rFonts w:ascii="Times New Roman"/>
        </w:rPr>
        <w:t>HJ 1173 全国生态状况调查评估技术规范——生态系统服务功能评估</w:t>
      </w:r>
    </w:p>
    <w:p w14:paraId="2B417208">
      <w:pPr>
        <w:pStyle w:val="58"/>
        <w:ind w:firstLine="420"/>
        <w:rPr>
          <w:rFonts w:ascii="Times New Roman"/>
        </w:rPr>
      </w:pPr>
      <w:r>
        <w:rPr>
          <w:rFonts w:hint="eastAsia" w:ascii="Times New Roman"/>
        </w:rPr>
        <w:t xml:space="preserve">[6] </w:t>
      </w:r>
      <w:r>
        <w:rPr>
          <w:rFonts w:ascii="Times New Roman"/>
        </w:rPr>
        <w:t xml:space="preserve">JT/T 646.2 </w:t>
      </w:r>
      <w:r>
        <w:fldChar w:fldCharType="begin"/>
      </w:r>
      <w:r>
        <w:instrText xml:space="preserve"> HYPERLINK "https://hbba.sacinfo.org.cn/stdDetail/a4a20d8b96653198dda25ab683a3d263" \o "公路声屏障 第2部分：总体技术要求" </w:instrText>
      </w:r>
      <w:r>
        <w:fldChar w:fldCharType="separate"/>
      </w:r>
      <w:r>
        <w:rPr>
          <w:rStyle w:val="34"/>
          <w:rFonts w:ascii="Times New Roman"/>
        </w:rPr>
        <w:t>公路声屏障 第2部分：总体技术要求</w:t>
      </w:r>
      <w:r>
        <w:rPr>
          <w:rStyle w:val="34"/>
          <w:rFonts w:ascii="Times New Roman"/>
        </w:rPr>
        <w:fldChar w:fldCharType="end"/>
      </w:r>
    </w:p>
    <w:p w14:paraId="08C056C1">
      <w:pPr>
        <w:pStyle w:val="58"/>
        <w:ind w:firstLine="420"/>
        <w:rPr>
          <w:rFonts w:ascii="Times New Roman"/>
        </w:rPr>
      </w:pPr>
      <w:r>
        <w:rPr>
          <w:rFonts w:hint="eastAsia" w:ascii="Times New Roman"/>
        </w:rPr>
        <w:t xml:space="preserve">[7] </w:t>
      </w:r>
      <w:r>
        <w:rPr>
          <w:rFonts w:ascii="Times New Roman"/>
        </w:rPr>
        <w:t>JT/T 646.4 公路声屏障 第4部分：声学材料技术要求及检测方法</w:t>
      </w:r>
    </w:p>
    <w:p w14:paraId="55CCE648">
      <w:pPr>
        <w:pStyle w:val="58"/>
        <w:ind w:firstLine="420"/>
        <w:rPr>
          <w:rFonts w:ascii="Times New Roman"/>
        </w:rPr>
      </w:pPr>
      <w:r>
        <w:rPr>
          <w:rFonts w:ascii="Times New Roman"/>
        </w:rPr>
        <w:t>[</w:t>
      </w:r>
      <w:r>
        <w:rPr>
          <w:rFonts w:hint="eastAsia" w:ascii="Times New Roman"/>
        </w:rPr>
        <w:t>8</w:t>
      </w:r>
      <w:r>
        <w:rPr>
          <w:rFonts w:ascii="Times New Roman"/>
        </w:rPr>
        <w:t>]</w:t>
      </w:r>
      <w:r>
        <w:rPr>
          <w:rFonts w:hint="eastAsia" w:ascii="Times New Roman"/>
        </w:rPr>
        <w:t xml:space="preserve"> </w:t>
      </w:r>
      <w:r>
        <w:rPr>
          <w:rFonts w:ascii="Times New Roman"/>
        </w:rPr>
        <w:t>LY/T 2899-2023 湿地生态系统服务评估技术规程</w:t>
      </w:r>
    </w:p>
    <w:p w14:paraId="30AB2C87">
      <w:pPr>
        <w:pStyle w:val="58"/>
        <w:ind w:firstLine="420"/>
        <w:rPr>
          <w:rFonts w:ascii="Times New Roman"/>
        </w:rPr>
      </w:pPr>
      <w:r>
        <w:rPr>
          <w:rFonts w:hint="eastAsia" w:ascii="Times New Roman"/>
        </w:rPr>
        <w:t xml:space="preserve">[9] SL 654 </w:t>
      </w:r>
      <w:r>
        <w:rPr>
          <w:rFonts w:ascii="Times New Roman"/>
        </w:rPr>
        <w:t>水利水电工程合理使用年限及耐久性设计规范</w:t>
      </w:r>
    </w:p>
    <w:p w14:paraId="31D7FEC0">
      <w:pPr>
        <w:pStyle w:val="58"/>
        <w:ind w:firstLine="420"/>
        <w:rPr>
          <w:rFonts w:ascii="Times New Roman"/>
        </w:rPr>
      </w:pPr>
      <w:r>
        <w:rPr>
          <w:rFonts w:hint="eastAsia" w:ascii="Times New Roman"/>
        </w:rPr>
        <w:t xml:space="preserve">[10] </w:t>
      </w:r>
      <w:r>
        <w:rPr>
          <w:rFonts w:ascii="Times New Roman"/>
        </w:rPr>
        <w:t>TD/T 1012</w:t>
      </w:r>
      <w:r>
        <w:rPr>
          <w:rFonts w:hint="eastAsia" w:ascii="Times New Roman"/>
        </w:rPr>
        <w:t xml:space="preserve"> </w:t>
      </w:r>
      <w:r>
        <w:rPr>
          <w:rFonts w:ascii="Times New Roman"/>
        </w:rPr>
        <w:t>土地开发整理项目规划设计规范</w:t>
      </w:r>
    </w:p>
    <w:p w14:paraId="4654DF12">
      <w:pPr>
        <w:pStyle w:val="58"/>
        <w:ind w:firstLine="420"/>
        <w:rPr>
          <w:rFonts w:ascii="Times New Roman"/>
        </w:rPr>
      </w:pPr>
      <w:r>
        <w:rPr>
          <w:rFonts w:hint="eastAsia" w:ascii="Times New Roman"/>
        </w:rPr>
        <w:t xml:space="preserve">[11] </w:t>
      </w:r>
      <w:r>
        <w:rPr>
          <w:rFonts w:ascii="Times New Roman"/>
        </w:rPr>
        <w:t xml:space="preserve">DB34/T 2393 </w:t>
      </w:r>
      <w:r>
        <w:fldChar w:fldCharType="begin"/>
      </w:r>
      <w:r>
        <w:instrText xml:space="preserve"> HYPERLINK "https://dbba.sacinfo.org.cn/stdDetail/96acc0725c0b79c7b67a9e74577c7102ea4456ee87bef40caa32e41d9f129d22" </w:instrText>
      </w:r>
      <w:r>
        <w:fldChar w:fldCharType="separate"/>
      </w:r>
      <w:r>
        <w:rPr>
          <w:rStyle w:val="34"/>
          <w:rFonts w:ascii="Times New Roman"/>
        </w:rPr>
        <w:t>高速公路养护工程预算编制办法及定额</w:t>
      </w:r>
      <w:r>
        <w:rPr>
          <w:rStyle w:val="34"/>
          <w:rFonts w:ascii="Times New Roman"/>
        </w:rPr>
        <w:fldChar w:fldCharType="end"/>
      </w:r>
    </w:p>
    <w:p w14:paraId="40FE8EC7">
      <w:pPr>
        <w:pStyle w:val="58"/>
        <w:ind w:firstLine="420"/>
        <w:rPr>
          <w:rFonts w:ascii="Times New Roman"/>
        </w:rPr>
      </w:pPr>
      <w:r>
        <w:rPr>
          <w:rFonts w:hint="eastAsia" w:ascii="Times New Roman"/>
        </w:rPr>
        <w:t xml:space="preserve">[12] </w:t>
      </w:r>
      <w:r>
        <w:rPr>
          <w:rFonts w:ascii="Times New Roman"/>
        </w:rPr>
        <w:t>DB34/T 3455 生产建设项目水土保持监测规程</w:t>
      </w:r>
    </w:p>
    <w:p w14:paraId="00B84EF3">
      <w:pPr>
        <w:pStyle w:val="58"/>
        <w:ind w:firstLine="420"/>
        <w:rPr>
          <w:rFonts w:ascii="Times New Roman"/>
        </w:rPr>
      </w:pPr>
      <w:r>
        <w:rPr>
          <w:rFonts w:ascii="Times New Roman"/>
        </w:rPr>
        <w:t>[</w:t>
      </w:r>
      <w:r>
        <w:rPr>
          <w:rFonts w:hint="eastAsia" w:ascii="Times New Roman"/>
        </w:rPr>
        <w:t>13</w:t>
      </w:r>
      <w:r>
        <w:rPr>
          <w:rFonts w:ascii="Times New Roman"/>
        </w:rPr>
        <w:t>]</w:t>
      </w:r>
      <w:r>
        <w:rPr>
          <w:rFonts w:hint="eastAsia" w:ascii="Times New Roman"/>
        </w:rPr>
        <w:t xml:space="preserve"> </w:t>
      </w:r>
      <w:r>
        <w:rPr>
          <w:rFonts w:ascii="Times New Roman"/>
        </w:rPr>
        <w:t>DB3410/T 12 生态系统生产总值</w:t>
      </w:r>
      <w:r>
        <w:rPr>
          <w:rFonts w:hint="eastAsia" w:ascii="Times New Roman"/>
        </w:rPr>
        <w:t>（GEP）</w:t>
      </w:r>
      <w:r>
        <w:rPr>
          <w:rFonts w:ascii="Times New Roman"/>
        </w:rPr>
        <w:t>核算技术规范</w:t>
      </w:r>
    </w:p>
    <w:p w14:paraId="39B96DE9">
      <w:pPr>
        <w:pStyle w:val="58"/>
        <w:ind w:firstLine="420"/>
        <w:rPr>
          <w:rFonts w:ascii="Times New Roman"/>
        </w:rPr>
      </w:pPr>
      <w:r>
        <w:rPr>
          <w:rFonts w:ascii="Times New Roman"/>
        </w:rPr>
        <w:t>[</w:t>
      </w:r>
      <w:r>
        <w:rPr>
          <w:rFonts w:hint="eastAsia" w:ascii="Times New Roman"/>
        </w:rPr>
        <w:t>14</w:t>
      </w:r>
      <w:r>
        <w:rPr>
          <w:rFonts w:ascii="Times New Roman"/>
        </w:rPr>
        <w:t>]</w:t>
      </w:r>
      <w:r>
        <w:rPr>
          <w:rFonts w:hint="eastAsia" w:ascii="Times New Roman"/>
        </w:rPr>
        <w:t xml:space="preserve"> </w:t>
      </w:r>
      <w:r>
        <w:rPr>
          <w:rFonts w:ascii="Times New Roman"/>
        </w:rPr>
        <w:t>DB11/T 2059</w:t>
      </w:r>
      <w:r>
        <w:rPr>
          <w:rFonts w:hint="eastAsia" w:ascii="Times New Roman"/>
        </w:rPr>
        <w:t>-2022</w:t>
      </w:r>
      <w:r>
        <w:rPr>
          <w:rFonts w:ascii="Times New Roman"/>
        </w:rPr>
        <w:t xml:space="preserve"> 生态产品总值核算技术规范</w:t>
      </w:r>
    </w:p>
    <w:p w14:paraId="19BA4EE0">
      <w:pPr>
        <w:pStyle w:val="58"/>
        <w:ind w:firstLine="420"/>
        <w:rPr>
          <w:rFonts w:ascii="Times New Roman"/>
        </w:rPr>
      </w:pPr>
      <w:r>
        <w:rPr>
          <w:rFonts w:ascii="Times New Roman"/>
        </w:rPr>
        <w:t>[</w:t>
      </w:r>
      <w:r>
        <w:rPr>
          <w:rFonts w:hint="eastAsia" w:ascii="Times New Roman"/>
        </w:rPr>
        <w:t>15</w:t>
      </w:r>
      <w:r>
        <w:rPr>
          <w:rFonts w:ascii="Times New Roman"/>
        </w:rPr>
        <w:t>]</w:t>
      </w:r>
      <w:r>
        <w:rPr>
          <w:rFonts w:hint="eastAsia" w:ascii="Times New Roman"/>
        </w:rPr>
        <w:t xml:space="preserve"> </w:t>
      </w:r>
      <w:r>
        <w:rPr>
          <w:rFonts w:ascii="Times New Roman"/>
        </w:rPr>
        <w:t>DB46/T 611 生态产品总值核算技术规范</w:t>
      </w:r>
    </w:p>
    <w:p w14:paraId="1B70B467">
      <w:pPr>
        <w:pStyle w:val="58"/>
        <w:ind w:firstLine="420"/>
        <w:rPr>
          <w:rFonts w:ascii="Times New Roman"/>
        </w:rPr>
      </w:pPr>
      <w:r>
        <w:rPr>
          <w:rFonts w:hint="eastAsia" w:ascii="Times New Roman"/>
        </w:rPr>
        <w:t xml:space="preserve">[16] </w:t>
      </w:r>
      <w:r>
        <w:rPr>
          <w:rFonts w:ascii="Times New Roman"/>
        </w:rPr>
        <w:t>《生态产品总值核算规范(试行)》（国家发展和改革委员会、国家统计局 2022年3月）</w:t>
      </w:r>
    </w:p>
    <w:p w14:paraId="4DC5A2C4">
      <w:pPr>
        <w:pStyle w:val="58"/>
        <w:ind w:firstLine="420"/>
        <w:rPr>
          <w:rFonts w:ascii="Times New Roman"/>
        </w:rPr>
      </w:pPr>
      <w:r>
        <w:rPr>
          <w:rFonts w:ascii="Times New Roman"/>
        </w:rPr>
        <w:t>[</w:t>
      </w:r>
      <w:r>
        <w:rPr>
          <w:rFonts w:hint="eastAsia" w:ascii="Times New Roman"/>
        </w:rPr>
        <w:t>17</w:t>
      </w:r>
      <w:r>
        <w:rPr>
          <w:rFonts w:ascii="Times New Roman"/>
        </w:rPr>
        <w:t>]</w:t>
      </w:r>
      <w:r>
        <w:rPr>
          <w:rFonts w:hint="eastAsia" w:ascii="Times New Roman"/>
        </w:rPr>
        <w:t xml:space="preserve"> </w:t>
      </w:r>
      <w:r>
        <w:rPr>
          <w:rFonts w:ascii="Times New Roman"/>
        </w:rPr>
        <w:t>《中华人民共和国环境保护税法》（中华人民共和国全国人民代表大会常务委员会公报 2017年1月）</w:t>
      </w:r>
    </w:p>
    <w:p w14:paraId="320220C1">
      <w:pPr>
        <w:pStyle w:val="58"/>
        <w:ind w:firstLine="420"/>
        <w:rPr>
          <w:rFonts w:ascii="Times New Roman"/>
        </w:rPr>
      </w:pPr>
      <w:r>
        <w:rPr>
          <w:rFonts w:ascii="Times New Roman"/>
        </w:rPr>
        <w:t>[</w:t>
      </w:r>
      <w:r>
        <w:rPr>
          <w:rFonts w:hint="eastAsia" w:ascii="Times New Roman"/>
        </w:rPr>
        <w:t>18</w:t>
      </w:r>
      <w:r>
        <w:rPr>
          <w:rFonts w:ascii="Times New Roman"/>
        </w:rPr>
        <w:t>]</w:t>
      </w:r>
      <w:r>
        <w:rPr>
          <w:rFonts w:hint="eastAsia" w:ascii="Times New Roman"/>
        </w:rPr>
        <w:t xml:space="preserve"> </w:t>
      </w:r>
      <w:r>
        <w:rPr>
          <w:rFonts w:ascii="Times New Roman"/>
        </w:rPr>
        <w:t>《关于完善农林生物质发电价格政策的通知》（国家发展和改革委员会 2010年7月）</w:t>
      </w:r>
    </w:p>
    <w:p w14:paraId="16AF6701">
      <w:pPr>
        <w:pStyle w:val="58"/>
        <w:ind w:firstLine="420"/>
        <w:rPr>
          <w:rFonts w:ascii="Times New Roman"/>
        </w:rPr>
      </w:pPr>
      <w:r>
        <w:rPr>
          <w:rFonts w:ascii="Times New Roman"/>
        </w:rPr>
        <w:t>[</w:t>
      </w:r>
      <w:r>
        <w:rPr>
          <w:rFonts w:hint="eastAsia" w:ascii="Times New Roman"/>
        </w:rPr>
        <w:t>19</w:t>
      </w:r>
      <w:r>
        <w:rPr>
          <w:rFonts w:ascii="Times New Roman"/>
        </w:rPr>
        <w:t>]</w:t>
      </w:r>
      <w:r>
        <w:rPr>
          <w:rFonts w:hint="eastAsia" w:ascii="Times New Roman"/>
        </w:rPr>
        <w:t xml:space="preserve"> </w:t>
      </w:r>
      <w:r>
        <w:rPr>
          <w:rFonts w:ascii="Times New Roman"/>
        </w:rPr>
        <w:t>《安徽省环境保护税核定征收管理办法》（安徽省地方税务局、安徽省环境保护厅 2018年2月）</w:t>
      </w:r>
    </w:p>
    <w:p w14:paraId="620F5180">
      <w:pPr>
        <w:pStyle w:val="58"/>
        <w:ind w:firstLine="420"/>
        <w:rPr>
          <w:rFonts w:ascii="Times New Roman"/>
        </w:rPr>
      </w:pPr>
      <w:r>
        <w:rPr>
          <w:rFonts w:ascii="Times New Roman"/>
        </w:rPr>
        <w:t>[</w:t>
      </w:r>
      <w:r>
        <w:rPr>
          <w:rFonts w:hint="eastAsia" w:ascii="Times New Roman"/>
        </w:rPr>
        <w:t xml:space="preserve">20] </w:t>
      </w:r>
      <w:r>
        <w:rPr>
          <w:rFonts w:ascii="Times New Roman"/>
        </w:rPr>
        <w:t>《关于水资源税改革试点有关事项的通知》（安徽省财政厅、国家税务总局安徽省税务局、安徽省水利厅 2024年12月）</w:t>
      </w:r>
    </w:p>
    <w:p w14:paraId="00B687ED">
      <w:pPr>
        <w:pStyle w:val="58"/>
        <w:ind w:firstLine="0" w:firstLineChars="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A669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D2F1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227A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32B41">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ADC9A">
    <w:pPr>
      <w:pStyle w:val="54"/>
    </w:pPr>
    <w:r>
      <w:fldChar w:fldCharType="begin"/>
    </w:r>
    <w:r>
      <w:instrText xml:space="preserve">PAGE   \* MERGEFORMAT</w:instrText>
    </w:r>
    <w:r>
      <w:fldChar w:fldCharType="separate"/>
    </w:r>
    <w:r>
      <w:rPr>
        <w:lang w:val="zh-CN"/>
      </w:rPr>
      <w:t>25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B1E9E">
    <w:pPr>
      <w:pStyle w:val="17"/>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9760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FE53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D995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3424">
    <w:pPr>
      <w:pStyle w:val="63"/>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3025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D9B85">
    <w:pPr>
      <w:pStyle w:val="63"/>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D43A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2836"/>
        </w:tabs>
        <w:ind w:left="2836"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2977"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2127" w:firstLine="0"/>
      </w:pPr>
      <w:rPr>
        <w:rFonts w:hint="eastAsia" w:ascii="黑体" w:eastAsia="黑体"/>
        <w:b w:val="0"/>
        <w:i w:val="0"/>
        <w:sz w:val="21"/>
      </w:rPr>
    </w:lvl>
    <w:lvl w:ilvl="4" w:tentative="0">
      <w:start w:val="1"/>
      <w:numFmt w:val="decimal"/>
      <w:pStyle w:val="96"/>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attachedTemplate r:id="rId1"/>
  <w:documentProtection w:edit="forms" w:enforcement="1" w:cryptProviderType="rsaAES" w:cryptAlgorithmClass="hash" w:cryptAlgorithmType="typeAny" w:cryptAlgorithmSid="14" w:cryptSpinCount="100000" w:hash="m+vCfbh8UAhspLkyWT9c82h0TdEVuT+D1D5M8hN8N17Oa+3Ri3ucvBESCP3Vmdx4hMa6dva9mg2duTofcHvdyQ==" w:salt="uHFn6VxHrJHVQwwASS0Ov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8C8"/>
    <w:rsid w:val="0000040A"/>
    <w:rsid w:val="00000A94"/>
    <w:rsid w:val="00001972"/>
    <w:rsid w:val="00001D9A"/>
    <w:rsid w:val="0000773C"/>
    <w:rsid w:val="00007B3A"/>
    <w:rsid w:val="000107E0"/>
    <w:rsid w:val="00011FDE"/>
    <w:rsid w:val="00012FFD"/>
    <w:rsid w:val="00014162"/>
    <w:rsid w:val="00014340"/>
    <w:rsid w:val="00016A9C"/>
    <w:rsid w:val="00021D0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A74"/>
    <w:rsid w:val="00057B9D"/>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81D"/>
    <w:rsid w:val="000A0B60"/>
    <w:rsid w:val="000A0EB8"/>
    <w:rsid w:val="000A19FC"/>
    <w:rsid w:val="000A296B"/>
    <w:rsid w:val="000A7311"/>
    <w:rsid w:val="000B060F"/>
    <w:rsid w:val="000B1592"/>
    <w:rsid w:val="000B1FF2"/>
    <w:rsid w:val="000B3CDA"/>
    <w:rsid w:val="000B6A0B"/>
    <w:rsid w:val="000B7665"/>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75B"/>
    <w:rsid w:val="000E113D"/>
    <w:rsid w:val="000E28E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0D57"/>
    <w:rsid w:val="00141114"/>
    <w:rsid w:val="00141782"/>
    <w:rsid w:val="00142969"/>
    <w:rsid w:val="001446C2"/>
    <w:rsid w:val="001457E7"/>
    <w:rsid w:val="00145D9D"/>
    <w:rsid w:val="00146388"/>
    <w:rsid w:val="001529E5"/>
    <w:rsid w:val="00153C7E"/>
    <w:rsid w:val="00156B25"/>
    <w:rsid w:val="00156E1A"/>
    <w:rsid w:val="00157894"/>
    <w:rsid w:val="00157B55"/>
    <w:rsid w:val="001603BD"/>
    <w:rsid w:val="001642FA"/>
    <w:rsid w:val="001649EB"/>
    <w:rsid w:val="00164BAF"/>
    <w:rsid w:val="00164FA8"/>
    <w:rsid w:val="00165065"/>
    <w:rsid w:val="00165434"/>
    <w:rsid w:val="0016580B"/>
    <w:rsid w:val="00165F49"/>
    <w:rsid w:val="00166B88"/>
    <w:rsid w:val="0016770A"/>
    <w:rsid w:val="00170804"/>
    <w:rsid w:val="001708E9"/>
    <w:rsid w:val="00171099"/>
    <w:rsid w:val="0017340B"/>
    <w:rsid w:val="00173FB1"/>
    <w:rsid w:val="00176DFD"/>
    <w:rsid w:val="001852C9"/>
    <w:rsid w:val="00190087"/>
    <w:rsid w:val="001913C4"/>
    <w:rsid w:val="0019348F"/>
    <w:rsid w:val="00193A07"/>
    <w:rsid w:val="00194C95"/>
    <w:rsid w:val="00195C34"/>
    <w:rsid w:val="00196EF5"/>
    <w:rsid w:val="001A1638"/>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734"/>
    <w:rsid w:val="001F092D"/>
    <w:rsid w:val="001F143A"/>
    <w:rsid w:val="001F1605"/>
    <w:rsid w:val="001F2508"/>
    <w:rsid w:val="001F4816"/>
    <w:rsid w:val="001F4EE9"/>
    <w:rsid w:val="001F5DF3"/>
    <w:rsid w:val="001F69B4"/>
    <w:rsid w:val="001F7305"/>
    <w:rsid w:val="001F7344"/>
    <w:rsid w:val="001F77C7"/>
    <w:rsid w:val="00200183"/>
    <w:rsid w:val="00200333"/>
    <w:rsid w:val="0020107D"/>
    <w:rsid w:val="00202AA4"/>
    <w:rsid w:val="002031F7"/>
    <w:rsid w:val="002040E6"/>
    <w:rsid w:val="0020527B"/>
    <w:rsid w:val="00205F2C"/>
    <w:rsid w:val="00210A93"/>
    <w:rsid w:val="00210B15"/>
    <w:rsid w:val="002142EA"/>
    <w:rsid w:val="002204BB"/>
    <w:rsid w:val="00221B79"/>
    <w:rsid w:val="00221C6B"/>
    <w:rsid w:val="002253A1"/>
    <w:rsid w:val="00225CF8"/>
    <w:rsid w:val="0022794E"/>
    <w:rsid w:val="00233D64"/>
    <w:rsid w:val="0023482A"/>
    <w:rsid w:val="002359CB"/>
    <w:rsid w:val="0024034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FA0"/>
    <w:rsid w:val="002771AC"/>
    <w:rsid w:val="00281BB8"/>
    <w:rsid w:val="00281E9E"/>
    <w:rsid w:val="00282405"/>
    <w:rsid w:val="00285170"/>
    <w:rsid w:val="00285361"/>
    <w:rsid w:val="0028794D"/>
    <w:rsid w:val="00292D60"/>
    <w:rsid w:val="00293B30"/>
    <w:rsid w:val="00294D34"/>
    <w:rsid w:val="00294E3B"/>
    <w:rsid w:val="00296193"/>
    <w:rsid w:val="00296C66"/>
    <w:rsid w:val="00296EBE"/>
    <w:rsid w:val="002974E3"/>
    <w:rsid w:val="0029798E"/>
    <w:rsid w:val="002A084B"/>
    <w:rsid w:val="002A1260"/>
    <w:rsid w:val="002A1589"/>
    <w:rsid w:val="002A1608"/>
    <w:rsid w:val="002A25DC"/>
    <w:rsid w:val="002A3AAB"/>
    <w:rsid w:val="002A4CEA"/>
    <w:rsid w:val="002A5977"/>
    <w:rsid w:val="002A5A13"/>
    <w:rsid w:val="002A757F"/>
    <w:rsid w:val="002A7F44"/>
    <w:rsid w:val="002B0C40"/>
    <w:rsid w:val="002B1966"/>
    <w:rsid w:val="002B3A4C"/>
    <w:rsid w:val="002B4508"/>
    <w:rsid w:val="002B5126"/>
    <w:rsid w:val="002B5779"/>
    <w:rsid w:val="002B7332"/>
    <w:rsid w:val="002B7F51"/>
    <w:rsid w:val="002C09E7"/>
    <w:rsid w:val="002C1E06"/>
    <w:rsid w:val="002C1E1C"/>
    <w:rsid w:val="002C3F07"/>
    <w:rsid w:val="002C5278"/>
    <w:rsid w:val="002C7EBB"/>
    <w:rsid w:val="002D06C1"/>
    <w:rsid w:val="002D18E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E48"/>
    <w:rsid w:val="00317988"/>
    <w:rsid w:val="00317ED6"/>
    <w:rsid w:val="003221B4"/>
    <w:rsid w:val="0032258D"/>
    <w:rsid w:val="00322E62"/>
    <w:rsid w:val="00324D13"/>
    <w:rsid w:val="00324D2A"/>
    <w:rsid w:val="00324EDD"/>
    <w:rsid w:val="00325B91"/>
    <w:rsid w:val="003274FD"/>
    <w:rsid w:val="003331E4"/>
    <w:rsid w:val="00336C64"/>
    <w:rsid w:val="00337162"/>
    <w:rsid w:val="00340FE5"/>
    <w:rsid w:val="00341362"/>
    <w:rsid w:val="00341684"/>
    <w:rsid w:val="00341754"/>
    <w:rsid w:val="0034194F"/>
    <w:rsid w:val="00344605"/>
    <w:rsid w:val="003474AA"/>
    <w:rsid w:val="00350D1D"/>
    <w:rsid w:val="00352C83"/>
    <w:rsid w:val="003615D2"/>
    <w:rsid w:val="003636C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15B"/>
    <w:rsid w:val="00384FFC"/>
    <w:rsid w:val="003871A0"/>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672"/>
    <w:rsid w:val="003B09AD"/>
    <w:rsid w:val="003B1F18"/>
    <w:rsid w:val="003B5BF0"/>
    <w:rsid w:val="003B60BF"/>
    <w:rsid w:val="003B6BE3"/>
    <w:rsid w:val="003C010C"/>
    <w:rsid w:val="003C0A6C"/>
    <w:rsid w:val="003C14F8"/>
    <w:rsid w:val="003C2476"/>
    <w:rsid w:val="003C5A43"/>
    <w:rsid w:val="003D0519"/>
    <w:rsid w:val="003D0575"/>
    <w:rsid w:val="003D0C7A"/>
    <w:rsid w:val="003D0FF6"/>
    <w:rsid w:val="003D262C"/>
    <w:rsid w:val="003D6D61"/>
    <w:rsid w:val="003D79C6"/>
    <w:rsid w:val="003E091D"/>
    <w:rsid w:val="003E1C53"/>
    <w:rsid w:val="003E2A69"/>
    <w:rsid w:val="003E2D49"/>
    <w:rsid w:val="003E2FD4"/>
    <w:rsid w:val="003E49F6"/>
    <w:rsid w:val="003E660F"/>
    <w:rsid w:val="003F0841"/>
    <w:rsid w:val="003F1B1A"/>
    <w:rsid w:val="003F23D3"/>
    <w:rsid w:val="003F3F08"/>
    <w:rsid w:val="003F49F1"/>
    <w:rsid w:val="003F6272"/>
    <w:rsid w:val="00400E72"/>
    <w:rsid w:val="00401400"/>
    <w:rsid w:val="00404869"/>
    <w:rsid w:val="00405884"/>
    <w:rsid w:val="00407D39"/>
    <w:rsid w:val="00412808"/>
    <w:rsid w:val="0041477A"/>
    <w:rsid w:val="00416531"/>
    <w:rsid w:val="004167A3"/>
    <w:rsid w:val="00417D07"/>
    <w:rsid w:val="00427221"/>
    <w:rsid w:val="00432DAA"/>
    <w:rsid w:val="00434305"/>
    <w:rsid w:val="00435DF7"/>
    <w:rsid w:val="0044083F"/>
    <w:rsid w:val="00441AE7"/>
    <w:rsid w:val="00445574"/>
    <w:rsid w:val="004467FB"/>
    <w:rsid w:val="00447BDB"/>
    <w:rsid w:val="004521EA"/>
    <w:rsid w:val="00452D6B"/>
    <w:rsid w:val="00454484"/>
    <w:rsid w:val="0045517B"/>
    <w:rsid w:val="00455325"/>
    <w:rsid w:val="00463B77"/>
    <w:rsid w:val="00463C7B"/>
    <w:rsid w:val="004644A6"/>
    <w:rsid w:val="004659BD"/>
    <w:rsid w:val="00467B27"/>
    <w:rsid w:val="00470775"/>
    <w:rsid w:val="004746B1"/>
    <w:rsid w:val="0047583F"/>
    <w:rsid w:val="00475DE8"/>
    <w:rsid w:val="00481C44"/>
    <w:rsid w:val="00484936"/>
    <w:rsid w:val="00485C89"/>
    <w:rsid w:val="00486BE3"/>
    <w:rsid w:val="004905E4"/>
    <w:rsid w:val="00490A89"/>
    <w:rsid w:val="00490AB4"/>
    <w:rsid w:val="004927B7"/>
    <w:rsid w:val="004928EC"/>
    <w:rsid w:val="00492F02"/>
    <w:rsid w:val="004939AE"/>
    <w:rsid w:val="004A12DF"/>
    <w:rsid w:val="004A17E6"/>
    <w:rsid w:val="004A1BA8"/>
    <w:rsid w:val="004A4B57"/>
    <w:rsid w:val="004A63C3"/>
    <w:rsid w:val="004A63FA"/>
    <w:rsid w:val="004B0272"/>
    <w:rsid w:val="004B1F34"/>
    <w:rsid w:val="004B2701"/>
    <w:rsid w:val="004B2E1B"/>
    <w:rsid w:val="004B3AA8"/>
    <w:rsid w:val="004B3CFB"/>
    <w:rsid w:val="004B3E93"/>
    <w:rsid w:val="004C1FBC"/>
    <w:rsid w:val="004C3F1D"/>
    <w:rsid w:val="004C458D"/>
    <w:rsid w:val="004C71A1"/>
    <w:rsid w:val="004C7556"/>
    <w:rsid w:val="004C7E8B"/>
    <w:rsid w:val="004C7E9D"/>
    <w:rsid w:val="004C7F58"/>
    <w:rsid w:val="004C7F67"/>
    <w:rsid w:val="004D076D"/>
    <w:rsid w:val="004D0EF1"/>
    <w:rsid w:val="004D2253"/>
    <w:rsid w:val="004D4406"/>
    <w:rsid w:val="004D76DD"/>
    <w:rsid w:val="004D7C42"/>
    <w:rsid w:val="004E0465"/>
    <w:rsid w:val="004E127B"/>
    <w:rsid w:val="004E1C0A"/>
    <w:rsid w:val="004E2B06"/>
    <w:rsid w:val="004E30C5"/>
    <w:rsid w:val="004E3E28"/>
    <w:rsid w:val="004E4AA5"/>
    <w:rsid w:val="004E4AEE"/>
    <w:rsid w:val="004E59E3"/>
    <w:rsid w:val="004E67C0"/>
    <w:rsid w:val="004F391A"/>
    <w:rsid w:val="004F3CFB"/>
    <w:rsid w:val="004F5438"/>
    <w:rsid w:val="004F6456"/>
    <w:rsid w:val="004F696E"/>
    <w:rsid w:val="004F6C71"/>
    <w:rsid w:val="00501139"/>
    <w:rsid w:val="0050363E"/>
    <w:rsid w:val="005039BC"/>
    <w:rsid w:val="005043BB"/>
    <w:rsid w:val="00504A3D"/>
    <w:rsid w:val="00505767"/>
    <w:rsid w:val="00506386"/>
    <w:rsid w:val="005073F0"/>
    <w:rsid w:val="00510A7B"/>
    <w:rsid w:val="00512F6E"/>
    <w:rsid w:val="00513038"/>
    <w:rsid w:val="00514174"/>
    <w:rsid w:val="00516088"/>
    <w:rsid w:val="00516B0B"/>
    <w:rsid w:val="005220EC"/>
    <w:rsid w:val="00523259"/>
    <w:rsid w:val="00523987"/>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895"/>
    <w:rsid w:val="00546E13"/>
    <w:rsid w:val="005479DA"/>
    <w:rsid w:val="00547BCC"/>
    <w:rsid w:val="0055013B"/>
    <w:rsid w:val="00551F6F"/>
    <w:rsid w:val="00555044"/>
    <w:rsid w:val="00560D70"/>
    <w:rsid w:val="00561475"/>
    <w:rsid w:val="0056487B"/>
    <w:rsid w:val="00564FB9"/>
    <w:rsid w:val="00573D9E"/>
    <w:rsid w:val="005741AF"/>
    <w:rsid w:val="005801E3"/>
    <w:rsid w:val="005803D0"/>
    <w:rsid w:val="00581802"/>
    <w:rsid w:val="005836A8"/>
    <w:rsid w:val="0058409C"/>
    <w:rsid w:val="00584262"/>
    <w:rsid w:val="00586630"/>
    <w:rsid w:val="00587ADD"/>
    <w:rsid w:val="00591E27"/>
    <w:rsid w:val="00596160"/>
    <w:rsid w:val="005966E2"/>
    <w:rsid w:val="00597007"/>
    <w:rsid w:val="005A0966"/>
    <w:rsid w:val="005A11B7"/>
    <w:rsid w:val="005A260B"/>
    <w:rsid w:val="005A3B8E"/>
    <w:rsid w:val="005A4A1B"/>
    <w:rsid w:val="005A7830"/>
    <w:rsid w:val="005A7FCE"/>
    <w:rsid w:val="005B0F3F"/>
    <w:rsid w:val="005B4903"/>
    <w:rsid w:val="005B51CE"/>
    <w:rsid w:val="005B5885"/>
    <w:rsid w:val="005B5CD7"/>
    <w:rsid w:val="005B6CF6"/>
    <w:rsid w:val="005B7422"/>
    <w:rsid w:val="005C29B8"/>
    <w:rsid w:val="005C5F21"/>
    <w:rsid w:val="005C7156"/>
    <w:rsid w:val="005D0902"/>
    <w:rsid w:val="005D0C75"/>
    <w:rsid w:val="005D1276"/>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298"/>
    <w:rsid w:val="006252D8"/>
    <w:rsid w:val="006259BC"/>
    <w:rsid w:val="0062636B"/>
    <w:rsid w:val="00627577"/>
    <w:rsid w:val="00632182"/>
    <w:rsid w:val="00632AE0"/>
    <w:rsid w:val="00633C17"/>
    <w:rsid w:val="00634D9E"/>
    <w:rsid w:val="00635357"/>
    <w:rsid w:val="00636E3E"/>
    <w:rsid w:val="006379F7"/>
    <w:rsid w:val="00637E4D"/>
    <w:rsid w:val="00640620"/>
    <w:rsid w:val="00641A1F"/>
    <w:rsid w:val="00645904"/>
    <w:rsid w:val="00651ACB"/>
    <w:rsid w:val="00651C47"/>
    <w:rsid w:val="00652AB2"/>
    <w:rsid w:val="00653FED"/>
    <w:rsid w:val="0065497B"/>
    <w:rsid w:val="00654EC0"/>
    <w:rsid w:val="0065525B"/>
    <w:rsid w:val="00655D4F"/>
    <w:rsid w:val="00656D29"/>
    <w:rsid w:val="006640E5"/>
    <w:rsid w:val="006646F1"/>
    <w:rsid w:val="00664929"/>
    <w:rsid w:val="00664F62"/>
    <w:rsid w:val="006655E1"/>
    <w:rsid w:val="00666ED4"/>
    <w:rsid w:val="006677B2"/>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4A2"/>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8AC"/>
    <w:rsid w:val="00724E1B"/>
    <w:rsid w:val="00725949"/>
    <w:rsid w:val="00727FA2"/>
    <w:rsid w:val="007318C8"/>
    <w:rsid w:val="007322D9"/>
    <w:rsid w:val="00732BC0"/>
    <w:rsid w:val="0073720F"/>
    <w:rsid w:val="00737796"/>
    <w:rsid w:val="0074165C"/>
    <w:rsid w:val="00741FC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F0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85B"/>
    <w:rsid w:val="007A6FD9"/>
    <w:rsid w:val="007A7FFA"/>
    <w:rsid w:val="007B04EB"/>
    <w:rsid w:val="007B0D4F"/>
    <w:rsid w:val="007B5879"/>
    <w:rsid w:val="007B5A3D"/>
    <w:rsid w:val="007B5B95"/>
    <w:rsid w:val="007B68EA"/>
    <w:rsid w:val="007B7453"/>
    <w:rsid w:val="007B7F7C"/>
    <w:rsid w:val="007C1E8B"/>
    <w:rsid w:val="007C2D89"/>
    <w:rsid w:val="007C4593"/>
    <w:rsid w:val="007C5309"/>
    <w:rsid w:val="007C6069"/>
    <w:rsid w:val="007D06C4"/>
    <w:rsid w:val="007D1352"/>
    <w:rsid w:val="007D2508"/>
    <w:rsid w:val="007D346A"/>
    <w:rsid w:val="007D6518"/>
    <w:rsid w:val="007D76BD"/>
    <w:rsid w:val="007E0BF1"/>
    <w:rsid w:val="007E3258"/>
    <w:rsid w:val="007F0ED8"/>
    <w:rsid w:val="007F0F63"/>
    <w:rsid w:val="007F75CE"/>
    <w:rsid w:val="008013A4"/>
    <w:rsid w:val="008027CE"/>
    <w:rsid w:val="00802F42"/>
    <w:rsid w:val="00804383"/>
    <w:rsid w:val="00804BB7"/>
    <w:rsid w:val="00804D41"/>
    <w:rsid w:val="008063C6"/>
    <w:rsid w:val="00810257"/>
    <w:rsid w:val="008104F5"/>
    <w:rsid w:val="00811072"/>
    <w:rsid w:val="00811369"/>
    <w:rsid w:val="00812155"/>
    <w:rsid w:val="00812DC7"/>
    <w:rsid w:val="00815419"/>
    <w:rsid w:val="008163C8"/>
    <w:rsid w:val="008164A1"/>
    <w:rsid w:val="00817325"/>
    <w:rsid w:val="008209E6"/>
    <w:rsid w:val="00823303"/>
    <w:rsid w:val="008233B2"/>
    <w:rsid w:val="00823A9F"/>
    <w:rsid w:val="00823C85"/>
    <w:rsid w:val="00825138"/>
    <w:rsid w:val="0082678A"/>
    <w:rsid w:val="008269DD"/>
    <w:rsid w:val="00830621"/>
    <w:rsid w:val="0083348C"/>
    <w:rsid w:val="008373D3"/>
    <w:rsid w:val="00840617"/>
    <w:rsid w:val="00840F84"/>
    <w:rsid w:val="00842A47"/>
    <w:rsid w:val="00843C13"/>
    <w:rsid w:val="008454F8"/>
    <w:rsid w:val="0085173A"/>
    <w:rsid w:val="00856316"/>
    <w:rsid w:val="0085703F"/>
    <w:rsid w:val="008603CE"/>
    <w:rsid w:val="008620FC"/>
    <w:rsid w:val="008627A5"/>
    <w:rsid w:val="00863E05"/>
    <w:rsid w:val="00865ACA"/>
    <w:rsid w:val="00865D28"/>
    <w:rsid w:val="00865F85"/>
    <w:rsid w:val="00867C10"/>
    <w:rsid w:val="00870439"/>
    <w:rsid w:val="00870DA1"/>
    <w:rsid w:val="008800CD"/>
    <w:rsid w:val="00883F93"/>
    <w:rsid w:val="00884618"/>
    <w:rsid w:val="00884DB3"/>
    <w:rsid w:val="00885A9D"/>
    <w:rsid w:val="008864F6"/>
    <w:rsid w:val="0089049D"/>
    <w:rsid w:val="008928C9"/>
    <w:rsid w:val="008930CB"/>
    <w:rsid w:val="008938DC"/>
    <w:rsid w:val="00893FD1"/>
    <w:rsid w:val="00894836"/>
    <w:rsid w:val="00895172"/>
    <w:rsid w:val="0089535D"/>
    <w:rsid w:val="00895680"/>
    <w:rsid w:val="00896DFF"/>
    <w:rsid w:val="0089762C"/>
    <w:rsid w:val="008A1893"/>
    <w:rsid w:val="008A3215"/>
    <w:rsid w:val="008A57E6"/>
    <w:rsid w:val="008A6F81"/>
    <w:rsid w:val="008A769A"/>
    <w:rsid w:val="008B0C9C"/>
    <w:rsid w:val="008B166D"/>
    <w:rsid w:val="008B16DF"/>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F86"/>
    <w:rsid w:val="008F0CDC"/>
    <w:rsid w:val="008F17A3"/>
    <w:rsid w:val="008F1ED3"/>
    <w:rsid w:val="008F23A5"/>
    <w:rsid w:val="008F4C29"/>
    <w:rsid w:val="008F70BD"/>
    <w:rsid w:val="008F788F"/>
    <w:rsid w:val="008F7EA2"/>
    <w:rsid w:val="00902722"/>
    <w:rsid w:val="009027BC"/>
    <w:rsid w:val="009062E6"/>
    <w:rsid w:val="00911BE5"/>
    <w:rsid w:val="00913874"/>
    <w:rsid w:val="00913CA9"/>
    <w:rsid w:val="009145AE"/>
    <w:rsid w:val="009146CE"/>
    <w:rsid w:val="00914CA7"/>
    <w:rsid w:val="00915C3E"/>
    <w:rsid w:val="009161A8"/>
    <w:rsid w:val="009245F5"/>
    <w:rsid w:val="009249EC"/>
    <w:rsid w:val="009273B3"/>
    <w:rsid w:val="009300A4"/>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6E1"/>
    <w:rsid w:val="009911AF"/>
    <w:rsid w:val="00991875"/>
    <w:rsid w:val="00991F92"/>
    <w:rsid w:val="00992985"/>
    <w:rsid w:val="00993889"/>
    <w:rsid w:val="009940EC"/>
    <w:rsid w:val="0099551B"/>
    <w:rsid w:val="00997BF1"/>
    <w:rsid w:val="009A089C"/>
    <w:rsid w:val="009A118E"/>
    <w:rsid w:val="009A21CD"/>
    <w:rsid w:val="009A278C"/>
    <w:rsid w:val="009A2BC2"/>
    <w:rsid w:val="009A42C1"/>
    <w:rsid w:val="009A5429"/>
    <w:rsid w:val="009A6BE1"/>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2E7"/>
    <w:rsid w:val="009D6BCA"/>
    <w:rsid w:val="009E0F62"/>
    <w:rsid w:val="009E4A58"/>
    <w:rsid w:val="009E5A2D"/>
    <w:rsid w:val="009E5AB2"/>
    <w:rsid w:val="009E6219"/>
    <w:rsid w:val="009F03B3"/>
    <w:rsid w:val="009F2FA7"/>
    <w:rsid w:val="00A0096C"/>
    <w:rsid w:val="00A01757"/>
    <w:rsid w:val="00A028C0"/>
    <w:rsid w:val="00A02BAE"/>
    <w:rsid w:val="00A06A6B"/>
    <w:rsid w:val="00A07E47"/>
    <w:rsid w:val="00A129D0"/>
    <w:rsid w:val="00A12C33"/>
    <w:rsid w:val="00A138BA"/>
    <w:rsid w:val="00A13CA8"/>
    <w:rsid w:val="00A14C8E"/>
    <w:rsid w:val="00A14F1F"/>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C7C"/>
    <w:rsid w:val="00A723F8"/>
    <w:rsid w:val="00A77CCB"/>
    <w:rsid w:val="00A83D8D"/>
    <w:rsid w:val="00A8446B"/>
    <w:rsid w:val="00A8473F"/>
    <w:rsid w:val="00A862D6"/>
    <w:rsid w:val="00A8715E"/>
    <w:rsid w:val="00A9295B"/>
    <w:rsid w:val="00A933AC"/>
    <w:rsid w:val="00A93B09"/>
    <w:rsid w:val="00A94247"/>
    <w:rsid w:val="00A952D7"/>
    <w:rsid w:val="00A963F7"/>
    <w:rsid w:val="00A96AD8"/>
    <w:rsid w:val="00A96ECD"/>
    <w:rsid w:val="00AA052C"/>
    <w:rsid w:val="00AA1E45"/>
    <w:rsid w:val="00AA4286"/>
    <w:rsid w:val="00AA456B"/>
    <w:rsid w:val="00AA57F5"/>
    <w:rsid w:val="00AA672E"/>
    <w:rsid w:val="00AA6EC9"/>
    <w:rsid w:val="00AB41D5"/>
    <w:rsid w:val="00AB6309"/>
    <w:rsid w:val="00AB6C5F"/>
    <w:rsid w:val="00AB7129"/>
    <w:rsid w:val="00AC053D"/>
    <w:rsid w:val="00AC27A6"/>
    <w:rsid w:val="00AC30F7"/>
    <w:rsid w:val="00AC3A5A"/>
    <w:rsid w:val="00AC4D95"/>
    <w:rsid w:val="00AC5DF4"/>
    <w:rsid w:val="00AD0193"/>
    <w:rsid w:val="00AD0AEF"/>
    <w:rsid w:val="00AD11B7"/>
    <w:rsid w:val="00AD1A94"/>
    <w:rsid w:val="00AD1C05"/>
    <w:rsid w:val="00AD4126"/>
    <w:rsid w:val="00AD421C"/>
    <w:rsid w:val="00AD44FA"/>
    <w:rsid w:val="00AE070A"/>
    <w:rsid w:val="00AE101C"/>
    <w:rsid w:val="00AE236C"/>
    <w:rsid w:val="00AE37E5"/>
    <w:rsid w:val="00AE5EB4"/>
    <w:rsid w:val="00AF0C18"/>
    <w:rsid w:val="00AF47C5"/>
    <w:rsid w:val="00AF5398"/>
    <w:rsid w:val="00AF7323"/>
    <w:rsid w:val="00B049AF"/>
    <w:rsid w:val="00B07242"/>
    <w:rsid w:val="00B07384"/>
    <w:rsid w:val="00B10534"/>
    <w:rsid w:val="00B113DB"/>
    <w:rsid w:val="00B11D8A"/>
    <w:rsid w:val="00B12981"/>
    <w:rsid w:val="00B147DD"/>
    <w:rsid w:val="00B156FD"/>
    <w:rsid w:val="00B208CF"/>
    <w:rsid w:val="00B21F61"/>
    <w:rsid w:val="00B261F1"/>
    <w:rsid w:val="00B265BC"/>
    <w:rsid w:val="00B27CA2"/>
    <w:rsid w:val="00B31FB1"/>
    <w:rsid w:val="00B33952"/>
    <w:rsid w:val="00B33C5E"/>
    <w:rsid w:val="00B342F4"/>
    <w:rsid w:val="00B34369"/>
    <w:rsid w:val="00B34DC2"/>
    <w:rsid w:val="00B378E5"/>
    <w:rsid w:val="00B4346D"/>
    <w:rsid w:val="00B440F4"/>
    <w:rsid w:val="00B447A5"/>
    <w:rsid w:val="00B4654C"/>
    <w:rsid w:val="00B46AF0"/>
    <w:rsid w:val="00B47293"/>
    <w:rsid w:val="00B47294"/>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AFF"/>
    <w:rsid w:val="00BA42B2"/>
    <w:rsid w:val="00BA58D4"/>
    <w:rsid w:val="00BA5B9E"/>
    <w:rsid w:val="00BA7C9A"/>
    <w:rsid w:val="00BB203B"/>
    <w:rsid w:val="00BB5F8F"/>
    <w:rsid w:val="00BB657A"/>
    <w:rsid w:val="00BC1A4E"/>
    <w:rsid w:val="00BC4790"/>
    <w:rsid w:val="00BC5DC7"/>
    <w:rsid w:val="00BC6B8B"/>
    <w:rsid w:val="00BC73D8"/>
    <w:rsid w:val="00BD120F"/>
    <w:rsid w:val="00BD183F"/>
    <w:rsid w:val="00BD52D7"/>
    <w:rsid w:val="00BD5AD2"/>
    <w:rsid w:val="00BE00BA"/>
    <w:rsid w:val="00BE22F3"/>
    <w:rsid w:val="00BE5B52"/>
    <w:rsid w:val="00BE7B8D"/>
    <w:rsid w:val="00BF0993"/>
    <w:rsid w:val="00BF10A9"/>
    <w:rsid w:val="00BF1703"/>
    <w:rsid w:val="00BF231C"/>
    <w:rsid w:val="00BF51E5"/>
    <w:rsid w:val="00BF74A6"/>
    <w:rsid w:val="00C013AD"/>
    <w:rsid w:val="00C04441"/>
    <w:rsid w:val="00C04904"/>
    <w:rsid w:val="00C056B3"/>
    <w:rsid w:val="00C103E5"/>
    <w:rsid w:val="00C11583"/>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5EC7"/>
    <w:rsid w:val="00C601BC"/>
    <w:rsid w:val="00C6329F"/>
    <w:rsid w:val="00C63340"/>
    <w:rsid w:val="00C643F9"/>
    <w:rsid w:val="00C64E95"/>
    <w:rsid w:val="00C71372"/>
    <w:rsid w:val="00C72410"/>
    <w:rsid w:val="00C7287F"/>
    <w:rsid w:val="00C74FD3"/>
    <w:rsid w:val="00C755E2"/>
    <w:rsid w:val="00C80CB8"/>
    <w:rsid w:val="00C819F8"/>
    <w:rsid w:val="00C8248C"/>
    <w:rsid w:val="00C84E33"/>
    <w:rsid w:val="00C86D6F"/>
    <w:rsid w:val="00C905FC"/>
    <w:rsid w:val="00C92D03"/>
    <w:rsid w:val="00C9319C"/>
    <w:rsid w:val="00C9435D"/>
    <w:rsid w:val="00C94DF2"/>
    <w:rsid w:val="00C96741"/>
    <w:rsid w:val="00CA2D1B"/>
    <w:rsid w:val="00CA375D"/>
    <w:rsid w:val="00CA39F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BC0"/>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48A2"/>
    <w:rsid w:val="00D20737"/>
    <w:rsid w:val="00D21E81"/>
    <w:rsid w:val="00D223DE"/>
    <w:rsid w:val="00D25E37"/>
    <w:rsid w:val="00D2661A"/>
    <w:rsid w:val="00D27582"/>
    <w:rsid w:val="00D27EC4"/>
    <w:rsid w:val="00D32719"/>
    <w:rsid w:val="00D33333"/>
    <w:rsid w:val="00D33457"/>
    <w:rsid w:val="00D352A2"/>
    <w:rsid w:val="00D4162B"/>
    <w:rsid w:val="00D44D3F"/>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AC6"/>
    <w:rsid w:val="00D926D0"/>
    <w:rsid w:val="00D93030"/>
    <w:rsid w:val="00D9478D"/>
    <w:rsid w:val="00D950E1"/>
    <w:rsid w:val="00D952A6"/>
    <w:rsid w:val="00D97F99"/>
    <w:rsid w:val="00DA0DE2"/>
    <w:rsid w:val="00DA1E08"/>
    <w:rsid w:val="00DA24F8"/>
    <w:rsid w:val="00DA28E8"/>
    <w:rsid w:val="00DA38D3"/>
    <w:rsid w:val="00DA3932"/>
    <w:rsid w:val="00DA3AFC"/>
    <w:rsid w:val="00DA5191"/>
    <w:rsid w:val="00DA5CB6"/>
    <w:rsid w:val="00DA64F8"/>
    <w:rsid w:val="00DA6C15"/>
    <w:rsid w:val="00DB0258"/>
    <w:rsid w:val="00DB38EE"/>
    <w:rsid w:val="00DB498B"/>
    <w:rsid w:val="00DB66CA"/>
    <w:rsid w:val="00DB6BCA"/>
    <w:rsid w:val="00DB73F7"/>
    <w:rsid w:val="00DC0321"/>
    <w:rsid w:val="00DC3067"/>
    <w:rsid w:val="00DC370B"/>
    <w:rsid w:val="00DC48C2"/>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AFF"/>
    <w:rsid w:val="00E22D08"/>
    <w:rsid w:val="00E23D99"/>
    <w:rsid w:val="00E2552F"/>
    <w:rsid w:val="00E3137A"/>
    <w:rsid w:val="00E32CCF"/>
    <w:rsid w:val="00E34A98"/>
    <w:rsid w:val="00E35D1E"/>
    <w:rsid w:val="00E364F9"/>
    <w:rsid w:val="00E365FA"/>
    <w:rsid w:val="00E36789"/>
    <w:rsid w:val="00E44A83"/>
    <w:rsid w:val="00E44E0D"/>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C3C"/>
    <w:rsid w:val="00EA58D1"/>
    <w:rsid w:val="00EA61BC"/>
    <w:rsid w:val="00EA681A"/>
    <w:rsid w:val="00EA735B"/>
    <w:rsid w:val="00EB17DE"/>
    <w:rsid w:val="00EB1E69"/>
    <w:rsid w:val="00EB2086"/>
    <w:rsid w:val="00EB21BB"/>
    <w:rsid w:val="00EB5EDF"/>
    <w:rsid w:val="00EB60FE"/>
    <w:rsid w:val="00EB6506"/>
    <w:rsid w:val="00EB74DB"/>
    <w:rsid w:val="00EC5359"/>
    <w:rsid w:val="00EC562A"/>
    <w:rsid w:val="00EC688B"/>
    <w:rsid w:val="00ED067A"/>
    <w:rsid w:val="00ED0B8A"/>
    <w:rsid w:val="00ED2B50"/>
    <w:rsid w:val="00EE0350"/>
    <w:rsid w:val="00EE0719"/>
    <w:rsid w:val="00EE0E80"/>
    <w:rsid w:val="00EE54A6"/>
    <w:rsid w:val="00EE613F"/>
    <w:rsid w:val="00EE7295"/>
    <w:rsid w:val="00EE7869"/>
    <w:rsid w:val="00EF054A"/>
    <w:rsid w:val="00EF3235"/>
    <w:rsid w:val="00EF7E72"/>
    <w:rsid w:val="00F00EBC"/>
    <w:rsid w:val="00F04ED9"/>
    <w:rsid w:val="00F06D37"/>
    <w:rsid w:val="00F07B9D"/>
    <w:rsid w:val="00F11586"/>
    <w:rsid w:val="00F1183B"/>
    <w:rsid w:val="00F11C9F"/>
    <w:rsid w:val="00F12263"/>
    <w:rsid w:val="00F1409D"/>
    <w:rsid w:val="00F14214"/>
    <w:rsid w:val="00F157A9"/>
    <w:rsid w:val="00F20690"/>
    <w:rsid w:val="00F21740"/>
    <w:rsid w:val="00F25BB6"/>
    <w:rsid w:val="00F26B7E"/>
    <w:rsid w:val="00F27A3B"/>
    <w:rsid w:val="00F330BB"/>
    <w:rsid w:val="00F33817"/>
    <w:rsid w:val="00F405C0"/>
    <w:rsid w:val="00F4075A"/>
    <w:rsid w:val="00F420D5"/>
    <w:rsid w:val="00F451EA"/>
    <w:rsid w:val="00F45447"/>
    <w:rsid w:val="00F456C6"/>
    <w:rsid w:val="00F4577B"/>
    <w:rsid w:val="00F46496"/>
    <w:rsid w:val="00F474D0"/>
    <w:rsid w:val="00F50179"/>
    <w:rsid w:val="00F515EE"/>
    <w:rsid w:val="00F52F8B"/>
    <w:rsid w:val="00F531C5"/>
    <w:rsid w:val="00F56511"/>
    <w:rsid w:val="00F6025A"/>
    <w:rsid w:val="00F607DB"/>
    <w:rsid w:val="00F6194E"/>
    <w:rsid w:val="00F623AC"/>
    <w:rsid w:val="00F6412A"/>
    <w:rsid w:val="00F65893"/>
    <w:rsid w:val="00F66A4A"/>
    <w:rsid w:val="00F71E22"/>
    <w:rsid w:val="00F72142"/>
    <w:rsid w:val="00F72AE7"/>
    <w:rsid w:val="00F81141"/>
    <w:rsid w:val="00F833BA"/>
    <w:rsid w:val="00F84FD0"/>
    <w:rsid w:val="00F859A8"/>
    <w:rsid w:val="00F86D87"/>
    <w:rsid w:val="00F906AA"/>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6BF"/>
    <w:rsid w:val="00FD2A7C"/>
    <w:rsid w:val="00FD59EB"/>
    <w:rsid w:val="00FD7299"/>
    <w:rsid w:val="00FE1FBE"/>
    <w:rsid w:val="00FE3901"/>
    <w:rsid w:val="00FE39D3"/>
    <w:rsid w:val="00FE4BCE"/>
    <w:rsid w:val="00FE538E"/>
    <w:rsid w:val="00FE54AE"/>
    <w:rsid w:val="00FE576A"/>
    <w:rsid w:val="00FE7E79"/>
    <w:rsid w:val="00FF3E7D"/>
    <w:rsid w:val="00FF5698"/>
    <w:rsid w:val="00FF5B99"/>
    <w:rsid w:val="00FF730C"/>
    <w:rsid w:val="00FF73F4"/>
    <w:rsid w:val="00FF7CE4"/>
    <w:rsid w:val="00FF7E39"/>
    <w:rsid w:val="01E341D1"/>
    <w:rsid w:val="0270686F"/>
    <w:rsid w:val="02C1726E"/>
    <w:rsid w:val="06F462EF"/>
    <w:rsid w:val="0C816F5B"/>
    <w:rsid w:val="0CF94572"/>
    <w:rsid w:val="14E942C2"/>
    <w:rsid w:val="163A6A11"/>
    <w:rsid w:val="17500FF5"/>
    <w:rsid w:val="1BD632D4"/>
    <w:rsid w:val="27A16B6B"/>
    <w:rsid w:val="2B6A0AB1"/>
    <w:rsid w:val="303273F1"/>
    <w:rsid w:val="33D90E8C"/>
    <w:rsid w:val="37EB0FD8"/>
    <w:rsid w:val="3B4658C2"/>
    <w:rsid w:val="428B50AF"/>
    <w:rsid w:val="46F96B80"/>
    <w:rsid w:val="476A2E5A"/>
    <w:rsid w:val="48357C66"/>
    <w:rsid w:val="4C673E0C"/>
    <w:rsid w:val="4D282A02"/>
    <w:rsid w:val="56260666"/>
    <w:rsid w:val="60080AA4"/>
    <w:rsid w:val="63A12316"/>
    <w:rsid w:val="64D67929"/>
    <w:rsid w:val="700370F8"/>
    <w:rsid w:val="7804010F"/>
    <w:rsid w:val="7AB4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1"/>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HTML Preformatted"/>
    <w:basedOn w:val="1"/>
    <w:link w:val="234"/>
    <w:autoRedefine/>
    <w:semiHidden/>
    <w:unhideWhenUsed/>
    <w:qFormat/>
    <w:uiPriority w:val="99"/>
    <w:rPr>
      <w:rFonts w:ascii="Courier New" w:hAnsi="Courier New" w:cs="Courier New"/>
      <w:sz w:val="20"/>
      <w:szCs w:val="20"/>
    </w:rPr>
  </w:style>
  <w:style w:type="paragraph" w:styleId="26">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8"/>
    <w:qFormat/>
    <w:uiPriority w:val="99"/>
    <w:rPr>
      <w:kern w:val="2"/>
      <w:sz w:val="18"/>
      <w:szCs w:val="18"/>
    </w:rPr>
  </w:style>
  <w:style w:type="character" w:customStyle="1" w:styleId="46">
    <w:name w:val="页脚 字符"/>
    <w:link w:val="17"/>
    <w:qFormat/>
    <w:uiPriority w:val="99"/>
    <w:rPr>
      <w:rFonts w:ascii="宋体"/>
      <w:kern w:val="2"/>
      <w:sz w:val="18"/>
      <w:szCs w:val="18"/>
    </w:rPr>
  </w:style>
  <w:style w:type="character" w:customStyle="1" w:styleId="47">
    <w:name w:val="批注框文本 字符"/>
    <w:link w:val="16"/>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1"/>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1"/>
    <w:semiHidden/>
    <w:qFormat/>
    <w:uiPriority w:val="0"/>
    <w:rPr>
      <w:rFonts w:ascii="宋体"/>
      <w:kern w:val="2"/>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tabs>
        <w:tab w:val="left" w:pos="851"/>
        <w:tab w:val="clear" w:pos="2836"/>
      </w:tabs>
      <w:ind w:left="851"/>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styleId="232">
    <w:name w:val="List Paragraph"/>
    <w:basedOn w:val="1"/>
    <w:autoRedefine/>
    <w:qFormat/>
    <w:uiPriority w:val="1"/>
    <w:pPr>
      <w:autoSpaceDE w:val="0"/>
      <w:autoSpaceDN w:val="0"/>
      <w:adjustRightInd/>
      <w:spacing w:line="240" w:lineRule="auto"/>
      <w:ind w:left="1162" w:hanging="946"/>
      <w:jc w:val="left"/>
    </w:pPr>
    <w:rPr>
      <w:rFonts w:ascii="宋体" w:hAnsi="宋体" w:cs="宋体"/>
      <w:kern w:val="0"/>
      <w:sz w:val="22"/>
      <w:szCs w:val="22"/>
      <w:lang w:eastAsia="zh-TW"/>
    </w:rPr>
  </w:style>
  <w:style w:type="paragraph" w:customStyle="1" w:styleId="233">
    <w:name w:val="Table Paragraph"/>
    <w:basedOn w:val="1"/>
    <w:autoRedefine/>
    <w:qFormat/>
    <w:uiPriority w:val="1"/>
    <w:pPr>
      <w:autoSpaceDE w:val="0"/>
      <w:autoSpaceDN w:val="0"/>
      <w:adjustRightInd/>
      <w:spacing w:before="1" w:line="240" w:lineRule="auto"/>
      <w:ind w:right="-11"/>
      <w:jc w:val="left"/>
    </w:pPr>
    <w:rPr>
      <w:rFonts w:ascii="宋体" w:hAnsi="宋体" w:cs="宋体"/>
      <w:kern w:val="0"/>
      <w:sz w:val="18"/>
      <w:szCs w:val="18"/>
      <w:lang w:eastAsia="zh-TW"/>
    </w:rPr>
  </w:style>
  <w:style w:type="character" w:customStyle="1" w:styleId="234">
    <w:name w:val="HTML 预设格式 字符"/>
    <w:basedOn w:val="30"/>
    <w:link w:val="25"/>
    <w:semiHidden/>
    <w:qFormat/>
    <w:uiPriority w:val="99"/>
    <w:rPr>
      <w:rFonts w:ascii="Courier New" w:hAnsi="Courier New" w:cs="Courier New"/>
      <w:kern w:val="2"/>
    </w:rPr>
  </w:style>
  <w:style w:type="character" w:customStyle="1" w:styleId="235">
    <w:name w:val="不明显参考11"/>
    <w:autoRedefine/>
    <w:qFormat/>
    <w:uiPriority w:val="31"/>
    <w:rPr>
      <w:smallCaps/>
      <w:color w:val="C0504D"/>
      <w:u w:val="single"/>
    </w:rPr>
  </w:style>
  <w:style w:type="paragraph" w:customStyle="1" w:styleId="236">
    <w:name w:val="正文1"/>
    <w:autoRedefine/>
    <w:qFormat/>
    <w:uiPriority w:val="0"/>
    <w:pPr>
      <w:jc w:val="both"/>
    </w:pPr>
    <w:rPr>
      <w:rFonts w:ascii="Calibri" w:hAnsi="Calibri" w:eastAsia="宋体" w:cs="Calibri"/>
      <w:kern w:val="2"/>
      <w:sz w:val="21"/>
      <w:szCs w:val="21"/>
      <w:lang w:val="en-US" w:eastAsia="zh-CN" w:bidi="ar-SA"/>
    </w:rPr>
  </w:style>
  <w:style w:type="character" w:customStyle="1" w:styleId="237">
    <w:name w:val="未处理的提及1"/>
    <w:basedOn w:val="30"/>
    <w:semiHidden/>
    <w:unhideWhenUsed/>
    <w:qFormat/>
    <w:uiPriority w:val="99"/>
    <w:rPr>
      <w:color w:val="605E5C"/>
      <w:shd w:val="clear" w:color="auto" w:fill="E1DFDD"/>
    </w:rPr>
  </w:style>
  <w:style w:type="character" w:customStyle="1" w:styleId="238">
    <w:name w:val="katex-mathml"/>
    <w:basedOn w:val="30"/>
    <w:qFormat/>
    <w:uiPriority w:val="0"/>
  </w:style>
  <w:style w:type="character" w:customStyle="1" w:styleId="239">
    <w:name w:val="mord"/>
    <w:basedOn w:val="30"/>
    <w:qFormat/>
    <w:uiPriority w:val="0"/>
  </w:style>
  <w:style w:type="character" w:customStyle="1" w:styleId="240">
    <w:name w:val="vlist-s"/>
    <w:basedOn w:val="30"/>
    <w:qFormat/>
    <w:uiPriority w:val="0"/>
  </w:style>
  <w:style w:type="character" w:customStyle="1" w:styleId="241">
    <w:name w:val="mpunct"/>
    <w:basedOn w:val="30"/>
    <w:qFormat/>
    <w:uiPriority w:val="0"/>
  </w:style>
  <w:style w:type="character" w:customStyle="1" w:styleId="242">
    <w:name w:val="未处理的提及2"/>
    <w:basedOn w:val="30"/>
    <w:semiHidden/>
    <w:unhideWhenUsed/>
    <w:qFormat/>
    <w:uiPriority w:val="99"/>
    <w:rPr>
      <w:color w:val="605E5C"/>
      <w:shd w:val="clear" w:color="auto" w:fill="E1DFDD"/>
    </w:rPr>
  </w:style>
  <w:style w:type="character" w:customStyle="1" w:styleId="243">
    <w:name w:val="Unresolved Mention"/>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emf"/><Relationship Id="rId20" Type="http://schemas.openxmlformats.org/officeDocument/2006/relationships/package" Target="embeddings/Microsoft_Visio___1.vsdx"/><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EEB70D70904BD885DD8CBD23C761DC"/>
        <w:style w:val=""/>
        <w:category>
          <w:name w:val="常规"/>
          <w:gallery w:val="placeholder"/>
        </w:category>
        <w:types>
          <w:type w:val="bbPlcHdr"/>
        </w:types>
        <w:behaviors>
          <w:behavior w:val="content"/>
        </w:behaviors>
        <w:description w:val=""/>
        <w:guid w:val="{9CCB6C5B-E529-444A-9B2F-3EA7E7FA4D06}"/>
      </w:docPartPr>
      <w:docPartBody>
        <w:p w14:paraId="4719DE2B">
          <w:pPr>
            <w:pStyle w:val="5"/>
            <w:rPr>
              <w:rFonts w:hint="eastAsia"/>
            </w:rPr>
          </w:pPr>
          <w:r>
            <w:rPr>
              <w:rStyle w:val="4"/>
              <w:rFonts w:hint="eastAsia"/>
            </w:rPr>
            <w:t>单击或点击此处输入文字。</w:t>
          </w:r>
        </w:p>
      </w:docPartBody>
    </w:docPart>
    <w:docPart>
      <w:docPartPr>
        <w:name w:val="B5DCA40750BE4CC490C2659F73E8F727"/>
        <w:style w:val=""/>
        <w:category>
          <w:name w:val="常规"/>
          <w:gallery w:val="placeholder"/>
        </w:category>
        <w:types>
          <w:type w:val="bbPlcHdr"/>
        </w:types>
        <w:behaviors>
          <w:behavior w:val="content"/>
        </w:behaviors>
        <w:description w:val=""/>
        <w:guid w:val="{11C70184-F28E-425B-83CB-7254432083C8}"/>
      </w:docPartPr>
      <w:docPartBody>
        <w:p w14:paraId="0C90B20D">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707"/>
    <w:rsid w:val="000F2CDB"/>
    <w:rsid w:val="001408C9"/>
    <w:rsid w:val="00153D66"/>
    <w:rsid w:val="001C0B6A"/>
    <w:rsid w:val="001E66CB"/>
    <w:rsid w:val="001F5F69"/>
    <w:rsid w:val="00210A93"/>
    <w:rsid w:val="002270B0"/>
    <w:rsid w:val="002575D8"/>
    <w:rsid w:val="002A2F43"/>
    <w:rsid w:val="002C2275"/>
    <w:rsid w:val="002F2868"/>
    <w:rsid w:val="002F56C4"/>
    <w:rsid w:val="00323CBA"/>
    <w:rsid w:val="003A117A"/>
    <w:rsid w:val="003C31D9"/>
    <w:rsid w:val="003E77DF"/>
    <w:rsid w:val="0041481B"/>
    <w:rsid w:val="00430309"/>
    <w:rsid w:val="00447BDB"/>
    <w:rsid w:val="00455325"/>
    <w:rsid w:val="00467B27"/>
    <w:rsid w:val="00471C63"/>
    <w:rsid w:val="00473CF6"/>
    <w:rsid w:val="004D6707"/>
    <w:rsid w:val="005803D0"/>
    <w:rsid w:val="00585220"/>
    <w:rsid w:val="005C04E4"/>
    <w:rsid w:val="005D1276"/>
    <w:rsid w:val="006276A4"/>
    <w:rsid w:val="00633093"/>
    <w:rsid w:val="006F5EEE"/>
    <w:rsid w:val="00755137"/>
    <w:rsid w:val="00762F0C"/>
    <w:rsid w:val="007A3606"/>
    <w:rsid w:val="00812DC7"/>
    <w:rsid w:val="0089535D"/>
    <w:rsid w:val="00980617"/>
    <w:rsid w:val="00997D0B"/>
    <w:rsid w:val="009F4939"/>
    <w:rsid w:val="00A14F1F"/>
    <w:rsid w:val="00AD0193"/>
    <w:rsid w:val="00B30458"/>
    <w:rsid w:val="00BE00BA"/>
    <w:rsid w:val="00C625DE"/>
    <w:rsid w:val="00D00AD7"/>
    <w:rsid w:val="00DA5CB6"/>
    <w:rsid w:val="00DD6FB1"/>
    <w:rsid w:val="00E44E0D"/>
    <w:rsid w:val="00ED0B8A"/>
    <w:rsid w:val="00F52931"/>
    <w:rsid w:val="00F9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AEEB70D70904BD885DD8CBD23C761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5DCA40750BE4CC490C2659F73E8F72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1A328-1F8A-4F01-92C7-E7D4EEDA0532}">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39</Pages>
  <Words>3600</Words>
  <Characters>4286</Characters>
  <Lines>2340</Lines>
  <Paragraphs>3116</Paragraphs>
  <TotalTime>0</TotalTime>
  <ScaleCrop>false</ScaleCrop>
  <LinksUpToDate>false</LinksUpToDate>
  <CharactersWithSpaces>4540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2025-07-16T02:50:00Z</dcterms:created>
  <dc:creator>闵芳</dc:creator>
  <dc:description>&lt;config cover="true" show_menu="true" version="1.0.0" doctype="SDKXY"&gt;_x000d_
&lt;/config&gt;</dc:description>
  <cp:lastModifiedBy>大专家</cp:lastModifiedBy>
  <cp:lastPrinted>2025-07-28T01:58:00Z</cp:lastPrinted>
  <dcterms:modified xsi:type="dcterms:W3CDTF">2025-07-31T08:48:04Z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eyJoZGlkIjoiYjZmNWYyMjk1ZjlkNTI5ZmJiMmJhOGU1YzVjOTY4MjQiLCJ1c2VySWQiOiIxMDQ2NTY0Mzc5In0=</vt:lpwstr>
  </property>
  <property fmtid="{D5CDD505-2E9C-101B-9397-08002B2CF9AE}" pid="15" name="KSOProductBuildVer">
    <vt:lpwstr>2052-12.1.0.21915</vt:lpwstr>
  </property>
  <property fmtid="{D5CDD505-2E9C-101B-9397-08002B2CF9AE}" pid="16" name="ICV">
    <vt:lpwstr>D7CCA4AD2D36410E94DBEF86E49F789E_13</vt:lpwstr>
  </property>
</Properties>
</file>