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08CD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7C7FBB">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C6507A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91.140.90</w:t>
            </w:r>
            <w:r>
              <w:rPr>
                <w:rFonts w:ascii="黑体" w:hAnsi="黑体" w:eastAsia="黑体"/>
                <w:sz w:val="21"/>
                <w:szCs w:val="21"/>
              </w:rPr>
              <w:fldChar w:fldCharType="end"/>
            </w:r>
            <w:bookmarkEnd w:id="0"/>
          </w:p>
        </w:tc>
      </w:tr>
      <w:tr w14:paraId="3A9F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8BAD03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0526882">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Q 78</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35D276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5C723DC">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color w:val="4472C4" w:themeColor="accent1"/>
                <w14:textFill>
                  <w14:solidFill>
                    <w14:schemeClr w14:val="accent1"/>
                  </w14:solidFill>
                </w14:textFill>
              </w:rPr>
              <w:fldChar w:fldCharType="begin">
                <w:ffData>
                  <w:name w:val="c1"/>
                  <w:enabled/>
                  <w:calcOnExit w:val="0"/>
                  <w:textInput>
                    <w:maxLength w:val="8"/>
                  </w:textInput>
                </w:ffData>
              </w:fldChar>
            </w:r>
            <w:bookmarkStart w:id="3" w:name="c1"/>
            <w:r>
              <w:rPr>
                <w:color w:val="4472C4" w:themeColor="accent1"/>
                <w14:textFill>
                  <w14:solidFill>
                    <w14:schemeClr w14:val="accent1"/>
                  </w14:solidFill>
                </w14:textFill>
              </w:rPr>
              <w:instrText xml:space="preserve"> FORMTEXT </w:instrText>
            </w:r>
            <w:r>
              <w:rPr>
                <w:color w:val="4472C4" w:themeColor="accent1"/>
                <w14:textFill>
                  <w14:solidFill>
                    <w14:schemeClr w14:val="accent1"/>
                  </w14:solidFill>
                </w14:textFill>
              </w:rPr>
              <w:fldChar w:fldCharType="separate"/>
            </w:r>
            <w:r>
              <w:rPr>
                <w:color w:val="4472C4" w:themeColor="accent1"/>
                <w14:textFill>
                  <w14:solidFill>
                    <w14:schemeClr w14:val="accent1"/>
                  </w14:solidFill>
                </w14:textFill>
              </w:rPr>
              <w:t>34</w:t>
            </w:r>
            <w:r>
              <w:rPr>
                <w:color w:val="4472C4" w:themeColor="accent1"/>
                <w14:textFill>
                  <w14:solidFill>
                    <w14:schemeClr w14:val="accent1"/>
                  </w14:solidFill>
                </w14:textFill>
              </w:rPr>
              <w:fldChar w:fldCharType="end"/>
            </w:r>
            <w:bookmarkEnd w:id="3"/>
          </w:p>
        </w:tc>
      </w:tr>
    </w:tbl>
    <w:p w14:paraId="688700D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color w:val="4472C4" w:themeColor="accent1"/>
          <w:w w:val="100"/>
          <w:sz w:val="48"/>
          <w14:textFill>
            <w14:solidFill>
              <w14:schemeClr w14:val="accent1"/>
            </w14:solidFill>
          </w14:textFill>
        </w:rPr>
        <w:fldChar w:fldCharType="begin">
          <w:ffData>
            <w:name w:val="c2"/>
            <w:enabled/>
            <w:calcOnExit w:val="0"/>
            <w:textInput/>
          </w:ffData>
        </w:fldChar>
      </w:r>
      <w:bookmarkStart w:id="4" w:name="c2"/>
      <w:r>
        <w:rPr>
          <w:rFonts w:ascii="黑体" w:eastAsia="黑体"/>
          <w:b w:val="0"/>
          <w:color w:val="4472C4" w:themeColor="accent1"/>
          <w:w w:val="100"/>
          <w:sz w:val="48"/>
          <w14:textFill>
            <w14:solidFill>
              <w14:schemeClr w14:val="accent1"/>
            </w14:solidFill>
          </w14:textFill>
        </w:rPr>
        <w:instrText xml:space="preserve"> FORMTEXT </w:instrText>
      </w:r>
      <w:r>
        <w:rPr>
          <w:rFonts w:ascii="黑体" w:eastAsia="黑体"/>
          <w:b w:val="0"/>
          <w:color w:val="4472C4" w:themeColor="accent1"/>
          <w:w w:val="100"/>
          <w:sz w:val="48"/>
          <w14:textFill>
            <w14:solidFill>
              <w14:schemeClr w14:val="accent1"/>
            </w14:solidFill>
          </w14:textFill>
        </w:rPr>
        <w:fldChar w:fldCharType="separate"/>
      </w:r>
      <w:r>
        <w:rPr>
          <w:rFonts w:hint="eastAsia" w:ascii="黑体" w:eastAsia="黑体"/>
          <w:b w:val="0"/>
          <w:color w:val="4472C4" w:themeColor="accent1"/>
          <w:w w:val="100"/>
          <w:sz w:val="48"/>
          <w14:textFill>
            <w14:solidFill>
              <w14:schemeClr w14:val="accent1"/>
            </w14:solidFill>
          </w14:textFill>
        </w:rPr>
        <w:t>安徽省</w:t>
      </w:r>
      <w:r>
        <w:rPr>
          <w:rFonts w:ascii="黑体" w:eastAsia="黑体"/>
          <w:b w:val="0"/>
          <w:color w:val="4472C4" w:themeColor="accent1"/>
          <w:w w:val="100"/>
          <w:sz w:val="48"/>
          <w14:textFill>
            <w14:solidFill>
              <w14:schemeClr w14:val="accent1"/>
            </w14:solidFill>
          </w14:textFill>
        </w:rPr>
        <w:fldChar w:fldCharType="end"/>
      </w:r>
      <w:bookmarkEnd w:id="4"/>
      <w:r>
        <w:rPr>
          <w:rFonts w:hint="eastAsia" w:ascii="黑体" w:hAnsi="黑体" w:eastAsia="黑体"/>
          <w:b w:val="0"/>
          <w:bCs w:val="0"/>
          <w:w w:val="100"/>
          <w:sz w:val="48"/>
          <w:szCs w:val="48"/>
        </w:rPr>
        <w:t>地方标准</w:t>
      </w:r>
    </w:p>
    <w:bookmarkEnd w:id="2"/>
    <w:p w14:paraId="2723727A">
      <w:pPr>
        <w:pStyle w:val="196"/>
        <w:rPr>
          <w:lang w:val="fr-FR"/>
        </w:rPr>
      </w:pPr>
      <w:r>
        <w:rPr>
          <w:lang w:val="fr-FR"/>
        </w:rPr>
        <w:t>DB</w:t>
      </w:r>
      <w:r>
        <w:rPr>
          <w:sz w:val="15"/>
          <w:szCs w:val="15"/>
          <w:lang w:val="fr-FR"/>
        </w:rPr>
        <w:t xml:space="preserve"> </w:t>
      </w:r>
      <w:r>
        <w:rPr>
          <w:color w:val="4472C4" w:themeColor="accent1"/>
          <w14:textFill>
            <w14:solidFill>
              <w14:schemeClr w14:val="accent1"/>
            </w14:solidFill>
          </w14:textFill>
        </w:rPr>
        <w:fldChar w:fldCharType="begin">
          <w:ffData>
            <w:name w:val="文字1"/>
            <w:enabled/>
            <w:calcOnExit w:val="0"/>
            <w:textInput>
              <w:default w:val="XX/T"/>
            </w:textInput>
          </w:ffData>
        </w:fldChar>
      </w:r>
      <w:bookmarkStart w:id="5" w:name="文字1"/>
      <w:r>
        <w:rPr>
          <w:color w:val="4472C4" w:themeColor="accent1"/>
          <w:lang w:val="fr-FR"/>
          <w14:textFill>
            <w14:solidFill>
              <w14:schemeClr w14:val="accent1"/>
            </w14:solidFill>
          </w14:textFill>
        </w:rPr>
        <w:instrText xml:space="preserve"> FORMTEXT </w:instrText>
      </w:r>
      <w:r>
        <w:rPr>
          <w:color w:val="4472C4" w:themeColor="accent1"/>
          <w14:textFill>
            <w14:solidFill>
              <w14:schemeClr w14:val="accent1"/>
            </w14:solidFill>
          </w14:textFill>
        </w:rPr>
        <w:fldChar w:fldCharType="separate"/>
      </w:r>
      <w:r>
        <w:rPr>
          <w:color w:val="4472C4" w:themeColor="accent1"/>
          <w:lang w:val="fr-FR"/>
          <w14:textFill>
            <w14:solidFill>
              <w14:schemeClr w14:val="accent1"/>
            </w14:solidFill>
          </w14:textFill>
        </w:rPr>
        <w:t>34/T</w:t>
      </w:r>
      <w:r>
        <w:rPr>
          <w:color w:val="4472C4" w:themeColor="accent1"/>
          <w14:textFill>
            <w14:solidFill>
              <w14:schemeClr w14:val="accent1"/>
            </w14:solidFill>
          </w14:textFill>
        </w:rP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90490C8">
      <w:pPr>
        <w:pStyle w:val="197"/>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14:paraId="4D30A31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1"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14:paraId="7BAE299D">
      <w:pPr>
        <w:pStyle w:val="51"/>
        <w:framePr w:w="9639" w:h="6976" w:hRule="exact" w:hSpace="0" w:vSpace="0" w:wrap="around" w:hAnchor="page" w:y="6408"/>
        <w:jc w:val="center"/>
        <w:rPr>
          <w:rFonts w:ascii="黑体" w:hAnsi="黑体" w:eastAsia="黑体"/>
          <w:b w:val="0"/>
          <w:bCs w:val="0"/>
          <w:w w:val="100"/>
        </w:rPr>
      </w:pPr>
    </w:p>
    <w:p w14:paraId="6BC468CA">
      <w:pPr>
        <w:pStyle w:val="198"/>
        <w:framePr w:wrap="around"/>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电梯自行检测单位诚信管理规范</w:t>
      </w:r>
      <w:r>
        <w:fldChar w:fldCharType="end"/>
      </w:r>
      <w:bookmarkEnd w:id="9"/>
    </w:p>
    <w:p w14:paraId="12A3B462">
      <w:pPr>
        <w:framePr w:w="9639" w:h="6974" w:hRule="exact" w:wrap="around" w:vAnchor="page" w:hAnchor="page" w:x="1419" w:y="6408" w:anchorLock="1"/>
        <w:ind w:left="-1418"/>
      </w:pPr>
    </w:p>
    <w:p w14:paraId="26E0974C">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bookmarkStart w:id="11" w:name="OLE_LINK6"/>
      <w:r>
        <w:rPr>
          <w:rFonts w:hint="eastAsia" w:ascii="黑体" w:hAnsi="黑体" w:eastAsia="黑体"/>
          <w:szCs w:val="28"/>
          <w:lang w:val="en-US" w:eastAsia="zh-CN"/>
        </w:rPr>
        <w:t xml:space="preserve"> </w:t>
      </w:r>
      <w:r>
        <w:rPr>
          <w:rFonts w:hint="eastAsia" w:ascii="黑体" w:hAnsi="黑体" w:eastAsia="黑体"/>
          <w:szCs w:val="28"/>
        </w:rPr>
        <w:t xml:space="preserve">Integrity management standards for Elevator Testing Agencies </w:t>
      </w:r>
      <w:bookmarkEnd w:id="11"/>
      <w:r>
        <w:rPr>
          <w:rFonts w:ascii="黑体" w:hAnsi="黑体" w:eastAsia="黑体"/>
          <w:szCs w:val="28"/>
        </w:rPr>
        <w:t>    </w:t>
      </w:r>
      <w:r>
        <w:rPr>
          <w:rFonts w:ascii="黑体" w:hAnsi="黑体" w:eastAsia="黑体"/>
          <w:szCs w:val="28"/>
        </w:rPr>
        <w:fldChar w:fldCharType="end"/>
      </w:r>
      <w:bookmarkEnd w:id="10"/>
    </w:p>
    <w:p w14:paraId="2C9DB95B">
      <w:pPr>
        <w:framePr w:w="9639" w:h="6974" w:hRule="exact" w:wrap="around" w:vAnchor="page" w:hAnchor="page" w:x="1419" w:y="6408" w:anchorLock="1"/>
        <w:spacing w:line="760" w:lineRule="exact"/>
        <w:ind w:left="-1418"/>
      </w:pPr>
    </w:p>
    <w:p w14:paraId="53D0F2E2">
      <w:pPr>
        <w:pStyle w:val="126"/>
        <w:framePr w:w="9639" w:h="6974" w:hRule="exact" w:wrap="around" w:vAnchor="page" w:hAnchor="page" w:x="1419" w:y="6408" w:anchorLock="1"/>
        <w:textAlignment w:val="bottom"/>
        <w:rPr>
          <w:rFonts w:eastAsia="黑体"/>
          <w:szCs w:val="28"/>
        </w:rPr>
      </w:pPr>
    </w:p>
    <w:p w14:paraId="445D7FA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7A917457">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w:t>
      </w:r>
      <w:r>
        <w:rPr>
          <w:rFonts w:hint="eastAsia"/>
          <w:sz w:val="21"/>
          <w:szCs w:val="28"/>
        </w:rPr>
        <w:t>年</w:t>
      </w:r>
      <w:r>
        <w:rPr>
          <w:rFonts w:hint="eastAsia"/>
          <w:sz w:val="21"/>
          <w:szCs w:val="28"/>
          <w:lang w:val="en-US" w:eastAsia="zh-CN"/>
        </w:rPr>
        <w:t>6</w:t>
      </w:r>
      <w:r>
        <w:rPr>
          <w:rFonts w:hint="eastAsia"/>
          <w:sz w:val="21"/>
          <w:szCs w:val="28"/>
        </w:rPr>
        <w:t>月）</w:t>
      </w:r>
      <w:r>
        <w:rPr>
          <w:sz w:val="21"/>
          <w:szCs w:val="28"/>
        </w:rPr>
        <w:fldChar w:fldCharType="end"/>
      </w:r>
      <w:bookmarkEnd w:id="13"/>
    </w:p>
    <w:p w14:paraId="2740D4E3">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43636CA4">
      <w:pPr>
        <w:pStyle w:val="194"/>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315AE222">
      <w:pPr>
        <w:pStyle w:val="195"/>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68E3600F">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1"/>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9E4D31E">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14:paraId="0419DF2F">
      <w:pPr>
        <w:pStyle w:val="92"/>
        <w:spacing w:after="468"/>
      </w:pPr>
      <w:bookmarkStart w:id="22" w:name="BookMark1"/>
      <w:bookmarkStart w:id="23" w:name="_Toc161646994"/>
      <w:r>
        <w:rPr>
          <w:rFonts w:hint="eastAsia"/>
          <w:spacing w:val="320"/>
        </w:rPr>
        <w:t>目</w:t>
      </w:r>
      <w:r>
        <w:rPr>
          <w:rFonts w:hint="eastAsia"/>
        </w:rPr>
        <w:t>次</w:t>
      </w:r>
    </w:p>
    <w:p w14:paraId="38DEB497">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"_Toc161647032" </w:instrText>
      </w:r>
      <w:r>
        <w:fldChar w:fldCharType="separate"/>
      </w:r>
      <w:r>
        <w:rPr>
          <w:rStyle w:val="33"/>
          <w:rFonts w:hint="eastAsia"/>
        </w:rPr>
        <w:t>前言</w:t>
      </w:r>
      <w:r>
        <w:tab/>
      </w:r>
      <w:r>
        <w:fldChar w:fldCharType="begin"/>
      </w:r>
      <w:r>
        <w:instrText xml:space="preserve"> PAGEREF _Toc161647032 \h </w:instrText>
      </w:r>
      <w:r>
        <w:fldChar w:fldCharType="separate"/>
      </w:r>
      <w:r>
        <w:t>II</w:t>
      </w:r>
      <w:r>
        <w:fldChar w:fldCharType="end"/>
      </w:r>
      <w:r>
        <w:fldChar w:fldCharType="end"/>
      </w:r>
    </w:p>
    <w:p w14:paraId="6383110E">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"_Toc161647033" </w:instrText>
      </w:r>
      <w:r>
        <w:fldChar w:fldCharType="separate"/>
      </w:r>
      <w:r>
        <w:rPr>
          <w:rStyle w:val="33"/>
          <w:b/>
        </w:rPr>
        <w:t xml:space="preserve">1 </w:t>
      </w:r>
      <w:r>
        <w:rPr>
          <w:rStyle w:val="33"/>
          <w:rFonts w:hint="eastAsia"/>
        </w:rPr>
        <w:t xml:space="preserve"> 范围</w:t>
      </w:r>
      <w:r>
        <w:tab/>
      </w:r>
      <w:r>
        <w:fldChar w:fldCharType="begin"/>
      </w:r>
      <w:r>
        <w:instrText xml:space="preserve"> PAGEREF _Toc161647033 \h </w:instrText>
      </w:r>
      <w:r>
        <w:fldChar w:fldCharType="separate"/>
      </w:r>
      <w:r>
        <w:t>3</w:t>
      </w:r>
      <w:r>
        <w:fldChar w:fldCharType="end"/>
      </w:r>
      <w:r>
        <w:fldChar w:fldCharType="end"/>
      </w:r>
    </w:p>
    <w:p w14:paraId="241D9D42">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"_Toc161647034" </w:instrText>
      </w:r>
      <w:r>
        <w:fldChar w:fldCharType="separate"/>
      </w:r>
      <w:r>
        <w:rPr>
          <w:rStyle w:val="33"/>
          <w:b/>
        </w:rPr>
        <w:t xml:space="preserve">2 </w:t>
      </w:r>
      <w:r>
        <w:rPr>
          <w:rStyle w:val="33"/>
          <w:rFonts w:hint="eastAsia"/>
        </w:rPr>
        <w:t xml:space="preserve"> 规范性引用文件</w:t>
      </w:r>
      <w:r>
        <w:tab/>
      </w:r>
      <w:r>
        <w:fldChar w:fldCharType="begin"/>
      </w:r>
      <w:r>
        <w:instrText xml:space="preserve"> PAGEREF _Toc161647034 \h </w:instrText>
      </w:r>
      <w:r>
        <w:fldChar w:fldCharType="separate"/>
      </w:r>
      <w:r>
        <w:t>3</w:t>
      </w:r>
      <w:r>
        <w:fldChar w:fldCharType="end"/>
      </w:r>
      <w:r>
        <w:fldChar w:fldCharType="end"/>
      </w:r>
    </w:p>
    <w:p w14:paraId="57C30E6F">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"_Toc161647035" </w:instrText>
      </w:r>
      <w:r>
        <w:fldChar w:fldCharType="separate"/>
      </w:r>
      <w:r>
        <w:rPr>
          <w:rStyle w:val="33"/>
          <w:b/>
        </w:rPr>
        <w:t xml:space="preserve">3 </w:t>
      </w:r>
      <w:r>
        <w:rPr>
          <w:rStyle w:val="33"/>
          <w:rFonts w:hint="eastAsia"/>
        </w:rPr>
        <w:t xml:space="preserve"> 术语和定义</w:t>
      </w:r>
      <w:r>
        <w:tab/>
      </w:r>
      <w:r>
        <w:fldChar w:fldCharType="begin"/>
      </w:r>
      <w:r>
        <w:instrText xml:space="preserve"> PAGEREF _Toc161647035 \h </w:instrText>
      </w:r>
      <w:r>
        <w:fldChar w:fldCharType="separate"/>
      </w:r>
      <w:r>
        <w:t>3</w:t>
      </w:r>
      <w:r>
        <w:fldChar w:fldCharType="end"/>
      </w:r>
      <w:r>
        <w:fldChar w:fldCharType="end"/>
      </w:r>
    </w:p>
    <w:p w14:paraId="628FCBCB">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"_Toc161647036" </w:instrText>
      </w:r>
      <w:r>
        <w:fldChar w:fldCharType="separate"/>
      </w:r>
      <w:r>
        <w:rPr>
          <w:rStyle w:val="33"/>
          <w:b/>
        </w:rPr>
        <w:t xml:space="preserve">4 </w:t>
      </w:r>
      <w:r>
        <w:rPr>
          <w:rStyle w:val="33"/>
          <w:rFonts w:hint="eastAsia"/>
        </w:rPr>
        <w:t xml:space="preserve"> </w:t>
      </w:r>
      <w:r>
        <w:rPr>
          <w:rStyle w:val="33"/>
          <w:rFonts w:hint="eastAsia"/>
          <w:lang w:val="en-US" w:eastAsia="zh-CN"/>
        </w:rPr>
        <w:t>基本要求</w:t>
      </w:r>
      <w:r>
        <w:tab/>
      </w:r>
      <w:r>
        <w:fldChar w:fldCharType="begin"/>
      </w:r>
      <w:r>
        <w:instrText xml:space="preserve"> PAGEREF _Toc161647036 \h </w:instrText>
      </w:r>
      <w:r>
        <w:fldChar w:fldCharType="separate"/>
      </w:r>
      <w:r>
        <w:t>3</w:t>
      </w:r>
      <w:r>
        <w:fldChar w:fldCharType="end"/>
      </w:r>
      <w:r>
        <w:fldChar w:fldCharType="end"/>
      </w:r>
    </w:p>
    <w:p w14:paraId="636D9882">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"_Toc161647037" </w:instrText>
      </w:r>
      <w:r>
        <w:fldChar w:fldCharType="separate"/>
      </w:r>
      <w:r>
        <w:rPr>
          <w:rStyle w:val="33"/>
          <w:b/>
        </w:rPr>
        <w:t xml:space="preserve">5 </w:t>
      </w:r>
      <w:r>
        <w:rPr>
          <w:rStyle w:val="33"/>
          <w:rFonts w:hint="eastAsia"/>
        </w:rPr>
        <w:t xml:space="preserve"> </w:t>
      </w:r>
      <w:r>
        <w:rPr>
          <w:rStyle w:val="33"/>
          <w:rFonts w:hint="eastAsia"/>
          <w:lang w:val="en-US" w:eastAsia="zh-CN"/>
        </w:rPr>
        <w:t>诚信管理</w:t>
      </w:r>
      <w:r>
        <w:tab/>
      </w:r>
      <w:r>
        <w:fldChar w:fldCharType="begin"/>
      </w:r>
      <w:r>
        <w:instrText xml:space="preserve"> PAGEREF _Toc161647037 \h </w:instrText>
      </w:r>
      <w:r>
        <w:fldChar w:fldCharType="separate"/>
      </w:r>
      <w:r>
        <w:t>4</w:t>
      </w:r>
      <w:r>
        <w:fldChar w:fldCharType="end"/>
      </w:r>
      <w:r>
        <w:fldChar w:fldCharType="end"/>
      </w:r>
    </w:p>
    <w:p w14:paraId="4E9980F8">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"_Toc161647038" </w:instrText>
      </w:r>
      <w:r>
        <w:fldChar w:fldCharType="separate"/>
      </w:r>
      <w:r>
        <w:rPr>
          <w:rStyle w:val="33"/>
          <w:b/>
        </w:rPr>
        <w:t xml:space="preserve">6 </w:t>
      </w:r>
      <w:r>
        <w:rPr>
          <w:rStyle w:val="33"/>
          <w:rFonts w:hint="eastAsia"/>
        </w:rPr>
        <w:t xml:space="preserve"> </w:t>
      </w:r>
      <w:r>
        <w:rPr>
          <w:rStyle w:val="33"/>
          <w:rFonts w:hint="eastAsia"/>
          <w:lang w:val="en-US" w:eastAsia="zh-CN"/>
        </w:rPr>
        <w:t>诚信评价</w:t>
      </w:r>
      <w:r>
        <w:tab/>
      </w:r>
      <w:r>
        <w:fldChar w:fldCharType="begin"/>
      </w:r>
      <w:r>
        <w:instrText xml:space="preserve"> PAGEREF _Toc161647038 \h </w:instrText>
      </w:r>
      <w:r>
        <w:fldChar w:fldCharType="separate"/>
      </w:r>
      <w:r>
        <w:t>5</w:t>
      </w:r>
      <w:r>
        <w:fldChar w:fldCharType="end"/>
      </w:r>
      <w:r>
        <w:fldChar w:fldCharType="end"/>
      </w:r>
    </w:p>
    <w:p w14:paraId="689BF4AF">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"_Toc161647042" </w:instrText>
      </w:r>
      <w:r>
        <w:fldChar w:fldCharType="separate"/>
      </w:r>
      <w:r>
        <w:rPr>
          <w:rStyle w:val="33"/>
          <w:rFonts w:hint="eastAsia"/>
        </w:rPr>
        <w:t>附录A（</w:t>
      </w:r>
      <w:r>
        <w:rPr>
          <w:rStyle w:val="33"/>
          <w:rFonts w:hint="eastAsia"/>
          <w:lang w:val="en-US" w:eastAsia="zh-CN"/>
        </w:rPr>
        <w:t>规范</w:t>
      </w:r>
      <w:r>
        <w:rPr>
          <w:rStyle w:val="33"/>
          <w:rFonts w:hint="eastAsia"/>
        </w:rPr>
        <w:t>性）</w:t>
      </w:r>
      <w:r>
        <w:rPr>
          <w:rStyle w:val="33"/>
        </w:rPr>
        <w:t xml:space="preserve">  </w:t>
      </w:r>
      <w:r>
        <w:rPr>
          <w:rStyle w:val="33"/>
          <w:rFonts w:hint="eastAsia"/>
        </w:rPr>
        <w:t>诚信要素指标</w:t>
      </w:r>
      <w:r>
        <w:tab/>
      </w:r>
      <w:r>
        <w:fldChar w:fldCharType="begin"/>
      </w:r>
      <w:r>
        <w:instrText xml:space="preserve"> PAGEREF _Toc161647042 \h </w:instrText>
      </w:r>
      <w:r>
        <w:fldChar w:fldCharType="separate"/>
      </w:r>
      <w:r>
        <w:t>8</w:t>
      </w:r>
      <w:r>
        <w:fldChar w:fldCharType="end"/>
      </w:r>
      <w:r>
        <w:fldChar w:fldCharType="end"/>
      </w:r>
    </w:p>
    <w:p w14:paraId="13148186">
      <w:pPr>
        <w:pStyle w:val="20"/>
        <w:tabs>
          <w:tab w:val="right" w:leader="dot" w:pos="9344"/>
        </w:tabs>
      </w:pPr>
      <w:r>
        <w:fldChar w:fldCharType="begin"/>
      </w:r>
      <w:r>
        <w:instrText xml:space="preserve"> HYPERLINK \l "_Toc161647043" </w:instrText>
      </w:r>
      <w:r>
        <w:fldChar w:fldCharType="separate"/>
      </w:r>
      <w:r>
        <w:rPr>
          <w:rStyle w:val="33"/>
          <w:rFonts w:hint="eastAsia"/>
        </w:rPr>
        <w:t>附录B（资料性）</w:t>
      </w:r>
      <w:r>
        <w:rPr>
          <w:rStyle w:val="33"/>
        </w:rPr>
        <w:t xml:space="preserve">  </w:t>
      </w:r>
      <w:r>
        <w:rPr>
          <w:rStyle w:val="33"/>
          <w:rFonts w:hint="eastAsia"/>
          <w:lang w:val="en-US" w:eastAsia="zh-CN"/>
        </w:rPr>
        <w:t>电梯自行检测单位诚信评价分析报告（模板）</w:t>
      </w:r>
      <w:r>
        <w:tab/>
      </w:r>
      <w:r>
        <w:fldChar w:fldCharType="begin"/>
      </w:r>
      <w:r>
        <w:instrText xml:space="preserve"> PAGEREF _Toc161647043 \h </w:instrText>
      </w:r>
      <w:r>
        <w:fldChar w:fldCharType="separate"/>
      </w:r>
      <w:r>
        <w:t>9</w:t>
      </w:r>
      <w:r>
        <w:fldChar w:fldCharType="end"/>
      </w:r>
      <w:r>
        <w:fldChar w:fldCharType="end"/>
      </w:r>
    </w:p>
    <w:p w14:paraId="251DBB69">
      <w:pPr>
        <w:pStyle w:val="20"/>
        <w:tabs>
          <w:tab w:val="right" w:leader="dot" w:pos="9344"/>
        </w:tabs>
        <w:rPr>
          <w:rFonts w:asciiTheme="minorHAnsi" w:hAnsiTheme="minorHAnsi" w:eastAsiaTheme="minorEastAsia" w:cstheme="minorBidi"/>
          <w:szCs w:val="22"/>
        </w:rPr>
      </w:pPr>
      <w:r>
        <w:fldChar w:fldCharType="begin"/>
      </w:r>
      <w:r>
        <w:instrText xml:space="preserve"> HYPERLINK \l "_Toc161647044" </w:instrText>
      </w:r>
      <w:r>
        <w:fldChar w:fldCharType="separate"/>
      </w:r>
      <w:r>
        <w:rPr>
          <w:rStyle w:val="33"/>
          <w:rFonts w:hint="eastAsia"/>
        </w:rPr>
        <w:t>参考文献</w:t>
      </w:r>
      <w:r>
        <w:tab/>
      </w:r>
      <w:r>
        <w:fldChar w:fldCharType="begin"/>
      </w:r>
      <w:r>
        <w:instrText xml:space="preserve"> PAGEREF _Toc161647044 \h </w:instrText>
      </w:r>
      <w:r>
        <w:fldChar w:fldCharType="separate"/>
      </w:r>
      <w:r>
        <w:t>12</w:t>
      </w:r>
      <w:r>
        <w:fldChar w:fldCharType="end"/>
      </w:r>
      <w:r>
        <w:fldChar w:fldCharType="end"/>
      </w:r>
    </w:p>
    <w:p w14:paraId="18E4470B">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2"/>
    <w:p w14:paraId="05C2A57E">
      <w:pPr>
        <w:pStyle w:val="90"/>
        <w:spacing w:after="468"/>
      </w:pPr>
      <w:bookmarkStart w:id="24" w:name="_Toc161647032"/>
      <w:bookmarkStart w:id="25" w:name="BookMark2"/>
      <w:r>
        <w:rPr>
          <w:spacing w:val="320"/>
        </w:rPr>
        <w:t>前</w:t>
      </w:r>
      <w:r>
        <w:t>言</w:t>
      </w:r>
      <w:bookmarkEnd w:id="23"/>
      <w:bookmarkEnd w:id="24"/>
    </w:p>
    <w:p w14:paraId="55D94015">
      <w:pPr>
        <w:pStyle w:val="57"/>
      </w:pPr>
      <w:r>
        <w:rPr>
          <w:rFonts w:hint="eastAsia"/>
        </w:rPr>
        <w:t>本文件按照GB/T 1.1—2020《标准化工作导则  第1部分：标准化文件的结构和起草规则》的规定起草。</w:t>
      </w:r>
    </w:p>
    <w:p w14:paraId="47FB935D">
      <w:pPr>
        <w:pStyle w:val="57"/>
      </w:pPr>
      <w:r>
        <w:rPr>
          <w:rFonts w:hint="eastAsia"/>
        </w:rPr>
        <w:t>请注意本文件的某些内容可能涉及专利。本文件的发布机构不承担识别专利的责任。</w:t>
      </w:r>
    </w:p>
    <w:p w14:paraId="63D6D0F9">
      <w:pPr>
        <w:pStyle w:val="57"/>
      </w:pPr>
      <w:r>
        <w:rPr>
          <w:rFonts w:hint="eastAsia"/>
        </w:rPr>
        <w:t>本文件由安徽省特种设备检测院提出。</w:t>
      </w:r>
    </w:p>
    <w:p w14:paraId="6DC5A975">
      <w:pPr>
        <w:pStyle w:val="57"/>
      </w:pPr>
      <w:r>
        <w:rPr>
          <w:rFonts w:hint="eastAsia"/>
        </w:rPr>
        <w:t>本文件由安徽省市场监督管理局归口。</w:t>
      </w:r>
    </w:p>
    <w:p w14:paraId="6BF253FA">
      <w:pPr>
        <w:pStyle w:val="57"/>
        <w:rPr>
          <w:rFonts w:hint="default" w:eastAsia="宋体"/>
          <w:lang w:val="en-US" w:eastAsia="zh-CN"/>
        </w:rPr>
      </w:pPr>
      <w:r>
        <w:rPr>
          <w:rFonts w:hint="eastAsia"/>
        </w:rPr>
        <w:t>本文件起草单位：</w:t>
      </w:r>
      <w:r>
        <w:rPr>
          <w:rFonts w:hint="eastAsia"/>
          <w:lang w:val="en-US" w:eastAsia="zh-CN"/>
        </w:rPr>
        <w:t>安徽省特种设备检测院  六安市市场监督管理局</w:t>
      </w:r>
    </w:p>
    <w:p w14:paraId="47A71010">
      <w:pPr>
        <w:pStyle w:val="57"/>
        <w:rPr>
          <w:rFonts w:hint="default" w:eastAsia="宋体"/>
          <w:lang w:val="en-US" w:eastAsia="zh-CN"/>
        </w:rPr>
      </w:pPr>
      <w:r>
        <w:rPr>
          <w:rFonts w:hint="eastAsia"/>
        </w:rPr>
        <w:t>本文件主要起草人：</w:t>
      </w:r>
      <w:r>
        <w:rPr>
          <w:rFonts w:hint="eastAsia"/>
          <w:lang w:val="en-US" w:eastAsia="zh-CN"/>
        </w:rPr>
        <w:t>靳松、王建明、王俊龙、易晓兰、许炎、王波、刘畅、许林、李木、梁雨萌</w:t>
      </w:r>
    </w:p>
    <w:p w14:paraId="2AE0016E">
      <w:pPr>
        <w:pStyle w:val="57"/>
      </w:pPr>
    </w:p>
    <w:p w14:paraId="6D443921">
      <w:pPr>
        <w:pStyle w:val="57"/>
        <w:sectPr>
          <w:pgSz w:w="11906" w:h="16838"/>
          <w:pgMar w:top="1928" w:right="1134" w:bottom="1134" w:left="1134" w:header="1418" w:footer="1134" w:gutter="284"/>
          <w:pgNumType w:fmt="upperRoman"/>
          <w:cols w:space="425" w:num="1"/>
          <w:formProt w:val="0"/>
          <w:docGrid w:type="lines" w:linePitch="312" w:charSpace="0"/>
        </w:sectPr>
      </w:pPr>
    </w:p>
    <w:bookmarkEnd w:id="25"/>
    <w:p w14:paraId="5491B510">
      <w:pPr>
        <w:spacing w:line="20" w:lineRule="exact"/>
        <w:jc w:val="center"/>
        <w:rPr>
          <w:rFonts w:ascii="黑体" w:hAnsi="黑体" w:eastAsia="黑体"/>
          <w:sz w:val="32"/>
          <w:szCs w:val="32"/>
        </w:rPr>
      </w:pPr>
      <w:bookmarkStart w:id="26" w:name="BookMark4"/>
    </w:p>
    <w:p w14:paraId="74DBCE3D">
      <w:pPr>
        <w:spacing w:line="20" w:lineRule="exact"/>
        <w:jc w:val="center"/>
        <w:rPr>
          <w:rFonts w:ascii="黑体" w:hAnsi="黑体" w:eastAsia="黑体"/>
          <w:sz w:val="32"/>
          <w:szCs w:val="32"/>
        </w:rPr>
      </w:pPr>
    </w:p>
    <w:sdt>
      <w:sdtPr>
        <w:tag w:val="NEW_STAND_NAME"/>
        <w:id w:val="595910757"/>
        <w:lock w:val="sdtLocked"/>
        <w:placeholder>
          <w:docPart w:val="E3C9702AC40E4A518EDE03F9E6A8E69F"/>
        </w:placeholder>
      </w:sdtPr>
      <w:sdtContent>
        <w:p w14:paraId="4DF2D66F">
          <w:pPr>
            <w:pStyle w:val="178"/>
            <w:bidi w:val="0"/>
            <w:spacing w:before="4" w:beforeLines="1" w:after="687" w:afterLines="220"/>
          </w:pPr>
          <w:bookmarkStart w:id="27" w:name="NEW_STAND_NAME"/>
          <w:r>
            <w:rPr>
              <w:rFonts w:hint="eastAsia"/>
              <w:lang w:eastAsia="zh-CN"/>
            </w:rPr>
            <w:t>电梯自行检测单位诚信管理规范</w:t>
          </w:r>
        </w:p>
      </w:sdtContent>
    </w:sdt>
    <w:bookmarkEnd w:id="27"/>
    <w:p w14:paraId="1480D5C3">
      <w:pPr>
        <w:pStyle w:val="105"/>
        <w:spacing w:before="312" w:after="312"/>
      </w:pPr>
      <w:bookmarkStart w:id="28" w:name="_Toc161647033"/>
      <w:bookmarkStart w:id="29" w:name="_Toc24884211"/>
      <w:bookmarkStart w:id="30" w:name="_Toc161646995"/>
      <w:bookmarkStart w:id="31" w:name="_Toc97191423"/>
      <w:bookmarkStart w:id="32" w:name="_Toc26718930"/>
      <w:bookmarkStart w:id="33" w:name="_Toc17233325"/>
      <w:bookmarkStart w:id="34" w:name="_Toc26648465"/>
      <w:bookmarkStart w:id="35" w:name="_Toc17233333"/>
      <w:bookmarkStart w:id="36" w:name="_Toc26986771"/>
      <w:bookmarkStart w:id="37" w:name="_Toc24884218"/>
      <w:bookmarkStart w:id="38" w:name="_Toc26986530"/>
      <w:r>
        <w:rPr>
          <w:rFonts w:hint="eastAsia"/>
        </w:rPr>
        <w:t>范围</w:t>
      </w:r>
      <w:bookmarkEnd w:id="28"/>
      <w:bookmarkEnd w:id="29"/>
      <w:bookmarkEnd w:id="30"/>
      <w:bookmarkEnd w:id="31"/>
      <w:bookmarkEnd w:id="32"/>
      <w:bookmarkEnd w:id="33"/>
      <w:bookmarkEnd w:id="34"/>
      <w:bookmarkEnd w:id="35"/>
      <w:bookmarkEnd w:id="36"/>
      <w:bookmarkEnd w:id="37"/>
      <w:bookmarkEnd w:id="38"/>
    </w:p>
    <w:p w14:paraId="58A5C85C">
      <w:pPr>
        <w:pStyle w:val="57"/>
      </w:pPr>
      <w:bookmarkStart w:id="39" w:name="_Toc17233334"/>
      <w:bookmarkStart w:id="40" w:name="_Toc17233326"/>
      <w:bookmarkStart w:id="41" w:name="_Toc24884219"/>
      <w:bookmarkStart w:id="42" w:name="_Toc24884212"/>
      <w:bookmarkStart w:id="43" w:name="_Toc26648466"/>
      <w:r>
        <w:rPr>
          <w:rFonts w:hint="eastAsia"/>
        </w:rPr>
        <w:t>本</w:t>
      </w:r>
      <w:r>
        <w:rPr>
          <w:rFonts w:hint="eastAsia"/>
          <w:lang w:val="en-US" w:eastAsia="zh-CN"/>
        </w:rPr>
        <w:t>文件</w:t>
      </w:r>
      <w:r>
        <w:rPr>
          <w:rFonts w:hint="eastAsia"/>
        </w:rPr>
        <w:t>规定了</w:t>
      </w:r>
      <w:r>
        <w:rPr>
          <w:rFonts w:hint="eastAsia"/>
          <w:lang w:val="en-US" w:eastAsia="zh-CN"/>
        </w:rPr>
        <w:t>基本要求</w:t>
      </w:r>
      <w:r>
        <w:rPr>
          <w:rFonts w:hint="eastAsia"/>
        </w:rPr>
        <w:t>、</w:t>
      </w:r>
      <w:r>
        <w:rPr>
          <w:rFonts w:hint="eastAsia"/>
          <w:lang w:val="en-US" w:eastAsia="zh-CN"/>
        </w:rPr>
        <w:t>诚信管理、诚信评价</w:t>
      </w:r>
      <w:r>
        <w:rPr>
          <w:rFonts w:hint="eastAsia"/>
        </w:rPr>
        <w:t>等方面</w:t>
      </w:r>
      <w:r>
        <w:t>的</w:t>
      </w:r>
      <w:r>
        <w:rPr>
          <w:rFonts w:hint="eastAsia"/>
        </w:rPr>
        <w:t>内容。</w:t>
      </w:r>
    </w:p>
    <w:p w14:paraId="0AE5E57D">
      <w:pPr>
        <w:pStyle w:val="58"/>
        <w:bidi w:val="0"/>
      </w:pPr>
      <w:r>
        <w:rPr>
          <w:rFonts w:hint="eastAsia"/>
        </w:rPr>
        <w:t>本</w:t>
      </w:r>
      <w:r>
        <w:rPr>
          <w:rFonts w:hint="eastAsia"/>
          <w:lang w:val="en-US" w:eastAsia="zh-CN"/>
        </w:rPr>
        <w:t>文件</w:t>
      </w:r>
      <w:r>
        <w:rPr>
          <w:rFonts w:hint="eastAsia"/>
        </w:rPr>
        <w:t>适用于电梯自行检测单位</w:t>
      </w:r>
      <w:r>
        <w:rPr>
          <w:rFonts w:hint="eastAsia"/>
          <w:lang w:val="en-US" w:eastAsia="zh-CN"/>
        </w:rPr>
        <w:t>加强诚信管理，规范诚信从业行为；也适用于受委托的第三方机构对电梯自行检测单位开展诚信等级评价工作。</w:t>
      </w:r>
    </w:p>
    <w:p w14:paraId="57236F11">
      <w:pPr>
        <w:pStyle w:val="105"/>
        <w:spacing w:before="312" w:after="312"/>
      </w:pPr>
      <w:bookmarkStart w:id="44" w:name="_Toc97191424"/>
      <w:bookmarkStart w:id="45" w:name="_Toc26718931"/>
      <w:bookmarkStart w:id="46" w:name="_Toc26986531"/>
      <w:bookmarkStart w:id="47" w:name="_Toc161646996"/>
      <w:bookmarkStart w:id="48" w:name="_Toc161647034"/>
      <w:bookmarkStart w:id="49" w:name="_Toc26986772"/>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BC36A770BA6D4F66B3D14BD12B0D531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78EA621">
          <w:pPr>
            <w:pStyle w:val="57"/>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56EF39">
      <w:pPr>
        <w:pStyle w:val="57"/>
      </w:pPr>
      <w:r>
        <w:rPr>
          <w:rFonts w:hint="eastAsia"/>
        </w:rPr>
        <w:t>TSG Z7002 特种设备检测机构核准规则</w:t>
      </w:r>
    </w:p>
    <w:p w14:paraId="32428EBF">
      <w:pPr>
        <w:pStyle w:val="57"/>
        <w:rPr>
          <w:rFonts w:hint="eastAsia"/>
        </w:rPr>
      </w:pPr>
      <w:r>
        <w:rPr>
          <w:rFonts w:hint="eastAsia"/>
        </w:rPr>
        <w:t>TSG T7008 电梯自行检测规则</w:t>
      </w:r>
    </w:p>
    <w:p w14:paraId="46E993E0">
      <w:pPr>
        <w:pStyle w:val="57"/>
        <w:rPr>
          <w:rFonts w:hint="eastAsia" w:eastAsia="宋体"/>
          <w:lang w:val="en-US" w:eastAsia="zh-CN"/>
        </w:rPr>
      </w:pPr>
      <w:r>
        <w:rPr>
          <w:rFonts w:hint="eastAsia"/>
        </w:rPr>
        <w:t>TSG Z8002</w:t>
      </w:r>
      <w:r>
        <w:rPr>
          <w:rFonts w:hint="eastAsia"/>
          <w:lang w:val="en-US" w:eastAsia="zh-CN"/>
        </w:rPr>
        <w:t xml:space="preserve"> </w:t>
      </w:r>
      <w:r>
        <w:rPr>
          <w:rFonts w:hint="eastAsia"/>
        </w:rPr>
        <w:t>特种设备检验人员考核规则</w:t>
      </w:r>
    </w:p>
    <w:p w14:paraId="0EDAC358">
      <w:pPr>
        <w:pStyle w:val="57"/>
        <w:rPr>
          <w:rFonts w:hint="default"/>
          <w:lang w:val="en-US" w:eastAsia="zh-CN"/>
        </w:rPr>
      </w:pPr>
      <w:r>
        <w:rPr>
          <w:rFonts w:hint="eastAsia"/>
          <w:lang w:val="en-US" w:eastAsia="zh-CN"/>
        </w:rPr>
        <w:t>GB/B 31880 检验检测机构诚信基本要求</w:t>
      </w:r>
    </w:p>
    <w:p w14:paraId="18A2511E">
      <w:pPr>
        <w:pStyle w:val="105"/>
        <w:spacing w:before="312" w:after="312"/>
      </w:pPr>
      <w:bookmarkStart w:id="50" w:name="_Toc161647035"/>
      <w:bookmarkStart w:id="51" w:name="_Toc161646997"/>
      <w:bookmarkStart w:id="52" w:name="_Toc97191425"/>
      <w:r>
        <w:rPr>
          <w:rFonts w:hint="eastAsia"/>
        </w:rPr>
        <w:t>术语和</w:t>
      </w:r>
      <w:r>
        <w:t>定义</w:t>
      </w:r>
      <w:bookmarkEnd w:id="50"/>
      <w:bookmarkEnd w:id="51"/>
    </w:p>
    <w:p w14:paraId="396E094D">
      <w:pPr>
        <w:pStyle w:val="57"/>
      </w:pPr>
      <w:r>
        <w:rPr>
          <w:rFonts w:hint="eastAsia"/>
          <w:lang w:val="en-US" w:eastAsia="zh-CN"/>
        </w:rPr>
        <w:t>TSG T7008、GB/T 31880 界定的以及</w:t>
      </w:r>
      <w:r>
        <w:rPr>
          <w:rFonts w:hint="eastAsia"/>
        </w:rPr>
        <w:t>下列术语</w:t>
      </w:r>
      <w:r>
        <w:t>和定义</w:t>
      </w:r>
      <w:r>
        <w:rPr>
          <w:rFonts w:hint="eastAsia"/>
        </w:rPr>
        <w:t>适用</w:t>
      </w:r>
      <w:r>
        <w:t>于本文件</w:t>
      </w:r>
      <w:r>
        <w:rPr>
          <w:rFonts w:hint="eastAsia"/>
        </w:rPr>
        <w:t>。</w:t>
      </w:r>
    </w:p>
    <w:p w14:paraId="264E25F7">
      <w:pPr>
        <w:pStyle w:val="224"/>
      </w:pPr>
    </w:p>
    <w:p w14:paraId="6349AF57">
      <w:pPr>
        <w:pStyle w:val="224"/>
        <w:numPr>
          <w:ilvl w:val="0"/>
          <w:numId w:val="0"/>
        </w:numPr>
        <w:rPr>
          <w:rFonts w:ascii="黑体" w:hAnsi="黑体" w:eastAsia="黑体"/>
        </w:rPr>
      </w:pPr>
      <w:r>
        <w:rPr>
          <w:rFonts w:hint="eastAsia" w:ascii="黑体" w:hAnsi="黑体" w:eastAsia="黑体"/>
          <w:lang w:val="en-US" w:eastAsia="zh-CN"/>
        </w:rPr>
        <w:t>电梯</w:t>
      </w:r>
      <w:r>
        <w:rPr>
          <w:rFonts w:hint="eastAsia" w:ascii="黑体" w:hAnsi="黑体" w:eastAsia="黑体"/>
        </w:rPr>
        <w:t>自行检测单位</w:t>
      </w:r>
      <w:r>
        <w:rPr>
          <w:rFonts w:hint="eastAsia" w:ascii="黑体" w:hAnsi="黑体" w:eastAsia="黑体"/>
          <w:lang w:val="en-US" w:eastAsia="zh-CN"/>
        </w:rPr>
        <w:t>e</w:t>
      </w:r>
      <w:r>
        <w:rPr>
          <w:rFonts w:ascii="宋体" w:hAnsi="宋体" w:eastAsia="宋体" w:cs="宋体"/>
          <w:sz w:val="24"/>
          <w:szCs w:val="24"/>
        </w:rPr>
        <w:t xml:space="preserve">levator </w:t>
      </w:r>
      <w:r>
        <w:rPr>
          <w:rFonts w:hint="eastAsia" w:hAnsi="宋体" w:cs="宋体"/>
          <w:sz w:val="24"/>
          <w:szCs w:val="24"/>
          <w:lang w:val="en-US" w:eastAsia="zh-CN"/>
        </w:rPr>
        <w:t>t</w:t>
      </w:r>
      <w:r>
        <w:rPr>
          <w:rFonts w:ascii="宋体" w:hAnsi="宋体" w:eastAsia="宋体" w:cs="宋体"/>
          <w:sz w:val="24"/>
          <w:szCs w:val="24"/>
        </w:rPr>
        <w:t xml:space="preserve">esting </w:t>
      </w:r>
      <w:r>
        <w:rPr>
          <w:rFonts w:hint="eastAsia" w:hAnsi="宋体" w:cs="宋体"/>
          <w:sz w:val="24"/>
          <w:szCs w:val="24"/>
          <w:lang w:val="en-US" w:eastAsia="zh-CN"/>
        </w:rPr>
        <w:t>a</w:t>
      </w:r>
      <w:r>
        <w:rPr>
          <w:rFonts w:ascii="宋体" w:hAnsi="宋体" w:eastAsia="宋体" w:cs="宋体"/>
          <w:sz w:val="24"/>
          <w:szCs w:val="24"/>
        </w:rPr>
        <w:t xml:space="preserve">gencies by the </w:t>
      </w:r>
      <w:r>
        <w:rPr>
          <w:rFonts w:hint="eastAsia" w:hAnsi="宋体" w:cs="宋体"/>
          <w:sz w:val="24"/>
          <w:szCs w:val="24"/>
          <w:lang w:val="en-US" w:eastAsia="zh-CN"/>
        </w:rPr>
        <w:t>o</w:t>
      </w:r>
      <w:r>
        <w:rPr>
          <w:rFonts w:ascii="宋体" w:hAnsi="宋体" w:eastAsia="宋体" w:cs="宋体"/>
          <w:sz w:val="24"/>
          <w:szCs w:val="24"/>
        </w:rPr>
        <w:t>wner</w:t>
      </w:r>
    </w:p>
    <w:p w14:paraId="2833FB1D">
      <w:pPr>
        <w:pStyle w:val="57"/>
        <w:rPr>
          <w:rFonts w:hint="default" w:eastAsia="宋体"/>
          <w:lang w:val="en-US" w:eastAsia="zh-CN"/>
        </w:rPr>
      </w:pPr>
      <w:r>
        <w:rPr>
          <w:rFonts w:hint="eastAsia"/>
        </w:rPr>
        <w:t>开展</w:t>
      </w:r>
      <w:r>
        <w:t>电梯检测的单位，包括</w:t>
      </w:r>
      <w:r>
        <w:rPr>
          <w:rFonts w:hint="eastAsia"/>
        </w:rPr>
        <w:t>对本单位使用管理的电梯实施自行检测的使用单位、受使用单位委托，对本单位维护保养的电梯实施自行检测的维护保养单位和受使用单位委托实施电梯自行检测的经核准的特种设备检测、检验机构等。</w:t>
      </w:r>
      <w:r>
        <w:rPr>
          <w:rFonts w:hint="eastAsia"/>
          <w:lang w:val="en-US" w:eastAsia="zh-CN"/>
        </w:rPr>
        <w:t>[来源：TSG T7008-2023,1.3,有修改]</w:t>
      </w:r>
    </w:p>
    <w:p w14:paraId="54177A8B">
      <w:pPr>
        <w:pStyle w:val="224"/>
      </w:pPr>
    </w:p>
    <w:p w14:paraId="47690A79">
      <w:pPr>
        <w:pStyle w:val="224"/>
        <w:numPr>
          <w:ilvl w:val="0"/>
          <w:numId w:val="0"/>
        </w:numPr>
        <w:rPr>
          <w:rFonts w:hint="default" w:ascii="黑体" w:hAnsi="黑体" w:eastAsia="黑体"/>
          <w:lang w:val="en-US" w:eastAsia="zh-CN"/>
        </w:rPr>
      </w:pPr>
      <w:r>
        <w:rPr>
          <w:rFonts w:hint="eastAsia" w:ascii="黑体" w:hAnsi="黑体" w:eastAsia="黑体"/>
        </w:rPr>
        <w:t>诚信</w:t>
      </w:r>
      <w:r>
        <w:rPr>
          <w:rFonts w:hint="eastAsia" w:ascii="黑体" w:hAnsi="黑体" w:eastAsia="黑体"/>
          <w:lang w:val="en-US" w:eastAsia="zh-CN"/>
        </w:rPr>
        <w:t>integrity</w:t>
      </w:r>
    </w:p>
    <w:p w14:paraId="37586E19">
      <w:pPr>
        <w:pStyle w:val="57"/>
      </w:pPr>
      <w:r>
        <w:rPr>
          <w:rFonts w:hint="eastAsia"/>
        </w:rPr>
        <w:t>个人和（或）组织诚实守信的行为与规范，包括在从业活动中承诺与行为的一致性。</w:t>
      </w:r>
    </w:p>
    <w:p w14:paraId="00CE5FE0">
      <w:pPr>
        <w:pStyle w:val="224"/>
      </w:pPr>
    </w:p>
    <w:p w14:paraId="176B0BD9">
      <w:pPr>
        <w:pStyle w:val="224"/>
        <w:numPr>
          <w:ilvl w:val="0"/>
          <w:numId w:val="0"/>
        </w:numPr>
        <w:rPr>
          <w:rFonts w:hint="eastAsia" w:ascii="黑体" w:hAnsi="黑体" w:eastAsia="黑体"/>
          <w:lang w:val="en-US" w:eastAsia="zh-CN"/>
        </w:rPr>
      </w:pPr>
      <w:r>
        <w:rPr>
          <w:rFonts w:hint="eastAsia" w:ascii="黑体" w:hAnsi="黑体" w:eastAsia="黑体"/>
          <w:lang w:val="en-US" w:eastAsia="zh-CN"/>
        </w:rPr>
        <w:t>诚信要素integrity elements</w:t>
      </w:r>
    </w:p>
    <w:p w14:paraId="762256C9">
      <w:pPr>
        <w:pStyle w:val="57"/>
        <w:rPr>
          <w:rFonts w:hint="default"/>
          <w:lang w:val="en-US" w:eastAsia="zh-CN"/>
        </w:rPr>
      </w:pPr>
      <w:r>
        <w:rPr>
          <w:rFonts w:hint="default"/>
          <w:lang w:val="en-US" w:eastAsia="zh-CN"/>
        </w:rPr>
        <w:t>影响诚信的</w:t>
      </w:r>
      <w:r>
        <w:rPr>
          <w:rFonts w:hint="eastAsia"/>
          <w:lang w:val="en-US" w:eastAsia="zh-CN"/>
        </w:rPr>
        <w:t>基本</w:t>
      </w:r>
      <w:r>
        <w:rPr>
          <w:rFonts w:hint="default"/>
          <w:lang w:val="en-US" w:eastAsia="zh-CN"/>
        </w:rPr>
        <w:t>因素</w:t>
      </w:r>
      <w:r>
        <w:rPr>
          <w:rFonts w:hint="eastAsia"/>
          <w:lang w:val="en-US" w:eastAsia="zh-CN"/>
        </w:rPr>
        <w:t>。</w:t>
      </w:r>
    </w:p>
    <w:bookmarkEnd w:id="52"/>
    <w:p w14:paraId="7088B422">
      <w:pPr>
        <w:pStyle w:val="105"/>
        <w:numPr>
          <w:ilvl w:val="1"/>
          <w:numId w:val="0"/>
        </w:numPr>
        <w:spacing w:before="312" w:after="312"/>
        <w:ind w:leftChars="0"/>
        <w:rPr>
          <w:rFonts w:hint="default" w:cs="Times New Roman"/>
          <w:b w:val="0"/>
          <w:sz w:val="21"/>
          <w:lang w:val="en-US" w:eastAsia="zh-CN" w:bidi="ar-SA"/>
        </w:rPr>
      </w:pPr>
      <w:r>
        <w:rPr>
          <w:rFonts w:hint="eastAsia"/>
          <w:lang w:val="en-US" w:eastAsia="zh-CN"/>
        </w:rPr>
        <w:t>4 基本要求</w:t>
      </w:r>
    </w:p>
    <w:p w14:paraId="376D2844">
      <w:pPr>
        <w:pStyle w:val="106"/>
        <w:numPr>
          <w:ilvl w:val="2"/>
          <w:numId w:val="0"/>
        </w:numPr>
        <w:spacing w:before="156" w:after="156"/>
        <w:ind w:leftChars="0"/>
        <w:rPr>
          <w:rFonts w:hint="default"/>
          <w:lang w:val="en-US"/>
        </w:rPr>
      </w:pPr>
      <w:bookmarkStart w:id="53" w:name="_Toc26986532"/>
      <w:bookmarkEnd w:id="53"/>
      <w:bookmarkStart w:id="54" w:name="_Toc161646999"/>
      <w:r>
        <w:rPr>
          <w:rFonts w:hint="eastAsia"/>
          <w:lang w:val="en-US" w:eastAsia="zh-CN"/>
        </w:rPr>
        <w:t>4.1</w:t>
      </w:r>
      <w:bookmarkEnd w:id="54"/>
      <w:r>
        <w:rPr>
          <w:rFonts w:hint="eastAsia"/>
          <w:lang w:val="en-US" w:eastAsia="zh-CN"/>
        </w:rPr>
        <w:t>资格条件</w:t>
      </w:r>
    </w:p>
    <w:p w14:paraId="29D51226">
      <w:pPr>
        <w:pStyle w:val="175"/>
        <w:numPr>
          <w:ilvl w:val="0"/>
          <w:numId w:val="0"/>
        </w:numPr>
        <w:rPr>
          <w:rFonts w:hint="default"/>
          <w:lang w:val="en-US" w:eastAsia="zh-CN"/>
        </w:rPr>
      </w:pPr>
      <w:r>
        <w:rPr>
          <w:rFonts w:hint="eastAsia"/>
          <w:lang w:val="en-US" w:eastAsia="zh-CN"/>
        </w:rPr>
        <w:t xml:space="preserve">4.1.1 </w:t>
      </w:r>
      <w:r>
        <w:rPr>
          <w:rFonts w:hint="eastAsia"/>
        </w:rPr>
        <w:t>具有法人资格</w:t>
      </w:r>
      <w:r>
        <w:rPr>
          <w:rFonts w:hint="eastAsia"/>
          <w:lang w:val="en-US" w:eastAsia="zh-CN"/>
        </w:rPr>
        <w:t>和固定办公场所</w:t>
      </w:r>
      <w:r>
        <w:rPr>
          <w:rFonts w:hint="eastAsia"/>
        </w:rPr>
        <w:t>，具备承担相应法律责任。</w:t>
      </w:r>
    </w:p>
    <w:p w14:paraId="7AF6A1E1">
      <w:pPr>
        <w:pStyle w:val="175"/>
        <w:numPr>
          <w:ilvl w:val="0"/>
          <w:numId w:val="0"/>
        </w:numPr>
        <w:rPr>
          <w:rFonts w:hint="eastAsia"/>
          <w:lang w:val="en-US" w:eastAsia="zh-CN"/>
        </w:rPr>
      </w:pPr>
      <w:r>
        <w:rPr>
          <w:rFonts w:hint="eastAsia"/>
          <w:lang w:val="en-US" w:eastAsia="zh-CN"/>
        </w:rPr>
        <w:t>4.1.2 满足TSG T7008电梯自行检测规则2.2的要求。其中，电梯使用单位还应符合《特种设备使用单位落实使用安全安全主体责任监督管理规定》（国家市场监督管理总局令第74号）第八十五条的规定。</w:t>
      </w:r>
    </w:p>
    <w:p w14:paraId="443775BF">
      <w:pPr>
        <w:pStyle w:val="175"/>
        <w:numPr>
          <w:ilvl w:val="0"/>
          <w:numId w:val="0"/>
        </w:numPr>
        <w:rPr>
          <w:rFonts w:hint="eastAsia" w:eastAsia="宋体"/>
          <w:lang w:eastAsia="zh-CN"/>
        </w:rPr>
      </w:pPr>
      <w:r>
        <w:rPr>
          <w:rFonts w:hint="eastAsia"/>
          <w:lang w:val="en-US" w:eastAsia="zh-CN"/>
        </w:rPr>
        <w:t>4.1.3 依据TSG Z7002</w:t>
      </w:r>
      <w:r>
        <w:rPr>
          <w:rFonts w:hint="eastAsia"/>
        </w:rPr>
        <w:t>特种设备检测机构核准规则</w:t>
      </w:r>
      <w:r>
        <w:rPr>
          <w:rFonts w:hint="eastAsia"/>
          <w:lang w:val="en-US" w:eastAsia="zh-CN"/>
        </w:rPr>
        <w:t>附件D，</w:t>
      </w:r>
      <w:r>
        <w:rPr>
          <w:rFonts w:hint="eastAsia"/>
        </w:rPr>
        <w:t>结合承担的检测项目特性和本单位实际情况，建立与检测活动和自身特点相适应的质量管理体系</w:t>
      </w:r>
      <w:r>
        <w:rPr>
          <w:rFonts w:hint="eastAsia"/>
          <w:lang w:eastAsia="zh-CN"/>
        </w:rPr>
        <w:t>。</w:t>
      </w:r>
    </w:p>
    <w:p w14:paraId="062E8284">
      <w:pPr>
        <w:pStyle w:val="175"/>
        <w:numPr>
          <w:ilvl w:val="0"/>
          <w:numId w:val="0"/>
        </w:numPr>
        <w:rPr>
          <w:rFonts w:hint="eastAsia"/>
        </w:rPr>
      </w:pPr>
      <w:r>
        <w:rPr>
          <w:rFonts w:hint="eastAsia"/>
          <w:lang w:val="en-US" w:eastAsia="zh-CN"/>
        </w:rPr>
        <w:t>4.1.4 满足</w:t>
      </w:r>
      <w:r>
        <w:rPr>
          <w:rFonts w:hint="eastAsia"/>
        </w:rPr>
        <w:t>TSG Z8002</w:t>
      </w:r>
      <w:bookmarkStart w:id="55" w:name="OLE_LINK2"/>
      <w:r>
        <w:rPr>
          <w:rFonts w:hint="eastAsia"/>
        </w:rPr>
        <w:t>特种设备检验人员考核规则</w:t>
      </w:r>
      <w:bookmarkEnd w:id="55"/>
      <w:r>
        <w:rPr>
          <w:rFonts w:hint="eastAsia"/>
        </w:rPr>
        <w:t>1.3、2.2、2.3</w:t>
      </w:r>
      <w:r>
        <w:rPr>
          <w:rFonts w:hint="eastAsia"/>
          <w:lang w:eastAsia="zh-CN"/>
        </w:rPr>
        <w:t>的</w:t>
      </w:r>
      <w:r>
        <w:rPr>
          <w:rFonts w:hint="eastAsia"/>
        </w:rPr>
        <w:t>要求。</w:t>
      </w:r>
    </w:p>
    <w:p w14:paraId="566291F9">
      <w:pPr>
        <w:pStyle w:val="175"/>
        <w:numPr>
          <w:ilvl w:val="0"/>
          <w:numId w:val="0"/>
        </w:numPr>
      </w:pPr>
      <w:r>
        <w:rPr>
          <w:rFonts w:hint="eastAsia"/>
          <w:lang w:val="en-US" w:eastAsia="zh-CN"/>
        </w:rPr>
        <w:t xml:space="preserve">4.1.5 </w:t>
      </w:r>
      <w:r>
        <w:rPr>
          <w:rFonts w:hint="eastAsia"/>
        </w:rPr>
        <w:t>建立检测信息管理系统，保证检测数据能够及时、安全传送到安徽省特种设备大数据信息化监管系统。</w:t>
      </w:r>
    </w:p>
    <w:p w14:paraId="547E0FDD">
      <w:pPr>
        <w:pStyle w:val="106"/>
        <w:numPr>
          <w:ilvl w:val="2"/>
          <w:numId w:val="0"/>
        </w:numPr>
        <w:spacing w:before="156" w:after="156"/>
        <w:ind w:leftChars="0"/>
        <w:rPr>
          <w:rFonts w:hint="default"/>
          <w:lang w:val="en-US"/>
        </w:rPr>
      </w:pPr>
      <w:r>
        <w:rPr>
          <w:rFonts w:hint="eastAsia"/>
          <w:lang w:val="en-US" w:eastAsia="zh-CN"/>
        </w:rPr>
        <w:t>4.2 合法经营</w:t>
      </w:r>
    </w:p>
    <w:p w14:paraId="3CF5BD83">
      <w:pPr>
        <w:pStyle w:val="175"/>
        <w:numPr>
          <w:ilvl w:val="0"/>
          <w:numId w:val="0"/>
        </w:numPr>
        <w:rPr>
          <w:rFonts w:hint="eastAsia"/>
          <w:lang w:val="en-US" w:eastAsia="zh-CN"/>
        </w:rPr>
      </w:pPr>
      <w:r>
        <w:rPr>
          <w:rFonts w:hint="eastAsia"/>
          <w:lang w:val="en-US" w:eastAsia="zh-CN"/>
        </w:rPr>
        <w:t>4.2.1 收集和识别从事经营活动中，相关法律法规、规章和安全技术规范要求，建立依法经营要求的信息跟踪和实施机制。</w:t>
      </w:r>
    </w:p>
    <w:p w14:paraId="2FA9FE58">
      <w:pPr>
        <w:pStyle w:val="175"/>
        <w:numPr>
          <w:ilvl w:val="0"/>
          <w:numId w:val="0"/>
        </w:numPr>
        <w:rPr>
          <w:rFonts w:hint="eastAsia"/>
          <w:lang w:val="en-US" w:eastAsia="zh-CN"/>
        </w:rPr>
      </w:pPr>
      <w:r>
        <w:rPr>
          <w:rFonts w:hint="eastAsia"/>
          <w:lang w:val="en-US" w:eastAsia="zh-CN"/>
        </w:rPr>
        <w:t>4.2.2 组织单位全体员工学习和掌握相关法律法规、规章和安全技术规范内容，规范依法经营行为。</w:t>
      </w:r>
    </w:p>
    <w:p w14:paraId="0070B5EF">
      <w:pPr>
        <w:pStyle w:val="175"/>
        <w:numPr>
          <w:ilvl w:val="0"/>
          <w:numId w:val="0"/>
        </w:numPr>
        <w:rPr>
          <w:rFonts w:hint="default"/>
          <w:lang w:val="en-US" w:eastAsia="zh-CN"/>
        </w:rPr>
      </w:pPr>
      <w:r>
        <w:rPr>
          <w:rFonts w:hint="eastAsia"/>
          <w:lang w:val="en-US" w:eastAsia="zh-CN"/>
        </w:rPr>
        <w:t>4.2.3 遵守相关法律法规、政府行政监督管理部门相关规定，依法经营、依法纳税、维护服务客户权益和员工权益、承担社会责任。</w:t>
      </w:r>
    </w:p>
    <w:p w14:paraId="0CDDF331">
      <w:pPr>
        <w:pStyle w:val="175"/>
        <w:numPr>
          <w:ilvl w:val="0"/>
          <w:numId w:val="0"/>
        </w:numPr>
        <w:rPr>
          <w:rFonts w:hint="eastAsia"/>
          <w:lang w:val="en-US" w:eastAsia="zh-CN"/>
        </w:rPr>
      </w:pPr>
      <w:r>
        <w:rPr>
          <w:rFonts w:hint="eastAsia"/>
          <w:lang w:val="en-US" w:eastAsia="zh-CN"/>
        </w:rPr>
        <w:t>4.2.4 在</w:t>
      </w:r>
      <w:r>
        <w:rPr>
          <w:rFonts w:hint="eastAsia"/>
        </w:rPr>
        <w:t>使用管理范围内或核准范围内，</w:t>
      </w:r>
      <w:r>
        <w:rPr>
          <w:rFonts w:hint="eastAsia"/>
          <w:lang w:val="en-US" w:eastAsia="zh-CN"/>
        </w:rPr>
        <w:t>严格</w:t>
      </w:r>
      <w:r>
        <w:rPr>
          <w:rFonts w:hint="eastAsia"/>
        </w:rPr>
        <w:t>按照</w:t>
      </w:r>
      <w:r>
        <w:rPr>
          <w:rFonts w:hint="eastAsia"/>
          <w:lang w:val="en-US" w:eastAsia="zh-CN"/>
        </w:rPr>
        <w:t>特种设备法律</w:t>
      </w:r>
      <w:r>
        <w:rPr>
          <w:rFonts w:hint="eastAsia"/>
        </w:rPr>
        <w:t>法规、规章、安全技术规范及相关标准的要求开展检测工作</w:t>
      </w:r>
      <w:r>
        <w:rPr>
          <w:rFonts w:hint="eastAsia"/>
          <w:lang w:val="en-US" w:eastAsia="zh-CN"/>
        </w:rPr>
        <w:t>，不得超范围、超能力进行检测活动。</w:t>
      </w:r>
    </w:p>
    <w:p w14:paraId="1755DA7C">
      <w:pPr>
        <w:pStyle w:val="175"/>
        <w:numPr>
          <w:ilvl w:val="0"/>
          <w:numId w:val="0"/>
        </w:numPr>
        <w:rPr>
          <w:rFonts w:hint="eastAsia"/>
          <w:lang w:val="en-US" w:eastAsia="zh-CN"/>
        </w:rPr>
      </w:pPr>
      <w:r>
        <w:rPr>
          <w:rFonts w:hint="eastAsia"/>
          <w:lang w:val="en-US" w:eastAsia="zh-CN"/>
        </w:rPr>
        <w:t>4.2.5 应遵章守法、诚信经营，客观公正，开展检测，尊重和维护市场秩序，公平竞争，不违反商业道德，反对商业贿赂。</w:t>
      </w:r>
    </w:p>
    <w:p w14:paraId="3E59E2C8">
      <w:pPr>
        <w:pStyle w:val="175"/>
        <w:numPr>
          <w:ilvl w:val="0"/>
          <w:numId w:val="0"/>
        </w:numPr>
        <w:rPr>
          <w:rFonts w:hint="eastAsia"/>
          <w:lang w:val="en-US" w:eastAsia="zh-CN"/>
        </w:rPr>
      </w:pPr>
      <w:r>
        <w:rPr>
          <w:rFonts w:hint="eastAsia"/>
          <w:lang w:val="en-US" w:eastAsia="zh-CN"/>
        </w:rPr>
        <w:t>4.2.6 依法、规范与客户签订检测服务合同，明确服务内容、服务收费，责任和义务，不设模糊条款，不变通履行合同义务。</w:t>
      </w:r>
    </w:p>
    <w:p w14:paraId="3C220D86">
      <w:pPr>
        <w:pStyle w:val="106"/>
        <w:numPr>
          <w:ilvl w:val="2"/>
          <w:numId w:val="0"/>
        </w:numPr>
        <w:spacing w:before="156" w:after="156"/>
        <w:ind w:leftChars="0"/>
        <w:rPr>
          <w:rFonts w:hint="eastAsia"/>
          <w:lang w:val="en-US" w:eastAsia="zh-CN"/>
        </w:rPr>
      </w:pPr>
      <w:r>
        <w:rPr>
          <w:rFonts w:hint="eastAsia"/>
          <w:lang w:val="en-US" w:eastAsia="zh-CN"/>
        </w:rPr>
        <w:t>4.3 诚信施检</w:t>
      </w:r>
    </w:p>
    <w:p w14:paraId="1AB5DCFC">
      <w:pPr>
        <w:pStyle w:val="57"/>
        <w:rPr>
          <w:rFonts w:hint="default"/>
          <w:lang w:val="en-US" w:eastAsia="zh-CN"/>
        </w:rPr>
      </w:pPr>
      <w:r>
        <w:rPr>
          <w:rFonts w:hint="eastAsia"/>
          <w:lang w:val="en-US" w:eastAsia="zh-CN"/>
        </w:rPr>
        <w:t>4.3.1 按照本标准4.1、4.2要求，遵守电梯自行检测质量安全公开承诺和诚信声明承诺，客观、公正、独立开展检测活动，并接受政府行政监督管理部门的监督检查。</w:t>
      </w:r>
    </w:p>
    <w:p w14:paraId="716C4511">
      <w:pPr>
        <w:pStyle w:val="175"/>
        <w:numPr>
          <w:ilvl w:val="0"/>
          <w:numId w:val="0"/>
        </w:numPr>
        <w:rPr>
          <w:rFonts w:hint="eastAsia"/>
          <w:lang w:val="en-US" w:eastAsia="zh-CN"/>
        </w:rPr>
      </w:pPr>
      <w:r>
        <w:rPr>
          <w:rFonts w:hint="eastAsia"/>
          <w:lang w:val="en-US" w:eastAsia="zh-CN"/>
        </w:rPr>
        <w:t>4.3.2 严格执行质量管理体系目标（方针）、程序文件和管理规定要求，保障质量管理体系运行有效性、适用性和持续性。</w:t>
      </w:r>
    </w:p>
    <w:p w14:paraId="6AF643E7">
      <w:pPr>
        <w:pStyle w:val="175"/>
        <w:numPr>
          <w:ilvl w:val="0"/>
          <w:numId w:val="0"/>
        </w:numPr>
        <w:rPr>
          <w:rFonts w:hint="eastAsia"/>
          <w:lang w:val="en-US" w:eastAsia="zh-CN"/>
        </w:rPr>
      </w:pPr>
      <w:r>
        <w:rPr>
          <w:rFonts w:hint="eastAsia"/>
          <w:lang w:val="en-US" w:eastAsia="zh-CN"/>
        </w:rPr>
        <w:t>4.3.3 持续提升技术能力建设，保障检测人员能力、仪器设备、检测方法等要素指标满足特种设备安全技术规范和标准要求，保证检测结果准确、可信。</w:t>
      </w:r>
    </w:p>
    <w:p w14:paraId="6F6AA256">
      <w:pPr>
        <w:pStyle w:val="175"/>
        <w:numPr>
          <w:ilvl w:val="0"/>
          <w:numId w:val="0"/>
        </w:numPr>
        <w:rPr>
          <w:rFonts w:hint="eastAsia"/>
          <w:lang w:val="en-US" w:eastAsia="zh-CN"/>
        </w:rPr>
      </w:pPr>
      <w:r>
        <w:rPr>
          <w:rFonts w:hint="eastAsia"/>
          <w:lang w:val="en-US" w:eastAsia="zh-CN"/>
        </w:rPr>
        <w:t>4.3.4 为员工从事电梯检测活动提供应有的安全防护措施和相关教育培训，保障检测人员的检测安全。</w:t>
      </w:r>
    </w:p>
    <w:p w14:paraId="2B93D301">
      <w:pPr>
        <w:pStyle w:val="175"/>
        <w:numPr>
          <w:ilvl w:val="0"/>
          <w:numId w:val="0"/>
        </w:numPr>
        <w:rPr>
          <w:rFonts w:hint="eastAsia"/>
        </w:rPr>
      </w:pPr>
      <w:r>
        <w:rPr>
          <w:rFonts w:hint="eastAsia"/>
          <w:lang w:val="en-US" w:eastAsia="zh-CN"/>
        </w:rPr>
        <w:t>4.3.5 落实特种设备安全技术规范和政府行政监督管理部门专项要求</w:t>
      </w:r>
      <w:r>
        <w:rPr>
          <w:rFonts w:hint="eastAsia"/>
        </w:rPr>
        <w:t>，</w:t>
      </w:r>
      <w:r>
        <w:rPr>
          <w:rFonts w:hint="eastAsia"/>
          <w:lang w:val="en-US" w:eastAsia="zh-CN"/>
        </w:rPr>
        <w:t>对检测过程进行音像记录。音像记录</w:t>
      </w:r>
      <w:r>
        <w:rPr>
          <w:rFonts w:hint="eastAsia"/>
        </w:rPr>
        <w:t>内容</w:t>
      </w:r>
      <w:r>
        <w:rPr>
          <w:rFonts w:hint="eastAsia"/>
          <w:lang w:val="en-US" w:eastAsia="zh-CN"/>
        </w:rPr>
        <w:t>符合</w:t>
      </w:r>
      <w:bookmarkStart w:id="56" w:name="OLE_LINK4"/>
      <w:r>
        <w:rPr>
          <w:rFonts w:hint="eastAsia"/>
          <w:lang w:val="en-US" w:eastAsia="zh-CN"/>
        </w:rPr>
        <w:t>TSG T7008</w:t>
      </w:r>
      <w:bookmarkEnd w:id="56"/>
      <w:r>
        <w:rPr>
          <w:rFonts w:hint="eastAsia"/>
          <w:lang w:val="en-US" w:eastAsia="zh-CN"/>
        </w:rPr>
        <w:t>和政府行政监督管理部门的专项要求</w:t>
      </w:r>
      <w:r>
        <w:rPr>
          <w:rFonts w:hint="eastAsia"/>
        </w:rPr>
        <w:t>。</w:t>
      </w:r>
    </w:p>
    <w:p w14:paraId="4CD4BF74">
      <w:pPr>
        <w:pStyle w:val="175"/>
        <w:numPr>
          <w:ilvl w:val="0"/>
          <w:numId w:val="0"/>
        </w:numPr>
        <w:rPr>
          <w:rFonts w:hint="default"/>
          <w:lang w:val="en-US" w:eastAsia="zh-CN"/>
        </w:rPr>
      </w:pPr>
      <w:r>
        <w:rPr>
          <w:rFonts w:hint="eastAsia"/>
          <w:lang w:val="en-US" w:eastAsia="zh-CN"/>
        </w:rPr>
        <w:t>4.3.6 应规范对检测音像记录进行整理和处置，便于查阅，并按照要求进行有效保存。</w:t>
      </w:r>
    </w:p>
    <w:p w14:paraId="48BFF4FD">
      <w:pPr>
        <w:pStyle w:val="106"/>
        <w:numPr>
          <w:ilvl w:val="2"/>
          <w:numId w:val="0"/>
        </w:numPr>
        <w:spacing w:before="156" w:after="156"/>
        <w:ind w:leftChars="0"/>
        <w:rPr>
          <w:rFonts w:hint="default"/>
          <w:lang w:val="en-US" w:eastAsia="zh-CN"/>
        </w:rPr>
      </w:pPr>
      <w:r>
        <w:rPr>
          <w:rFonts w:hint="eastAsia"/>
          <w:lang w:val="en-US" w:eastAsia="zh-CN"/>
        </w:rPr>
        <w:t>4.4社会责任</w:t>
      </w:r>
    </w:p>
    <w:p w14:paraId="5011E182">
      <w:pPr>
        <w:pStyle w:val="57"/>
        <w:rPr>
          <w:rFonts w:hint="default"/>
          <w:lang w:val="en-US" w:eastAsia="zh-CN"/>
        </w:rPr>
      </w:pPr>
      <w:r>
        <w:rPr>
          <w:rFonts w:hint="eastAsia"/>
          <w:lang w:val="en-US" w:eastAsia="zh-CN"/>
        </w:rPr>
        <w:t>应</w:t>
      </w:r>
      <w:r>
        <w:rPr>
          <w:rFonts w:hint="default"/>
          <w:lang w:val="en-US" w:eastAsia="zh-CN"/>
        </w:rPr>
        <w:t>履行社会责任的核心事项，包括但不限于：</w:t>
      </w:r>
    </w:p>
    <w:p w14:paraId="363D5062">
      <w:pPr>
        <w:pStyle w:val="57"/>
        <w:rPr>
          <w:rFonts w:hint="eastAsia"/>
          <w:lang w:val="en-US" w:eastAsia="zh-CN"/>
        </w:rPr>
      </w:pPr>
      <w:r>
        <w:rPr>
          <w:rFonts w:hint="eastAsia"/>
          <w:lang w:val="en-US" w:eastAsia="zh-CN"/>
        </w:rPr>
        <w:t>4.4.1 客户权益：向客户提供公正、准确和诚信的服务，积极、妥善地处理客户投诉，不泄露客户的商业信息和技术秘密。</w:t>
      </w:r>
    </w:p>
    <w:p w14:paraId="0FB4AAC2">
      <w:pPr>
        <w:pStyle w:val="57"/>
        <w:rPr>
          <w:rFonts w:hint="default"/>
          <w:lang w:val="en-US" w:eastAsia="zh-CN"/>
        </w:rPr>
      </w:pPr>
      <w:r>
        <w:rPr>
          <w:rFonts w:hint="eastAsia"/>
          <w:lang w:val="en-US" w:eastAsia="zh-CN"/>
        </w:rPr>
        <w:t xml:space="preserve">4.4.2 </w:t>
      </w:r>
      <w:r>
        <w:rPr>
          <w:rFonts w:hint="default"/>
          <w:lang w:val="en-US" w:eastAsia="zh-CN"/>
        </w:rPr>
        <w:t>员工权益：应遵守法律规定，保障员工合法权益</w:t>
      </w:r>
      <w:r>
        <w:rPr>
          <w:rFonts w:hint="eastAsia"/>
          <w:lang w:val="en-US" w:eastAsia="zh-CN"/>
        </w:rPr>
        <w:t>；</w:t>
      </w:r>
      <w:r>
        <w:rPr>
          <w:rFonts w:hint="default"/>
          <w:lang w:val="en-US" w:eastAsia="zh-CN"/>
        </w:rPr>
        <w:t>建立培训和激励机制，保持员工收入合理增长</w:t>
      </w:r>
      <w:r>
        <w:rPr>
          <w:rFonts w:hint="eastAsia"/>
          <w:lang w:val="en-US" w:eastAsia="zh-CN"/>
        </w:rPr>
        <w:t>；</w:t>
      </w:r>
      <w:r>
        <w:rPr>
          <w:rFonts w:hint="default"/>
          <w:lang w:val="en-US" w:eastAsia="zh-CN"/>
        </w:rPr>
        <w:t>尊重和关爱员工，确保职业健康和安全检测</w:t>
      </w:r>
      <w:r>
        <w:rPr>
          <w:rFonts w:hint="eastAsia"/>
          <w:lang w:val="en-US" w:eastAsia="zh-CN"/>
        </w:rPr>
        <w:t>；</w:t>
      </w:r>
      <w:r>
        <w:rPr>
          <w:rFonts w:hint="default"/>
          <w:lang w:val="en-US" w:eastAsia="zh-CN"/>
        </w:rPr>
        <w:t>定期开展工会活动，建立和谐劳动关系。</w:t>
      </w:r>
    </w:p>
    <w:p w14:paraId="00C77FCD">
      <w:pPr>
        <w:pStyle w:val="57"/>
        <w:rPr>
          <w:rFonts w:hint="eastAsia"/>
          <w:lang w:val="en-US" w:eastAsia="zh-CN"/>
        </w:rPr>
      </w:pPr>
      <w:r>
        <w:rPr>
          <w:rFonts w:hint="eastAsia"/>
          <w:lang w:val="en-US" w:eastAsia="zh-CN"/>
        </w:rPr>
        <w:t>4.4.3 安全管理：应建立完善的安全管理制度和应急预案，加强安全培训，强化安全意识，提供安全管理能力。</w:t>
      </w:r>
    </w:p>
    <w:p w14:paraId="27780547">
      <w:pPr>
        <w:pStyle w:val="57"/>
        <w:rPr>
          <w:rFonts w:hint="eastAsia"/>
          <w:lang w:val="en-US" w:eastAsia="zh-CN"/>
        </w:rPr>
      </w:pPr>
      <w:r>
        <w:rPr>
          <w:rFonts w:hint="eastAsia"/>
          <w:lang w:val="en-US" w:eastAsia="zh-CN"/>
        </w:rPr>
        <w:t>4.4.4 社会贡献：应依法纳税、创造社会财富；增加就业、发展地方经济；持续增加投入，提供技术能力和管理创新；积极参与社会公益活动，热心慈善捐助。</w:t>
      </w:r>
    </w:p>
    <w:p w14:paraId="5E875C58">
      <w:pPr>
        <w:pStyle w:val="57"/>
        <w:rPr>
          <w:rFonts w:hint="eastAsia"/>
          <w:lang w:val="en-US" w:eastAsia="zh-CN"/>
        </w:rPr>
      </w:pPr>
      <w:r>
        <w:rPr>
          <w:rFonts w:hint="eastAsia"/>
          <w:lang w:val="en-US" w:eastAsia="zh-CN"/>
        </w:rPr>
        <w:t>4.4.5 企业文化：应将诚实守信作为企业文化建设的一项重要内容，提高企业履行社会责任的责任感和荣誉感；弘扬优秀文化，建设文明和谐诚信企业，不断优化企业内外信用环境，提升企业竞争力。</w:t>
      </w:r>
    </w:p>
    <w:p w14:paraId="2DE1CBE6">
      <w:pPr>
        <w:pStyle w:val="175"/>
        <w:numPr>
          <w:ilvl w:val="0"/>
          <w:numId w:val="0"/>
        </w:numPr>
        <w:rPr>
          <w:rFonts w:hint="default"/>
          <w:lang w:val="en-US" w:eastAsia="zh-CN"/>
        </w:rPr>
      </w:pPr>
      <w:r>
        <w:rPr>
          <w:rFonts w:hint="eastAsia"/>
          <w:lang w:val="en-US" w:eastAsia="zh-CN"/>
        </w:rPr>
        <w:t>4.4.6 保障安全：发现被检电梯存在重大安全隐患，如实上报使用单位和政府行政监督管理部门。</w:t>
      </w:r>
    </w:p>
    <w:p w14:paraId="66155528">
      <w:pPr>
        <w:pStyle w:val="105"/>
        <w:numPr>
          <w:ilvl w:val="1"/>
          <w:numId w:val="0"/>
        </w:numPr>
        <w:spacing w:before="312" w:after="312"/>
        <w:ind w:leftChars="0"/>
        <w:rPr>
          <w:rFonts w:hint="eastAsia"/>
          <w:lang w:val="en-US" w:eastAsia="zh-CN"/>
        </w:rPr>
      </w:pPr>
      <w:r>
        <w:rPr>
          <w:rFonts w:hint="eastAsia"/>
          <w:lang w:val="en-US" w:eastAsia="zh-CN"/>
        </w:rPr>
        <w:t>5 诚信管理</w:t>
      </w:r>
    </w:p>
    <w:p w14:paraId="541E7B80">
      <w:pPr>
        <w:pStyle w:val="106"/>
        <w:numPr>
          <w:ilvl w:val="2"/>
          <w:numId w:val="0"/>
        </w:numPr>
        <w:spacing w:before="156" w:after="156"/>
        <w:ind w:leftChars="0"/>
        <w:rPr>
          <w:rFonts w:hint="default"/>
          <w:lang w:val="en-US" w:eastAsia="zh-CN"/>
        </w:rPr>
      </w:pPr>
      <w:r>
        <w:rPr>
          <w:rFonts w:hint="eastAsia"/>
          <w:lang w:val="en-US" w:eastAsia="zh-CN"/>
        </w:rPr>
        <w:t>5.1诚信体系建设</w:t>
      </w:r>
    </w:p>
    <w:p w14:paraId="47C5B66F">
      <w:pPr>
        <w:pStyle w:val="57"/>
        <w:rPr>
          <w:rFonts w:hint="eastAsia"/>
          <w:lang w:val="en-US" w:eastAsia="zh-CN"/>
        </w:rPr>
      </w:pPr>
      <w:r>
        <w:rPr>
          <w:rFonts w:hint="eastAsia"/>
          <w:lang w:val="en-US" w:eastAsia="zh-CN"/>
        </w:rPr>
        <w:t>5.1.1 按GB/T 31880 4.4要求开展诚信管理体系建设，将诚信管理纳入单位的发展战略，制定诚信管理目标，并形成文件。诚信管理目标可根据单位内部条件和外部环境的变化，进行调整，调整的因素包括但不限于：</w:t>
      </w:r>
    </w:p>
    <w:p w14:paraId="488C4CA5">
      <w:pPr>
        <w:pStyle w:val="57"/>
        <w:rPr>
          <w:rFonts w:hint="eastAsia"/>
          <w:lang w:val="en-US" w:eastAsia="zh-CN"/>
        </w:rPr>
      </w:pPr>
      <w:r>
        <w:rPr>
          <w:rFonts w:hint="eastAsia"/>
          <w:lang w:val="en-US" w:eastAsia="zh-CN"/>
        </w:rPr>
        <w:t>a)内部条件：自身实力、技术能力、质量管理水平、资金流动性、经营状况等。</w:t>
      </w:r>
    </w:p>
    <w:p w14:paraId="326B5B2A">
      <w:pPr>
        <w:pStyle w:val="57"/>
        <w:rPr>
          <w:rFonts w:hint="default"/>
          <w:lang w:val="en-US" w:eastAsia="zh-CN"/>
        </w:rPr>
      </w:pPr>
      <w:r>
        <w:rPr>
          <w:rFonts w:hint="eastAsia"/>
          <w:lang w:val="en-US" w:eastAsia="zh-CN"/>
        </w:rPr>
        <w:t>b)外部环境：市场地位、行业特点、经济周期、国家政策等。</w:t>
      </w:r>
    </w:p>
    <w:p w14:paraId="14735DAC">
      <w:pPr>
        <w:pStyle w:val="57"/>
        <w:rPr>
          <w:rFonts w:hint="eastAsia"/>
          <w:lang w:val="en-US" w:eastAsia="zh-CN"/>
        </w:rPr>
      </w:pPr>
      <w:r>
        <w:rPr>
          <w:rFonts w:hint="eastAsia"/>
          <w:lang w:val="en-US" w:eastAsia="zh-CN"/>
        </w:rPr>
        <w:t>5.1.2 应制定与经营管理状况相适应的诚信管理制度。包括但不限于：</w:t>
      </w:r>
    </w:p>
    <w:p w14:paraId="29F1D51F">
      <w:pPr>
        <w:pStyle w:val="57"/>
        <w:rPr>
          <w:rFonts w:hint="eastAsia"/>
          <w:lang w:val="en-US" w:eastAsia="zh-CN"/>
        </w:rPr>
      </w:pPr>
      <w:r>
        <w:rPr>
          <w:rFonts w:hint="eastAsia"/>
          <w:lang w:val="en-US" w:eastAsia="zh-CN"/>
        </w:rPr>
        <w:t>a)诚信管理岗位责任制度；</w:t>
      </w:r>
    </w:p>
    <w:p w14:paraId="594A5DA2">
      <w:pPr>
        <w:pStyle w:val="57"/>
        <w:rPr>
          <w:rFonts w:hint="eastAsia"/>
          <w:lang w:val="en-US" w:eastAsia="zh-CN"/>
        </w:rPr>
      </w:pPr>
      <w:r>
        <w:rPr>
          <w:rFonts w:hint="eastAsia"/>
          <w:lang w:val="en-US" w:eastAsia="zh-CN"/>
        </w:rPr>
        <w:t>b)诚信档案管理制度；</w:t>
      </w:r>
    </w:p>
    <w:p w14:paraId="1A344CFA">
      <w:pPr>
        <w:pStyle w:val="57"/>
        <w:rPr>
          <w:rFonts w:hint="eastAsia"/>
          <w:lang w:val="en-US" w:eastAsia="zh-CN"/>
        </w:rPr>
      </w:pPr>
      <w:r>
        <w:rPr>
          <w:rFonts w:hint="eastAsia"/>
          <w:lang w:val="en-US" w:eastAsia="zh-CN"/>
        </w:rPr>
        <w:t>c)合同管理制度；</w:t>
      </w:r>
    </w:p>
    <w:p w14:paraId="2E7C9BF2">
      <w:pPr>
        <w:pStyle w:val="57"/>
        <w:rPr>
          <w:rFonts w:hint="eastAsia"/>
          <w:lang w:val="en-US" w:eastAsia="zh-CN"/>
        </w:rPr>
      </w:pPr>
      <w:r>
        <w:rPr>
          <w:rFonts w:hint="eastAsia"/>
          <w:lang w:val="en-US" w:eastAsia="zh-CN"/>
        </w:rPr>
        <w:t>d)员工诚信行为准则；</w:t>
      </w:r>
    </w:p>
    <w:p w14:paraId="7362D7AE">
      <w:pPr>
        <w:pStyle w:val="57"/>
        <w:rPr>
          <w:rFonts w:hint="eastAsia"/>
          <w:lang w:val="en-US" w:eastAsia="zh-CN"/>
        </w:rPr>
      </w:pPr>
      <w:r>
        <w:rPr>
          <w:rFonts w:hint="eastAsia"/>
          <w:lang w:val="en-US" w:eastAsia="zh-CN"/>
        </w:rPr>
        <w:t>e)失信行为责任追究制度；</w:t>
      </w:r>
    </w:p>
    <w:p w14:paraId="7E925CC2">
      <w:pPr>
        <w:pStyle w:val="57"/>
        <w:rPr>
          <w:rFonts w:hint="eastAsia"/>
          <w:lang w:val="en-US" w:eastAsia="zh-CN"/>
        </w:rPr>
      </w:pPr>
      <w:r>
        <w:rPr>
          <w:rFonts w:hint="eastAsia"/>
          <w:lang w:val="en-US" w:eastAsia="zh-CN"/>
        </w:rPr>
        <w:t>f)社会责任履行制度；</w:t>
      </w:r>
    </w:p>
    <w:p w14:paraId="146FA065">
      <w:pPr>
        <w:pStyle w:val="57"/>
        <w:rPr>
          <w:rFonts w:hint="eastAsia"/>
          <w:lang w:val="en-US" w:eastAsia="zh-CN"/>
        </w:rPr>
      </w:pPr>
      <w:r>
        <w:rPr>
          <w:rFonts w:hint="eastAsia"/>
          <w:lang w:val="en-US" w:eastAsia="zh-CN"/>
        </w:rPr>
        <w:t>5.1.3 诚信管理目标与制度应由单位最高管理者签署发布并正式执行。单位应采取必要措施确保诚信管理目标和制度被相关人员知晓、准确理解和贯彻实施，并在实践过程中不断完善。</w:t>
      </w:r>
    </w:p>
    <w:p w14:paraId="65E3C9D1">
      <w:pPr>
        <w:pStyle w:val="57"/>
        <w:rPr>
          <w:rFonts w:hint="default"/>
          <w:lang w:val="en-US" w:eastAsia="zh-CN"/>
        </w:rPr>
      </w:pPr>
      <w:r>
        <w:rPr>
          <w:rFonts w:hint="eastAsia"/>
          <w:lang w:val="en-US" w:eastAsia="zh-CN"/>
        </w:rPr>
        <w:t>5.1.4 应建立合适的诚信管理部门组织架构，可成立独立诚信管理部门，也可将诚信管理职能明确赋予有关部门，由赋予诚信管理职能的部门牵头协调相关部门分工协作开展诚信管理工作。</w:t>
      </w:r>
    </w:p>
    <w:p w14:paraId="023D5BC9">
      <w:pPr>
        <w:pStyle w:val="57"/>
        <w:rPr>
          <w:rFonts w:hint="eastAsia"/>
          <w:lang w:val="en-US" w:eastAsia="zh-CN"/>
        </w:rPr>
      </w:pPr>
      <w:r>
        <w:rPr>
          <w:rFonts w:hint="eastAsia"/>
          <w:lang w:val="en-US" w:eastAsia="zh-CN"/>
        </w:rPr>
        <w:t>5.1.5 诚信管理部门职责包括但不限于：</w:t>
      </w:r>
    </w:p>
    <w:p w14:paraId="5C30E6A7">
      <w:pPr>
        <w:pStyle w:val="57"/>
        <w:rPr>
          <w:rFonts w:hint="default"/>
          <w:lang w:val="en-US" w:eastAsia="zh-CN"/>
        </w:rPr>
      </w:pPr>
      <w:r>
        <w:rPr>
          <w:rFonts w:hint="eastAsia"/>
          <w:lang w:val="en-US" w:eastAsia="zh-CN"/>
        </w:rPr>
        <w:t>a)</w:t>
      </w:r>
      <w:r>
        <w:rPr>
          <w:rFonts w:hint="default"/>
          <w:lang w:val="en-US" w:eastAsia="zh-CN"/>
        </w:rPr>
        <w:t>制定、发布、修改、废除本单位诚信管理目标与制度</w:t>
      </w:r>
      <w:r>
        <w:rPr>
          <w:rFonts w:hint="eastAsia"/>
          <w:lang w:val="en-US" w:eastAsia="zh-CN"/>
        </w:rPr>
        <w:t>；</w:t>
      </w:r>
    </w:p>
    <w:p w14:paraId="08DE2224">
      <w:pPr>
        <w:pStyle w:val="57"/>
        <w:rPr>
          <w:rFonts w:hint="default"/>
          <w:lang w:val="en-US" w:eastAsia="zh-CN"/>
        </w:rPr>
      </w:pPr>
      <w:r>
        <w:rPr>
          <w:rFonts w:hint="eastAsia"/>
          <w:lang w:val="en-US" w:eastAsia="zh-CN"/>
        </w:rPr>
        <w:t>b)</w:t>
      </w:r>
      <w:r>
        <w:rPr>
          <w:rFonts w:hint="default"/>
          <w:lang w:val="en-US" w:eastAsia="zh-CN"/>
        </w:rPr>
        <w:t>组织宣传、贯彻执行相关法律法规和诚信管理制度，开展诚信管理业务培训</w:t>
      </w:r>
      <w:r>
        <w:rPr>
          <w:rFonts w:hint="eastAsia"/>
          <w:lang w:val="en-US" w:eastAsia="zh-CN"/>
        </w:rPr>
        <w:t>；</w:t>
      </w:r>
    </w:p>
    <w:p w14:paraId="109005BA">
      <w:pPr>
        <w:pStyle w:val="57"/>
        <w:rPr>
          <w:rFonts w:hint="default"/>
          <w:lang w:val="en-US" w:eastAsia="zh-CN"/>
        </w:rPr>
      </w:pPr>
      <w:r>
        <w:rPr>
          <w:rFonts w:hint="eastAsia"/>
          <w:lang w:val="en-US" w:eastAsia="zh-CN"/>
        </w:rPr>
        <w:t>c)</w:t>
      </w:r>
      <w:r>
        <w:rPr>
          <w:rFonts w:hint="default"/>
          <w:lang w:val="en-US" w:eastAsia="zh-CN"/>
        </w:rPr>
        <w:t>建立和完善单位诚信管理体系，包括</w:t>
      </w:r>
      <w:r>
        <w:rPr>
          <w:rFonts w:hint="eastAsia"/>
          <w:lang w:val="en-US" w:eastAsia="zh-CN"/>
        </w:rPr>
        <w:t>诚信档案管理、合同管理、诚信施检管理、诚信行为管理、社会责任履行和</w:t>
      </w:r>
      <w:r>
        <w:rPr>
          <w:rFonts w:hint="default"/>
          <w:lang w:val="en-US" w:eastAsia="zh-CN"/>
        </w:rPr>
        <w:t>自身诚信建设等内容</w:t>
      </w:r>
      <w:r>
        <w:rPr>
          <w:rFonts w:hint="eastAsia"/>
          <w:lang w:val="en-US" w:eastAsia="zh-CN"/>
        </w:rPr>
        <w:t>；</w:t>
      </w:r>
    </w:p>
    <w:p w14:paraId="3634BE4B">
      <w:pPr>
        <w:pStyle w:val="57"/>
        <w:rPr>
          <w:rFonts w:hint="default"/>
          <w:lang w:val="en-US" w:eastAsia="zh-CN"/>
        </w:rPr>
      </w:pPr>
      <w:r>
        <w:rPr>
          <w:rFonts w:hint="eastAsia"/>
          <w:lang w:val="en-US" w:eastAsia="zh-CN"/>
        </w:rPr>
        <w:t>d)其他需要的相关管理内容；</w:t>
      </w:r>
    </w:p>
    <w:p w14:paraId="5AA8E64E">
      <w:pPr>
        <w:pStyle w:val="57"/>
        <w:rPr>
          <w:rFonts w:hint="default"/>
          <w:lang w:val="en-US" w:eastAsia="zh-CN"/>
        </w:rPr>
      </w:pPr>
      <w:r>
        <w:rPr>
          <w:rFonts w:hint="eastAsia"/>
          <w:lang w:val="en-US" w:eastAsia="zh-CN"/>
        </w:rPr>
        <w:t>5.1.6 定期组织单位员工进行诚信体系建设方面的学习和培训，培养员工诚信意识，树立良好职业道德操守，并做好学习和培训记录。</w:t>
      </w:r>
    </w:p>
    <w:p w14:paraId="32AB8F25">
      <w:pPr>
        <w:pStyle w:val="57"/>
        <w:rPr>
          <w:rFonts w:hint="eastAsia"/>
          <w:lang w:val="en-US" w:eastAsia="zh-CN"/>
        </w:rPr>
      </w:pPr>
      <w:r>
        <w:rPr>
          <w:rFonts w:hint="eastAsia"/>
          <w:lang w:val="en-US" w:eastAsia="zh-CN"/>
        </w:rPr>
        <w:t>5.1.7 收集内部和外部诚信信息要素，开展诚信评价，持续保证诚信管理有效性。</w:t>
      </w:r>
    </w:p>
    <w:p w14:paraId="76B7DEB9">
      <w:pPr>
        <w:pStyle w:val="106"/>
        <w:numPr>
          <w:ilvl w:val="2"/>
          <w:numId w:val="0"/>
        </w:numPr>
        <w:spacing w:before="156" w:after="156"/>
        <w:ind w:leftChars="0"/>
        <w:rPr>
          <w:rFonts w:hint="default"/>
          <w:lang w:val="en-US" w:eastAsia="zh-CN"/>
        </w:rPr>
      </w:pPr>
      <w:r>
        <w:rPr>
          <w:rFonts w:hint="eastAsia"/>
          <w:lang w:val="en-US" w:eastAsia="zh-CN"/>
        </w:rPr>
        <w:t>5.2 诚信要素管理</w:t>
      </w:r>
    </w:p>
    <w:p w14:paraId="29755179">
      <w:pPr>
        <w:pStyle w:val="57"/>
        <w:rPr>
          <w:rFonts w:hint="eastAsia"/>
          <w:lang w:val="en-US" w:eastAsia="zh-CN"/>
        </w:rPr>
      </w:pPr>
      <w:r>
        <w:rPr>
          <w:rFonts w:hint="eastAsia" w:cs="Times New Roman"/>
          <w:b w:val="0"/>
          <w:sz w:val="21"/>
          <w:lang w:val="en-US" w:eastAsia="zh-CN" w:bidi="ar-SA"/>
        </w:rPr>
        <w:t>通过</w:t>
      </w:r>
      <w:r>
        <w:rPr>
          <w:rFonts w:hint="eastAsia"/>
          <w:lang w:val="en-US" w:eastAsia="zh-CN"/>
        </w:rPr>
        <w:t>收集内部和外部诚信信息，</w:t>
      </w:r>
      <w:r>
        <w:rPr>
          <w:rFonts w:hint="eastAsia" w:cs="Times New Roman"/>
          <w:b w:val="0"/>
          <w:sz w:val="21"/>
          <w:lang w:val="en-US" w:eastAsia="zh-CN" w:bidi="ar-SA"/>
        </w:rPr>
        <w:t>对诚信要素进行识别、确定和分类量化管理</w:t>
      </w:r>
      <w:r>
        <w:rPr>
          <w:rFonts w:hint="eastAsia" w:ascii="宋体" w:hAnsi="Times New Roman" w:eastAsia="宋体" w:cs="Times New Roman"/>
          <w:b w:val="0"/>
          <w:sz w:val="21"/>
          <w:lang w:val="en-US" w:eastAsia="zh-CN" w:bidi="ar-SA"/>
        </w:rPr>
        <w:t>。</w:t>
      </w:r>
      <w:r>
        <w:rPr>
          <w:rFonts w:hint="eastAsia"/>
          <w:lang w:val="en-US" w:eastAsia="zh-CN"/>
        </w:rPr>
        <w:t>诚信管理要素包括但不限于：</w:t>
      </w:r>
      <w:r>
        <w:rPr>
          <w:rFonts w:hint="eastAsia" w:cs="Times New Roman"/>
          <w:b w:val="0"/>
          <w:sz w:val="21"/>
          <w:lang w:val="en-US" w:eastAsia="zh-CN" w:bidi="ar-SA"/>
        </w:rPr>
        <w:t>资格条件、合法经营、诚信施检、诚信承诺、诚信体系管理、诚信自律和社会责任等内容。</w:t>
      </w:r>
    </w:p>
    <w:p w14:paraId="58A20348">
      <w:pPr>
        <w:pStyle w:val="106"/>
        <w:numPr>
          <w:ilvl w:val="2"/>
          <w:numId w:val="0"/>
        </w:numPr>
        <w:spacing w:before="156" w:after="156"/>
        <w:ind w:leftChars="0"/>
        <w:rPr>
          <w:rFonts w:hint="eastAsia"/>
          <w:lang w:val="en-US" w:eastAsia="zh-CN"/>
        </w:rPr>
      </w:pPr>
      <w:r>
        <w:rPr>
          <w:rFonts w:hint="eastAsia"/>
          <w:lang w:val="en-US" w:eastAsia="zh-CN"/>
        </w:rPr>
        <w:t>5.3诚信自律</w:t>
      </w:r>
    </w:p>
    <w:p w14:paraId="143A112B">
      <w:pPr>
        <w:pStyle w:val="57"/>
        <w:rPr>
          <w:rFonts w:hint="eastAsia"/>
          <w:lang w:val="en-US" w:eastAsia="zh-CN"/>
        </w:rPr>
      </w:pPr>
      <w:r>
        <w:rPr>
          <w:rFonts w:hint="eastAsia"/>
          <w:lang w:val="en-US" w:eastAsia="zh-CN"/>
        </w:rPr>
        <w:t>应强化自我约束，自我管理的机制，加强诚信文化建设和自身诚信管理，内容包括但不限于：</w:t>
      </w:r>
    </w:p>
    <w:p w14:paraId="1BB61BC9">
      <w:pPr>
        <w:pStyle w:val="57"/>
        <w:rPr>
          <w:rFonts w:hint="eastAsia"/>
          <w:lang w:val="en-US" w:eastAsia="zh-CN"/>
        </w:rPr>
      </w:pPr>
      <w:r>
        <w:rPr>
          <w:rFonts w:hint="eastAsia"/>
          <w:lang w:val="en-US" w:eastAsia="zh-CN"/>
        </w:rPr>
        <w:t>5.3.1 诚信文化建设：单位最高管理者应将诚实守信纳入单位核心价值观，并策划和开展诚信文化建设，以守法履约、诚实守信的理念指引电梯检测经营活动，遵守社会公德、商业伦理和行业规范。</w:t>
      </w:r>
    </w:p>
    <w:p w14:paraId="09FAA8A0">
      <w:pPr>
        <w:pStyle w:val="57"/>
        <w:rPr>
          <w:rFonts w:hint="eastAsia"/>
          <w:lang w:val="en-US" w:eastAsia="zh-CN"/>
        </w:rPr>
      </w:pPr>
      <w:r>
        <w:rPr>
          <w:rFonts w:hint="eastAsia"/>
          <w:lang w:val="en-US" w:eastAsia="zh-CN"/>
        </w:rPr>
        <w:t>5.3.2 履行承诺：单位应全面履行申请行政事项和开展电梯检测活动时作出的信用承诺和向社会公开的诚信承诺，并接受行政主管部门的监督管理；若违背承诺，应承担相应的失信惩戒和法律责任。</w:t>
      </w:r>
    </w:p>
    <w:p w14:paraId="04628473">
      <w:pPr>
        <w:pStyle w:val="57"/>
        <w:rPr>
          <w:rFonts w:hint="eastAsia"/>
          <w:lang w:val="en-US" w:eastAsia="zh-CN"/>
        </w:rPr>
      </w:pPr>
      <w:r>
        <w:rPr>
          <w:rFonts w:hint="eastAsia"/>
          <w:lang w:val="en-US" w:eastAsia="zh-CN"/>
        </w:rPr>
        <w:t>5.3.3 践行契约：单位应积极履行已签订的民（商）事经济合同，当国家政策、行业环境、单位治理结构或经营管理发生重大变化时，应按照诚实守信的原则，在主体责任范围内尽最大的能力主动践行契约，不向政府和社会转嫁矛盾和风险。</w:t>
      </w:r>
    </w:p>
    <w:p w14:paraId="0A6DA171">
      <w:pPr>
        <w:pStyle w:val="106"/>
        <w:numPr>
          <w:ilvl w:val="2"/>
          <w:numId w:val="0"/>
        </w:numPr>
        <w:spacing w:before="156" w:after="156"/>
        <w:ind w:leftChars="0"/>
        <w:rPr>
          <w:rFonts w:hint="default"/>
          <w:lang w:val="en-US" w:eastAsia="zh-CN"/>
        </w:rPr>
      </w:pPr>
      <w:r>
        <w:rPr>
          <w:rFonts w:hint="eastAsia"/>
          <w:lang w:val="en-US" w:eastAsia="zh-CN"/>
        </w:rPr>
        <w:t>5.4 诚信承诺</w:t>
      </w:r>
    </w:p>
    <w:p w14:paraId="65F7C862">
      <w:pPr>
        <w:rPr>
          <w:rFonts w:hint="eastAsia" w:eastAsiaTheme="minorEastAsia"/>
          <w:lang w:eastAsia="zh-CN"/>
        </w:rPr>
      </w:pPr>
      <w:r>
        <w:rPr>
          <w:rFonts w:hint="eastAsia"/>
          <w:lang w:val="en-US" w:eastAsia="zh-CN"/>
        </w:rPr>
        <w:t>5.4.1电梯自行检测单位及从业人员</w:t>
      </w:r>
      <w:r>
        <w:rPr>
          <w:rFonts w:hint="eastAsia"/>
        </w:rPr>
        <w:t>应向社会和</w:t>
      </w:r>
      <w:r>
        <w:rPr>
          <w:rFonts w:hint="eastAsia"/>
          <w:lang w:val="en-US" w:eastAsia="zh-CN"/>
        </w:rPr>
        <w:t>服务对象</w:t>
      </w:r>
      <w:r>
        <w:rPr>
          <w:rFonts w:hint="eastAsia"/>
        </w:rPr>
        <w:t>公</w:t>
      </w:r>
      <w:r>
        <w:rPr>
          <w:rFonts w:hint="eastAsia"/>
          <w:lang w:val="en-US" w:eastAsia="zh-CN"/>
        </w:rPr>
        <w:t>开</w:t>
      </w:r>
      <w:r>
        <w:rPr>
          <w:rFonts w:hint="eastAsia"/>
        </w:rPr>
        <w:t>诚信承诺，接受各方监督。</w:t>
      </w:r>
    </w:p>
    <w:p w14:paraId="5195C42B">
      <w:pPr>
        <w:keepNext w:val="0"/>
        <w:keepLines w:val="0"/>
        <w:widowControl/>
        <w:suppressLineNumbers w:val="0"/>
        <w:jc w:val="left"/>
        <w:rPr>
          <w:rFonts w:hint="eastAsia"/>
        </w:rPr>
      </w:pPr>
      <w:r>
        <w:rPr>
          <w:rFonts w:hint="eastAsia"/>
          <w:lang w:val="en-US" w:eastAsia="zh-CN"/>
        </w:rPr>
        <w:t>5.4..2</w:t>
      </w:r>
      <w:r>
        <w:rPr>
          <w:rFonts w:hint="eastAsia"/>
        </w:rPr>
        <w:t>诚信承诺</w:t>
      </w:r>
      <w:r>
        <w:rPr>
          <w:rFonts w:hint="eastAsia" w:ascii="宋体" w:hAnsi="宋体" w:eastAsia="宋体" w:cs="宋体"/>
          <w:color w:val="000000"/>
          <w:kern w:val="0"/>
          <w:sz w:val="20"/>
          <w:szCs w:val="20"/>
          <w:lang w:val="en-US" w:eastAsia="zh-CN" w:bidi="ar"/>
        </w:rPr>
        <w:t>内容包括但不限于：</w:t>
      </w:r>
    </w:p>
    <w:p w14:paraId="5E74409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lang w:val="en-US" w:eastAsia="zh-CN"/>
        </w:rPr>
        <w:t xml:space="preserve">a) </w:t>
      </w:r>
      <w:bookmarkStart w:id="57" w:name="OLE_LINK1"/>
      <w:r>
        <w:rPr>
          <w:rFonts w:hint="eastAsia"/>
        </w:rPr>
        <w:t>依法经营，坚持公平竞争的市场规则</w:t>
      </w:r>
      <w:r>
        <w:rPr>
          <w:rFonts w:hint="eastAsia"/>
          <w:lang w:eastAsia="zh-CN"/>
        </w:rPr>
        <w:t>，</w:t>
      </w:r>
      <w:r>
        <w:rPr>
          <w:rFonts w:hint="eastAsia"/>
          <w:lang w:val="en-US" w:eastAsia="zh-CN"/>
        </w:rPr>
        <w:t>不存在</w:t>
      </w:r>
      <w:r>
        <w:rPr>
          <w:rFonts w:hint="eastAsia"/>
        </w:rPr>
        <w:t>开展不正当竞争扰乱市场秩序和采取不正当竞争手段获取检测资源</w:t>
      </w:r>
      <w:r>
        <w:rPr>
          <w:rFonts w:hint="eastAsia"/>
          <w:lang w:eastAsia="zh-CN"/>
        </w:rPr>
        <w:t>；</w:t>
      </w:r>
      <w:bookmarkEnd w:id="57"/>
    </w:p>
    <w:p w14:paraId="1D6746C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lang w:val="en-US" w:eastAsia="zh-CN"/>
        </w:rPr>
        <w:t>c)</w:t>
      </w:r>
      <w:r>
        <w:rPr>
          <w:rFonts w:hint="eastAsia"/>
        </w:rPr>
        <w:t>严格</w:t>
      </w:r>
      <w:r>
        <w:rPr>
          <w:rFonts w:hint="eastAsia"/>
          <w:lang w:val="en-US" w:eastAsia="zh-CN"/>
        </w:rPr>
        <w:t>依据法律法规、安全技术规范、标准和作业指导文件开展检测工作</w:t>
      </w:r>
      <w:r>
        <w:rPr>
          <w:rFonts w:hint="eastAsia"/>
        </w:rPr>
        <w:t>，不出具虚假、失实或者重大疏漏的检测报告</w:t>
      </w:r>
      <w:r>
        <w:rPr>
          <w:rFonts w:hint="eastAsia"/>
          <w:lang w:eastAsia="zh-CN"/>
        </w:rPr>
        <w:t>；</w:t>
      </w:r>
    </w:p>
    <w:p w14:paraId="1F24588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d)</w:t>
      </w:r>
      <w:r>
        <w:rPr>
          <w:rFonts w:hint="eastAsia"/>
        </w:rPr>
        <w:t>实时在“安徽省特种设备公共服务平台”传递电梯检测数据信息，不擅自隐瞒和窜改</w:t>
      </w:r>
    </w:p>
    <w:p w14:paraId="3BAC05D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lang w:val="en-US" w:eastAsia="zh-CN"/>
        </w:rPr>
        <w:t>e)不</w:t>
      </w:r>
      <w:r>
        <w:rPr>
          <w:rFonts w:hint="eastAsia"/>
        </w:rPr>
        <w:t>出租</w:t>
      </w:r>
      <w:r>
        <w:rPr>
          <w:rFonts w:hint="eastAsia"/>
          <w:lang w:val="en-US" w:eastAsia="zh-CN"/>
        </w:rPr>
        <w:t>或</w:t>
      </w:r>
      <w:r>
        <w:rPr>
          <w:rFonts w:hint="eastAsia"/>
        </w:rPr>
        <w:t>出借</w:t>
      </w:r>
      <w:r>
        <w:rPr>
          <w:rFonts w:hint="eastAsia"/>
          <w:lang w:val="en-US" w:eastAsia="zh-CN"/>
        </w:rPr>
        <w:t>单位</w:t>
      </w:r>
      <w:r>
        <w:rPr>
          <w:rFonts w:hint="eastAsia"/>
        </w:rPr>
        <w:t>检测资质</w:t>
      </w:r>
      <w:r>
        <w:rPr>
          <w:rFonts w:hint="eastAsia"/>
          <w:lang w:eastAsia="zh-CN"/>
        </w:rPr>
        <w:t>；</w:t>
      </w:r>
    </w:p>
    <w:p w14:paraId="066135A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eastAsiaTheme="minorEastAsia"/>
          <w:lang w:val="en-US" w:eastAsia="zh-CN"/>
        </w:rPr>
      </w:pPr>
      <w:r>
        <w:rPr>
          <w:rFonts w:hint="eastAsia"/>
          <w:lang w:val="en-US" w:eastAsia="zh-CN"/>
        </w:rPr>
        <w:t>f)不违规向外分包检测业务；</w:t>
      </w:r>
    </w:p>
    <w:p w14:paraId="6C9751F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eastAsiaTheme="minorEastAsia"/>
          <w:lang w:eastAsia="zh-CN"/>
        </w:rPr>
      </w:pPr>
      <w:r>
        <w:rPr>
          <w:rFonts w:hint="eastAsia"/>
          <w:lang w:val="en-US" w:eastAsia="zh-CN"/>
        </w:rPr>
        <w:t>g)自觉</w:t>
      </w:r>
      <w:r>
        <w:rPr>
          <w:rFonts w:hint="eastAsia"/>
        </w:rPr>
        <w:t>接受</w:t>
      </w:r>
      <w:r>
        <w:rPr>
          <w:rFonts w:hint="eastAsia"/>
          <w:lang w:val="en-US" w:eastAsia="zh-CN"/>
        </w:rPr>
        <w:t>各级行政监督管理部门的监督管理</w:t>
      </w:r>
      <w:r>
        <w:rPr>
          <w:rFonts w:hint="eastAsia"/>
        </w:rPr>
        <w:t>，自觉接受社会</w:t>
      </w:r>
      <w:r>
        <w:rPr>
          <w:rFonts w:hint="eastAsia"/>
          <w:lang w:val="en-US" w:eastAsia="zh-CN"/>
        </w:rPr>
        <w:t>公众</w:t>
      </w:r>
      <w:r>
        <w:rPr>
          <w:rFonts w:hint="eastAsia"/>
        </w:rPr>
        <w:t>的监督</w:t>
      </w:r>
      <w:r>
        <w:rPr>
          <w:rFonts w:hint="eastAsia"/>
          <w:lang w:eastAsia="zh-CN"/>
        </w:rPr>
        <w:t>；</w:t>
      </w:r>
    </w:p>
    <w:p w14:paraId="5C76BFC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h)单位从业人员不存在</w:t>
      </w:r>
      <w:r>
        <w:rPr>
          <w:rFonts w:hint="eastAsia"/>
        </w:rPr>
        <w:t>下列行为：</w:t>
      </w:r>
    </w:p>
    <w:p w14:paraId="2D839BF9">
      <w:pPr>
        <w:keepNext w:val="0"/>
        <w:keepLines w:val="0"/>
        <w:pageBreakBefore w:val="0"/>
        <w:widowControl w:val="0"/>
        <w:kinsoku/>
        <w:wordWrap/>
        <w:overflowPunct/>
        <w:topLinePunct w:val="0"/>
        <w:autoSpaceDE/>
        <w:autoSpaceDN/>
        <w:bidi w:val="0"/>
        <w:adjustRightInd/>
        <w:snapToGrid/>
        <w:ind w:firstLine="840" w:firstLineChars="400"/>
        <w:textAlignment w:val="auto"/>
        <w:rPr>
          <w:rFonts w:hint="eastAsia"/>
          <w:lang w:val="en-US" w:eastAsia="zh-CN"/>
        </w:rPr>
      </w:pPr>
      <w:r>
        <w:rPr>
          <w:rFonts w:hint="eastAsia"/>
          <w:lang w:val="en-US" w:eastAsia="zh-CN"/>
        </w:rPr>
        <w:t>同时在两个以上检测检验机构从业</w:t>
      </w:r>
    </w:p>
    <w:p w14:paraId="54463CF8">
      <w:pPr>
        <w:keepNext w:val="0"/>
        <w:keepLines w:val="0"/>
        <w:pageBreakBefore w:val="0"/>
        <w:widowControl w:val="0"/>
        <w:kinsoku/>
        <w:wordWrap/>
        <w:overflowPunct/>
        <w:topLinePunct w:val="0"/>
        <w:autoSpaceDE/>
        <w:autoSpaceDN/>
        <w:bidi w:val="0"/>
        <w:adjustRightInd/>
        <w:snapToGrid/>
        <w:ind w:firstLine="840" w:firstLineChars="400"/>
        <w:textAlignment w:val="auto"/>
        <w:rPr>
          <w:rFonts w:hint="eastAsia"/>
          <w:lang w:val="en-US" w:eastAsia="zh-CN"/>
        </w:rPr>
      </w:pPr>
      <w:r>
        <w:rPr>
          <w:rFonts w:hint="eastAsia"/>
          <w:lang w:val="en-US" w:eastAsia="zh-CN"/>
        </w:rPr>
        <w:t>未取得检测资质条件或不再具备检测资质条件却从事检测工作</w:t>
      </w:r>
    </w:p>
    <w:p w14:paraId="59A68640">
      <w:pPr>
        <w:keepNext w:val="0"/>
        <w:keepLines w:val="0"/>
        <w:pageBreakBefore w:val="0"/>
        <w:widowControl w:val="0"/>
        <w:kinsoku/>
        <w:wordWrap/>
        <w:overflowPunct/>
        <w:topLinePunct w:val="0"/>
        <w:autoSpaceDE/>
        <w:autoSpaceDN/>
        <w:bidi w:val="0"/>
        <w:adjustRightInd/>
        <w:snapToGrid/>
        <w:ind w:firstLine="840" w:firstLineChars="400"/>
        <w:textAlignment w:val="auto"/>
        <w:rPr>
          <w:rFonts w:hint="eastAsia"/>
          <w:lang w:val="en-US" w:eastAsia="zh-CN"/>
        </w:rPr>
      </w:pPr>
      <w:r>
        <w:rPr>
          <w:rFonts w:hint="eastAsia"/>
          <w:lang w:val="en-US" w:eastAsia="zh-CN"/>
        </w:rPr>
        <w:t>冒用他人名义或者允许他人冒用本人名义在检测检验报告和原始记录中签名</w:t>
      </w:r>
    </w:p>
    <w:p w14:paraId="23884549">
      <w:pPr>
        <w:keepNext w:val="0"/>
        <w:keepLines w:val="0"/>
        <w:pageBreakBefore w:val="0"/>
        <w:widowControl w:val="0"/>
        <w:kinsoku/>
        <w:wordWrap/>
        <w:overflowPunct/>
        <w:topLinePunct w:val="0"/>
        <w:autoSpaceDE/>
        <w:autoSpaceDN/>
        <w:bidi w:val="0"/>
        <w:adjustRightInd/>
        <w:snapToGrid/>
        <w:ind w:firstLine="840" w:firstLineChars="400"/>
        <w:textAlignment w:val="auto"/>
        <w:rPr>
          <w:rFonts w:hint="eastAsia"/>
          <w:lang w:val="en-US" w:eastAsia="zh-CN"/>
        </w:rPr>
      </w:pPr>
      <w:r>
        <w:rPr>
          <w:rFonts w:hint="eastAsia"/>
          <w:lang w:val="en-US" w:eastAsia="zh-CN"/>
        </w:rPr>
        <w:t>弄虚作假，故意少检、漏检、错检项目，出具不实检测数据和结果</w:t>
      </w:r>
    </w:p>
    <w:p w14:paraId="707B5220">
      <w:pPr>
        <w:keepNext w:val="0"/>
        <w:keepLines w:val="0"/>
        <w:pageBreakBefore w:val="0"/>
        <w:widowControl w:val="0"/>
        <w:kinsoku/>
        <w:wordWrap/>
        <w:overflowPunct/>
        <w:topLinePunct w:val="0"/>
        <w:autoSpaceDE/>
        <w:autoSpaceDN/>
        <w:bidi w:val="0"/>
        <w:adjustRightInd/>
        <w:snapToGrid/>
        <w:ind w:firstLine="840" w:firstLineChars="400"/>
        <w:textAlignment w:val="auto"/>
        <w:rPr>
          <w:rFonts w:hint="default"/>
          <w:lang w:val="en-US" w:eastAsia="zh-CN"/>
        </w:rPr>
      </w:pPr>
      <w:bookmarkStart w:id="58" w:name="OLE_LINK3"/>
      <w:r>
        <w:rPr>
          <w:rFonts w:hint="eastAsia"/>
          <w:lang w:val="en-US" w:eastAsia="zh-CN"/>
        </w:rPr>
        <w:t>未经允许，泄露与检测服务对象有关的商业或技术机密</w:t>
      </w:r>
    </w:p>
    <w:bookmarkEnd w:id="58"/>
    <w:p w14:paraId="59E39806">
      <w:pPr>
        <w:pStyle w:val="57"/>
        <w:rPr>
          <w:rFonts w:hint="default"/>
          <w:lang w:val="en-US" w:eastAsia="zh-CN"/>
        </w:rPr>
      </w:pPr>
    </w:p>
    <w:p w14:paraId="792DC33D">
      <w:pPr>
        <w:pStyle w:val="105"/>
        <w:numPr>
          <w:ilvl w:val="1"/>
          <w:numId w:val="0"/>
        </w:numPr>
        <w:spacing w:before="312" w:after="312"/>
        <w:ind w:leftChars="0"/>
        <w:rPr>
          <w:rFonts w:hint="default"/>
          <w:lang w:val="en-US"/>
        </w:rPr>
      </w:pPr>
      <w:r>
        <w:rPr>
          <w:rFonts w:hint="eastAsia"/>
          <w:lang w:val="en-US" w:eastAsia="zh-CN"/>
        </w:rPr>
        <w:t>6 诚信评价</w:t>
      </w:r>
    </w:p>
    <w:p w14:paraId="15210401">
      <w:pPr>
        <w:pStyle w:val="106"/>
        <w:numPr>
          <w:ilvl w:val="2"/>
          <w:numId w:val="0"/>
        </w:numPr>
        <w:spacing w:before="156" w:after="156"/>
        <w:ind w:leftChars="0"/>
        <w:rPr>
          <w:rFonts w:hint="default"/>
          <w:lang w:val="en-US" w:eastAsia="zh-CN"/>
        </w:rPr>
      </w:pPr>
      <w:r>
        <w:rPr>
          <w:rFonts w:hint="eastAsia"/>
          <w:lang w:val="en-US" w:eastAsia="zh-CN"/>
        </w:rPr>
        <w:t>6.1 评价要求</w:t>
      </w:r>
    </w:p>
    <w:p w14:paraId="18A33966">
      <w:pPr>
        <w:pStyle w:val="57"/>
        <w:rPr>
          <w:rFonts w:hint="default" w:eastAsia="宋体"/>
          <w:lang w:val="en-US" w:eastAsia="zh-CN"/>
        </w:rPr>
      </w:pPr>
      <w:r>
        <w:rPr>
          <w:rFonts w:hint="eastAsia"/>
          <w:lang w:val="en-US" w:eastAsia="zh-CN"/>
        </w:rPr>
        <w:t>对电梯自行检测单位进行诚信评价时，应遵循以下要求：</w:t>
      </w:r>
    </w:p>
    <w:p w14:paraId="14F75DFB">
      <w:pPr>
        <w:pStyle w:val="57"/>
        <w:numPr>
          <w:ilvl w:val="0"/>
          <w:numId w:val="32"/>
        </w:numPr>
        <w:ind w:left="0" w:leftChars="0" w:firstLine="0" w:firstLineChars="0"/>
        <w:rPr>
          <w:rFonts w:hint="eastAsia" w:eastAsia="宋体"/>
          <w:lang w:val="en-US" w:eastAsia="zh-CN"/>
        </w:rPr>
      </w:pPr>
      <w:r>
        <w:rPr>
          <w:rFonts w:hint="eastAsia"/>
          <w:lang w:val="en-US" w:eastAsia="zh-CN"/>
        </w:rPr>
        <w:t>评价人员应熟悉本标准和相关特种设备安全技术规范。</w:t>
      </w:r>
    </w:p>
    <w:p w14:paraId="3149D05C">
      <w:pPr>
        <w:pStyle w:val="57"/>
        <w:numPr>
          <w:ilvl w:val="0"/>
          <w:numId w:val="32"/>
        </w:numPr>
        <w:rPr>
          <w:rFonts w:hint="eastAsia" w:eastAsia="宋体"/>
          <w:lang w:val="en-US" w:eastAsia="zh-CN"/>
        </w:rPr>
      </w:pPr>
      <w:r>
        <w:rPr>
          <w:rFonts w:hint="eastAsia"/>
          <w:lang w:val="en-US" w:eastAsia="zh-CN"/>
        </w:rPr>
        <w:t>按评价指标体系，设定权重及分值。</w:t>
      </w:r>
    </w:p>
    <w:p w14:paraId="1B6A0853">
      <w:pPr>
        <w:pStyle w:val="57"/>
        <w:numPr>
          <w:ilvl w:val="0"/>
          <w:numId w:val="32"/>
        </w:numPr>
        <w:ind w:left="0" w:leftChars="0" w:firstLine="0" w:firstLineChars="0"/>
        <w:rPr>
          <w:rFonts w:hint="eastAsia" w:eastAsia="宋体"/>
          <w:lang w:val="en-US" w:eastAsia="zh-CN"/>
        </w:rPr>
      </w:pPr>
      <w:r>
        <w:rPr>
          <w:rFonts w:hint="eastAsia"/>
          <w:lang w:val="en-US" w:eastAsia="zh-CN"/>
        </w:rPr>
        <w:t>评价过程应公平公正、科学严谨、规范全面。</w:t>
      </w:r>
    </w:p>
    <w:p w14:paraId="06B6F13A">
      <w:pPr>
        <w:pStyle w:val="57"/>
        <w:numPr>
          <w:ilvl w:val="0"/>
          <w:numId w:val="32"/>
        </w:numPr>
        <w:ind w:left="0" w:leftChars="0" w:firstLine="0" w:firstLineChars="0"/>
        <w:rPr>
          <w:rFonts w:hint="eastAsia" w:eastAsia="宋体"/>
          <w:lang w:val="en-US" w:eastAsia="zh-CN"/>
        </w:rPr>
      </w:pPr>
      <w:r>
        <w:rPr>
          <w:rFonts w:hint="eastAsia"/>
          <w:lang w:val="en-US" w:eastAsia="zh-CN"/>
        </w:rPr>
        <w:t>评价结果应客观、准确。</w:t>
      </w:r>
    </w:p>
    <w:p w14:paraId="7D652AD0">
      <w:pPr>
        <w:pStyle w:val="57"/>
        <w:numPr>
          <w:ilvl w:val="0"/>
          <w:numId w:val="32"/>
        </w:numPr>
        <w:ind w:left="0" w:leftChars="0" w:firstLine="0" w:firstLineChars="0"/>
      </w:pPr>
      <w:r>
        <w:rPr>
          <w:rFonts w:hint="eastAsia"/>
          <w:lang w:val="en-US" w:eastAsia="zh-CN"/>
        </w:rPr>
        <w:t>对评价过程中所获取的单位信息予以保密。</w:t>
      </w:r>
    </w:p>
    <w:p w14:paraId="2DAF5212">
      <w:pPr>
        <w:pStyle w:val="106"/>
        <w:numPr>
          <w:ilvl w:val="2"/>
          <w:numId w:val="0"/>
        </w:numPr>
        <w:spacing w:before="156" w:after="156"/>
        <w:ind w:leftChars="0"/>
        <w:rPr>
          <w:rFonts w:hint="default"/>
          <w:lang w:val="en-US" w:eastAsia="zh-CN"/>
        </w:rPr>
      </w:pPr>
      <w:r>
        <w:rPr>
          <w:rFonts w:hint="eastAsia"/>
          <w:lang w:val="en-US" w:eastAsia="zh-CN"/>
        </w:rPr>
        <w:t>6.2 评价组织</w:t>
      </w:r>
    </w:p>
    <w:p w14:paraId="4414DA61">
      <w:pPr>
        <w:pStyle w:val="57"/>
        <w:rPr>
          <w:rFonts w:hint="eastAsia"/>
          <w:lang w:val="en-US" w:eastAsia="zh-CN"/>
        </w:rPr>
      </w:pPr>
      <w:r>
        <w:rPr>
          <w:rFonts w:hint="eastAsia"/>
          <w:lang w:val="en-US" w:eastAsia="zh-CN"/>
        </w:rPr>
        <w:t>政府行政监督管理部门或评价机构组织不少于3名电梯安全监察或检验检测领域专家组成评审组开展评价，电梯自行检测单位也可自行组织评价。</w:t>
      </w:r>
    </w:p>
    <w:p w14:paraId="3107A5A6">
      <w:pPr>
        <w:pStyle w:val="106"/>
        <w:numPr>
          <w:ilvl w:val="2"/>
          <w:numId w:val="0"/>
        </w:numPr>
        <w:spacing w:before="156" w:after="156"/>
        <w:ind w:leftChars="0"/>
        <w:rPr>
          <w:rFonts w:hint="default"/>
          <w:lang w:val="en-US" w:eastAsia="zh-CN"/>
        </w:rPr>
      </w:pPr>
      <w:r>
        <w:rPr>
          <w:rFonts w:hint="eastAsia"/>
          <w:lang w:val="en-US" w:eastAsia="zh-CN"/>
        </w:rPr>
        <w:t>6.3 评价程序</w:t>
      </w:r>
    </w:p>
    <w:p w14:paraId="6F9F317D">
      <w:pPr>
        <w:pStyle w:val="57"/>
        <w:rPr>
          <w:rFonts w:hint="eastAsia"/>
          <w:lang w:val="en-US" w:eastAsia="zh-CN"/>
        </w:rPr>
      </w:pPr>
      <w:r>
        <w:rPr>
          <w:rFonts w:hint="eastAsia"/>
          <w:lang w:val="en-US" w:eastAsia="zh-CN"/>
        </w:rPr>
        <w:t>评价工作应遵循以下程序：</w:t>
      </w:r>
    </w:p>
    <w:p w14:paraId="2379853A">
      <w:pPr>
        <w:pStyle w:val="58"/>
        <w:numPr>
          <w:ilvl w:val="0"/>
          <w:numId w:val="33"/>
        </w:numPr>
        <w:bidi w:val="0"/>
        <w:rPr>
          <w:rFonts w:hint="eastAsia"/>
          <w:lang w:val="en-US" w:eastAsia="zh-CN"/>
        </w:rPr>
      </w:pPr>
      <w:r>
        <w:rPr>
          <w:rFonts w:hint="eastAsia"/>
          <w:lang w:val="en-US" w:eastAsia="zh-CN"/>
        </w:rPr>
        <w:t>宣传发动，组织评价活动培训及宣传活动。</w:t>
      </w:r>
    </w:p>
    <w:p w14:paraId="4FDE369F">
      <w:pPr>
        <w:pStyle w:val="58"/>
        <w:numPr>
          <w:ilvl w:val="0"/>
          <w:numId w:val="33"/>
        </w:numPr>
        <w:bidi w:val="0"/>
        <w:rPr>
          <w:rFonts w:hint="default"/>
          <w:lang w:val="en-US" w:eastAsia="zh-CN"/>
        </w:rPr>
      </w:pPr>
      <w:r>
        <w:rPr>
          <w:rFonts w:hint="default"/>
          <w:lang w:val="en-US" w:eastAsia="zh-CN"/>
        </w:rPr>
        <w:t>编制方案，编制评价工作方案，确定评价</w:t>
      </w:r>
      <w:r>
        <w:rPr>
          <w:rFonts w:hint="eastAsia"/>
          <w:lang w:val="en-US" w:eastAsia="zh-CN"/>
        </w:rPr>
        <w:t>流程</w:t>
      </w:r>
      <w:r>
        <w:rPr>
          <w:rFonts w:hint="default"/>
          <w:lang w:val="en-US" w:eastAsia="zh-CN"/>
        </w:rPr>
        <w:t>、评价专家和评价对象。</w:t>
      </w:r>
    </w:p>
    <w:p w14:paraId="0B960510">
      <w:pPr>
        <w:pStyle w:val="58"/>
        <w:numPr>
          <w:ilvl w:val="0"/>
          <w:numId w:val="33"/>
        </w:numPr>
        <w:bidi w:val="0"/>
        <w:rPr>
          <w:rFonts w:hint="default"/>
          <w:lang w:val="en-US" w:eastAsia="zh-CN"/>
        </w:rPr>
      </w:pPr>
      <w:r>
        <w:rPr>
          <w:rFonts w:hint="eastAsia"/>
          <w:lang w:val="en-US" w:eastAsia="zh-CN"/>
        </w:rPr>
        <w:t>被评主体</w:t>
      </w:r>
      <w:r>
        <w:rPr>
          <w:rFonts w:hint="default"/>
          <w:lang w:val="en-US" w:eastAsia="zh-CN"/>
        </w:rPr>
        <w:t>申请，</w:t>
      </w:r>
      <w:r>
        <w:rPr>
          <w:rFonts w:hint="eastAsia"/>
          <w:lang w:val="en-US" w:eastAsia="zh-CN"/>
        </w:rPr>
        <w:t>被评主体</w:t>
      </w:r>
      <w:r>
        <w:rPr>
          <w:rFonts w:hint="default"/>
          <w:lang w:val="en-US" w:eastAsia="zh-CN"/>
        </w:rPr>
        <w:t>自愿提交外部评价申请。</w:t>
      </w:r>
    </w:p>
    <w:p w14:paraId="00AE9FB2">
      <w:pPr>
        <w:pStyle w:val="58"/>
        <w:numPr>
          <w:ilvl w:val="0"/>
          <w:numId w:val="33"/>
        </w:numPr>
        <w:bidi w:val="0"/>
        <w:rPr>
          <w:rFonts w:hint="default"/>
          <w:lang w:val="en-US" w:eastAsia="zh-CN"/>
        </w:rPr>
      </w:pPr>
      <w:r>
        <w:rPr>
          <w:rFonts w:hint="default"/>
          <w:lang w:val="en-US" w:eastAsia="zh-CN"/>
        </w:rPr>
        <w:t>材料评审，对</w:t>
      </w:r>
      <w:r>
        <w:rPr>
          <w:rFonts w:hint="eastAsia"/>
          <w:lang w:val="en-US" w:eastAsia="zh-CN"/>
        </w:rPr>
        <w:t>被评主体</w:t>
      </w:r>
      <w:r>
        <w:rPr>
          <w:rFonts w:hint="default"/>
          <w:lang w:val="en-US" w:eastAsia="zh-CN"/>
        </w:rPr>
        <w:t>提交的申请材料进行评审。</w:t>
      </w:r>
    </w:p>
    <w:p w14:paraId="78C4272C">
      <w:pPr>
        <w:pStyle w:val="58"/>
        <w:numPr>
          <w:ilvl w:val="0"/>
          <w:numId w:val="33"/>
        </w:numPr>
        <w:bidi w:val="0"/>
        <w:rPr>
          <w:rFonts w:hint="default"/>
          <w:lang w:val="en-US" w:eastAsia="zh-CN"/>
        </w:rPr>
      </w:pPr>
      <w:r>
        <w:rPr>
          <w:rFonts w:hint="default"/>
          <w:lang w:val="en-US" w:eastAsia="zh-CN"/>
        </w:rPr>
        <w:t>现场评价，对通过材料评审</w:t>
      </w:r>
      <w:r>
        <w:rPr>
          <w:rFonts w:hint="eastAsia"/>
          <w:lang w:val="en-US" w:eastAsia="zh-CN"/>
        </w:rPr>
        <w:t>的被评主体</w:t>
      </w:r>
      <w:r>
        <w:rPr>
          <w:rFonts w:hint="default"/>
          <w:lang w:val="en-US" w:eastAsia="zh-CN"/>
        </w:rPr>
        <w:t>开展现场评价。</w:t>
      </w:r>
    </w:p>
    <w:p w14:paraId="40B76577">
      <w:pPr>
        <w:pStyle w:val="58"/>
        <w:numPr>
          <w:ilvl w:val="0"/>
          <w:numId w:val="33"/>
        </w:numPr>
        <w:bidi w:val="0"/>
        <w:rPr>
          <w:rFonts w:hint="default"/>
          <w:lang w:val="en-US" w:eastAsia="zh-CN"/>
        </w:rPr>
      </w:pPr>
      <w:r>
        <w:rPr>
          <w:rFonts w:hint="default"/>
          <w:lang w:val="en-US" w:eastAsia="zh-CN"/>
        </w:rPr>
        <w:t>异议处理</w:t>
      </w:r>
      <w:r>
        <w:rPr>
          <w:rFonts w:hint="eastAsia"/>
          <w:lang w:val="en-US" w:eastAsia="zh-CN"/>
        </w:rPr>
        <w:t>，被评价主体对诚信评价结果存在异议，并在规定的时限内提供补充材料，信用评价机构应对其进行复评，复评结果为最终结果。</w:t>
      </w:r>
    </w:p>
    <w:p w14:paraId="28B5601B">
      <w:pPr>
        <w:pStyle w:val="58"/>
        <w:numPr>
          <w:ilvl w:val="0"/>
          <w:numId w:val="33"/>
        </w:numPr>
        <w:bidi w:val="0"/>
        <w:rPr>
          <w:rFonts w:hint="default"/>
          <w:lang w:val="en-US" w:eastAsia="zh-CN"/>
        </w:rPr>
      </w:pPr>
      <w:r>
        <w:rPr>
          <w:rFonts w:hint="default"/>
          <w:lang w:val="en-US" w:eastAsia="zh-CN"/>
        </w:rPr>
        <w:t>评价审核，对现场评价材料进行复核，并经相关部门审核。</w:t>
      </w:r>
    </w:p>
    <w:p w14:paraId="7467DD07">
      <w:pPr>
        <w:pStyle w:val="58"/>
        <w:numPr>
          <w:ilvl w:val="0"/>
          <w:numId w:val="33"/>
        </w:numPr>
        <w:bidi w:val="0"/>
        <w:rPr>
          <w:rFonts w:hint="default"/>
          <w:lang w:val="en-US" w:eastAsia="zh-CN"/>
        </w:rPr>
      </w:pPr>
      <w:r>
        <w:rPr>
          <w:rFonts w:hint="default"/>
          <w:lang w:val="en-US" w:eastAsia="zh-CN"/>
        </w:rPr>
        <w:t>社会公示，评价结果对外进行公示，接受社会监督。</w:t>
      </w:r>
    </w:p>
    <w:p w14:paraId="3115E88D">
      <w:pPr>
        <w:pStyle w:val="58"/>
        <w:numPr>
          <w:ilvl w:val="0"/>
          <w:numId w:val="33"/>
        </w:numPr>
        <w:bidi w:val="0"/>
        <w:rPr>
          <w:rFonts w:hint="default"/>
          <w:lang w:val="en-US" w:eastAsia="zh-CN"/>
        </w:rPr>
      </w:pPr>
      <w:r>
        <w:rPr>
          <w:rFonts w:hint="default"/>
          <w:lang w:val="en-US" w:eastAsia="zh-CN"/>
        </w:rPr>
        <w:t>结果发布，发布评价结果。</w:t>
      </w:r>
    </w:p>
    <w:p w14:paraId="221EAA45">
      <w:pPr>
        <w:pStyle w:val="106"/>
        <w:numPr>
          <w:ilvl w:val="2"/>
          <w:numId w:val="0"/>
        </w:numPr>
        <w:spacing w:before="156" w:after="156"/>
        <w:ind w:leftChars="0"/>
        <w:rPr>
          <w:rFonts w:hint="default"/>
          <w:lang w:val="en-US" w:eastAsia="zh-CN"/>
        </w:rPr>
      </w:pPr>
      <w:r>
        <w:rPr>
          <w:rFonts w:hint="eastAsia"/>
          <w:lang w:val="en-US" w:eastAsia="zh-CN"/>
        </w:rPr>
        <w:t>6.4 评价指标</w:t>
      </w:r>
    </w:p>
    <w:p w14:paraId="4B236BB5">
      <w:pPr>
        <w:pStyle w:val="57"/>
        <w:rPr>
          <w:rFonts w:hint="default" w:eastAsia="宋体"/>
          <w:lang w:val="en-US" w:eastAsia="zh-CN"/>
        </w:rPr>
      </w:pPr>
      <w:bookmarkStart w:id="59" w:name="OLE_LINK5"/>
      <w:r>
        <w:rPr>
          <w:rFonts w:hint="eastAsia"/>
          <w:lang w:val="en-US" w:eastAsia="zh-CN"/>
        </w:rPr>
        <w:t>电梯自行检测单位诚信要素评价指标，具体见附录A。评价专家可根据被评对象特征以及信息资源情况，依据本标准，合理设置、调整或细化指标项。</w:t>
      </w:r>
    </w:p>
    <w:bookmarkEnd w:id="59"/>
    <w:p w14:paraId="252C1542">
      <w:pPr>
        <w:pStyle w:val="106"/>
        <w:numPr>
          <w:ilvl w:val="2"/>
          <w:numId w:val="0"/>
        </w:numPr>
        <w:spacing w:before="156" w:after="156"/>
        <w:ind w:leftChars="0"/>
        <w:rPr>
          <w:rFonts w:hint="default"/>
          <w:lang w:val="en-US" w:eastAsia="zh-CN"/>
        </w:rPr>
      </w:pPr>
      <w:r>
        <w:rPr>
          <w:rFonts w:hint="eastAsia"/>
          <w:lang w:val="en-US" w:eastAsia="zh-CN"/>
        </w:rPr>
        <w:t>6.5 评价方法</w:t>
      </w:r>
    </w:p>
    <w:p w14:paraId="15371FC8">
      <w:pPr>
        <w:pStyle w:val="225"/>
        <w:numPr>
          <w:ilvl w:val="3"/>
          <w:numId w:val="0"/>
        </w:numPr>
        <w:ind w:leftChars="-200" w:firstLine="420" w:firstLineChars="200"/>
        <w:rPr>
          <w:rFonts w:hint="eastAsia" w:hAnsi="宋体"/>
          <w:lang w:val="en-US" w:eastAsia="zh-CN"/>
        </w:rPr>
      </w:pPr>
      <w:r>
        <w:rPr>
          <w:rFonts w:hint="eastAsia" w:hAnsi="宋体"/>
          <w:lang w:val="en-US" w:eastAsia="zh-CN"/>
        </w:rPr>
        <w:t>诚信评价按照诚信要素指标设定的权重及分值，实行</w:t>
      </w:r>
      <w:r>
        <w:rPr>
          <w:rFonts w:hint="eastAsia" w:hAnsi="宋体"/>
        </w:rPr>
        <w:t>扣分制，初始分为100</w:t>
      </w:r>
      <w:r>
        <w:rPr>
          <w:rFonts w:hint="eastAsia" w:hAnsi="宋体"/>
          <w:lang w:val="en-US" w:eastAsia="zh-CN"/>
        </w:rPr>
        <w:t>分</w:t>
      </w:r>
      <w:r>
        <w:rPr>
          <w:rFonts w:hint="eastAsia" w:hAnsi="宋体"/>
          <w:lang w:eastAsia="zh-CN"/>
        </w:rPr>
        <w:t>，</w:t>
      </w:r>
      <w:r>
        <w:rPr>
          <w:rFonts w:hint="eastAsia" w:hAnsi="宋体"/>
          <w:lang w:val="en-US" w:eastAsia="zh-CN"/>
        </w:rPr>
        <w:t>对不符合项按照设定的权重分进行扣分，诚信分值=初始分-扣分值。</w:t>
      </w:r>
    </w:p>
    <w:p w14:paraId="6E8F9062">
      <w:pPr>
        <w:pStyle w:val="225"/>
        <w:numPr>
          <w:ilvl w:val="3"/>
          <w:numId w:val="0"/>
        </w:numPr>
        <w:ind w:leftChars="-200" w:firstLine="420" w:firstLineChars="200"/>
        <w:rPr>
          <w:rFonts w:hint="eastAsia" w:hAnsi="宋体"/>
          <w:lang w:val="en-US" w:eastAsia="zh-CN"/>
        </w:rPr>
      </w:pPr>
      <w:r>
        <w:rPr>
          <w:rFonts w:hint="eastAsia"/>
          <w:lang w:val="en-US" w:eastAsia="zh-CN"/>
        </w:rPr>
        <w:t>诚信指标设置否决项，</w:t>
      </w:r>
      <w:r>
        <w:rPr>
          <w:rFonts w:hint="eastAsia" w:hAnsi="宋体"/>
          <w:lang w:val="en-US" w:eastAsia="zh-CN"/>
        </w:rPr>
        <w:t>否决项指标如有，应“一票否决”，终止评价。</w:t>
      </w:r>
    </w:p>
    <w:p w14:paraId="4D2E2D20">
      <w:pPr>
        <w:pStyle w:val="106"/>
        <w:numPr>
          <w:ilvl w:val="2"/>
          <w:numId w:val="0"/>
        </w:numPr>
        <w:spacing w:before="156" w:after="156"/>
        <w:ind w:leftChars="0"/>
        <w:rPr>
          <w:rFonts w:hint="default"/>
          <w:lang w:val="en-US" w:eastAsia="zh-CN"/>
        </w:rPr>
      </w:pPr>
      <w:r>
        <w:rPr>
          <w:rFonts w:hint="eastAsia"/>
          <w:lang w:val="en-US" w:eastAsia="zh-CN"/>
        </w:rPr>
        <w:t>6.6 评价结果表示</w:t>
      </w:r>
    </w:p>
    <w:p w14:paraId="2087F02A">
      <w:pPr>
        <w:pStyle w:val="57"/>
        <w:rPr>
          <w:rFonts w:hint="eastAsia"/>
          <w:lang w:val="en-US" w:eastAsia="zh-CN"/>
        </w:rPr>
      </w:pPr>
      <w:r>
        <w:rPr>
          <w:rFonts w:hint="eastAsia"/>
          <w:lang w:val="en-US" w:eastAsia="zh-CN"/>
        </w:rPr>
        <w:t>评价结果按照诚信分值的不同，分</w:t>
      </w:r>
      <w:r>
        <w:rPr>
          <w:rFonts w:hint="eastAsia" w:hAnsi="宋体"/>
        </w:rPr>
        <w:t>为“</w:t>
      </w:r>
      <w:r>
        <w:rPr>
          <w:rFonts w:hint="eastAsia" w:hAnsi="宋体"/>
          <w:lang w:val="en-US" w:eastAsia="zh-CN"/>
        </w:rPr>
        <w:t>A</w:t>
      </w:r>
      <w:r>
        <w:rPr>
          <w:rFonts w:hint="eastAsia" w:hAnsi="宋体"/>
        </w:rPr>
        <w:t>”、“</w:t>
      </w:r>
      <w:r>
        <w:rPr>
          <w:rFonts w:hint="eastAsia" w:hAnsi="宋体"/>
          <w:lang w:val="en-US" w:eastAsia="zh-CN"/>
        </w:rPr>
        <w:t>B</w:t>
      </w:r>
      <w:r>
        <w:rPr>
          <w:rFonts w:hint="eastAsia" w:hAnsi="宋体"/>
        </w:rPr>
        <w:t>”、“</w:t>
      </w:r>
      <w:r>
        <w:rPr>
          <w:rFonts w:hint="eastAsia" w:hAnsi="宋体"/>
          <w:lang w:val="en-US" w:eastAsia="zh-CN"/>
        </w:rPr>
        <w:t>C</w:t>
      </w:r>
      <w:r>
        <w:rPr>
          <w:rFonts w:hint="eastAsia" w:hAnsi="宋体"/>
        </w:rPr>
        <w:t>”、“</w:t>
      </w:r>
      <w:r>
        <w:rPr>
          <w:rFonts w:hint="eastAsia" w:hAnsi="宋体"/>
          <w:lang w:val="en-US" w:eastAsia="zh-CN"/>
        </w:rPr>
        <w:t>D</w:t>
      </w:r>
      <w:r>
        <w:rPr>
          <w:rFonts w:hint="eastAsia" w:hAnsi="宋体"/>
        </w:rPr>
        <w:t>”4个等级，</w:t>
      </w:r>
      <w:r>
        <w:rPr>
          <w:rFonts w:hint="eastAsia" w:hAnsi="宋体"/>
          <w:lang w:val="en-US" w:eastAsia="zh-CN"/>
        </w:rPr>
        <w:t>等级</w:t>
      </w:r>
      <w:r>
        <w:rPr>
          <w:rFonts w:hint="eastAsia" w:hAnsi="宋体"/>
        </w:rPr>
        <w:t>对应分值范围</w:t>
      </w:r>
      <w:r>
        <w:rPr>
          <w:rFonts w:hint="eastAsia" w:hAnsi="宋体"/>
          <w:lang w:eastAsia="zh-CN"/>
        </w:rPr>
        <w:t>，</w:t>
      </w:r>
      <w:r>
        <w:rPr>
          <w:rFonts w:hint="eastAsia" w:hAnsi="宋体"/>
        </w:rPr>
        <w:t>见表1</w:t>
      </w:r>
      <w:r>
        <w:rPr>
          <w:rFonts w:hint="eastAsia"/>
          <w:lang w:val="en-US" w:eastAsia="zh-CN"/>
        </w:rPr>
        <w:t>诚信等级表。</w:t>
      </w:r>
      <w:r>
        <w:rPr>
          <w:rFonts w:hint="eastAsia" w:hAnsi="宋体"/>
          <w:lang w:val="en-US" w:eastAsia="zh-CN"/>
        </w:rPr>
        <w:t>A级为守信，B级为基本守信，C级为失信，D及为严重失信。</w:t>
      </w:r>
    </w:p>
    <w:p w14:paraId="00773943">
      <w:pPr>
        <w:pStyle w:val="57"/>
        <w:rPr>
          <w:rFonts w:hint="eastAsia"/>
          <w:lang w:val="en-US" w:eastAsia="zh-CN"/>
        </w:rPr>
      </w:pPr>
    </w:p>
    <w:p w14:paraId="1FCF31EA">
      <w:pPr>
        <w:autoSpaceDE w:val="0"/>
        <w:spacing w:line="360" w:lineRule="auto"/>
        <w:ind w:firstLine="420" w:firstLineChars="200"/>
        <w:jc w:val="center"/>
        <w:rPr>
          <w:rFonts w:hint="default" w:hAnsi="宋体" w:eastAsia="宋体"/>
          <w:lang w:val="en-US" w:eastAsia="zh-CN"/>
        </w:rPr>
      </w:pPr>
      <w:r>
        <w:rPr>
          <w:rFonts w:hint="eastAsia" w:ascii="宋体" w:hAnsi="宋体"/>
        </w:rPr>
        <w:t>表</w:t>
      </w:r>
      <w:r>
        <w:rPr>
          <w:rFonts w:hint="eastAsia"/>
        </w:rPr>
        <w:t>1</w:t>
      </w:r>
      <w:r>
        <w:rPr>
          <w:rFonts w:hint="eastAsia"/>
          <w:lang w:val="en-US" w:eastAsia="zh-CN"/>
        </w:rPr>
        <w:t xml:space="preserve"> 诚信等级表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04455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op w:val="single" w:color="auto" w:sz="4" w:space="0"/>
              <w:left w:val="single" w:color="auto" w:sz="4" w:space="0"/>
              <w:bottom w:val="single" w:color="auto" w:sz="4" w:space="0"/>
              <w:right w:val="single" w:color="auto" w:sz="4" w:space="0"/>
            </w:tcBorders>
            <w:vAlign w:val="center"/>
          </w:tcPr>
          <w:p w14:paraId="033DCDB4">
            <w:pPr>
              <w:jc w:val="center"/>
              <w:rPr>
                <w:rFonts w:ascii="Times New Roman" w:hAnsi="宋体"/>
              </w:rPr>
            </w:pPr>
            <w:r>
              <w:rPr>
                <w:rFonts w:hint="eastAsia" w:hAnsi="宋体"/>
              </w:rPr>
              <w:t>结论</w:t>
            </w:r>
          </w:p>
        </w:tc>
        <w:tc>
          <w:tcPr>
            <w:tcW w:w="1914" w:type="dxa"/>
            <w:tcBorders>
              <w:top w:val="single" w:color="auto" w:sz="4" w:space="0"/>
              <w:left w:val="single" w:color="auto" w:sz="4" w:space="0"/>
              <w:bottom w:val="single" w:color="auto" w:sz="4" w:space="0"/>
              <w:right w:val="single" w:color="auto" w:sz="4" w:space="0"/>
            </w:tcBorders>
            <w:vAlign w:val="center"/>
          </w:tcPr>
          <w:p w14:paraId="1210F930">
            <w:pPr>
              <w:autoSpaceDE w:val="0"/>
              <w:spacing w:line="360" w:lineRule="auto"/>
              <w:jc w:val="center"/>
              <w:rPr>
                <w:rFonts w:hint="default" w:ascii="Times New Roman" w:hAnsi="宋体" w:eastAsia="宋体"/>
                <w:lang w:val="en-US" w:eastAsia="zh-CN"/>
              </w:rPr>
            </w:pPr>
            <w:r>
              <w:rPr>
                <w:rFonts w:hint="eastAsia" w:ascii="Times New Roman" w:hAnsi="宋体"/>
                <w:lang w:val="en-US" w:eastAsia="zh-CN"/>
              </w:rPr>
              <w:t>A</w:t>
            </w:r>
          </w:p>
        </w:tc>
        <w:tc>
          <w:tcPr>
            <w:tcW w:w="1914" w:type="dxa"/>
            <w:tcBorders>
              <w:top w:val="single" w:color="auto" w:sz="4" w:space="0"/>
              <w:left w:val="single" w:color="auto" w:sz="4" w:space="0"/>
              <w:bottom w:val="single" w:color="auto" w:sz="4" w:space="0"/>
              <w:right w:val="single" w:color="auto" w:sz="4" w:space="0"/>
            </w:tcBorders>
            <w:vAlign w:val="center"/>
          </w:tcPr>
          <w:p w14:paraId="0B99780F">
            <w:pPr>
              <w:autoSpaceDE w:val="0"/>
              <w:spacing w:line="360" w:lineRule="auto"/>
              <w:jc w:val="center"/>
              <w:rPr>
                <w:rFonts w:hint="default" w:ascii="Times New Roman" w:hAnsi="宋体" w:eastAsia="宋体"/>
                <w:lang w:val="en-US" w:eastAsia="zh-CN"/>
              </w:rPr>
            </w:pPr>
            <w:r>
              <w:rPr>
                <w:rFonts w:hint="eastAsia" w:ascii="Times New Roman" w:hAnsi="宋体"/>
                <w:lang w:val="en-US" w:eastAsia="zh-CN"/>
              </w:rPr>
              <w:t>B</w:t>
            </w:r>
          </w:p>
        </w:tc>
        <w:tc>
          <w:tcPr>
            <w:tcW w:w="1914" w:type="dxa"/>
            <w:tcBorders>
              <w:top w:val="single" w:color="auto" w:sz="4" w:space="0"/>
              <w:left w:val="single" w:color="auto" w:sz="4" w:space="0"/>
              <w:bottom w:val="single" w:color="auto" w:sz="4" w:space="0"/>
              <w:right w:val="single" w:color="auto" w:sz="4" w:space="0"/>
            </w:tcBorders>
            <w:vAlign w:val="center"/>
          </w:tcPr>
          <w:p w14:paraId="2EB3BC80">
            <w:pPr>
              <w:autoSpaceDE w:val="0"/>
              <w:spacing w:line="360" w:lineRule="auto"/>
              <w:jc w:val="center"/>
              <w:rPr>
                <w:rFonts w:hint="default" w:ascii="Times New Roman" w:hAnsi="宋体" w:eastAsia="宋体"/>
                <w:lang w:val="en-US" w:eastAsia="zh-CN"/>
              </w:rPr>
            </w:pPr>
            <w:r>
              <w:rPr>
                <w:rFonts w:hint="eastAsia" w:ascii="Times New Roman" w:hAnsi="宋体"/>
                <w:lang w:val="en-US" w:eastAsia="zh-CN"/>
              </w:rPr>
              <w:t>C</w:t>
            </w:r>
          </w:p>
        </w:tc>
        <w:tc>
          <w:tcPr>
            <w:tcW w:w="1914" w:type="dxa"/>
            <w:tcBorders>
              <w:top w:val="single" w:color="auto" w:sz="4" w:space="0"/>
              <w:left w:val="single" w:color="auto" w:sz="4" w:space="0"/>
              <w:bottom w:val="single" w:color="auto" w:sz="4" w:space="0"/>
              <w:right w:val="single" w:color="auto" w:sz="4" w:space="0"/>
            </w:tcBorders>
            <w:vAlign w:val="center"/>
          </w:tcPr>
          <w:p w14:paraId="1BC365E0">
            <w:pPr>
              <w:autoSpaceDE w:val="0"/>
              <w:spacing w:line="360" w:lineRule="auto"/>
              <w:jc w:val="center"/>
              <w:rPr>
                <w:rFonts w:hint="default" w:ascii="Times New Roman" w:hAnsi="宋体" w:eastAsia="宋体"/>
                <w:lang w:val="en-US" w:eastAsia="zh-CN"/>
              </w:rPr>
            </w:pPr>
            <w:r>
              <w:rPr>
                <w:rFonts w:hint="eastAsia" w:ascii="Times New Roman" w:hAnsi="宋体"/>
                <w:lang w:val="en-US" w:eastAsia="zh-CN"/>
              </w:rPr>
              <w:t>D</w:t>
            </w:r>
          </w:p>
        </w:tc>
      </w:tr>
      <w:tr w14:paraId="7A1D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Borders>
              <w:top w:val="single" w:color="auto" w:sz="4" w:space="0"/>
              <w:left w:val="single" w:color="auto" w:sz="4" w:space="0"/>
              <w:bottom w:val="single" w:color="auto" w:sz="4" w:space="0"/>
              <w:right w:val="single" w:color="auto" w:sz="4" w:space="0"/>
            </w:tcBorders>
            <w:vAlign w:val="center"/>
          </w:tcPr>
          <w:p w14:paraId="5DA1741B">
            <w:pPr>
              <w:autoSpaceDE w:val="0"/>
              <w:spacing w:line="360" w:lineRule="auto"/>
              <w:jc w:val="center"/>
              <w:rPr>
                <w:rFonts w:ascii="Times New Roman" w:hAnsi="宋体"/>
              </w:rPr>
            </w:pPr>
            <w:r>
              <w:rPr>
                <w:rFonts w:hint="eastAsia" w:hAnsi="宋体"/>
              </w:rPr>
              <w:t>分值范围</w:t>
            </w:r>
          </w:p>
        </w:tc>
        <w:tc>
          <w:tcPr>
            <w:tcW w:w="1914" w:type="dxa"/>
            <w:tcBorders>
              <w:top w:val="single" w:color="auto" w:sz="4" w:space="0"/>
              <w:left w:val="single" w:color="auto" w:sz="4" w:space="0"/>
              <w:bottom w:val="single" w:color="auto" w:sz="4" w:space="0"/>
              <w:right w:val="single" w:color="auto" w:sz="4" w:space="0"/>
            </w:tcBorders>
            <w:vAlign w:val="center"/>
          </w:tcPr>
          <w:p w14:paraId="315D82D2">
            <w:pPr>
              <w:jc w:val="center"/>
              <w:rPr>
                <w:rFonts w:hint="eastAsia" w:ascii="Times New Roman" w:hAnsi="宋体" w:eastAsia="宋体"/>
                <w:lang w:val="en-US" w:eastAsia="zh-CN"/>
              </w:rPr>
            </w:pPr>
            <w:r>
              <w:rPr>
                <w:rFonts w:hint="eastAsia" w:hAnsi="宋体"/>
              </w:rPr>
              <w:t>分值≥</w:t>
            </w:r>
            <w:r>
              <w:rPr>
                <w:rFonts w:hint="eastAsia" w:ascii="Times New Roman" w:hAnsi="Times New Roman"/>
              </w:rPr>
              <w:t>9</w:t>
            </w:r>
            <w:r>
              <w:rPr>
                <w:rFonts w:hint="eastAsia" w:ascii="Times New Roman" w:hAnsi="Times New Roman"/>
                <w:lang w:val="en-US" w:eastAsia="zh-CN"/>
              </w:rPr>
              <w:t>0</w:t>
            </w:r>
          </w:p>
        </w:tc>
        <w:tc>
          <w:tcPr>
            <w:tcW w:w="1914" w:type="dxa"/>
            <w:tcBorders>
              <w:top w:val="single" w:color="auto" w:sz="4" w:space="0"/>
              <w:left w:val="single" w:color="auto" w:sz="4" w:space="0"/>
              <w:bottom w:val="single" w:color="auto" w:sz="4" w:space="0"/>
              <w:right w:val="single" w:color="auto" w:sz="4" w:space="0"/>
            </w:tcBorders>
            <w:vAlign w:val="center"/>
          </w:tcPr>
          <w:p w14:paraId="6F802BC4">
            <w:pPr>
              <w:jc w:val="center"/>
              <w:rPr>
                <w:rFonts w:hint="eastAsia" w:ascii="Times New Roman" w:hAnsi="宋体" w:eastAsia="宋体"/>
                <w:lang w:val="en-US" w:eastAsia="zh-CN"/>
              </w:rPr>
            </w:pPr>
            <w:r>
              <w:rPr>
                <w:rFonts w:hint="eastAsia" w:ascii="Times New Roman" w:hAnsi="Times New Roman"/>
                <w:lang w:val="en-US" w:eastAsia="zh-CN"/>
              </w:rPr>
              <w:t>7</w:t>
            </w:r>
            <w:r>
              <w:rPr>
                <w:rFonts w:hint="eastAsia" w:ascii="Times New Roman" w:hAnsi="Times New Roman"/>
              </w:rPr>
              <w:t>5</w:t>
            </w:r>
            <w:r>
              <w:rPr>
                <w:rFonts w:hint="eastAsia" w:hAnsi="宋体"/>
              </w:rPr>
              <w:t>≤分值</w:t>
            </w:r>
            <w:r>
              <w:rPr>
                <w:rFonts w:hint="eastAsia" w:ascii="Times New Roman" w:hAnsi="Times New Roman"/>
              </w:rPr>
              <w:t>&lt;9</w:t>
            </w:r>
            <w:r>
              <w:rPr>
                <w:rFonts w:hint="eastAsia" w:ascii="Times New Roman" w:hAnsi="Times New Roman"/>
                <w:lang w:val="en-US" w:eastAsia="zh-CN"/>
              </w:rPr>
              <w:t>0</w:t>
            </w:r>
          </w:p>
        </w:tc>
        <w:tc>
          <w:tcPr>
            <w:tcW w:w="1914" w:type="dxa"/>
            <w:tcBorders>
              <w:top w:val="single" w:color="auto" w:sz="4" w:space="0"/>
              <w:left w:val="single" w:color="auto" w:sz="4" w:space="0"/>
              <w:bottom w:val="single" w:color="auto" w:sz="4" w:space="0"/>
              <w:right w:val="single" w:color="auto" w:sz="4" w:space="0"/>
            </w:tcBorders>
            <w:vAlign w:val="center"/>
          </w:tcPr>
          <w:p w14:paraId="04F872B2">
            <w:pPr>
              <w:jc w:val="center"/>
              <w:rPr>
                <w:rFonts w:ascii="Times New Roman" w:hAnsi="宋体"/>
              </w:rPr>
            </w:pPr>
            <w:r>
              <w:rPr>
                <w:rFonts w:hint="eastAsia" w:ascii="Times New Roman" w:hAnsi="Times New Roman"/>
                <w:lang w:val="en-US" w:eastAsia="zh-CN"/>
              </w:rPr>
              <w:t>6</w:t>
            </w:r>
            <w:r>
              <w:rPr>
                <w:rFonts w:hint="eastAsia" w:ascii="Times New Roman" w:hAnsi="Times New Roman"/>
              </w:rPr>
              <w:t>0</w:t>
            </w:r>
            <w:r>
              <w:rPr>
                <w:rFonts w:hint="eastAsia" w:hAnsi="宋体"/>
              </w:rPr>
              <w:t>≤分值</w:t>
            </w:r>
            <w:r>
              <w:rPr>
                <w:rFonts w:hint="eastAsia" w:ascii="Times New Roman" w:hAnsi="Times New Roman"/>
              </w:rPr>
              <w:t>&lt;</w:t>
            </w:r>
            <w:r>
              <w:rPr>
                <w:rFonts w:hint="eastAsia" w:ascii="Times New Roman" w:hAnsi="Times New Roman"/>
                <w:lang w:val="en-US" w:eastAsia="zh-CN"/>
              </w:rPr>
              <w:t>7</w:t>
            </w:r>
            <w:r>
              <w:rPr>
                <w:rFonts w:hint="eastAsia" w:ascii="Times New Roman" w:hAnsi="Times New Roman"/>
              </w:rPr>
              <w:t>5</w:t>
            </w:r>
          </w:p>
        </w:tc>
        <w:tc>
          <w:tcPr>
            <w:tcW w:w="1914" w:type="dxa"/>
            <w:tcBorders>
              <w:top w:val="single" w:color="auto" w:sz="4" w:space="0"/>
              <w:left w:val="single" w:color="auto" w:sz="4" w:space="0"/>
              <w:bottom w:val="single" w:color="auto" w:sz="4" w:space="0"/>
              <w:right w:val="single" w:color="auto" w:sz="4" w:space="0"/>
            </w:tcBorders>
            <w:vAlign w:val="center"/>
          </w:tcPr>
          <w:p w14:paraId="010A15F2">
            <w:pPr>
              <w:jc w:val="center"/>
              <w:rPr>
                <w:rFonts w:ascii="Times New Roman" w:hAnsi="宋体"/>
              </w:rPr>
            </w:pPr>
            <w:r>
              <w:rPr>
                <w:rFonts w:hint="eastAsia" w:hAnsi="宋体"/>
              </w:rPr>
              <w:t>分值</w:t>
            </w:r>
            <w:r>
              <w:rPr>
                <w:rFonts w:hint="eastAsia" w:ascii="Times New Roman" w:hAnsi="Times New Roman"/>
              </w:rPr>
              <w:t>&lt;</w:t>
            </w:r>
            <w:r>
              <w:rPr>
                <w:rFonts w:hint="eastAsia" w:ascii="Times New Roman" w:hAnsi="Times New Roman"/>
                <w:lang w:val="en-US" w:eastAsia="zh-CN"/>
              </w:rPr>
              <w:t>6</w:t>
            </w:r>
            <w:r>
              <w:rPr>
                <w:rFonts w:hint="eastAsia" w:ascii="Times New Roman" w:hAnsi="Times New Roman"/>
              </w:rPr>
              <w:t>0</w:t>
            </w:r>
          </w:p>
        </w:tc>
      </w:tr>
    </w:tbl>
    <w:p w14:paraId="163FB018">
      <w:pPr>
        <w:pStyle w:val="106"/>
        <w:numPr>
          <w:ilvl w:val="2"/>
          <w:numId w:val="0"/>
        </w:numPr>
        <w:spacing w:before="156" w:after="156"/>
        <w:ind w:leftChars="0"/>
        <w:rPr>
          <w:rFonts w:hint="default"/>
          <w:lang w:val="en-US" w:eastAsia="zh-CN"/>
        </w:rPr>
      </w:pPr>
    </w:p>
    <w:p w14:paraId="58367250">
      <w:pPr>
        <w:pStyle w:val="106"/>
        <w:numPr>
          <w:ilvl w:val="2"/>
          <w:numId w:val="0"/>
        </w:numPr>
        <w:spacing w:before="156" w:after="156"/>
        <w:ind w:leftChars="0"/>
      </w:pPr>
      <w:r>
        <w:rPr>
          <w:rFonts w:hint="eastAsia"/>
          <w:lang w:val="en-US" w:eastAsia="zh-CN"/>
        </w:rPr>
        <w:t>6.7评价结果处置</w:t>
      </w:r>
    </w:p>
    <w:p w14:paraId="5467B91B">
      <w:pPr>
        <w:pStyle w:val="225"/>
        <w:numPr>
          <w:ilvl w:val="3"/>
          <w:numId w:val="0"/>
        </w:numPr>
        <w:ind w:leftChars="-200"/>
      </w:pPr>
      <w:r>
        <w:rPr>
          <w:rFonts w:hint="eastAsia"/>
          <w:lang w:val="en-US" w:eastAsia="zh-CN"/>
        </w:rPr>
        <w:t>6.7.1 电梯自行检测</w:t>
      </w:r>
      <w:r>
        <w:rPr>
          <w:rFonts w:hint="eastAsia"/>
        </w:rPr>
        <w:t>单位</w:t>
      </w:r>
      <w:r>
        <w:rPr>
          <w:rFonts w:hint="eastAsia"/>
          <w:lang w:val="en-US" w:eastAsia="zh-CN"/>
        </w:rPr>
        <w:t>按照本标准自行组织自评的，在评价</w:t>
      </w:r>
      <w:r>
        <w:rPr>
          <w:rFonts w:hint="eastAsia"/>
        </w:rPr>
        <w:t>工作完成后将检查结果和需整改情况，上报单位</w:t>
      </w:r>
      <w:r>
        <w:rPr>
          <w:rFonts w:hint="eastAsia"/>
          <w:lang w:val="en-US" w:eastAsia="zh-CN"/>
        </w:rPr>
        <w:t>最高管理者</w:t>
      </w:r>
      <w:r>
        <w:rPr>
          <w:rFonts w:hint="eastAsia"/>
        </w:rPr>
        <w:t>，及时完成相关问题整改。</w:t>
      </w:r>
    </w:p>
    <w:p w14:paraId="43C874F8">
      <w:pPr>
        <w:pStyle w:val="57"/>
      </w:pPr>
    </w:p>
    <w:p w14:paraId="7BD98D25">
      <w:pPr>
        <w:pStyle w:val="225"/>
        <w:numPr>
          <w:ilvl w:val="3"/>
          <w:numId w:val="0"/>
        </w:numPr>
        <w:ind w:leftChars="-200"/>
      </w:pPr>
      <w:r>
        <w:rPr>
          <w:rFonts w:hint="eastAsia"/>
          <w:lang w:val="en-US" w:eastAsia="zh-CN"/>
        </w:rPr>
        <w:t xml:space="preserve">6.7.2 </w:t>
      </w:r>
      <w:r>
        <w:rPr>
          <w:rFonts w:hint="eastAsia"/>
        </w:rPr>
        <w:t>受委托的第三方</w:t>
      </w:r>
      <w:r>
        <w:rPr>
          <w:rFonts w:hint="eastAsia"/>
          <w:lang w:val="en-US" w:eastAsia="zh-CN"/>
        </w:rPr>
        <w:t>评价</w:t>
      </w:r>
      <w:r>
        <w:rPr>
          <w:rFonts w:hint="eastAsia"/>
        </w:rPr>
        <w:t>机构</w:t>
      </w:r>
      <w:r>
        <w:rPr>
          <w:rFonts w:hint="eastAsia"/>
          <w:lang w:val="en-US" w:eastAsia="zh-CN"/>
        </w:rPr>
        <w:t>按照本标准对电梯自行检测单位开展的诚信评价工作</w:t>
      </w:r>
      <w:r>
        <w:rPr>
          <w:rFonts w:hint="eastAsia"/>
        </w:rPr>
        <w:t>，</w:t>
      </w:r>
      <w:r>
        <w:rPr>
          <w:rFonts w:hint="eastAsia"/>
          <w:lang w:val="en-US" w:eastAsia="zh-CN"/>
        </w:rPr>
        <w:t>宜</w:t>
      </w:r>
      <w:r>
        <w:rPr>
          <w:rFonts w:hint="eastAsia"/>
        </w:rPr>
        <w:t>当在完成</w:t>
      </w:r>
      <w:r>
        <w:rPr>
          <w:rFonts w:hint="eastAsia"/>
          <w:lang w:val="en-US" w:eastAsia="zh-CN"/>
        </w:rPr>
        <w:t>评价</w:t>
      </w:r>
      <w:r>
        <w:rPr>
          <w:rFonts w:hint="eastAsia"/>
        </w:rPr>
        <w:t>工作后30日内（或者按合同约定）向</w:t>
      </w:r>
      <w:r>
        <w:rPr>
          <w:rFonts w:hint="eastAsia"/>
          <w:lang w:val="en-US" w:eastAsia="zh-CN"/>
        </w:rPr>
        <w:t>委托方</w:t>
      </w:r>
      <w:r>
        <w:rPr>
          <w:rFonts w:hint="eastAsia"/>
        </w:rPr>
        <w:t>报送</w:t>
      </w:r>
      <w:r>
        <w:rPr>
          <w:rFonts w:hint="eastAsia"/>
          <w:lang w:eastAsia="zh-CN"/>
        </w:rPr>
        <w:t>《</w:t>
      </w:r>
      <w:r>
        <w:rPr>
          <w:rFonts w:hint="eastAsia"/>
        </w:rPr>
        <w:t>电梯自行检测单位诚信</w:t>
      </w:r>
      <w:r>
        <w:rPr>
          <w:rFonts w:hint="eastAsia"/>
          <w:lang w:val="en-US" w:eastAsia="zh-CN"/>
        </w:rPr>
        <w:t>评价</w:t>
      </w:r>
      <w:r>
        <w:rPr>
          <w:rFonts w:hint="eastAsia"/>
        </w:rPr>
        <w:t>分析报告</w:t>
      </w:r>
      <w:r>
        <w:rPr>
          <w:rFonts w:hint="eastAsia"/>
          <w:lang w:eastAsia="zh-CN"/>
        </w:rPr>
        <w:t>》</w:t>
      </w:r>
      <w:r>
        <w:rPr>
          <w:rFonts w:hint="eastAsia"/>
        </w:rPr>
        <w:t>。《电梯</w:t>
      </w:r>
      <w:r>
        <w:rPr>
          <w:rFonts w:hint="eastAsia"/>
          <w:lang w:val="en-US" w:eastAsia="zh-CN"/>
        </w:rPr>
        <w:t>自行</w:t>
      </w:r>
      <w:r>
        <w:rPr>
          <w:rFonts w:hint="eastAsia"/>
        </w:rPr>
        <w:t>检测</w:t>
      </w:r>
      <w:r>
        <w:rPr>
          <w:rFonts w:hint="eastAsia"/>
          <w:lang w:val="en-US" w:eastAsia="zh-CN"/>
        </w:rPr>
        <w:t>单位诚信评价</w:t>
      </w:r>
      <w:r>
        <w:rPr>
          <w:rFonts w:hint="eastAsia"/>
        </w:rPr>
        <w:t>分析报告》</w:t>
      </w:r>
      <w:r>
        <w:rPr>
          <w:rFonts w:hint="eastAsia"/>
          <w:lang w:val="en-US" w:eastAsia="zh-CN"/>
        </w:rPr>
        <w:t>格式见附录B,</w:t>
      </w:r>
      <w:r>
        <w:rPr>
          <w:rFonts w:hint="eastAsia"/>
        </w:rPr>
        <w:t>内容包括但不限于：</w:t>
      </w:r>
    </w:p>
    <w:p w14:paraId="595A2C8B">
      <w:pPr>
        <w:pStyle w:val="57"/>
        <w:rPr>
          <w:rFonts w:hAnsi="宋体"/>
        </w:rPr>
      </w:pPr>
      <w:r>
        <w:rPr>
          <w:rFonts w:hint="eastAsia" w:hAnsi="宋体"/>
        </w:rPr>
        <w:t>a)  工作概况：负责人及参加</w:t>
      </w:r>
      <w:r>
        <w:rPr>
          <w:rFonts w:hint="eastAsia" w:hAnsi="宋体"/>
          <w:lang w:val="en-US" w:eastAsia="zh-CN"/>
        </w:rPr>
        <w:t>评价</w:t>
      </w:r>
      <w:r>
        <w:rPr>
          <w:rFonts w:hint="eastAsia" w:hAnsi="宋体"/>
        </w:rPr>
        <w:t>人员名单、工作的起始与完成时间、检查电梯自行检测单位的家数</w:t>
      </w:r>
      <w:r>
        <w:rPr>
          <w:rFonts w:hint="eastAsia" w:hAnsi="宋体"/>
          <w:lang w:eastAsia="zh-CN"/>
        </w:rPr>
        <w:t>（</w:t>
      </w:r>
      <w:r>
        <w:rPr>
          <w:rFonts w:hint="eastAsia" w:hAnsi="宋体"/>
          <w:lang w:val="en-US" w:eastAsia="zh-CN"/>
        </w:rPr>
        <w:t>数量</w:t>
      </w:r>
      <w:r>
        <w:rPr>
          <w:rFonts w:hint="eastAsia" w:hAnsi="宋体"/>
          <w:lang w:eastAsia="zh-CN"/>
        </w:rPr>
        <w:t>）</w:t>
      </w:r>
      <w:r>
        <w:rPr>
          <w:rFonts w:hint="eastAsia" w:hAnsi="宋体"/>
        </w:rPr>
        <w:t>；</w:t>
      </w:r>
    </w:p>
    <w:p w14:paraId="1A11143E">
      <w:pPr>
        <w:pStyle w:val="57"/>
        <w:rPr>
          <w:rFonts w:hAnsi="宋体"/>
        </w:rPr>
      </w:pPr>
      <w:r>
        <w:rPr>
          <w:rFonts w:hint="eastAsia" w:hAnsi="宋体"/>
        </w:rPr>
        <w:t>b)  检查结论：各电梯自行检测单位等级及得分；</w:t>
      </w:r>
    </w:p>
    <w:p w14:paraId="587B6420">
      <w:pPr>
        <w:pStyle w:val="57"/>
        <w:rPr>
          <w:rFonts w:hAnsi="宋体"/>
        </w:rPr>
      </w:pPr>
      <w:r>
        <w:rPr>
          <w:rFonts w:hint="eastAsia" w:hAnsi="宋体"/>
        </w:rPr>
        <w:t>c)  统计分析：按电梯自行检测单位类型、人员持证情况、业务规模、检测台数、隐患和问题、检查项目等维度进行统计分析；</w:t>
      </w:r>
    </w:p>
    <w:p w14:paraId="28DFAC88">
      <w:pPr>
        <w:pStyle w:val="57"/>
        <w:rPr>
          <w:rFonts w:hAnsi="宋体"/>
        </w:rPr>
      </w:pPr>
      <w:r>
        <w:rPr>
          <w:rFonts w:hint="eastAsia" w:hAnsi="宋体"/>
        </w:rPr>
        <w:t>d)  典型案例：列举带有普遍性和特殊性的典型案例，案例应至少包括电梯自行检测单位基本情况、检查发现问题情况、原因分析、整改措施等内容；</w:t>
      </w:r>
    </w:p>
    <w:p w14:paraId="003FCE03">
      <w:pPr>
        <w:pStyle w:val="57"/>
        <w:rPr>
          <w:rFonts w:hint="eastAsia" w:hAnsi="宋体"/>
        </w:rPr>
      </w:pPr>
      <w:r>
        <w:rPr>
          <w:rFonts w:hint="eastAsia" w:hAnsi="宋体"/>
        </w:rPr>
        <w:t>e)  工作建议：通过检查情况的统计与分析，对发现的问题提供切实可行的建议，为</w:t>
      </w:r>
      <w:r>
        <w:rPr>
          <w:rFonts w:hint="eastAsia" w:hAnsi="宋体"/>
          <w:lang w:val="en-US" w:eastAsia="zh-CN"/>
        </w:rPr>
        <w:t>委托方（如是</w:t>
      </w:r>
      <w:r>
        <w:rPr>
          <w:rFonts w:hint="eastAsia" w:hAnsi="宋体"/>
        </w:rPr>
        <w:t>政府行政监督管理部门</w:t>
      </w:r>
      <w:r>
        <w:rPr>
          <w:rFonts w:hint="eastAsia" w:hAnsi="宋体"/>
          <w:lang w:val="en-US" w:eastAsia="zh-CN"/>
        </w:rPr>
        <w:t>）分类监管、科学监管</w:t>
      </w:r>
      <w:r>
        <w:rPr>
          <w:rFonts w:hint="eastAsia" w:hAnsi="宋体"/>
        </w:rPr>
        <w:t>提供有力的技术支撑。</w:t>
      </w:r>
    </w:p>
    <w:p w14:paraId="00F7961D">
      <w:pPr>
        <w:pStyle w:val="57"/>
        <w:rPr>
          <w:rFonts w:hint="eastAsia" w:hAnsi="宋体"/>
        </w:rPr>
      </w:pPr>
    </w:p>
    <w:p w14:paraId="4BF798C5">
      <w:pPr>
        <w:pStyle w:val="57"/>
        <w:rPr>
          <w:rFonts w:hint="eastAsia" w:hAnsi="宋体"/>
        </w:rPr>
      </w:pPr>
    </w:p>
    <w:p w14:paraId="5A672548">
      <w:pPr>
        <w:pStyle w:val="57"/>
        <w:rPr>
          <w:rFonts w:hint="eastAsia" w:hAnsi="宋体"/>
        </w:rPr>
      </w:pPr>
    </w:p>
    <w:p w14:paraId="46C9EB62">
      <w:pPr>
        <w:pStyle w:val="57"/>
        <w:rPr>
          <w:rFonts w:hint="eastAsia" w:hAnsi="宋体"/>
        </w:rPr>
      </w:pPr>
    </w:p>
    <w:p w14:paraId="6F73C8F4">
      <w:pPr>
        <w:pStyle w:val="57"/>
        <w:rPr>
          <w:rFonts w:hint="eastAsia" w:hAnsi="宋体"/>
        </w:rPr>
      </w:pPr>
    </w:p>
    <w:p w14:paraId="06F9194D">
      <w:pPr>
        <w:pStyle w:val="57"/>
        <w:rPr>
          <w:rFonts w:hint="eastAsia" w:hAnsi="宋体"/>
        </w:rPr>
      </w:pPr>
    </w:p>
    <w:p w14:paraId="1FA38767">
      <w:pPr>
        <w:pStyle w:val="57"/>
        <w:rPr>
          <w:rFonts w:hint="eastAsia" w:hAnsi="宋体"/>
        </w:rPr>
      </w:pPr>
    </w:p>
    <w:p w14:paraId="5E44BB14">
      <w:pPr>
        <w:pStyle w:val="57"/>
        <w:rPr>
          <w:rFonts w:hint="eastAsia" w:hAnsi="宋体"/>
        </w:rPr>
      </w:pPr>
    </w:p>
    <w:p w14:paraId="7CB9829B">
      <w:pPr>
        <w:pStyle w:val="57"/>
        <w:rPr>
          <w:rFonts w:hint="eastAsia" w:hAnsi="宋体"/>
        </w:rPr>
      </w:pPr>
    </w:p>
    <w:p w14:paraId="124B40AD">
      <w:pPr>
        <w:pStyle w:val="57"/>
        <w:rPr>
          <w:rFonts w:hint="eastAsia" w:hAnsi="宋体"/>
        </w:rPr>
      </w:pPr>
    </w:p>
    <w:p w14:paraId="0A2CA12B">
      <w:pPr>
        <w:pStyle w:val="57"/>
        <w:rPr>
          <w:rFonts w:hint="eastAsia" w:hAnsi="宋体"/>
        </w:rPr>
      </w:pPr>
    </w:p>
    <w:p w14:paraId="24D8D487">
      <w:pPr>
        <w:pStyle w:val="57"/>
        <w:rPr>
          <w:rFonts w:hint="eastAsia" w:hAnsi="宋体"/>
        </w:rPr>
      </w:pPr>
    </w:p>
    <w:p w14:paraId="1661CB64">
      <w:pPr>
        <w:pStyle w:val="57"/>
        <w:rPr>
          <w:rFonts w:hint="eastAsia" w:hAnsi="宋体"/>
        </w:rPr>
      </w:pPr>
    </w:p>
    <w:p w14:paraId="07A4F9CC">
      <w:pPr>
        <w:pStyle w:val="57"/>
        <w:rPr>
          <w:rFonts w:hint="eastAsia" w:hAnsi="宋体"/>
        </w:rPr>
      </w:pPr>
    </w:p>
    <w:p w14:paraId="6B2E52CD">
      <w:pPr>
        <w:pStyle w:val="57"/>
        <w:rPr>
          <w:rFonts w:hint="eastAsia" w:hAnsi="宋体"/>
        </w:rPr>
      </w:pPr>
    </w:p>
    <w:p w14:paraId="246FDA74">
      <w:pPr>
        <w:pStyle w:val="57"/>
        <w:rPr>
          <w:rFonts w:hint="eastAsia" w:hAnsi="宋体"/>
        </w:rPr>
      </w:pPr>
    </w:p>
    <w:p w14:paraId="7EFD4AD7">
      <w:pPr>
        <w:pStyle w:val="57"/>
        <w:rPr>
          <w:rFonts w:hint="eastAsia" w:hAnsi="宋体"/>
        </w:rPr>
      </w:pPr>
    </w:p>
    <w:p w14:paraId="34BFA4CF">
      <w:pPr>
        <w:pStyle w:val="57"/>
        <w:rPr>
          <w:rFonts w:hint="eastAsia" w:hAnsi="宋体"/>
        </w:rPr>
      </w:pPr>
    </w:p>
    <w:p w14:paraId="2AFFEC38">
      <w:pPr>
        <w:pStyle w:val="57"/>
        <w:rPr>
          <w:rFonts w:hint="eastAsia" w:hAnsi="宋体"/>
        </w:rPr>
      </w:pPr>
    </w:p>
    <w:p w14:paraId="1DC39AC9">
      <w:pPr>
        <w:pStyle w:val="57"/>
        <w:rPr>
          <w:rFonts w:hint="eastAsia" w:hAnsi="宋体"/>
        </w:rPr>
      </w:pPr>
    </w:p>
    <w:p w14:paraId="3F2EEA84">
      <w:pPr>
        <w:pStyle w:val="57"/>
        <w:rPr>
          <w:rFonts w:hint="eastAsia" w:hAnsi="宋体"/>
        </w:rPr>
      </w:pPr>
    </w:p>
    <w:p w14:paraId="5A95087A">
      <w:pPr>
        <w:pStyle w:val="57"/>
        <w:rPr>
          <w:rFonts w:hint="eastAsia" w:hAnsi="宋体"/>
        </w:rPr>
      </w:pPr>
    </w:p>
    <w:p w14:paraId="345D39E8">
      <w:pPr>
        <w:pStyle w:val="57"/>
        <w:rPr>
          <w:rFonts w:hint="eastAsia" w:hAnsi="宋体"/>
        </w:rPr>
      </w:pPr>
    </w:p>
    <w:p w14:paraId="7E994076">
      <w:pPr>
        <w:pStyle w:val="57"/>
        <w:rPr>
          <w:rFonts w:hint="eastAsia" w:hAnsi="宋体"/>
        </w:rPr>
      </w:pPr>
    </w:p>
    <w:p w14:paraId="696BBF5A">
      <w:pPr>
        <w:pStyle w:val="57"/>
        <w:rPr>
          <w:rFonts w:hint="eastAsia" w:hAnsi="宋体"/>
        </w:rPr>
      </w:pPr>
    </w:p>
    <w:p w14:paraId="677AC60A">
      <w:pPr>
        <w:pStyle w:val="57"/>
        <w:rPr>
          <w:rFonts w:hint="eastAsia" w:hAnsi="宋体"/>
        </w:rPr>
      </w:pPr>
    </w:p>
    <w:p w14:paraId="42F0E60A">
      <w:pPr>
        <w:pStyle w:val="57"/>
        <w:rPr>
          <w:rFonts w:hint="eastAsia" w:hAnsi="宋体"/>
        </w:rPr>
      </w:pPr>
    </w:p>
    <w:p w14:paraId="44190C57">
      <w:pPr>
        <w:pStyle w:val="57"/>
        <w:rPr>
          <w:rFonts w:hint="eastAsia" w:hAnsi="宋体"/>
        </w:rPr>
      </w:pPr>
    </w:p>
    <w:p w14:paraId="0731CB8F">
      <w:pPr>
        <w:pStyle w:val="57"/>
        <w:rPr>
          <w:rFonts w:hint="eastAsia" w:hAnsi="宋体"/>
        </w:rPr>
      </w:pPr>
    </w:p>
    <w:p w14:paraId="56270ECE">
      <w:pPr>
        <w:pStyle w:val="57"/>
        <w:rPr>
          <w:rFonts w:hint="eastAsia" w:hAnsi="宋体"/>
        </w:rPr>
      </w:pPr>
    </w:p>
    <w:p w14:paraId="42E71608">
      <w:pPr>
        <w:pStyle w:val="57"/>
        <w:rPr>
          <w:rFonts w:hint="eastAsia" w:hAnsi="宋体"/>
        </w:rPr>
      </w:pPr>
    </w:p>
    <w:p w14:paraId="0875555A">
      <w:pPr>
        <w:pStyle w:val="57"/>
        <w:rPr>
          <w:rFonts w:hint="eastAsia" w:hAnsi="宋体"/>
        </w:rPr>
      </w:pPr>
    </w:p>
    <w:p w14:paraId="4DD7C351">
      <w:pPr>
        <w:pStyle w:val="57"/>
        <w:rPr>
          <w:rFonts w:hint="eastAsia" w:hAnsi="宋体"/>
        </w:rPr>
      </w:pPr>
    </w:p>
    <w:p w14:paraId="1D7E56C5">
      <w:pPr>
        <w:pStyle w:val="57"/>
        <w:rPr>
          <w:rFonts w:hint="eastAsia" w:hAnsi="宋体"/>
        </w:rPr>
      </w:pPr>
    </w:p>
    <w:bookmarkEnd w:id="26"/>
    <w:p w14:paraId="0DDDF349">
      <w:pPr>
        <w:pStyle w:val="77"/>
        <w:spacing w:after="156"/>
      </w:pPr>
      <w:bookmarkStart w:id="60" w:name="BookMark5"/>
      <w:r>
        <w:br w:type="textWrapping"/>
      </w:r>
      <w:bookmarkStart w:id="61" w:name="_Toc161647029"/>
      <w:bookmarkStart w:id="62" w:name="_Toc161647042"/>
      <w:r>
        <w:rPr>
          <w:rFonts w:hint="eastAsia"/>
        </w:rPr>
        <w:t>（</w:t>
      </w:r>
      <w:r>
        <w:rPr>
          <w:rFonts w:hint="eastAsia"/>
          <w:lang w:val="en-US" w:eastAsia="zh-CN"/>
        </w:rPr>
        <w:t>规范</w:t>
      </w:r>
      <w:r>
        <w:rPr>
          <w:rFonts w:hint="eastAsia"/>
        </w:rPr>
        <w:t>性）</w:t>
      </w:r>
      <w:r>
        <w:br w:type="textWrapping"/>
      </w:r>
      <w:bookmarkEnd w:id="60"/>
      <w:bookmarkEnd w:id="61"/>
      <w:bookmarkEnd w:id="62"/>
      <w:bookmarkStart w:id="63" w:name="_Toc161647031"/>
      <w:bookmarkStart w:id="64" w:name="_Toc161647044"/>
      <w:bookmarkStart w:id="65" w:name="BookMark6"/>
      <w:r>
        <w:br w:type="textWrapping"/>
      </w:r>
      <w:r>
        <w:rPr>
          <w:rFonts w:hint="eastAsia"/>
        </w:rPr>
        <w:t>诚信要素</w:t>
      </w:r>
      <w:r>
        <w:rPr>
          <w:rFonts w:hint="eastAsia"/>
          <w:lang w:val="en-US" w:eastAsia="zh-CN"/>
        </w:rPr>
        <w:t>评价</w:t>
      </w:r>
      <w:r>
        <w:rPr>
          <w:rFonts w:hint="eastAsia"/>
        </w:rPr>
        <w:t>指标</w:t>
      </w:r>
    </w:p>
    <w:p w14:paraId="0289FCFE">
      <w:pPr>
        <w:pStyle w:val="57"/>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77"/>
        <w:gridCol w:w="5836"/>
        <w:gridCol w:w="1199"/>
        <w:gridCol w:w="660"/>
      </w:tblGrid>
      <w:tr w14:paraId="2D0D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4B196EEF">
            <w:pPr>
              <w:pStyle w:val="57"/>
              <w:jc w:val="center"/>
              <w:rPr>
                <w:rFonts w:hint="default" w:eastAsia="宋体"/>
                <w:b/>
                <w:lang w:val="en-US" w:eastAsia="zh-CN"/>
              </w:rPr>
            </w:pPr>
            <w:r>
              <w:rPr>
                <w:rFonts w:hint="eastAsia"/>
                <w:b/>
                <w:lang w:val="en-US" w:eastAsia="zh-CN"/>
              </w:rPr>
              <w:t>一级指标</w:t>
            </w:r>
          </w:p>
        </w:tc>
        <w:tc>
          <w:tcPr>
            <w:tcW w:w="1077" w:type="dxa"/>
            <w:vAlign w:val="center"/>
          </w:tcPr>
          <w:p w14:paraId="13007F59">
            <w:pPr>
              <w:pStyle w:val="57"/>
              <w:jc w:val="center"/>
              <w:rPr>
                <w:b/>
              </w:rPr>
            </w:pPr>
            <w:r>
              <w:rPr>
                <w:rFonts w:hint="eastAsia"/>
                <w:b/>
                <w:lang w:val="en-US" w:eastAsia="zh-CN"/>
              </w:rPr>
              <w:t>二级</w:t>
            </w:r>
            <w:r>
              <w:rPr>
                <w:rFonts w:hint="eastAsia"/>
                <w:b/>
              </w:rPr>
              <w:t>指标</w:t>
            </w:r>
          </w:p>
        </w:tc>
        <w:tc>
          <w:tcPr>
            <w:tcW w:w="5836" w:type="dxa"/>
            <w:vAlign w:val="center"/>
          </w:tcPr>
          <w:p w14:paraId="27E75415">
            <w:pPr>
              <w:pStyle w:val="57"/>
              <w:jc w:val="center"/>
              <w:rPr>
                <w:b/>
              </w:rPr>
            </w:pPr>
            <w:r>
              <w:rPr>
                <w:rFonts w:hint="eastAsia"/>
                <w:b/>
                <w:lang w:val="en-US" w:eastAsia="zh-CN"/>
              </w:rPr>
              <w:t>评价</w:t>
            </w:r>
            <w:r>
              <w:rPr>
                <w:rFonts w:hint="eastAsia"/>
                <w:b/>
              </w:rPr>
              <w:t>要求</w:t>
            </w:r>
          </w:p>
        </w:tc>
        <w:tc>
          <w:tcPr>
            <w:tcW w:w="1199" w:type="dxa"/>
            <w:vAlign w:val="center"/>
          </w:tcPr>
          <w:p w14:paraId="62BD8317">
            <w:pPr>
              <w:pStyle w:val="57"/>
              <w:jc w:val="both"/>
              <w:rPr>
                <w:rFonts w:hint="default" w:eastAsia="宋体"/>
                <w:b/>
                <w:lang w:val="en-US" w:eastAsia="zh-CN"/>
              </w:rPr>
            </w:pPr>
            <w:r>
              <w:rPr>
                <w:rFonts w:hint="eastAsia"/>
                <w:b/>
                <w:lang w:val="en-US" w:eastAsia="zh-CN"/>
              </w:rPr>
              <w:t xml:space="preserve"> 信息来源</w:t>
            </w:r>
          </w:p>
        </w:tc>
        <w:tc>
          <w:tcPr>
            <w:tcW w:w="660" w:type="dxa"/>
            <w:vAlign w:val="center"/>
          </w:tcPr>
          <w:p w14:paraId="7D9A373C">
            <w:pPr>
              <w:pStyle w:val="57"/>
              <w:jc w:val="center"/>
              <w:rPr>
                <w:b/>
              </w:rPr>
            </w:pPr>
            <w:r>
              <w:rPr>
                <w:rFonts w:hint="eastAsia"/>
                <w:b/>
                <w:lang w:val="en-US" w:eastAsia="zh-CN"/>
              </w:rPr>
              <w:t>扣</w:t>
            </w:r>
            <w:r>
              <w:rPr>
                <w:b/>
              </w:rPr>
              <w:t>分值</w:t>
            </w:r>
          </w:p>
        </w:tc>
      </w:tr>
      <w:tr w14:paraId="2BCE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 w:type="dxa"/>
            <w:vMerge w:val="restart"/>
            <w:vAlign w:val="center"/>
          </w:tcPr>
          <w:p w14:paraId="3611637D">
            <w:pPr>
              <w:pStyle w:val="57"/>
              <w:rPr>
                <w:rFonts w:hint="default" w:eastAsia="宋体"/>
                <w:lang w:val="en-US" w:eastAsia="zh-CN"/>
              </w:rPr>
            </w:pPr>
            <w:r>
              <w:rPr>
                <w:rFonts w:hint="eastAsia"/>
                <w:lang w:val="en-US" w:eastAsia="zh-CN"/>
              </w:rPr>
              <w:t>资格条件</w:t>
            </w:r>
          </w:p>
        </w:tc>
        <w:tc>
          <w:tcPr>
            <w:tcW w:w="1077" w:type="dxa"/>
            <w:vMerge w:val="restart"/>
            <w:vAlign w:val="center"/>
          </w:tcPr>
          <w:p w14:paraId="5FAD0CBD">
            <w:pPr>
              <w:pStyle w:val="57"/>
              <w:jc w:val="center"/>
              <w:rPr>
                <w:rFonts w:hint="eastAsia" w:eastAsia="宋体"/>
                <w:lang w:val="en-US" w:eastAsia="zh-CN"/>
              </w:rPr>
            </w:pPr>
            <w:r>
              <w:rPr>
                <w:rFonts w:hint="eastAsia" w:ascii="宋体" w:hAnsi="宋体" w:eastAsia="宋体" w:cs="宋体"/>
                <w:lang w:val="en-US" w:eastAsia="zh-CN"/>
              </w:rPr>
              <w:t>★</w:t>
            </w:r>
            <w:r>
              <w:rPr>
                <w:rFonts w:hint="eastAsia"/>
                <w:lang w:val="en-US" w:eastAsia="zh-CN"/>
              </w:rPr>
              <w:t>单位</w:t>
            </w:r>
          </w:p>
        </w:tc>
        <w:tc>
          <w:tcPr>
            <w:tcW w:w="5836" w:type="dxa"/>
          </w:tcPr>
          <w:p w14:paraId="7C459458">
            <w:pPr>
              <w:pStyle w:val="57"/>
              <w:rPr>
                <w:rFonts w:hint="default" w:eastAsia="宋体"/>
                <w:lang w:val="en-US" w:eastAsia="zh-CN"/>
              </w:rPr>
            </w:pPr>
            <w:r>
              <w:rPr>
                <w:rFonts w:hint="eastAsia"/>
                <w:lang w:val="en-US" w:eastAsia="zh-CN"/>
              </w:rPr>
              <w:t>是否具有法人资格和固定办公场所</w:t>
            </w:r>
          </w:p>
        </w:tc>
        <w:tc>
          <w:tcPr>
            <w:tcW w:w="1199" w:type="dxa"/>
            <w:vMerge w:val="restart"/>
            <w:vAlign w:val="center"/>
          </w:tcPr>
          <w:p w14:paraId="5058471E">
            <w:pPr>
              <w:pStyle w:val="57"/>
              <w:jc w:val="center"/>
              <w:rPr>
                <w:rFonts w:hint="default"/>
                <w:lang w:val="en-US" w:eastAsia="zh-CN"/>
              </w:rPr>
            </w:pPr>
            <w:r>
              <w:rPr>
                <w:rFonts w:hint="eastAsia"/>
                <w:lang w:val="en-US" w:eastAsia="zh-CN"/>
              </w:rPr>
              <w:t>电梯自行检测单位</w:t>
            </w:r>
          </w:p>
        </w:tc>
        <w:tc>
          <w:tcPr>
            <w:tcW w:w="660" w:type="dxa"/>
            <w:vMerge w:val="restart"/>
            <w:vAlign w:val="center"/>
          </w:tcPr>
          <w:p w14:paraId="542A49C3">
            <w:pPr>
              <w:pStyle w:val="57"/>
              <w:jc w:val="center"/>
              <w:rPr>
                <w:rFonts w:hint="default" w:eastAsia="宋体"/>
                <w:lang w:val="en-US" w:eastAsia="zh-CN"/>
              </w:rPr>
            </w:pPr>
            <w:r>
              <w:rPr>
                <w:rFonts w:hint="eastAsia"/>
                <w:lang w:val="en-US" w:eastAsia="zh-CN"/>
              </w:rPr>
              <w:t>100</w:t>
            </w:r>
          </w:p>
        </w:tc>
      </w:tr>
      <w:tr w14:paraId="0505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66" w:type="dxa"/>
            <w:vMerge w:val="continue"/>
            <w:vAlign w:val="center"/>
          </w:tcPr>
          <w:p w14:paraId="6192D37F">
            <w:pPr>
              <w:pStyle w:val="57"/>
              <w:rPr>
                <w:rFonts w:hint="default" w:eastAsia="宋体"/>
                <w:lang w:val="en-US" w:eastAsia="zh-CN"/>
              </w:rPr>
            </w:pPr>
          </w:p>
        </w:tc>
        <w:tc>
          <w:tcPr>
            <w:tcW w:w="1077" w:type="dxa"/>
            <w:vMerge w:val="continue"/>
            <w:vAlign w:val="center"/>
          </w:tcPr>
          <w:p w14:paraId="434B60F7">
            <w:pPr>
              <w:pStyle w:val="57"/>
              <w:jc w:val="center"/>
              <w:rPr>
                <w:rFonts w:hint="eastAsia"/>
              </w:rPr>
            </w:pPr>
          </w:p>
        </w:tc>
        <w:tc>
          <w:tcPr>
            <w:tcW w:w="5836" w:type="dxa"/>
          </w:tcPr>
          <w:p w14:paraId="4D08EAF9">
            <w:pPr>
              <w:pStyle w:val="57"/>
              <w:rPr>
                <w:rFonts w:hint="default" w:eastAsia="宋体"/>
                <w:lang w:val="en-US" w:eastAsia="zh-CN"/>
              </w:rPr>
            </w:pPr>
            <w:r>
              <w:rPr>
                <w:rFonts w:hint="eastAsia"/>
                <w:lang w:val="en-US" w:eastAsia="zh-CN"/>
              </w:rPr>
              <w:t>仪器设备是否满足TSG T7008电梯自行检测规则和</w:t>
            </w:r>
            <w:r>
              <w:rPr>
                <w:rFonts w:hint="eastAsia"/>
              </w:rPr>
              <w:t>TSG Z7002特种设备检测机构核准规则</w:t>
            </w:r>
            <w:r>
              <w:rPr>
                <w:rFonts w:hint="eastAsia"/>
                <w:lang w:val="en-US" w:eastAsia="zh-CN"/>
              </w:rPr>
              <w:t>相关要求</w:t>
            </w:r>
          </w:p>
        </w:tc>
        <w:tc>
          <w:tcPr>
            <w:tcW w:w="1199" w:type="dxa"/>
            <w:vMerge w:val="continue"/>
            <w:vAlign w:val="center"/>
          </w:tcPr>
          <w:p w14:paraId="32104B43">
            <w:pPr>
              <w:pStyle w:val="57"/>
              <w:jc w:val="center"/>
              <w:rPr>
                <w:rFonts w:hint="eastAsia"/>
                <w:lang w:val="en-US" w:eastAsia="zh-CN"/>
              </w:rPr>
            </w:pPr>
          </w:p>
        </w:tc>
        <w:tc>
          <w:tcPr>
            <w:tcW w:w="660" w:type="dxa"/>
            <w:vMerge w:val="continue"/>
            <w:vAlign w:val="center"/>
          </w:tcPr>
          <w:p w14:paraId="7238F861">
            <w:pPr>
              <w:pStyle w:val="57"/>
              <w:jc w:val="center"/>
              <w:rPr>
                <w:rFonts w:hint="default" w:eastAsia="宋体"/>
                <w:lang w:val="en-US" w:eastAsia="zh-CN"/>
              </w:rPr>
            </w:pPr>
          </w:p>
        </w:tc>
      </w:tr>
      <w:tr w14:paraId="4135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5CE57F9F">
            <w:pPr>
              <w:pStyle w:val="57"/>
              <w:rPr>
                <w:rFonts w:hint="default" w:eastAsia="宋体"/>
                <w:lang w:val="en-US" w:eastAsia="zh-CN"/>
              </w:rPr>
            </w:pPr>
          </w:p>
        </w:tc>
        <w:tc>
          <w:tcPr>
            <w:tcW w:w="1077" w:type="dxa"/>
            <w:vMerge w:val="continue"/>
            <w:vAlign w:val="center"/>
          </w:tcPr>
          <w:p w14:paraId="32E3CB6E">
            <w:pPr>
              <w:pStyle w:val="57"/>
              <w:jc w:val="center"/>
            </w:pPr>
          </w:p>
        </w:tc>
        <w:tc>
          <w:tcPr>
            <w:tcW w:w="5836" w:type="dxa"/>
          </w:tcPr>
          <w:p w14:paraId="43B7DD3D">
            <w:pPr>
              <w:pStyle w:val="57"/>
              <w:rPr>
                <w:rFonts w:hint="default" w:eastAsia="宋体"/>
                <w:lang w:val="en-US" w:eastAsia="zh-CN"/>
              </w:rPr>
            </w:pPr>
            <w:r>
              <w:rPr>
                <w:rFonts w:hint="eastAsia"/>
                <w:lang w:val="en-US" w:eastAsia="zh-CN"/>
              </w:rPr>
              <w:t>质量管理体系文件是否规范、系统、齐全且能有效控制</w:t>
            </w:r>
          </w:p>
        </w:tc>
        <w:tc>
          <w:tcPr>
            <w:tcW w:w="1199" w:type="dxa"/>
            <w:vMerge w:val="continue"/>
            <w:vAlign w:val="center"/>
          </w:tcPr>
          <w:p w14:paraId="126386B9">
            <w:pPr>
              <w:pStyle w:val="57"/>
              <w:jc w:val="center"/>
              <w:rPr>
                <w:rFonts w:hint="eastAsia"/>
              </w:rPr>
            </w:pPr>
          </w:p>
        </w:tc>
        <w:tc>
          <w:tcPr>
            <w:tcW w:w="660" w:type="dxa"/>
            <w:vMerge w:val="continue"/>
            <w:vAlign w:val="center"/>
          </w:tcPr>
          <w:p w14:paraId="47079358">
            <w:pPr>
              <w:pStyle w:val="57"/>
              <w:jc w:val="center"/>
              <w:rPr>
                <w:rFonts w:hint="default" w:eastAsia="宋体"/>
                <w:lang w:val="en-US" w:eastAsia="zh-CN"/>
              </w:rPr>
            </w:pPr>
          </w:p>
        </w:tc>
      </w:tr>
      <w:tr w14:paraId="1F5FF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666" w:type="dxa"/>
            <w:vMerge w:val="continue"/>
            <w:vAlign w:val="center"/>
          </w:tcPr>
          <w:p w14:paraId="52C1B794">
            <w:pPr>
              <w:pStyle w:val="57"/>
              <w:rPr>
                <w:rFonts w:hint="default" w:eastAsia="宋体"/>
                <w:lang w:val="en-US" w:eastAsia="zh-CN"/>
              </w:rPr>
            </w:pPr>
          </w:p>
        </w:tc>
        <w:tc>
          <w:tcPr>
            <w:tcW w:w="1077" w:type="dxa"/>
            <w:vMerge w:val="continue"/>
            <w:vAlign w:val="center"/>
          </w:tcPr>
          <w:p w14:paraId="304CC1C5">
            <w:pPr>
              <w:pStyle w:val="57"/>
              <w:jc w:val="center"/>
            </w:pPr>
          </w:p>
        </w:tc>
        <w:tc>
          <w:tcPr>
            <w:tcW w:w="5836" w:type="dxa"/>
          </w:tcPr>
          <w:p w14:paraId="0719440A">
            <w:pPr>
              <w:pStyle w:val="175"/>
              <w:numPr>
                <w:ilvl w:val="0"/>
                <w:numId w:val="0"/>
              </w:numPr>
            </w:pPr>
            <w:r>
              <w:rPr>
                <w:rFonts w:hint="eastAsia"/>
                <w:lang w:val="en-US" w:eastAsia="zh-CN"/>
              </w:rPr>
              <w:t>是否</w:t>
            </w:r>
            <w:r>
              <w:rPr>
                <w:rFonts w:hint="eastAsia"/>
              </w:rPr>
              <w:t>建立检测信息管理系统，</w:t>
            </w:r>
            <w:r>
              <w:rPr>
                <w:rFonts w:hint="eastAsia"/>
                <w:lang w:val="en-US" w:eastAsia="zh-CN"/>
              </w:rPr>
              <w:t>保障检测数据及时、安全传送到</w:t>
            </w:r>
            <w:r>
              <w:rPr>
                <w:rFonts w:hint="eastAsia"/>
              </w:rPr>
              <w:t>安徽省特种设备大数据信息化监管系统</w:t>
            </w:r>
          </w:p>
          <w:p w14:paraId="7841A8D6">
            <w:pPr>
              <w:pStyle w:val="57"/>
              <w:rPr>
                <w:rFonts w:hint="default" w:eastAsia="宋体"/>
                <w:lang w:val="en-US" w:eastAsia="zh-CN"/>
              </w:rPr>
            </w:pPr>
          </w:p>
        </w:tc>
        <w:tc>
          <w:tcPr>
            <w:tcW w:w="1199" w:type="dxa"/>
            <w:vMerge w:val="continue"/>
            <w:vAlign w:val="center"/>
          </w:tcPr>
          <w:p w14:paraId="061BAF0D">
            <w:pPr>
              <w:pStyle w:val="57"/>
              <w:jc w:val="center"/>
              <w:rPr>
                <w:rFonts w:hint="eastAsia"/>
                <w:lang w:val="en-US" w:eastAsia="zh-CN"/>
              </w:rPr>
            </w:pPr>
          </w:p>
        </w:tc>
        <w:tc>
          <w:tcPr>
            <w:tcW w:w="660" w:type="dxa"/>
            <w:vMerge w:val="continue"/>
            <w:vAlign w:val="center"/>
          </w:tcPr>
          <w:p w14:paraId="629F4B70">
            <w:pPr>
              <w:pStyle w:val="57"/>
              <w:jc w:val="center"/>
              <w:rPr>
                <w:rFonts w:hint="default" w:eastAsia="宋体"/>
                <w:lang w:val="en-US" w:eastAsia="zh-CN"/>
              </w:rPr>
            </w:pPr>
          </w:p>
        </w:tc>
      </w:tr>
      <w:tr w14:paraId="0383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666" w:type="dxa"/>
            <w:vMerge w:val="continue"/>
            <w:vAlign w:val="center"/>
          </w:tcPr>
          <w:p w14:paraId="04C2CBD8">
            <w:pPr>
              <w:pStyle w:val="57"/>
              <w:rPr>
                <w:rFonts w:hint="default" w:eastAsia="宋体"/>
                <w:lang w:val="en-US" w:eastAsia="zh-CN"/>
              </w:rPr>
            </w:pPr>
          </w:p>
        </w:tc>
        <w:tc>
          <w:tcPr>
            <w:tcW w:w="1077" w:type="dxa"/>
            <w:vAlign w:val="center"/>
          </w:tcPr>
          <w:p w14:paraId="2C1E8513">
            <w:pPr>
              <w:pStyle w:val="57"/>
              <w:jc w:val="center"/>
              <w:rPr>
                <w:rFonts w:hint="eastAsia" w:eastAsia="宋体"/>
                <w:lang w:val="en-US" w:eastAsia="zh-CN"/>
              </w:rPr>
            </w:pPr>
            <w:r>
              <w:rPr>
                <w:rFonts w:hint="eastAsia" w:ascii="宋体" w:hAnsi="宋体" w:eastAsia="宋体" w:cs="宋体"/>
                <w:lang w:val="en-US" w:eastAsia="zh-CN"/>
              </w:rPr>
              <w:t>★</w:t>
            </w:r>
            <w:r>
              <w:rPr>
                <w:rFonts w:hint="eastAsia"/>
                <w:lang w:val="en-US" w:eastAsia="zh-CN"/>
              </w:rPr>
              <w:t>人员</w:t>
            </w:r>
          </w:p>
        </w:tc>
        <w:tc>
          <w:tcPr>
            <w:tcW w:w="5836" w:type="dxa"/>
          </w:tcPr>
          <w:p w14:paraId="41D063E5">
            <w:pPr>
              <w:pStyle w:val="57"/>
              <w:rPr>
                <w:rFonts w:hint="default" w:eastAsia="宋体"/>
                <w:lang w:val="en-US" w:eastAsia="zh-CN"/>
              </w:rPr>
            </w:pPr>
            <w:r>
              <w:rPr>
                <w:rFonts w:hint="eastAsia"/>
                <w:lang w:val="en-US" w:eastAsia="zh-CN"/>
              </w:rPr>
              <w:t>人员条件是否</w:t>
            </w:r>
            <w:bookmarkStart w:id="68" w:name="_GoBack"/>
            <w:bookmarkEnd w:id="68"/>
            <w:r>
              <w:rPr>
                <w:rFonts w:hint="eastAsia"/>
                <w:lang w:val="en-US" w:eastAsia="zh-CN"/>
              </w:rPr>
              <w:t>满足TSG T7008-2023电梯自行检测规则、</w:t>
            </w:r>
            <w:r>
              <w:rPr>
                <w:rFonts w:hint="eastAsia"/>
              </w:rPr>
              <w:t>TSG Z7002特种设备检测机构核准规则</w:t>
            </w:r>
            <w:r>
              <w:rPr>
                <w:rFonts w:hint="eastAsia"/>
                <w:lang w:val="en-US" w:eastAsia="zh-CN"/>
              </w:rPr>
              <w:t>和</w:t>
            </w:r>
            <w:r>
              <w:rPr>
                <w:rFonts w:hint="eastAsia"/>
              </w:rPr>
              <w:t>TSG Z8002特种设备检验人员考核规则</w:t>
            </w:r>
            <w:r>
              <w:rPr>
                <w:rFonts w:hint="eastAsia"/>
                <w:lang w:val="en-US" w:eastAsia="zh-CN"/>
              </w:rPr>
              <w:t>相关要求</w:t>
            </w:r>
          </w:p>
        </w:tc>
        <w:tc>
          <w:tcPr>
            <w:tcW w:w="1199" w:type="dxa"/>
            <w:vMerge w:val="continue"/>
            <w:vAlign w:val="center"/>
          </w:tcPr>
          <w:p w14:paraId="483BB6BE">
            <w:pPr>
              <w:pStyle w:val="57"/>
              <w:jc w:val="center"/>
              <w:rPr>
                <w:rFonts w:hint="eastAsia"/>
                <w:lang w:val="en-US" w:eastAsia="zh-CN"/>
              </w:rPr>
            </w:pPr>
          </w:p>
        </w:tc>
        <w:tc>
          <w:tcPr>
            <w:tcW w:w="660" w:type="dxa"/>
            <w:vMerge w:val="continue"/>
            <w:vAlign w:val="center"/>
          </w:tcPr>
          <w:p w14:paraId="495370CD">
            <w:pPr>
              <w:pStyle w:val="57"/>
              <w:jc w:val="center"/>
              <w:rPr>
                <w:rFonts w:hint="default"/>
                <w:lang w:val="en-US" w:eastAsia="zh-CN"/>
              </w:rPr>
            </w:pPr>
          </w:p>
        </w:tc>
      </w:tr>
      <w:tr w14:paraId="21CFF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666" w:type="dxa"/>
            <w:vMerge w:val="restart"/>
            <w:vAlign w:val="center"/>
          </w:tcPr>
          <w:p w14:paraId="1B93F1FD">
            <w:pPr>
              <w:pStyle w:val="57"/>
              <w:rPr>
                <w:rFonts w:hint="default"/>
                <w:lang w:val="en-US" w:eastAsia="zh-CN"/>
              </w:rPr>
            </w:pPr>
            <w:r>
              <w:rPr>
                <w:rFonts w:hint="eastAsia"/>
                <w:lang w:val="en-US" w:eastAsia="zh-CN"/>
              </w:rPr>
              <w:t>合法经营</w:t>
            </w:r>
          </w:p>
        </w:tc>
        <w:tc>
          <w:tcPr>
            <w:tcW w:w="1077" w:type="dxa"/>
            <w:vAlign w:val="center"/>
          </w:tcPr>
          <w:p w14:paraId="10C84481">
            <w:pPr>
              <w:pStyle w:val="57"/>
              <w:jc w:val="center"/>
              <w:rPr>
                <w:rFonts w:hint="default" w:eastAsia="宋体"/>
                <w:lang w:val="en-US" w:eastAsia="zh-CN"/>
              </w:rPr>
            </w:pPr>
            <w:r>
              <w:rPr>
                <w:rFonts w:hint="eastAsia"/>
                <w:lang w:val="en-US" w:eastAsia="zh-CN"/>
              </w:rPr>
              <w:t>识法（2分）</w:t>
            </w:r>
          </w:p>
        </w:tc>
        <w:tc>
          <w:tcPr>
            <w:tcW w:w="5836" w:type="dxa"/>
          </w:tcPr>
          <w:p w14:paraId="1905C3D6">
            <w:pPr>
              <w:pStyle w:val="57"/>
              <w:rPr>
                <w:rFonts w:hint="default" w:eastAsia="宋体"/>
                <w:lang w:val="en-US" w:eastAsia="zh-CN"/>
              </w:rPr>
            </w:pPr>
            <w:r>
              <w:rPr>
                <w:rFonts w:hint="eastAsia"/>
                <w:lang w:val="en-US" w:eastAsia="zh-CN"/>
              </w:rPr>
              <w:t>是否指定专人负责对相关法律、法规、安全技术文件和标准进行识别和收集。内容包括但不限于：特种设备安全法、劳动法、合同法、社会保险法、安全生产法、企业所得税法、特种设备安全监察条例、特种设备使用单位落实使用安全主体责任监督管理规定、特种设备安全监督检查办法、安徽省电梯安全监督管理办法、</w:t>
            </w:r>
            <w:r>
              <w:rPr>
                <w:rFonts w:hint="eastAsia"/>
              </w:rPr>
              <w:t>特种设备检测机构核准规则</w:t>
            </w:r>
            <w:r>
              <w:rPr>
                <w:rFonts w:hint="eastAsia"/>
                <w:lang w:eastAsia="zh-CN"/>
              </w:rPr>
              <w:t>、</w:t>
            </w:r>
            <w:r>
              <w:rPr>
                <w:rFonts w:hint="eastAsia"/>
                <w:lang w:val="en-US" w:eastAsia="zh-CN"/>
              </w:rPr>
              <w:t>电梯自行检测规则、</w:t>
            </w:r>
            <w:r>
              <w:rPr>
                <w:rFonts w:hint="eastAsia"/>
              </w:rPr>
              <w:t>特种设备检验人员考核规则</w:t>
            </w:r>
            <w:r>
              <w:rPr>
                <w:rFonts w:hint="eastAsia"/>
                <w:lang w:eastAsia="zh-CN"/>
              </w:rPr>
              <w:t>、</w:t>
            </w:r>
            <w:r>
              <w:rPr>
                <w:rFonts w:hint="eastAsia"/>
                <w:lang w:val="en-US" w:eastAsia="zh-CN"/>
              </w:rPr>
              <w:t>电梯型式试验规则、电梯维护保养规则、电梯制造与安装安全规范等</w:t>
            </w:r>
          </w:p>
        </w:tc>
        <w:tc>
          <w:tcPr>
            <w:tcW w:w="1199" w:type="dxa"/>
            <w:vAlign w:val="center"/>
          </w:tcPr>
          <w:p w14:paraId="698737EF">
            <w:pPr>
              <w:pStyle w:val="57"/>
              <w:jc w:val="center"/>
              <w:rPr>
                <w:rFonts w:hint="default"/>
                <w:lang w:val="en-US" w:eastAsia="zh-CN"/>
              </w:rPr>
            </w:pPr>
            <w:r>
              <w:rPr>
                <w:rFonts w:hint="eastAsia"/>
                <w:lang w:val="en-US" w:eastAsia="zh-CN"/>
              </w:rPr>
              <w:t>电梯自行检测单位</w:t>
            </w:r>
          </w:p>
        </w:tc>
        <w:tc>
          <w:tcPr>
            <w:tcW w:w="660" w:type="dxa"/>
            <w:vAlign w:val="center"/>
          </w:tcPr>
          <w:p w14:paraId="69EE4D96">
            <w:pPr>
              <w:pStyle w:val="57"/>
              <w:jc w:val="center"/>
              <w:rPr>
                <w:rFonts w:hint="default" w:eastAsia="宋体"/>
                <w:lang w:val="en-US" w:eastAsia="zh-CN"/>
              </w:rPr>
            </w:pPr>
            <w:r>
              <w:rPr>
                <w:rFonts w:hint="eastAsia"/>
                <w:lang w:val="en-US" w:eastAsia="zh-CN"/>
              </w:rPr>
              <w:t>2</w:t>
            </w:r>
          </w:p>
        </w:tc>
      </w:tr>
      <w:tr w14:paraId="3E16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666" w:type="dxa"/>
            <w:vMerge w:val="continue"/>
            <w:vAlign w:val="center"/>
          </w:tcPr>
          <w:p w14:paraId="0C7D516F">
            <w:pPr>
              <w:pStyle w:val="57"/>
              <w:rPr>
                <w:rFonts w:hint="default" w:eastAsia="宋体"/>
                <w:lang w:val="en-US" w:eastAsia="zh-CN"/>
              </w:rPr>
            </w:pPr>
          </w:p>
        </w:tc>
        <w:tc>
          <w:tcPr>
            <w:tcW w:w="1077" w:type="dxa"/>
            <w:vAlign w:val="center"/>
          </w:tcPr>
          <w:p w14:paraId="5EA63080">
            <w:pPr>
              <w:pStyle w:val="57"/>
              <w:jc w:val="center"/>
              <w:rPr>
                <w:rFonts w:hint="default" w:eastAsia="宋体"/>
                <w:lang w:val="en-US" w:eastAsia="zh-CN"/>
              </w:rPr>
            </w:pPr>
            <w:r>
              <w:rPr>
                <w:rFonts w:hint="eastAsia"/>
                <w:lang w:val="en-US" w:eastAsia="zh-CN"/>
              </w:rPr>
              <w:t>学法（2分）</w:t>
            </w:r>
          </w:p>
        </w:tc>
        <w:tc>
          <w:tcPr>
            <w:tcW w:w="5836" w:type="dxa"/>
          </w:tcPr>
          <w:p w14:paraId="594D389D">
            <w:pPr>
              <w:pStyle w:val="57"/>
              <w:rPr>
                <w:rFonts w:hint="default" w:eastAsia="宋体"/>
                <w:lang w:val="en-US" w:eastAsia="zh-CN"/>
              </w:rPr>
            </w:pPr>
            <w:r>
              <w:rPr>
                <w:rFonts w:hint="eastAsia"/>
                <w:lang w:val="en-US" w:eastAsia="zh-CN"/>
              </w:rPr>
              <w:t>是否组织员工及时学习并掌握已收集和识别的相关法律法规、安全技术和标准要求</w:t>
            </w:r>
          </w:p>
        </w:tc>
        <w:tc>
          <w:tcPr>
            <w:tcW w:w="1199" w:type="dxa"/>
            <w:vAlign w:val="center"/>
          </w:tcPr>
          <w:p w14:paraId="442FDE1C">
            <w:pPr>
              <w:pStyle w:val="57"/>
              <w:jc w:val="center"/>
              <w:rPr>
                <w:rFonts w:hint="default"/>
                <w:lang w:val="en-US"/>
              </w:rPr>
            </w:pPr>
            <w:r>
              <w:rPr>
                <w:rFonts w:hint="eastAsia"/>
                <w:lang w:val="en-US" w:eastAsia="zh-CN"/>
              </w:rPr>
              <w:t>电梯自行检测单位</w:t>
            </w:r>
          </w:p>
        </w:tc>
        <w:tc>
          <w:tcPr>
            <w:tcW w:w="660" w:type="dxa"/>
            <w:vAlign w:val="center"/>
          </w:tcPr>
          <w:p w14:paraId="3C5C4FCD">
            <w:pPr>
              <w:pStyle w:val="57"/>
              <w:jc w:val="center"/>
              <w:rPr>
                <w:rFonts w:hint="default" w:eastAsia="宋体"/>
                <w:lang w:val="en-US" w:eastAsia="zh-CN"/>
              </w:rPr>
            </w:pPr>
            <w:r>
              <w:rPr>
                <w:rFonts w:hint="eastAsia"/>
                <w:lang w:val="en-US" w:eastAsia="zh-CN"/>
              </w:rPr>
              <w:t>2</w:t>
            </w:r>
          </w:p>
        </w:tc>
      </w:tr>
      <w:tr w14:paraId="532C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666" w:type="dxa"/>
            <w:vMerge w:val="continue"/>
            <w:vAlign w:val="center"/>
          </w:tcPr>
          <w:p w14:paraId="4617DACA">
            <w:pPr>
              <w:pStyle w:val="57"/>
              <w:rPr>
                <w:rFonts w:hint="default"/>
                <w:lang w:val="en-US" w:eastAsia="zh-CN"/>
              </w:rPr>
            </w:pPr>
          </w:p>
        </w:tc>
        <w:tc>
          <w:tcPr>
            <w:tcW w:w="1077" w:type="dxa"/>
            <w:vMerge w:val="restart"/>
            <w:vAlign w:val="center"/>
          </w:tcPr>
          <w:p w14:paraId="2D08D04B">
            <w:pPr>
              <w:pStyle w:val="57"/>
              <w:jc w:val="center"/>
              <w:rPr>
                <w:rFonts w:hint="eastAsia" w:eastAsia="宋体"/>
                <w:lang w:val="en-US" w:eastAsia="zh-CN"/>
              </w:rPr>
            </w:pPr>
            <w:r>
              <w:rPr>
                <w:rFonts w:hint="eastAsia" w:ascii="宋体" w:hAnsi="宋体" w:eastAsia="宋体" w:cs="宋体"/>
                <w:lang w:val="en-US" w:eastAsia="zh-CN"/>
              </w:rPr>
              <w:t>★</w:t>
            </w:r>
            <w:r>
              <w:rPr>
                <w:rFonts w:hint="eastAsia"/>
                <w:lang w:val="en-US" w:eastAsia="zh-CN"/>
              </w:rPr>
              <w:t>守法</w:t>
            </w:r>
          </w:p>
        </w:tc>
        <w:tc>
          <w:tcPr>
            <w:tcW w:w="5836" w:type="dxa"/>
          </w:tcPr>
          <w:p w14:paraId="4A4D2A03">
            <w:pPr>
              <w:pStyle w:val="57"/>
              <w:rPr>
                <w:rFonts w:hint="default"/>
                <w:lang w:val="en-US" w:eastAsia="zh-CN"/>
              </w:rPr>
            </w:pPr>
            <w:r>
              <w:rPr>
                <w:rFonts w:hint="eastAsia"/>
                <w:lang w:val="en-US" w:eastAsia="zh-CN"/>
              </w:rPr>
              <w:t>是否存在以下违法行为：</w:t>
            </w:r>
          </w:p>
        </w:tc>
        <w:tc>
          <w:tcPr>
            <w:tcW w:w="1199" w:type="dxa"/>
            <w:vAlign w:val="center"/>
          </w:tcPr>
          <w:p w14:paraId="46023FA3">
            <w:pPr>
              <w:pStyle w:val="57"/>
              <w:jc w:val="center"/>
              <w:rPr>
                <w:rFonts w:hint="eastAsia"/>
                <w:lang w:val="en-US" w:eastAsia="zh-CN"/>
              </w:rPr>
            </w:pPr>
          </w:p>
        </w:tc>
        <w:tc>
          <w:tcPr>
            <w:tcW w:w="660" w:type="dxa"/>
            <w:vMerge w:val="restart"/>
            <w:vAlign w:val="center"/>
          </w:tcPr>
          <w:p w14:paraId="3C245A59">
            <w:pPr>
              <w:pStyle w:val="57"/>
              <w:jc w:val="center"/>
              <w:rPr>
                <w:rFonts w:hint="default" w:eastAsia="宋体"/>
                <w:lang w:val="en-US" w:eastAsia="zh-CN"/>
              </w:rPr>
            </w:pPr>
            <w:r>
              <w:rPr>
                <w:rFonts w:hint="eastAsia"/>
                <w:lang w:val="en-US" w:eastAsia="zh-CN"/>
              </w:rPr>
              <w:t>100</w:t>
            </w:r>
          </w:p>
        </w:tc>
      </w:tr>
      <w:tr w14:paraId="30B1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666" w:type="dxa"/>
            <w:vMerge w:val="continue"/>
            <w:vAlign w:val="center"/>
          </w:tcPr>
          <w:p w14:paraId="626B45A3">
            <w:pPr>
              <w:pStyle w:val="57"/>
              <w:rPr>
                <w:rFonts w:hint="default"/>
                <w:lang w:val="en-US" w:eastAsia="zh-CN"/>
              </w:rPr>
            </w:pPr>
          </w:p>
        </w:tc>
        <w:tc>
          <w:tcPr>
            <w:tcW w:w="1077" w:type="dxa"/>
            <w:vMerge w:val="continue"/>
            <w:vAlign w:val="center"/>
          </w:tcPr>
          <w:p w14:paraId="13AC6947">
            <w:pPr>
              <w:pStyle w:val="57"/>
              <w:jc w:val="center"/>
              <w:rPr>
                <w:rFonts w:hint="eastAsia"/>
                <w:lang w:val="en-US" w:eastAsia="zh-CN"/>
              </w:rPr>
            </w:pPr>
          </w:p>
        </w:tc>
        <w:tc>
          <w:tcPr>
            <w:tcW w:w="5836" w:type="dxa"/>
          </w:tcPr>
          <w:p w14:paraId="0A5D46C5">
            <w:pPr>
              <w:pStyle w:val="57"/>
              <w:rPr>
                <w:rFonts w:hint="default"/>
                <w:lang w:val="en-US" w:eastAsia="zh-CN"/>
              </w:rPr>
            </w:pPr>
            <w:r>
              <w:rPr>
                <w:rFonts w:hint="eastAsia"/>
                <w:lang w:val="en-US" w:eastAsia="zh-CN"/>
              </w:rPr>
              <w:t>单位管理者是否有违法违纪和严重失信行为</w:t>
            </w:r>
          </w:p>
        </w:tc>
        <w:tc>
          <w:tcPr>
            <w:tcW w:w="1199" w:type="dxa"/>
            <w:vMerge w:val="restart"/>
            <w:vAlign w:val="center"/>
          </w:tcPr>
          <w:p w14:paraId="3F6DBD71">
            <w:pPr>
              <w:pStyle w:val="57"/>
              <w:jc w:val="center"/>
              <w:rPr>
                <w:rFonts w:hint="default"/>
                <w:lang w:val="en-US" w:eastAsia="zh-CN"/>
              </w:rPr>
            </w:pPr>
            <w:r>
              <w:rPr>
                <w:rFonts w:hint="eastAsia"/>
                <w:lang w:val="en-US" w:eastAsia="zh-CN"/>
              </w:rPr>
              <w:t>政府行政监督管理部门</w:t>
            </w:r>
          </w:p>
        </w:tc>
        <w:tc>
          <w:tcPr>
            <w:tcW w:w="660" w:type="dxa"/>
            <w:vMerge w:val="continue"/>
            <w:vAlign w:val="center"/>
          </w:tcPr>
          <w:p w14:paraId="1632398C">
            <w:pPr>
              <w:pStyle w:val="57"/>
              <w:jc w:val="center"/>
              <w:rPr>
                <w:rFonts w:hint="default" w:eastAsia="宋体"/>
                <w:lang w:val="en-US" w:eastAsia="zh-CN"/>
              </w:rPr>
            </w:pPr>
          </w:p>
        </w:tc>
      </w:tr>
      <w:tr w14:paraId="6B15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22F12E18">
            <w:pPr>
              <w:pStyle w:val="57"/>
              <w:rPr>
                <w:rFonts w:hint="default" w:eastAsia="宋体"/>
                <w:lang w:val="en-US" w:eastAsia="zh-CN"/>
              </w:rPr>
            </w:pPr>
          </w:p>
        </w:tc>
        <w:tc>
          <w:tcPr>
            <w:tcW w:w="1077" w:type="dxa"/>
            <w:vMerge w:val="continue"/>
            <w:vAlign w:val="center"/>
          </w:tcPr>
          <w:p w14:paraId="343B9A7C">
            <w:pPr>
              <w:pStyle w:val="57"/>
              <w:jc w:val="center"/>
              <w:rPr>
                <w:rFonts w:hint="default" w:eastAsia="宋体"/>
                <w:lang w:val="en-US" w:eastAsia="zh-CN"/>
              </w:rPr>
            </w:pPr>
          </w:p>
        </w:tc>
        <w:tc>
          <w:tcPr>
            <w:tcW w:w="5836" w:type="dxa"/>
          </w:tcPr>
          <w:p w14:paraId="55EA0FCB">
            <w:pPr>
              <w:pStyle w:val="57"/>
              <w:rPr>
                <w:rFonts w:hint="default" w:eastAsia="宋体"/>
                <w:lang w:val="en-US" w:eastAsia="zh-CN"/>
              </w:rPr>
            </w:pPr>
            <w:r>
              <w:rPr>
                <w:rFonts w:hint="eastAsia"/>
                <w:lang w:val="en-US" w:eastAsia="zh-CN"/>
              </w:rPr>
              <w:t>单位因重大安全事故被</w:t>
            </w:r>
            <w:r>
              <w:rPr>
                <w:rFonts w:hint="eastAsia"/>
              </w:rPr>
              <w:t>政府行政监督管理部门行政处罚</w:t>
            </w:r>
            <w:r>
              <w:rPr>
                <w:rFonts w:hint="eastAsia"/>
                <w:lang w:val="en-US" w:eastAsia="zh-CN"/>
              </w:rPr>
              <w:t>或</w:t>
            </w:r>
            <w:r>
              <w:rPr>
                <w:rFonts w:hint="eastAsia"/>
              </w:rPr>
              <w:t>通报批评</w:t>
            </w:r>
            <w:r>
              <w:rPr>
                <w:rFonts w:hint="eastAsia"/>
                <w:lang w:val="en-US" w:eastAsia="zh-CN"/>
              </w:rPr>
              <w:t>的</w:t>
            </w:r>
          </w:p>
        </w:tc>
        <w:tc>
          <w:tcPr>
            <w:tcW w:w="1199" w:type="dxa"/>
            <w:vMerge w:val="continue"/>
            <w:vAlign w:val="center"/>
          </w:tcPr>
          <w:p w14:paraId="1F72D0A8">
            <w:pPr>
              <w:pStyle w:val="57"/>
              <w:jc w:val="center"/>
              <w:rPr>
                <w:rFonts w:hint="default" w:eastAsia="宋体"/>
                <w:lang w:val="en-US" w:eastAsia="zh-CN"/>
              </w:rPr>
            </w:pPr>
          </w:p>
        </w:tc>
        <w:tc>
          <w:tcPr>
            <w:tcW w:w="660" w:type="dxa"/>
            <w:vMerge w:val="continue"/>
            <w:vAlign w:val="center"/>
          </w:tcPr>
          <w:p w14:paraId="0EC55478">
            <w:pPr>
              <w:pStyle w:val="57"/>
              <w:jc w:val="center"/>
              <w:rPr>
                <w:rFonts w:hint="default" w:eastAsia="宋体"/>
                <w:lang w:val="en-US" w:eastAsia="zh-CN"/>
              </w:rPr>
            </w:pPr>
          </w:p>
        </w:tc>
      </w:tr>
      <w:tr w14:paraId="50AB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7A2FC25C">
            <w:pPr>
              <w:pStyle w:val="57"/>
              <w:rPr>
                <w:rFonts w:hint="default" w:eastAsia="宋体"/>
                <w:lang w:val="en-US" w:eastAsia="zh-CN"/>
              </w:rPr>
            </w:pPr>
          </w:p>
        </w:tc>
        <w:tc>
          <w:tcPr>
            <w:tcW w:w="1077" w:type="dxa"/>
            <w:vMerge w:val="continue"/>
            <w:vAlign w:val="center"/>
          </w:tcPr>
          <w:p w14:paraId="3E624BD1">
            <w:pPr>
              <w:pStyle w:val="57"/>
              <w:jc w:val="center"/>
              <w:rPr>
                <w:rFonts w:hint="eastAsia"/>
              </w:rPr>
            </w:pPr>
          </w:p>
        </w:tc>
        <w:tc>
          <w:tcPr>
            <w:tcW w:w="5836" w:type="dxa"/>
          </w:tcPr>
          <w:p w14:paraId="351D944E">
            <w:pPr>
              <w:pStyle w:val="57"/>
              <w:rPr>
                <w:rFonts w:hint="default"/>
                <w:lang w:val="en-US" w:eastAsia="zh-CN"/>
              </w:rPr>
            </w:pPr>
            <w:r>
              <w:rPr>
                <w:rFonts w:hint="eastAsia"/>
                <w:lang w:val="en-US" w:eastAsia="zh-CN"/>
              </w:rPr>
              <w:t>未开展检测，或检测人员未到现场，出具检测报告的</w:t>
            </w:r>
          </w:p>
        </w:tc>
        <w:tc>
          <w:tcPr>
            <w:tcW w:w="1199" w:type="dxa"/>
            <w:vMerge w:val="restart"/>
            <w:vAlign w:val="center"/>
          </w:tcPr>
          <w:p w14:paraId="4A798A99">
            <w:pPr>
              <w:pStyle w:val="57"/>
              <w:jc w:val="center"/>
              <w:rPr>
                <w:rFonts w:hint="eastAsia"/>
                <w:lang w:val="en-US" w:eastAsia="zh-CN"/>
              </w:rPr>
            </w:pPr>
            <w:r>
              <w:rPr>
                <w:rFonts w:hint="eastAsia"/>
                <w:lang w:val="en-US" w:eastAsia="zh-CN"/>
              </w:rPr>
              <w:t>电梯使用单位或社会举报</w:t>
            </w:r>
          </w:p>
        </w:tc>
        <w:tc>
          <w:tcPr>
            <w:tcW w:w="660" w:type="dxa"/>
            <w:vMerge w:val="continue"/>
            <w:vAlign w:val="center"/>
          </w:tcPr>
          <w:p w14:paraId="2D66F23B">
            <w:pPr>
              <w:pStyle w:val="57"/>
              <w:jc w:val="center"/>
              <w:rPr>
                <w:rFonts w:hint="default" w:eastAsia="宋体"/>
                <w:lang w:val="en-US" w:eastAsia="zh-CN"/>
              </w:rPr>
            </w:pPr>
          </w:p>
        </w:tc>
      </w:tr>
      <w:tr w14:paraId="6E6D4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041D4A0C">
            <w:pPr>
              <w:pStyle w:val="57"/>
              <w:rPr>
                <w:rFonts w:hint="default" w:eastAsia="宋体"/>
                <w:lang w:val="en-US" w:eastAsia="zh-CN"/>
              </w:rPr>
            </w:pPr>
          </w:p>
        </w:tc>
        <w:tc>
          <w:tcPr>
            <w:tcW w:w="1077" w:type="dxa"/>
            <w:vMerge w:val="continue"/>
            <w:vAlign w:val="center"/>
          </w:tcPr>
          <w:p w14:paraId="5CA048EF">
            <w:pPr>
              <w:pStyle w:val="57"/>
              <w:jc w:val="center"/>
              <w:rPr>
                <w:rFonts w:hint="eastAsia"/>
              </w:rPr>
            </w:pPr>
          </w:p>
        </w:tc>
        <w:tc>
          <w:tcPr>
            <w:tcW w:w="5836" w:type="dxa"/>
          </w:tcPr>
          <w:p w14:paraId="71B0CCC7">
            <w:pPr>
              <w:pStyle w:val="57"/>
              <w:rPr>
                <w:rFonts w:hint="default"/>
                <w:lang w:val="en-US" w:eastAsia="zh-CN"/>
              </w:rPr>
            </w:pPr>
            <w:r>
              <w:rPr>
                <w:rFonts w:hint="default" w:eastAsia="宋体"/>
                <w:lang w:val="en-US" w:eastAsia="zh-CN"/>
              </w:rPr>
              <w:t>是否存在超核准范围</w:t>
            </w:r>
            <w:r>
              <w:rPr>
                <w:rFonts w:hint="eastAsia"/>
                <w:lang w:val="en-US" w:eastAsia="zh-CN"/>
              </w:rPr>
              <w:t>或</w:t>
            </w:r>
            <w:r>
              <w:rPr>
                <w:rFonts w:hint="default" w:eastAsia="宋体"/>
                <w:lang w:val="en-US" w:eastAsia="zh-CN"/>
              </w:rPr>
              <w:t>使用管理范围，从事电梯检测的行为</w:t>
            </w:r>
          </w:p>
        </w:tc>
        <w:tc>
          <w:tcPr>
            <w:tcW w:w="1199" w:type="dxa"/>
            <w:vMerge w:val="continue"/>
            <w:vAlign w:val="center"/>
          </w:tcPr>
          <w:p w14:paraId="48EDBB11">
            <w:pPr>
              <w:pStyle w:val="57"/>
              <w:jc w:val="center"/>
              <w:rPr>
                <w:rFonts w:hint="default"/>
                <w:lang w:val="en-US" w:eastAsia="zh-CN"/>
              </w:rPr>
            </w:pPr>
          </w:p>
        </w:tc>
        <w:tc>
          <w:tcPr>
            <w:tcW w:w="660" w:type="dxa"/>
            <w:vMerge w:val="continue"/>
            <w:vAlign w:val="center"/>
          </w:tcPr>
          <w:p w14:paraId="7EDF0F71">
            <w:pPr>
              <w:pStyle w:val="57"/>
              <w:jc w:val="center"/>
              <w:rPr>
                <w:rFonts w:hint="default" w:eastAsia="宋体"/>
                <w:lang w:val="en-US" w:eastAsia="zh-CN"/>
              </w:rPr>
            </w:pPr>
          </w:p>
        </w:tc>
      </w:tr>
      <w:tr w14:paraId="5BFE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666" w:type="dxa"/>
            <w:vMerge w:val="restart"/>
            <w:vAlign w:val="center"/>
          </w:tcPr>
          <w:p w14:paraId="298EDCD5">
            <w:pPr>
              <w:pStyle w:val="57"/>
              <w:jc w:val="center"/>
              <w:rPr>
                <w:rFonts w:hint="eastAsia"/>
                <w:lang w:val="en-US" w:eastAsia="zh-CN"/>
              </w:rPr>
            </w:pPr>
            <w:r>
              <w:rPr>
                <w:rFonts w:hint="eastAsia"/>
                <w:lang w:val="en-US" w:eastAsia="zh-CN"/>
              </w:rPr>
              <w:t>诚信施检</w:t>
            </w:r>
          </w:p>
          <w:p w14:paraId="0F2F2F25">
            <w:pPr>
              <w:pStyle w:val="57"/>
              <w:jc w:val="center"/>
            </w:pPr>
          </w:p>
          <w:p w14:paraId="4CFF7F62">
            <w:pPr>
              <w:pStyle w:val="57"/>
              <w:jc w:val="center"/>
            </w:pPr>
          </w:p>
        </w:tc>
        <w:tc>
          <w:tcPr>
            <w:tcW w:w="1077" w:type="dxa"/>
            <w:vMerge w:val="restart"/>
            <w:vAlign w:val="center"/>
          </w:tcPr>
          <w:p w14:paraId="6B73644E">
            <w:pPr>
              <w:pStyle w:val="57"/>
              <w:jc w:val="center"/>
              <w:rPr>
                <w:rFonts w:hint="default" w:eastAsia="宋体"/>
                <w:lang w:val="en-US" w:eastAsia="zh-CN"/>
              </w:rPr>
            </w:pPr>
            <w:r>
              <w:rPr>
                <w:rFonts w:hint="eastAsia"/>
                <w:lang w:val="en-US" w:eastAsia="zh-CN"/>
              </w:rPr>
              <w:t>质量管理（10分）</w:t>
            </w:r>
          </w:p>
        </w:tc>
        <w:tc>
          <w:tcPr>
            <w:tcW w:w="5836" w:type="dxa"/>
          </w:tcPr>
          <w:p w14:paraId="269265EE">
            <w:pPr>
              <w:pStyle w:val="57"/>
              <w:rPr>
                <w:rFonts w:hint="default" w:eastAsia="宋体"/>
                <w:lang w:val="en-US" w:eastAsia="zh-CN"/>
              </w:rPr>
            </w:pPr>
            <w:r>
              <w:rPr>
                <w:rFonts w:hint="eastAsia"/>
                <w:lang w:val="en-US" w:eastAsia="zh-CN"/>
              </w:rPr>
              <w:t>抽查质量管理体系运行的以下部分项目是否有效：</w:t>
            </w:r>
          </w:p>
        </w:tc>
        <w:tc>
          <w:tcPr>
            <w:tcW w:w="1199" w:type="dxa"/>
            <w:vMerge w:val="restart"/>
            <w:vAlign w:val="center"/>
          </w:tcPr>
          <w:p w14:paraId="43E03327">
            <w:pPr>
              <w:pStyle w:val="57"/>
              <w:jc w:val="center"/>
              <w:rPr>
                <w:rFonts w:hint="default" w:eastAsia="宋体"/>
                <w:lang w:val="en-US" w:eastAsia="zh-CN"/>
              </w:rPr>
            </w:pPr>
            <w:r>
              <w:rPr>
                <w:rFonts w:hint="eastAsia"/>
                <w:lang w:val="en-US" w:eastAsia="zh-CN"/>
              </w:rPr>
              <w:t>电梯自行检测单位</w:t>
            </w:r>
          </w:p>
        </w:tc>
        <w:tc>
          <w:tcPr>
            <w:tcW w:w="660" w:type="dxa"/>
            <w:vMerge w:val="restart"/>
            <w:vAlign w:val="center"/>
          </w:tcPr>
          <w:p w14:paraId="1D364F98">
            <w:pPr>
              <w:pStyle w:val="57"/>
              <w:jc w:val="center"/>
              <w:rPr>
                <w:rFonts w:hint="default" w:eastAsia="宋体"/>
                <w:lang w:val="en-US" w:eastAsia="zh-CN"/>
              </w:rPr>
            </w:pPr>
            <w:r>
              <w:rPr>
                <w:rFonts w:hint="eastAsia"/>
                <w:lang w:val="en-US" w:eastAsia="zh-CN"/>
              </w:rPr>
              <w:t>10分</w:t>
            </w:r>
          </w:p>
        </w:tc>
      </w:tr>
      <w:tr w14:paraId="65EE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66" w:type="dxa"/>
            <w:vMerge w:val="continue"/>
            <w:vAlign w:val="center"/>
          </w:tcPr>
          <w:p w14:paraId="2D72500F">
            <w:pPr>
              <w:pStyle w:val="57"/>
              <w:jc w:val="center"/>
            </w:pPr>
          </w:p>
        </w:tc>
        <w:tc>
          <w:tcPr>
            <w:tcW w:w="1077" w:type="dxa"/>
            <w:vMerge w:val="continue"/>
            <w:vAlign w:val="center"/>
          </w:tcPr>
          <w:p w14:paraId="66FFC494">
            <w:pPr>
              <w:pStyle w:val="57"/>
              <w:jc w:val="center"/>
              <w:rPr>
                <w:rFonts w:hint="eastAsia"/>
                <w:lang w:val="en-US" w:eastAsia="zh-CN"/>
              </w:rPr>
            </w:pPr>
          </w:p>
        </w:tc>
        <w:tc>
          <w:tcPr>
            <w:tcW w:w="5836" w:type="dxa"/>
          </w:tcPr>
          <w:p w14:paraId="233B229F">
            <w:pPr>
              <w:pStyle w:val="57"/>
              <w:rPr>
                <w:rFonts w:hint="eastAsia"/>
              </w:rPr>
            </w:pPr>
            <w:r>
              <w:rPr>
                <w:rFonts w:hint="eastAsia"/>
              </w:rPr>
              <w:t>检测</w:t>
            </w:r>
            <w:r>
              <w:rPr>
                <w:rFonts w:hint="eastAsia"/>
                <w:lang w:val="en-US" w:eastAsia="zh-CN"/>
              </w:rPr>
              <w:t>工作</w:t>
            </w:r>
            <w:r>
              <w:rPr>
                <w:rFonts w:hint="eastAsia"/>
              </w:rPr>
              <w:t>所需的法规文件和安全技术规范是否齐全、版本是否</w:t>
            </w:r>
            <w:r>
              <w:rPr>
                <w:rFonts w:hint="eastAsia"/>
                <w:lang w:val="en-US" w:eastAsia="zh-CN"/>
              </w:rPr>
              <w:t>是最新的正式版本</w:t>
            </w:r>
            <w:r>
              <w:rPr>
                <w:rFonts w:hint="eastAsia"/>
              </w:rPr>
              <w:t>，是否按规定受控管理</w:t>
            </w:r>
          </w:p>
        </w:tc>
        <w:tc>
          <w:tcPr>
            <w:tcW w:w="1199" w:type="dxa"/>
            <w:vMerge w:val="continue"/>
            <w:vAlign w:val="center"/>
          </w:tcPr>
          <w:p w14:paraId="3186437A">
            <w:pPr>
              <w:pStyle w:val="57"/>
              <w:jc w:val="center"/>
              <w:rPr>
                <w:rFonts w:hint="default" w:eastAsia="宋体"/>
                <w:lang w:val="en-US" w:eastAsia="zh-CN"/>
              </w:rPr>
            </w:pPr>
          </w:p>
        </w:tc>
        <w:tc>
          <w:tcPr>
            <w:tcW w:w="660" w:type="dxa"/>
            <w:vMerge w:val="continue"/>
            <w:vAlign w:val="center"/>
          </w:tcPr>
          <w:p w14:paraId="379C4316">
            <w:pPr>
              <w:pStyle w:val="57"/>
              <w:jc w:val="center"/>
              <w:rPr>
                <w:rFonts w:hint="eastAsia" w:eastAsia="宋体"/>
                <w:lang w:val="en-US" w:eastAsia="zh-CN"/>
              </w:rPr>
            </w:pPr>
          </w:p>
        </w:tc>
      </w:tr>
      <w:tr w14:paraId="5DC7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66" w:type="dxa"/>
            <w:vMerge w:val="continue"/>
            <w:vAlign w:val="center"/>
          </w:tcPr>
          <w:p w14:paraId="7F25334A">
            <w:pPr>
              <w:pStyle w:val="57"/>
              <w:rPr>
                <w:rFonts w:hint="default"/>
                <w:lang w:val="en-US" w:eastAsia="zh-CN"/>
              </w:rPr>
            </w:pPr>
          </w:p>
        </w:tc>
        <w:tc>
          <w:tcPr>
            <w:tcW w:w="1077" w:type="dxa"/>
            <w:vMerge w:val="continue"/>
            <w:vAlign w:val="center"/>
          </w:tcPr>
          <w:p w14:paraId="68062B51">
            <w:pPr>
              <w:pStyle w:val="57"/>
              <w:jc w:val="center"/>
              <w:rPr>
                <w:rFonts w:hint="default" w:eastAsia="宋体"/>
                <w:b/>
                <w:bCs/>
                <w:lang w:val="en-US" w:eastAsia="zh-CN"/>
              </w:rPr>
            </w:pPr>
          </w:p>
        </w:tc>
        <w:tc>
          <w:tcPr>
            <w:tcW w:w="5836" w:type="dxa"/>
          </w:tcPr>
          <w:p w14:paraId="21285BD9">
            <w:pPr>
              <w:pStyle w:val="57"/>
              <w:rPr>
                <w:rFonts w:hint="eastAsia"/>
              </w:rPr>
            </w:pPr>
            <w:r>
              <w:rPr>
                <w:rFonts w:hint="eastAsia"/>
                <w:lang w:val="en-US" w:eastAsia="zh-CN"/>
              </w:rPr>
              <w:t>检测工作所需的仪器设备种类和数量配置是否齐全、是否在检定（校准）有效期内</w:t>
            </w:r>
          </w:p>
        </w:tc>
        <w:tc>
          <w:tcPr>
            <w:tcW w:w="1199" w:type="dxa"/>
            <w:vMerge w:val="continue"/>
            <w:vAlign w:val="center"/>
          </w:tcPr>
          <w:p w14:paraId="34F48E2C">
            <w:pPr>
              <w:pStyle w:val="57"/>
              <w:jc w:val="center"/>
              <w:rPr>
                <w:rFonts w:hint="eastAsia"/>
              </w:rPr>
            </w:pPr>
          </w:p>
        </w:tc>
        <w:tc>
          <w:tcPr>
            <w:tcW w:w="660" w:type="dxa"/>
            <w:vMerge w:val="continue"/>
            <w:vAlign w:val="center"/>
          </w:tcPr>
          <w:p w14:paraId="3FED5CDD">
            <w:pPr>
              <w:pStyle w:val="57"/>
              <w:jc w:val="center"/>
              <w:rPr>
                <w:rFonts w:hint="eastAsia" w:eastAsia="宋体"/>
                <w:lang w:val="en-US" w:eastAsia="zh-CN"/>
              </w:rPr>
            </w:pPr>
          </w:p>
        </w:tc>
      </w:tr>
      <w:tr w14:paraId="347A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66" w:type="dxa"/>
            <w:vMerge w:val="continue"/>
            <w:vAlign w:val="center"/>
          </w:tcPr>
          <w:p w14:paraId="3D2115B5">
            <w:pPr>
              <w:pStyle w:val="57"/>
              <w:rPr>
                <w:rFonts w:hint="default"/>
                <w:lang w:val="en-US" w:eastAsia="zh-CN"/>
              </w:rPr>
            </w:pPr>
          </w:p>
        </w:tc>
        <w:tc>
          <w:tcPr>
            <w:tcW w:w="1077" w:type="dxa"/>
            <w:vMerge w:val="continue"/>
            <w:vAlign w:val="center"/>
          </w:tcPr>
          <w:p w14:paraId="65159662">
            <w:pPr>
              <w:pStyle w:val="57"/>
              <w:jc w:val="center"/>
              <w:rPr>
                <w:rFonts w:hint="default" w:eastAsia="宋体"/>
                <w:b/>
                <w:bCs/>
                <w:lang w:val="en-US" w:eastAsia="zh-CN"/>
              </w:rPr>
            </w:pPr>
          </w:p>
        </w:tc>
        <w:tc>
          <w:tcPr>
            <w:tcW w:w="5836" w:type="dxa"/>
          </w:tcPr>
          <w:p w14:paraId="16AAE891">
            <w:pPr>
              <w:pStyle w:val="57"/>
              <w:rPr>
                <w:rFonts w:hint="eastAsia"/>
                <w:lang w:val="en-US" w:eastAsia="zh-CN"/>
              </w:rPr>
            </w:pPr>
            <w:r>
              <w:rPr>
                <w:rFonts w:hint="eastAsia"/>
                <w:lang w:val="en-US" w:eastAsia="zh-CN"/>
              </w:rPr>
              <w:t>电子检测记录和检测报告是否有防篡改和溯源措施</w:t>
            </w:r>
          </w:p>
        </w:tc>
        <w:tc>
          <w:tcPr>
            <w:tcW w:w="1199" w:type="dxa"/>
            <w:vMerge w:val="continue"/>
            <w:vAlign w:val="center"/>
          </w:tcPr>
          <w:p w14:paraId="72D75DD6">
            <w:pPr>
              <w:pStyle w:val="57"/>
              <w:jc w:val="center"/>
              <w:rPr>
                <w:rFonts w:hint="eastAsia"/>
              </w:rPr>
            </w:pPr>
          </w:p>
        </w:tc>
        <w:tc>
          <w:tcPr>
            <w:tcW w:w="660" w:type="dxa"/>
            <w:vMerge w:val="continue"/>
            <w:vAlign w:val="center"/>
          </w:tcPr>
          <w:p w14:paraId="31DCB180">
            <w:pPr>
              <w:pStyle w:val="57"/>
              <w:jc w:val="center"/>
              <w:rPr>
                <w:rFonts w:hint="eastAsia" w:eastAsia="宋体"/>
                <w:lang w:val="en-US" w:eastAsia="zh-CN"/>
              </w:rPr>
            </w:pPr>
          </w:p>
        </w:tc>
      </w:tr>
      <w:tr w14:paraId="40135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666" w:type="dxa"/>
            <w:vMerge w:val="continue"/>
            <w:vAlign w:val="center"/>
          </w:tcPr>
          <w:p w14:paraId="2D328C47">
            <w:pPr>
              <w:pStyle w:val="57"/>
              <w:rPr>
                <w:rFonts w:hint="default"/>
                <w:lang w:val="en-US" w:eastAsia="zh-CN"/>
              </w:rPr>
            </w:pPr>
          </w:p>
        </w:tc>
        <w:tc>
          <w:tcPr>
            <w:tcW w:w="1077" w:type="dxa"/>
            <w:vMerge w:val="continue"/>
            <w:vAlign w:val="center"/>
          </w:tcPr>
          <w:p w14:paraId="1BE0A699">
            <w:pPr>
              <w:pStyle w:val="57"/>
              <w:jc w:val="center"/>
              <w:rPr>
                <w:rFonts w:hint="default" w:eastAsia="宋体"/>
                <w:b/>
                <w:bCs/>
                <w:lang w:val="en-US" w:eastAsia="zh-CN"/>
              </w:rPr>
            </w:pPr>
          </w:p>
        </w:tc>
        <w:tc>
          <w:tcPr>
            <w:tcW w:w="5836" w:type="dxa"/>
            <w:vAlign w:val="top"/>
          </w:tcPr>
          <w:p w14:paraId="44BA0442">
            <w:pPr>
              <w:pStyle w:val="57"/>
              <w:rPr>
                <w:rFonts w:hint="eastAsia"/>
                <w:lang w:val="en-US" w:eastAsia="zh-CN"/>
              </w:rPr>
            </w:pPr>
            <w:r>
              <w:rPr>
                <w:rFonts w:hint="eastAsia"/>
                <w:lang w:val="en-US" w:eastAsia="zh-CN"/>
              </w:rPr>
              <w:t>是否对电梯检测人员开展安全、诚信、技术和质量管理的内部或者外部培训</w:t>
            </w:r>
          </w:p>
        </w:tc>
        <w:tc>
          <w:tcPr>
            <w:tcW w:w="1199" w:type="dxa"/>
            <w:vMerge w:val="continue"/>
            <w:vAlign w:val="center"/>
          </w:tcPr>
          <w:p w14:paraId="1AA3D389">
            <w:pPr>
              <w:pStyle w:val="57"/>
              <w:jc w:val="center"/>
              <w:rPr>
                <w:rFonts w:hint="eastAsia"/>
              </w:rPr>
            </w:pPr>
          </w:p>
        </w:tc>
        <w:tc>
          <w:tcPr>
            <w:tcW w:w="660" w:type="dxa"/>
            <w:vMerge w:val="continue"/>
            <w:vAlign w:val="center"/>
          </w:tcPr>
          <w:p w14:paraId="2082E0AB">
            <w:pPr>
              <w:pStyle w:val="57"/>
              <w:jc w:val="center"/>
              <w:rPr>
                <w:rFonts w:hint="eastAsia" w:eastAsia="宋体"/>
                <w:lang w:val="en-US" w:eastAsia="zh-CN"/>
              </w:rPr>
            </w:pPr>
          </w:p>
        </w:tc>
      </w:tr>
      <w:tr w14:paraId="7DB7A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666" w:type="dxa"/>
            <w:vMerge w:val="continue"/>
            <w:vAlign w:val="center"/>
          </w:tcPr>
          <w:p w14:paraId="1656B468">
            <w:pPr>
              <w:pStyle w:val="57"/>
              <w:rPr>
                <w:rFonts w:hint="default"/>
                <w:lang w:val="en-US" w:eastAsia="zh-CN"/>
              </w:rPr>
            </w:pPr>
          </w:p>
        </w:tc>
        <w:tc>
          <w:tcPr>
            <w:tcW w:w="1077" w:type="dxa"/>
            <w:vMerge w:val="continue"/>
            <w:vAlign w:val="center"/>
          </w:tcPr>
          <w:p w14:paraId="2928E939">
            <w:pPr>
              <w:pStyle w:val="57"/>
              <w:jc w:val="center"/>
              <w:rPr>
                <w:rFonts w:hint="default" w:eastAsia="宋体"/>
                <w:b/>
                <w:bCs/>
                <w:lang w:val="en-US" w:eastAsia="zh-CN"/>
              </w:rPr>
            </w:pPr>
          </w:p>
        </w:tc>
        <w:tc>
          <w:tcPr>
            <w:tcW w:w="5836" w:type="dxa"/>
            <w:vAlign w:val="top"/>
          </w:tcPr>
          <w:p w14:paraId="4C470A04">
            <w:pPr>
              <w:pStyle w:val="57"/>
              <w:rPr>
                <w:rFonts w:hint="eastAsia"/>
                <w:lang w:val="en-US" w:eastAsia="zh-CN"/>
              </w:rPr>
            </w:pPr>
            <w:r>
              <w:rPr>
                <w:rFonts w:hint="eastAsia"/>
                <w:lang w:val="en-US" w:eastAsia="zh-CN"/>
              </w:rPr>
              <w:t>是否制定满足TSG T7008电梯自行检测规则2.5项要求的检测作业指导书</w:t>
            </w:r>
          </w:p>
        </w:tc>
        <w:tc>
          <w:tcPr>
            <w:tcW w:w="1199" w:type="dxa"/>
            <w:vMerge w:val="continue"/>
            <w:vAlign w:val="center"/>
          </w:tcPr>
          <w:p w14:paraId="18BD301D">
            <w:pPr>
              <w:pStyle w:val="57"/>
              <w:jc w:val="center"/>
              <w:rPr>
                <w:rFonts w:hint="eastAsia"/>
              </w:rPr>
            </w:pPr>
          </w:p>
        </w:tc>
        <w:tc>
          <w:tcPr>
            <w:tcW w:w="660" w:type="dxa"/>
            <w:vMerge w:val="continue"/>
            <w:vAlign w:val="center"/>
          </w:tcPr>
          <w:p w14:paraId="605E0E13">
            <w:pPr>
              <w:pStyle w:val="57"/>
              <w:jc w:val="center"/>
              <w:rPr>
                <w:rFonts w:hint="eastAsia" w:eastAsia="宋体"/>
                <w:lang w:val="en-US" w:eastAsia="zh-CN"/>
              </w:rPr>
            </w:pPr>
          </w:p>
        </w:tc>
      </w:tr>
      <w:tr w14:paraId="4FCA9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149332B3">
            <w:pPr>
              <w:pStyle w:val="57"/>
            </w:pPr>
          </w:p>
        </w:tc>
        <w:tc>
          <w:tcPr>
            <w:tcW w:w="1077" w:type="dxa"/>
            <w:vMerge w:val="restart"/>
            <w:vAlign w:val="center"/>
          </w:tcPr>
          <w:p w14:paraId="4A8C9DBC">
            <w:pPr>
              <w:pStyle w:val="57"/>
              <w:rPr>
                <w:rFonts w:hint="default" w:eastAsia="宋体"/>
                <w:lang w:val="en-US" w:eastAsia="zh-CN"/>
              </w:rPr>
            </w:pPr>
            <w:r>
              <w:rPr>
                <w:rFonts w:hint="eastAsia"/>
                <w:lang w:val="en-US" w:eastAsia="zh-CN"/>
              </w:rPr>
              <w:t>现场检测质量（20分）</w:t>
            </w:r>
          </w:p>
        </w:tc>
        <w:tc>
          <w:tcPr>
            <w:tcW w:w="5836" w:type="dxa"/>
          </w:tcPr>
          <w:p w14:paraId="62AAB8B4">
            <w:pPr>
              <w:pStyle w:val="57"/>
              <w:numPr>
                <w:ilvl w:val="0"/>
                <w:numId w:val="0"/>
              </w:numPr>
              <w:rPr>
                <w:rFonts w:hint="default"/>
                <w:lang w:val="en-US" w:eastAsia="zh-CN"/>
              </w:rPr>
            </w:pPr>
            <w:r>
              <w:rPr>
                <w:rFonts w:hint="eastAsia"/>
                <w:lang w:val="en-US" w:eastAsia="zh-CN"/>
              </w:rPr>
              <w:t>抽查现场电梯实物与检测记录、报告内容中以下项目是否一致性：</w:t>
            </w:r>
          </w:p>
        </w:tc>
        <w:tc>
          <w:tcPr>
            <w:tcW w:w="1199" w:type="dxa"/>
            <w:vMerge w:val="restart"/>
            <w:vAlign w:val="center"/>
          </w:tcPr>
          <w:p w14:paraId="4443FFEC">
            <w:pPr>
              <w:pStyle w:val="57"/>
              <w:jc w:val="center"/>
              <w:rPr>
                <w:rFonts w:hint="default"/>
                <w:lang w:val="en-US" w:eastAsia="zh-CN"/>
              </w:rPr>
            </w:pPr>
            <w:r>
              <w:rPr>
                <w:rFonts w:hint="eastAsia"/>
                <w:lang w:val="en-US" w:eastAsia="zh-CN"/>
              </w:rPr>
              <w:t>电梯自行检测单位提供检测记录、检测报告和电梯检测现场核查</w:t>
            </w:r>
          </w:p>
        </w:tc>
        <w:tc>
          <w:tcPr>
            <w:tcW w:w="660" w:type="dxa"/>
            <w:vMerge w:val="restart"/>
            <w:vAlign w:val="center"/>
          </w:tcPr>
          <w:p w14:paraId="1E39FFED">
            <w:pPr>
              <w:pStyle w:val="57"/>
              <w:rPr>
                <w:rFonts w:hint="default"/>
                <w:lang w:val="en-US" w:eastAsia="zh-CN"/>
              </w:rPr>
            </w:pPr>
            <w:r>
              <w:rPr>
                <w:rFonts w:hint="eastAsia"/>
                <w:lang w:val="en-US" w:eastAsia="zh-CN"/>
              </w:rPr>
              <w:t>20分</w:t>
            </w:r>
          </w:p>
        </w:tc>
      </w:tr>
      <w:tr w14:paraId="001D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09066527">
            <w:pPr>
              <w:pStyle w:val="57"/>
            </w:pPr>
          </w:p>
        </w:tc>
        <w:tc>
          <w:tcPr>
            <w:tcW w:w="1077" w:type="dxa"/>
            <w:vMerge w:val="continue"/>
            <w:vAlign w:val="center"/>
          </w:tcPr>
          <w:p w14:paraId="76B2F1C9">
            <w:pPr>
              <w:pStyle w:val="57"/>
              <w:rPr>
                <w:rFonts w:hint="default" w:eastAsia="宋体"/>
                <w:lang w:val="en-US" w:eastAsia="zh-CN"/>
              </w:rPr>
            </w:pPr>
          </w:p>
        </w:tc>
        <w:tc>
          <w:tcPr>
            <w:tcW w:w="5836" w:type="dxa"/>
          </w:tcPr>
          <w:p w14:paraId="38261F4B">
            <w:pPr>
              <w:pStyle w:val="57"/>
              <w:rPr>
                <w:rFonts w:hint="eastAsia"/>
                <w:lang w:val="en-US" w:eastAsia="zh-CN"/>
              </w:rPr>
            </w:pPr>
            <w:r>
              <w:rPr>
                <w:rFonts w:hint="eastAsia"/>
                <w:lang w:val="en-US" w:eastAsia="zh-CN"/>
              </w:rPr>
              <w:t>TSG T7008电梯自行检测规则规定的关键项目有1项与现场实物不相符的</w:t>
            </w:r>
          </w:p>
        </w:tc>
        <w:tc>
          <w:tcPr>
            <w:tcW w:w="1199" w:type="dxa"/>
            <w:vMerge w:val="continue"/>
            <w:vAlign w:val="center"/>
          </w:tcPr>
          <w:p w14:paraId="0BBEA824">
            <w:pPr>
              <w:pStyle w:val="57"/>
              <w:jc w:val="center"/>
              <w:rPr>
                <w:rFonts w:hint="eastAsia"/>
                <w:lang w:val="en-US" w:eastAsia="zh-CN"/>
              </w:rPr>
            </w:pPr>
          </w:p>
        </w:tc>
        <w:tc>
          <w:tcPr>
            <w:tcW w:w="660" w:type="dxa"/>
            <w:vMerge w:val="continue"/>
            <w:vAlign w:val="center"/>
          </w:tcPr>
          <w:p w14:paraId="08D063F9">
            <w:pPr>
              <w:pStyle w:val="57"/>
              <w:rPr>
                <w:rFonts w:hint="eastAsia"/>
                <w:lang w:val="en-US" w:eastAsia="zh-CN"/>
              </w:rPr>
            </w:pPr>
          </w:p>
        </w:tc>
      </w:tr>
      <w:tr w14:paraId="275A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4025377F">
            <w:pPr>
              <w:pStyle w:val="57"/>
            </w:pPr>
          </w:p>
        </w:tc>
        <w:tc>
          <w:tcPr>
            <w:tcW w:w="1077" w:type="dxa"/>
            <w:vMerge w:val="continue"/>
            <w:vAlign w:val="center"/>
          </w:tcPr>
          <w:p w14:paraId="32082693">
            <w:pPr>
              <w:pStyle w:val="57"/>
              <w:rPr>
                <w:rFonts w:hint="eastAsia"/>
                <w:lang w:val="en-US" w:eastAsia="zh-CN"/>
              </w:rPr>
            </w:pPr>
          </w:p>
        </w:tc>
        <w:tc>
          <w:tcPr>
            <w:tcW w:w="5836" w:type="dxa"/>
          </w:tcPr>
          <w:p w14:paraId="526009C1">
            <w:pPr>
              <w:pStyle w:val="57"/>
              <w:rPr>
                <w:rFonts w:hint="eastAsia"/>
                <w:lang w:val="en-US" w:eastAsia="zh-CN"/>
              </w:rPr>
            </w:pPr>
            <w:r>
              <w:rPr>
                <w:rFonts w:hint="eastAsia"/>
                <w:lang w:val="en-US" w:eastAsia="zh-CN"/>
              </w:rPr>
              <w:t>TSG T7008电梯自行检测规则规定的一般项目有3项以上（不含3项）与现场实物不相符的</w:t>
            </w:r>
          </w:p>
        </w:tc>
        <w:tc>
          <w:tcPr>
            <w:tcW w:w="1199" w:type="dxa"/>
            <w:vMerge w:val="continue"/>
            <w:vAlign w:val="center"/>
          </w:tcPr>
          <w:p w14:paraId="2197A2E3">
            <w:pPr>
              <w:pStyle w:val="57"/>
              <w:jc w:val="center"/>
              <w:rPr>
                <w:rFonts w:hint="eastAsia"/>
                <w:lang w:val="en-US" w:eastAsia="zh-CN"/>
              </w:rPr>
            </w:pPr>
          </w:p>
        </w:tc>
        <w:tc>
          <w:tcPr>
            <w:tcW w:w="660" w:type="dxa"/>
            <w:vMerge w:val="continue"/>
            <w:vAlign w:val="center"/>
          </w:tcPr>
          <w:p w14:paraId="40E752EF">
            <w:pPr>
              <w:pStyle w:val="57"/>
              <w:rPr>
                <w:rFonts w:hint="eastAsia"/>
                <w:lang w:val="en-US" w:eastAsia="zh-CN"/>
              </w:rPr>
            </w:pPr>
          </w:p>
        </w:tc>
      </w:tr>
      <w:tr w14:paraId="5E0B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65813E6E">
            <w:pPr>
              <w:pStyle w:val="57"/>
            </w:pPr>
          </w:p>
        </w:tc>
        <w:tc>
          <w:tcPr>
            <w:tcW w:w="1077" w:type="dxa"/>
            <w:vMerge w:val="continue"/>
            <w:vAlign w:val="center"/>
          </w:tcPr>
          <w:p w14:paraId="15325B0F">
            <w:pPr>
              <w:pStyle w:val="57"/>
              <w:rPr>
                <w:rFonts w:hint="eastAsia"/>
                <w:lang w:val="en-US" w:eastAsia="zh-CN"/>
              </w:rPr>
            </w:pPr>
          </w:p>
        </w:tc>
        <w:tc>
          <w:tcPr>
            <w:tcW w:w="5836" w:type="dxa"/>
          </w:tcPr>
          <w:p w14:paraId="6686AAFE">
            <w:pPr>
              <w:pStyle w:val="57"/>
              <w:numPr>
                <w:ilvl w:val="0"/>
                <w:numId w:val="0"/>
              </w:numPr>
              <w:rPr>
                <w:rFonts w:hint="eastAsia"/>
                <w:lang w:val="en-US" w:eastAsia="zh-CN"/>
              </w:rPr>
            </w:pPr>
            <w:r>
              <w:rPr>
                <w:rFonts w:hint="eastAsia"/>
                <w:lang w:val="en-US" w:eastAsia="zh-CN"/>
              </w:rPr>
              <w:t>TSG T7008电梯自行检测规则规定的一般项目有1项与现场实物不相符的</w:t>
            </w:r>
          </w:p>
        </w:tc>
        <w:tc>
          <w:tcPr>
            <w:tcW w:w="1199" w:type="dxa"/>
            <w:vMerge w:val="continue"/>
            <w:vAlign w:val="center"/>
          </w:tcPr>
          <w:p w14:paraId="56A10EA5">
            <w:pPr>
              <w:pStyle w:val="57"/>
              <w:jc w:val="center"/>
              <w:rPr>
                <w:rFonts w:hint="eastAsia"/>
                <w:lang w:val="en-US" w:eastAsia="zh-CN"/>
              </w:rPr>
            </w:pPr>
          </w:p>
        </w:tc>
        <w:tc>
          <w:tcPr>
            <w:tcW w:w="660" w:type="dxa"/>
            <w:vMerge w:val="continue"/>
            <w:vAlign w:val="center"/>
          </w:tcPr>
          <w:p w14:paraId="6B80CBA9">
            <w:pPr>
              <w:pStyle w:val="57"/>
              <w:rPr>
                <w:rFonts w:hint="eastAsia"/>
                <w:lang w:val="en-US" w:eastAsia="zh-CN"/>
              </w:rPr>
            </w:pPr>
          </w:p>
        </w:tc>
      </w:tr>
      <w:tr w14:paraId="6B35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014BE3F9">
            <w:pPr>
              <w:pStyle w:val="57"/>
            </w:pPr>
          </w:p>
        </w:tc>
        <w:tc>
          <w:tcPr>
            <w:tcW w:w="1077" w:type="dxa"/>
            <w:vMerge w:val="continue"/>
            <w:vAlign w:val="center"/>
          </w:tcPr>
          <w:p w14:paraId="30359038">
            <w:pPr>
              <w:pStyle w:val="57"/>
              <w:rPr>
                <w:rFonts w:hint="eastAsia"/>
                <w:lang w:val="en-US" w:eastAsia="zh-CN"/>
              </w:rPr>
            </w:pPr>
          </w:p>
        </w:tc>
        <w:tc>
          <w:tcPr>
            <w:tcW w:w="5836" w:type="dxa"/>
          </w:tcPr>
          <w:p w14:paraId="7D89D6ED">
            <w:pPr>
              <w:pStyle w:val="57"/>
              <w:rPr>
                <w:rFonts w:hint="default"/>
                <w:lang w:val="en-US" w:eastAsia="zh-CN"/>
              </w:rPr>
            </w:pPr>
            <w:r>
              <w:rPr>
                <w:rFonts w:hint="eastAsia"/>
                <w:lang w:val="en-US" w:eastAsia="zh-CN"/>
              </w:rPr>
              <w:t>电梯实物的基本信息参数与检测记录和检测报告中填写的基本信息参数有一项不一致的</w:t>
            </w:r>
          </w:p>
        </w:tc>
        <w:tc>
          <w:tcPr>
            <w:tcW w:w="1199" w:type="dxa"/>
            <w:vMerge w:val="continue"/>
            <w:vAlign w:val="center"/>
          </w:tcPr>
          <w:p w14:paraId="5E2D5161">
            <w:pPr>
              <w:pStyle w:val="57"/>
              <w:jc w:val="center"/>
              <w:rPr>
                <w:rFonts w:hint="eastAsia"/>
                <w:lang w:val="en-US" w:eastAsia="zh-CN"/>
              </w:rPr>
            </w:pPr>
          </w:p>
        </w:tc>
        <w:tc>
          <w:tcPr>
            <w:tcW w:w="660" w:type="dxa"/>
            <w:vMerge w:val="continue"/>
            <w:vAlign w:val="center"/>
          </w:tcPr>
          <w:p w14:paraId="7A7304C1">
            <w:pPr>
              <w:pStyle w:val="57"/>
              <w:rPr>
                <w:rFonts w:hint="eastAsia"/>
                <w:lang w:val="en-US" w:eastAsia="zh-CN"/>
              </w:rPr>
            </w:pPr>
          </w:p>
        </w:tc>
      </w:tr>
      <w:tr w14:paraId="5B6D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666" w:type="dxa"/>
            <w:vMerge w:val="continue"/>
            <w:vAlign w:val="center"/>
          </w:tcPr>
          <w:p w14:paraId="0BE34DEA">
            <w:pPr>
              <w:pStyle w:val="57"/>
            </w:pPr>
          </w:p>
        </w:tc>
        <w:tc>
          <w:tcPr>
            <w:tcW w:w="1077" w:type="dxa"/>
            <w:vAlign w:val="center"/>
          </w:tcPr>
          <w:p w14:paraId="757D870C">
            <w:pPr>
              <w:pStyle w:val="57"/>
              <w:rPr>
                <w:rFonts w:hint="default"/>
                <w:lang w:val="en-US" w:eastAsia="zh-CN"/>
              </w:rPr>
            </w:pPr>
            <w:r>
              <w:rPr>
                <w:rFonts w:hint="eastAsia"/>
                <w:lang w:val="en-US" w:eastAsia="zh-CN"/>
              </w:rPr>
              <w:t>技术能力（10分）</w:t>
            </w:r>
          </w:p>
        </w:tc>
        <w:tc>
          <w:tcPr>
            <w:tcW w:w="5836" w:type="dxa"/>
          </w:tcPr>
          <w:p w14:paraId="3F9C83BC">
            <w:pPr>
              <w:pStyle w:val="57"/>
              <w:rPr>
                <w:rFonts w:hint="default"/>
                <w:lang w:val="en-US" w:eastAsia="zh-CN"/>
              </w:rPr>
            </w:pPr>
            <w:r>
              <w:rPr>
                <w:rFonts w:hint="eastAsia"/>
                <w:lang w:val="en-US" w:eastAsia="zh-CN"/>
              </w:rPr>
              <w:t>现场跟踪抽查TSG T7008电梯自行检测规则规定的关键项目是否严格执行作业指导文件开展检测，检测方法是否准确，检测内容是否全面和规范</w:t>
            </w:r>
          </w:p>
        </w:tc>
        <w:tc>
          <w:tcPr>
            <w:tcW w:w="1199" w:type="dxa"/>
            <w:vAlign w:val="center"/>
          </w:tcPr>
          <w:p w14:paraId="0CE97F83">
            <w:pPr>
              <w:pStyle w:val="57"/>
              <w:jc w:val="center"/>
              <w:rPr>
                <w:rFonts w:hint="default"/>
                <w:lang w:val="en-US" w:eastAsia="zh-CN"/>
              </w:rPr>
            </w:pPr>
            <w:r>
              <w:rPr>
                <w:rFonts w:hint="eastAsia"/>
                <w:lang w:val="en-US" w:eastAsia="zh-CN"/>
              </w:rPr>
              <w:t>电梯检测现场核查</w:t>
            </w:r>
          </w:p>
        </w:tc>
        <w:tc>
          <w:tcPr>
            <w:tcW w:w="660" w:type="dxa"/>
            <w:vAlign w:val="center"/>
          </w:tcPr>
          <w:p w14:paraId="7949BAFA">
            <w:pPr>
              <w:pStyle w:val="57"/>
              <w:rPr>
                <w:rFonts w:hint="default"/>
                <w:lang w:val="en-US" w:eastAsia="zh-CN"/>
              </w:rPr>
            </w:pPr>
            <w:r>
              <w:rPr>
                <w:rFonts w:hint="eastAsia"/>
                <w:lang w:val="en-US" w:eastAsia="zh-CN"/>
              </w:rPr>
              <w:t>10分</w:t>
            </w:r>
          </w:p>
        </w:tc>
      </w:tr>
      <w:tr w14:paraId="03FA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42555703">
            <w:pPr>
              <w:pStyle w:val="57"/>
            </w:pPr>
          </w:p>
        </w:tc>
        <w:tc>
          <w:tcPr>
            <w:tcW w:w="1077" w:type="dxa"/>
            <w:vMerge w:val="restart"/>
            <w:vAlign w:val="center"/>
          </w:tcPr>
          <w:p w14:paraId="0B2A538B">
            <w:pPr>
              <w:pStyle w:val="57"/>
              <w:rPr>
                <w:rFonts w:hint="default"/>
                <w:lang w:val="en-US" w:eastAsia="zh-CN"/>
              </w:rPr>
            </w:pPr>
            <w:r>
              <w:rPr>
                <w:rFonts w:hint="eastAsia"/>
                <w:lang w:val="en-US" w:eastAsia="zh-CN"/>
              </w:rPr>
              <w:t>音像记录（6分）</w:t>
            </w:r>
          </w:p>
        </w:tc>
        <w:tc>
          <w:tcPr>
            <w:tcW w:w="5836" w:type="dxa"/>
          </w:tcPr>
          <w:p w14:paraId="257068FF">
            <w:pPr>
              <w:pStyle w:val="57"/>
              <w:rPr>
                <w:rFonts w:hint="default"/>
                <w:lang w:val="en-US" w:eastAsia="zh-CN"/>
              </w:rPr>
            </w:pPr>
            <w:r>
              <w:rPr>
                <w:rFonts w:hint="eastAsia"/>
                <w:lang w:val="en-US" w:eastAsia="zh-CN"/>
              </w:rPr>
              <w:t>查验检测过程的音像记录是否满足以下要求：</w:t>
            </w:r>
          </w:p>
        </w:tc>
        <w:tc>
          <w:tcPr>
            <w:tcW w:w="1199" w:type="dxa"/>
            <w:vMerge w:val="restart"/>
            <w:vAlign w:val="center"/>
          </w:tcPr>
          <w:p w14:paraId="5EBD62D8">
            <w:pPr>
              <w:pStyle w:val="57"/>
              <w:jc w:val="center"/>
              <w:rPr>
                <w:rFonts w:hint="default"/>
                <w:lang w:val="en-US" w:eastAsia="zh-CN"/>
              </w:rPr>
            </w:pPr>
            <w:r>
              <w:rPr>
                <w:rFonts w:hint="eastAsia"/>
                <w:lang w:val="en-US" w:eastAsia="zh-CN"/>
              </w:rPr>
              <w:t>电梯自行检测单位</w:t>
            </w:r>
          </w:p>
        </w:tc>
        <w:tc>
          <w:tcPr>
            <w:tcW w:w="660" w:type="dxa"/>
            <w:vMerge w:val="restart"/>
            <w:vAlign w:val="center"/>
          </w:tcPr>
          <w:p w14:paraId="390484F0">
            <w:pPr>
              <w:pStyle w:val="57"/>
              <w:rPr>
                <w:rFonts w:hint="default"/>
                <w:lang w:val="en-US" w:eastAsia="zh-CN"/>
              </w:rPr>
            </w:pPr>
            <w:r>
              <w:rPr>
                <w:rFonts w:hint="eastAsia"/>
                <w:lang w:val="en-US" w:eastAsia="zh-CN"/>
              </w:rPr>
              <w:t>6分</w:t>
            </w:r>
          </w:p>
        </w:tc>
      </w:tr>
      <w:tr w14:paraId="7892F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57E15DDE">
            <w:pPr>
              <w:pStyle w:val="57"/>
            </w:pPr>
          </w:p>
        </w:tc>
        <w:tc>
          <w:tcPr>
            <w:tcW w:w="1077" w:type="dxa"/>
            <w:vMerge w:val="continue"/>
            <w:vAlign w:val="center"/>
          </w:tcPr>
          <w:p w14:paraId="06CBE5D6">
            <w:pPr>
              <w:pStyle w:val="57"/>
              <w:rPr>
                <w:rFonts w:hint="eastAsia"/>
                <w:lang w:val="en-US" w:eastAsia="zh-CN"/>
              </w:rPr>
            </w:pPr>
          </w:p>
        </w:tc>
        <w:tc>
          <w:tcPr>
            <w:tcW w:w="5836" w:type="dxa"/>
          </w:tcPr>
          <w:p w14:paraId="6CAEC159">
            <w:pPr>
              <w:pStyle w:val="57"/>
              <w:rPr>
                <w:rFonts w:hint="eastAsia"/>
                <w:lang w:val="en-US" w:eastAsia="zh-CN"/>
              </w:rPr>
            </w:pPr>
            <w:r>
              <w:rPr>
                <w:rFonts w:hint="eastAsia"/>
                <w:lang w:val="en-US" w:eastAsia="zh-CN"/>
              </w:rPr>
              <w:t>是否按照行政主管部门政策性文件要求，对检测过程及相关检测项目进行规范性的音像记录</w:t>
            </w:r>
          </w:p>
        </w:tc>
        <w:tc>
          <w:tcPr>
            <w:tcW w:w="1199" w:type="dxa"/>
            <w:vMerge w:val="continue"/>
            <w:vAlign w:val="center"/>
          </w:tcPr>
          <w:p w14:paraId="2B2457C4">
            <w:pPr>
              <w:pStyle w:val="57"/>
              <w:jc w:val="center"/>
              <w:rPr>
                <w:rFonts w:hint="eastAsia"/>
                <w:lang w:val="en-US" w:eastAsia="zh-CN"/>
              </w:rPr>
            </w:pPr>
          </w:p>
        </w:tc>
        <w:tc>
          <w:tcPr>
            <w:tcW w:w="660" w:type="dxa"/>
            <w:vMerge w:val="continue"/>
            <w:vAlign w:val="center"/>
          </w:tcPr>
          <w:p w14:paraId="61A3BED2">
            <w:pPr>
              <w:pStyle w:val="57"/>
              <w:rPr>
                <w:rFonts w:hint="eastAsia"/>
                <w:lang w:val="en-US" w:eastAsia="zh-CN"/>
              </w:rPr>
            </w:pPr>
          </w:p>
        </w:tc>
      </w:tr>
      <w:tr w14:paraId="51883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66" w:type="dxa"/>
            <w:vMerge w:val="continue"/>
            <w:vAlign w:val="center"/>
          </w:tcPr>
          <w:p w14:paraId="1FAB5283">
            <w:pPr>
              <w:pStyle w:val="57"/>
            </w:pPr>
          </w:p>
        </w:tc>
        <w:tc>
          <w:tcPr>
            <w:tcW w:w="1077" w:type="dxa"/>
            <w:vMerge w:val="continue"/>
            <w:vAlign w:val="center"/>
          </w:tcPr>
          <w:p w14:paraId="270E1CB7">
            <w:pPr>
              <w:pStyle w:val="57"/>
              <w:rPr>
                <w:rFonts w:hint="eastAsia"/>
                <w:lang w:val="en-US" w:eastAsia="zh-CN"/>
              </w:rPr>
            </w:pPr>
          </w:p>
        </w:tc>
        <w:tc>
          <w:tcPr>
            <w:tcW w:w="5836" w:type="dxa"/>
          </w:tcPr>
          <w:p w14:paraId="0875AD06">
            <w:pPr>
              <w:pStyle w:val="57"/>
              <w:rPr>
                <w:rFonts w:hint="default"/>
                <w:lang w:val="en-US" w:eastAsia="zh-CN"/>
              </w:rPr>
            </w:pPr>
            <w:r>
              <w:rPr>
                <w:rFonts w:hint="eastAsia"/>
                <w:lang w:val="en-US" w:eastAsia="zh-CN"/>
              </w:rPr>
              <w:t>音像记录是否</w:t>
            </w:r>
            <w:r>
              <w:rPr>
                <w:rFonts w:hint="eastAsia"/>
              </w:rPr>
              <w:t>依照检测项目名称、日期以及试验名称、采集部位、采集时间</w:t>
            </w:r>
            <w:r>
              <w:rPr>
                <w:rFonts w:hint="eastAsia"/>
                <w:lang w:val="en-US" w:eastAsia="zh-CN"/>
              </w:rPr>
              <w:t>进行</w:t>
            </w:r>
            <w:r>
              <w:rPr>
                <w:rFonts w:hint="eastAsia"/>
              </w:rPr>
              <w:t>标记管理和处理</w:t>
            </w:r>
            <w:r>
              <w:rPr>
                <w:rFonts w:hint="eastAsia"/>
                <w:lang w:eastAsia="zh-CN"/>
              </w:rPr>
              <w:t>，</w:t>
            </w:r>
            <w:r>
              <w:rPr>
                <w:rFonts w:hint="eastAsia"/>
                <w:lang w:val="en-US" w:eastAsia="zh-CN"/>
              </w:rPr>
              <w:t>并有</w:t>
            </w:r>
            <w:r>
              <w:rPr>
                <w:rFonts w:hint="eastAsia"/>
              </w:rPr>
              <w:t>有效保存</w:t>
            </w:r>
            <w:r>
              <w:rPr>
                <w:rFonts w:hint="eastAsia"/>
                <w:lang w:val="en-US" w:eastAsia="zh-CN"/>
              </w:rPr>
              <w:t>方式</w:t>
            </w:r>
            <w:r>
              <w:rPr>
                <w:rFonts w:hint="eastAsia"/>
              </w:rPr>
              <w:t>，方便查阅</w:t>
            </w:r>
          </w:p>
        </w:tc>
        <w:tc>
          <w:tcPr>
            <w:tcW w:w="1199" w:type="dxa"/>
            <w:vMerge w:val="continue"/>
            <w:vAlign w:val="center"/>
          </w:tcPr>
          <w:p w14:paraId="26F3F9E5">
            <w:pPr>
              <w:pStyle w:val="57"/>
              <w:jc w:val="center"/>
              <w:rPr>
                <w:rFonts w:hint="eastAsia"/>
                <w:lang w:val="en-US" w:eastAsia="zh-CN"/>
              </w:rPr>
            </w:pPr>
          </w:p>
        </w:tc>
        <w:tc>
          <w:tcPr>
            <w:tcW w:w="660" w:type="dxa"/>
            <w:vMerge w:val="continue"/>
            <w:vAlign w:val="center"/>
          </w:tcPr>
          <w:p w14:paraId="3B23C713">
            <w:pPr>
              <w:pStyle w:val="57"/>
              <w:rPr>
                <w:rFonts w:hint="eastAsia"/>
                <w:lang w:val="en-US" w:eastAsia="zh-CN"/>
              </w:rPr>
            </w:pPr>
          </w:p>
        </w:tc>
      </w:tr>
      <w:tr w14:paraId="0F06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66" w:type="dxa"/>
            <w:vMerge w:val="restart"/>
            <w:vAlign w:val="center"/>
          </w:tcPr>
          <w:p w14:paraId="0A7B8DCA">
            <w:pPr>
              <w:pStyle w:val="57"/>
              <w:rPr>
                <w:rFonts w:hint="default" w:eastAsia="宋体"/>
                <w:lang w:val="en-US" w:eastAsia="zh-CN"/>
              </w:rPr>
            </w:pPr>
            <w:r>
              <w:rPr>
                <w:rFonts w:hint="eastAsia"/>
                <w:lang w:val="en-US" w:eastAsia="zh-CN"/>
              </w:rPr>
              <w:t>社会责任</w:t>
            </w:r>
          </w:p>
        </w:tc>
        <w:tc>
          <w:tcPr>
            <w:tcW w:w="1077" w:type="dxa"/>
            <w:vMerge w:val="restart"/>
            <w:vAlign w:val="center"/>
          </w:tcPr>
          <w:p w14:paraId="7A45CE93">
            <w:pPr>
              <w:pStyle w:val="57"/>
              <w:jc w:val="center"/>
              <w:rPr>
                <w:rFonts w:hint="default" w:eastAsia="宋体"/>
                <w:lang w:val="en-US" w:eastAsia="zh-CN"/>
              </w:rPr>
            </w:pPr>
            <w:r>
              <w:rPr>
                <w:rFonts w:hint="eastAsia"/>
                <w:lang w:val="en-US" w:eastAsia="zh-CN"/>
              </w:rPr>
              <w:t>社会责任（20分）</w:t>
            </w:r>
          </w:p>
        </w:tc>
        <w:tc>
          <w:tcPr>
            <w:tcW w:w="5836" w:type="dxa"/>
          </w:tcPr>
          <w:p w14:paraId="361AD27A">
            <w:pPr>
              <w:pStyle w:val="57"/>
              <w:rPr>
                <w:rFonts w:hint="default"/>
                <w:lang w:val="en-US" w:eastAsia="zh-CN"/>
              </w:rPr>
            </w:pPr>
            <w:r>
              <w:rPr>
                <w:rFonts w:hint="eastAsia"/>
                <w:lang w:val="en-US" w:eastAsia="zh-CN"/>
              </w:rPr>
              <w:t>查验是否履行以下责任：</w:t>
            </w:r>
          </w:p>
        </w:tc>
        <w:tc>
          <w:tcPr>
            <w:tcW w:w="1199" w:type="dxa"/>
            <w:vMerge w:val="restart"/>
            <w:vAlign w:val="center"/>
          </w:tcPr>
          <w:p w14:paraId="54CA1346">
            <w:pPr>
              <w:pStyle w:val="57"/>
              <w:jc w:val="center"/>
              <w:rPr>
                <w:rFonts w:hint="default"/>
                <w:lang w:val="en-US" w:eastAsia="zh-CN"/>
              </w:rPr>
            </w:pPr>
            <w:r>
              <w:rPr>
                <w:rFonts w:hint="eastAsia"/>
                <w:lang w:val="en-US" w:eastAsia="zh-CN"/>
              </w:rPr>
              <w:t>电梯自行检测单位</w:t>
            </w:r>
          </w:p>
        </w:tc>
        <w:tc>
          <w:tcPr>
            <w:tcW w:w="660" w:type="dxa"/>
            <w:vMerge w:val="restart"/>
            <w:vAlign w:val="center"/>
          </w:tcPr>
          <w:p w14:paraId="1C83F3A4">
            <w:pPr>
              <w:pStyle w:val="57"/>
              <w:jc w:val="center"/>
              <w:rPr>
                <w:rFonts w:hint="default" w:eastAsia="宋体"/>
                <w:lang w:val="en-US" w:eastAsia="zh-CN"/>
              </w:rPr>
            </w:pPr>
            <w:r>
              <w:rPr>
                <w:rFonts w:hint="eastAsia"/>
                <w:lang w:val="en-US" w:eastAsia="zh-CN"/>
              </w:rPr>
              <w:t>20分</w:t>
            </w:r>
          </w:p>
        </w:tc>
      </w:tr>
      <w:tr w14:paraId="3A61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6" w:type="dxa"/>
            <w:vMerge w:val="continue"/>
            <w:vAlign w:val="center"/>
          </w:tcPr>
          <w:p w14:paraId="6CE01FBD">
            <w:pPr>
              <w:pStyle w:val="57"/>
              <w:rPr>
                <w:rFonts w:hint="default" w:eastAsia="宋体"/>
                <w:lang w:val="en-US" w:eastAsia="zh-CN"/>
              </w:rPr>
            </w:pPr>
          </w:p>
        </w:tc>
        <w:tc>
          <w:tcPr>
            <w:tcW w:w="1077" w:type="dxa"/>
            <w:vMerge w:val="continue"/>
            <w:vAlign w:val="center"/>
          </w:tcPr>
          <w:p w14:paraId="6AFCEBAA">
            <w:pPr>
              <w:pStyle w:val="57"/>
              <w:jc w:val="center"/>
              <w:rPr>
                <w:rFonts w:hint="default" w:eastAsia="宋体"/>
                <w:lang w:val="en-US" w:eastAsia="zh-CN"/>
              </w:rPr>
            </w:pPr>
          </w:p>
        </w:tc>
        <w:tc>
          <w:tcPr>
            <w:tcW w:w="5836" w:type="dxa"/>
          </w:tcPr>
          <w:p w14:paraId="7124CD37">
            <w:pPr>
              <w:pStyle w:val="57"/>
              <w:rPr>
                <w:rFonts w:hint="default"/>
                <w:lang w:val="en-US" w:eastAsia="zh-CN"/>
              </w:rPr>
            </w:pPr>
            <w:r>
              <w:rPr>
                <w:rFonts w:hint="default"/>
                <w:lang w:val="en-US" w:eastAsia="zh-CN"/>
              </w:rPr>
              <w:t>是否与客户依法签订检测服务合同，履行合同义务，承担相应的责任</w:t>
            </w:r>
          </w:p>
        </w:tc>
        <w:tc>
          <w:tcPr>
            <w:tcW w:w="1199" w:type="dxa"/>
            <w:vMerge w:val="continue"/>
            <w:vAlign w:val="center"/>
          </w:tcPr>
          <w:p w14:paraId="58852BDB">
            <w:pPr>
              <w:pStyle w:val="57"/>
              <w:jc w:val="center"/>
              <w:rPr>
                <w:rFonts w:hint="default"/>
                <w:lang w:val="en-US" w:eastAsia="zh-CN"/>
              </w:rPr>
            </w:pPr>
          </w:p>
        </w:tc>
        <w:tc>
          <w:tcPr>
            <w:tcW w:w="660" w:type="dxa"/>
            <w:vMerge w:val="continue"/>
            <w:vAlign w:val="center"/>
          </w:tcPr>
          <w:p w14:paraId="24FDD245">
            <w:pPr>
              <w:pStyle w:val="57"/>
              <w:jc w:val="center"/>
              <w:rPr>
                <w:rFonts w:hint="eastAsia" w:eastAsia="宋体"/>
                <w:lang w:val="en-US" w:eastAsia="zh-CN"/>
              </w:rPr>
            </w:pPr>
          </w:p>
        </w:tc>
      </w:tr>
      <w:tr w14:paraId="4033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6" w:type="dxa"/>
            <w:vMerge w:val="continue"/>
            <w:vAlign w:val="center"/>
          </w:tcPr>
          <w:p w14:paraId="79A4A309">
            <w:pPr>
              <w:pStyle w:val="57"/>
              <w:rPr>
                <w:rFonts w:hint="default" w:eastAsia="宋体"/>
                <w:lang w:val="en-US" w:eastAsia="zh-CN"/>
              </w:rPr>
            </w:pPr>
          </w:p>
        </w:tc>
        <w:tc>
          <w:tcPr>
            <w:tcW w:w="1077" w:type="dxa"/>
            <w:vMerge w:val="continue"/>
            <w:vAlign w:val="center"/>
          </w:tcPr>
          <w:p w14:paraId="029280F6">
            <w:pPr>
              <w:pStyle w:val="57"/>
              <w:jc w:val="center"/>
              <w:rPr>
                <w:rFonts w:hint="default" w:eastAsia="宋体"/>
                <w:lang w:val="en-US" w:eastAsia="zh-CN"/>
              </w:rPr>
            </w:pPr>
          </w:p>
        </w:tc>
        <w:tc>
          <w:tcPr>
            <w:tcW w:w="5836" w:type="dxa"/>
          </w:tcPr>
          <w:p w14:paraId="1A3CA6E5">
            <w:pPr>
              <w:pStyle w:val="57"/>
              <w:rPr>
                <w:rFonts w:hint="default"/>
                <w:lang w:val="en-US" w:eastAsia="zh-CN"/>
              </w:rPr>
            </w:pPr>
            <w:r>
              <w:rPr>
                <w:rFonts w:hint="default"/>
                <w:lang w:val="en-US" w:eastAsia="zh-CN"/>
              </w:rPr>
              <w:t>是否制定客户投诉和抱怨制度或措施，落实责任部门或人员对客户</w:t>
            </w:r>
            <w:r>
              <w:rPr>
                <w:rFonts w:hint="eastAsia"/>
                <w:lang w:val="en-US" w:eastAsia="zh-CN"/>
              </w:rPr>
              <w:t>的</w:t>
            </w:r>
            <w:r>
              <w:rPr>
                <w:rFonts w:hint="default"/>
                <w:lang w:val="en-US" w:eastAsia="zh-CN"/>
              </w:rPr>
              <w:t>申诉</w:t>
            </w:r>
            <w:r>
              <w:rPr>
                <w:rFonts w:hint="eastAsia"/>
                <w:lang w:val="en-US" w:eastAsia="zh-CN"/>
              </w:rPr>
              <w:t>进行</w:t>
            </w:r>
            <w:r>
              <w:rPr>
                <w:rFonts w:hint="default"/>
                <w:lang w:val="en-US" w:eastAsia="zh-CN"/>
              </w:rPr>
              <w:t>核查和反馈</w:t>
            </w:r>
          </w:p>
        </w:tc>
        <w:tc>
          <w:tcPr>
            <w:tcW w:w="1199" w:type="dxa"/>
            <w:vMerge w:val="continue"/>
            <w:vAlign w:val="center"/>
          </w:tcPr>
          <w:p w14:paraId="1E481A47">
            <w:pPr>
              <w:pStyle w:val="57"/>
              <w:jc w:val="center"/>
              <w:rPr>
                <w:rFonts w:hint="default"/>
                <w:lang w:val="en-US" w:eastAsia="zh-CN"/>
              </w:rPr>
            </w:pPr>
          </w:p>
        </w:tc>
        <w:tc>
          <w:tcPr>
            <w:tcW w:w="660" w:type="dxa"/>
            <w:vMerge w:val="continue"/>
            <w:vAlign w:val="center"/>
          </w:tcPr>
          <w:p w14:paraId="572835FC">
            <w:pPr>
              <w:pStyle w:val="57"/>
              <w:jc w:val="center"/>
              <w:rPr>
                <w:rFonts w:hint="eastAsia" w:eastAsia="宋体"/>
                <w:lang w:val="en-US" w:eastAsia="zh-CN"/>
              </w:rPr>
            </w:pPr>
          </w:p>
        </w:tc>
      </w:tr>
      <w:tr w14:paraId="48A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6" w:type="dxa"/>
            <w:vMerge w:val="continue"/>
            <w:vAlign w:val="center"/>
          </w:tcPr>
          <w:p w14:paraId="05EC4E25">
            <w:pPr>
              <w:pStyle w:val="57"/>
              <w:rPr>
                <w:rFonts w:hint="default" w:eastAsia="宋体"/>
                <w:lang w:val="en-US" w:eastAsia="zh-CN"/>
              </w:rPr>
            </w:pPr>
          </w:p>
        </w:tc>
        <w:tc>
          <w:tcPr>
            <w:tcW w:w="1077" w:type="dxa"/>
            <w:vMerge w:val="continue"/>
            <w:vAlign w:val="center"/>
          </w:tcPr>
          <w:p w14:paraId="72A86B15">
            <w:pPr>
              <w:pStyle w:val="57"/>
              <w:jc w:val="center"/>
              <w:rPr>
                <w:rFonts w:hint="default" w:eastAsia="宋体"/>
                <w:lang w:val="en-US" w:eastAsia="zh-CN"/>
              </w:rPr>
            </w:pPr>
          </w:p>
        </w:tc>
        <w:tc>
          <w:tcPr>
            <w:tcW w:w="5836" w:type="dxa"/>
          </w:tcPr>
          <w:p w14:paraId="4DE2B576">
            <w:pPr>
              <w:pStyle w:val="57"/>
              <w:rPr>
                <w:rFonts w:hint="default"/>
                <w:lang w:val="en-US" w:eastAsia="zh-CN"/>
              </w:rPr>
            </w:pPr>
            <w:r>
              <w:rPr>
                <w:rFonts w:hint="default"/>
                <w:lang w:val="en-US" w:eastAsia="zh-CN"/>
              </w:rPr>
              <w:t>是否与员工签订合法的劳动合同</w:t>
            </w:r>
            <w:r>
              <w:rPr>
                <w:rFonts w:hint="eastAsia"/>
                <w:lang w:val="en-US" w:eastAsia="zh-CN"/>
              </w:rPr>
              <w:t>，劳动合同明确员工的福利待遇和应享受的合法权益</w:t>
            </w:r>
          </w:p>
        </w:tc>
        <w:tc>
          <w:tcPr>
            <w:tcW w:w="1199" w:type="dxa"/>
            <w:vMerge w:val="continue"/>
            <w:vAlign w:val="center"/>
          </w:tcPr>
          <w:p w14:paraId="1EE14EB9">
            <w:pPr>
              <w:pStyle w:val="57"/>
              <w:jc w:val="center"/>
              <w:rPr>
                <w:rFonts w:hint="default"/>
                <w:lang w:val="en-US" w:eastAsia="zh-CN"/>
              </w:rPr>
            </w:pPr>
          </w:p>
        </w:tc>
        <w:tc>
          <w:tcPr>
            <w:tcW w:w="660" w:type="dxa"/>
            <w:vMerge w:val="continue"/>
            <w:vAlign w:val="center"/>
          </w:tcPr>
          <w:p w14:paraId="620AF990">
            <w:pPr>
              <w:pStyle w:val="57"/>
              <w:jc w:val="center"/>
              <w:rPr>
                <w:rFonts w:hint="default" w:eastAsia="宋体"/>
                <w:lang w:val="en-US" w:eastAsia="zh-CN"/>
              </w:rPr>
            </w:pPr>
          </w:p>
        </w:tc>
      </w:tr>
      <w:tr w14:paraId="15AA4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6" w:type="dxa"/>
            <w:vMerge w:val="continue"/>
            <w:vAlign w:val="center"/>
          </w:tcPr>
          <w:p w14:paraId="6FFCD6C4">
            <w:pPr>
              <w:pStyle w:val="57"/>
              <w:rPr>
                <w:rFonts w:hint="default" w:eastAsia="宋体"/>
                <w:lang w:val="en-US" w:eastAsia="zh-CN"/>
              </w:rPr>
            </w:pPr>
          </w:p>
        </w:tc>
        <w:tc>
          <w:tcPr>
            <w:tcW w:w="1077" w:type="dxa"/>
            <w:vMerge w:val="continue"/>
            <w:vAlign w:val="center"/>
          </w:tcPr>
          <w:p w14:paraId="26F16FB8">
            <w:pPr>
              <w:pStyle w:val="57"/>
              <w:jc w:val="center"/>
              <w:rPr>
                <w:rFonts w:hint="default" w:eastAsia="宋体"/>
                <w:lang w:val="en-US" w:eastAsia="zh-CN"/>
              </w:rPr>
            </w:pPr>
          </w:p>
        </w:tc>
        <w:tc>
          <w:tcPr>
            <w:tcW w:w="5836" w:type="dxa"/>
          </w:tcPr>
          <w:p w14:paraId="27CE0E03">
            <w:pPr>
              <w:pStyle w:val="57"/>
              <w:rPr>
                <w:rFonts w:hint="default"/>
                <w:lang w:val="en-US" w:eastAsia="zh-CN"/>
              </w:rPr>
            </w:pPr>
            <w:r>
              <w:rPr>
                <w:rFonts w:hint="default"/>
                <w:lang w:val="en-US" w:eastAsia="zh-CN"/>
              </w:rPr>
              <w:t>是否建立安全管理制度，定期开展对员工安全教育培训</w:t>
            </w:r>
          </w:p>
        </w:tc>
        <w:tc>
          <w:tcPr>
            <w:tcW w:w="1199" w:type="dxa"/>
            <w:vMerge w:val="continue"/>
            <w:vAlign w:val="center"/>
          </w:tcPr>
          <w:p w14:paraId="12106B82">
            <w:pPr>
              <w:pStyle w:val="57"/>
              <w:jc w:val="center"/>
              <w:rPr>
                <w:rFonts w:hint="default"/>
                <w:lang w:val="en-US" w:eastAsia="zh-CN"/>
              </w:rPr>
            </w:pPr>
          </w:p>
        </w:tc>
        <w:tc>
          <w:tcPr>
            <w:tcW w:w="660" w:type="dxa"/>
            <w:vMerge w:val="continue"/>
            <w:vAlign w:val="center"/>
          </w:tcPr>
          <w:p w14:paraId="5C616134">
            <w:pPr>
              <w:pStyle w:val="57"/>
              <w:jc w:val="center"/>
              <w:rPr>
                <w:rFonts w:hint="default" w:eastAsia="宋体"/>
                <w:lang w:val="en-US" w:eastAsia="zh-CN"/>
              </w:rPr>
            </w:pPr>
          </w:p>
        </w:tc>
      </w:tr>
      <w:tr w14:paraId="7462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6" w:type="dxa"/>
            <w:vMerge w:val="continue"/>
            <w:vAlign w:val="center"/>
          </w:tcPr>
          <w:p w14:paraId="1A5EDE7A">
            <w:pPr>
              <w:pStyle w:val="57"/>
              <w:rPr>
                <w:rFonts w:hint="default" w:eastAsia="宋体"/>
                <w:lang w:val="en-US" w:eastAsia="zh-CN"/>
              </w:rPr>
            </w:pPr>
          </w:p>
        </w:tc>
        <w:tc>
          <w:tcPr>
            <w:tcW w:w="1077" w:type="dxa"/>
            <w:vMerge w:val="continue"/>
            <w:vAlign w:val="center"/>
          </w:tcPr>
          <w:p w14:paraId="714135AB">
            <w:pPr>
              <w:pStyle w:val="57"/>
              <w:jc w:val="center"/>
              <w:rPr>
                <w:rFonts w:hint="default" w:eastAsia="宋体"/>
                <w:lang w:val="en-US" w:eastAsia="zh-CN"/>
              </w:rPr>
            </w:pPr>
          </w:p>
        </w:tc>
        <w:tc>
          <w:tcPr>
            <w:tcW w:w="5836" w:type="dxa"/>
          </w:tcPr>
          <w:p w14:paraId="4223E33B">
            <w:pPr>
              <w:pStyle w:val="57"/>
              <w:rPr>
                <w:rFonts w:hint="default"/>
                <w:lang w:val="en-US" w:eastAsia="zh-CN"/>
              </w:rPr>
            </w:pPr>
            <w:r>
              <w:rPr>
                <w:rFonts w:hint="default"/>
                <w:lang w:val="en-US" w:eastAsia="zh-CN"/>
              </w:rPr>
              <w:t>是否发现被检电梯存在重大安全隐患，如实上报使用单位和政府行政监督管理部门</w:t>
            </w:r>
          </w:p>
        </w:tc>
        <w:tc>
          <w:tcPr>
            <w:tcW w:w="1199" w:type="dxa"/>
            <w:vMerge w:val="continue"/>
            <w:vAlign w:val="center"/>
          </w:tcPr>
          <w:p w14:paraId="2E912F77">
            <w:pPr>
              <w:pStyle w:val="57"/>
              <w:jc w:val="center"/>
              <w:rPr>
                <w:rFonts w:hint="default"/>
                <w:lang w:val="en-US" w:eastAsia="zh-CN"/>
              </w:rPr>
            </w:pPr>
          </w:p>
        </w:tc>
        <w:tc>
          <w:tcPr>
            <w:tcW w:w="660" w:type="dxa"/>
            <w:vMerge w:val="continue"/>
            <w:vAlign w:val="center"/>
          </w:tcPr>
          <w:p w14:paraId="6842DFA4">
            <w:pPr>
              <w:pStyle w:val="57"/>
              <w:jc w:val="center"/>
              <w:rPr>
                <w:rFonts w:hint="default" w:eastAsia="宋体"/>
                <w:lang w:val="en-US" w:eastAsia="zh-CN"/>
              </w:rPr>
            </w:pPr>
          </w:p>
        </w:tc>
      </w:tr>
      <w:tr w14:paraId="75F8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666" w:type="dxa"/>
            <w:vMerge w:val="restart"/>
            <w:vAlign w:val="center"/>
          </w:tcPr>
          <w:p w14:paraId="593FD9A6">
            <w:pPr>
              <w:pStyle w:val="57"/>
              <w:rPr>
                <w:rFonts w:hint="eastAsia"/>
                <w:lang w:val="en-US" w:eastAsia="zh-CN"/>
              </w:rPr>
            </w:pPr>
            <w:r>
              <w:rPr>
                <w:rFonts w:hint="eastAsia"/>
                <w:lang w:val="en-US" w:eastAsia="zh-CN"/>
              </w:rPr>
              <w:t>诚信管理</w:t>
            </w:r>
          </w:p>
          <w:p w14:paraId="2BE36DC3">
            <w:pPr>
              <w:pStyle w:val="57"/>
              <w:rPr>
                <w:rFonts w:hint="default" w:eastAsia="宋体"/>
                <w:lang w:val="en-US" w:eastAsia="zh-CN"/>
              </w:rPr>
            </w:pPr>
          </w:p>
          <w:p w14:paraId="3273A959">
            <w:pPr>
              <w:pStyle w:val="57"/>
              <w:rPr>
                <w:rFonts w:hint="default" w:eastAsia="宋体"/>
                <w:lang w:val="en-US" w:eastAsia="zh-CN"/>
              </w:rPr>
            </w:pPr>
          </w:p>
        </w:tc>
        <w:tc>
          <w:tcPr>
            <w:tcW w:w="1077" w:type="dxa"/>
            <w:vMerge w:val="restart"/>
            <w:vAlign w:val="center"/>
          </w:tcPr>
          <w:p w14:paraId="2ACA672D">
            <w:pPr>
              <w:pStyle w:val="57"/>
              <w:jc w:val="center"/>
              <w:rPr>
                <w:rFonts w:hint="default" w:eastAsia="宋体"/>
                <w:lang w:val="en-US" w:eastAsia="zh-CN"/>
              </w:rPr>
            </w:pPr>
            <w:r>
              <w:rPr>
                <w:rFonts w:hint="eastAsia"/>
                <w:lang w:val="en-US" w:eastAsia="zh-CN"/>
              </w:rPr>
              <w:t>诚信体系建设（20分）</w:t>
            </w:r>
          </w:p>
        </w:tc>
        <w:tc>
          <w:tcPr>
            <w:tcW w:w="5836" w:type="dxa"/>
          </w:tcPr>
          <w:p w14:paraId="36C63733">
            <w:pPr>
              <w:pStyle w:val="57"/>
              <w:rPr>
                <w:rFonts w:hint="default" w:eastAsia="宋体"/>
                <w:lang w:val="en-US" w:eastAsia="zh-CN"/>
              </w:rPr>
            </w:pPr>
            <w:r>
              <w:rPr>
                <w:rFonts w:hint="eastAsia"/>
                <w:lang w:val="en-US" w:eastAsia="zh-CN"/>
              </w:rPr>
              <w:t>抽查诚信管理体系以下部分要素是否满足要求：</w:t>
            </w:r>
          </w:p>
        </w:tc>
        <w:tc>
          <w:tcPr>
            <w:tcW w:w="1199" w:type="dxa"/>
            <w:vMerge w:val="restart"/>
            <w:vAlign w:val="center"/>
          </w:tcPr>
          <w:p w14:paraId="5ABAE4F1">
            <w:pPr>
              <w:pStyle w:val="57"/>
              <w:jc w:val="center"/>
              <w:rPr>
                <w:rFonts w:hint="default" w:eastAsia="宋体"/>
                <w:lang w:val="en-US" w:eastAsia="zh-CN"/>
              </w:rPr>
            </w:pPr>
            <w:r>
              <w:rPr>
                <w:rFonts w:hint="eastAsia"/>
                <w:lang w:val="en-US" w:eastAsia="zh-CN"/>
              </w:rPr>
              <w:t>电梯自行检测单位</w:t>
            </w:r>
          </w:p>
        </w:tc>
        <w:tc>
          <w:tcPr>
            <w:tcW w:w="660" w:type="dxa"/>
            <w:vMerge w:val="restart"/>
            <w:vAlign w:val="center"/>
          </w:tcPr>
          <w:p w14:paraId="77A73E51">
            <w:pPr>
              <w:pStyle w:val="57"/>
              <w:jc w:val="center"/>
              <w:rPr>
                <w:rFonts w:hint="default"/>
                <w:lang w:val="en-US" w:eastAsia="zh-CN"/>
              </w:rPr>
            </w:pPr>
            <w:r>
              <w:rPr>
                <w:rFonts w:hint="eastAsia"/>
                <w:lang w:val="en-US" w:eastAsia="zh-CN"/>
              </w:rPr>
              <w:t>20分</w:t>
            </w:r>
          </w:p>
        </w:tc>
      </w:tr>
      <w:tr w14:paraId="3963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33700738">
            <w:pPr>
              <w:pStyle w:val="57"/>
              <w:rPr>
                <w:rFonts w:hint="default" w:eastAsia="宋体"/>
                <w:lang w:val="en-US" w:eastAsia="zh-CN"/>
              </w:rPr>
            </w:pPr>
          </w:p>
        </w:tc>
        <w:tc>
          <w:tcPr>
            <w:tcW w:w="1077" w:type="dxa"/>
            <w:vMerge w:val="continue"/>
            <w:vAlign w:val="center"/>
          </w:tcPr>
          <w:p w14:paraId="62B8B009">
            <w:pPr>
              <w:pStyle w:val="57"/>
              <w:jc w:val="center"/>
              <w:rPr>
                <w:rFonts w:hint="eastAsia"/>
                <w:lang w:val="en-US" w:eastAsia="zh-CN"/>
              </w:rPr>
            </w:pPr>
          </w:p>
        </w:tc>
        <w:tc>
          <w:tcPr>
            <w:tcW w:w="5836" w:type="dxa"/>
          </w:tcPr>
          <w:p w14:paraId="470F4B95">
            <w:pPr>
              <w:pStyle w:val="57"/>
              <w:rPr>
                <w:rFonts w:hint="default" w:eastAsia="宋体"/>
                <w:lang w:val="en-US" w:eastAsia="zh-CN"/>
              </w:rPr>
            </w:pPr>
            <w:r>
              <w:rPr>
                <w:rFonts w:hint="default" w:eastAsia="宋体"/>
                <w:lang w:val="en-US" w:eastAsia="zh-CN"/>
              </w:rPr>
              <w:t>是否制定</w:t>
            </w:r>
            <w:r>
              <w:rPr>
                <w:rFonts w:hint="eastAsia"/>
                <w:lang w:val="en-US" w:eastAsia="zh-CN"/>
              </w:rPr>
              <w:t>单位最高管理者签发的</w:t>
            </w:r>
            <w:r>
              <w:rPr>
                <w:rFonts w:hint="default" w:eastAsia="宋体"/>
                <w:lang w:val="en-US" w:eastAsia="zh-CN"/>
              </w:rPr>
              <w:t>诚信管理目标</w:t>
            </w:r>
            <w:r>
              <w:rPr>
                <w:rFonts w:hint="eastAsia"/>
                <w:lang w:val="en-US" w:eastAsia="zh-CN"/>
              </w:rPr>
              <w:t>文件</w:t>
            </w:r>
          </w:p>
        </w:tc>
        <w:tc>
          <w:tcPr>
            <w:tcW w:w="1199" w:type="dxa"/>
            <w:vMerge w:val="continue"/>
            <w:vAlign w:val="center"/>
          </w:tcPr>
          <w:p w14:paraId="34D6E80C">
            <w:pPr>
              <w:pStyle w:val="57"/>
              <w:jc w:val="center"/>
              <w:rPr>
                <w:rFonts w:hint="default" w:eastAsia="宋体"/>
                <w:lang w:val="en-US" w:eastAsia="zh-CN"/>
              </w:rPr>
            </w:pPr>
          </w:p>
        </w:tc>
        <w:tc>
          <w:tcPr>
            <w:tcW w:w="660" w:type="dxa"/>
            <w:vMerge w:val="continue"/>
            <w:vAlign w:val="center"/>
          </w:tcPr>
          <w:p w14:paraId="13A9EFC2">
            <w:pPr>
              <w:pStyle w:val="57"/>
              <w:jc w:val="center"/>
              <w:rPr>
                <w:rFonts w:hint="eastAsia"/>
                <w:lang w:val="en-US" w:eastAsia="zh-CN"/>
              </w:rPr>
            </w:pPr>
          </w:p>
        </w:tc>
      </w:tr>
      <w:tr w14:paraId="0288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2B50F8FF">
            <w:pPr>
              <w:pStyle w:val="57"/>
              <w:rPr>
                <w:rFonts w:hint="default"/>
                <w:lang w:val="en-US" w:eastAsia="zh-CN"/>
              </w:rPr>
            </w:pPr>
          </w:p>
        </w:tc>
        <w:tc>
          <w:tcPr>
            <w:tcW w:w="1077" w:type="dxa"/>
            <w:vMerge w:val="continue"/>
            <w:vAlign w:val="center"/>
          </w:tcPr>
          <w:p w14:paraId="6794197E">
            <w:pPr>
              <w:pStyle w:val="57"/>
              <w:jc w:val="center"/>
              <w:rPr>
                <w:rFonts w:hint="default" w:eastAsia="宋体"/>
                <w:lang w:val="en-US" w:eastAsia="zh-CN"/>
              </w:rPr>
            </w:pPr>
          </w:p>
        </w:tc>
        <w:tc>
          <w:tcPr>
            <w:tcW w:w="5836" w:type="dxa"/>
          </w:tcPr>
          <w:p w14:paraId="39237C0D">
            <w:pPr>
              <w:pStyle w:val="57"/>
              <w:rPr>
                <w:rFonts w:hint="eastAsia"/>
                <w:lang w:val="en-US" w:eastAsia="zh-CN"/>
              </w:rPr>
            </w:pPr>
            <w:r>
              <w:rPr>
                <w:rFonts w:hint="eastAsia"/>
                <w:lang w:val="en-US" w:eastAsia="zh-CN"/>
              </w:rPr>
              <w:t>是否正式制定满足本标准5.12要求的诚信管理制度</w:t>
            </w:r>
          </w:p>
        </w:tc>
        <w:tc>
          <w:tcPr>
            <w:tcW w:w="1199" w:type="dxa"/>
            <w:vMerge w:val="continue"/>
            <w:vAlign w:val="center"/>
          </w:tcPr>
          <w:p w14:paraId="7940050C">
            <w:pPr>
              <w:pStyle w:val="57"/>
              <w:jc w:val="center"/>
              <w:rPr>
                <w:rFonts w:hint="eastAsia"/>
                <w:lang w:val="en-US" w:eastAsia="zh-CN"/>
              </w:rPr>
            </w:pPr>
          </w:p>
        </w:tc>
        <w:tc>
          <w:tcPr>
            <w:tcW w:w="660" w:type="dxa"/>
            <w:vMerge w:val="continue"/>
            <w:vAlign w:val="center"/>
          </w:tcPr>
          <w:p w14:paraId="6575156A">
            <w:pPr>
              <w:pStyle w:val="57"/>
              <w:jc w:val="center"/>
              <w:rPr>
                <w:rFonts w:hint="eastAsia" w:eastAsia="宋体"/>
                <w:lang w:val="en-US" w:eastAsia="zh-CN"/>
              </w:rPr>
            </w:pPr>
          </w:p>
        </w:tc>
      </w:tr>
      <w:tr w14:paraId="297EE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695CBBC2">
            <w:pPr>
              <w:pStyle w:val="57"/>
              <w:rPr>
                <w:rFonts w:hint="default" w:eastAsia="宋体"/>
                <w:lang w:val="en-US" w:eastAsia="zh-CN"/>
              </w:rPr>
            </w:pPr>
          </w:p>
        </w:tc>
        <w:tc>
          <w:tcPr>
            <w:tcW w:w="1077" w:type="dxa"/>
            <w:vMerge w:val="continue"/>
            <w:vAlign w:val="center"/>
          </w:tcPr>
          <w:p w14:paraId="1CDE2576">
            <w:pPr>
              <w:pStyle w:val="57"/>
              <w:jc w:val="center"/>
            </w:pPr>
          </w:p>
        </w:tc>
        <w:tc>
          <w:tcPr>
            <w:tcW w:w="5836" w:type="dxa"/>
          </w:tcPr>
          <w:p w14:paraId="27ECFD1F">
            <w:pPr>
              <w:pStyle w:val="57"/>
              <w:rPr>
                <w:rFonts w:hint="default" w:eastAsia="宋体"/>
                <w:lang w:val="en-US" w:eastAsia="zh-CN"/>
              </w:rPr>
            </w:pPr>
            <w:r>
              <w:rPr>
                <w:rFonts w:hint="default" w:eastAsia="宋体"/>
                <w:lang w:val="en-US" w:eastAsia="zh-CN"/>
              </w:rPr>
              <w:t>是否明确诚信管理部门</w:t>
            </w:r>
          </w:p>
        </w:tc>
        <w:tc>
          <w:tcPr>
            <w:tcW w:w="1199" w:type="dxa"/>
            <w:vMerge w:val="continue"/>
            <w:vAlign w:val="center"/>
          </w:tcPr>
          <w:p w14:paraId="63CA2CB5">
            <w:pPr>
              <w:pStyle w:val="57"/>
              <w:jc w:val="center"/>
              <w:rPr>
                <w:rFonts w:hint="default" w:eastAsia="宋体"/>
                <w:lang w:val="en-US" w:eastAsia="zh-CN"/>
              </w:rPr>
            </w:pPr>
          </w:p>
        </w:tc>
        <w:tc>
          <w:tcPr>
            <w:tcW w:w="660" w:type="dxa"/>
            <w:vMerge w:val="continue"/>
            <w:vAlign w:val="center"/>
          </w:tcPr>
          <w:p w14:paraId="5C53F3AB">
            <w:pPr>
              <w:pStyle w:val="57"/>
              <w:jc w:val="center"/>
              <w:rPr>
                <w:rFonts w:hint="eastAsia" w:eastAsia="宋体"/>
                <w:lang w:val="en-US" w:eastAsia="zh-CN"/>
              </w:rPr>
            </w:pPr>
          </w:p>
        </w:tc>
      </w:tr>
      <w:tr w14:paraId="7395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567C0931">
            <w:pPr>
              <w:pStyle w:val="57"/>
              <w:rPr>
                <w:rFonts w:hint="default" w:eastAsia="宋体"/>
                <w:lang w:val="en-US" w:eastAsia="zh-CN"/>
              </w:rPr>
            </w:pPr>
          </w:p>
        </w:tc>
        <w:tc>
          <w:tcPr>
            <w:tcW w:w="1077" w:type="dxa"/>
            <w:vMerge w:val="continue"/>
            <w:vAlign w:val="center"/>
          </w:tcPr>
          <w:p w14:paraId="28DF2509">
            <w:pPr>
              <w:pStyle w:val="57"/>
              <w:jc w:val="center"/>
            </w:pPr>
          </w:p>
        </w:tc>
        <w:tc>
          <w:tcPr>
            <w:tcW w:w="5836" w:type="dxa"/>
          </w:tcPr>
          <w:p w14:paraId="61FE6B9F">
            <w:pPr>
              <w:pStyle w:val="57"/>
              <w:rPr>
                <w:rFonts w:hint="default" w:eastAsia="宋体"/>
                <w:b/>
                <w:bCs/>
                <w:lang w:val="en-US" w:eastAsia="zh-CN"/>
              </w:rPr>
            </w:pPr>
            <w:r>
              <w:rPr>
                <w:rFonts w:hint="default" w:eastAsia="宋体"/>
                <w:b w:val="0"/>
                <w:bCs w:val="0"/>
                <w:lang w:val="en-US" w:eastAsia="zh-CN"/>
              </w:rPr>
              <w:t>是</w:t>
            </w:r>
            <w:r>
              <w:rPr>
                <w:rFonts w:hint="default"/>
                <w:lang w:val="en-US" w:eastAsia="zh-CN"/>
              </w:rPr>
              <w:t>否对员工开展诚信管理规章制度和相关知识的培训</w:t>
            </w:r>
          </w:p>
        </w:tc>
        <w:tc>
          <w:tcPr>
            <w:tcW w:w="1199" w:type="dxa"/>
            <w:vMerge w:val="continue"/>
            <w:vAlign w:val="center"/>
          </w:tcPr>
          <w:p w14:paraId="699E623C">
            <w:pPr>
              <w:pStyle w:val="57"/>
              <w:jc w:val="center"/>
              <w:rPr>
                <w:rFonts w:hint="default" w:eastAsia="宋体"/>
                <w:b/>
                <w:bCs/>
                <w:lang w:val="en-US" w:eastAsia="zh-CN"/>
              </w:rPr>
            </w:pPr>
          </w:p>
        </w:tc>
        <w:tc>
          <w:tcPr>
            <w:tcW w:w="660" w:type="dxa"/>
            <w:vMerge w:val="continue"/>
            <w:vAlign w:val="center"/>
          </w:tcPr>
          <w:p w14:paraId="540684E1">
            <w:pPr>
              <w:pStyle w:val="57"/>
              <w:jc w:val="center"/>
              <w:rPr>
                <w:rFonts w:hint="eastAsia" w:eastAsia="宋体"/>
                <w:b/>
                <w:bCs/>
                <w:lang w:val="en-US" w:eastAsia="zh-CN"/>
              </w:rPr>
            </w:pPr>
          </w:p>
        </w:tc>
      </w:tr>
      <w:tr w14:paraId="7B3A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restart"/>
            <w:vAlign w:val="center"/>
          </w:tcPr>
          <w:p w14:paraId="44D52880">
            <w:pPr>
              <w:pStyle w:val="57"/>
              <w:rPr>
                <w:rFonts w:hint="default" w:eastAsia="宋体"/>
                <w:lang w:val="en-US" w:eastAsia="zh-CN"/>
              </w:rPr>
            </w:pPr>
            <w:r>
              <w:rPr>
                <w:rFonts w:hint="eastAsia"/>
                <w:lang w:val="en-US" w:eastAsia="zh-CN"/>
              </w:rPr>
              <w:t>诚信承诺</w:t>
            </w:r>
          </w:p>
        </w:tc>
        <w:tc>
          <w:tcPr>
            <w:tcW w:w="1077" w:type="dxa"/>
            <w:vMerge w:val="restart"/>
            <w:vAlign w:val="center"/>
          </w:tcPr>
          <w:p w14:paraId="267F7ABC">
            <w:pPr>
              <w:pStyle w:val="57"/>
              <w:jc w:val="center"/>
              <w:rPr>
                <w:rFonts w:hint="default" w:eastAsia="宋体"/>
                <w:lang w:val="en-US" w:eastAsia="zh-CN"/>
              </w:rPr>
            </w:pPr>
            <w:r>
              <w:rPr>
                <w:rFonts w:hint="eastAsia"/>
                <w:lang w:val="en-US" w:eastAsia="zh-CN"/>
              </w:rPr>
              <w:t>诚信承诺（10分）</w:t>
            </w:r>
          </w:p>
        </w:tc>
        <w:tc>
          <w:tcPr>
            <w:tcW w:w="5836" w:type="dxa"/>
          </w:tcPr>
          <w:p w14:paraId="44BE8B44">
            <w:pPr>
              <w:pStyle w:val="57"/>
              <w:rPr>
                <w:rFonts w:hint="eastAsia" w:eastAsia="宋体"/>
                <w:lang w:val="en-US" w:eastAsia="zh-CN"/>
              </w:rPr>
            </w:pPr>
            <w:r>
              <w:rPr>
                <w:rFonts w:hint="eastAsia"/>
                <w:lang w:val="en-US" w:eastAsia="zh-CN"/>
              </w:rPr>
              <w:t>查验单位及从业人员是否自动</w:t>
            </w:r>
            <w:r>
              <w:rPr>
                <w:rFonts w:hint="eastAsia"/>
              </w:rPr>
              <w:t>向社会公</w:t>
            </w:r>
            <w:r>
              <w:rPr>
                <w:rFonts w:hint="eastAsia"/>
                <w:lang w:val="en-US" w:eastAsia="zh-CN"/>
              </w:rPr>
              <w:t>开以下</w:t>
            </w:r>
            <w:r>
              <w:rPr>
                <w:rFonts w:hint="eastAsia"/>
              </w:rPr>
              <w:t>诚信承诺</w:t>
            </w:r>
            <w:r>
              <w:rPr>
                <w:rFonts w:hint="eastAsia"/>
                <w:lang w:eastAsia="zh-CN"/>
              </w:rPr>
              <w:t>：</w:t>
            </w:r>
          </w:p>
        </w:tc>
        <w:tc>
          <w:tcPr>
            <w:tcW w:w="1199" w:type="dxa"/>
            <w:vMerge w:val="restart"/>
            <w:vAlign w:val="center"/>
          </w:tcPr>
          <w:p w14:paraId="3585F01F">
            <w:pPr>
              <w:pStyle w:val="57"/>
              <w:jc w:val="center"/>
              <w:rPr>
                <w:rFonts w:hint="default" w:eastAsia="宋体"/>
                <w:lang w:val="en-US" w:eastAsia="zh-CN"/>
              </w:rPr>
            </w:pPr>
            <w:r>
              <w:rPr>
                <w:rFonts w:hint="eastAsia"/>
                <w:lang w:val="en-US" w:eastAsia="zh-CN"/>
              </w:rPr>
              <w:t>电梯自行检测单位</w:t>
            </w:r>
          </w:p>
        </w:tc>
        <w:tc>
          <w:tcPr>
            <w:tcW w:w="660" w:type="dxa"/>
            <w:vMerge w:val="restart"/>
            <w:vAlign w:val="center"/>
          </w:tcPr>
          <w:p w14:paraId="36BDAA82">
            <w:pPr>
              <w:pStyle w:val="57"/>
              <w:jc w:val="center"/>
              <w:rPr>
                <w:rFonts w:hint="default" w:eastAsia="宋体"/>
                <w:b/>
                <w:bCs/>
                <w:lang w:val="en-US" w:eastAsia="zh-CN"/>
              </w:rPr>
            </w:pPr>
            <w:r>
              <w:rPr>
                <w:rFonts w:hint="eastAsia"/>
                <w:b w:val="0"/>
                <w:bCs w:val="0"/>
                <w:lang w:val="en-US" w:eastAsia="zh-CN"/>
              </w:rPr>
              <w:t>10分</w:t>
            </w:r>
          </w:p>
        </w:tc>
      </w:tr>
      <w:tr w14:paraId="4189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0A86A422">
            <w:pPr>
              <w:pStyle w:val="57"/>
              <w:rPr>
                <w:rFonts w:hint="default" w:eastAsia="宋体"/>
                <w:lang w:val="en-US" w:eastAsia="zh-CN"/>
              </w:rPr>
            </w:pPr>
          </w:p>
        </w:tc>
        <w:tc>
          <w:tcPr>
            <w:tcW w:w="1077" w:type="dxa"/>
            <w:vMerge w:val="continue"/>
            <w:vAlign w:val="center"/>
          </w:tcPr>
          <w:p w14:paraId="114B76DB">
            <w:pPr>
              <w:pStyle w:val="57"/>
              <w:jc w:val="center"/>
              <w:rPr>
                <w:rFonts w:hint="default" w:eastAsia="宋体"/>
                <w:lang w:val="en-US" w:eastAsia="zh-CN"/>
              </w:rPr>
            </w:pPr>
          </w:p>
        </w:tc>
        <w:tc>
          <w:tcPr>
            <w:tcW w:w="5836" w:type="dxa"/>
          </w:tcPr>
          <w:p w14:paraId="2BA9720B">
            <w:pPr>
              <w:pStyle w:val="57"/>
              <w:rPr>
                <w:rFonts w:hint="eastAsia"/>
                <w:lang w:val="en-US" w:eastAsia="zh-CN"/>
              </w:rPr>
            </w:pPr>
            <w:r>
              <w:rPr>
                <w:rFonts w:hint="eastAsia"/>
                <w:lang w:val="en-US" w:eastAsia="zh-CN"/>
              </w:rPr>
              <w:t>依法经营，坚持公平竞争的市场规则，不存在开展不正当竞争扰乱市场秩序和采取不正当竞争手段获取检测资源</w:t>
            </w:r>
          </w:p>
        </w:tc>
        <w:tc>
          <w:tcPr>
            <w:tcW w:w="1199" w:type="dxa"/>
            <w:vMerge w:val="continue"/>
          </w:tcPr>
          <w:p w14:paraId="1C8EAD65">
            <w:pPr>
              <w:pStyle w:val="57"/>
              <w:rPr>
                <w:rFonts w:hint="eastAsia"/>
                <w:lang w:val="en-US" w:eastAsia="zh-CN"/>
              </w:rPr>
            </w:pPr>
          </w:p>
        </w:tc>
        <w:tc>
          <w:tcPr>
            <w:tcW w:w="660" w:type="dxa"/>
            <w:vMerge w:val="continue"/>
            <w:vAlign w:val="center"/>
          </w:tcPr>
          <w:p w14:paraId="0F9B00FE">
            <w:pPr>
              <w:pStyle w:val="57"/>
              <w:jc w:val="center"/>
              <w:rPr>
                <w:rFonts w:hint="eastAsia" w:eastAsia="宋体"/>
                <w:b/>
                <w:bCs/>
                <w:lang w:val="en-US" w:eastAsia="zh-CN"/>
              </w:rPr>
            </w:pPr>
          </w:p>
        </w:tc>
      </w:tr>
      <w:tr w14:paraId="50A6C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4567954D">
            <w:pPr>
              <w:pStyle w:val="57"/>
              <w:rPr>
                <w:rFonts w:hint="default" w:eastAsia="宋体"/>
                <w:lang w:val="en-US" w:eastAsia="zh-CN"/>
              </w:rPr>
            </w:pPr>
          </w:p>
        </w:tc>
        <w:tc>
          <w:tcPr>
            <w:tcW w:w="1077" w:type="dxa"/>
            <w:vMerge w:val="continue"/>
            <w:vAlign w:val="center"/>
          </w:tcPr>
          <w:p w14:paraId="006AB269">
            <w:pPr>
              <w:pStyle w:val="57"/>
              <w:jc w:val="center"/>
              <w:rPr>
                <w:rFonts w:hint="default" w:eastAsia="宋体"/>
                <w:lang w:val="en-US" w:eastAsia="zh-CN"/>
              </w:rPr>
            </w:pPr>
          </w:p>
        </w:tc>
        <w:tc>
          <w:tcPr>
            <w:tcW w:w="5836" w:type="dxa"/>
          </w:tcPr>
          <w:p w14:paraId="060B781B">
            <w:pPr>
              <w:pStyle w:val="57"/>
              <w:rPr>
                <w:rFonts w:hint="default" w:eastAsia="宋体"/>
                <w:lang w:val="en-US" w:eastAsia="zh-CN"/>
              </w:rPr>
            </w:pPr>
            <w:r>
              <w:rPr>
                <w:rFonts w:hint="default" w:eastAsia="宋体"/>
                <w:lang w:val="en-US" w:eastAsia="zh-CN"/>
              </w:rPr>
              <w:t>严格依据法律法规、安全技术规范、标准和作业指导文件开展检测工作，不出具虚假、失实或者重大疏漏的检测报告</w:t>
            </w:r>
          </w:p>
        </w:tc>
        <w:tc>
          <w:tcPr>
            <w:tcW w:w="1199" w:type="dxa"/>
            <w:vMerge w:val="continue"/>
          </w:tcPr>
          <w:p w14:paraId="32B95C5C">
            <w:pPr>
              <w:pStyle w:val="57"/>
              <w:rPr>
                <w:rFonts w:hint="default" w:eastAsia="宋体"/>
                <w:lang w:val="en-US" w:eastAsia="zh-CN"/>
              </w:rPr>
            </w:pPr>
          </w:p>
        </w:tc>
        <w:tc>
          <w:tcPr>
            <w:tcW w:w="660" w:type="dxa"/>
            <w:vMerge w:val="continue"/>
            <w:vAlign w:val="center"/>
          </w:tcPr>
          <w:p w14:paraId="03EBC200">
            <w:pPr>
              <w:pStyle w:val="57"/>
              <w:jc w:val="center"/>
              <w:rPr>
                <w:rFonts w:hint="eastAsia" w:eastAsia="宋体"/>
                <w:b/>
                <w:bCs/>
                <w:lang w:val="en-US" w:eastAsia="zh-CN"/>
              </w:rPr>
            </w:pPr>
          </w:p>
        </w:tc>
      </w:tr>
      <w:tr w14:paraId="7794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1984EB84">
            <w:pPr>
              <w:pStyle w:val="57"/>
              <w:rPr>
                <w:rFonts w:hint="default" w:eastAsia="宋体"/>
                <w:lang w:val="en-US" w:eastAsia="zh-CN"/>
              </w:rPr>
            </w:pPr>
          </w:p>
        </w:tc>
        <w:tc>
          <w:tcPr>
            <w:tcW w:w="1077" w:type="dxa"/>
            <w:vMerge w:val="continue"/>
            <w:vAlign w:val="center"/>
          </w:tcPr>
          <w:p w14:paraId="0E5105C6">
            <w:pPr>
              <w:pStyle w:val="57"/>
              <w:jc w:val="center"/>
              <w:rPr>
                <w:rFonts w:hint="default" w:eastAsia="宋体"/>
                <w:lang w:val="en-US" w:eastAsia="zh-CN"/>
              </w:rPr>
            </w:pPr>
          </w:p>
        </w:tc>
        <w:tc>
          <w:tcPr>
            <w:tcW w:w="5836" w:type="dxa"/>
          </w:tcPr>
          <w:p w14:paraId="52753D24">
            <w:pPr>
              <w:pStyle w:val="57"/>
              <w:rPr>
                <w:rFonts w:hint="default" w:eastAsia="宋体"/>
                <w:lang w:val="en-US" w:eastAsia="zh-CN"/>
              </w:rPr>
            </w:pPr>
            <w:r>
              <w:rPr>
                <w:rFonts w:hint="default" w:eastAsia="宋体"/>
                <w:lang w:val="en-US" w:eastAsia="zh-CN"/>
              </w:rPr>
              <w:t>不出租或出借单位检测资质</w:t>
            </w:r>
          </w:p>
        </w:tc>
        <w:tc>
          <w:tcPr>
            <w:tcW w:w="1199" w:type="dxa"/>
            <w:vMerge w:val="continue"/>
          </w:tcPr>
          <w:p w14:paraId="3F5EC072">
            <w:pPr>
              <w:pStyle w:val="57"/>
              <w:rPr>
                <w:rFonts w:hint="default" w:eastAsia="宋体"/>
                <w:lang w:val="en-US" w:eastAsia="zh-CN"/>
              </w:rPr>
            </w:pPr>
          </w:p>
        </w:tc>
        <w:tc>
          <w:tcPr>
            <w:tcW w:w="660" w:type="dxa"/>
            <w:vMerge w:val="continue"/>
            <w:vAlign w:val="center"/>
          </w:tcPr>
          <w:p w14:paraId="7028F692">
            <w:pPr>
              <w:pStyle w:val="57"/>
              <w:jc w:val="center"/>
              <w:rPr>
                <w:rFonts w:hint="eastAsia" w:eastAsia="宋体"/>
                <w:b/>
                <w:bCs/>
                <w:lang w:val="en-US" w:eastAsia="zh-CN"/>
              </w:rPr>
            </w:pPr>
          </w:p>
        </w:tc>
      </w:tr>
      <w:tr w14:paraId="07E98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53CCCB1C">
            <w:pPr>
              <w:pStyle w:val="57"/>
              <w:rPr>
                <w:rFonts w:hint="default" w:eastAsia="宋体"/>
                <w:lang w:val="en-US" w:eastAsia="zh-CN"/>
              </w:rPr>
            </w:pPr>
          </w:p>
        </w:tc>
        <w:tc>
          <w:tcPr>
            <w:tcW w:w="1077" w:type="dxa"/>
            <w:vMerge w:val="continue"/>
            <w:vAlign w:val="center"/>
          </w:tcPr>
          <w:p w14:paraId="55DA48D7">
            <w:pPr>
              <w:pStyle w:val="57"/>
              <w:jc w:val="center"/>
              <w:rPr>
                <w:rFonts w:hint="default" w:eastAsia="宋体"/>
                <w:lang w:val="en-US" w:eastAsia="zh-CN"/>
              </w:rPr>
            </w:pPr>
          </w:p>
        </w:tc>
        <w:tc>
          <w:tcPr>
            <w:tcW w:w="5836" w:type="dxa"/>
          </w:tcPr>
          <w:p w14:paraId="68FD8556">
            <w:pPr>
              <w:pStyle w:val="57"/>
              <w:rPr>
                <w:rFonts w:hint="default" w:eastAsia="宋体"/>
                <w:lang w:val="en-US" w:eastAsia="zh-CN"/>
              </w:rPr>
            </w:pPr>
            <w:r>
              <w:rPr>
                <w:rFonts w:hint="default" w:eastAsia="宋体"/>
                <w:lang w:val="en-US" w:eastAsia="zh-CN"/>
              </w:rPr>
              <w:t>不违规向外分包检测业务</w:t>
            </w:r>
          </w:p>
        </w:tc>
        <w:tc>
          <w:tcPr>
            <w:tcW w:w="1199" w:type="dxa"/>
            <w:vMerge w:val="continue"/>
          </w:tcPr>
          <w:p w14:paraId="3CE6D1E5">
            <w:pPr>
              <w:pStyle w:val="57"/>
              <w:rPr>
                <w:rFonts w:hint="default" w:eastAsia="宋体"/>
                <w:lang w:val="en-US" w:eastAsia="zh-CN"/>
              </w:rPr>
            </w:pPr>
          </w:p>
        </w:tc>
        <w:tc>
          <w:tcPr>
            <w:tcW w:w="660" w:type="dxa"/>
            <w:vMerge w:val="continue"/>
            <w:vAlign w:val="center"/>
          </w:tcPr>
          <w:p w14:paraId="1937B0AA">
            <w:pPr>
              <w:pStyle w:val="57"/>
              <w:jc w:val="center"/>
              <w:rPr>
                <w:rFonts w:hint="eastAsia" w:eastAsia="宋体"/>
                <w:b/>
                <w:bCs/>
                <w:lang w:val="en-US" w:eastAsia="zh-CN"/>
              </w:rPr>
            </w:pPr>
          </w:p>
        </w:tc>
      </w:tr>
      <w:tr w14:paraId="1E3D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4143941E">
            <w:pPr>
              <w:pStyle w:val="57"/>
              <w:rPr>
                <w:rFonts w:hint="default" w:eastAsia="宋体"/>
                <w:lang w:val="en-US" w:eastAsia="zh-CN"/>
              </w:rPr>
            </w:pPr>
          </w:p>
        </w:tc>
        <w:tc>
          <w:tcPr>
            <w:tcW w:w="1077" w:type="dxa"/>
            <w:vMerge w:val="continue"/>
            <w:vAlign w:val="center"/>
          </w:tcPr>
          <w:p w14:paraId="04C95C19">
            <w:pPr>
              <w:pStyle w:val="57"/>
              <w:jc w:val="center"/>
              <w:rPr>
                <w:rFonts w:hint="default" w:eastAsia="宋体"/>
                <w:lang w:val="en-US" w:eastAsia="zh-CN"/>
              </w:rPr>
            </w:pPr>
          </w:p>
        </w:tc>
        <w:tc>
          <w:tcPr>
            <w:tcW w:w="5836" w:type="dxa"/>
          </w:tcPr>
          <w:p w14:paraId="47C928C7">
            <w:pPr>
              <w:pStyle w:val="57"/>
              <w:rPr>
                <w:rFonts w:hint="default" w:eastAsia="宋体"/>
                <w:lang w:val="en-US" w:eastAsia="zh-CN"/>
              </w:rPr>
            </w:pPr>
            <w:r>
              <w:rPr>
                <w:rFonts w:hint="eastAsia"/>
                <w:lang w:val="en-US" w:eastAsia="zh-CN"/>
              </w:rPr>
              <w:t>不</w:t>
            </w:r>
            <w:r>
              <w:rPr>
                <w:rFonts w:hint="default" w:eastAsia="宋体"/>
                <w:lang w:val="en-US" w:eastAsia="zh-CN"/>
              </w:rPr>
              <w:t>同时在两个以上检测检验机构从业</w:t>
            </w:r>
          </w:p>
        </w:tc>
        <w:tc>
          <w:tcPr>
            <w:tcW w:w="1199" w:type="dxa"/>
            <w:vMerge w:val="continue"/>
          </w:tcPr>
          <w:p w14:paraId="70F0FFBC">
            <w:pPr>
              <w:pStyle w:val="57"/>
              <w:rPr>
                <w:rFonts w:hint="default" w:eastAsia="宋体"/>
                <w:lang w:val="en-US" w:eastAsia="zh-CN"/>
              </w:rPr>
            </w:pPr>
          </w:p>
        </w:tc>
        <w:tc>
          <w:tcPr>
            <w:tcW w:w="660" w:type="dxa"/>
            <w:vMerge w:val="continue"/>
            <w:vAlign w:val="center"/>
          </w:tcPr>
          <w:p w14:paraId="4F3EC340">
            <w:pPr>
              <w:pStyle w:val="57"/>
              <w:jc w:val="center"/>
              <w:rPr>
                <w:rFonts w:hint="eastAsia" w:eastAsia="宋体"/>
                <w:b/>
                <w:bCs/>
                <w:lang w:val="en-US" w:eastAsia="zh-CN"/>
              </w:rPr>
            </w:pPr>
          </w:p>
        </w:tc>
      </w:tr>
      <w:tr w14:paraId="6A5F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772C6D93">
            <w:pPr>
              <w:pStyle w:val="57"/>
              <w:rPr>
                <w:rFonts w:hint="default" w:eastAsia="宋体"/>
                <w:lang w:val="en-US" w:eastAsia="zh-CN"/>
              </w:rPr>
            </w:pPr>
          </w:p>
        </w:tc>
        <w:tc>
          <w:tcPr>
            <w:tcW w:w="1077" w:type="dxa"/>
            <w:vMerge w:val="continue"/>
            <w:vAlign w:val="center"/>
          </w:tcPr>
          <w:p w14:paraId="04A2D2B2">
            <w:pPr>
              <w:pStyle w:val="57"/>
              <w:jc w:val="center"/>
              <w:rPr>
                <w:rFonts w:hint="default" w:eastAsia="宋体"/>
                <w:lang w:val="en-US" w:eastAsia="zh-CN"/>
              </w:rPr>
            </w:pPr>
          </w:p>
        </w:tc>
        <w:tc>
          <w:tcPr>
            <w:tcW w:w="5836" w:type="dxa"/>
          </w:tcPr>
          <w:p w14:paraId="07F4EABD">
            <w:pPr>
              <w:pStyle w:val="57"/>
              <w:rPr>
                <w:rFonts w:hint="default" w:eastAsia="宋体"/>
                <w:lang w:val="en-US" w:eastAsia="zh-CN"/>
              </w:rPr>
            </w:pPr>
            <w:r>
              <w:rPr>
                <w:rFonts w:hint="default" w:eastAsia="宋体"/>
                <w:lang w:val="en-US" w:eastAsia="zh-CN"/>
              </w:rPr>
              <w:t>未取得检测资质条件或不再具备检测资质条件</w:t>
            </w:r>
            <w:r>
              <w:rPr>
                <w:rFonts w:hint="eastAsia"/>
                <w:lang w:val="en-US" w:eastAsia="zh-CN"/>
              </w:rPr>
              <w:t>而</w:t>
            </w:r>
            <w:r>
              <w:rPr>
                <w:rFonts w:hint="default" w:eastAsia="宋体"/>
                <w:lang w:val="en-US" w:eastAsia="zh-CN"/>
              </w:rPr>
              <w:t>从事检测工作</w:t>
            </w:r>
          </w:p>
        </w:tc>
        <w:tc>
          <w:tcPr>
            <w:tcW w:w="1199" w:type="dxa"/>
            <w:vMerge w:val="continue"/>
          </w:tcPr>
          <w:p w14:paraId="08750A74">
            <w:pPr>
              <w:pStyle w:val="57"/>
              <w:rPr>
                <w:rFonts w:hint="default" w:eastAsia="宋体"/>
                <w:lang w:val="en-US" w:eastAsia="zh-CN"/>
              </w:rPr>
            </w:pPr>
          </w:p>
        </w:tc>
        <w:tc>
          <w:tcPr>
            <w:tcW w:w="660" w:type="dxa"/>
            <w:vMerge w:val="continue"/>
            <w:vAlign w:val="center"/>
          </w:tcPr>
          <w:p w14:paraId="677F2E99">
            <w:pPr>
              <w:pStyle w:val="57"/>
              <w:jc w:val="center"/>
              <w:rPr>
                <w:rFonts w:hint="eastAsia" w:eastAsia="宋体"/>
                <w:b/>
                <w:bCs/>
                <w:lang w:val="en-US" w:eastAsia="zh-CN"/>
              </w:rPr>
            </w:pPr>
          </w:p>
        </w:tc>
      </w:tr>
      <w:tr w14:paraId="6932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2D0085D6">
            <w:pPr>
              <w:pStyle w:val="57"/>
              <w:rPr>
                <w:rFonts w:hint="default" w:eastAsia="宋体"/>
                <w:lang w:val="en-US" w:eastAsia="zh-CN"/>
              </w:rPr>
            </w:pPr>
          </w:p>
        </w:tc>
        <w:tc>
          <w:tcPr>
            <w:tcW w:w="1077" w:type="dxa"/>
            <w:vMerge w:val="continue"/>
            <w:vAlign w:val="center"/>
          </w:tcPr>
          <w:p w14:paraId="5F45E4D2">
            <w:pPr>
              <w:pStyle w:val="57"/>
              <w:jc w:val="center"/>
              <w:rPr>
                <w:rFonts w:hint="default" w:eastAsia="宋体"/>
                <w:lang w:val="en-US" w:eastAsia="zh-CN"/>
              </w:rPr>
            </w:pPr>
          </w:p>
        </w:tc>
        <w:tc>
          <w:tcPr>
            <w:tcW w:w="5836" w:type="dxa"/>
          </w:tcPr>
          <w:p w14:paraId="0BF57C6F">
            <w:pPr>
              <w:pStyle w:val="57"/>
              <w:rPr>
                <w:rFonts w:hint="default" w:eastAsia="宋体"/>
                <w:lang w:val="en-US" w:eastAsia="zh-CN"/>
              </w:rPr>
            </w:pPr>
            <w:r>
              <w:rPr>
                <w:rFonts w:hint="default" w:eastAsia="宋体"/>
                <w:lang w:val="en-US" w:eastAsia="zh-CN"/>
              </w:rPr>
              <w:t>冒用他人名义或者允许他人冒用本人名义在检测检验报告和原始记录中签名</w:t>
            </w:r>
          </w:p>
        </w:tc>
        <w:tc>
          <w:tcPr>
            <w:tcW w:w="1199" w:type="dxa"/>
            <w:vMerge w:val="continue"/>
          </w:tcPr>
          <w:p w14:paraId="626D6DB8">
            <w:pPr>
              <w:pStyle w:val="57"/>
              <w:rPr>
                <w:rFonts w:hint="default" w:eastAsia="宋体"/>
                <w:lang w:val="en-US" w:eastAsia="zh-CN"/>
              </w:rPr>
            </w:pPr>
          </w:p>
        </w:tc>
        <w:tc>
          <w:tcPr>
            <w:tcW w:w="660" w:type="dxa"/>
            <w:vMerge w:val="continue"/>
            <w:vAlign w:val="center"/>
          </w:tcPr>
          <w:p w14:paraId="74D7F1D6">
            <w:pPr>
              <w:pStyle w:val="57"/>
              <w:jc w:val="center"/>
              <w:rPr>
                <w:rFonts w:hint="eastAsia" w:eastAsia="宋体"/>
                <w:b/>
                <w:bCs/>
                <w:lang w:val="en-US" w:eastAsia="zh-CN"/>
              </w:rPr>
            </w:pPr>
          </w:p>
        </w:tc>
      </w:tr>
      <w:tr w14:paraId="6CC2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3E5641E3">
            <w:pPr>
              <w:pStyle w:val="57"/>
              <w:rPr>
                <w:rFonts w:hint="default" w:eastAsia="宋体"/>
                <w:lang w:val="en-US" w:eastAsia="zh-CN"/>
              </w:rPr>
            </w:pPr>
          </w:p>
        </w:tc>
        <w:tc>
          <w:tcPr>
            <w:tcW w:w="1077" w:type="dxa"/>
            <w:vMerge w:val="continue"/>
            <w:vAlign w:val="center"/>
          </w:tcPr>
          <w:p w14:paraId="33FF6E1F">
            <w:pPr>
              <w:pStyle w:val="57"/>
              <w:jc w:val="center"/>
              <w:rPr>
                <w:rFonts w:hint="default" w:eastAsia="宋体"/>
                <w:lang w:val="en-US" w:eastAsia="zh-CN"/>
              </w:rPr>
            </w:pPr>
          </w:p>
        </w:tc>
        <w:tc>
          <w:tcPr>
            <w:tcW w:w="5836" w:type="dxa"/>
          </w:tcPr>
          <w:p w14:paraId="034E9A2C">
            <w:pPr>
              <w:pStyle w:val="57"/>
              <w:rPr>
                <w:rFonts w:hint="default" w:eastAsia="宋体"/>
                <w:lang w:val="en-US" w:eastAsia="zh-CN"/>
              </w:rPr>
            </w:pPr>
            <w:r>
              <w:rPr>
                <w:rFonts w:hint="eastAsia"/>
                <w:lang w:val="en-US" w:eastAsia="zh-CN"/>
              </w:rPr>
              <w:t>不</w:t>
            </w:r>
            <w:r>
              <w:rPr>
                <w:rFonts w:hint="default" w:eastAsia="宋体"/>
                <w:lang w:val="en-US" w:eastAsia="zh-CN"/>
              </w:rPr>
              <w:t>弄虚作假，故意少检、漏检、错检项目，出具不实检测数据和结果</w:t>
            </w:r>
          </w:p>
        </w:tc>
        <w:tc>
          <w:tcPr>
            <w:tcW w:w="1199" w:type="dxa"/>
            <w:vMerge w:val="continue"/>
          </w:tcPr>
          <w:p w14:paraId="4C82BEEA">
            <w:pPr>
              <w:pStyle w:val="57"/>
              <w:rPr>
                <w:rFonts w:hint="default" w:eastAsia="宋体"/>
                <w:lang w:val="en-US" w:eastAsia="zh-CN"/>
              </w:rPr>
            </w:pPr>
          </w:p>
        </w:tc>
        <w:tc>
          <w:tcPr>
            <w:tcW w:w="660" w:type="dxa"/>
            <w:vMerge w:val="continue"/>
            <w:vAlign w:val="center"/>
          </w:tcPr>
          <w:p w14:paraId="64868B73">
            <w:pPr>
              <w:pStyle w:val="57"/>
              <w:jc w:val="center"/>
              <w:rPr>
                <w:rFonts w:hint="eastAsia" w:eastAsia="宋体"/>
                <w:b/>
                <w:bCs/>
                <w:lang w:val="en-US" w:eastAsia="zh-CN"/>
              </w:rPr>
            </w:pPr>
          </w:p>
        </w:tc>
      </w:tr>
      <w:tr w14:paraId="45B2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08F60B23">
            <w:pPr>
              <w:pStyle w:val="57"/>
              <w:rPr>
                <w:rFonts w:hint="default" w:eastAsia="宋体"/>
                <w:lang w:val="en-US" w:eastAsia="zh-CN"/>
              </w:rPr>
            </w:pPr>
          </w:p>
        </w:tc>
        <w:tc>
          <w:tcPr>
            <w:tcW w:w="1077" w:type="dxa"/>
            <w:vMerge w:val="continue"/>
            <w:vAlign w:val="center"/>
          </w:tcPr>
          <w:p w14:paraId="1A65EC44">
            <w:pPr>
              <w:pStyle w:val="57"/>
              <w:jc w:val="center"/>
              <w:rPr>
                <w:rFonts w:hint="default" w:eastAsia="宋体"/>
                <w:lang w:val="en-US" w:eastAsia="zh-CN"/>
              </w:rPr>
            </w:pPr>
          </w:p>
        </w:tc>
        <w:tc>
          <w:tcPr>
            <w:tcW w:w="5836" w:type="dxa"/>
          </w:tcPr>
          <w:p w14:paraId="0B8F51EA">
            <w:pPr>
              <w:pStyle w:val="57"/>
              <w:rPr>
                <w:rFonts w:hint="default" w:eastAsia="宋体"/>
                <w:lang w:val="en-US" w:eastAsia="zh-CN"/>
              </w:rPr>
            </w:pPr>
            <w:r>
              <w:rPr>
                <w:rFonts w:hint="default" w:eastAsia="宋体"/>
                <w:lang w:val="en-US" w:eastAsia="zh-CN"/>
              </w:rPr>
              <w:t>未经允许，</w:t>
            </w:r>
            <w:r>
              <w:rPr>
                <w:rFonts w:hint="eastAsia"/>
                <w:lang w:val="en-US" w:eastAsia="zh-CN"/>
              </w:rPr>
              <w:t>不</w:t>
            </w:r>
            <w:r>
              <w:rPr>
                <w:rFonts w:hint="default" w:eastAsia="宋体"/>
                <w:lang w:val="en-US" w:eastAsia="zh-CN"/>
              </w:rPr>
              <w:t>泄露与检测服务对象有关的商业或技术机密</w:t>
            </w:r>
          </w:p>
        </w:tc>
        <w:tc>
          <w:tcPr>
            <w:tcW w:w="1199" w:type="dxa"/>
            <w:vMerge w:val="continue"/>
          </w:tcPr>
          <w:p w14:paraId="7782AFE7">
            <w:pPr>
              <w:pStyle w:val="57"/>
              <w:rPr>
                <w:rFonts w:hint="default" w:eastAsia="宋体"/>
                <w:lang w:val="en-US" w:eastAsia="zh-CN"/>
              </w:rPr>
            </w:pPr>
          </w:p>
        </w:tc>
        <w:tc>
          <w:tcPr>
            <w:tcW w:w="660" w:type="dxa"/>
            <w:vMerge w:val="continue"/>
            <w:vAlign w:val="center"/>
          </w:tcPr>
          <w:p w14:paraId="40CC11AD">
            <w:pPr>
              <w:pStyle w:val="57"/>
              <w:jc w:val="center"/>
              <w:rPr>
                <w:rFonts w:hint="eastAsia" w:eastAsia="宋体"/>
                <w:b/>
                <w:bCs/>
                <w:lang w:val="en-US" w:eastAsia="zh-CN"/>
              </w:rPr>
            </w:pPr>
          </w:p>
        </w:tc>
      </w:tr>
      <w:tr w14:paraId="24799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Merge w:val="continue"/>
            <w:vAlign w:val="center"/>
          </w:tcPr>
          <w:p w14:paraId="6F029328">
            <w:pPr>
              <w:pStyle w:val="57"/>
              <w:rPr>
                <w:rFonts w:hint="default" w:eastAsia="宋体"/>
                <w:lang w:val="en-US" w:eastAsia="zh-CN"/>
              </w:rPr>
            </w:pPr>
          </w:p>
        </w:tc>
        <w:tc>
          <w:tcPr>
            <w:tcW w:w="1077" w:type="dxa"/>
            <w:vMerge w:val="continue"/>
            <w:vAlign w:val="center"/>
          </w:tcPr>
          <w:p w14:paraId="22F76579">
            <w:pPr>
              <w:pStyle w:val="57"/>
              <w:jc w:val="center"/>
              <w:rPr>
                <w:rFonts w:hint="default" w:eastAsia="宋体"/>
                <w:lang w:val="en-US" w:eastAsia="zh-CN"/>
              </w:rPr>
            </w:pPr>
          </w:p>
        </w:tc>
        <w:tc>
          <w:tcPr>
            <w:tcW w:w="5836" w:type="dxa"/>
          </w:tcPr>
          <w:p w14:paraId="23635417">
            <w:pPr>
              <w:pStyle w:val="57"/>
              <w:rPr>
                <w:rFonts w:hint="default" w:eastAsia="宋体"/>
                <w:lang w:val="en-US" w:eastAsia="zh-CN"/>
              </w:rPr>
            </w:pPr>
            <w:r>
              <w:rPr>
                <w:rFonts w:hint="default" w:eastAsia="宋体"/>
                <w:lang w:val="en-US" w:eastAsia="zh-CN"/>
              </w:rPr>
              <w:t>冒用他人名义或者允许他人冒用本人名义在检测检验报告和原始记录中签名</w:t>
            </w:r>
          </w:p>
        </w:tc>
        <w:tc>
          <w:tcPr>
            <w:tcW w:w="1199" w:type="dxa"/>
            <w:vMerge w:val="continue"/>
          </w:tcPr>
          <w:p w14:paraId="63686AFF">
            <w:pPr>
              <w:pStyle w:val="57"/>
              <w:rPr>
                <w:rFonts w:hint="default" w:eastAsia="宋体"/>
                <w:lang w:val="en-US" w:eastAsia="zh-CN"/>
              </w:rPr>
            </w:pPr>
          </w:p>
        </w:tc>
        <w:tc>
          <w:tcPr>
            <w:tcW w:w="660" w:type="dxa"/>
            <w:vMerge w:val="continue"/>
            <w:vAlign w:val="center"/>
          </w:tcPr>
          <w:p w14:paraId="2217C1F5">
            <w:pPr>
              <w:pStyle w:val="57"/>
              <w:jc w:val="center"/>
              <w:rPr>
                <w:rFonts w:hint="eastAsia" w:eastAsia="宋体"/>
                <w:b/>
                <w:bCs/>
                <w:lang w:val="en-US" w:eastAsia="zh-CN"/>
              </w:rPr>
            </w:pPr>
          </w:p>
        </w:tc>
      </w:tr>
      <w:tr w14:paraId="50D9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9438" w:type="dxa"/>
            <w:gridSpan w:val="5"/>
            <w:vAlign w:val="center"/>
          </w:tcPr>
          <w:p w14:paraId="5B83BEDB">
            <w:pPr>
              <w:pStyle w:val="57"/>
              <w:rPr>
                <w:rFonts w:hint="default"/>
                <w:lang w:val="en-US" w:eastAsia="zh-CN"/>
              </w:rPr>
            </w:pPr>
            <w:r>
              <w:rPr>
                <w:rFonts w:hint="eastAsia"/>
                <w:lang w:val="en-US" w:eastAsia="zh-CN"/>
              </w:rPr>
              <w:t>注：1.带“</w:t>
            </w:r>
            <w:r>
              <w:rPr>
                <w:rFonts w:hint="eastAsia" w:ascii="宋体" w:hAnsi="宋体" w:eastAsia="宋体" w:cs="宋体"/>
              </w:rPr>
              <w:t>★</w:t>
            </w:r>
            <w:r>
              <w:rPr>
                <w:rFonts w:hint="eastAsia"/>
                <w:lang w:val="en-US" w:eastAsia="zh-CN"/>
              </w:rPr>
              <w:t>”标记的为否决项。否决项是指诚信评价机构在对电梯自行检测单位诚信评价时应一票否决的项目。2.发现单位或个人提供诚信承诺条款有虚假承诺的，诚信评价机构在对电梯自行检测单位诚信评价时应一票否决。</w:t>
            </w:r>
          </w:p>
          <w:p w14:paraId="589FC45E">
            <w:pPr>
              <w:pStyle w:val="57"/>
            </w:pPr>
          </w:p>
        </w:tc>
      </w:tr>
    </w:tbl>
    <w:p w14:paraId="665B200F">
      <w:pPr>
        <w:pStyle w:val="57"/>
        <w:sectPr>
          <w:pgSz w:w="11906" w:h="16838"/>
          <w:pgMar w:top="1928" w:right="1134" w:bottom="1134" w:left="1134" w:header="1418" w:footer="1134" w:gutter="284"/>
          <w:cols w:space="425" w:num="1"/>
          <w:formProt w:val="0"/>
          <w:docGrid w:type="lines" w:linePitch="312" w:charSpace="0"/>
        </w:sectPr>
      </w:pPr>
    </w:p>
    <w:p w14:paraId="0AFCDFCB">
      <w:pPr>
        <w:pStyle w:val="57"/>
      </w:pPr>
    </w:p>
    <w:p w14:paraId="52E822D7">
      <w:pPr>
        <w:pStyle w:val="77"/>
        <w:spacing w:after="156"/>
      </w:pPr>
    </w:p>
    <w:p w14:paraId="3C032503">
      <w:pPr>
        <w:pStyle w:val="57"/>
        <w:jc w:val="center"/>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（资料性）</w:t>
      </w:r>
    </w:p>
    <w:p w14:paraId="50D5F748">
      <w:pPr>
        <w:pStyle w:val="57"/>
        <w:ind w:firstLine="2100" w:firstLineChars="1000"/>
        <w:rPr>
          <w:rFonts w:hint="eastAsia" w:ascii="黑体" w:hAnsi="Times New Roman" w:eastAsia="黑体" w:cs="Times New Roman"/>
          <w:sz w:val="21"/>
          <w:lang w:val="en-US" w:eastAsia="zh-CN" w:bidi="ar-SA"/>
        </w:rPr>
      </w:pPr>
    </w:p>
    <w:p w14:paraId="7D53697E">
      <w:pPr>
        <w:pStyle w:val="57"/>
        <w:ind w:firstLine="2100" w:firstLineChars="1000"/>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《电梯自行检测单位诚信评价分析报告》（模板）</w:t>
      </w:r>
    </w:p>
    <w:p w14:paraId="30E4BC8C">
      <w:pPr>
        <w:pStyle w:val="57"/>
        <w:ind w:firstLine="2100" w:firstLineChars="1000"/>
        <w:rPr>
          <w:rFonts w:hint="eastAsia" w:ascii="黑体" w:hAnsi="Times New Roman" w:eastAsia="黑体" w:cs="Times New Roman"/>
          <w:sz w:val="21"/>
          <w:lang w:val="en-US" w:eastAsia="zh-CN" w:bidi="ar-SA"/>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151A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42490E75">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评价时间</w:t>
            </w:r>
          </w:p>
        </w:tc>
        <w:tc>
          <w:tcPr>
            <w:tcW w:w="7656" w:type="dxa"/>
            <w:gridSpan w:val="4"/>
          </w:tcPr>
          <w:p w14:paraId="3ABDDF3F">
            <w:pPr>
              <w:pStyle w:val="57"/>
              <w:rPr>
                <w:rFonts w:hint="eastAsia" w:ascii="黑体" w:hAnsi="Times New Roman" w:eastAsia="黑体" w:cs="Times New Roman"/>
                <w:sz w:val="21"/>
                <w:vertAlign w:val="baseline"/>
                <w:lang w:val="en-US" w:eastAsia="zh-CN" w:bidi="ar-SA"/>
              </w:rPr>
            </w:pPr>
          </w:p>
        </w:tc>
      </w:tr>
      <w:tr w14:paraId="2F90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14:paraId="220B344C">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评价人员</w:t>
            </w:r>
          </w:p>
        </w:tc>
        <w:tc>
          <w:tcPr>
            <w:tcW w:w="7656" w:type="dxa"/>
            <w:gridSpan w:val="4"/>
          </w:tcPr>
          <w:p w14:paraId="6ADF2829">
            <w:pPr>
              <w:pStyle w:val="57"/>
              <w:rPr>
                <w:rFonts w:hint="eastAsia" w:ascii="黑体" w:hAnsi="Times New Roman" w:eastAsia="黑体" w:cs="Times New Roman"/>
                <w:sz w:val="21"/>
                <w:vertAlign w:val="baseline"/>
                <w:lang w:val="en-US" w:eastAsia="zh-CN" w:bidi="ar-SA"/>
              </w:rPr>
            </w:pPr>
          </w:p>
        </w:tc>
      </w:tr>
      <w:tr w14:paraId="1BE86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Merge w:val="restart"/>
            <w:vAlign w:val="center"/>
          </w:tcPr>
          <w:p w14:paraId="57A32B84">
            <w:pPr>
              <w:pStyle w:val="57"/>
              <w:jc w:val="center"/>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评价家数（数量）</w:t>
            </w:r>
          </w:p>
        </w:tc>
        <w:tc>
          <w:tcPr>
            <w:tcW w:w="1914" w:type="dxa"/>
          </w:tcPr>
          <w:p w14:paraId="66B65D44">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优</w:t>
            </w:r>
          </w:p>
        </w:tc>
        <w:tc>
          <w:tcPr>
            <w:tcW w:w="1914" w:type="dxa"/>
          </w:tcPr>
          <w:p w14:paraId="15A3C94C">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良</w:t>
            </w:r>
          </w:p>
        </w:tc>
        <w:tc>
          <w:tcPr>
            <w:tcW w:w="1914" w:type="dxa"/>
          </w:tcPr>
          <w:p w14:paraId="3C722795">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中</w:t>
            </w:r>
          </w:p>
        </w:tc>
        <w:tc>
          <w:tcPr>
            <w:tcW w:w="1914" w:type="dxa"/>
          </w:tcPr>
          <w:p w14:paraId="379AE719">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差</w:t>
            </w:r>
          </w:p>
        </w:tc>
      </w:tr>
      <w:tr w14:paraId="191FE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Merge w:val="continue"/>
          </w:tcPr>
          <w:p w14:paraId="293BBC12">
            <w:pPr>
              <w:pStyle w:val="57"/>
              <w:rPr>
                <w:rFonts w:hint="eastAsia" w:ascii="黑体" w:hAnsi="Times New Roman" w:eastAsia="黑体" w:cs="Times New Roman"/>
                <w:sz w:val="21"/>
                <w:vertAlign w:val="baseline"/>
                <w:lang w:val="en-US" w:eastAsia="zh-CN" w:bidi="ar-SA"/>
              </w:rPr>
            </w:pPr>
          </w:p>
        </w:tc>
        <w:tc>
          <w:tcPr>
            <w:tcW w:w="1914" w:type="dxa"/>
          </w:tcPr>
          <w:p w14:paraId="023B886D">
            <w:pPr>
              <w:pStyle w:val="57"/>
              <w:rPr>
                <w:rFonts w:hint="eastAsia" w:ascii="黑体" w:hAnsi="Times New Roman" w:eastAsia="黑体" w:cs="Times New Roman"/>
                <w:sz w:val="21"/>
                <w:vertAlign w:val="baseline"/>
                <w:lang w:val="en-US" w:eastAsia="zh-CN" w:bidi="ar-SA"/>
              </w:rPr>
            </w:pPr>
          </w:p>
        </w:tc>
        <w:tc>
          <w:tcPr>
            <w:tcW w:w="1914" w:type="dxa"/>
          </w:tcPr>
          <w:p w14:paraId="265D7CBC">
            <w:pPr>
              <w:pStyle w:val="57"/>
              <w:rPr>
                <w:rFonts w:hint="eastAsia" w:ascii="黑体" w:hAnsi="Times New Roman" w:eastAsia="黑体" w:cs="Times New Roman"/>
                <w:sz w:val="21"/>
                <w:vertAlign w:val="baseline"/>
                <w:lang w:val="en-US" w:eastAsia="zh-CN" w:bidi="ar-SA"/>
              </w:rPr>
            </w:pPr>
          </w:p>
        </w:tc>
        <w:tc>
          <w:tcPr>
            <w:tcW w:w="1914" w:type="dxa"/>
          </w:tcPr>
          <w:p w14:paraId="7C2750B8">
            <w:pPr>
              <w:pStyle w:val="57"/>
              <w:rPr>
                <w:rFonts w:hint="eastAsia" w:ascii="黑体" w:hAnsi="Times New Roman" w:eastAsia="黑体" w:cs="Times New Roman"/>
                <w:sz w:val="21"/>
                <w:vertAlign w:val="baseline"/>
                <w:lang w:val="en-US" w:eastAsia="zh-CN" w:bidi="ar-SA"/>
              </w:rPr>
            </w:pPr>
          </w:p>
        </w:tc>
        <w:tc>
          <w:tcPr>
            <w:tcW w:w="1914" w:type="dxa"/>
          </w:tcPr>
          <w:p w14:paraId="178EAE21">
            <w:pPr>
              <w:pStyle w:val="57"/>
              <w:rPr>
                <w:rFonts w:hint="eastAsia" w:ascii="黑体" w:hAnsi="Times New Roman" w:eastAsia="黑体" w:cs="Times New Roman"/>
                <w:sz w:val="21"/>
                <w:vertAlign w:val="baseline"/>
                <w:lang w:val="en-US" w:eastAsia="zh-CN" w:bidi="ar-SA"/>
              </w:rPr>
            </w:pPr>
          </w:p>
        </w:tc>
      </w:tr>
      <w:tr w14:paraId="3BC6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5"/>
          </w:tcPr>
          <w:p w14:paraId="15E6BC72">
            <w:pPr>
              <w:pStyle w:val="57"/>
              <w:rPr>
                <w:rFonts w:hint="eastAsia" w:ascii="黑体" w:hAnsi="Times New Roman" w:eastAsia="黑体" w:cs="Times New Roman"/>
                <w:sz w:val="21"/>
                <w:vertAlign w:val="baseline"/>
                <w:lang w:val="en-US" w:eastAsia="zh-CN" w:bidi="ar-SA"/>
              </w:rPr>
            </w:pPr>
          </w:p>
          <w:p w14:paraId="560CF0DB">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一、工作概况</w:t>
            </w:r>
          </w:p>
          <w:p w14:paraId="1E45D28E">
            <w:pPr>
              <w:pStyle w:val="57"/>
              <w:rPr>
                <w:rFonts w:hint="eastAsia" w:ascii="黑体" w:hAnsi="Times New Roman" w:eastAsia="黑体" w:cs="Times New Roman"/>
                <w:sz w:val="21"/>
                <w:vertAlign w:val="baseline"/>
                <w:lang w:val="en-US" w:eastAsia="zh-CN" w:bidi="ar-SA"/>
              </w:rPr>
            </w:pPr>
          </w:p>
          <w:p w14:paraId="5262A349">
            <w:pPr>
              <w:pStyle w:val="57"/>
              <w:rPr>
                <w:rFonts w:hint="eastAsia" w:ascii="黑体" w:hAnsi="Times New Roman" w:eastAsia="黑体" w:cs="Times New Roman"/>
                <w:sz w:val="21"/>
                <w:vertAlign w:val="baseline"/>
                <w:lang w:val="en-US" w:eastAsia="zh-CN" w:bidi="ar-SA"/>
              </w:rPr>
            </w:pPr>
          </w:p>
          <w:p w14:paraId="122340DC">
            <w:pPr>
              <w:pStyle w:val="57"/>
              <w:rPr>
                <w:rFonts w:hint="eastAsia" w:ascii="黑体" w:hAnsi="Times New Roman" w:eastAsia="黑体" w:cs="Times New Roman"/>
                <w:sz w:val="21"/>
                <w:vertAlign w:val="baseline"/>
                <w:lang w:val="en-US" w:eastAsia="zh-CN" w:bidi="ar-SA"/>
              </w:rPr>
            </w:pPr>
          </w:p>
          <w:p w14:paraId="56E4C006">
            <w:pPr>
              <w:pStyle w:val="57"/>
              <w:rPr>
                <w:rFonts w:hint="default" w:ascii="黑体" w:hAnsi="Times New Roman" w:eastAsia="黑体" w:cs="Times New Roman"/>
                <w:sz w:val="21"/>
                <w:vertAlign w:val="baseline"/>
                <w:lang w:val="en-US" w:eastAsia="zh-CN" w:bidi="ar-SA"/>
              </w:rPr>
            </w:pPr>
            <w:r>
              <w:rPr>
                <w:rFonts w:hint="eastAsia" w:ascii="黑体" w:eastAsia="黑体" w:cs="Times New Roman"/>
                <w:sz w:val="21"/>
                <w:vertAlign w:val="baseline"/>
                <w:lang w:val="en-US" w:eastAsia="zh-CN" w:bidi="ar-SA"/>
              </w:rPr>
              <w:t>二、评价内容</w:t>
            </w:r>
          </w:p>
          <w:p w14:paraId="0E2C885F">
            <w:pPr>
              <w:pStyle w:val="57"/>
              <w:rPr>
                <w:rFonts w:hint="eastAsia" w:ascii="黑体" w:hAnsi="Times New Roman" w:eastAsia="黑体" w:cs="Times New Roman"/>
                <w:sz w:val="21"/>
                <w:vertAlign w:val="baseline"/>
                <w:lang w:val="en-US" w:eastAsia="zh-CN" w:bidi="ar-SA"/>
              </w:rPr>
            </w:pPr>
          </w:p>
          <w:p w14:paraId="27A7CE82">
            <w:pPr>
              <w:pStyle w:val="57"/>
              <w:rPr>
                <w:rFonts w:hint="eastAsia" w:ascii="黑体" w:hAnsi="Times New Roman" w:eastAsia="黑体" w:cs="Times New Roman"/>
                <w:sz w:val="21"/>
                <w:vertAlign w:val="baseline"/>
                <w:lang w:val="en-US" w:eastAsia="zh-CN" w:bidi="ar-SA"/>
              </w:rPr>
            </w:pPr>
          </w:p>
          <w:p w14:paraId="6E87681E">
            <w:pPr>
              <w:pStyle w:val="57"/>
              <w:rPr>
                <w:rFonts w:hint="eastAsia" w:ascii="黑体" w:hAnsi="Times New Roman" w:eastAsia="黑体" w:cs="Times New Roman"/>
                <w:sz w:val="21"/>
                <w:vertAlign w:val="baseline"/>
                <w:lang w:val="en-US" w:eastAsia="zh-CN" w:bidi="ar-SA"/>
              </w:rPr>
            </w:pPr>
          </w:p>
          <w:p w14:paraId="784FD218">
            <w:pPr>
              <w:pStyle w:val="57"/>
              <w:rPr>
                <w:rFonts w:hint="eastAsia" w:ascii="黑体" w:hAnsi="Times New Roman" w:eastAsia="黑体" w:cs="Times New Roman"/>
                <w:sz w:val="21"/>
                <w:vertAlign w:val="baseline"/>
                <w:lang w:val="en-US" w:eastAsia="zh-CN" w:bidi="ar-SA"/>
              </w:rPr>
            </w:pPr>
          </w:p>
          <w:p w14:paraId="4DBF8BB9">
            <w:pPr>
              <w:pStyle w:val="57"/>
              <w:numPr>
                <w:ilvl w:val="0"/>
                <w:numId w:val="34"/>
              </w:numPr>
              <w:rPr>
                <w:rFonts w:hint="eastAsia" w:ascii="黑体" w:eastAsia="黑体" w:cs="Times New Roman"/>
                <w:sz w:val="21"/>
                <w:vertAlign w:val="baseline"/>
                <w:lang w:val="en-US" w:eastAsia="zh-CN" w:bidi="ar-SA"/>
              </w:rPr>
            </w:pPr>
            <w:r>
              <w:rPr>
                <w:rFonts w:hint="eastAsia" w:ascii="黑体" w:eastAsia="黑体" w:cs="Times New Roman"/>
                <w:sz w:val="21"/>
                <w:vertAlign w:val="baseline"/>
                <w:lang w:val="en-US" w:eastAsia="zh-CN" w:bidi="ar-SA"/>
              </w:rPr>
              <w:t>存在问题</w:t>
            </w:r>
          </w:p>
          <w:p w14:paraId="246F8A1A">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783E50FC">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73DA83EF">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66585C11">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000ABBCD">
            <w:pPr>
              <w:pStyle w:val="57"/>
              <w:numPr>
                <w:ilvl w:val="0"/>
                <w:numId w:val="34"/>
              </w:numPr>
              <w:autoSpaceDE w:val="0"/>
              <w:autoSpaceDN w:val="0"/>
              <w:ind w:left="0" w:leftChars="0" w:firstLine="0" w:firstLineChars="0"/>
              <w:jc w:val="both"/>
              <w:rPr>
                <w:rFonts w:hint="eastAsia" w:ascii="黑体" w:eastAsia="黑体" w:cs="Times New Roman"/>
                <w:sz w:val="21"/>
                <w:vertAlign w:val="baseline"/>
                <w:lang w:val="en-US" w:eastAsia="zh-CN" w:bidi="ar-SA"/>
              </w:rPr>
            </w:pPr>
            <w:r>
              <w:rPr>
                <w:rFonts w:hint="eastAsia" w:ascii="黑体" w:eastAsia="黑体" w:cs="Times New Roman"/>
                <w:sz w:val="21"/>
                <w:vertAlign w:val="baseline"/>
                <w:lang w:val="en-US" w:eastAsia="zh-CN" w:bidi="ar-SA"/>
              </w:rPr>
              <w:t>统计分析</w:t>
            </w:r>
          </w:p>
          <w:p w14:paraId="1B734C16">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1A0CFFFF">
            <w:pPr>
              <w:pStyle w:val="57"/>
              <w:numPr>
                <w:ilvl w:val="0"/>
                <w:numId w:val="0"/>
              </w:numPr>
              <w:autoSpaceDE w:val="0"/>
              <w:autoSpaceDN w:val="0"/>
              <w:jc w:val="both"/>
              <w:rPr>
                <w:rFonts w:hint="default" w:ascii="黑体" w:eastAsia="黑体" w:cs="Times New Roman"/>
                <w:sz w:val="21"/>
                <w:vertAlign w:val="baseline"/>
                <w:lang w:val="en-US" w:eastAsia="zh-CN" w:bidi="ar-SA"/>
              </w:rPr>
            </w:pPr>
          </w:p>
          <w:p w14:paraId="05196979">
            <w:pPr>
              <w:pStyle w:val="57"/>
              <w:numPr>
                <w:ilvl w:val="0"/>
                <w:numId w:val="0"/>
              </w:numPr>
              <w:autoSpaceDE w:val="0"/>
              <w:autoSpaceDN w:val="0"/>
              <w:jc w:val="both"/>
              <w:rPr>
                <w:rFonts w:hint="eastAsia" w:ascii="黑体" w:eastAsia="黑体" w:cs="Times New Roman"/>
                <w:sz w:val="21"/>
                <w:vertAlign w:val="baseline"/>
                <w:lang w:val="en-US" w:eastAsia="zh-CN" w:bidi="ar-SA"/>
              </w:rPr>
            </w:pPr>
          </w:p>
          <w:p w14:paraId="5CF768F9">
            <w:pPr>
              <w:pStyle w:val="57"/>
              <w:numPr>
                <w:ilvl w:val="0"/>
                <w:numId w:val="0"/>
              </w:numPr>
              <w:autoSpaceDE w:val="0"/>
              <w:autoSpaceDN w:val="0"/>
              <w:jc w:val="both"/>
              <w:rPr>
                <w:rFonts w:hint="eastAsia" w:ascii="黑体" w:eastAsia="黑体" w:cs="Times New Roman"/>
                <w:sz w:val="21"/>
                <w:vertAlign w:val="baseline"/>
                <w:lang w:val="en-US" w:eastAsia="zh-CN" w:bidi="ar-SA"/>
              </w:rPr>
            </w:pPr>
          </w:p>
          <w:p w14:paraId="5C7BDB4F">
            <w:pPr>
              <w:pStyle w:val="57"/>
              <w:numPr>
                <w:ilvl w:val="0"/>
                <w:numId w:val="0"/>
              </w:numPr>
              <w:autoSpaceDE w:val="0"/>
              <w:autoSpaceDN w:val="0"/>
              <w:jc w:val="both"/>
              <w:rPr>
                <w:rFonts w:hint="default" w:ascii="黑体" w:eastAsia="黑体" w:cs="Times New Roman"/>
                <w:sz w:val="21"/>
                <w:vertAlign w:val="baseline"/>
                <w:lang w:val="en-US" w:eastAsia="zh-CN" w:bidi="ar-SA"/>
              </w:rPr>
            </w:pPr>
            <w:r>
              <w:rPr>
                <w:rFonts w:hint="eastAsia" w:ascii="黑体" w:eastAsia="黑体" w:cs="Times New Roman"/>
                <w:sz w:val="21"/>
                <w:vertAlign w:val="baseline"/>
                <w:lang w:val="en-US" w:eastAsia="zh-CN" w:bidi="ar-SA"/>
              </w:rPr>
              <w:t>五、建议</w:t>
            </w:r>
          </w:p>
          <w:p w14:paraId="1B81C2ED">
            <w:pPr>
              <w:pStyle w:val="57"/>
              <w:rPr>
                <w:rFonts w:hint="eastAsia" w:ascii="黑体" w:hAnsi="Times New Roman" w:eastAsia="黑体" w:cs="Times New Roman"/>
                <w:sz w:val="21"/>
                <w:vertAlign w:val="baseline"/>
                <w:lang w:val="en-US" w:eastAsia="zh-CN" w:bidi="ar-SA"/>
              </w:rPr>
            </w:pPr>
          </w:p>
          <w:p w14:paraId="61907AEA">
            <w:pPr>
              <w:pStyle w:val="57"/>
              <w:rPr>
                <w:rFonts w:hint="eastAsia" w:ascii="黑体" w:hAnsi="Times New Roman" w:eastAsia="黑体" w:cs="Times New Roman"/>
                <w:sz w:val="21"/>
                <w:vertAlign w:val="baseline"/>
                <w:lang w:val="en-US" w:eastAsia="zh-CN" w:bidi="ar-SA"/>
              </w:rPr>
            </w:pPr>
          </w:p>
          <w:p w14:paraId="0DD47BC7">
            <w:pPr>
              <w:pStyle w:val="57"/>
              <w:rPr>
                <w:rFonts w:hint="eastAsia" w:ascii="黑体" w:hAnsi="Times New Roman" w:eastAsia="黑体" w:cs="Times New Roman"/>
                <w:sz w:val="21"/>
                <w:vertAlign w:val="baseline"/>
                <w:lang w:val="en-US" w:eastAsia="zh-CN" w:bidi="ar-SA"/>
              </w:rPr>
            </w:pPr>
          </w:p>
          <w:p w14:paraId="79CFCC39">
            <w:pPr>
              <w:pStyle w:val="57"/>
              <w:rPr>
                <w:rFonts w:hint="eastAsia" w:ascii="黑体" w:hAnsi="Times New Roman" w:eastAsia="黑体" w:cs="Times New Roman"/>
                <w:sz w:val="21"/>
                <w:vertAlign w:val="baseline"/>
                <w:lang w:val="en-US" w:eastAsia="zh-CN" w:bidi="ar-SA"/>
              </w:rPr>
            </w:pPr>
          </w:p>
          <w:p w14:paraId="306CF10A">
            <w:pPr>
              <w:pStyle w:val="57"/>
              <w:rPr>
                <w:rFonts w:hint="eastAsia" w:ascii="黑体" w:hAnsi="Times New Roman" w:eastAsia="黑体" w:cs="Times New Roman"/>
                <w:sz w:val="21"/>
                <w:vertAlign w:val="baseline"/>
                <w:lang w:val="en-US" w:eastAsia="zh-CN" w:bidi="ar-SA"/>
              </w:rPr>
            </w:pPr>
          </w:p>
          <w:p w14:paraId="33D7305D">
            <w:pPr>
              <w:pStyle w:val="57"/>
              <w:rPr>
                <w:rFonts w:hint="eastAsia" w:ascii="黑体" w:hAnsi="Times New Roman" w:eastAsia="黑体" w:cs="Times New Roman"/>
                <w:sz w:val="21"/>
                <w:vertAlign w:val="baseline"/>
                <w:lang w:val="en-US" w:eastAsia="zh-CN" w:bidi="ar-SA"/>
              </w:rPr>
            </w:pPr>
          </w:p>
        </w:tc>
      </w:tr>
    </w:tbl>
    <w:p w14:paraId="0A39E9C5">
      <w:pPr>
        <w:pStyle w:val="57"/>
        <w:ind w:firstLine="2100" w:firstLineChars="1000"/>
        <w:rPr>
          <w:rFonts w:hint="eastAsia" w:ascii="黑体" w:hAnsi="Times New Roman" w:eastAsia="黑体" w:cs="Times New Roman"/>
          <w:sz w:val="21"/>
          <w:lang w:val="en-US" w:eastAsia="zh-CN" w:bidi="ar-SA"/>
        </w:rPr>
      </w:pPr>
    </w:p>
    <w:p w14:paraId="488242CE">
      <w:pPr>
        <w:pStyle w:val="57"/>
      </w:pPr>
    </w:p>
    <w:p w14:paraId="085702D0">
      <w:pPr>
        <w:pStyle w:val="57"/>
      </w:pPr>
    </w:p>
    <w:p w14:paraId="20C5BE67">
      <w:pPr>
        <w:pStyle w:val="57"/>
      </w:pPr>
    </w:p>
    <w:p w14:paraId="28B74B7D">
      <w:pPr>
        <w:pStyle w:val="57"/>
      </w:pPr>
    </w:p>
    <w:p w14:paraId="7ACA216D">
      <w:pPr>
        <w:pStyle w:val="57"/>
      </w:pPr>
    </w:p>
    <w:p w14:paraId="7F6503B0">
      <w:pPr>
        <w:pStyle w:val="57"/>
      </w:pPr>
    </w:p>
    <w:p w14:paraId="23299782">
      <w:pPr>
        <w:pStyle w:val="57"/>
      </w:pPr>
    </w:p>
    <w:p w14:paraId="57EE515E">
      <w:pPr>
        <w:pStyle w:val="57"/>
      </w:pPr>
    </w:p>
    <w:p w14:paraId="0A34CCC2">
      <w:pPr>
        <w:pStyle w:val="57"/>
      </w:pPr>
    </w:p>
    <w:p w14:paraId="480F44BE">
      <w:pPr>
        <w:pStyle w:val="57"/>
      </w:pPr>
    </w:p>
    <w:p w14:paraId="0D3FFEE9">
      <w:pPr>
        <w:pStyle w:val="57"/>
      </w:pPr>
    </w:p>
    <w:p w14:paraId="43C82F01">
      <w:pPr>
        <w:pStyle w:val="57"/>
      </w:pPr>
    </w:p>
    <w:p w14:paraId="11CCD5B3">
      <w:pPr>
        <w:pStyle w:val="57"/>
      </w:pPr>
    </w:p>
    <w:p w14:paraId="78CA1BB1">
      <w:pPr>
        <w:pStyle w:val="57"/>
      </w:pPr>
    </w:p>
    <w:p w14:paraId="2834DDC5">
      <w:pPr>
        <w:pStyle w:val="57"/>
      </w:pPr>
    </w:p>
    <w:p w14:paraId="034DB42E">
      <w:pPr>
        <w:pStyle w:val="57"/>
      </w:pPr>
    </w:p>
    <w:p w14:paraId="6D0BC9E3">
      <w:pPr>
        <w:pStyle w:val="57"/>
      </w:pPr>
    </w:p>
    <w:p w14:paraId="551A6677">
      <w:pPr>
        <w:pStyle w:val="57"/>
      </w:pPr>
    </w:p>
    <w:p w14:paraId="48008667">
      <w:pPr>
        <w:pStyle w:val="57"/>
      </w:pPr>
    </w:p>
    <w:p w14:paraId="163A7ECE">
      <w:pPr>
        <w:pStyle w:val="57"/>
      </w:pPr>
    </w:p>
    <w:p w14:paraId="4877888C">
      <w:pPr>
        <w:pStyle w:val="57"/>
      </w:pPr>
    </w:p>
    <w:p w14:paraId="763D3F55">
      <w:pPr>
        <w:pStyle w:val="57"/>
      </w:pPr>
    </w:p>
    <w:p w14:paraId="67FF5114">
      <w:pPr>
        <w:pStyle w:val="57"/>
      </w:pPr>
    </w:p>
    <w:p w14:paraId="05476ACA">
      <w:pPr>
        <w:pStyle w:val="57"/>
      </w:pPr>
    </w:p>
    <w:p w14:paraId="07047C16">
      <w:pPr>
        <w:pStyle w:val="57"/>
      </w:pPr>
    </w:p>
    <w:p w14:paraId="500112AD">
      <w:pPr>
        <w:pStyle w:val="57"/>
      </w:pPr>
    </w:p>
    <w:p w14:paraId="5553DA91">
      <w:pPr>
        <w:pStyle w:val="57"/>
      </w:pPr>
    </w:p>
    <w:p w14:paraId="03248591"/>
    <w:p w14:paraId="31E82277"/>
    <w:p w14:paraId="1530EDCD">
      <w:pPr>
        <w:pStyle w:val="64"/>
        <w:spacing w:after="156"/>
      </w:pPr>
      <w:r>
        <w:rPr>
          <w:rFonts w:hint="eastAsia"/>
          <w:spacing w:val="105"/>
        </w:rPr>
        <w:t>参考文</w:t>
      </w:r>
      <w:r>
        <w:rPr>
          <w:rFonts w:hint="eastAsia"/>
        </w:rPr>
        <w:t>献</w:t>
      </w:r>
      <w:bookmarkEnd w:id="63"/>
      <w:bookmarkEnd w:id="64"/>
    </w:p>
    <w:p w14:paraId="5BB36544">
      <w:pPr>
        <w:pStyle w:val="57"/>
      </w:pPr>
    </w:p>
    <w:p w14:paraId="43FC4697">
      <w:pPr>
        <w:pStyle w:val="57"/>
      </w:pPr>
    </w:p>
    <w:p w14:paraId="694F6E37">
      <w:pPr>
        <w:pStyle w:val="57"/>
      </w:pPr>
      <w:r>
        <w:t xml:space="preserve">1  </w:t>
      </w:r>
      <w:r>
        <w:rPr>
          <w:rFonts w:hint="eastAsia"/>
        </w:rPr>
        <w:t>《中华人民共和国特种设备安全法》</w:t>
      </w:r>
    </w:p>
    <w:p w14:paraId="71370CF3">
      <w:pPr>
        <w:pStyle w:val="57"/>
      </w:pPr>
      <w:r>
        <w:rPr>
          <w:rFonts w:hint="eastAsia"/>
        </w:rPr>
        <w:t>2 《特种设备安全监察条例》</w:t>
      </w:r>
    </w:p>
    <w:p w14:paraId="737AF277">
      <w:pPr>
        <w:pStyle w:val="57"/>
        <w:rPr>
          <w:rFonts w:hint="default" w:eastAsia="宋体"/>
          <w:lang w:val="en-US" w:eastAsia="zh-CN"/>
        </w:rPr>
      </w:pPr>
      <w:r>
        <w:rPr>
          <w:rFonts w:hint="eastAsia"/>
        </w:rPr>
        <w:t xml:space="preserve">3 </w:t>
      </w:r>
      <w:r>
        <w:rPr>
          <w:rFonts w:hint="eastAsia"/>
          <w:lang w:val="en-US" w:eastAsia="zh-CN"/>
        </w:rPr>
        <w:t xml:space="preserve"> 《检验检测监督管理办法》（市场监管总局第39号令）</w:t>
      </w:r>
    </w:p>
    <w:p w14:paraId="6B5FC69C">
      <w:pPr>
        <w:pStyle w:val="57"/>
      </w:pPr>
      <w:r>
        <w:rPr>
          <w:rFonts w:hint="eastAsia"/>
        </w:rPr>
        <w:t>4 《安徽省电梯监督检查管理办法》</w:t>
      </w:r>
    </w:p>
    <w:p w14:paraId="24DA005A">
      <w:pPr>
        <w:pStyle w:val="57"/>
      </w:pPr>
      <w:r>
        <w:rPr>
          <w:rFonts w:hint="eastAsia"/>
        </w:rPr>
        <w:t>5 《国务院办公厅关于加强电梯质量安全工作的意见》（国办发〔2018〕8号）</w:t>
      </w:r>
    </w:p>
    <w:p w14:paraId="53BF36C2">
      <w:pPr>
        <w:pStyle w:val="57"/>
      </w:pPr>
      <w:r>
        <w:rPr>
          <w:rFonts w:hint="eastAsia"/>
        </w:rPr>
        <w:t>6 《检验检测机构资质认定评审准则》（市场监管总局2023年第21号公告）</w:t>
      </w:r>
    </w:p>
    <w:p w14:paraId="66B1E983">
      <w:pPr>
        <w:pStyle w:val="57"/>
        <w:rPr>
          <w:rFonts w:hint="eastAsia"/>
        </w:rPr>
      </w:pPr>
      <w:r>
        <w:rPr>
          <w:rFonts w:hint="eastAsia"/>
        </w:rPr>
        <w:t xml:space="preserve">7  </w:t>
      </w:r>
      <w:bookmarkStart w:id="66" w:name="OLE_LINK9"/>
      <w:r>
        <w:rPr>
          <w:rFonts w:hint="eastAsia"/>
        </w:rPr>
        <w:t>GB/T 36308  检验检测机构诚信评价规范</w:t>
      </w:r>
      <w:bookmarkEnd w:id="66"/>
    </w:p>
    <w:p w14:paraId="1468614F">
      <w:pPr>
        <w:pStyle w:val="57"/>
        <w:rPr>
          <w:rFonts w:hint="eastAsia"/>
        </w:rPr>
      </w:pPr>
      <w:r>
        <w:rPr>
          <w:rFonts w:hint="eastAsia"/>
          <w:lang w:val="en-US" w:eastAsia="zh-CN"/>
        </w:rPr>
        <w:t xml:space="preserve">8  </w:t>
      </w:r>
      <w:r>
        <w:rPr>
          <w:rFonts w:hint="eastAsia"/>
        </w:rPr>
        <w:t>DB32/T 4186-2022 企业信用管理规范</w:t>
      </w:r>
    </w:p>
    <w:bookmarkEnd w:id="65"/>
    <w:p w14:paraId="239C49D0">
      <w:pPr>
        <w:pStyle w:val="57"/>
      </w:pPr>
      <w:bookmarkStart w:id="67" w:name="BookMark8"/>
      <w:r>
        <w:drawing>
          <wp:inline distT="0" distB="0" distL="0" distR="0">
            <wp:extent cx="1485900" cy="317500"/>
            <wp:effectExtent l="0" t="0" r="7620" b="254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p w14:paraId="2C8B25D9">
      <w:pPr>
        <w:pStyle w:val="57"/>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C580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A898F">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33DAF">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63A0B">
    <w:pPr>
      <w:pStyle w:val="53"/>
    </w:pPr>
    <w:r>
      <w:fldChar w:fldCharType="begin"/>
    </w:r>
    <w:r>
      <w:instrText xml:space="preserve">PAGE   \* MERGEFORMAT</w:instrText>
    </w:r>
    <w:r>
      <w:fldChar w:fldCharType="separate"/>
    </w:r>
    <w:r>
      <w:rPr>
        <w:lang w:val="zh-CN"/>
      </w:rPr>
      <w:t>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D76E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228E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D9F4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56C0A">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20474">
    <w:pPr>
      <w:pStyle w:val="19"/>
      <w:jc w:val="right"/>
      <w:rPr>
        <w:lang w:val="fr-FR"/>
      </w:rPr>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447A7"/>
    <w:multiLevelType w:val="singleLevel"/>
    <w:tmpl w:val="AF0447A7"/>
    <w:lvl w:ilvl="0" w:tentative="0">
      <w:start w:val="3"/>
      <w:numFmt w:val="chineseCounting"/>
      <w:suff w:val="nothing"/>
      <w:lvlText w:val="%1、"/>
      <w:lvlJc w:val="left"/>
      <w:rPr>
        <w:rFonts w:hint="eastAsia"/>
      </w:rPr>
    </w:lvl>
  </w:abstractNum>
  <w:abstractNum w:abstractNumId="1">
    <w:nsid w:val="E8F13B6B"/>
    <w:multiLevelType w:val="singleLevel"/>
    <w:tmpl w:val="E8F13B6B"/>
    <w:lvl w:ilvl="0" w:tentative="0">
      <w:start w:val="1"/>
      <w:numFmt w:val="lowerLetter"/>
      <w:suff w:val="space"/>
      <w:lvlText w:val="%1)"/>
      <w:lvlJc w:val="left"/>
    </w:lvl>
  </w:abstractNum>
  <w:abstractNum w:abstractNumId="2">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330F1D4"/>
    <w:multiLevelType w:val="singleLevel"/>
    <w:tmpl w:val="3330F1D4"/>
    <w:lvl w:ilvl="0" w:tentative="0">
      <w:start w:val="1"/>
      <w:numFmt w:val="lowerLetter"/>
      <w:suff w:val="space"/>
      <w:lvlText w:val="%1)"/>
      <w:lvlJc w:val="left"/>
    </w:lvl>
  </w:abstractNum>
  <w:abstractNum w:abstractNumId="15">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9">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0"/>
  </w:num>
  <w:num w:numId="8">
    <w:abstractNumId w:val="5"/>
  </w:num>
  <w:num w:numId="9">
    <w:abstractNumId w:val="11"/>
  </w:num>
  <w:num w:numId="10">
    <w:abstractNumId w:val="19"/>
  </w:num>
  <w:num w:numId="11">
    <w:abstractNumId w:val="28"/>
  </w:num>
  <w:num w:numId="12">
    <w:abstractNumId w:val="13"/>
  </w:num>
  <w:num w:numId="13">
    <w:abstractNumId w:val="15"/>
  </w:num>
  <w:num w:numId="14">
    <w:abstractNumId w:val="9"/>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2"/>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1"/>
  </w:num>
  <w:num w:numId="33">
    <w:abstractNumId w:val="14"/>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k+jtIr+zecE8mBhFByumBb/6gR0CSeEN50DFpZi+PHf1Z6lRGNzY2oX+uLQoQZHAf8sKIy8Nz4lN&#10;Ld2MXAtycQ=====" w:salt="xpT++ESRysXCF7SgGO/3x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3NGRiOTY1YzIyMzFjNjEyZmU2NjI1ODY0MmQ4NDAifQ=="/>
  </w:docVars>
  <w:rsids>
    <w:rsidRoot w:val="00882898"/>
    <w:rsid w:val="0000040A"/>
    <w:rsid w:val="00000A94"/>
    <w:rsid w:val="00001972"/>
    <w:rsid w:val="00001D9A"/>
    <w:rsid w:val="000047F2"/>
    <w:rsid w:val="00007B3A"/>
    <w:rsid w:val="000107E0"/>
    <w:rsid w:val="00011FDE"/>
    <w:rsid w:val="00012FFD"/>
    <w:rsid w:val="00014162"/>
    <w:rsid w:val="000142B8"/>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6B3"/>
    <w:rsid w:val="00043282"/>
    <w:rsid w:val="00044286"/>
    <w:rsid w:val="00047F28"/>
    <w:rsid w:val="000503AA"/>
    <w:rsid w:val="000506A1"/>
    <w:rsid w:val="000515DD"/>
    <w:rsid w:val="0005265A"/>
    <w:rsid w:val="00053608"/>
    <w:rsid w:val="000539DD"/>
    <w:rsid w:val="00053BD3"/>
    <w:rsid w:val="000556ED"/>
    <w:rsid w:val="00055C05"/>
    <w:rsid w:val="00055FE2"/>
    <w:rsid w:val="0005616F"/>
    <w:rsid w:val="00060C2E"/>
    <w:rsid w:val="00061033"/>
    <w:rsid w:val="000619E9"/>
    <w:rsid w:val="000622D4"/>
    <w:rsid w:val="0006357D"/>
    <w:rsid w:val="00067F1E"/>
    <w:rsid w:val="00071CC0"/>
    <w:rsid w:val="00072BC8"/>
    <w:rsid w:val="00073C8C"/>
    <w:rsid w:val="00074155"/>
    <w:rsid w:val="00077B64"/>
    <w:rsid w:val="00080A1C"/>
    <w:rsid w:val="00082317"/>
    <w:rsid w:val="00083D2C"/>
    <w:rsid w:val="00086AA1"/>
    <w:rsid w:val="00087A77"/>
    <w:rsid w:val="00090CA6"/>
    <w:rsid w:val="00092B8A"/>
    <w:rsid w:val="00092FB0"/>
    <w:rsid w:val="000934C5"/>
    <w:rsid w:val="00093D25"/>
    <w:rsid w:val="00093DAB"/>
    <w:rsid w:val="00094D73"/>
    <w:rsid w:val="00094F04"/>
    <w:rsid w:val="00096D63"/>
    <w:rsid w:val="000A0B60"/>
    <w:rsid w:val="000A0EB8"/>
    <w:rsid w:val="000A19FC"/>
    <w:rsid w:val="000A296B"/>
    <w:rsid w:val="000A5B36"/>
    <w:rsid w:val="000A7311"/>
    <w:rsid w:val="000B060F"/>
    <w:rsid w:val="000B1592"/>
    <w:rsid w:val="000B1FF2"/>
    <w:rsid w:val="000B3CDA"/>
    <w:rsid w:val="000B6A0B"/>
    <w:rsid w:val="000C0F6C"/>
    <w:rsid w:val="000C11DB"/>
    <w:rsid w:val="000C1492"/>
    <w:rsid w:val="000C2FBD"/>
    <w:rsid w:val="000C4B41"/>
    <w:rsid w:val="000C57D6"/>
    <w:rsid w:val="000C6118"/>
    <w:rsid w:val="000C6362"/>
    <w:rsid w:val="000C7666"/>
    <w:rsid w:val="000D0A9C"/>
    <w:rsid w:val="000D1795"/>
    <w:rsid w:val="000D329A"/>
    <w:rsid w:val="000D4B9C"/>
    <w:rsid w:val="000D4EB6"/>
    <w:rsid w:val="000D753B"/>
    <w:rsid w:val="000E14B0"/>
    <w:rsid w:val="000E2C59"/>
    <w:rsid w:val="000E4C9E"/>
    <w:rsid w:val="000E68FB"/>
    <w:rsid w:val="000E6FD7"/>
    <w:rsid w:val="000F06E1"/>
    <w:rsid w:val="000F0E3C"/>
    <w:rsid w:val="000F19D5"/>
    <w:rsid w:val="000F4AEA"/>
    <w:rsid w:val="000F633F"/>
    <w:rsid w:val="000F67E9"/>
    <w:rsid w:val="00104926"/>
    <w:rsid w:val="00106B01"/>
    <w:rsid w:val="00113B1E"/>
    <w:rsid w:val="0011711C"/>
    <w:rsid w:val="0012059C"/>
    <w:rsid w:val="00124E4F"/>
    <w:rsid w:val="001260B7"/>
    <w:rsid w:val="001265CB"/>
    <w:rsid w:val="001321C6"/>
    <w:rsid w:val="001325C4"/>
    <w:rsid w:val="00132D98"/>
    <w:rsid w:val="00133010"/>
    <w:rsid w:val="001338EE"/>
    <w:rsid w:val="00133AAE"/>
    <w:rsid w:val="00133D4E"/>
    <w:rsid w:val="00135323"/>
    <w:rsid w:val="001356C4"/>
    <w:rsid w:val="00135D56"/>
    <w:rsid w:val="00141114"/>
    <w:rsid w:val="00142969"/>
    <w:rsid w:val="00143E78"/>
    <w:rsid w:val="001446C2"/>
    <w:rsid w:val="001457E7"/>
    <w:rsid w:val="00145D9D"/>
    <w:rsid w:val="00146388"/>
    <w:rsid w:val="00151906"/>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6F2D"/>
    <w:rsid w:val="0016770A"/>
    <w:rsid w:val="00170804"/>
    <w:rsid w:val="001708E9"/>
    <w:rsid w:val="0017340B"/>
    <w:rsid w:val="00173FB1"/>
    <w:rsid w:val="00174B7F"/>
    <w:rsid w:val="00174C8E"/>
    <w:rsid w:val="00176DFD"/>
    <w:rsid w:val="001852C9"/>
    <w:rsid w:val="00190087"/>
    <w:rsid w:val="001913C4"/>
    <w:rsid w:val="0019348F"/>
    <w:rsid w:val="00193A07"/>
    <w:rsid w:val="00194C95"/>
    <w:rsid w:val="00195C34"/>
    <w:rsid w:val="00196EF5"/>
    <w:rsid w:val="001A06A0"/>
    <w:rsid w:val="001A1A53"/>
    <w:rsid w:val="001A2203"/>
    <w:rsid w:val="001A234A"/>
    <w:rsid w:val="001A259F"/>
    <w:rsid w:val="001A4CF3"/>
    <w:rsid w:val="001B06E8"/>
    <w:rsid w:val="001B685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20B"/>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273"/>
    <w:rsid w:val="00207707"/>
    <w:rsid w:val="00210B15"/>
    <w:rsid w:val="00213F6C"/>
    <w:rsid w:val="002142EA"/>
    <w:rsid w:val="002204BB"/>
    <w:rsid w:val="0022070B"/>
    <w:rsid w:val="00221B79"/>
    <w:rsid w:val="00221C6B"/>
    <w:rsid w:val="002253A1"/>
    <w:rsid w:val="00225CF8"/>
    <w:rsid w:val="0022794E"/>
    <w:rsid w:val="00230711"/>
    <w:rsid w:val="00233CAC"/>
    <w:rsid w:val="00233D64"/>
    <w:rsid w:val="0023415C"/>
    <w:rsid w:val="0023482A"/>
    <w:rsid w:val="002359CB"/>
    <w:rsid w:val="00243540"/>
    <w:rsid w:val="0024497B"/>
    <w:rsid w:val="0024515B"/>
    <w:rsid w:val="00246021"/>
    <w:rsid w:val="0024666E"/>
    <w:rsid w:val="00247F52"/>
    <w:rsid w:val="00250B25"/>
    <w:rsid w:val="00250BBE"/>
    <w:rsid w:val="002515C2"/>
    <w:rsid w:val="00251845"/>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974"/>
    <w:rsid w:val="00285170"/>
    <w:rsid w:val="00285361"/>
    <w:rsid w:val="0028768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890"/>
    <w:rsid w:val="002B7F51"/>
    <w:rsid w:val="002C09E7"/>
    <w:rsid w:val="002C1E06"/>
    <w:rsid w:val="002C1E1C"/>
    <w:rsid w:val="002C3F07"/>
    <w:rsid w:val="002C5278"/>
    <w:rsid w:val="002C7EBB"/>
    <w:rsid w:val="002D06C1"/>
    <w:rsid w:val="002D1251"/>
    <w:rsid w:val="002D42B5"/>
    <w:rsid w:val="002D4F1A"/>
    <w:rsid w:val="002D6EC6"/>
    <w:rsid w:val="002D79AC"/>
    <w:rsid w:val="002E039D"/>
    <w:rsid w:val="002E4D5A"/>
    <w:rsid w:val="002E6326"/>
    <w:rsid w:val="002F1A8E"/>
    <w:rsid w:val="002F30E0"/>
    <w:rsid w:val="002F35E4"/>
    <w:rsid w:val="002F3730"/>
    <w:rsid w:val="002F38E1"/>
    <w:rsid w:val="002F7AF6"/>
    <w:rsid w:val="00300E63"/>
    <w:rsid w:val="003014F0"/>
    <w:rsid w:val="00302F5F"/>
    <w:rsid w:val="0030441D"/>
    <w:rsid w:val="00306063"/>
    <w:rsid w:val="0031290C"/>
    <w:rsid w:val="00313B85"/>
    <w:rsid w:val="00317988"/>
    <w:rsid w:val="003221B4"/>
    <w:rsid w:val="0032258D"/>
    <w:rsid w:val="00322E62"/>
    <w:rsid w:val="00324A64"/>
    <w:rsid w:val="00324D13"/>
    <w:rsid w:val="00324D2A"/>
    <w:rsid w:val="00324EDD"/>
    <w:rsid w:val="00324FAF"/>
    <w:rsid w:val="003257C1"/>
    <w:rsid w:val="00330C55"/>
    <w:rsid w:val="00331EA7"/>
    <w:rsid w:val="003329E0"/>
    <w:rsid w:val="00332C2A"/>
    <w:rsid w:val="003331E4"/>
    <w:rsid w:val="00334EBD"/>
    <w:rsid w:val="003354B2"/>
    <w:rsid w:val="00336C64"/>
    <w:rsid w:val="00337162"/>
    <w:rsid w:val="00341006"/>
    <w:rsid w:val="003415DC"/>
    <w:rsid w:val="0034194F"/>
    <w:rsid w:val="00344605"/>
    <w:rsid w:val="003474AA"/>
    <w:rsid w:val="00350D1D"/>
    <w:rsid w:val="00351550"/>
    <w:rsid w:val="00352C83"/>
    <w:rsid w:val="0036066E"/>
    <w:rsid w:val="003615D2"/>
    <w:rsid w:val="0036429C"/>
    <w:rsid w:val="00364A53"/>
    <w:rsid w:val="003654CB"/>
    <w:rsid w:val="00365AA9"/>
    <w:rsid w:val="00365F86"/>
    <w:rsid w:val="00365F87"/>
    <w:rsid w:val="0036637D"/>
    <w:rsid w:val="00366E89"/>
    <w:rsid w:val="00367C96"/>
    <w:rsid w:val="003705F4"/>
    <w:rsid w:val="00370D58"/>
    <w:rsid w:val="00371316"/>
    <w:rsid w:val="00376713"/>
    <w:rsid w:val="00377169"/>
    <w:rsid w:val="00381815"/>
    <w:rsid w:val="003819AF"/>
    <w:rsid w:val="003820E9"/>
    <w:rsid w:val="00382DE7"/>
    <w:rsid w:val="00384FFC"/>
    <w:rsid w:val="003872FC"/>
    <w:rsid w:val="00387ADC"/>
    <w:rsid w:val="00390020"/>
    <w:rsid w:val="003903D6"/>
    <w:rsid w:val="003903E9"/>
    <w:rsid w:val="00390EE6"/>
    <w:rsid w:val="0039118F"/>
    <w:rsid w:val="00392AD7"/>
    <w:rsid w:val="003938D9"/>
    <w:rsid w:val="00394376"/>
    <w:rsid w:val="003943FF"/>
    <w:rsid w:val="00395700"/>
    <w:rsid w:val="003974EB"/>
    <w:rsid w:val="00397CC5"/>
    <w:rsid w:val="003A1582"/>
    <w:rsid w:val="003A1988"/>
    <w:rsid w:val="003A4077"/>
    <w:rsid w:val="003B0127"/>
    <w:rsid w:val="003B09AD"/>
    <w:rsid w:val="003B1C41"/>
    <w:rsid w:val="003B1F18"/>
    <w:rsid w:val="003B5BF0"/>
    <w:rsid w:val="003B60BF"/>
    <w:rsid w:val="003B6BE3"/>
    <w:rsid w:val="003C010C"/>
    <w:rsid w:val="003C0A6C"/>
    <w:rsid w:val="003C14F8"/>
    <w:rsid w:val="003C5A43"/>
    <w:rsid w:val="003D0519"/>
    <w:rsid w:val="003D0FF6"/>
    <w:rsid w:val="003D12C1"/>
    <w:rsid w:val="003D262C"/>
    <w:rsid w:val="003D6D61"/>
    <w:rsid w:val="003D79C6"/>
    <w:rsid w:val="003E091D"/>
    <w:rsid w:val="003E1C53"/>
    <w:rsid w:val="003E2843"/>
    <w:rsid w:val="003E2A69"/>
    <w:rsid w:val="003E2D49"/>
    <w:rsid w:val="003E2FD4"/>
    <w:rsid w:val="003E380F"/>
    <w:rsid w:val="003E49F6"/>
    <w:rsid w:val="003E660F"/>
    <w:rsid w:val="003F0841"/>
    <w:rsid w:val="003F23D3"/>
    <w:rsid w:val="003F3F08"/>
    <w:rsid w:val="003F49F1"/>
    <w:rsid w:val="003F6272"/>
    <w:rsid w:val="003F7EBC"/>
    <w:rsid w:val="00400E72"/>
    <w:rsid w:val="00401400"/>
    <w:rsid w:val="00404869"/>
    <w:rsid w:val="00405884"/>
    <w:rsid w:val="00407D39"/>
    <w:rsid w:val="0041477A"/>
    <w:rsid w:val="004167A3"/>
    <w:rsid w:val="00420702"/>
    <w:rsid w:val="00421630"/>
    <w:rsid w:val="004241D5"/>
    <w:rsid w:val="00424616"/>
    <w:rsid w:val="00432DAA"/>
    <w:rsid w:val="00434305"/>
    <w:rsid w:val="00435DF7"/>
    <w:rsid w:val="004369E1"/>
    <w:rsid w:val="0044083F"/>
    <w:rsid w:val="00441AE7"/>
    <w:rsid w:val="00445574"/>
    <w:rsid w:val="00446525"/>
    <w:rsid w:val="004467FB"/>
    <w:rsid w:val="00452D6B"/>
    <w:rsid w:val="00454484"/>
    <w:rsid w:val="0045517B"/>
    <w:rsid w:val="00461631"/>
    <w:rsid w:val="00463B77"/>
    <w:rsid w:val="00463C7B"/>
    <w:rsid w:val="004644A6"/>
    <w:rsid w:val="004659BD"/>
    <w:rsid w:val="00470775"/>
    <w:rsid w:val="004746B1"/>
    <w:rsid w:val="0047583F"/>
    <w:rsid w:val="00475DE8"/>
    <w:rsid w:val="00481C44"/>
    <w:rsid w:val="00484936"/>
    <w:rsid w:val="00485C89"/>
    <w:rsid w:val="00486BE3"/>
    <w:rsid w:val="00486D80"/>
    <w:rsid w:val="004905E4"/>
    <w:rsid w:val="00490A89"/>
    <w:rsid w:val="00490AB4"/>
    <w:rsid w:val="00492F02"/>
    <w:rsid w:val="004939AE"/>
    <w:rsid w:val="004957F9"/>
    <w:rsid w:val="004A12DF"/>
    <w:rsid w:val="004A17E6"/>
    <w:rsid w:val="004A1BA8"/>
    <w:rsid w:val="004A4B57"/>
    <w:rsid w:val="004A4F27"/>
    <w:rsid w:val="004A63FA"/>
    <w:rsid w:val="004B0272"/>
    <w:rsid w:val="004B2701"/>
    <w:rsid w:val="004B2BE0"/>
    <w:rsid w:val="004B2E1B"/>
    <w:rsid w:val="004B3928"/>
    <w:rsid w:val="004B3AA8"/>
    <w:rsid w:val="004B3E93"/>
    <w:rsid w:val="004C1FBC"/>
    <w:rsid w:val="004C3A73"/>
    <w:rsid w:val="004C3F1D"/>
    <w:rsid w:val="004C458D"/>
    <w:rsid w:val="004C49ED"/>
    <w:rsid w:val="004C52AC"/>
    <w:rsid w:val="004C68D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E96"/>
    <w:rsid w:val="00510A7B"/>
    <w:rsid w:val="00512F6E"/>
    <w:rsid w:val="00513038"/>
    <w:rsid w:val="00514174"/>
    <w:rsid w:val="00516088"/>
    <w:rsid w:val="00516B0B"/>
    <w:rsid w:val="00516D70"/>
    <w:rsid w:val="00520368"/>
    <w:rsid w:val="005220EC"/>
    <w:rsid w:val="00523F95"/>
    <w:rsid w:val="00524D65"/>
    <w:rsid w:val="00525B16"/>
    <w:rsid w:val="00526633"/>
    <w:rsid w:val="005317C3"/>
    <w:rsid w:val="00531976"/>
    <w:rsid w:val="00533D04"/>
    <w:rsid w:val="0053401D"/>
    <w:rsid w:val="00534804"/>
    <w:rsid w:val="00534BDF"/>
    <w:rsid w:val="005354EA"/>
    <w:rsid w:val="0053585F"/>
    <w:rsid w:val="00535EC4"/>
    <w:rsid w:val="00535ED9"/>
    <w:rsid w:val="0053692B"/>
    <w:rsid w:val="00537DB2"/>
    <w:rsid w:val="00541853"/>
    <w:rsid w:val="00543BDA"/>
    <w:rsid w:val="005441CC"/>
    <w:rsid w:val="005479DA"/>
    <w:rsid w:val="00547BCC"/>
    <w:rsid w:val="0055013B"/>
    <w:rsid w:val="00551F6F"/>
    <w:rsid w:val="00555044"/>
    <w:rsid w:val="00555CFC"/>
    <w:rsid w:val="00561475"/>
    <w:rsid w:val="0056487B"/>
    <w:rsid w:val="00564FB9"/>
    <w:rsid w:val="00573D9E"/>
    <w:rsid w:val="005801E3"/>
    <w:rsid w:val="00581802"/>
    <w:rsid w:val="005836A8"/>
    <w:rsid w:val="0058409C"/>
    <w:rsid w:val="00584262"/>
    <w:rsid w:val="00584DC0"/>
    <w:rsid w:val="00586630"/>
    <w:rsid w:val="00587ADD"/>
    <w:rsid w:val="005911AC"/>
    <w:rsid w:val="00591D23"/>
    <w:rsid w:val="00591E27"/>
    <w:rsid w:val="00592A5C"/>
    <w:rsid w:val="00596160"/>
    <w:rsid w:val="005966E2"/>
    <w:rsid w:val="00597007"/>
    <w:rsid w:val="005A0966"/>
    <w:rsid w:val="005A11B7"/>
    <w:rsid w:val="005A260B"/>
    <w:rsid w:val="005A4A1B"/>
    <w:rsid w:val="005A7830"/>
    <w:rsid w:val="005A7FCE"/>
    <w:rsid w:val="005B0715"/>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9D8"/>
    <w:rsid w:val="005F0D9C"/>
    <w:rsid w:val="005F284E"/>
    <w:rsid w:val="005F2FB0"/>
    <w:rsid w:val="005F4712"/>
    <w:rsid w:val="006015CE"/>
    <w:rsid w:val="00604784"/>
    <w:rsid w:val="00606419"/>
    <w:rsid w:val="00607D29"/>
    <w:rsid w:val="006109BF"/>
    <w:rsid w:val="00612952"/>
    <w:rsid w:val="00614CC1"/>
    <w:rsid w:val="00615A9D"/>
    <w:rsid w:val="00617387"/>
    <w:rsid w:val="006205D6"/>
    <w:rsid w:val="0062456F"/>
    <w:rsid w:val="006252D8"/>
    <w:rsid w:val="006259BC"/>
    <w:rsid w:val="0062636B"/>
    <w:rsid w:val="00632182"/>
    <w:rsid w:val="00632AE0"/>
    <w:rsid w:val="00633C17"/>
    <w:rsid w:val="00634D9E"/>
    <w:rsid w:val="0063649D"/>
    <w:rsid w:val="00636E3E"/>
    <w:rsid w:val="006379F7"/>
    <w:rsid w:val="00637E4D"/>
    <w:rsid w:val="00640620"/>
    <w:rsid w:val="006419FE"/>
    <w:rsid w:val="00641A1F"/>
    <w:rsid w:val="00644AD5"/>
    <w:rsid w:val="00645904"/>
    <w:rsid w:val="00651ACB"/>
    <w:rsid w:val="00651C47"/>
    <w:rsid w:val="00652094"/>
    <w:rsid w:val="00652AB2"/>
    <w:rsid w:val="00653FED"/>
    <w:rsid w:val="00654ABB"/>
    <w:rsid w:val="00654EC0"/>
    <w:rsid w:val="0065525B"/>
    <w:rsid w:val="00655D4F"/>
    <w:rsid w:val="00656D29"/>
    <w:rsid w:val="006640E5"/>
    <w:rsid w:val="006646F1"/>
    <w:rsid w:val="00664929"/>
    <w:rsid w:val="00664F62"/>
    <w:rsid w:val="006655E1"/>
    <w:rsid w:val="006656CB"/>
    <w:rsid w:val="00671FB5"/>
    <w:rsid w:val="00672060"/>
    <w:rsid w:val="0067285A"/>
    <w:rsid w:val="00672BFD"/>
    <w:rsid w:val="00673BC4"/>
    <w:rsid w:val="006770F4"/>
    <w:rsid w:val="00677A84"/>
    <w:rsid w:val="0068026D"/>
    <w:rsid w:val="00680A27"/>
    <w:rsid w:val="006816A4"/>
    <w:rsid w:val="006819B8"/>
    <w:rsid w:val="00683BDA"/>
    <w:rsid w:val="006840A6"/>
    <w:rsid w:val="006850CD"/>
    <w:rsid w:val="00685AAB"/>
    <w:rsid w:val="00687D78"/>
    <w:rsid w:val="00695D22"/>
    <w:rsid w:val="006A07AA"/>
    <w:rsid w:val="006A25E5"/>
    <w:rsid w:val="006A2B46"/>
    <w:rsid w:val="006A336D"/>
    <w:rsid w:val="006A37B9"/>
    <w:rsid w:val="006A4225"/>
    <w:rsid w:val="006A6E9E"/>
    <w:rsid w:val="006B2672"/>
    <w:rsid w:val="006B54BF"/>
    <w:rsid w:val="006B5F44"/>
    <w:rsid w:val="006B5F90"/>
    <w:rsid w:val="006B62E4"/>
    <w:rsid w:val="006C1BBA"/>
    <w:rsid w:val="006C2079"/>
    <w:rsid w:val="006C5A62"/>
    <w:rsid w:val="006C5D68"/>
    <w:rsid w:val="006C6976"/>
    <w:rsid w:val="006C6DD0"/>
    <w:rsid w:val="006C713F"/>
    <w:rsid w:val="006D04EA"/>
    <w:rsid w:val="006D0AB7"/>
    <w:rsid w:val="006D16C4"/>
    <w:rsid w:val="006D3E96"/>
    <w:rsid w:val="006D4515"/>
    <w:rsid w:val="006D4BB1"/>
    <w:rsid w:val="006D4C3C"/>
    <w:rsid w:val="006D6593"/>
    <w:rsid w:val="006E23EA"/>
    <w:rsid w:val="006F03A8"/>
    <w:rsid w:val="006F2ACA"/>
    <w:rsid w:val="006F2ADC"/>
    <w:rsid w:val="006F2BFE"/>
    <w:rsid w:val="006F31E9"/>
    <w:rsid w:val="006F6284"/>
    <w:rsid w:val="007002C5"/>
    <w:rsid w:val="00704387"/>
    <w:rsid w:val="00705E5E"/>
    <w:rsid w:val="00707669"/>
    <w:rsid w:val="00711CBA"/>
    <w:rsid w:val="00711FB5"/>
    <w:rsid w:val="00712A01"/>
    <w:rsid w:val="00714F58"/>
    <w:rsid w:val="00722FBF"/>
    <w:rsid w:val="00722FC2"/>
    <w:rsid w:val="00724879"/>
    <w:rsid w:val="00724E1B"/>
    <w:rsid w:val="00725949"/>
    <w:rsid w:val="00727FA2"/>
    <w:rsid w:val="007322D9"/>
    <w:rsid w:val="00732BC0"/>
    <w:rsid w:val="007351F5"/>
    <w:rsid w:val="0073720F"/>
    <w:rsid w:val="00737796"/>
    <w:rsid w:val="0074094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297"/>
    <w:rsid w:val="00762533"/>
    <w:rsid w:val="0076319A"/>
    <w:rsid w:val="00763265"/>
    <w:rsid w:val="00765C43"/>
    <w:rsid w:val="00765EFB"/>
    <w:rsid w:val="007671CA"/>
    <w:rsid w:val="00767C61"/>
    <w:rsid w:val="0077008A"/>
    <w:rsid w:val="00773916"/>
    <w:rsid w:val="00773C1F"/>
    <w:rsid w:val="00774DA4"/>
    <w:rsid w:val="00775B23"/>
    <w:rsid w:val="00775D42"/>
    <w:rsid w:val="00776599"/>
    <w:rsid w:val="0078114B"/>
    <w:rsid w:val="00781DD2"/>
    <w:rsid w:val="0078265C"/>
    <w:rsid w:val="00783ECF"/>
    <w:rsid w:val="0078413A"/>
    <w:rsid w:val="007863EE"/>
    <w:rsid w:val="0079383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8FC"/>
    <w:rsid w:val="007C5309"/>
    <w:rsid w:val="007C6069"/>
    <w:rsid w:val="007C7173"/>
    <w:rsid w:val="007C73A1"/>
    <w:rsid w:val="007D06C4"/>
    <w:rsid w:val="007D0819"/>
    <w:rsid w:val="007D1352"/>
    <w:rsid w:val="007D2508"/>
    <w:rsid w:val="007D2687"/>
    <w:rsid w:val="007D3313"/>
    <w:rsid w:val="007D346A"/>
    <w:rsid w:val="007D403A"/>
    <w:rsid w:val="007D6518"/>
    <w:rsid w:val="007D76BD"/>
    <w:rsid w:val="007E0BF1"/>
    <w:rsid w:val="007F0ED8"/>
    <w:rsid w:val="007F0F63"/>
    <w:rsid w:val="007F34B6"/>
    <w:rsid w:val="007F75CE"/>
    <w:rsid w:val="008013A4"/>
    <w:rsid w:val="008027CE"/>
    <w:rsid w:val="00802F42"/>
    <w:rsid w:val="00804383"/>
    <w:rsid w:val="00804BB7"/>
    <w:rsid w:val="00804D41"/>
    <w:rsid w:val="0080608F"/>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35C"/>
    <w:rsid w:val="00830621"/>
    <w:rsid w:val="0083348C"/>
    <w:rsid w:val="00833EEB"/>
    <w:rsid w:val="008373D3"/>
    <w:rsid w:val="00840617"/>
    <w:rsid w:val="00840F84"/>
    <w:rsid w:val="00842A47"/>
    <w:rsid w:val="00843C13"/>
    <w:rsid w:val="008454F8"/>
    <w:rsid w:val="0085173A"/>
    <w:rsid w:val="00856316"/>
    <w:rsid w:val="008564F1"/>
    <w:rsid w:val="008603CE"/>
    <w:rsid w:val="008620FC"/>
    <w:rsid w:val="008627A5"/>
    <w:rsid w:val="00863E05"/>
    <w:rsid w:val="00865ACA"/>
    <w:rsid w:val="00865D28"/>
    <w:rsid w:val="00865F50"/>
    <w:rsid w:val="00865F85"/>
    <w:rsid w:val="00867C10"/>
    <w:rsid w:val="00867CF0"/>
    <w:rsid w:val="00870439"/>
    <w:rsid w:val="00870DA1"/>
    <w:rsid w:val="0088289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F3"/>
    <w:rsid w:val="008A3215"/>
    <w:rsid w:val="008A57E6"/>
    <w:rsid w:val="008A6F81"/>
    <w:rsid w:val="008A769A"/>
    <w:rsid w:val="008B0C9C"/>
    <w:rsid w:val="008B166D"/>
    <w:rsid w:val="008B17F4"/>
    <w:rsid w:val="008B3301"/>
    <w:rsid w:val="008B3615"/>
    <w:rsid w:val="008B3FF2"/>
    <w:rsid w:val="008B4AC4"/>
    <w:rsid w:val="008B50C8"/>
    <w:rsid w:val="008B5281"/>
    <w:rsid w:val="008B7E05"/>
    <w:rsid w:val="008C1797"/>
    <w:rsid w:val="008C219C"/>
    <w:rsid w:val="008C475E"/>
    <w:rsid w:val="008C619A"/>
    <w:rsid w:val="008D0CE8"/>
    <w:rsid w:val="008D1D5A"/>
    <w:rsid w:val="008D2D1D"/>
    <w:rsid w:val="008D453D"/>
    <w:rsid w:val="008D53AD"/>
    <w:rsid w:val="008D562B"/>
    <w:rsid w:val="008D5733"/>
    <w:rsid w:val="008D622B"/>
    <w:rsid w:val="008D666C"/>
    <w:rsid w:val="008D7B54"/>
    <w:rsid w:val="008E0C9D"/>
    <w:rsid w:val="008E140C"/>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C7D"/>
    <w:rsid w:val="009062E6"/>
    <w:rsid w:val="0091071E"/>
    <w:rsid w:val="00911BE5"/>
    <w:rsid w:val="00913CA9"/>
    <w:rsid w:val="009145AE"/>
    <w:rsid w:val="009146CE"/>
    <w:rsid w:val="00914CA7"/>
    <w:rsid w:val="00915C3E"/>
    <w:rsid w:val="009161A8"/>
    <w:rsid w:val="00916732"/>
    <w:rsid w:val="00916A35"/>
    <w:rsid w:val="009245F5"/>
    <w:rsid w:val="009249EC"/>
    <w:rsid w:val="009273B3"/>
    <w:rsid w:val="009305B5"/>
    <w:rsid w:val="00934A7C"/>
    <w:rsid w:val="009416C5"/>
    <w:rsid w:val="009429D5"/>
    <w:rsid w:val="00942BF1"/>
    <w:rsid w:val="00945180"/>
    <w:rsid w:val="00945428"/>
    <w:rsid w:val="0094607B"/>
    <w:rsid w:val="00953604"/>
    <w:rsid w:val="0095496B"/>
    <w:rsid w:val="00956B54"/>
    <w:rsid w:val="00956C13"/>
    <w:rsid w:val="009610DC"/>
    <w:rsid w:val="00961490"/>
    <w:rsid w:val="0096381A"/>
    <w:rsid w:val="00965E04"/>
    <w:rsid w:val="009674AD"/>
    <w:rsid w:val="00970CDC"/>
    <w:rsid w:val="00976062"/>
    <w:rsid w:val="00977010"/>
    <w:rsid w:val="00977D02"/>
    <w:rsid w:val="009809BB"/>
    <w:rsid w:val="00980CEF"/>
    <w:rsid w:val="0098364B"/>
    <w:rsid w:val="009911AF"/>
    <w:rsid w:val="00991875"/>
    <w:rsid w:val="00991F92"/>
    <w:rsid w:val="00992985"/>
    <w:rsid w:val="00993889"/>
    <w:rsid w:val="0099551B"/>
    <w:rsid w:val="00997BF1"/>
    <w:rsid w:val="009A089C"/>
    <w:rsid w:val="009A118E"/>
    <w:rsid w:val="009A21CD"/>
    <w:rsid w:val="009A278C"/>
    <w:rsid w:val="009A2BC2"/>
    <w:rsid w:val="009A3547"/>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5F5"/>
    <w:rsid w:val="009D47FA"/>
    <w:rsid w:val="009D4C5B"/>
    <w:rsid w:val="009D50D2"/>
    <w:rsid w:val="009D52AA"/>
    <w:rsid w:val="009D6BCA"/>
    <w:rsid w:val="009E0F61"/>
    <w:rsid w:val="009E0F62"/>
    <w:rsid w:val="009E4087"/>
    <w:rsid w:val="009E4A58"/>
    <w:rsid w:val="009E5A2D"/>
    <w:rsid w:val="009E5AB2"/>
    <w:rsid w:val="009E6219"/>
    <w:rsid w:val="009F03B3"/>
    <w:rsid w:val="009F467F"/>
    <w:rsid w:val="00A0096C"/>
    <w:rsid w:val="00A01757"/>
    <w:rsid w:val="00A028C0"/>
    <w:rsid w:val="00A02BAE"/>
    <w:rsid w:val="00A06A6B"/>
    <w:rsid w:val="00A075EC"/>
    <w:rsid w:val="00A07E47"/>
    <w:rsid w:val="00A129D0"/>
    <w:rsid w:val="00A12C33"/>
    <w:rsid w:val="00A138BA"/>
    <w:rsid w:val="00A14C8E"/>
    <w:rsid w:val="00A153D9"/>
    <w:rsid w:val="00A15F09"/>
    <w:rsid w:val="00A1664A"/>
    <w:rsid w:val="00A169B6"/>
    <w:rsid w:val="00A16BE5"/>
    <w:rsid w:val="00A2271D"/>
    <w:rsid w:val="00A22964"/>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4790"/>
    <w:rsid w:val="00A94F2B"/>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29E7"/>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BBA"/>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6C6"/>
    <w:rsid w:val="00B4346D"/>
    <w:rsid w:val="00B440F4"/>
    <w:rsid w:val="00B447A5"/>
    <w:rsid w:val="00B4654C"/>
    <w:rsid w:val="00B46AF0"/>
    <w:rsid w:val="00B47293"/>
    <w:rsid w:val="00B50E50"/>
    <w:rsid w:val="00B52120"/>
    <w:rsid w:val="00B54ABC"/>
    <w:rsid w:val="00B54DDE"/>
    <w:rsid w:val="00B56FBE"/>
    <w:rsid w:val="00B5734A"/>
    <w:rsid w:val="00B60ACF"/>
    <w:rsid w:val="00B616DB"/>
    <w:rsid w:val="00B62B58"/>
    <w:rsid w:val="00B65149"/>
    <w:rsid w:val="00B66567"/>
    <w:rsid w:val="00B66F52"/>
    <w:rsid w:val="00B66FE2"/>
    <w:rsid w:val="00B66FE5"/>
    <w:rsid w:val="00B72880"/>
    <w:rsid w:val="00B758BF"/>
    <w:rsid w:val="00B77EC8"/>
    <w:rsid w:val="00B827A6"/>
    <w:rsid w:val="00B831CE"/>
    <w:rsid w:val="00B86677"/>
    <w:rsid w:val="00B87131"/>
    <w:rsid w:val="00B9195B"/>
    <w:rsid w:val="00B939B1"/>
    <w:rsid w:val="00B96D40"/>
    <w:rsid w:val="00B97386"/>
    <w:rsid w:val="00BA263B"/>
    <w:rsid w:val="00BA42B2"/>
    <w:rsid w:val="00BA58D4"/>
    <w:rsid w:val="00BA5B9E"/>
    <w:rsid w:val="00BA7C9A"/>
    <w:rsid w:val="00BB203B"/>
    <w:rsid w:val="00BB4468"/>
    <w:rsid w:val="00BB534C"/>
    <w:rsid w:val="00BB5F8F"/>
    <w:rsid w:val="00BB657A"/>
    <w:rsid w:val="00BB7865"/>
    <w:rsid w:val="00BC1A4E"/>
    <w:rsid w:val="00BC4028"/>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E35"/>
    <w:rsid w:val="00C04904"/>
    <w:rsid w:val="00C056B3"/>
    <w:rsid w:val="00C103E5"/>
    <w:rsid w:val="00C13319"/>
    <w:rsid w:val="00C13918"/>
    <w:rsid w:val="00C13EE9"/>
    <w:rsid w:val="00C14552"/>
    <w:rsid w:val="00C21540"/>
    <w:rsid w:val="00C21906"/>
    <w:rsid w:val="00C21BFA"/>
    <w:rsid w:val="00C22148"/>
    <w:rsid w:val="00C234BD"/>
    <w:rsid w:val="00C24C8D"/>
    <w:rsid w:val="00C24DE6"/>
    <w:rsid w:val="00C25FE2"/>
    <w:rsid w:val="00C26B53"/>
    <w:rsid w:val="00C279B2"/>
    <w:rsid w:val="00C3005C"/>
    <w:rsid w:val="00C33E50"/>
    <w:rsid w:val="00C34C20"/>
    <w:rsid w:val="00C35A3E"/>
    <w:rsid w:val="00C42130"/>
    <w:rsid w:val="00C423A4"/>
    <w:rsid w:val="00C44BF5"/>
    <w:rsid w:val="00C47C06"/>
    <w:rsid w:val="00C521D6"/>
    <w:rsid w:val="00C55232"/>
    <w:rsid w:val="00C553A4"/>
    <w:rsid w:val="00C55A06"/>
    <w:rsid w:val="00C55D03"/>
    <w:rsid w:val="00C601BC"/>
    <w:rsid w:val="00C6329F"/>
    <w:rsid w:val="00C63340"/>
    <w:rsid w:val="00C643F9"/>
    <w:rsid w:val="00C64E95"/>
    <w:rsid w:val="00C71372"/>
    <w:rsid w:val="00C72410"/>
    <w:rsid w:val="00C7287F"/>
    <w:rsid w:val="00C732D5"/>
    <w:rsid w:val="00C80982"/>
    <w:rsid w:val="00C80CB8"/>
    <w:rsid w:val="00C819F8"/>
    <w:rsid w:val="00C8248C"/>
    <w:rsid w:val="00C84E33"/>
    <w:rsid w:val="00C86D6F"/>
    <w:rsid w:val="00C87FC3"/>
    <w:rsid w:val="00C905FC"/>
    <w:rsid w:val="00C92D03"/>
    <w:rsid w:val="00C92F6E"/>
    <w:rsid w:val="00C9319C"/>
    <w:rsid w:val="00C9435D"/>
    <w:rsid w:val="00C94DF2"/>
    <w:rsid w:val="00C96741"/>
    <w:rsid w:val="00CA2D1B"/>
    <w:rsid w:val="00CA375D"/>
    <w:rsid w:val="00CA662A"/>
    <w:rsid w:val="00CA7AFD"/>
    <w:rsid w:val="00CA7C3C"/>
    <w:rsid w:val="00CB0189"/>
    <w:rsid w:val="00CB0438"/>
    <w:rsid w:val="00CB0BA2"/>
    <w:rsid w:val="00CB1A42"/>
    <w:rsid w:val="00CB1B0C"/>
    <w:rsid w:val="00CB2C0B"/>
    <w:rsid w:val="00CB4AA9"/>
    <w:rsid w:val="00CB517D"/>
    <w:rsid w:val="00CC038D"/>
    <w:rsid w:val="00CC08DB"/>
    <w:rsid w:val="00CC2A3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D99"/>
    <w:rsid w:val="00CF686F"/>
    <w:rsid w:val="00CF6E60"/>
    <w:rsid w:val="00CF7BCA"/>
    <w:rsid w:val="00D008FD"/>
    <w:rsid w:val="00D0321C"/>
    <w:rsid w:val="00D035EC"/>
    <w:rsid w:val="00D06AB1"/>
    <w:rsid w:val="00D06BB8"/>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5F0"/>
    <w:rsid w:val="00D466AE"/>
    <w:rsid w:val="00D4734F"/>
    <w:rsid w:val="00D51BF3"/>
    <w:rsid w:val="00D548B4"/>
    <w:rsid w:val="00D66846"/>
    <w:rsid w:val="00D675FB"/>
    <w:rsid w:val="00D71F25"/>
    <w:rsid w:val="00D72A9C"/>
    <w:rsid w:val="00D75452"/>
    <w:rsid w:val="00D77031"/>
    <w:rsid w:val="00D83C9C"/>
    <w:rsid w:val="00D84941"/>
    <w:rsid w:val="00D84FA1"/>
    <w:rsid w:val="00D851F0"/>
    <w:rsid w:val="00D86DB7"/>
    <w:rsid w:val="00D926D0"/>
    <w:rsid w:val="00D93030"/>
    <w:rsid w:val="00D950E1"/>
    <w:rsid w:val="00D952A6"/>
    <w:rsid w:val="00D96737"/>
    <w:rsid w:val="00D97F99"/>
    <w:rsid w:val="00DA144C"/>
    <w:rsid w:val="00DA1E08"/>
    <w:rsid w:val="00DA2161"/>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8D7"/>
    <w:rsid w:val="00DC3067"/>
    <w:rsid w:val="00DC370B"/>
    <w:rsid w:val="00DC5B90"/>
    <w:rsid w:val="00DD00FF"/>
    <w:rsid w:val="00DD0619"/>
    <w:rsid w:val="00DD07FB"/>
    <w:rsid w:val="00DD25C6"/>
    <w:rsid w:val="00DD4FE5"/>
    <w:rsid w:val="00DD54B0"/>
    <w:rsid w:val="00DD57EE"/>
    <w:rsid w:val="00DD6BCC"/>
    <w:rsid w:val="00DE0A4B"/>
    <w:rsid w:val="00DE1B80"/>
    <w:rsid w:val="00DE2410"/>
    <w:rsid w:val="00DE2939"/>
    <w:rsid w:val="00DE6E81"/>
    <w:rsid w:val="00DE703F"/>
    <w:rsid w:val="00DE7595"/>
    <w:rsid w:val="00DF1961"/>
    <w:rsid w:val="00DF44DE"/>
    <w:rsid w:val="00DF55FF"/>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A4D"/>
    <w:rsid w:val="00E35D1E"/>
    <w:rsid w:val="00E364F9"/>
    <w:rsid w:val="00E365FA"/>
    <w:rsid w:val="00E36789"/>
    <w:rsid w:val="00E37648"/>
    <w:rsid w:val="00E44A83"/>
    <w:rsid w:val="00E502C1"/>
    <w:rsid w:val="00E502DD"/>
    <w:rsid w:val="00E50D3A"/>
    <w:rsid w:val="00E51387"/>
    <w:rsid w:val="00E51E68"/>
    <w:rsid w:val="00E52EFD"/>
    <w:rsid w:val="00E5408A"/>
    <w:rsid w:val="00E555B4"/>
    <w:rsid w:val="00E565F4"/>
    <w:rsid w:val="00E56800"/>
    <w:rsid w:val="00E60C63"/>
    <w:rsid w:val="00E60E86"/>
    <w:rsid w:val="00E62FF9"/>
    <w:rsid w:val="00E635D6"/>
    <w:rsid w:val="00E639BC"/>
    <w:rsid w:val="00E664CC"/>
    <w:rsid w:val="00E70388"/>
    <w:rsid w:val="00E70F92"/>
    <w:rsid w:val="00E74C54"/>
    <w:rsid w:val="00E76C2E"/>
    <w:rsid w:val="00E77A03"/>
    <w:rsid w:val="00E822E8"/>
    <w:rsid w:val="00E82554"/>
    <w:rsid w:val="00E82606"/>
    <w:rsid w:val="00E846C8"/>
    <w:rsid w:val="00E84957"/>
    <w:rsid w:val="00E84A55"/>
    <w:rsid w:val="00E85BFF"/>
    <w:rsid w:val="00E86F2A"/>
    <w:rsid w:val="00E8708B"/>
    <w:rsid w:val="00E870AD"/>
    <w:rsid w:val="00E90391"/>
    <w:rsid w:val="00E906C2"/>
    <w:rsid w:val="00E9311F"/>
    <w:rsid w:val="00E934D1"/>
    <w:rsid w:val="00E94AF0"/>
    <w:rsid w:val="00E95D13"/>
    <w:rsid w:val="00E95DD3"/>
    <w:rsid w:val="00E969D5"/>
    <w:rsid w:val="00EA505C"/>
    <w:rsid w:val="00EA5800"/>
    <w:rsid w:val="00EA58D1"/>
    <w:rsid w:val="00EA61BC"/>
    <w:rsid w:val="00EA681A"/>
    <w:rsid w:val="00EA735B"/>
    <w:rsid w:val="00EB17DE"/>
    <w:rsid w:val="00EB1E69"/>
    <w:rsid w:val="00EB2086"/>
    <w:rsid w:val="00EB3C72"/>
    <w:rsid w:val="00EB5EDF"/>
    <w:rsid w:val="00EB60FE"/>
    <w:rsid w:val="00EB74DB"/>
    <w:rsid w:val="00EC1CCA"/>
    <w:rsid w:val="00EC5359"/>
    <w:rsid w:val="00EC562A"/>
    <w:rsid w:val="00ED067A"/>
    <w:rsid w:val="00ED2B50"/>
    <w:rsid w:val="00ED42D9"/>
    <w:rsid w:val="00EE0350"/>
    <w:rsid w:val="00EE0719"/>
    <w:rsid w:val="00EE0E80"/>
    <w:rsid w:val="00EE3673"/>
    <w:rsid w:val="00EE54A6"/>
    <w:rsid w:val="00EE613F"/>
    <w:rsid w:val="00EE7295"/>
    <w:rsid w:val="00EE7869"/>
    <w:rsid w:val="00EF054A"/>
    <w:rsid w:val="00EF3235"/>
    <w:rsid w:val="00EF7E72"/>
    <w:rsid w:val="00F06D37"/>
    <w:rsid w:val="00F073FD"/>
    <w:rsid w:val="00F07B9D"/>
    <w:rsid w:val="00F11586"/>
    <w:rsid w:val="00F1183B"/>
    <w:rsid w:val="00F11C9F"/>
    <w:rsid w:val="00F12263"/>
    <w:rsid w:val="00F1409D"/>
    <w:rsid w:val="00F14214"/>
    <w:rsid w:val="00F157A9"/>
    <w:rsid w:val="00F2026B"/>
    <w:rsid w:val="00F25BB6"/>
    <w:rsid w:val="00F25DD1"/>
    <w:rsid w:val="00F26B7E"/>
    <w:rsid w:val="00F277A9"/>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3CD"/>
    <w:rsid w:val="00F81141"/>
    <w:rsid w:val="00F833BA"/>
    <w:rsid w:val="00F84FD0"/>
    <w:rsid w:val="00F859A8"/>
    <w:rsid w:val="00F86D87"/>
    <w:rsid w:val="00F9108B"/>
    <w:rsid w:val="00F91349"/>
    <w:rsid w:val="00F9334C"/>
    <w:rsid w:val="00F93A8A"/>
    <w:rsid w:val="00F95248"/>
    <w:rsid w:val="00F956A9"/>
    <w:rsid w:val="00F963ED"/>
    <w:rsid w:val="00F966CF"/>
    <w:rsid w:val="00F96CAE"/>
    <w:rsid w:val="00F97C99"/>
    <w:rsid w:val="00FA023A"/>
    <w:rsid w:val="00FA4DAC"/>
    <w:rsid w:val="00FA662D"/>
    <w:rsid w:val="00FA73B1"/>
    <w:rsid w:val="00FB0CB9"/>
    <w:rsid w:val="00FB231D"/>
    <w:rsid w:val="00FB45F1"/>
    <w:rsid w:val="00FB4A72"/>
    <w:rsid w:val="00FB54E8"/>
    <w:rsid w:val="00FB7054"/>
    <w:rsid w:val="00FC0D1F"/>
    <w:rsid w:val="00FC17B7"/>
    <w:rsid w:val="00FC1993"/>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3F36"/>
    <w:rsid w:val="00FF5B99"/>
    <w:rsid w:val="00FF730C"/>
    <w:rsid w:val="00FF73F4"/>
    <w:rsid w:val="00FF7CE4"/>
    <w:rsid w:val="00FF7E39"/>
    <w:rsid w:val="01042CD0"/>
    <w:rsid w:val="010F3B4F"/>
    <w:rsid w:val="011C65E1"/>
    <w:rsid w:val="011F1DC0"/>
    <w:rsid w:val="015D28CD"/>
    <w:rsid w:val="016A4161"/>
    <w:rsid w:val="016B4CDB"/>
    <w:rsid w:val="018467E3"/>
    <w:rsid w:val="01941722"/>
    <w:rsid w:val="0196557B"/>
    <w:rsid w:val="01965A9A"/>
    <w:rsid w:val="01A23884"/>
    <w:rsid w:val="01A87C2B"/>
    <w:rsid w:val="01AB7649"/>
    <w:rsid w:val="01B841E6"/>
    <w:rsid w:val="01B97F5E"/>
    <w:rsid w:val="01C81F7D"/>
    <w:rsid w:val="01D05A1D"/>
    <w:rsid w:val="01FF3BC3"/>
    <w:rsid w:val="02025CBA"/>
    <w:rsid w:val="02037501"/>
    <w:rsid w:val="021332F5"/>
    <w:rsid w:val="021A27AB"/>
    <w:rsid w:val="02204B8A"/>
    <w:rsid w:val="0225233E"/>
    <w:rsid w:val="022E6257"/>
    <w:rsid w:val="024C0DD3"/>
    <w:rsid w:val="02556185"/>
    <w:rsid w:val="02684255"/>
    <w:rsid w:val="026D4C89"/>
    <w:rsid w:val="02772D78"/>
    <w:rsid w:val="02AD7AC3"/>
    <w:rsid w:val="02B630E9"/>
    <w:rsid w:val="02BA5D3C"/>
    <w:rsid w:val="02C4662B"/>
    <w:rsid w:val="02C47896"/>
    <w:rsid w:val="02C77397"/>
    <w:rsid w:val="02D037B2"/>
    <w:rsid w:val="02D62E39"/>
    <w:rsid w:val="03012F7E"/>
    <w:rsid w:val="030E4812"/>
    <w:rsid w:val="03115D87"/>
    <w:rsid w:val="03195B89"/>
    <w:rsid w:val="031A60A6"/>
    <w:rsid w:val="03855DF8"/>
    <w:rsid w:val="038F4D05"/>
    <w:rsid w:val="039D2DFC"/>
    <w:rsid w:val="03A53CD4"/>
    <w:rsid w:val="03C42E7B"/>
    <w:rsid w:val="03CF4F1E"/>
    <w:rsid w:val="03D71CDD"/>
    <w:rsid w:val="03D746CC"/>
    <w:rsid w:val="03D951E0"/>
    <w:rsid w:val="03E147EA"/>
    <w:rsid w:val="03E63B84"/>
    <w:rsid w:val="03F60D1B"/>
    <w:rsid w:val="03F91E91"/>
    <w:rsid w:val="03FD5347"/>
    <w:rsid w:val="04062B85"/>
    <w:rsid w:val="04390EE3"/>
    <w:rsid w:val="043A23C5"/>
    <w:rsid w:val="04494396"/>
    <w:rsid w:val="0469528B"/>
    <w:rsid w:val="047240D9"/>
    <w:rsid w:val="048D2705"/>
    <w:rsid w:val="0491110B"/>
    <w:rsid w:val="049D6A15"/>
    <w:rsid w:val="04A14B9C"/>
    <w:rsid w:val="04C55154"/>
    <w:rsid w:val="04CD56ED"/>
    <w:rsid w:val="04D01D88"/>
    <w:rsid w:val="04D30C78"/>
    <w:rsid w:val="04FC6AE0"/>
    <w:rsid w:val="050057AA"/>
    <w:rsid w:val="05012629"/>
    <w:rsid w:val="050F247D"/>
    <w:rsid w:val="05184556"/>
    <w:rsid w:val="053B082D"/>
    <w:rsid w:val="054B743C"/>
    <w:rsid w:val="05557F9E"/>
    <w:rsid w:val="05595CE0"/>
    <w:rsid w:val="055F256B"/>
    <w:rsid w:val="056117E3"/>
    <w:rsid w:val="056A042A"/>
    <w:rsid w:val="05752345"/>
    <w:rsid w:val="05861B08"/>
    <w:rsid w:val="058731EA"/>
    <w:rsid w:val="05885BD9"/>
    <w:rsid w:val="058D14E6"/>
    <w:rsid w:val="05940103"/>
    <w:rsid w:val="05AB575E"/>
    <w:rsid w:val="05D62DEC"/>
    <w:rsid w:val="05DB5C36"/>
    <w:rsid w:val="06055520"/>
    <w:rsid w:val="060F225B"/>
    <w:rsid w:val="0616772D"/>
    <w:rsid w:val="06231E4A"/>
    <w:rsid w:val="062E4A77"/>
    <w:rsid w:val="062F78B2"/>
    <w:rsid w:val="06316639"/>
    <w:rsid w:val="06422A77"/>
    <w:rsid w:val="064C4C64"/>
    <w:rsid w:val="0656788B"/>
    <w:rsid w:val="065A3ABE"/>
    <w:rsid w:val="065C4EFE"/>
    <w:rsid w:val="06701A9B"/>
    <w:rsid w:val="06801C3B"/>
    <w:rsid w:val="069177DA"/>
    <w:rsid w:val="06AB52E9"/>
    <w:rsid w:val="06BD3FE1"/>
    <w:rsid w:val="06C21663"/>
    <w:rsid w:val="06C43629"/>
    <w:rsid w:val="06C510AB"/>
    <w:rsid w:val="06E77061"/>
    <w:rsid w:val="0701218C"/>
    <w:rsid w:val="07162477"/>
    <w:rsid w:val="072004C0"/>
    <w:rsid w:val="072239C3"/>
    <w:rsid w:val="07327BDF"/>
    <w:rsid w:val="074958E1"/>
    <w:rsid w:val="074F739B"/>
    <w:rsid w:val="07537A15"/>
    <w:rsid w:val="076A1C04"/>
    <w:rsid w:val="078B7CA7"/>
    <w:rsid w:val="07A15ECB"/>
    <w:rsid w:val="07A42052"/>
    <w:rsid w:val="07B216D8"/>
    <w:rsid w:val="07C40FCD"/>
    <w:rsid w:val="07CA50D5"/>
    <w:rsid w:val="07DB0C2F"/>
    <w:rsid w:val="07DD0873"/>
    <w:rsid w:val="07E35FFF"/>
    <w:rsid w:val="080A0D34"/>
    <w:rsid w:val="081B7064"/>
    <w:rsid w:val="08227352"/>
    <w:rsid w:val="08321601"/>
    <w:rsid w:val="08356504"/>
    <w:rsid w:val="0840650C"/>
    <w:rsid w:val="08471E20"/>
    <w:rsid w:val="084E5928"/>
    <w:rsid w:val="08597DA5"/>
    <w:rsid w:val="085E20C5"/>
    <w:rsid w:val="08650C37"/>
    <w:rsid w:val="08686258"/>
    <w:rsid w:val="0869620C"/>
    <w:rsid w:val="08883CEF"/>
    <w:rsid w:val="088A61B1"/>
    <w:rsid w:val="088D6706"/>
    <w:rsid w:val="08AE69CD"/>
    <w:rsid w:val="08BD1F5C"/>
    <w:rsid w:val="08C17080"/>
    <w:rsid w:val="08C956F8"/>
    <w:rsid w:val="08D25907"/>
    <w:rsid w:val="08E41D65"/>
    <w:rsid w:val="08F024B8"/>
    <w:rsid w:val="08F16230"/>
    <w:rsid w:val="08F27564"/>
    <w:rsid w:val="09080360"/>
    <w:rsid w:val="093A1985"/>
    <w:rsid w:val="094208A5"/>
    <w:rsid w:val="09465367"/>
    <w:rsid w:val="094761B8"/>
    <w:rsid w:val="09507161"/>
    <w:rsid w:val="095347F5"/>
    <w:rsid w:val="09811362"/>
    <w:rsid w:val="099224C2"/>
    <w:rsid w:val="09A650DB"/>
    <w:rsid w:val="09CB4CD3"/>
    <w:rsid w:val="09DE0562"/>
    <w:rsid w:val="09E544CB"/>
    <w:rsid w:val="09F102DE"/>
    <w:rsid w:val="09F27A2D"/>
    <w:rsid w:val="0A1B1122"/>
    <w:rsid w:val="0A232419"/>
    <w:rsid w:val="0A3E54A5"/>
    <w:rsid w:val="0A405A5B"/>
    <w:rsid w:val="0A442A3C"/>
    <w:rsid w:val="0A926901"/>
    <w:rsid w:val="0AAD5208"/>
    <w:rsid w:val="0AD0794C"/>
    <w:rsid w:val="0AD32692"/>
    <w:rsid w:val="0AD376D3"/>
    <w:rsid w:val="0AD77199"/>
    <w:rsid w:val="0AE2367E"/>
    <w:rsid w:val="0AFB63ED"/>
    <w:rsid w:val="0AFE7196"/>
    <w:rsid w:val="0B1B12BB"/>
    <w:rsid w:val="0B263FB7"/>
    <w:rsid w:val="0B2959AF"/>
    <w:rsid w:val="0B332B30"/>
    <w:rsid w:val="0B4765DB"/>
    <w:rsid w:val="0B673342"/>
    <w:rsid w:val="0B715230"/>
    <w:rsid w:val="0B7A2363"/>
    <w:rsid w:val="0BB943CC"/>
    <w:rsid w:val="0BC32105"/>
    <w:rsid w:val="0BC45938"/>
    <w:rsid w:val="0BC72462"/>
    <w:rsid w:val="0BCB0FBA"/>
    <w:rsid w:val="0BCC0AE8"/>
    <w:rsid w:val="0BCC585C"/>
    <w:rsid w:val="0BD50C1B"/>
    <w:rsid w:val="0BED1C3D"/>
    <w:rsid w:val="0BFF137E"/>
    <w:rsid w:val="0C087B18"/>
    <w:rsid w:val="0C135DE0"/>
    <w:rsid w:val="0C16777B"/>
    <w:rsid w:val="0C1C796E"/>
    <w:rsid w:val="0C416817"/>
    <w:rsid w:val="0C444440"/>
    <w:rsid w:val="0C74120B"/>
    <w:rsid w:val="0C810B68"/>
    <w:rsid w:val="0C8F2258"/>
    <w:rsid w:val="0C9772B7"/>
    <w:rsid w:val="0C9870EE"/>
    <w:rsid w:val="0CAD6449"/>
    <w:rsid w:val="0CAF38D3"/>
    <w:rsid w:val="0CC41080"/>
    <w:rsid w:val="0CC413D7"/>
    <w:rsid w:val="0CC90013"/>
    <w:rsid w:val="0CD22F22"/>
    <w:rsid w:val="0CDC4B28"/>
    <w:rsid w:val="0CF34325"/>
    <w:rsid w:val="0CF62067"/>
    <w:rsid w:val="0D257E20"/>
    <w:rsid w:val="0D330BC5"/>
    <w:rsid w:val="0D5D3FAB"/>
    <w:rsid w:val="0D6C0594"/>
    <w:rsid w:val="0D89297F"/>
    <w:rsid w:val="0D953957"/>
    <w:rsid w:val="0DA6583B"/>
    <w:rsid w:val="0DA675E9"/>
    <w:rsid w:val="0DBC0423"/>
    <w:rsid w:val="0DD73C46"/>
    <w:rsid w:val="0DDA2272"/>
    <w:rsid w:val="0DF066E5"/>
    <w:rsid w:val="0E0151F1"/>
    <w:rsid w:val="0E0E3A7C"/>
    <w:rsid w:val="0E1E25B6"/>
    <w:rsid w:val="0E202194"/>
    <w:rsid w:val="0E394A09"/>
    <w:rsid w:val="0E3C619F"/>
    <w:rsid w:val="0E3E2AEB"/>
    <w:rsid w:val="0E6C20CC"/>
    <w:rsid w:val="0E6F3907"/>
    <w:rsid w:val="0E716221"/>
    <w:rsid w:val="0E796AAB"/>
    <w:rsid w:val="0E912047"/>
    <w:rsid w:val="0E9D030D"/>
    <w:rsid w:val="0EA10664"/>
    <w:rsid w:val="0EAD69A2"/>
    <w:rsid w:val="0EB3304B"/>
    <w:rsid w:val="0EB55FAD"/>
    <w:rsid w:val="0EB74D33"/>
    <w:rsid w:val="0EC30B46"/>
    <w:rsid w:val="0EC82A4F"/>
    <w:rsid w:val="0ECC307F"/>
    <w:rsid w:val="0EDC3C6E"/>
    <w:rsid w:val="0F045F88"/>
    <w:rsid w:val="0F072534"/>
    <w:rsid w:val="0F1467D4"/>
    <w:rsid w:val="0F2D1459"/>
    <w:rsid w:val="0F4B48EC"/>
    <w:rsid w:val="0F4C6C57"/>
    <w:rsid w:val="0F592562"/>
    <w:rsid w:val="0F694F51"/>
    <w:rsid w:val="0F7D37F7"/>
    <w:rsid w:val="0F900169"/>
    <w:rsid w:val="0FA36C39"/>
    <w:rsid w:val="0FD61CDB"/>
    <w:rsid w:val="0FDB5A6C"/>
    <w:rsid w:val="0FE1796C"/>
    <w:rsid w:val="0FE54120"/>
    <w:rsid w:val="0FE64614"/>
    <w:rsid w:val="0FE708DB"/>
    <w:rsid w:val="0FF05D35"/>
    <w:rsid w:val="0FF21238"/>
    <w:rsid w:val="0FF26827"/>
    <w:rsid w:val="1005689B"/>
    <w:rsid w:val="10093E5F"/>
    <w:rsid w:val="10196798"/>
    <w:rsid w:val="10207FF7"/>
    <w:rsid w:val="10273C90"/>
    <w:rsid w:val="10303AE2"/>
    <w:rsid w:val="103F5AD3"/>
    <w:rsid w:val="10582FC0"/>
    <w:rsid w:val="105F7F23"/>
    <w:rsid w:val="106A0085"/>
    <w:rsid w:val="10753310"/>
    <w:rsid w:val="107B4D5D"/>
    <w:rsid w:val="107D17AD"/>
    <w:rsid w:val="10982D3A"/>
    <w:rsid w:val="10AA73F0"/>
    <w:rsid w:val="10AB3168"/>
    <w:rsid w:val="10D0497D"/>
    <w:rsid w:val="10DA0144"/>
    <w:rsid w:val="10DB11B5"/>
    <w:rsid w:val="10DF618F"/>
    <w:rsid w:val="10E27877"/>
    <w:rsid w:val="10EC5328"/>
    <w:rsid w:val="10EE0BE0"/>
    <w:rsid w:val="10F02F16"/>
    <w:rsid w:val="10F677E1"/>
    <w:rsid w:val="11026E77"/>
    <w:rsid w:val="110E3E23"/>
    <w:rsid w:val="11265DB1"/>
    <w:rsid w:val="11491DAA"/>
    <w:rsid w:val="11560AFF"/>
    <w:rsid w:val="11582221"/>
    <w:rsid w:val="117C0D3F"/>
    <w:rsid w:val="11803EC2"/>
    <w:rsid w:val="11936616"/>
    <w:rsid w:val="11AB19CE"/>
    <w:rsid w:val="11AC170D"/>
    <w:rsid w:val="11B81FE1"/>
    <w:rsid w:val="11BB4397"/>
    <w:rsid w:val="11CC1DC3"/>
    <w:rsid w:val="11DC67DA"/>
    <w:rsid w:val="11E12C61"/>
    <w:rsid w:val="11E46932"/>
    <w:rsid w:val="11E61943"/>
    <w:rsid w:val="12032202"/>
    <w:rsid w:val="12064AFA"/>
    <w:rsid w:val="1209145D"/>
    <w:rsid w:val="121D08C8"/>
    <w:rsid w:val="12232654"/>
    <w:rsid w:val="122F18D1"/>
    <w:rsid w:val="123F2296"/>
    <w:rsid w:val="124B075F"/>
    <w:rsid w:val="12500D17"/>
    <w:rsid w:val="12751C80"/>
    <w:rsid w:val="128E76D1"/>
    <w:rsid w:val="128F1B00"/>
    <w:rsid w:val="12A04F4F"/>
    <w:rsid w:val="12C85966"/>
    <w:rsid w:val="12C85F8D"/>
    <w:rsid w:val="1302617F"/>
    <w:rsid w:val="130D1EB8"/>
    <w:rsid w:val="130D7DE3"/>
    <w:rsid w:val="13116BD7"/>
    <w:rsid w:val="13194614"/>
    <w:rsid w:val="133631BD"/>
    <w:rsid w:val="13371130"/>
    <w:rsid w:val="135A64FB"/>
    <w:rsid w:val="13630C93"/>
    <w:rsid w:val="136C6213"/>
    <w:rsid w:val="137D5290"/>
    <w:rsid w:val="13853604"/>
    <w:rsid w:val="1393060F"/>
    <w:rsid w:val="139558FD"/>
    <w:rsid w:val="139924AE"/>
    <w:rsid w:val="139E150E"/>
    <w:rsid w:val="13A02D2C"/>
    <w:rsid w:val="13B65F81"/>
    <w:rsid w:val="13CC4EC7"/>
    <w:rsid w:val="13D10FED"/>
    <w:rsid w:val="14085012"/>
    <w:rsid w:val="141428B9"/>
    <w:rsid w:val="14186104"/>
    <w:rsid w:val="14191607"/>
    <w:rsid w:val="143D6344"/>
    <w:rsid w:val="143F579C"/>
    <w:rsid w:val="14445CCF"/>
    <w:rsid w:val="14563CCE"/>
    <w:rsid w:val="146230E2"/>
    <w:rsid w:val="146822B4"/>
    <w:rsid w:val="14821B99"/>
    <w:rsid w:val="14902DA1"/>
    <w:rsid w:val="149208C7"/>
    <w:rsid w:val="14AF6FD3"/>
    <w:rsid w:val="14BE16BC"/>
    <w:rsid w:val="14D37B7F"/>
    <w:rsid w:val="14DB04C0"/>
    <w:rsid w:val="14E525FA"/>
    <w:rsid w:val="14E947D7"/>
    <w:rsid w:val="15081290"/>
    <w:rsid w:val="150E25C4"/>
    <w:rsid w:val="15273D43"/>
    <w:rsid w:val="152754B3"/>
    <w:rsid w:val="153D1659"/>
    <w:rsid w:val="154148ED"/>
    <w:rsid w:val="154C4F1A"/>
    <w:rsid w:val="155362A8"/>
    <w:rsid w:val="15593193"/>
    <w:rsid w:val="1573093F"/>
    <w:rsid w:val="15762F82"/>
    <w:rsid w:val="15842905"/>
    <w:rsid w:val="15973B0B"/>
    <w:rsid w:val="15AD79A5"/>
    <w:rsid w:val="15B64A89"/>
    <w:rsid w:val="15D60C87"/>
    <w:rsid w:val="15D70664"/>
    <w:rsid w:val="15DA2525"/>
    <w:rsid w:val="15E86AB4"/>
    <w:rsid w:val="15F20E8D"/>
    <w:rsid w:val="161923D2"/>
    <w:rsid w:val="161C1BE4"/>
    <w:rsid w:val="162E6411"/>
    <w:rsid w:val="163E05D7"/>
    <w:rsid w:val="163F6D8E"/>
    <w:rsid w:val="164063C2"/>
    <w:rsid w:val="16585FF5"/>
    <w:rsid w:val="166D6538"/>
    <w:rsid w:val="167813B9"/>
    <w:rsid w:val="168B7CC4"/>
    <w:rsid w:val="168C1A46"/>
    <w:rsid w:val="16974037"/>
    <w:rsid w:val="169F4829"/>
    <w:rsid w:val="16A36C9E"/>
    <w:rsid w:val="16AA643D"/>
    <w:rsid w:val="16B10542"/>
    <w:rsid w:val="16BA4105"/>
    <w:rsid w:val="16C0220E"/>
    <w:rsid w:val="16CB3AE0"/>
    <w:rsid w:val="16DF5F84"/>
    <w:rsid w:val="16E60821"/>
    <w:rsid w:val="16F05D79"/>
    <w:rsid w:val="16F06BB2"/>
    <w:rsid w:val="16F26832"/>
    <w:rsid w:val="16F72062"/>
    <w:rsid w:val="1706734A"/>
    <w:rsid w:val="17131EB5"/>
    <w:rsid w:val="1715474E"/>
    <w:rsid w:val="171B5478"/>
    <w:rsid w:val="17321EED"/>
    <w:rsid w:val="17476DA2"/>
    <w:rsid w:val="174E4335"/>
    <w:rsid w:val="17592D5E"/>
    <w:rsid w:val="175A07E0"/>
    <w:rsid w:val="1767428D"/>
    <w:rsid w:val="176F4F02"/>
    <w:rsid w:val="177A11D9"/>
    <w:rsid w:val="177C4A0A"/>
    <w:rsid w:val="1798078F"/>
    <w:rsid w:val="17A70813"/>
    <w:rsid w:val="17AA503D"/>
    <w:rsid w:val="17B0376D"/>
    <w:rsid w:val="17D31922"/>
    <w:rsid w:val="17DE4C8A"/>
    <w:rsid w:val="17F92515"/>
    <w:rsid w:val="180A0EE2"/>
    <w:rsid w:val="180C50D6"/>
    <w:rsid w:val="180E5D05"/>
    <w:rsid w:val="18227588"/>
    <w:rsid w:val="182E7A19"/>
    <w:rsid w:val="184D22D2"/>
    <w:rsid w:val="1856268D"/>
    <w:rsid w:val="185C214A"/>
    <w:rsid w:val="185F31B6"/>
    <w:rsid w:val="18622CA6"/>
    <w:rsid w:val="18666324"/>
    <w:rsid w:val="18706357"/>
    <w:rsid w:val="18730A0F"/>
    <w:rsid w:val="18756535"/>
    <w:rsid w:val="18826EA4"/>
    <w:rsid w:val="188B251A"/>
    <w:rsid w:val="189C143B"/>
    <w:rsid w:val="18AA43B5"/>
    <w:rsid w:val="18BA5E1D"/>
    <w:rsid w:val="18E92DCF"/>
    <w:rsid w:val="18E97FAF"/>
    <w:rsid w:val="190C1885"/>
    <w:rsid w:val="191B713B"/>
    <w:rsid w:val="191D13ED"/>
    <w:rsid w:val="191E6552"/>
    <w:rsid w:val="193B3B10"/>
    <w:rsid w:val="193C2EF3"/>
    <w:rsid w:val="19434886"/>
    <w:rsid w:val="195A5BD5"/>
    <w:rsid w:val="196C72F0"/>
    <w:rsid w:val="19726F19"/>
    <w:rsid w:val="19756555"/>
    <w:rsid w:val="19866839"/>
    <w:rsid w:val="19C065D3"/>
    <w:rsid w:val="19D17270"/>
    <w:rsid w:val="19DD2A7D"/>
    <w:rsid w:val="19DE5F80"/>
    <w:rsid w:val="19E6338C"/>
    <w:rsid w:val="1A0D57CA"/>
    <w:rsid w:val="1A0E29F1"/>
    <w:rsid w:val="1A11373F"/>
    <w:rsid w:val="1A15645A"/>
    <w:rsid w:val="1A262F59"/>
    <w:rsid w:val="1A2C70C8"/>
    <w:rsid w:val="1A2D3B01"/>
    <w:rsid w:val="1A384191"/>
    <w:rsid w:val="1A501737"/>
    <w:rsid w:val="1A597E48"/>
    <w:rsid w:val="1A5D3725"/>
    <w:rsid w:val="1A5D4ECE"/>
    <w:rsid w:val="1A776AE6"/>
    <w:rsid w:val="1A8011C2"/>
    <w:rsid w:val="1AC47300"/>
    <w:rsid w:val="1AC97620"/>
    <w:rsid w:val="1AD0515C"/>
    <w:rsid w:val="1AEA1935"/>
    <w:rsid w:val="1B127276"/>
    <w:rsid w:val="1B214753"/>
    <w:rsid w:val="1B46204F"/>
    <w:rsid w:val="1B67674E"/>
    <w:rsid w:val="1B6E3190"/>
    <w:rsid w:val="1B726396"/>
    <w:rsid w:val="1B8E2443"/>
    <w:rsid w:val="1BA96AD9"/>
    <w:rsid w:val="1BAA506C"/>
    <w:rsid w:val="1BAB77F5"/>
    <w:rsid w:val="1BAE47A7"/>
    <w:rsid w:val="1BB92BDD"/>
    <w:rsid w:val="1BC258A5"/>
    <w:rsid w:val="1BD815BE"/>
    <w:rsid w:val="1BE240CC"/>
    <w:rsid w:val="1BE56D40"/>
    <w:rsid w:val="1BE93C64"/>
    <w:rsid w:val="1BEA4D5B"/>
    <w:rsid w:val="1BFB31F6"/>
    <w:rsid w:val="1C060E08"/>
    <w:rsid w:val="1C142509"/>
    <w:rsid w:val="1C217434"/>
    <w:rsid w:val="1C232937"/>
    <w:rsid w:val="1C4B64B0"/>
    <w:rsid w:val="1C577FD3"/>
    <w:rsid w:val="1C672BD7"/>
    <w:rsid w:val="1C6A30AB"/>
    <w:rsid w:val="1C7134B8"/>
    <w:rsid w:val="1C71380A"/>
    <w:rsid w:val="1C7842B1"/>
    <w:rsid w:val="1C7F7BB3"/>
    <w:rsid w:val="1C8C2366"/>
    <w:rsid w:val="1C912F6B"/>
    <w:rsid w:val="1C9A5DF9"/>
    <w:rsid w:val="1C9E70AE"/>
    <w:rsid w:val="1CA3450A"/>
    <w:rsid w:val="1CB51EA5"/>
    <w:rsid w:val="1CE954FE"/>
    <w:rsid w:val="1CFE2FBB"/>
    <w:rsid w:val="1D0C4758"/>
    <w:rsid w:val="1D1502E7"/>
    <w:rsid w:val="1D214EDE"/>
    <w:rsid w:val="1D26331A"/>
    <w:rsid w:val="1D4053CC"/>
    <w:rsid w:val="1D5C0733"/>
    <w:rsid w:val="1D5E1C8E"/>
    <w:rsid w:val="1D76522A"/>
    <w:rsid w:val="1DA15F5A"/>
    <w:rsid w:val="1DAF4CFD"/>
    <w:rsid w:val="1DB652CB"/>
    <w:rsid w:val="1DBA7555"/>
    <w:rsid w:val="1DC53ABB"/>
    <w:rsid w:val="1DDD2F8D"/>
    <w:rsid w:val="1DEA22A2"/>
    <w:rsid w:val="1DEC7DF8"/>
    <w:rsid w:val="1E151237"/>
    <w:rsid w:val="1E164317"/>
    <w:rsid w:val="1E1E141D"/>
    <w:rsid w:val="1E282FFF"/>
    <w:rsid w:val="1E307194"/>
    <w:rsid w:val="1E356E9F"/>
    <w:rsid w:val="1E51079D"/>
    <w:rsid w:val="1E5719F6"/>
    <w:rsid w:val="1E674F3D"/>
    <w:rsid w:val="1E71779F"/>
    <w:rsid w:val="1E7B3D90"/>
    <w:rsid w:val="1E8C282B"/>
    <w:rsid w:val="1EA878CD"/>
    <w:rsid w:val="1EB4196B"/>
    <w:rsid w:val="1EB61656"/>
    <w:rsid w:val="1EBC69FC"/>
    <w:rsid w:val="1EC27837"/>
    <w:rsid w:val="1EC63994"/>
    <w:rsid w:val="1EC64741"/>
    <w:rsid w:val="1EDB762C"/>
    <w:rsid w:val="1EDB7ED6"/>
    <w:rsid w:val="1EE75CB3"/>
    <w:rsid w:val="1EEE613B"/>
    <w:rsid w:val="1EF30556"/>
    <w:rsid w:val="1EF92460"/>
    <w:rsid w:val="1F4160D7"/>
    <w:rsid w:val="1F422EEA"/>
    <w:rsid w:val="1F505606"/>
    <w:rsid w:val="1F58270D"/>
    <w:rsid w:val="1F6B0692"/>
    <w:rsid w:val="1F6F209E"/>
    <w:rsid w:val="1F9015D4"/>
    <w:rsid w:val="1F9705CE"/>
    <w:rsid w:val="1F9E3CB1"/>
    <w:rsid w:val="1FAE0C8A"/>
    <w:rsid w:val="1FB27690"/>
    <w:rsid w:val="1FB9701B"/>
    <w:rsid w:val="1FBA4C17"/>
    <w:rsid w:val="1FC84208"/>
    <w:rsid w:val="1FE42BF9"/>
    <w:rsid w:val="20051698"/>
    <w:rsid w:val="200719D2"/>
    <w:rsid w:val="20190339"/>
    <w:rsid w:val="20280331"/>
    <w:rsid w:val="202E5D85"/>
    <w:rsid w:val="2039644E"/>
    <w:rsid w:val="203F49D7"/>
    <w:rsid w:val="20695E84"/>
    <w:rsid w:val="206C46C2"/>
    <w:rsid w:val="207A698C"/>
    <w:rsid w:val="20831A0C"/>
    <w:rsid w:val="2092477F"/>
    <w:rsid w:val="20AE1010"/>
    <w:rsid w:val="20B147CB"/>
    <w:rsid w:val="20BB44B7"/>
    <w:rsid w:val="20C67BCF"/>
    <w:rsid w:val="20CB26C9"/>
    <w:rsid w:val="20E15307"/>
    <w:rsid w:val="20E772FF"/>
    <w:rsid w:val="20ED270F"/>
    <w:rsid w:val="21166E41"/>
    <w:rsid w:val="2141581D"/>
    <w:rsid w:val="21494C17"/>
    <w:rsid w:val="21586F56"/>
    <w:rsid w:val="215C1C4A"/>
    <w:rsid w:val="217A6C7B"/>
    <w:rsid w:val="21A11AD8"/>
    <w:rsid w:val="21B225A8"/>
    <w:rsid w:val="21B91FE3"/>
    <w:rsid w:val="21C203B3"/>
    <w:rsid w:val="21C978F2"/>
    <w:rsid w:val="21CB1151"/>
    <w:rsid w:val="21D23332"/>
    <w:rsid w:val="21DB5CF3"/>
    <w:rsid w:val="21E74599"/>
    <w:rsid w:val="21EB5ABA"/>
    <w:rsid w:val="22003667"/>
    <w:rsid w:val="22050284"/>
    <w:rsid w:val="221548E5"/>
    <w:rsid w:val="22257114"/>
    <w:rsid w:val="225059DA"/>
    <w:rsid w:val="22565D72"/>
    <w:rsid w:val="22574EFE"/>
    <w:rsid w:val="22625083"/>
    <w:rsid w:val="2264488C"/>
    <w:rsid w:val="22A53EBB"/>
    <w:rsid w:val="22A5458C"/>
    <w:rsid w:val="22A720C3"/>
    <w:rsid w:val="22AF37F5"/>
    <w:rsid w:val="22BE4BAF"/>
    <w:rsid w:val="22BE4F7D"/>
    <w:rsid w:val="22DE4CE7"/>
    <w:rsid w:val="22F22CD0"/>
    <w:rsid w:val="22FC5AF3"/>
    <w:rsid w:val="23005595"/>
    <w:rsid w:val="231B417D"/>
    <w:rsid w:val="231F450E"/>
    <w:rsid w:val="23377209"/>
    <w:rsid w:val="23437456"/>
    <w:rsid w:val="234671EC"/>
    <w:rsid w:val="235F246C"/>
    <w:rsid w:val="236E03B0"/>
    <w:rsid w:val="23796767"/>
    <w:rsid w:val="237B1C44"/>
    <w:rsid w:val="239D4B92"/>
    <w:rsid w:val="23B31D5F"/>
    <w:rsid w:val="23C324CA"/>
    <w:rsid w:val="23C7755C"/>
    <w:rsid w:val="23CD5478"/>
    <w:rsid w:val="23D85759"/>
    <w:rsid w:val="23D85A19"/>
    <w:rsid w:val="23DA1943"/>
    <w:rsid w:val="23E44BC8"/>
    <w:rsid w:val="23F466B9"/>
    <w:rsid w:val="24003F9A"/>
    <w:rsid w:val="241C01AD"/>
    <w:rsid w:val="242332EA"/>
    <w:rsid w:val="24280900"/>
    <w:rsid w:val="243351EF"/>
    <w:rsid w:val="24351427"/>
    <w:rsid w:val="2436201E"/>
    <w:rsid w:val="243B6767"/>
    <w:rsid w:val="243C1DD8"/>
    <w:rsid w:val="243F38C6"/>
    <w:rsid w:val="24771887"/>
    <w:rsid w:val="24847EF8"/>
    <w:rsid w:val="248B1A81"/>
    <w:rsid w:val="24901468"/>
    <w:rsid w:val="249B7DC3"/>
    <w:rsid w:val="24A25BEB"/>
    <w:rsid w:val="24D01F5E"/>
    <w:rsid w:val="24D24D44"/>
    <w:rsid w:val="24D80578"/>
    <w:rsid w:val="24DA68E7"/>
    <w:rsid w:val="24E862E1"/>
    <w:rsid w:val="24F74EED"/>
    <w:rsid w:val="24F84634"/>
    <w:rsid w:val="25076E4C"/>
    <w:rsid w:val="250A3363"/>
    <w:rsid w:val="250C32D4"/>
    <w:rsid w:val="2511775C"/>
    <w:rsid w:val="251519E5"/>
    <w:rsid w:val="251B1AA8"/>
    <w:rsid w:val="25247BA7"/>
    <w:rsid w:val="252B4B4C"/>
    <w:rsid w:val="252E056F"/>
    <w:rsid w:val="253A0920"/>
    <w:rsid w:val="25491698"/>
    <w:rsid w:val="2564716B"/>
    <w:rsid w:val="25666E21"/>
    <w:rsid w:val="25783C88"/>
    <w:rsid w:val="25873D4C"/>
    <w:rsid w:val="25973F9C"/>
    <w:rsid w:val="25AE12D9"/>
    <w:rsid w:val="25B608DD"/>
    <w:rsid w:val="25DA3E7C"/>
    <w:rsid w:val="25DD39AD"/>
    <w:rsid w:val="25E023B3"/>
    <w:rsid w:val="26082272"/>
    <w:rsid w:val="26145987"/>
    <w:rsid w:val="261D70B5"/>
    <w:rsid w:val="26230331"/>
    <w:rsid w:val="26347A30"/>
    <w:rsid w:val="26393298"/>
    <w:rsid w:val="26490211"/>
    <w:rsid w:val="264B1A62"/>
    <w:rsid w:val="264C2FCD"/>
    <w:rsid w:val="265448F0"/>
    <w:rsid w:val="265754CC"/>
    <w:rsid w:val="265B39CB"/>
    <w:rsid w:val="2665260C"/>
    <w:rsid w:val="267800C9"/>
    <w:rsid w:val="26896B2E"/>
    <w:rsid w:val="269E134D"/>
    <w:rsid w:val="26A90CB7"/>
    <w:rsid w:val="26B36E4D"/>
    <w:rsid w:val="26BB5599"/>
    <w:rsid w:val="26C62128"/>
    <w:rsid w:val="26C93D55"/>
    <w:rsid w:val="26DB7EAB"/>
    <w:rsid w:val="26DF6244"/>
    <w:rsid w:val="26F647D3"/>
    <w:rsid w:val="26F93CB1"/>
    <w:rsid w:val="270A60F9"/>
    <w:rsid w:val="27125FA8"/>
    <w:rsid w:val="271D1DBA"/>
    <w:rsid w:val="27233CC4"/>
    <w:rsid w:val="27335F39"/>
    <w:rsid w:val="2762702C"/>
    <w:rsid w:val="277D7855"/>
    <w:rsid w:val="278504E5"/>
    <w:rsid w:val="2786371E"/>
    <w:rsid w:val="27931731"/>
    <w:rsid w:val="27A26C4E"/>
    <w:rsid w:val="27A33318"/>
    <w:rsid w:val="27A460F5"/>
    <w:rsid w:val="27C44402"/>
    <w:rsid w:val="27D36066"/>
    <w:rsid w:val="27E944F0"/>
    <w:rsid w:val="27FF406E"/>
    <w:rsid w:val="280478D6"/>
    <w:rsid w:val="280B4744"/>
    <w:rsid w:val="281335CC"/>
    <w:rsid w:val="28152F47"/>
    <w:rsid w:val="281A111A"/>
    <w:rsid w:val="28283572"/>
    <w:rsid w:val="283B0F0D"/>
    <w:rsid w:val="283E1E92"/>
    <w:rsid w:val="284E0B51"/>
    <w:rsid w:val="285F44BB"/>
    <w:rsid w:val="286F2FA1"/>
    <w:rsid w:val="287560DE"/>
    <w:rsid w:val="28856A5B"/>
    <w:rsid w:val="288E38ED"/>
    <w:rsid w:val="28994B2A"/>
    <w:rsid w:val="28AA5A71"/>
    <w:rsid w:val="28CA6930"/>
    <w:rsid w:val="28CC07FC"/>
    <w:rsid w:val="28DA4193"/>
    <w:rsid w:val="290D1266"/>
    <w:rsid w:val="29182E7A"/>
    <w:rsid w:val="29252190"/>
    <w:rsid w:val="294007BB"/>
    <w:rsid w:val="2941403E"/>
    <w:rsid w:val="29536061"/>
    <w:rsid w:val="295F1070"/>
    <w:rsid w:val="296A2147"/>
    <w:rsid w:val="296F6D78"/>
    <w:rsid w:val="298011DE"/>
    <w:rsid w:val="299A00A1"/>
    <w:rsid w:val="29BB5D89"/>
    <w:rsid w:val="29BC1216"/>
    <w:rsid w:val="29BD6F99"/>
    <w:rsid w:val="29C27A8F"/>
    <w:rsid w:val="29E14AC1"/>
    <w:rsid w:val="29E224B7"/>
    <w:rsid w:val="29EC66D5"/>
    <w:rsid w:val="29F31A52"/>
    <w:rsid w:val="29F40FC8"/>
    <w:rsid w:val="29F86C7A"/>
    <w:rsid w:val="2A0E67EA"/>
    <w:rsid w:val="2A24600D"/>
    <w:rsid w:val="2A2B3C3C"/>
    <w:rsid w:val="2A3B7000"/>
    <w:rsid w:val="2A4E3AB9"/>
    <w:rsid w:val="2A5922CF"/>
    <w:rsid w:val="2A5F0DF4"/>
    <w:rsid w:val="2A63541A"/>
    <w:rsid w:val="2A704616"/>
    <w:rsid w:val="2A8F792B"/>
    <w:rsid w:val="2A9B7773"/>
    <w:rsid w:val="2AA15D8C"/>
    <w:rsid w:val="2AA7668A"/>
    <w:rsid w:val="2AB61621"/>
    <w:rsid w:val="2AC6025F"/>
    <w:rsid w:val="2AC62C21"/>
    <w:rsid w:val="2AC870B1"/>
    <w:rsid w:val="2ACD0453"/>
    <w:rsid w:val="2AD02DA2"/>
    <w:rsid w:val="2AD03A9F"/>
    <w:rsid w:val="2AD20F52"/>
    <w:rsid w:val="2ADD7F15"/>
    <w:rsid w:val="2AF9671A"/>
    <w:rsid w:val="2AFC6642"/>
    <w:rsid w:val="2B083239"/>
    <w:rsid w:val="2B0B32AA"/>
    <w:rsid w:val="2B0D4CF3"/>
    <w:rsid w:val="2B136138"/>
    <w:rsid w:val="2B147E30"/>
    <w:rsid w:val="2B22254D"/>
    <w:rsid w:val="2B2362C5"/>
    <w:rsid w:val="2B2A3B5F"/>
    <w:rsid w:val="2B3202B6"/>
    <w:rsid w:val="2B3D0601"/>
    <w:rsid w:val="2B69017C"/>
    <w:rsid w:val="2B6A7A50"/>
    <w:rsid w:val="2B6D7540"/>
    <w:rsid w:val="2B797161"/>
    <w:rsid w:val="2B8509F5"/>
    <w:rsid w:val="2B9F3B9D"/>
    <w:rsid w:val="2BA22524"/>
    <w:rsid w:val="2BAB5869"/>
    <w:rsid w:val="2BAD162B"/>
    <w:rsid w:val="2BB92785"/>
    <w:rsid w:val="2BBD3A9A"/>
    <w:rsid w:val="2BC12DD8"/>
    <w:rsid w:val="2BCC0793"/>
    <w:rsid w:val="2BCC5554"/>
    <w:rsid w:val="2BD674FA"/>
    <w:rsid w:val="2BEA293F"/>
    <w:rsid w:val="2BEF2623"/>
    <w:rsid w:val="2BF37A45"/>
    <w:rsid w:val="2BF63C6E"/>
    <w:rsid w:val="2BF66346"/>
    <w:rsid w:val="2BFA0DD4"/>
    <w:rsid w:val="2C0734F1"/>
    <w:rsid w:val="2C083CA4"/>
    <w:rsid w:val="2C2801FE"/>
    <w:rsid w:val="2C3A1B18"/>
    <w:rsid w:val="2C3B2584"/>
    <w:rsid w:val="2C4D1042"/>
    <w:rsid w:val="2C6270DE"/>
    <w:rsid w:val="2C7843EE"/>
    <w:rsid w:val="2C7F6362"/>
    <w:rsid w:val="2CA106C8"/>
    <w:rsid w:val="2CA5304B"/>
    <w:rsid w:val="2CBB3A63"/>
    <w:rsid w:val="2CBC2ACC"/>
    <w:rsid w:val="2CC15D95"/>
    <w:rsid w:val="2CD930DF"/>
    <w:rsid w:val="2D147F30"/>
    <w:rsid w:val="2D1E6D44"/>
    <w:rsid w:val="2D2307FE"/>
    <w:rsid w:val="2D26209C"/>
    <w:rsid w:val="2D3A16A4"/>
    <w:rsid w:val="2D614E83"/>
    <w:rsid w:val="2D646060"/>
    <w:rsid w:val="2D6F57F1"/>
    <w:rsid w:val="2D8A6187"/>
    <w:rsid w:val="2D8B4C3E"/>
    <w:rsid w:val="2DA851F7"/>
    <w:rsid w:val="2DB9395B"/>
    <w:rsid w:val="2DC016CE"/>
    <w:rsid w:val="2DD67732"/>
    <w:rsid w:val="2DEE2BBA"/>
    <w:rsid w:val="2DF126AA"/>
    <w:rsid w:val="2DFF3C8A"/>
    <w:rsid w:val="2E075211"/>
    <w:rsid w:val="2E0F261D"/>
    <w:rsid w:val="2E162111"/>
    <w:rsid w:val="2E2E1209"/>
    <w:rsid w:val="2E39579B"/>
    <w:rsid w:val="2E3A36B1"/>
    <w:rsid w:val="2E3C1DE0"/>
    <w:rsid w:val="2E62259F"/>
    <w:rsid w:val="2E6723C4"/>
    <w:rsid w:val="2E8A57EA"/>
    <w:rsid w:val="2E9076F3"/>
    <w:rsid w:val="2E922D38"/>
    <w:rsid w:val="2E924DF5"/>
    <w:rsid w:val="2EB5460E"/>
    <w:rsid w:val="2EC17EC2"/>
    <w:rsid w:val="2ECD6C74"/>
    <w:rsid w:val="2F001B29"/>
    <w:rsid w:val="2F006B56"/>
    <w:rsid w:val="2F1200EA"/>
    <w:rsid w:val="2F353742"/>
    <w:rsid w:val="2F4F0A2B"/>
    <w:rsid w:val="2F7A7A2F"/>
    <w:rsid w:val="2F803160"/>
    <w:rsid w:val="2F956FA1"/>
    <w:rsid w:val="2FA12DB4"/>
    <w:rsid w:val="2FA15A0A"/>
    <w:rsid w:val="2FB47CB7"/>
    <w:rsid w:val="2FBF2D87"/>
    <w:rsid w:val="2FC0779E"/>
    <w:rsid w:val="2FC260AC"/>
    <w:rsid w:val="2FD86F99"/>
    <w:rsid w:val="2FEC4ED7"/>
    <w:rsid w:val="2FF61EA4"/>
    <w:rsid w:val="2FFF534B"/>
    <w:rsid w:val="300246FB"/>
    <w:rsid w:val="300E7816"/>
    <w:rsid w:val="301B1C51"/>
    <w:rsid w:val="301C48FC"/>
    <w:rsid w:val="301D237D"/>
    <w:rsid w:val="302C07E6"/>
    <w:rsid w:val="303F0CB9"/>
    <w:rsid w:val="30456776"/>
    <w:rsid w:val="305840F3"/>
    <w:rsid w:val="305875FE"/>
    <w:rsid w:val="306A027E"/>
    <w:rsid w:val="306C3781"/>
    <w:rsid w:val="30847806"/>
    <w:rsid w:val="308974AE"/>
    <w:rsid w:val="309335A5"/>
    <w:rsid w:val="30A90AC0"/>
    <w:rsid w:val="30B168D7"/>
    <w:rsid w:val="30B32878"/>
    <w:rsid w:val="30BC1939"/>
    <w:rsid w:val="30D304E7"/>
    <w:rsid w:val="30D53BBD"/>
    <w:rsid w:val="30E450F8"/>
    <w:rsid w:val="30FC2679"/>
    <w:rsid w:val="310D15A9"/>
    <w:rsid w:val="31222DDE"/>
    <w:rsid w:val="31331EC5"/>
    <w:rsid w:val="3134510C"/>
    <w:rsid w:val="31563F8A"/>
    <w:rsid w:val="31650BD6"/>
    <w:rsid w:val="318254C8"/>
    <w:rsid w:val="31890EE2"/>
    <w:rsid w:val="31B42CE8"/>
    <w:rsid w:val="31C04EAC"/>
    <w:rsid w:val="31CB6BC1"/>
    <w:rsid w:val="31CD2AE7"/>
    <w:rsid w:val="31D976E6"/>
    <w:rsid w:val="31DE7067"/>
    <w:rsid w:val="31EF4FC3"/>
    <w:rsid w:val="32086A25"/>
    <w:rsid w:val="3211678F"/>
    <w:rsid w:val="32194741"/>
    <w:rsid w:val="32393971"/>
    <w:rsid w:val="325F2EA3"/>
    <w:rsid w:val="326170B4"/>
    <w:rsid w:val="32670370"/>
    <w:rsid w:val="326B6B8C"/>
    <w:rsid w:val="32801B67"/>
    <w:rsid w:val="32891103"/>
    <w:rsid w:val="328F5FEE"/>
    <w:rsid w:val="32A115F8"/>
    <w:rsid w:val="32A45F3D"/>
    <w:rsid w:val="32A63A63"/>
    <w:rsid w:val="32D13B20"/>
    <w:rsid w:val="32D259FE"/>
    <w:rsid w:val="32D97E36"/>
    <w:rsid w:val="32DA5BD5"/>
    <w:rsid w:val="32EC3440"/>
    <w:rsid w:val="32EF3DF8"/>
    <w:rsid w:val="33095DA0"/>
    <w:rsid w:val="331D7A9E"/>
    <w:rsid w:val="333077D1"/>
    <w:rsid w:val="33354DE7"/>
    <w:rsid w:val="33356193"/>
    <w:rsid w:val="337A0D69"/>
    <w:rsid w:val="338470A7"/>
    <w:rsid w:val="339A3939"/>
    <w:rsid w:val="33A53D1B"/>
    <w:rsid w:val="33AF616C"/>
    <w:rsid w:val="33BA05EA"/>
    <w:rsid w:val="33BA63EC"/>
    <w:rsid w:val="33BB353F"/>
    <w:rsid w:val="34014CC9"/>
    <w:rsid w:val="342310E4"/>
    <w:rsid w:val="342844A1"/>
    <w:rsid w:val="342C5E5C"/>
    <w:rsid w:val="342F7B13"/>
    <w:rsid w:val="344A48C2"/>
    <w:rsid w:val="349D2C44"/>
    <w:rsid w:val="349D49F2"/>
    <w:rsid w:val="34A464B7"/>
    <w:rsid w:val="34A81041"/>
    <w:rsid w:val="34CD7FCC"/>
    <w:rsid w:val="34CE59EC"/>
    <w:rsid w:val="34D22A53"/>
    <w:rsid w:val="3507608E"/>
    <w:rsid w:val="35177A5C"/>
    <w:rsid w:val="352055B2"/>
    <w:rsid w:val="352276EB"/>
    <w:rsid w:val="35272C9F"/>
    <w:rsid w:val="354613F6"/>
    <w:rsid w:val="35472BB0"/>
    <w:rsid w:val="35507787"/>
    <w:rsid w:val="35513316"/>
    <w:rsid w:val="356815AA"/>
    <w:rsid w:val="356F47B8"/>
    <w:rsid w:val="358A17B4"/>
    <w:rsid w:val="358B7263"/>
    <w:rsid w:val="35B2399E"/>
    <w:rsid w:val="35CC1160"/>
    <w:rsid w:val="35D619C6"/>
    <w:rsid w:val="35D65462"/>
    <w:rsid w:val="35EA010B"/>
    <w:rsid w:val="35F67F15"/>
    <w:rsid w:val="35FE0BA4"/>
    <w:rsid w:val="36036E56"/>
    <w:rsid w:val="360A255B"/>
    <w:rsid w:val="361A0676"/>
    <w:rsid w:val="3628478F"/>
    <w:rsid w:val="3634327D"/>
    <w:rsid w:val="363A1903"/>
    <w:rsid w:val="364D2E6A"/>
    <w:rsid w:val="36545D30"/>
    <w:rsid w:val="36577B99"/>
    <w:rsid w:val="366175C4"/>
    <w:rsid w:val="36653A4C"/>
    <w:rsid w:val="366E044F"/>
    <w:rsid w:val="36705660"/>
    <w:rsid w:val="36707C35"/>
    <w:rsid w:val="36732F18"/>
    <w:rsid w:val="36820BD0"/>
    <w:rsid w:val="36832FFC"/>
    <w:rsid w:val="368C0307"/>
    <w:rsid w:val="36A302BA"/>
    <w:rsid w:val="36A4650C"/>
    <w:rsid w:val="36C570E9"/>
    <w:rsid w:val="36F909D9"/>
    <w:rsid w:val="36FD5C1C"/>
    <w:rsid w:val="37071057"/>
    <w:rsid w:val="3723525E"/>
    <w:rsid w:val="373B5B1F"/>
    <w:rsid w:val="3772660A"/>
    <w:rsid w:val="3790673F"/>
    <w:rsid w:val="379F6CD3"/>
    <w:rsid w:val="37A45EE1"/>
    <w:rsid w:val="37AC75E6"/>
    <w:rsid w:val="37B179ED"/>
    <w:rsid w:val="37B84BB6"/>
    <w:rsid w:val="37B855F7"/>
    <w:rsid w:val="37C02B01"/>
    <w:rsid w:val="37C07B1C"/>
    <w:rsid w:val="37C5116C"/>
    <w:rsid w:val="37C87FD8"/>
    <w:rsid w:val="37D1071F"/>
    <w:rsid w:val="37D64BA7"/>
    <w:rsid w:val="37D8392D"/>
    <w:rsid w:val="37DA6E30"/>
    <w:rsid w:val="37FF5D6B"/>
    <w:rsid w:val="38110874"/>
    <w:rsid w:val="38153296"/>
    <w:rsid w:val="3815565F"/>
    <w:rsid w:val="38165991"/>
    <w:rsid w:val="38170DDB"/>
    <w:rsid w:val="383C09C6"/>
    <w:rsid w:val="3840605A"/>
    <w:rsid w:val="38467D55"/>
    <w:rsid w:val="38501106"/>
    <w:rsid w:val="385737C4"/>
    <w:rsid w:val="385E4DA2"/>
    <w:rsid w:val="387404DF"/>
    <w:rsid w:val="387D16AB"/>
    <w:rsid w:val="38833DC6"/>
    <w:rsid w:val="388A0B58"/>
    <w:rsid w:val="38957564"/>
    <w:rsid w:val="389C2B50"/>
    <w:rsid w:val="38A35323"/>
    <w:rsid w:val="38BB2458"/>
    <w:rsid w:val="38CD7870"/>
    <w:rsid w:val="38DB2257"/>
    <w:rsid w:val="38DD575A"/>
    <w:rsid w:val="38E31861"/>
    <w:rsid w:val="38EF491F"/>
    <w:rsid w:val="39003390"/>
    <w:rsid w:val="39022116"/>
    <w:rsid w:val="39026893"/>
    <w:rsid w:val="39093C9F"/>
    <w:rsid w:val="391223B0"/>
    <w:rsid w:val="39160452"/>
    <w:rsid w:val="39160CDD"/>
    <w:rsid w:val="392113AA"/>
    <w:rsid w:val="393D3BE4"/>
    <w:rsid w:val="3948288A"/>
    <w:rsid w:val="3949030C"/>
    <w:rsid w:val="395E22C3"/>
    <w:rsid w:val="395F671A"/>
    <w:rsid w:val="396F1445"/>
    <w:rsid w:val="397C551E"/>
    <w:rsid w:val="398A6DE6"/>
    <w:rsid w:val="398E34A3"/>
    <w:rsid w:val="39947487"/>
    <w:rsid w:val="399F1C7F"/>
    <w:rsid w:val="39B12CEE"/>
    <w:rsid w:val="39C940DD"/>
    <w:rsid w:val="39D4274F"/>
    <w:rsid w:val="39E67069"/>
    <w:rsid w:val="39FC5C6D"/>
    <w:rsid w:val="3A070569"/>
    <w:rsid w:val="3A445FA5"/>
    <w:rsid w:val="3A4D6EBA"/>
    <w:rsid w:val="3A595F4B"/>
    <w:rsid w:val="3A72247D"/>
    <w:rsid w:val="3A751F6D"/>
    <w:rsid w:val="3A912821"/>
    <w:rsid w:val="3A924EA9"/>
    <w:rsid w:val="3AA2690E"/>
    <w:rsid w:val="3AA64E6D"/>
    <w:rsid w:val="3AAC1615"/>
    <w:rsid w:val="3AAD1707"/>
    <w:rsid w:val="3AB4098F"/>
    <w:rsid w:val="3AC4127C"/>
    <w:rsid w:val="3AD92191"/>
    <w:rsid w:val="3AE3280A"/>
    <w:rsid w:val="3AFB3495"/>
    <w:rsid w:val="3B0752BB"/>
    <w:rsid w:val="3B196D9D"/>
    <w:rsid w:val="3B273F0F"/>
    <w:rsid w:val="3B2B4A9C"/>
    <w:rsid w:val="3B392F9B"/>
    <w:rsid w:val="3B3F31F1"/>
    <w:rsid w:val="3B535A77"/>
    <w:rsid w:val="3B685AE3"/>
    <w:rsid w:val="3B844B5E"/>
    <w:rsid w:val="3B936B4F"/>
    <w:rsid w:val="3BA15C6B"/>
    <w:rsid w:val="3BA23236"/>
    <w:rsid w:val="3BA810F0"/>
    <w:rsid w:val="3BBA40DC"/>
    <w:rsid w:val="3BD34132"/>
    <w:rsid w:val="3BE940D8"/>
    <w:rsid w:val="3C090BBF"/>
    <w:rsid w:val="3C201D2A"/>
    <w:rsid w:val="3C270730"/>
    <w:rsid w:val="3C2F62BA"/>
    <w:rsid w:val="3C3C3C44"/>
    <w:rsid w:val="3C3C7B42"/>
    <w:rsid w:val="3C4D4F50"/>
    <w:rsid w:val="3C542748"/>
    <w:rsid w:val="3C566C8A"/>
    <w:rsid w:val="3C6607A7"/>
    <w:rsid w:val="3C767BB7"/>
    <w:rsid w:val="3C7F2D20"/>
    <w:rsid w:val="3C815550"/>
    <w:rsid w:val="3C8B7826"/>
    <w:rsid w:val="3C8E4BDD"/>
    <w:rsid w:val="3CB34B74"/>
    <w:rsid w:val="3CBE0C38"/>
    <w:rsid w:val="3CCB42CD"/>
    <w:rsid w:val="3CF43961"/>
    <w:rsid w:val="3CFD0719"/>
    <w:rsid w:val="3D000214"/>
    <w:rsid w:val="3D026DA3"/>
    <w:rsid w:val="3D0657A9"/>
    <w:rsid w:val="3D2A42A1"/>
    <w:rsid w:val="3D3A1978"/>
    <w:rsid w:val="3D4A5933"/>
    <w:rsid w:val="3D5E514C"/>
    <w:rsid w:val="3D64120B"/>
    <w:rsid w:val="3D6B3261"/>
    <w:rsid w:val="3D9C6FA1"/>
    <w:rsid w:val="3DA60DBB"/>
    <w:rsid w:val="3DAC503D"/>
    <w:rsid w:val="3DC50166"/>
    <w:rsid w:val="3DC833B9"/>
    <w:rsid w:val="3DD87ACC"/>
    <w:rsid w:val="3DDB1C14"/>
    <w:rsid w:val="3DE90FF7"/>
    <w:rsid w:val="3DF257B2"/>
    <w:rsid w:val="3DF77869"/>
    <w:rsid w:val="3DF876BB"/>
    <w:rsid w:val="3E0953D7"/>
    <w:rsid w:val="3E212A7E"/>
    <w:rsid w:val="3E241CE0"/>
    <w:rsid w:val="3E3562DB"/>
    <w:rsid w:val="3E4276DA"/>
    <w:rsid w:val="3E52360C"/>
    <w:rsid w:val="3E6B6375"/>
    <w:rsid w:val="3E7A27C8"/>
    <w:rsid w:val="3E8804C1"/>
    <w:rsid w:val="3E8D7BAE"/>
    <w:rsid w:val="3E9A6446"/>
    <w:rsid w:val="3EA17E90"/>
    <w:rsid w:val="3EA257D8"/>
    <w:rsid w:val="3EA5498E"/>
    <w:rsid w:val="3EAD14E4"/>
    <w:rsid w:val="3ECB15FE"/>
    <w:rsid w:val="3ED45DA4"/>
    <w:rsid w:val="3EE93D37"/>
    <w:rsid w:val="3EF552C3"/>
    <w:rsid w:val="3F051020"/>
    <w:rsid w:val="3F200698"/>
    <w:rsid w:val="3F3B5533"/>
    <w:rsid w:val="3F650802"/>
    <w:rsid w:val="3F674A08"/>
    <w:rsid w:val="3F725B4F"/>
    <w:rsid w:val="3F7722E4"/>
    <w:rsid w:val="3F80043B"/>
    <w:rsid w:val="3F930BD7"/>
    <w:rsid w:val="3FA24D3D"/>
    <w:rsid w:val="3FA5067B"/>
    <w:rsid w:val="3FBA731C"/>
    <w:rsid w:val="3FC26BF7"/>
    <w:rsid w:val="3FCA4B09"/>
    <w:rsid w:val="3FCC2AB9"/>
    <w:rsid w:val="3FD014BF"/>
    <w:rsid w:val="3FDA7850"/>
    <w:rsid w:val="3FE03B95"/>
    <w:rsid w:val="3FE07E89"/>
    <w:rsid w:val="3FF27CBD"/>
    <w:rsid w:val="3FF35E0E"/>
    <w:rsid w:val="3FFA53EF"/>
    <w:rsid w:val="400B75FC"/>
    <w:rsid w:val="400F7FED"/>
    <w:rsid w:val="4024388F"/>
    <w:rsid w:val="404104F9"/>
    <w:rsid w:val="40491B67"/>
    <w:rsid w:val="404F780F"/>
    <w:rsid w:val="40646D0C"/>
    <w:rsid w:val="406E1939"/>
    <w:rsid w:val="407E5EC7"/>
    <w:rsid w:val="40952674"/>
    <w:rsid w:val="409B660A"/>
    <w:rsid w:val="40C04648"/>
    <w:rsid w:val="40C559FD"/>
    <w:rsid w:val="40C652D1"/>
    <w:rsid w:val="40C81AA1"/>
    <w:rsid w:val="40C96B6F"/>
    <w:rsid w:val="40D235CB"/>
    <w:rsid w:val="40E02836"/>
    <w:rsid w:val="40E24800"/>
    <w:rsid w:val="40ED4F53"/>
    <w:rsid w:val="40F97CA8"/>
    <w:rsid w:val="4130416B"/>
    <w:rsid w:val="41434B73"/>
    <w:rsid w:val="414D4591"/>
    <w:rsid w:val="41547434"/>
    <w:rsid w:val="41572EDD"/>
    <w:rsid w:val="415F13B8"/>
    <w:rsid w:val="41727207"/>
    <w:rsid w:val="417D62D7"/>
    <w:rsid w:val="41855DCC"/>
    <w:rsid w:val="418B7B3D"/>
    <w:rsid w:val="41916F22"/>
    <w:rsid w:val="41936916"/>
    <w:rsid w:val="419F1A85"/>
    <w:rsid w:val="419F3CB9"/>
    <w:rsid w:val="41AC554D"/>
    <w:rsid w:val="41C218EF"/>
    <w:rsid w:val="41D774D7"/>
    <w:rsid w:val="41DD0B24"/>
    <w:rsid w:val="41EF4FC8"/>
    <w:rsid w:val="42010997"/>
    <w:rsid w:val="420C686B"/>
    <w:rsid w:val="4211496E"/>
    <w:rsid w:val="42132798"/>
    <w:rsid w:val="42145339"/>
    <w:rsid w:val="42215775"/>
    <w:rsid w:val="422B389D"/>
    <w:rsid w:val="423867A0"/>
    <w:rsid w:val="424E4D56"/>
    <w:rsid w:val="42585666"/>
    <w:rsid w:val="426600CC"/>
    <w:rsid w:val="426601FF"/>
    <w:rsid w:val="426614C1"/>
    <w:rsid w:val="426845A9"/>
    <w:rsid w:val="42703746"/>
    <w:rsid w:val="427C658F"/>
    <w:rsid w:val="42847B98"/>
    <w:rsid w:val="429A1953"/>
    <w:rsid w:val="42A870CD"/>
    <w:rsid w:val="42BD668F"/>
    <w:rsid w:val="43040332"/>
    <w:rsid w:val="430B098D"/>
    <w:rsid w:val="43120CA1"/>
    <w:rsid w:val="431F797E"/>
    <w:rsid w:val="43526A49"/>
    <w:rsid w:val="435C1F1C"/>
    <w:rsid w:val="435C20A1"/>
    <w:rsid w:val="437A20F9"/>
    <w:rsid w:val="437C1317"/>
    <w:rsid w:val="437C5EA6"/>
    <w:rsid w:val="437E699C"/>
    <w:rsid w:val="43823E4F"/>
    <w:rsid w:val="438374A9"/>
    <w:rsid w:val="43A01E09"/>
    <w:rsid w:val="43B607B7"/>
    <w:rsid w:val="43BF2BD7"/>
    <w:rsid w:val="43C3013B"/>
    <w:rsid w:val="43C97FA6"/>
    <w:rsid w:val="43CF590D"/>
    <w:rsid w:val="43DE12E4"/>
    <w:rsid w:val="43DF446B"/>
    <w:rsid w:val="43E6208F"/>
    <w:rsid w:val="43F30F63"/>
    <w:rsid w:val="441D565F"/>
    <w:rsid w:val="441E5F59"/>
    <w:rsid w:val="442567B2"/>
    <w:rsid w:val="44266B5B"/>
    <w:rsid w:val="44475A87"/>
    <w:rsid w:val="44493255"/>
    <w:rsid w:val="44507CD3"/>
    <w:rsid w:val="4457512C"/>
    <w:rsid w:val="445F5DBB"/>
    <w:rsid w:val="448654A3"/>
    <w:rsid w:val="44935E12"/>
    <w:rsid w:val="44953938"/>
    <w:rsid w:val="449C1F67"/>
    <w:rsid w:val="449E32A8"/>
    <w:rsid w:val="449E42F6"/>
    <w:rsid w:val="44B33DBE"/>
    <w:rsid w:val="44B62729"/>
    <w:rsid w:val="44BE1658"/>
    <w:rsid w:val="44C012D8"/>
    <w:rsid w:val="44C06D59"/>
    <w:rsid w:val="44C80041"/>
    <w:rsid w:val="44D501D8"/>
    <w:rsid w:val="44DC790A"/>
    <w:rsid w:val="45307391"/>
    <w:rsid w:val="4536001D"/>
    <w:rsid w:val="4555637F"/>
    <w:rsid w:val="456B71F2"/>
    <w:rsid w:val="45765089"/>
    <w:rsid w:val="4588136C"/>
    <w:rsid w:val="459C0CF6"/>
    <w:rsid w:val="459C5503"/>
    <w:rsid w:val="45A602D1"/>
    <w:rsid w:val="45AD2F03"/>
    <w:rsid w:val="45C2075D"/>
    <w:rsid w:val="45C66607"/>
    <w:rsid w:val="45E723BF"/>
    <w:rsid w:val="45F8417E"/>
    <w:rsid w:val="46190610"/>
    <w:rsid w:val="46445615"/>
    <w:rsid w:val="464C1D63"/>
    <w:rsid w:val="46523D9B"/>
    <w:rsid w:val="4657638A"/>
    <w:rsid w:val="46582E6F"/>
    <w:rsid w:val="46696B98"/>
    <w:rsid w:val="466E1481"/>
    <w:rsid w:val="4677351B"/>
    <w:rsid w:val="467B6B5D"/>
    <w:rsid w:val="467D28D5"/>
    <w:rsid w:val="468769F3"/>
    <w:rsid w:val="468974CC"/>
    <w:rsid w:val="468D4A18"/>
    <w:rsid w:val="46955008"/>
    <w:rsid w:val="46A32772"/>
    <w:rsid w:val="46D00C57"/>
    <w:rsid w:val="46ED1809"/>
    <w:rsid w:val="46F459F4"/>
    <w:rsid w:val="47131BFB"/>
    <w:rsid w:val="471D6BB8"/>
    <w:rsid w:val="471F15AF"/>
    <w:rsid w:val="47257239"/>
    <w:rsid w:val="473B3BEA"/>
    <w:rsid w:val="473D4EEF"/>
    <w:rsid w:val="4748547E"/>
    <w:rsid w:val="475A2C17"/>
    <w:rsid w:val="47833F1C"/>
    <w:rsid w:val="478A4FEE"/>
    <w:rsid w:val="478B054B"/>
    <w:rsid w:val="47925F0D"/>
    <w:rsid w:val="479271AB"/>
    <w:rsid w:val="47C05A64"/>
    <w:rsid w:val="47CE42F3"/>
    <w:rsid w:val="47DB1E1E"/>
    <w:rsid w:val="47EA5CEF"/>
    <w:rsid w:val="480D1A37"/>
    <w:rsid w:val="481161CC"/>
    <w:rsid w:val="481C7392"/>
    <w:rsid w:val="481D065D"/>
    <w:rsid w:val="48205DD0"/>
    <w:rsid w:val="4825621B"/>
    <w:rsid w:val="4838131C"/>
    <w:rsid w:val="484029C6"/>
    <w:rsid w:val="484A3DA7"/>
    <w:rsid w:val="488137F7"/>
    <w:rsid w:val="489108BA"/>
    <w:rsid w:val="48965A61"/>
    <w:rsid w:val="489B22DD"/>
    <w:rsid w:val="48AA57E5"/>
    <w:rsid w:val="48AC05C9"/>
    <w:rsid w:val="48B06FCF"/>
    <w:rsid w:val="48DF6BA7"/>
    <w:rsid w:val="48ED35B0"/>
    <w:rsid w:val="48EE4096"/>
    <w:rsid w:val="49125F78"/>
    <w:rsid w:val="49206389"/>
    <w:rsid w:val="49215893"/>
    <w:rsid w:val="4925762B"/>
    <w:rsid w:val="492F531F"/>
    <w:rsid w:val="49311E2D"/>
    <w:rsid w:val="494C26D0"/>
    <w:rsid w:val="49641B2B"/>
    <w:rsid w:val="49794275"/>
    <w:rsid w:val="497C6E74"/>
    <w:rsid w:val="49801DB1"/>
    <w:rsid w:val="49A563CB"/>
    <w:rsid w:val="49B123F5"/>
    <w:rsid w:val="49B50BE5"/>
    <w:rsid w:val="49BD3C89"/>
    <w:rsid w:val="49CD5922"/>
    <w:rsid w:val="49DC11DB"/>
    <w:rsid w:val="49E30CA1"/>
    <w:rsid w:val="49EF0950"/>
    <w:rsid w:val="4A013479"/>
    <w:rsid w:val="4A2A2D74"/>
    <w:rsid w:val="4A361719"/>
    <w:rsid w:val="4A4E7043"/>
    <w:rsid w:val="4A532F30"/>
    <w:rsid w:val="4A537A00"/>
    <w:rsid w:val="4A67089F"/>
    <w:rsid w:val="4A6C6EE9"/>
    <w:rsid w:val="4A77281B"/>
    <w:rsid w:val="4A873D23"/>
    <w:rsid w:val="4A895CED"/>
    <w:rsid w:val="4A9B157C"/>
    <w:rsid w:val="4AB14B6C"/>
    <w:rsid w:val="4AD54756"/>
    <w:rsid w:val="4AE56F6F"/>
    <w:rsid w:val="4B1F21AD"/>
    <w:rsid w:val="4B3317B5"/>
    <w:rsid w:val="4B423A85"/>
    <w:rsid w:val="4B52107B"/>
    <w:rsid w:val="4B5D6832"/>
    <w:rsid w:val="4B5E0F27"/>
    <w:rsid w:val="4B666DB7"/>
    <w:rsid w:val="4B7668BA"/>
    <w:rsid w:val="4B7778F3"/>
    <w:rsid w:val="4B893ACB"/>
    <w:rsid w:val="4B905A39"/>
    <w:rsid w:val="4B971D44"/>
    <w:rsid w:val="4B9C37FE"/>
    <w:rsid w:val="4BA27013"/>
    <w:rsid w:val="4BA4221E"/>
    <w:rsid w:val="4BC76DB5"/>
    <w:rsid w:val="4BC82845"/>
    <w:rsid w:val="4BCE093E"/>
    <w:rsid w:val="4BF957B2"/>
    <w:rsid w:val="4C055307"/>
    <w:rsid w:val="4C11041E"/>
    <w:rsid w:val="4C226976"/>
    <w:rsid w:val="4C2A53C8"/>
    <w:rsid w:val="4C343A36"/>
    <w:rsid w:val="4C481290"/>
    <w:rsid w:val="4C4A4D5B"/>
    <w:rsid w:val="4C50431F"/>
    <w:rsid w:val="4C555ECC"/>
    <w:rsid w:val="4C60482B"/>
    <w:rsid w:val="4C6836E0"/>
    <w:rsid w:val="4C6870EB"/>
    <w:rsid w:val="4C6D5E8C"/>
    <w:rsid w:val="4C6F2CC0"/>
    <w:rsid w:val="4C7F630D"/>
    <w:rsid w:val="4C8E3AA7"/>
    <w:rsid w:val="4CAF7561"/>
    <w:rsid w:val="4CB70DEF"/>
    <w:rsid w:val="4CCA390C"/>
    <w:rsid w:val="4CF625EB"/>
    <w:rsid w:val="4CF7339A"/>
    <w:rsid w:val="4D021D86"/>
    <w:rsid w:val="4D28011D"/>
    <w:rsid w:val="4D2B4C2A"/>
    <w:rsid w:val="4D350F01"/>
    <w:rsid w:val="4D3847DA"/>
    <w:rsid w:val="4D3B4EC4"/>
    <w:rsid w:val="4D606F0B"/>
    <w:rsid w:val="4D73058E"/>
    <w:rsid w:val="4D773A25"/>
    <w:rsid w:val="4D811048"/>
    <w:rsid w:val="4D866514"/>
    <w:rsid w:val="4DC8252A"/>
    <w:rsid w:val="4DC86AEF"/>
    <w:rsid w:val="4DD04905"/>
    <w:rsid w:val="4DEE01EB"/>
    <w:rsid w:val="4DF036EE"/>
    <w:rsid w:val="4DF74696"/>
    <w:rsid w:val="4DF80AFB"/>
    <w:rsid w:val="4E0E2C9E"/>
    <w:rsid w:val="4E2875CB"/>
    <w:rsid w:val="4E2B0F4A"/>
    <w:rsid w:val="4E34765B"/>
    <w:rsid w:val="4E3C4E24"/>
    <w:rsid w:val="4E597784"/>
    <w:rsid w:val="4E5C41AE"/>
    <w:rsid w:val="4E816CDB"/>
    <w:rsid w:val="4EB07B59"/>
    <w:rsid w:val="4EC46F4A"/>
    <w:rsid w:val="4EC71A94"/>
    <w:rsid w:val="4ECF3EEA"/>
    <w:rsid w:val="4ED66E64"/>
    <w:rsid w:val="4ED97DE9"/>
    <w:rsid w:val="4EEE450B"/>
    <w:rsid w:val="4EF3410F"/>
    <w:rsid w:val="4EF52F57"/>
    <w:rsid w:val="4EFB6A8D"/>
    <w:rsid w:val="4EFD580D"/>
    <w:rsid w:val="4F020FAD"/>
    <w:rsid w:val="4F165675"/>
    <w:rsid w:val="4F1E08DD"/>
    <w:rsid w:val="4F221E1E"/>
    <w:rsid w:val="4F22334E"/>
    <w:rsid w:val="4F231B40"/>
    <w:rsid w:val="4F2C7638"/>
    <w:rsid w:val="4F2F2D76"/>
    <w:rsid w:val="4F3968C1"/>
    <w:rsid w:val="4F427106"/>
    <w:rsid w:val="4F443F90"/>
    <w:rsid w:val="4F506B2E"/>
    <w:rsid w:val="4F5D25C0"/>
    <w:rsid w:val="4F5E2373"/>
    <w:rsid w:val="4F7E604E"/>
    <w:rsid w:val="4F83249A"/>
    <w:rsid w:val="4F9B372A"/>
    <w:rsid w:val="4FA94C3E"/>
    <w:rsid w:val="4FB369EF"/>
    <w:rsid w:val="4FB76DD3"/>
    <w:rsid w:val="4FC41575"/>
    <w:rsid w:val="4FD47418"/>
    <w:rsid w:val="4FD86DCF"/>
    <w:rsid w:val="4FDF2F1A"/>
    <w:rsid w:val="4FE433C6"/>
    <w:rsid w:val="4FE70635"/>
    <w:rsid w:val="4FE912AB"/>
    <w:rsid w:val="502C2D69"/>
    <w:rsid w:val="50322DB2"/>
    <w:rsid w:val="50353D00"/>
    <w:rsid w:val="503E6C32"/>
    <w:rsid w:val="50413EB8"/>
    <w:rsid w:val="504F2D57"/>
    <w:rsid w:val="50557473"/>
    <w:rsid w:val="50595B5D"/>
    <w:rsid w:val="505D7E9B"/>
    <w:rsid w:val="50811214"/>
    <w:rsid w:val="508A631B"/>
    <w:rsid w:val="50900A3A"/>
    <w:rsid w:val="509E1DC6"/>
    <w:rsid w:val="50A0099F"/>
    <w:rsid w:val="50B97E2D"/>
    <w:rsid w:val="50C90919"/>
    <w:rsid w:val="50EB2256"/>
    <w:rsid w:val="50F560D9"/>
    <w:rsid w:val="5100482F"/>
    <w:rsid w:val="51072BF7"/>
    <w:rsid w:val="51093901"/>
    <w:rsid w:val="510B68C0"/>
    <w:rsid w:val="51272EB1"/>
    <w:rsid w:val="515C7B07"/>
    <w:rsid w:val="516E3AE8"/>
    <w:rsid w:val="517777E4"/>
    <w:rsid w:val="517A4EB9"/>
    <w:rsid w:val="518A2FCF"/>
    <w:rsid w:val="5190705D"/>
    <w:rsid w:val="5198562E"/>
    <w:rsid w:val="51A84704"/>
    <w:rsid w:val="51AC0513"/>
    <w:rsid w:val="51B05393"/>
    <w:rsid w:val="51D90756"/>
    <w:rsid w:val="51DA5273"/>
    <w:rsid w:val="51E0663B"/>
    <w:rsid w:val="51E754ED"/>
    <w:rsid w:val="51FB1F8F"/>
    <w:rsid w:val="521045FE"/>
    <w:rsid w:val="523A55D3"/>
    <w:rsid w:val="524F15A6"/>
    <w:rsid w:val="52510EE3"/>
    <w:rsid w:val="5257167A"/>
    <w:rsid w:val="52583ACD"/>
    <w:rsid w:val="525E763E"/>
    <w:rsid w:val="526F1F4E"/>
    <w:rsid w:val="52716554"/>
    <w:rsid w:val="52775881"/>
    <w:rsid w:val="527D6D4D"/>
    <w:rsid w:val="527E02C3"/>
    <w:rsid w:val="52A7776D"/>
    <w:rsid w:val="52B5143A"/>
    <w:rsid w:val="52C938E1"/>
    <w:rsid w:val="52D615E9"/>
    <w:rsid w:val="52D90E94"/>
    <w:rsid w:val="52FB705C"/>
    <w:rsid w:val="52FF0538"/>
    <w:rsid w:val="531243A6"/>
    <w:rsid w:val="53213A40"/>
    <w:rsid w:val="532A5B93"/>
    <w:rsid w:val="532B4880"/>
    <w:rsid w:val="534122A6"/>
    <w:rsid w:val="53423812"/>
    <w:rsid w:val="53497A91"/>
    <w:rsid w:val="534C7DAC"/>
    <w:rsid w:val="536015B5"/>
    <w:rsid w:val="5367649F"/>
    <w:rsid w:val="53786C46"/>
    <w:rsid w:val="537B5903"/>
    <w:rsid w:val="537D596F"/>
    <w:rsid w:val="538A6632"/>
    <w:rsid w:val="53940385"/>
    <w:rsid w:val="53B11E10"/>
    <w:rsid w:val="53BA0CC5"/>
    <w:rsid w:val="53BF7C6C"/>
    <w:rsid w:val="53C005F6"/>
    <w:rsid w:val="53CF231A"/>
    <w:rsid w:val="53E10607"/>
    <w:rsid w:val="53E775E0"/>
    <w:rsid w:val="53F16BC7"/>
    <w:rsid w:val="53F577CC"/>
    <w:rsid w:val="540C1DDD"/>
    <w:rsid w:val="540F204F"/>
    <w:rsid w:val="541A1764"/>
    <w:rsid w:val="541A5C08"/>
    <w:rsid w:val="541D768B"/>
    <w:rsid w:val="542720D3"/>
    <w:rsid w:val="542A78FC"/>
    <w:rsid w:val="54492AD9"/>
    <w:rsid w:val="544D38E7"/>
    <w:rsid w:val="54545803"/>
    <w:rsid w:val="545B29F3"/>
    <w:rsid w:val="54767FCC"/>
    <w:rsid w:val="547C2477"/>
    <w:rsid w:val="548D226F"/>
    <w:rsid w:val="54982858"/>
    <w:rsid w:val="54A01A4A"/>
    <w:rsid w:val="54B26CE6"/>
    <w:rsid w:val="54C158B9"/>
    <w:rsid w:val="54CF56D2"/>
    <w:rsid w:val="54D46031"/>
    <w:rsid w:val="54D7233D"/>
    <w:rsid w:val="54E62062"/>
    <w:rsid w:val="54E9106D"/>
    <w:rsid w:val="54ED50CA"/>
    <w:rsid w:val="54F50AA3"/>
    <w:rsid w:val="54FE4BE1"/>
    <w:rsid w:val="550A7A2A"/>
    <w:rsid w:val="550B21AD"/>
    <w:rsid w:val="5513580D"/>
    <w:rsid w:val="55144405"/>
    <w:rsid w:val="551B2E31"/>
    <w:rsid w:val="552733C1"/>
    <w:rsid w:val="553954C4"/>
    <w:rsid w:val="55510238"/>
    <w:rsid w:val="55654C60"/>
    <w:rsid w:val="556876AD"/>
    <w:rsid w:val="556B0CBF"/>
    <w:rsid w:val="557B26D6"/>
    <w:rsid w:val="557C0F0D"/>
    <w:rsid w:val="558C4D90"/>
    <w:rsid w:val="55913CA7"/>
    <w:rsid w:val="55A10B0C"/>
    <w:rsid w:val="55A4285F"/>
    <w:rsid w:val="55B20DA6"/>
    <w:rsid w:val="55BD65F4"/>
    <w:rsid w:val="55C6154B"/>
    <w:rsid w:val="55E96D02"/>
    <w:rsid w:val="55F73A99"/>
    <w:rsid w:val="56006C32"/>
    <w:rsid w:val="560731C9"/>
    <w:rsid w:val="56220DA3"/>
    <w:rsid w:val="56254FD3"/>
    <w:rsid w:val="56283A75"/>
    <w:rsid w:val="56296B2A"/>
    <w:rsid w:val="56431446"/>
    <w:rsid w:val="564451BE"/>
    <w:rsid w:val="565030C5"/>
    <w:rsid w:val="56680EAC"/>
    <w:rsid w:val="56766566"/>
    <w:rsid w:val="56861332"/>
    <w:rsid w:val="56903F5F"/>
    <w:rsid w:val="569C2904"/>
    <w:rsid w:val="569D4227"/>
    <w:rsid w:val="56B85264"/>
    <w:rsid w:val="56BA2B6E"/>
    <w:rsid w:val="56EF4990"/>
    <w:rsid w:val="56F0144F"/>
    <w:rsid w:val="56F03CB1"/>
    <w:rsid w:val="56F42740"/>
    <w:rsid w:val="570C7D5E"/>
    <w:rsid w:val="570D3802"/>
    <w:rsid w:val="571654CE"/>
    <w:rsid w:val="571F7091"/>
    <w:rsid w:val="57236B81"/>
    <w:rsid w:val="572F7B62"/>
    <w:rsid w:val="57327F9E"/>
    <w:rsid w:val="57391B27"/>
    <w:rsid w:val="574014E1"/>
    <w:rsid w:val="57463B41"/>
    <w:rsid w:val="574A5644"/>
    <w:rsid w:val="574E404B"/>
    <w:rsid w:val="57580F21"/>
    <w:rsid w:val="576D24F2"/>
    <w:rsid w:val="57702001"/>
    <w:rsid w:val="57715B3F"/>
    <w:rsid w:val="57730263"/>
    <w:rsid w:val="578A6C00"/>
    <w:rsid w:val="579A66C8"/>
    <w:rsid w:val="57AB5FF9"/>
    <w:rsid w:val="57B51470"/>
    <w:rsid w:val="57BE7B82"/>
    <w:rsid w:val="57C02622"/>
    <w:rsid w:val="57C16588"/>
    <w:rsid w:val="57CD239A"/>
    <w:rsid w:val="57DB3900"/>
    <w:rsid w:val="57F3498C"/>
    <w:rsid w:val="58017371"/>
    <w:rsid w:val="58063BD7"/>
    <w:rsid w:val="58195C09"/>
    <w:rsid w:val="581D5CC6"/>
    <w:rsid w:val="58244A86"/>
    <w:rsid w:val="582C415B"/>
    <w:rsid w:val="582C5C37"/>
    <w:rsid w:val="5833642D"/>
    <w:rsid w:val="583D04CC"/>
    <w:rsid w:val="583F708B"/>
    <w:rsid w:val="584F6007"/>
    <w:rsid w:val="58692CBA"/>
    <w:rsid w:val="58727DC0"/>
    <w:rsid w:val="587D5E50"/>
    <w:rsid w:val="58877447"/>
    <w:rsid w:val="589C4E3D"/>
    <w:rsid w:val="58B21713"/>
    <w:rsid w:val="58BD5526"/>
    <w:rsid w:val="58C84AAE"/>
    <w:rsid w:val="58D71F45"/>
    <w:rsid w:val="58DB1FB3"/>
    <w:rsid w:val="58E31EE2"/>
    <w:rsid w:val="58FA58E3"/>
    <w:rsid w:val="5904088C"/>
    <w:rsid w:val="59103135"/>
    <w:rsid w:val="59115434"/>
    <w:rsid w:val="59144FFB"/>
    <w:rsid w:val="59215342"/>
    <w:rsid w:val="5925000B"/>
    <w:rsid w:val="592F79E5"/>
    <w:rsid w:val="59376914"/>
    <w:rsid w:val="594341C7"/>
    <w:rsid w:val="59545718"/>
    <w:rsid w:val="595F5BDC"/>
    <w:rsid w:val="59606C7D"/>
    <w:rsid w:val="59635CB4"/>
    <w:rsid w:val="597823D6"/>
    <w:rsid w:val="597B335B"/>
    <w:rsid w:val="59820483"/>
    <w:rsid w:val="5983375D"/>
    <w:rsid w:val="599E62C5"/>
    <w:rsid w:val="59C83E99"/>
    <w:rsid w:val="59D2488F"/>
    <w:rsid w:val="59D91176"/>
    <w:rsid w:val="59E94AAD"/>
    <w:rsid w:val="5A016AB7"/>
    <w:rsid w:val="5A137381"/>
    <w:rsid w:val="5A292701"/>
    <w:rsid w:val="5A362609"/>
    <w:rsid w:val="5A4A272E"/>
    <w:rsid w:val="5A582080"/>
    <w:rsid w:val="5A753A17"/>
    <w:rsid w:val="5A7622F9"/>
    <w:rsid w:val="5A7C097F"/>
    <w:rsid w:val="5A7F0572"/>
    <w:rsid w:val="5A833B8D"/>
    <w:rsid w:val="5A871B1D"/>
    <w:rsid w:val="5A912114"/>
    <w:rsid w:val="5A987435"/>
    <w:rsid w:val="5AA16F64"/>
    <w:rsid w:val="5AB7165F"/>
    <w:rsid w:val="5ACC12DE"/>
    <w:rsid w:val="5ADD771F"/>
    <w:rsid w:val="5AE80FC4"/>
    <w:rsid w:val="5AF97E4B"/>
    <w:rsid w:val="5B1E76C6"/>
    <w:rsid w:val="5B2A0DF4"/>
    <w:rsid w:val="5B49484F"/>
    <w:rsid w:val="5B4C4290"/>
    <w:rsid w:val="5B4E6197"/>
    <w:rsid w:val="5B5D4649"/>
    <w:rsid w:val="5B7D0D0B"/>
    <w:rsid w:val="5B89229B"/>
    <w:rsid w:val="5BA80312"/>
    <w:rsid w:val="5BB71F8E"/>
    <w:rsid w:val="5BE847EF"/>
    <w:rsid w:val="5BED0BE1"/>
    <w:rsid w:val="5BED59B0"/>
    <w:rsid w:val="5BFC5BF3"/>
    <w:rsid w:val="5C0D57C0"/>
    <w:rsid w:val="5C1F6E31"/>
    <w:rsid w:val="5C2B483B"/>
    <w:rsid w:val="5C3631E6"/>
    <w:rsid w:val="5C545A2F"/>
    <w:rsid w:val="5C55730B"/>
    <w:rsid w:val="5C5C6C96"/>
    <w:rsid w:val="5C5C775E"/>
    <w:rsid w:val="5C957AD2"/>
    <w:rsid w:val="5CC069BB"/>
    <w:rsid w:val="5CD37BDA"/>
    <w:rsid w:val="5CE40B61"/>
    <w:rsid w:val="5CE80A78"/>
    <w:rsid w:val="5CEC5C67"/>
    <w:rsid w:val="5CF60430"/>
    <w:rsid w:val="5D0843A0"/>
    <w:rsid w:val="5D094830"/>
    <w:rsid w:val="5D3D5415"/>
    <w:rsid w:val="5D494E68"/>
    <w:rsid w:val="5D5104A8"/>
    <w:rsid w:val="5D547E2D"/>
    <w:rsid w:val="5D564930"/>
    <w:rsid w:val="5D6310FC"/>
    <w:rsid w:val="5D6416C7"/>
    <w:rsid w:val="5D902A97"/>
    <w:rsid w:val="5D972077"/>
    <w:rsid w:val="5D9C143B"/>
    <w:rsid w:val="5DA1152C"/>
    <w:rsid w:val="5DA86032"/>
    <w:rsid w:val="5DB76B36"/>
    <w:rsid w:val="5DB95C53"/>
    <w:rsid w:val="5DBA7B13"/>
    <w:rsid w:val="5DC7460B"/>
    <w:rsid w:val="5DD701D5"/>
    <w:rsid w:val="5DE22CD9"/>
    <w:rsid w:val="5DE54B90"/>
    <w:rsid w:val="5DF66D9E"/>
    <w:rsid w:val="5DFB763C"/>
    <w:rsid w:val="5E0943D3"/>
    <w:rsid w:val="5E0A5DAE"/>
    <w:rsid w:val="5E1308B2"/>
    <w:rsid w:val="5E1B6804"/>
    <w:rsid w:val="5E1C668F"/>
    <w:rsid w:val="5E20787C"/>
    <w:rsid w:val="5E261785"/>
    <w:rsid w:val="5E2D1110"/>
    <w:rsid w:val="5E4C19C5"/>
    <w:rsid w:val="5E5A682E"/>
    <w:rsid w:val="5E604B5F"/>
    <w:rsid w:val="5E710B1A"/>
    <w:rsid w:val="5E77028A"/>
    <w:rsid w:val="5E9A264D"/>
    <w:rsid w:val="5EAC3AC6"/>
    <w:rsid w:val="5ED44880"/>
    <w:rsid w:val="5ED50624"/>
    <w:rsid w:val="5EDB472C"/>
    <w:rsid w:val="5EE508BE"/>
    <w:rsid w:val="5EF77271"/>
    <w:rsid w:val="5EFC4888"/>
    <w:rsid w:val="5F061262"/>
    <w:rsid w:val="5F1E086E"/>
    <w:rsid w:val="5F2A04DC"/>
    <w:rsid w:val="5F2D0FD5"/>
    <w:rsid w:val="5F2D2C93"/>
    <w:rsid w:val="5F3209BE"/>
    <w:rsid w:val="5F4253D5"/>
    <w:rsid w:val="5F494D5F"/>
    <w:rsid w:val="5F496999"/>
    <w:rsid w:val="5F574BF4"/>
    <w:rsid w:val="5F5E109E"/>
    <w:rsid w:val="5F646C0E"/>
    <w:rsid w:val="5F7104A2"/>
    <w:rsid w:val="5F7F5A92"/>
    <w:rsid w:val="5FAA3AFF"/>
    <w:rsid w:val="5FAA42E4"/>
    <w:rsid w:val="5FD2200A"/>
    <w:rsid w:val="5FDE3F8D"/>
    <w:rsid w:val="5FEB5BEE"/>
    <w:rsid w:val="5FEE511D"/>
    <w:rsid w:val="5FF37856"/>
    <w:rsid w:val="5FFB68ED"/>
    <w:rsid w:val="60017C7C"/>
    <w:rsid w:val="601147A8"/>
    <w:rsid w:val="60122426"/>
    <w:rsid w:val="60162A83"/>
    <w:rsid w:val="601F7341"/>
    <w:rsid w:val="60204DC3"/>
    <w:rsid w:val="602C0C94"/>
    <w:rsid w:val="60455DBA"/>
    <w:rsid w:val="60465003"/>
    <w:rsid w:val="604751DF"/>
    <w:rsid w:val="60526897"/>
    <w:rsid w:val="606F4BE5"/>
    <w:rsid w:val="608337E2"/>
    <w:rsid w:val="608E53F7"/>
    <w:rsid w:val="60911000"/>
    <w:rsid w:val="60CC7BCA"/>
    <w:rsid w:val="60CE4002"/>
    <w:rsid w:val="60CF3C9C"/>
    <w:rsid w:val="60DD5FF3"/>
    <w:rsid w:val="60E31383"/>
    <w:rsid w:val="612A49BF"/>
    <w:rsid w:val="61414E9A"/>
    <w:rsid w:val="614800A8"/>
    <w:rsid w:val="615C785F"/>
    <w:rsid w:val="6160574F"/>
    <w:rsid w:val="616F3EC5"/>
    <w:rsid w:val="617E0582"/>
    <w:rsid w:val="618D7518"/>
    <w:rsid w:val="61A044DF"/>
    <w:rsid w:val="61A13D7C"/>
    <w:rsid w:val="61A94127"/>
    <w:rsid w:val="61B23ED4"/>
    <w:rsid w:val="61C84EF5"/>
    <w:rsid w:val="61CF672E"/>
    <w:rsid w:val="61D81D7A"/>
    <w:rsid w:val="61E57855"/>
    <w:rsid w:val="61E810AF"/>
    <w:rsid w:val="61E84F66"/>
    <w:rsid w:val="61EB1A5A"/>
    <w:rsid w:val="61F142E6"/>
    <w:rsid w:val="6207356F"/>
    <w:rsid w:val="62165C9F"/>
    <w:rsid w:val="62182C5D"/>
    <w:rsid w:val="62280A8B"/>
    <w:rsid w:val="622814F0"/>
    <w:rsid w:val="622A0D05"/>
    <w:rsid w:val="622D6336"/>
    <w:rsid w:val="623F6839"/>
    <w:rsid w:val="624D50B9"/>
    <w:rsid w:val="62564876"/>
    <w:rsid w:val="626764BC"/>
    <w:rsid w:val="627B391D"/>
    <w:rsid w:val="62927B41"/>
    <w:rsid w:val="629B6165"/>
    <w:rsid w:val="62A3326C"/>
    <w:rsid w:val="62A750F4"/>
    <w:rsid w:val="62CB754B"/>
    <w:rsid w:val="62D30C4F"/>
    <w:rsid w:val="62DB2AED"/>
    <w:rsid w:val="62DD206F"/>
    <w:rsid w:val="62EE5B7D"/>
    <w:rsid w:val="62FC2EBF"/>
    <w:rsid w:val="63027A37"/>
    <w:rsid w:val="63097573"/>
    <w:rsid w:val="630B1AB1"/>
    <w:rsid w:val="63183F0C"/>
    <w:rsid w:val="63243AB0"/>
    <w:rsid w:val="63310C18"/>
    <w:rsid w:val="633F2762"/>
    <w:rsid w:val="633F2F95"/>
    <w:rsid w:val="63436BE9"/>
    <w:rsid w:val="63520FCF"/>
    <w:rsid w:val="636940B1"/>
    <w:rsid w:val="637F3391"/>
    <w:rsid w:val="638650D4"/>
    <w:rsid w:val="639962F3"/>
    <w:rsid w:val="63A13700"/>
    <w:rsid w:val="63A928C8"/>
    <w:rsid w:val="63AC1834"/>
    <w:rsid w:val="63B63177"/>
    <w:rsid w:val="63BE035D"/>
    <w:rsid w:val="63C07692"/>
    <w:rsid w:val="63C56180"/>
    <w:rsid w:val="63CB1023"/>
    <w:rsid w:val="63CD4CE2"/>
    <w:rsid w:val="63D27965"/>
    <w:rsid w:val="63D970DD"/>
    <w:rsid w:val="63E820C2"/>
    <w:rsid w:val="63ED1CB1"/>
    <w:rsid w:val="642A59F3"/>
    <w:rsid w:val="642F4DB7"/>
    <w:rsid w:val="643C1EFF"/>
    <w:rsid w:val="64530CBA"/>
    <w:rsid w:val="645667E8"/>
    <w:rsid w:val="646734C9"/>
    <w:rsid w:val="647372DB"/>
    <w:rsid w:val="647B7FFD"/>
    <w:rsid w:val="649E1424"/>
    <w:rsid w:val="64A02D65"/>
    <w:rsid w:val="64C319A4"/>
    <w:rsid w:val="64C55A61"/>
    <w:rsid w:val="64CC2F58"/>
    <w:rsid w:val="64CF3058"/>
    <w:rsid w:val="64D836A1"/>
    <w:rsid w:val="650D74DA"/>
    <w:rsid w:val="65164BED"/>
    <w:rsid w:val="651C11CE"/>
    <w:rsid w:val="65240694"/>
    <w:rsid w:val="652F5490"/>
    <w:rsid w:val="654A7FDF"/>
    <w:rsid w:val="654B64F1"/>
    <w:rsid w:val="65582E95"/>
    <w:rsid w:val="65640A71"/>
    <w:rsid w:val="6564600B"/>
    <w:rsid w:val="6578453C"/>
    <w:rsid w:val="657C566C"/>
    <w:rsid w:val="659216BA"/>
    <w:rsid w:val="659453DE"/>
    <w:rsid w:val="659D43C6"/>
    <w:rsid w:val="65A2414A"/>
    <w:rsid w:val="65A27E70"/>
    <w:rsid w:val="65AE37E0"/>
    <w:rsid w:val="65C8438A"/>
    <w:rsid w:val="65CC0E9B"/>
    <w:rsid w:val="65D61121"/>
    <w:rsid w:val="65D91B39"/>
    <w:rsid w:val="65DA6FBE"/>
    <w:rsid w:val="65EE0CA2"/>
    <w:rsid w:val="65F91B21"/>
    <w:rsid w:val="66060ABC"/>
    <w:rsid w:val="660E127B"/>
    <w:rsid w:val="661121FF"/>
    <w:rsid w:val="661F44BB"/>
    <w:rsid w:val="6627318D"/>
    <w:rsid w:val="662A6555"/>
    <w:rsid w:val="66302AB4"/>
    <w:rsid w:val="66342B59"/>
    <w:rsid w:val="664061CB"/>
    <w:rsid w:val="664B5252"/>
    <w:rsid w:val="664C2949"/>
    <w:rsid w:val="66642D82"/>
    <w:rsid w:val="66695D66"/>
    <w:rsid w:val="666D09D7"/>
    <w:rsid w:val="66713045"/>
    <w:rsid w:val="667431FE"/>
    <w:rsid w:val="669668F2"/>
    <w:rsid w:val="66996E60"/>
    <w:rsid w:val="66A82BFF"/>
    <w:rsid w:val="66B27F22"/>
    <w:rsid w:val="66DD064E"/>
    <w:rsid w:val="66E015D3"/>
    <w:rsid w:val="66F75934"/>
    <w:rsid w:val="6703005F"/>
    <w:rsid w:val="67197183"/>
    <w:rsid w:val="67251CFA"/>
    <w:rsid w:val="67365D5F"/>
    <w:rsid w:val="673E42C1"/>
    <w:rsid w:val="67430B73"/>
    <w:rsid w:val="674A1F08"/>
    <w:rsid w:val="674D37A6"/>
    <w:rsid w:val="67580805"/>
    <w:rsid w:val="67666BC1"/>
    <w:rsid w:val="676A25AA"/>
    <w:rsid w:val="6780592A"/>
    <w:rsid w:val="678768E9"/>
    <w:rsid w:val="6793006E"/>
    <w:rsid w:val="679766E8"/>
    <w:rsid w:val="67AA2321"/>
    <w:rsid w:val="67D50820"/>
    <w:rsid w:val="67E06F94"/>
    <w:rsid w:val="67E46C83"/>
    <w:rsid w:val="67E54704"/>
    <w:rsid w:val="67E81E4D"/>
    <w:rsid w:val="67FE4D0A"/>
    <w:rsid w:val="68077DCF"/>
    <w:rsid w:val="68134574"/>
    <w:rsid w:val="68242759"/>
    <w:rsid w:val="68345086"/>
    <w:rsid w:val="68476516"/>
    <w:rsid w:val="684D71C1"/>
    <w:rsid w:val="686314D3"/>
    <w:rsid w:val="68860A0A"/>
    <w:rsid w:val="68A35DBC"/>
    <w:rsid w:val="68B7181F"/>
    <w:rsid w:val="68C21B41"/>
    <w:rsid w:val="68C34FEC"/>
    <w:rsid w:val="68CD117F"/>
    <w:rsid w:val="68E026C6"/>
    <w:rsid w:val="68E1201D"/>
    <w:rsid w:val="68E42FA2"/>
    <w:rsid w:val="68F14373"/>
    <w:rsid w:val="68F16ADF"/>
    <w:rsid w:val="69097A6F"/>
    <w:rsid w:val="690F28B6"/>
    <w:rsid w:val="69147375"/>
    <w:rsid w:val="69147E90"/>
    <w:rsid w:val="69205385"/>
    <w:rsid w:val="69282792"/>
    <w:rsid w:val="69363CEC"/>
    <w:rsid w:val="693A1C41"/>
    <w:rsid w:val="693F61D5"/>
    <w:rsid w:val="69401815"/>
    <w:rsid w:val="69501D0C"/>
    <w:rsid w:val="696D7200"/>
    <w:rsid w:val="696E342C"/>
    <w:rsid w:val="698931BC"/>
    <w:rsid w:val="69DA7573"/>
    <w:rsid w:val="69DD3507"/>
    <w:rsid w:val="69E31F91"/>
    <w:rsid w:val="69E40947"/>
    <w:rsid w:val="69F731E7"/>
    <w:rsid w:val="69FF347E"/>
    <w:rsid w:val="6A002D52"/>
    <w:rsid w:val="6A0960AB"/>
    <w:rsid w:val="6A0A6608"/>
    <w:rsid w:val="6A2931E3"/>
    <w:rsid w:val="6A3273AF"/>
    <w:rsid w:val="6A406AE2"/>
    <w:rsid w:val="6A484C61"/>
    <w:rsid w:val="6A4E3ABD"/>
    <w:rsid w:val="6A9D2DFD"/>
    <w:rsid w:val="6AA54D8E"/>
    <w:rsid w:val="6AB1009A"/>
    <w:rsid w:val="6AC02C0D"/>
    <w:rsid w:val="6AC44EBE"/>
    <w:rsid w:val="6AC45579"/>
    <w:rsid w:val="6AC84C20"/>
    <w:rsid w:val="6ACA583A"/>
    <w:rsid w:val="6AD01849"/>
    <w:rsid w:val="6AE01AE3"/>
    <w:rsid w:val="6AFB2812"/>
    <w:rsid w:val="6B0420A3"/>
    <w:rsid w:val="6B2561B5"/>
    <w:rsid w:val="6B2B66DF"/>
    <w:rsid w:val="6B364C7D"/>
    <w:rsid w:val="6B3A0EF8"/>
    <w:rsid w:val="6B4A24D7"/>
    <w:rsid w:val="6B4C26F3"/>
    <w:rsid w:val="6B67048D"/>
    <w:rsid w:val="6B6932A5"/>
    <w:rsid w:val="6B6F63E1"/>
    <w:rsid w:val="6B715CB5"/>
    <w:rsid w:val="6B797260"/>
    <w:rsid w:val="6B895605"/>
    <w:rsid w:val="6B896799"/>
    <w:rsid w:val="6B917B60"/>
    <w:rsid w:val="6B9652EF"/>
    <w:rsid w:val="6BAC61A8"/>
    <w:rsid w:val="6BB85601"/>
    <w:rsid w:val="6BBB3287"/>
    <w:rsid w:val="6BD5497A"/>
    <w:rsid w:val="6BE47193"/>
    <w:rsid w:val="6C13329A"/>
    <w:rsid w:val="6C2E088C"/>
    <w:rsid w:val="6C2E3BA6"/>
    <w:rsid w:val="6C3D203B"/>
    <w:rsid w:val="6C45122E"/>
    <w:rsid w:val="6C5A5DD0"/>
    <w:rsid w:val="6C767ECB"/>
    <w:rsid w:val="6CAD0DDA"/>
    <w:rsid w:val="6CD3474E"/>
    <w:rsid w:val="6CDB09D4"/>
    <w:rsid w:val="6CDC71FE"/>
    <w:rsid w:val="6CE04AAC"/>
    <w:rsid w:val="6CE104E8"/>
    <w:rsid w:val="6CE626D3"/>
    <w:rsid w:val="6CEE7645"/>
    <w:rsid w:val="6D003795"/>
    <w:rsid w:val="6D093C1F"/>
    <w:rsid w:val="6D120AFE"/>
    <w:rsid w:val="6D1C4347"/>
    <w:rsid w:val="6D263022"/>
    <w:rsid w:val="6D3035D1"/>
    <w:rsid w:val="6D3909BE"/>
    <w:rsid w:val="6D527D69"/>
    <w:rsid w:val="6D5502EE"/>
    <w:rsid w:val="6D6E47E3"/>
    <w:rsid w:val="6D6F3412"/>
    <w:rsid w:val="6D825573"/>
    <w:rsid w:val="6D877A12"/>
    <w:rsid w:val="6D9A129E"/>
    <w:rsid w:val="6D9F3554"/>
    <w:rsid w:val="6DA170E8"/>
    <w:rsid w:val="6DA438F0"/>
    <w:rsid w:val="6DAC5955"/>
    <w:rsid w:val="6DB24AA3"/>
    <w:rsid w:val="6DC20A4A"/>
    <w:rsid w:val="6DC6566C"/>
    <w:rsid w:val="6DE25441"/>
    <w:rsid w:val="6DEC3D19"/>
    <w:rsid w:val="6E237BE1"/>
    <w:rsid w:val="6E293B49"/>
    <w:rsid w:val="6E304611"/>
    <w:rsid w:val="6E3B06D0"/>
    <w:rsid w:val="6E411758"/>
    <w:rsid w:val="6E464135"/>
    <w:rsid w:val="6E51148A"/>
    <w:rsid w:val="6E5C3089"/>
    <w:rsid w:val="6E62222D"/>
    <w:rsid w:val="6E7006CC"/>
    <w:rsid w:val="6E8F5284"/>
    <w:rsid w:val="6E9C531E"/>
    <w:rsid w:val="6EA445F4"/>
    <w:rsid w:val="6EBE6636"/>
    <w:rsid w:val="6ED36561"/>
    <w:rsid w:val="6ED50C51"/>
    <w:rsid w:val="6EEE4526"/>
    <w:rsid w:val="6EFF7A7C"/>
    <w:rsid w:val="6F03093B"/>
    <w:rsid w:val="6F0D5441"/>
    <w:rsid w:val="6F1C062E"/>
    <w:rsid w:val="6F372A02"/>
    <w:rsid w:val="6F3F3691"/>
    <w:rsid w:val="6F4047E5"/>
    <w:rsid w:val="6F413BF1"/>
    <w:rsid w:val="6F464B51"/>
    <w:rsid w:val="6F571666"/>
    <w:rsid w:val="6F59718C"/>
    <w:rsid w:val="6F651353"/>
    <w:rsid w:val="6F665B7C"/>
    <w:rsid w:val="6F6C3363"/>
    <w:rsid w:val="6F6D675F"/>
    <w:rsid w:val="6F764E21"/>
    <w:rsid w:val="6F773AB6"/>
    <w:rsid w:val="6F7E5797"/>
    <w:rsid w:val="6F7E6BF3"/>
    <w:rsid w:val="6F83507F"/>
    <w:rsid w:val="6F945C9E"/>
    <w:rsid w:val="6FA10B33"/>
    <w:rsid w:val="6FA64737"/>
    <w:rsid w:val="6FB645D5"/>
    <w:rsid w:val="6FBC1C21"/>
    <w:rsid w:val="6FC264EE"/>
    <w:rsid w:val="6FD93890"/>
    <w:rsid w:val="6FFC0070"/>
    <w:rsid w:val="6FFE2299"/>
    <w:rsid w:val="70187047"/>
    <w:rsid w:val="701C77FC"/>
    <w:rsid w:val="702204BE"/>
    <w:rsid w:val="70235E37"/>
    <w:rsid w:val="702E2F9A"/>
    <w:rsid w:val="703561A8"/>
    <w:rsid w:val="7043032F"/>
    <w:rsid w:val="70724741"/>
    <w:rsid w:val="70792114"/>
    <w:rsid w:val="708414DA"/>
    <w:rsid w:val="709C3811"/>
    <w:rsid w:val="70A57CC2"/>
    <w:rsid w:val="70B2072D"/>
    <w:rsid w:val="70C3128F"/>
    <w:rsid w:val="70FA34AA"/>
    <w:rsid w:val="70FA674D"/>
    <w:rsid w:val="70FF3373"/>
    <w:rsid w:val="70FF6F71"/>
    <w:rsid w:val="710E21F8"/>
    <w:rsid w:val="710F1D84"/>
    <w:rsid w:val="71154767"/>
    <w:rsid w:val="71531077"/>
    <w:rsid w:val="71706A0F"/>
    <w:rsid w:val="717422A8"/>
    <w:rsid w:val="718225C7"/>
    <w:rsid w:val="718F06D9"/>
    <w:rsid w:val="718F57A7"/>
    <w:rsid w:val="71A1306D"/>
    <w:rsid w:val="71A212BE"/>
    <w:rsid w:val="71A56E53"/>
    <w:rsid w:val="71A87053"/>
    <w:rsid w:val="71AE4710"/>
    <w:rsid w:val="71B0505E"/>
    <w:rsid w:val="71B7759E"/>
    <w:rsid w:val="71B82AA1"/>
    <w:rsid w:val="71DA21B2"/>
    <w:rsid w:val="71E722EB"/>
    <w:rsid w:val="71EB4534"/>
    <w:rsid w:val="71EE1771"/>
    <w:rsid w:val="71F21981"/>
    <w:rsid w:val="720915A6"/>
    <w:rsid w:val="720A7028"/>
    <w:rsid w:val="72281098"/>
    <w:rsid w:val="723F4D5F"/>
    <w:rsid w:val="7254291F"/>
    <w:rsid w:val="725E45A3"/>
    <w:rsid w:val="725F43B6"/>
    <w:rsid w:val="726227FC"/>
    <w:rsid w:val="7266063B"/>
    <w:rsid w:val="72671BC0"/>
    <w:rsid w:val="7271224F"/>
    <w:rsid w:val="72785291"/>
    <w:rsid w:val="728359ED"/>
    <w:rsid w:val="72A417A5"/>
    <w:rsid w:val="72AF4117"/>
    <w:rsid w:val="72B4565D"/>
    <w:rsid w:val="72C11CF2"/>
    <w:rsid w:val="72D919F3"/>
    <w:rsid w:val="72D92420"/>
    <w:rsid w:val="72EE5E3E"/>
    <w:rsid w:val="72F244D0"/>
    <w:rsid w:val="73093217"/>
    <w:rsid w:val="73104006"/>
    <w:rsid w:val="73196946"/>
    <w:rsid w:val="73304C6E"/>
    <w:rsid w:val="73372F12"/>
    <w:rsid w:val="73380993"/>
    <w:rsid w:val="7341588E"/>
    <w:rsid w:val="73586CCA"/>
    <w:rsid w:val="736372C8"/>
    <w:rsid w:val="73785000"/>
    <w:rsid w:val="73900B1D"/>
    <w:rsid w:val="73AB1B34"/>
    <w:rsid w:val="73AF381F"/>
    <w:rsid w:val="73C150C8"/>
    <w:rsid w:val="73CC6AAD"/>
    <w:rsid w:val="73D13110"/>
    <w:rsid w:val="73D97C55"/>
    <w:rsid w:val="73DB0AB8"/>
    <w:rsid w:val="73E0372B"/>
    <w:rsid w:val="73E111AC"/>
    <w:rsid w:val="73F039C5"/>
    <w:rsid w:val="73F13E37"/>
    <w:rsid w:val="74024296"/>
    <w:rsid w:val="74056F99"/>
    <w:rsid w:val="740C41EF"/>
    <w:rsid w:val="74113EFA"/>
    <w:rsid w:val="74220495"/>
    <w:rsid w:val="742C11FC"/>
    <w:rsid w:val="7434641A"/>
    <w:rsid w:val="743D0241"/>
    <w:rsid w:val="744E17E0"/>
    <w:rsid w:val="745B3074"/>
    <w:rsid w:val="74661F79"/>
    <w:rsid w:val="74666E87"/>
    <w:rsid w:val="74964A32"/>
    <w:rsid w:val="749A7CAD"/>
    <w:rsid w:val="749C18DF"/>
    <w:rsid w:val="74A83174"/>
    <w:rsid w:val="74D43C38"/>
    <w:rsid w:val="74DD43BC"/>
    <w:rsid w:val="74DD4E92"/>
    <w:rsid w:val="74F17E67"/>
    <w:rsid w:val="74FE6101"/>
    <w:rsid w:val="75013EB5"/>
    <w:rsid w:val="750A7995"/>
    <w:rsid w:val="750C7772"/>
    <w:rsid w:val="753535B8"/>
    <w:rsid w:val="75502DDF"/>
    <w:rsid w:val="755E374E"/>
    <w:rsid w:val="75644ADD"/>
    <w:rsid w:val="756C1123"/>
    <w:rsid w:val="758D5DE2"/>
    <w:rsid w:val="759E3E16"/>
    <w:rsid w:val="75A62C90"/>
    <w:rsid w:val="75BB69A4"/>
    <w:rsid w:val="75CD54D4"/>
    <w:rsid w:val="75D528E1"/>
    <w:rsid w:val="75E71E1F"/>
    <w:rsid w:val="75F01FA1"/>
    <w:rsid w:val="75FE6CDF"/>
    <w:rsid w:val="761262E7"/>
    <w:rsid w:val="76200BC8"/>
    <w:rsid w:val="76253F8E"/>
    <w:rsid w:val="762C7A9B"/>
    <w:rsid w:val="763F450F"/>
    <w:rsid w:val="765608C9"/>
    <w:rsid w:val="7665694D"/>
    <w:rsid w:val="768C42EB"/>
    <w:rsid w:val="76A01B45"/>
    <w:rsid w:val="76A35CA9"/>
    <w:rsid w:val="76B46A52"/>
    <w:rsid w:val="76D3117F"/>
    <w:rsid w:val="76D62103"/>
    <w:rsid w:val="76D913F1"/>
    <w:rsid w:val="76DF0815"/>
    <w:rsid w:val="76E934EC"/>
    <w:rsid w:val="76F34D5F"/>
    <w:rsid w:val="77095766"/>
    <w:rsid w:val="77140D14"/>
    <w:rsid w:val="77297D8C"/>
    <w:rsid w:val="773666D1"/>
    <w:rsid w:val="773C3B52"/>
    <w:rsid w:val="77506EEC"/>
    <w:rsid w:val="77510788"/>
    <w:rsid w:val="77622DDB"/>
    <w:rsid w:val="77754D7F"/>
    <w:rsid w:val="7797516A"/>
    <w:rsid w:val="77B92EBE"/>
    <w:rsid w:val="77C20E07"/>
    <w:rsid w:val="77C83101"/>
    <w:rsid w:val="77DB72D8"/>
    <w:rsid w:val="77DB77B3"/>
    <w:rsid w:val="77DC0E38"/>
    <w:rsid w:val="77DF3406"/>
    <w:rsid w:val="77EF131B"/>
    <w:rsid w:val="7807022A"/>
    <w:rsid w:val="780954C8"/>
    <w:rsid w:val="78096FFD"/>
    <w:rsid w:val="78286956"/>
    <w:rsid w:val="784D3606"/>
    <w:rsid w:val="78524E73"/>
    <w:rsid w:val="785C1A9B"/>
    <w:rsid w:val="78613BCB"/>
    <w:rsid w:val="7867669F"/>
    <w:rsid w:val="78A2537A"/>
    <w:rsid w:val="78B11DE7"/>
    <w:rsid w:val="78BF7A25"/>
    <w:rsid w:val="78C74E32"/>
    <w:rsid w:val="78C9383D"/>
    <w:rsid w:val="78D20C44"/>
    <w:rsid w:val="78EE303B"/>
    <w:rsid w:val="78FC1ED6"/>
    <w:rsid w:val="78FD327E"/>
    <w:rsid w:val="79064D08"/>
    <w:rsid w:val="79144124"/>
    <w:rsid w:val="791D122B"/>
    <w:rsid w:val="791D3642"/>
    <w:rsid w:val="791F6B45"/>
    <w:rsid w:val="79301F12"/>
    <w:rsid w:val="79352A18"/>
    <w:rsid w:val="79442C5B"/>
    <w:rsid w:val="79B17BC5"/>
    <w:rsid w:val="79B871A5"/>
    <w:rsid w:val="79BA3DFF"/>
    <w:rsid w:val="79C25B12"/>
    <w:rsid w:val="79CD1F9B"/>
    <w:rsid w:val="79CD7DBD"/>
    <w:rsid w:val="79D45976"/>
    <w:rsid w:val="79D7762B"/>
    <w:rsid w:val="79F57AA2"/>
    <w:rsid w:val="79F809B2"/>
    <w:rsid w:val="7A0F3269"/>
    <w:rsid w:val="7A100D8F"/>
    <w:rsid w:val="7A1B68CA"/>
    <w:rsid w:val="7A1B7E60"/>
    <w:rsid w:val="7A2605B3"/>
    <w:rsid w:val="7A2B204E"/>
    <w:rsid w:val="7A344A7E"/>
    <w:rsid w:val="7A3C5C98"/>
    <w:rsid w:val="7A4E39B4"/>
    <w:rsid w:val="7A516828"/>
    <w:rsid w:val="7A541933"/>
    <w:rsid w:val="7A587047"/>
    <w:rsid w:val="7A5C3FD5"/>
    <w:rsid w:val="7A6B4218"/>
    <w:rsid w:val="7A7E2B7E"/>
    <w:rsid w:val="7A885F35"/>
    <w:rsid w:val="7A970930"/>
    <w:rsid w:val="7AA25972"/>
    <w:rsid w:val="7AAD4E65"/>
    <w:rsid w:val="7ABE6A3D"/>
    <w:rsid w:val="7AD54B92"/>
    <w:rsid w:val="7AEC6A5B"/>
    <w:rsid w:val="7AF16E13"/>
    <w:rsid w:val="7AF75AAB"/>
    <w:rsid w:val="7B004ADD"/>
    <w:rsid w:val="7B0B76CA"/>
    <w:rsid w:val="7B207590"/>
    <w:rsid w:val="7B2A1F0C"/>
    <w:rsid w:val="7B36767D"/>
    <w:rsid w:val="7B494559"/>
    <w:rsid w:val="7B4A428E"/>
    <w:rsid w:val="7B5B0730"/>
    <w:rsid w:val="7B6A2E87"/>
    <w:rsid w:val="7B6C1C0D"/>
    <w:rsid w:val="7B6E3FBF"/>
    <w:rsid w:val="7B7956A0"/>
    <w:rsid w:val="7BB37C24"/>
    <w:rsid w:val="7BCA10DB"/>
    <w:rsid w:val="7BDE0C48"/>
    <w:rsid w:val="7BE56054"/>
    <w:rsid w:val="7BEE5100"/>
    <w:rsid w:val="7BFB47C0"/>
    <w:rsid w:val="7C005257"/>
    <w:rsid w:val="7C0D5F13"/>
    <w:rsid w:val="7C135386"/>
    <w:rsid w:val="7C1B1E9B"/>
    <w:rsid w:val="7C2526AC"/>
    <w:rsid w:val="7C2D09C7"/>
    <w:rsid w:val="7C2E1CCB"/>
    <w:rsid w:val="7C364B59"/>
    <w:rsid w:val="7C3B2674"/>
    <w:rsid w:val="7C59324C"/>
    <w:rsid w:val="7C617B9C"/>
    <w:rsid w:val="7C664024"/>
    <w:rsid w:val="7C6D071B"/>
    <w:rsid w:val="7C8C4263"/>
    <w:rsid w:val="7C9329EB"/>
    <w:rsid w:val="7CBC2834"/>
    <w:rsid w:val="7CD11C6A"/>
    <w:rsid w:val="7CE3278B"/>
    <w:rsid w:val="7CE609CC"/>
    <w:rsid w:val="7CEF3F9C"/>
    <w:rsid w:val="7D017AA5"/>
    <w:rsid w:val="7D0564AB"/>
    <w:rsid w:val="7D140B97"/>
    <w:rsid w:val="7D180687"/>
    <w:rsid w:val="7D1961AD"/>
    <w:rsid w:val="7D22390B"/>
    <w:rsid w:val="7D225061"/>
    <w:rsid w:val="7D304D71"/>
    <w:rsid w:val="7D3768FA"/>
    <w:rsid w:val="7D38217E"/>
    <w:rsid w:val="7D4D4DB9"/>
    <w:rsid w:val="7D611CB3"/>
    <w:rsid w:val="7D835823"/>
    <w:rsid w:val="7D8A6D05"/>
    <w:rsid w:val="7D9578CD"/>
    <w:rsid w:val="7DA51277"/>
    <w:rsid w:val="7DAB46BB"/>
    <w:rsid w:val="7DB163E5"/>
    <w:rsid w:val="7DD37DFE"/>
    <w:rsid w:val="7DEA09A0"/>
    <w:rsid w:val="7DEF3EAB"/>
    <w:rsid w:val="7E066731"/>
    <w:rsid w:val="7E290311"/>
    <w:rsid w:val="7E2E4C94"/>
    <w:rsid w:val="7E462FD2"/>
    <w:rsid w:val="7E4A75E6"/>
    <w:rsid w:val="7E4B75BD"/>
    <w:rsid w:val="7E564B54"/>
    <w:rsid w:val="7E684A6E"/>
    <w:rsid w:val="7E955D07"/>
    <w:rsid w:val="7EAA17B2"/>
    <w:rsid w:val="7EAF78EE"/>
    <w:rsid w:val="7EB743DD"/>
    <w:rsid w:val="7ECF4B58"/>
    <w:rsid w:val="7ED10C1A"/>
    <w:rsid w:val="7EE072D4"/>
    <w:rsid w:val="7EE76641"/>
    <w:rsid w:val="7F1A5B96"/>
    <w:rsid w:val="7F284EAC"/>
    <w:rsid w:val="7F2A28F3"/>
    <w:rsid w:val="7F405DC4"/>
    <w:rsid w:val="7F532F05"/>
    <w:rsid w:val="7F572178"/>
    <w:rsid w:val="7F627A08"/>
    <w:rsid w:val="7F6D27E0"/>
    <w:rsid w:val="7F763EB8"/>
    <w:rsid w:val="7F7B10B3"/>
    <w:rsid w:val="7FA123EC"/>
    <w:rsid w:val="7FA52F2A"/>
    <w:rsid w:val="7FA77AA0"/>
    <w:rsid w:val="7FB16B71"/>
    <w:rsid w:val="7FD83CE4"/>
    <w:rsid w:val="7FE57D88"/>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b/>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link w:val="232"/>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pPr>
  </w:style>
  <w:style w:type="paragraph" w:customStyle="1" w:styleId="189">
    <w:name w:val="标准文件_三级项2"/>
    <w:basedOn w:val="57"/>
    <w:qFormat/>
    <w:uiPriority w:val="0"/>
    <w:pPr>
      <w:numPr>
        <w:ilvl w:val="0"/>
        <w:numId w:val="30"/>
      </w:numPr>
      <w:spacing w:line="300" w:lineRule="exact"/>
    </w:pPr>
    <w:rPr>
      <w:rFonts w:ascii="Times New Roman"/>
    </w:rPr>
  </w:style>
  <w:style w:type="paragraph" w:customStyle="1" w:styleId="190">
    <w:name w:val="标准文件_一级项2"/>
    <w:basedOn w:val="57"/>
    <w:qFormat/>
    <w:uiPriority w:val="0"/>
    <w:pPr>
      <w:numPr>
        <w:ilvl w:val="0"/>
        <w:numId w:val="31"/>
      </w:numPr>
      <w:spacing w:line="300" w:lineRule="exact"/>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4" w:hRule="exact" w:wrap="around" w:vAnchor="page" w:hAnchor="page" w:x="1419" w:y="6408" w:anchorLock="1"/>
      <w:autoSpaceDE/>
      <w:autoSpaceDN/>
      <w:spacing w:line="700" w:lineRule="exact"/>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pPr>
    <w:rPr>
      <w:rFonts w:ascii="黑体" w:eastAsia="黑体"/>
    </w:rPr>
  </w:style>
  <w:style w:type="paragraph" w:customStyle="1" w:styleId="206">
    <w:name w:val="标准文件_注后"/>
    <w:basedOn w:val="57"/>
    <w:qFormat/>
    <w:uiPriority w:val="0"/>
    <w:pPr>
      <w:ind w:left="811"/>
    </w:pPr>
    <w:rPr>
      <w:sz w:val="18"/>
    </w:rPr>
  </w:style>
  <w:style w:type="paragraph" w:customStyle="1" w:styleId="207">
    <w:name w:val="标准文件_注X后"/>
    <w:basedOn w:val="57"/>
    <w:qFormat/>
    <w:uiPriority w:val="0"/>
    <w:pPr>
      <w:ind w:left="811"/>
    </w:pPr>
    <w:rPr>
      <w:sz w:val="18"/>
    </w:rPr>
  </w:style>
  <w:style w:type="paragraph" w:customStyle="1" w:styleId="208">
    <w:name w:val="标准文件_示例后"/>
    <w:basedOn w:val="57"/>
    <w:qFormat/>
    <w:uiPriority w:val="0"/>
    <w:pPr>
      <w:ind w:left="964"/>
    </w:pPr>
    <w:rPr>
      <w:sz w:val="18"/>
    </w:rPr>
  </w:style>
  <w:style w:type="paragraph" w:customStyle="1" w:styleId="209">
    <w:name w:val="标准文件_示例X后"/>
    <w:basedOn w:val="57"/>
    <w:link w:val="210"/>
    <w:qFormat/>
    <w:uiPriority w:val="0"/>
    <w:pPr>
      <w:ind w:left="1049"/>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pPr>
      <w:ind w:left="420" w:hanging="420" w:hangingChars="200"/>
      <w:jc w:val="left"/>
    </w:pPr>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character" w:customStyle="1" w:styleId="232">
    <w:name w:val="标准文件_索引字母 Char"/>
    <w:link w:val="176"/>
    <w:qFormat/>
    <w:uiPriority w:val="0"/>
    <w:rPr>
      <w:rFonts w:ascii="宋体" w:hAnsi="宋体" w:eastAsia="Times New Roman" w:cs="Times New Roman"/>
      <w:b/>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3C9702AC40E4A518EDE03F9E6A8E69F"/>
        <w:style w:val=""/>
        <w:category>
          <w:name w:val="常规"/>
          <w:gallery w:val="placeholder"/>
        </w:category>
        <w:types>
          <w:type w:val="bbPlcHdr"/>
        </w:types>
        <w:behaviors>
          <w:behavior w:val="content"/>
        </w:behaviors>
        <w:description w:val=""/>
        <w:guid w:val="{413121DA-070D-43AF-853D-5DE66FD6031E}"/>
      </w:docPartPr>
      <w:docPartBody>
        <w:p w14:paraId="1255C2B4">
          <w:pPr>
            <w:pStyle w:val="5"/>
          </w:pPr>
          <w:r>
            <w:rPr>
              <w:rStyle w:val="4"/>
              <w:rFonts w:hint="eastAsia"/>
            </w:rPr>
            <w:t>单击或点击此处输入文字。</w:t>
          </w:r>
        </w:p>
      </w:docPartBody>
    </w:docPart>
    <w:docPart>
      <w:docPartPr>
        <w:name w:val="BC36A770BA6D4F66B3D14BD12B0D5310"/>
        <w:style w:val=""/>
        <w:category>
          <w:name w:val="常规"/>
          <w:gallery w:val="placeholder"/>
        </w:category>
        <w:types>
          <w:type w:val="bbPlcHdr"/>
        </w:types>
        <w:behaviors>
          <w:behavior w:val="content"/>
        </w:behaviors>
        <w:description w:val=""/>
        <w:guid w:val="{BA4A0560-0C92-4018-9118-7D15067B7A97}"/>
      </w:docPartPr>
      <w:docPartBody>
        <w:p w14:paraId="14380CB3">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812BAE"/>
    <w:rsid w:val="000D0928"/>
    <w:rsid w:val="00197C2C"/>
    <w:rsid w:val="00284169"/>
    <w:rsid w:val="00307223"/>
    <w:rsid w:val="005D7031"/>
    <w:rsid w:val="00650EFA"/>
    <w:rsid w:val="006519BC"/>
    <w:rsid w:val="007B2B6F"/>
    <w:rsid w:val="00812BAE"/>
    <w:rsid w:val="008C4239"/>
    <w:rsid w:val="00A3782D"/>
    <w:rsid w:val="00A87A6E"/>
    <w:rsid w:val="00B90779"/>
    <w:rsid w:val="00CB5936"/>
    <w:rsid w:val="00D96029"/>
    <w:rsid w:val="00E04612"/>
    <w:rsid w:val="00E2184E"/>
    <w:rsid w:val="00E22117"/>
    <w:rsid w:val="00EA4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3C9702AC40E4A518EDE03F9E6A8E69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C36A770BA6D4F66B3D14BD12B0D531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8760F0D361F44938BBAA10A52F1F47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9F580-B607-43D9-8D82-E5A52D0BC56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4357</Words>
  <Characters>4813</Characters>
  <Lines>62</Lines>
  <Paragraphs>17</Paragraphs>
  <TotalTime>76</TotalTime>
  <ScaleCrop>false</ScaleCrop>
  <LinksUpToDate>false</LinksUpToDate>
  <CharactersWithSpaces>4940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2024-04-15T13:11:00Z</dcterms:created>
  <dc:creator>业务管理员</dc:creator>
  <dc:description>&lt;config cover="true" show_menu="true" version="1.0.0" doctype="SDKXY"&gt;_x000d_
&lt;/config&gt;</dc:description>
  <cp:lastModifiedBy>忐忑</cp:lastModifiedBy>
  <cp:lastPrinted>2024-03-19T08:50:00Z</cp:lastPrinted>
  <dcterms:modified xsi:type="dcterms:W3CDTF">2025-08-01T03:32:54Z</dcterms:modified>
  <dc:title>地方标准</dc:title>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1E26634CF58D4AABBE547F24743F237D</vt:lpwstr>
  </property>
  <property fmtid="{D5CDD505-2E9C-101B-9397-08002B2CF9AE}" pid="16" name="KSOTemplateDocerSaveRecord">
    <vt:lpwstr>eyJoZGlkIjoiMjE1MGZmOTRhZjllMGExZDlkZTMzYmYzNTljMTkwODUiLCJ1c2VySWQiOiI0MzYwMTU0NjQifQ==</vt:lpwstr>
  </property>
</Properties>
</file>