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14:paraId="00B290D0">
        <w:tc>
          <w:tcPr>
            <w:tcW w:w="509" w:type="dxa"/>
          </w:tcPr>
          <w:p w14:paraId="3D9277FF">
            <w:pPr>
              <w:pStyle w:val="18"/>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14:paraId="77B54C2C">
            <w:pPr>
              <w:pStyle w:val="18"/>
              <w:framePr w:wrap="notBeside" w:vAnchor="page" w:hAnchor="page" w:x="1372" w:y="568"/>
              <w:tabs>
                <w:tab w:val="clear" w:pos="4153"/>
                <w:tab w:val="clear" w:pos="8306"/>
              </w:tabs>
              <w:spacing w:line="240" w:lineRule="auto"/>
              <w:jc w:val="both"/>
              <w:rPr>
                <w:rFonts w:ascii="黑体" w:hAnsi="黑体" w:eastAsia="黑体"/>
                <w:kern w:val="2"/>
                <w:sz w:val="21"/>
                <w:szCs w:val="21"/>
              </w:rPr>
            </w:pPr>
            <w:bookmarkStart w:id="0" w:name="ICS"/>
            <w:r>
              <w:rPr>
                <w:rFonts w:ascii="黑体" w:hAnsi="黑体" w:eastAsia="黑体"/>
                <w:kern w:val="2"/>
                <w:sz w:val="21"/>
                <w:szCs w:val="21"/>
              </w:rPr>
              <w:fldChar w:fldCharType="begin">
                <w:ffData>
                  <w:name w:val="ICS"/>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03.080.99</w:t>
            </w:r>
            <w:r>
              <w:rPr>
                <w:rFonts w:ascii="黑体" w:hAnsi="黑体" w:eastAsia="黑体"/>
                <w:kern w:val="2"/>
                <w:sz w:val="21"/>
                <w:szCs w:val="21"/>
              </w:rPr>
              <w:fldChar w:fldCharType="end"/>
            </w:r>
            <w:bookmarkEnd w:id="0"/>
          </w:p>
        </w:tc>
      </w:tr>
      <w:tr w14:paraId="024AF24D">
        <w:tblPrEx>
          <w:tblCellMar>
            <w:top w:w="0" w:type="dxa"/>
            <w:left w:w="0" w:type="dxa"/>
            <w:bottom w:w="0" w:type="dxa"/>
            <w:right w:w="0" w:type="dxa"/>
          </w:tblCellMar>
        </w:tblPrEx>
        <w:tc>
          <w:tcPr>
            <w:tcW w:w="509" w:type="dxa"/>
          </w:tcPr>
          <w:p w14:paraId="5F816A21">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14:paraId="7389063F">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bookmarkStart w:id="1" w:name="CSDN"/>
            <w:r>
              <w:rPr>
                <w:rFonts w:ascii="黑体" w:hAnsi="黑体" w:eastAsia="黑体"/>
                <w:kern w:val="2"/>
                <w:sz w:val="21"/>
                <w:szCs w:val="21"/>
              </w:rPr>
              <w:fldChar w:fldCharType="begin">
                <w:ffData>
                  <w:name w:val="CSDN"/>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A 12</w:t>
            </w:r>
            <w:r>
              <w:rPr>
                <w:rFonts w:ascii="黑体" w:hAnsi="黑体" w:eastAsia="黑体"/>
                <w:kern w:val="2"/>
                <w:sz w:val="21"/>
                <w:szCs w:val="21"/>
              </w:rPr>
              <w:fldChar w:fldCharType="end"/>
            </w:r>
            <w:bookmarkEnd w:id="1"/>
          </w:p>
        </w:tc>
      </w:tr>
    </w:tbl>
    <w:p w14:paraId="3652DFC1">
      <w:pPr>
        <w:rPr>
          <w:vanish/>
        </w:rPr>
      </w:pPr>
      <w:bookmarkStart w:id="2" w:name="_Hlk26473981"/>
    </w:p>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091D9D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8DA1648">
            <w:pPr>
              <w:pStyle w:val="49"/>
              <w:framePr w:w="0" w:hRule="auto" w:wrap="auto" w:vAnchor="margin" w:hAnchor="text" w:xAlign="left" w:yAlign="inline"/>
              <w:rPr>
                <w:rFonts w:ascii="宋体"/>
                <w:sz w:val="28"/>
                <w:szCs w:val="28"/>
              </w:rPr>
            </w:pPr>
            <w:r>
              <w:drawing>
                <wp:inline distT="0" distB="0" distL="114300" distR="114300">
                  <wp:extent cx="695325" cy="314325"/>
                  <wp:effectExtent l="0" t="0" r="15875" b="158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8"/>
                          <a:stretch>
                            <a:fillRect/>
                          </a:stretch>
                        </pic:blipFill>
                        <pic:spPr>
                          <a:xfrm>
                            <a:off x="0" y="0"/>
                            <a:ext cx="695325" cy="314325"/>
                          </a:xfrm>
                          <a:prstGeom prst="rect">
                            <a:avLst/>
                          </a:prstGeom>
                          <a:noFill/>
                          <a:ln>
                            <a:noFill/>
                          </a:ln>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34</w:t>
            </w:r>
            <w:r>
              <w:fldChar w:fldCharType="end"/>
            </w:r>
            <w:bookmarkEnd w:id="3"/>
          </w:p>
        </w:tc>
      </w:tr>
    </w:tbl>
    <w:p w14:paraId="5DDDFD9C">
      <w:pPr>
        <w:pStyle w:val="50"/>
        <w:framePr w:w="9639" w:h="624" w:hRule="exact" w:hSpace="181" w:vSpace="181" w:wrap="around" w:hAnchor="page" w:x="1305" w:y="2269"/>
        <w:rPr>
          <w:rFonts w:ascii="黑体" w:hAns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91FDACE">
      <w:pPr>
        <w:pStyle w:val="195"/>
        <w:framePr/>
        <w:rPr>
          <w:lang w:val="fr-FR"/>
        </w:rPr>
      </w:pPr>
      <w:r>
        <w:rPr>
          <w:lang w:val="fr-FR"/>
        </w:rPr>
        <w:t>DB</w:t>
      </w:r>
      <w:r>
        <w:rPr>
          <w:sz w:val="15"/>
          <w:szCs w:val="15"/>
          <w:lang w:val="fr-FR"/>
        </w:rPr>
        <w:t xml:space="preserve"> </w:t>
      </w:r>
      <w:bookmarkStart w:id="5" w:name="文字1"/>
      <w:r>
        <w:rPr>
          <w:lang w:val="fr-FR"/>
        </w:rPr>
        <w:fldChar w:fldCharType="begin">
          <w:ffData>
            <w:enabled/>
            <w:calcOnExit w:val="0"/>
            <w:textInput>
              <w:default w:val="XX/T"/>
            </w:textInput>
          </w:ffData>
        </w:fldChar>
      </w:r>
      <w:r>
        <w:rPr>
          <w:lang w:val="fr-FR"/>
        </w:rPr>
        <w:instrText xml:space="preserve"> FORMTEXT </w:instrText>
      </w:r>
      <w:r>
        <w:rPr>
          <w:lang w:val="fr-FR"/>
        </w:rPr>
        <w:fldChar w:fldCharType="separate"/>
      </w:r>
      <w:r>
        <w:t>34</w:t>
      </w:r>
      <w:r>
        <w:rPr>
          <w:lang w:val="fr-FR"/>
        </w:rPr>
        <w:t>/T</w:t>
      </w:r>
      <w:r>
        <w:rPr>
          <w:lang w:val="fr-FR"/>
        </w:rP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fldChar w:fldCharType="separate"/>
      </w:r>
      <w:r>
        <w:t>2468</w:t>
      </w:r>
      <w:r>
        <w:rPr>
          <w:lang w:val="fr-FR"/>
        </w:rP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fldChar w:fldCharType="separate"/>
      </w:r>
      <w:r>
        <w:t>XXXX</w:t>
      </w:r>
      <w:r>
        <w:rPr>
          <w:lang w:val="fr-FR"/>
        </w:rPr>
        <w:fldChar w:fldCharType="end"/>
      </w:r>
      <w:bookmarkEnd w:id="7"/>
    </w:p>
    <w:p w14:paraId="14C8FB2D">
      <w:pPr>
        <w:pStyle w:val="196"/>
        <w:framePr/>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int="eastAsia" w:hAnsi="黑体"/>
        </w:rPr>
        <w:t>代替</w:t>
      </w:r>
      <w:r>
        <w:rPr>
          <w:rFonts w:hAnsi="黑体"/>
        </w:rPr>
        <w:t xml:space="preserve"> DB 34/T 2468-2015</w:t>
      </w:r>
      <w:r>
        <w:rPr>
          <w:rFonts w:hAnsi="黑体"/>
        </w:rPr>
        <w:fldChar w:fldCharType="end"/>
      </w:r>
      <w:bookmarkEnd w:id="8"/>
    </w:p>
    <w:p w14:paraId="3FC42127">
      <w:pPr>
        <w:spacing w:line="240" w:lineRule="auto"/>
        <w:rPr>
          <w:rFonts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6350" r="0" b="635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NPiPe6gEAALoDAAAOAAAAAAAAAAEAIAAAACcBAABkcnMvZTJvRG9jLnhtbFBLBQYAAAAABgAG&#10;AFkBAACDBQAAAAA=&#10;">
                <v:fill on="f" focussize="0,0"/>
                <v:stroke color="#000000" joinstyle="round"/>
                <v:imagedata o:title=""/>
                <o:lock v:ext="edit" aspectratio="f"/>
              </v:line>
            </w:pict>
          </mc:Fallback>
        </mc:AlternateContent>
      </w:r>
    </w:p>
    <w:p w14:paraId="42A15B8B">
      <w:pPr>
        <w:pStyle w:val="50"/>
        <w:framePr w:w="9639" w:h="6976" w:hRule="exact" w:hSpace="0" w:vSpace="0" w:wrap="around" w:hAnchor="page" w:y="6408"/>
        <w:jc w:val="center"/>
        <w:rPr>
          <w:rFonts w:ascii="黑体" w:hAnsi="黑体" w:eastAsia="黑体"/>
          <w:b w:val="0"/>
          <w:bCs w:val="0"/>
          <w:w w:val="100"/>
        </w:rPr>
      </w:pPr>
    </w:p>
    <w:p w14:paraId="04D223D5">
      <w:pPr>
        <w:pStyle w:val="197"/>
        <w:framePr w:h="6974" w:hRule="exact" w:wrap="around" w:x="1419" w:anchorLock="1"/>
      </w:pPr>
      <w:bookmarkStart w:id="9" w:name="CSTD_NAME"/>
      <w:r>
        <w:fldChar w:fldCharType="begin">
          <w:ffData>
            <w:name w:val="CSTD_NAME"/>
            <w:enabled/>
            <w:calcOnExit w:val="0"/>
            <w:textInput/>
          </w:ffData>
        </w:fldChar>
      </w:r>
      <w:r>
        <w:instrText xml:space="preserve"> FORMTEXT </w:instrText>
      </w:r>
      <w:r>
        <w:fldChar w:fldCharType="separate"/>
      </w:r>
      <w:r>
        <w:rPr>
          <w:rFonts w:hint="eastAsia"/>
        </w:rPr>
        <w:t>养老机构常见病预防控制规范</w:t>
      </w:r>
      <w:r>
        <w:fldChar w:fldCharType="end"/>
      </w:r>
      <w:bookmarkEnd w:id="9"/>
    </w:p>
    <w:p w14:paraId="3EBDF207">
      <w:pPr>
        <w:framePr w:w="9639" w:h="6974" w:hRule="exact" w:wrap="around" w:vAnchor="page" w:hAnchor="page" w:x="1419" w:y="6408" w:anchorLock="1"/>
        <w:ind w:left="-1418"/>
      </w:pPr>
    </w:p>
    <w:p w14:paraId="727F7E6B">
      <w:pPr>
        <w:pStyle w:val="125"/>
        <w:framePr w:w="9639" w:h="6974" w:hRule="exact" w:wrap="around" w:vAnchor="page" w:hAnchor="page" w:x="1419" w:y="6408" w:anchorLock="1"/>
        <w:textAlignment w:val="bottom"/>
        <w:rPr>
          <w:rFonts w:eastAsia="黑体"/>
          <w:szCs w:val="28"/>
        </w:rPr>
      </w:pPr>
      <w:bookmarkStart w:id="10" w:name="ESTD_NAME"/>
      <w:r>
        <w:rPr>
          <w:rFonts w:eastAsia="黑体"/>
          <w:szCs w:val="28"/>
        </w:rPr>
        <w:fldChar w:fldCharType="begin">
          <w:ffData>
            <w:name w:val="ESTD_NAME"/>
            <w:enabled/>
            <w:calcOnExit w:val="0"/>
            <w:textInput/>
          </w:ffData>
        </w:fldChar>
      </w:r>
      <w:r>
        <w:rPr>
          <w:rFonts w:eastAsia="黑体"/>
          <w:szCs w:val="28"/>
        </w:rPr>
        <w:instrText xml:space="preserve"> FORMTEXT </w:instrText>
      </w:r>
      <w:r>
        <w:rPr>
          <w:rFonts w:eastAsia="黑体"/>
          <w:szCs w:val="28"/>
        </w:rPr>
        <w:fldChar w:fldCharType="separate"/>
      </w:r>
      <w:r>
        <w:rPr>
          <w:rFonts w:eastAsia="黑体"/>
          <w:szCs w:val="28"/>
        </w:rPr>
        <w:t>Code for prevention and control of commom diseases in senior care organization</w:t>
      </w:r>
      <w:r>
        <w:rPr>
          <w:rFonts w:eastAsia="黑体"/>
          <w:szCs w:val="28"/>
        </w:rPr>
        <w:fldChar w:fldCharType="end"/>
      </w:r>
      <w:bookmarkEnd w:id="10"/>
    </w:p>
    <w:p w14:paraId="7C15E885">
      <w:pPr>
        <w:framePr w:w="9639" w:h="6974" w:hRule="exact" w:wrap="around" w:vAnchor="page" w:hAnchor="page" w:x="1419" w:y="6408" w:anchorLock="1"/>
        <w:spacing w:line="760" w:lineRule="exact"/>
        <w:ind w:left="-1418"/>
      </w:pPr>
    </w:p>
    <w:p w14:paraId="1977C95A">
      <w:pPr>
        <w:pStyle w:val="125"/>
        <w:framePr w:w="9639" w:h="6974" w:hRule="exact" w:wrap="around" w:vAnchor="page" w:hAnchor="page" w:x="1419" w:y="6408" w:anchorLock="1"/>
        <w:textAlignment w:val="bottom"/>
        <w:rPr>
          <w:rFonts w:eastAsia="黑体"/>
          <w:szCs w:val="28"/>
        </w:rPr>
      </w:pPr>
    </w:p>
    <w:p w14:paraId="16F81DEF">
      <w:pPr>
        <w:pStyle w:val="125"/>
        <w:framePr w:w="9639" w:h="6974" w:hRule="exact" w:wrap="around" w:vAnchor="page" w:hAnchor="page" w:x="1419" w:y="6408" w:anchorLock="1"/>
        <w:spacing w:before="440" w:after="160"/>
        <w:textAlignment w:val="bottom"/>
        <w:rPr>
          <w:sz w:val="24"/>
          <w:szCs w:val="28"/>
        </w:rPr>
      </w:pPr>
      <w:r>
        <w:rPr>
          <w:sz w:val="24"/>
          <w:szCs w:val="28"/>
        </w:rPr>
        <w:t>(</w:t>
      </w:r>
      <w:r>
        <w:rPr>
          <w:rFonts w:hint="eastAsia"/>
          <w:sz w:val="24"/>
          <w:szCs w:val="28"/>
        </w:rPr>
        <w:t>征求意见稿</w:t>
      </w:r>
      <w:r>
        <w:rPr>
          <w:sz w:val="24"/>
          <w:szCs w:val="28"/>
        </w:rPr>
        <w:t>)</w:t>
      </w:r>
    </w:p>
    <w:p w14:paraId="32B46E62">
      <w:pPr>
        <w:pStyle w:val="125"/>
        <w:framePr w:w="9639" w:h="6974" w:hRule="exact" w:wrap="around" w:vAnchor="page" w:hAnchor="page" w:x="1419" w:y="6408" w:anchorLock="1"/>
        <w:spacing w:before="180" w:line="240" w:lineRule="atLeast"/>
        <w:textAlignment w:val="bottom"/>
        <w:rPr>
          <w:sz w:val="21"/>
          <w:szCs w:val="28"/>
        </w:rPr>
      </w:pPr>
    </w:p>
    <w:p w14:paraId="6D0E3F81">
      <w:pPr>
        <w:pStyle w:val="125"/>
        <w:framePr w:w="9639" w:h="6974" w:hRule="exact" w:wrap="around" w:vAnchor="page" w:hAnchor="page" w:x="1419" w:y="6408" w:anchorLock="1"/>
        <w:spacing w:before="720" w:beforeLines="300" w:after="72" w:afterLines="30" w:line="240" w:lineRule="auto"/>
        <w:textAlignment w:val="bottom"/>
        <w:rPr>
          <w:b/>
          <w:sz w:val="21"/>
          <w:szCs w:val="28"/>
        </w:rPr>
      </w:pPr>
      <w:bookmarkStart w:id="11" w:name="下拉2"/>
      <w:r>
        <w:rPr>
          <w:b/>
          <w:sz w:val="21"/>
          <w:szCs w:val="28"/>
        </w:rPr>
        <w:fldChar w:fldCharType="begin">
          <w:ffData>
            <w:enabled/>
            <w:calcOnExit w:val="0"/>
            <w:ddList>
              <w:listEntry w:val=" "/>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1"/>
    </w:p>
    <w:p w14:paraId="4C58E3CC">
      <w:pPr>
        <w:pStyle w:val="193"/>
        <w:framePr w:wrap="around" w:y="14176"/>
      </w:pPr>
      <w:bookmarkStart w:id="12"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bookmarkStart w:id="13"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bookmarkStart w:id="14"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15E5B40B">
      <w:pPr>
        <w:pStyle w:val="194"/>
        <w:framePr w:wrap="around" w:y="14176"/>
      </w:pPr>
      <w:bookmarkStart w:id="15"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bookmarkStart w:id="16"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bookmarkStart w:id="17"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3AD2C2B6">
      <w:pPr>
        <w:pStyle w:val="151"/>
        <w:framePr w:h="584" w:hRule="exact" w:hSpace="181" w:vSpace="181" w:wrap="around" w:y="15027"/>
        <w:rPr>
          <w:rFonts w:hAnsi="黑体"/>
        </w:rPr>
      </w:pPr>
      <w:bookmarkStart w:id="18" w:name="fm"/>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459FFF4">
      <w:pPr>
        <w:rPr>
          <w:rFonts w:asci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6350" r="0" b="63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U8lY26AEAALg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4rPuPMCUsD&#10;v//84+7T118/v9B5//0bmyWROo8lxS7dOiSasnc3/hrkR2QOlq1wW5WbvT14QpikjOKvlGSgp1Kb&#10;7i3UFCN2EbJifRNsgiQtWJ8HczgPRvWRSXq8mJA6L2lm8uQrRHlK9AHjGwWWpUvFjXZJM1GK/TXG&#10;1IgoTyHp2cGVNibP3TjWVfz1bDrL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CU&#10;8lY26AEAALgDAAAOAAAAAAAAAAEAIAAAACYBAABkcnMvZTJvRG9jLnhtbFBLBQYAAAAABgAGAFkB&#10;AACABQAAAAA=&#10;">
                <v:fill on="f" focussize="0,0"/>
                <v:stroke color="#000000" joinstyle="round"/>
                <v:imagedata o:title=""/>
                <o:lock v:ext="edit" aspectratio="f"/>
                <w10:anchorlock/>
              </v:line>
            </w:pict>
          </mc:Fallback>
        </mc:AlternateContent>
      </w:r>
    </w:p>
    <w:p w14:paraId="02CD3AFB">
      <w:pPr>
        <w:pStyle w:val="89"/>
        <w:spacing w:after="468"/>
      </w:pPr>
      <w:bookmarkStart w:id="19" w:name="BookMark2"/>
      <w:r>
        <w:rPr>
          <w:rFonts w:hint="eastAsia"/>
          <w:spacing w:val="320"/>
        </w:rPr>
        <w:t>前</w:t>
      </w:r>
      <w:r>
        <w:rPr>
          <w:rFonts w:hint="eastAsia"/>
        </w:rPr>
        <w:t>言</w:t>
      </w:r>
    </w:p>
    <w:p w14:paraId="7A45F5A6">
      <w:pPr>
        <w:pStyle w:val="56"/>
        <w:ind w:firstLine="440"/>
      </w:pPr>
      <w:r>
        <w:rPr>
          <w:rFonts w:hint="eastAsia"/>
        </w:rPr>
        <w:t>本文件按照</w:t>
      </w:r>
      <w:r>
        <w:t>GB/T 1.1—2020</w:t>
      </w:r>
      <w:r>
        <w:rPr>
          <w:rFonts w:hint="eastAsia"/>
        </w:rPr>
        <w:t>《标准化工作导则</w:t>
      </w:r>
      <w:r>
        <w:t xml:space="preserve">  </w:t>
      </w:r>
      <w:r>
        <w:rPr>
          <w:rFonts w:hint="eastAsia"/>
        </w:rPr>
        <w:t>第</w:t>
      </w:r>
      <w:r>
        <w:t>1</w:t>
      </w:r>
      <w:r>
        <w:rPr>
          <w:rFonts w:hint="eastAsia"/>
        </w:rPr>
        <w:t>部分：标准化文件的结构和起草规则》的规定起草。</w:t>
      </w:r>
    </w:p>
    <w:p w14:paraId="08DE937A">
      <w:pPr>
        <w:pStyle w:val="231"/>
        <w:rPr>
          <w:color w:val="000000"/>
        </w:rPr>
      </w:pPr>
      <w:r>
        <w:rPr>
          <w:rFonts w:hint="eastAsia"/>
          <w:color w:val="000000"/>
        </w:rPr>
        <w:t>本文件代替</w:t>
      </w:r>
      <w:r>
        <w:rPr>
          <w:color w:val="000000"/>
        </w:rPr>
        <w:t>DB34/T 2468-2015</w:t>
      </w:r>
      <w:r>
        <w:rPr>
          <w:rFonts w:hint="eastAsia"/>
          <w:color w:val="000000"/>
        </w:rPr>
        <w:t>《养老机构常见病预防控制规范》，与</w:t>
      </w:r>
      <w:r>
        <w:rPr>
          <w:color w:val="000000"/>
        </w:rPr>
        <w:t>DB34/T 2468-2015</w:t>
      </w:r>
      <w:r>
        <w:rPr>
          <w:rFonts w:hint="eastAsia"/>
          <w:color w:val="000000"/>
        </w:rPr>
        <w:t>相比，除结构调整和编辑性改动外，主要技术变化如下：</w:t>
      </w:r>
    </w:p>
    <w:p w14:paraId="3A136A66">
      <w:pPr>
        <w:pStyle w:val="244"/>
        <w:numPr>
          <w:ilvl w:val="0"/>
          <w:numId w:val="13"/>
        </w:numPr>
        <w:ind w:left="839" w:hanging="419"/>
      </w:pPr>
      <w:r>
        <w:rPr>
          <w:rFonts w:hint="eastAsia"/>
        </w:rPr>
        <w:t>调整了范围的内容（见第</w:t>
      </w:r>
      <w:r>
        <w:t>1</w:t>
      </w:r>
      <w:r>
        <w:rPr>
          <w:rFonts w:hint="eastAsia"/>
        </w:rPr>
        <w:t>章）；</w:t>
      </w:r>
    </w:p>
    <w:p w14:paraId="3B5D1595">
      <w:pPr>
        <w:pStyle w:val="244"/>
        <w:numPr>
          <w:ilvl w:val="0"/>
          <w:numId w:val="13"/>
        </w:numPr>
        <w:ind w:left="839" w:hanging="419"/>
      </w:pPr>
      <w:r>
        <w:rPr>
          <w:rFonts w:hint="eastAsia"/>
        </w:rPr>
        <w:t>修改了规范性引用文件（见第</w:t>
      </w:r>
      <w:r>
        <w:t>2</w:t>
      </w:r>
      <w:r>
        <w:rPr>
          <w:rFonts w:hint="eastAsia"/>
        </w:rPr>
        <w:t>章）</w:t>
      </w:r>
    </w:p>
    <w:p w14:paraId="17E637B0">
      <w:pPr>
        <w:pStyle w:val="244"/>
        <w:numPr>
          <w:ilvl w:val="0"/>
          <w:numId w:val="13"/>
        </w:numPr>
        <w:ind w:left="839" w:hanging="419"/>
      </w:pPr>
      <w:r>
        <w:rPr>
          <w:rFonts w:hint="eastAsia"/>
        </w:rPr>
        <w:t>增加了术语和定义的内容（见第</w:t>
      </w:r>
      <w:r>
        <w:t>3</w:t>
      </w:r>
      <w:r>
        <w:rPr>
          <w:rFonts w:hint="eastAsia"/>
        </w:rPr>
        <w:t>章）；</w:t>
      </w:r>
    </w:p>
    <w:p w14:paraId="7591804E">
      <w:pPr>
        <w:pStyle w:val="244"/>
        <w:numPr>
          <w:ilvl w:val="0"/>
          <w:numId w:val="13"/>
        </w:numPr>
        <w:ind w:left="839" w:hanging="419"/>
      </w:pPr>
      <w:r>
        <w:rPr>
          <w:rFonts w:hint="eastAsia"/>
        </w:rPr>
        <w:t>将“管理机构”与“管理要求”合并为“基本要求”，并将</w:t>
      </w:r>
      <w:r>
        <w:t>2015</w:t>
      </w:r>
      <w:r>
        <w:rPr>
          <w:rFonts w:hint="eastAsia"/>
        </w:rPr>
        <w:t>版有关内容更改后纳入（见第</w:t>
      </w:r>
      <w:r>
        <w:t>4</w:t>
      </w:r>
      <w:r>
        <w:rPr>
          <w:rFonts w:hint="eastAsia"/>
        </w:rPr>
        <w:t>章）；</w:t>
      </w:r>
    </w:p>
    <w:p w14:paraId="5939A97D">
      <w:pPr>
        <w:pStyle w:val="244"/>
        <w:numPr>
          <w:ilvl w:val="0"/>
          <w:numId w:val="13"/>
        </w:numPr>
        <w:ind w:left="839" w:hanging="419"/>
      </w:pPr>
      <w:r>
        <w:rPr>
          <w:rFonts w:hint="eastAsia"/>
        </w:rPr>
        <w:t>调整了“预防知识培训”，更改了内容表述（见第</w:t>
      </w:r>
      <w:r>
        <w:t>5</w:t>
      </w:r>
      <w:r>
        <w:rPr>
          <w:rFonts w:hint="eastAsia"/>
        </w:rPr>
        <w:t>章）；</w:t>
      </w:r>
    </w:p>
    <w:p w14:paraId="23B66040">
      <w:pPr>
        <w:pStyle w:val="244"/>
        <w:numPr>
          <w:ilvl w:val="0"/>
          <w:numId w:val="13"/>
        </w:numPr>
        <w:ind w:left="839" w:hanging="419"/>
      </w:pPr>
      <w:r>
        <w:rPr>
          <w:rFonts w:hint="eastAsia"/>
        </w:rPr>
        <w:t>增加了“常见病预防”（见第</w:t>
      </w:r>
      <w:r>
        <w:t>6</w:t>
      </w:r>
      <w:r>
        <w:rPr>
          <w:rFonts w:hint="eastAsia"/>
        </w:rPr>
        <w:t>章）；</w:t>
      </w:r>
    </w:p>
    <w:p w14:paraId="505C997D">
      <w:pPr>
        <w:pStyle w:val="244"/>
        <w:numPr>
          <w:ilvl w:val="0"/>
          <w:numId w:val="13"/>
        </w:numPr>
        <w:ind w:left="839" w:hanging="419"/>
      </w:pPr>
      <w:r>
        <w:rPr>
          <w:rFonts w:hint="eastAsia"/>
        </w:rPr>
        <w:t>“常见病控制措施”进行了重新分类并更改了内容表述（见第</w:t>
      </w:r>
      <w:r>
        <w:t>7</w:t>
      </w:r>
      <w:r>
        <w:rPr>
          <w:rFonts w:hint="eastAsia"/>
        </w:rPr>
        <w:t>章）；</w:t>
      </w:r>
    </w:p>
    <w:p w14:paraId="7C54B522">
      <w:pPr>
        <w:pStyle w:val="244"/>
        <w:numPr>
          <w:ilvl w:val="0"/>
          <w:numId w:val="13"/>
        </w:numPr>
        <w:ind w:left="839" w:hanging="419"/>
      </w:pPr>
      <w:r>
        <w:rPr>
          <w:rFonts w:hint="eastAsia"/>
        </w:rPr>
        <w:t>“监督检查”调整为“监督考核”，更改了内容表述（见第</w:t>
      </w:r>
      <w:r>
        <w:t>8</w:t>
      </w:r>
      <w:r>
        <w:rPr>
          <w:rFonts w:hint="eastAsia"/>
        </w:rPr>
        <w:t>章）。</w:t>
      </w:r>
    </w:p>
    <w:p w14:paraId="1E954B29">
      <w:pPr>
        <w:pStyle w:val="231"/>
        <w:rPr>
          <w:color w:val="000000"/>
        </w:rPr>
      </w:pPr>
      <w:r>
        <w:rPr>
          <w:rFonts w:hint="eastAsia"/>
        </w:rPr>
        <w:t>请注意本文件的某些内容可能涉及专利。本文件的发布机构不承担识别专利的责任。</w:t>
      </w:r>
    </w:p>
    <w:p w14:paraId="40A7B420">
      <w:pPr>
        <w:pStyle w:val="231"/>
        <w:rPr>
          <w:rFonts w:cs="Calibri"/>
          <w:color w:val="000000"/>
        </w:rPr>
      </w:pPr>
      <w:r>
        <w:rPr>
          <w:rFonts w:hint="eastAsia"/>
          <w:color w:val="000000"/>
        </w:rPr>
        <w:t>本文件由安徽省民政厅提出并归口。</w:t>
      </w:r>
    </w:p>
    <w:p w14:paraId="55A1E686">
      <w:pPr>
        <w:pStyle w:val="231"/>
        <w:rPr>
          <w:rFonts w:cs="Calibri"/>
          <w:color w:val="000000"/>
        </w:rPr>
      </w:pPr>
      <w:r>
        <w:rPr>
          <w:rFonts w:hint="eastAsia"/>
          <w:color w:val="000000"/>
        </w:rPr>
        <w:t>本文件起草单位：安徽省民政厅、</w:t>
      </w:r>
      <w:r>
        <w:rPr>
          <w:rFonts w:hint="eastAsia"/>
          <w:color w:val="000000"/>
          <w:kern w:val="2"/>
          <w:szCs w:val="21"/>
        </w:rPr>
        <w:t>宁国市社会福利院、安徽城市管理职业学院、皖西卫生职业学院、中国科学技术大学附属第一医院（安徽省立医院）、滁州城市职业学院</w:t>
      </w:r>
      <w:r>
        <w:rPr>
          <w:rFonts w:hint="eastAsia"/>
          <w:color w:val="000000"/>
        </w:rPr>
        <w:t>。</w:t>
      </w:r>
    </w:p>
    <w:p w14:paraId="45B6208F">
      <w:pPr>
        <w:pStyle w:val="231"/>
        <w:rPr>
          <w:rFonts w:cs="Calibri"/>
          <w:color w:val="000000"/>
        </w:rPr>
      </w:pPr>
      <w:r>
        <w:rPr>
          <w:rFonts w:hint="eastAsia"/>
          <w:color w:val="000000"/>
        </w:rPr>
        <w:t>本文件主要起草人：</w:t>
      </w:r>
    </w:p>
    <w:p w14:paraId="5ECA61B9">
      <w:pPr>
        <w:pStyle w:val="231"/>
        <w:rPr>
          <w:rFonts w:cs="Calibri"/>
          <w:color w:val="000000"/>
        </w:rPr>
      </w:pPr>
      <w:r>
        <w:rPr>
          <w:rFonts w:hint="eastAsia" w:cs="Calibri"/>
          <w:color w:val="000000"/>
        </w:rPr>
        <w:t>本文件及其所替代文件的历次版本发布情况为：</w:t>
      </w:r>
    </w:p>
    <w:p w14:paraId="5449FBDB">
      <w:pPr>
        <w:pStyle w:val="132"/>
      </w:pPr>
      <w:r>
        <w:t>2015</w:t>
      </w:r>
      <w:r>
        <w:rPr>
          <w:rFonts w:hint="eastAsia"/>
        </w:rPr>
        <w:t>年首次发布为</w:t>
      </w:r>
      <w:r>
        <w:t>DB34/T 2468-2015</w:t>
      </w:r>
      <w:r>
        <w:rPr>
          <w:rFonts w:hint="eastAsia"/>
        </w:rPr>
        <w:t>；</w:t>
      </w:r>
    </w:p>
    <w:p w14:paraId="6B13F0D5">
      <w:pPr>
        <w:pStyle w:val="132"/>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本次为第一次修订。</w:t>
      </w:r>
    </w:p>
    <w:bookmarkEnd w:id="19"/>
    <w:p w14:paraId="0CE2CA89">
      <w:pPr>
        <w:spacing w:line="20" w:lineRule="exact"/>
        <w:jc w:val="center"/>
        <w:rPr>
          <w:rFonts w:ascii="黑体" w:hAnsi="黑体" w:eastAsia="黑体"/>
          <w:sz w:val="32"/>
          <w:szCs w:val="32"/>
        </w:rPr>
      </w:pPr>
      <w:bookmarkStart w:id="20" w:name="BookMark4"/>
    </w:p>
    <w:p w14:paraId="09DBB13E">
      <w:pPr>
        <w:spacing w:line="20" w:lineRule="exact"/>
        <w:jc w:val="center"/>
        <w:rPr>
          <w:rFonts w:ascii="黑体" w:hAnsi="黑体" w:eastAsia="黑体"/>
          <w:sz w:val="32"/>
          <w:szCs w:val="32"/>
        </w:rPr>
      </w:pPr>
    </w:p>
    <w:p w14:paraId="3F58920B">
      <w:pPr>
        <w:pStyle w:val="177"/>
        <w:spacing w:before="312" w:beforeLines="100" w:after="686" w:afterLines="220"/>
      </w:pPr>
      <w:bookmarkStart w:id="21" w:name="NEW_STAND_NAME"/>
      <w:r>
        <w:rPr>
          <w:rFonts w:hint="eastAsia"/>
        </w:rPr>
        <w:t>养老机构常见病预防控制规范</w:t>
      </w:r>
      <w:bookmarkEnd w:id="21"/>
    </w:p>
    <w:p w14:paraId="17547A3C">
      <w:pPr>
        <w:pStyle w:val="104"/>
        <w:spacing w:before="312" w:after="312"/>
      </w:pPr>
      <w:bookmarkStart w:id="22" w:name="_Toc26986771"/>
      <w:bookmarkStart w:id="23" w:name="_Toc26718930"/>
      <w:bookmarkStart w:id="24" w:name="_Toc24884211"/>
      <w:bookmarkStart w:id="25" w:name="_Toc24884218"/>
      <w:bookmarkStart w:id="26" w:name="_Toc17233333"/>
      <w:bookmarkStart w:id="27" w:name="_Toc17233325"/>
      <w:bookmarkStart w:id="28" w:name="_Toc26986530"/>
      <w:bookmarkStart w:id="29" w:name="_Toc26648465"/>
      <w:r>
        <w:rPr>
          <w:rFonts w:hint="eastAsia"/>
        </w:rPr>
        <w:t>范围</w:t>
      </w:r>
      <w:bookmarkEnd w:id="22"/>
      <w:bookmarkEnd w:id="23"/>
      <w:bookmarkEnd w:id="24"/>
      <w:bookmarkEnd w:id="25"/>
      <w:bookmarkEnd w:id="26"/>
      <w:bookmarkEnd w:id="27"/>
      <w:bookmarkEnd w:id="28"/>
      <w:bookmarkEnd w:id="29"/>
    </w:p>
    <w:p w14:paraId="534C5182">
      <w:pPr>
        <w:pStyle w:val="231"/>
        <w:rPr>
          <w:color w:val="000000"/>
        </w:rPr>
      </w:pPr>
      <w:bookmarkStart w:id="30" w:name="_Toc24884219"/>
      <w:bookmarkStart w:id="31" w:name="_Toc24884212"/>
      <w:bookmarkStart w:id="32" w:name="_Toc26648466"/>
      <w:bookmarkStart w:id="33" w:name="_Toc17233334"/>
      <w:bookmarkStart w:id="34" w:name="_Toc17233326"/>
      <w:r>
        <w:rPr>
          <w:rFonts w:hint="eastAsia"/>
          <w:color w:val="000000"/>
        </w:rPr>
        <w:t>本文件确立了养老机构常见病预防控制的基本要求，并规定了预防知识培训、常见病预防、常见病控制、监督检查。</w:t>
      </w:r>
    </w:p>
    <w:p w14:paraId="1B226323">
      <w:pPr>
        <w:pStyle w:val="231"/>
        <w:rPr>
          <w:color w:val="000000"/>
        </w:rPr>
      </w:pPr>
      <w:r>
        <w:rPr>
          <w:rFonts w:hint="eastAsia"/>
          <w:color w:val="000000"/>
        </w:rPr>
        <w:t>本文件适用于养老机构开展常见病预防控制工作。</w:t>
      </w:r>
    </w:p>
    <w:p w14:paraId="0BFDFB92">
      <w:pPr>
        <w:pStyle w:val="104"/>
        <w:spacing w:before="312" w:after="312"/>
      </w:pPr>
      <w:r>
        <w:rPr>
          <w:rFonts w:hint="eastAsia"/>
        </w:rPr>
        <w:t>规范性引用文件</w:t>
      </w:r>
    </w:p>
    <w:p w14:paraId="788E437A">
      <w:pPr>
        <w:pStyle w:val="56"/>
        <w:ind w:firstLine="44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59AD372">
      <w:pPr>
        <w:pStyle w:val="56"/>
        <w:ind w:firstLine="440"/>
        <w:rPr>
          <w:color w:val="000000"/>
        </w:rPr>
      </w:pPr>
      <w:r>
        <w:rPr>
          <w:color w:val="000000"/>
        </w:rPr>
        <w:t xml:space="preserve">MZ/T 032  </w:t>
      </w:r>
      <w:r>
        <w:rPr>
          <w:rFonts w:hint="eastAsia"/>
          <w:color w:val="000000"/>
        </w:rPr>
        <w:t>养老机构安全管理</w:t>
      </w:r>
    </w:p>
    <w:p w14:paraId="34D38C89">
      <w:pPr>
        <w:pStyle w:val="104"/>
        <w:spacing w:before="312" w:after="312"/>
      </w:pPr>
      <w:r>
        <w:rPr>
          <w:rFonts w:hint="eastAsia"/>
        </w:rPr>
        <w:t>术语和定义</w:t>
      </w:r>
    </w:p>
    <w:sdt>
      <w:sdtPr>
        <w:id w:val="-1"/>
        <w:placeholder>
          <w:docPart w:val="{d450ad49-85e0-41e2-8e8e-a7262323a6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179853">
          <w:pPr>
            <w:pStyle w:val="56"/>
            <w:ind w:firstLine="440"/>
          </w:pPr>
          <w:r>
            <w:t>下列术语和定义适用于本文件。</w:t>
          </w:r>
        </w:p>
      </w:sdtContent>
    </w:sdt>
    <w:p w14:paraId="6C12476F">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养老护理员  </w:t>
      </w:r>
      <w:r>
        <w:rPr>
          <w:rFonts w:hAnsi="宋体" w:cs="宋体"/>
        </w:rPr>
        <w:t>gerontological caregiver</w:t>
      </w:r>
    </w:p>
    <w:p w14:paraId="48EC9FA6">
      <w:pPr>
        <w:pStyle w:val="56"/>
        <w:ind w:firstLine="440"/>
        <w:rPr>
          <w:color w:val="000000"/>
        </w:rPr>
      </w:pPr>
      <w:r>
        <w:rPr>
          <w:rFonts w:hint="eastAsia"/>
        </w:rPr>
        <w:t>从事老年人生活进行照料、护理服务的工作人员。</w:t>
      </w:r>
    </w:p>
    <w:p w14:paraId="5546EBD8">
      <w:pPr>
        <w:pStyle w:val="104"/>
        <w:spacing w:before="312" w:after="312"/>
      </w:pPr>
      <w:r>
        <w:rPr>
          <w:rFonts w:hint="eastAsia"/>
        </w:rPr>
        <w:t>基本要求</w:t>
      </w:r>
    </w:p>
    <w:p w14:paraId="0D715032">
      <w:pPr>
        <w:pStyle w:val="162"/>
      </w:pPr>
      <w:r>
        <w:rPr>
          <w:rFonts w:hint="eastAsia"/>
        </w:rPr>
        <w:t>机构应合法、合规，具备相应的资质；宜设置常见病预防控制管理部门。</w:t>
      </w:r>
      <w:r>
        <w:t xml:space="preserve"> </w:t>
      </w:r>
    </w:p>
    <w:p w14:paraId="745E7103">
      <w:pPr>
        <w:pStyle w:val="162"/>
      </w:pPr>
      <w:r>
        <w:rPr>
          <w:rFonts w:hint="eastAsia"/>
        </w:rPr>
        <w:t>应配备与开展常见病预防控制相适应的管理人员、专业技术人员和服务人员。</w:t>
      </w:r>
    </w:p>
    <w:p w14:paraId="09DD2A4B">
      <w:pPr>
        <w:pStyle w:val="162"/>
      </w:pPr>
      <w:r>
        <w:rPr>
          <w:rFonts w:hint="eastAsia"/>
        </w:rPr>
        <w:t>应建立常见病预防控制相关制度、工作流程及应急预案。</w:t>
      </w:r>
    </w:p>
    <w:p w14:paraId="4D201D2E">
      <w:pPr>
        <w:pStyle w:val="162"/>
      </w:pPr>
      <w:r>
        <w:rPr>
          <w:rFonts w:hint="eastAsia"/>
        </w:rPr>
        <w:t>应制定常见病预防控制服务计划，并有相应的实施方案。</w:t>
      </w:r>
    </w:p>
    <w:p w14:paraId="385A7953">
      <w:pPr>
        <w:pStyle w:val="162"/>
      </w:pPr>
      <w:r>
        <w:rPr>
          <w:rFonts w:hint="eastAsia"/>
        </w:rPr>
        <w:t>应定期维护保养常见病预防控制相关设施设备，确保其处于完好状态。</w:t>
      </w:r>
    </w:p>
    <w:p w14:paraId="015A0FF2">
      <w:pPr>
        <w:pStyle w:val="162"/>
      </w:pPr>
      <w:r>
        <w:rPr>
          <w:rFonts w:hint="eastAsia"/>
        </w:rPr>
        <w:t>安全管理应符合</w:t>
      </w:r>
      <w:r>
        <w:t>MZ/T 032</w:t>
      </w:r>
      <w:r>
        <w:rPr>
          <w:rFonts w:hint="eastAsia"/>
        </w:rPr>
        <w:t>的要求。</w:t>
      </w:r>
    </w:p>
    <w:p w14:paraId="6E9E2778">
      <w:pPr>
        <w:pStyle w:val="162"/>
      </w:pPr>
      <w:r>
        <w:rPr>
          <w:rFonts w:hint="eastAsia"/>
        </w:rPr>
        <w:t>消毒、废物处理等应配备符合规定的设备，或委托有资质的机构进行处理。</w:t>
      </w:r>
    </w:p>
    <w:p w14:paraId="64821D72">
      <w:pPr>
        <w:pStyle w:val="104"/>
        <w:spacing w:before="312" w:after="312"/>
      </w:pPr>
      <w:r>
        <w:rPr>
          <w:rFonts w:hint="eastAsia"/>
        </w:rPr>
        <w:t>预防知识培训</w:t>
      </w:r>
    </w:p>
    <w:p w14:paraId="77B0F1AC">
      <w:pPr>
        <w:pStyle w:val="105"/>
        <w:spacing w:before="156" w:after="156"/>
      </w:pPr>
      <w:r>
        <w:rPr>
          <w:rFonts w:hint="eastAsia"/>
        </w:rPr>
        <w:t>培训对象</w:t>
      </w:r>
    </w:p>
    <w:p w14:paraId="5C605AE0">
      <w:pPr>
        <w:pStyle w:val="231"/>
        <w:rPr>
          <w:color w:val="000000"/>
        </w:rPr>
      </w:pPr>
      <w:r>
        <w:rPr>
          <w:rFonts w:hint="eastAsia"/>
          <w:color w:val="000000"/>
        </w:rPr>
        <w:t>常见病预防控制的专（兼）职人员、医护人员、养老护理员、后勤餐饮人员。</w:t>
      </w:r>
    </w:p>
    <w:p w14:paraId="5AF9E8F9">
      <w:pPr>
        <w:pStyle w:val="105"/>
        <w:spacing w:before="156" w:after="156"/>
      </w:pPr>
      <w:r>
        <w:rPr>
          <w:rFonts w:hint="eastAsia"/>
        </w:rPr>
        <w:t>培训要求</w:t>
      </w:r>
    </w:p>
    <w:p w14:paraId="62CF27DB">
      <w:pPr>
        <w:pStyle w:val="165"/>
      </w:pPr>
      <w:r>
        <w:rPr>
          <w:rFonts w:hint="eastAsia"/>
        </w:rPr>
        <w:t>机构内常见病预防控制的专（兼）职人员应全面掌握常见病预防控制的理论、专业知识和技能，并能指导实际工作。</w:t>
      </w:r>
    </w:p>
    <w:p w14:paraId="3A6BB749">
      <w:pPr>
        <w:pStyle w:val="165"/>
      </w:pPr>
      <w:r>
        <w:rPr>
          <w:rFonts w:hint="eastAsia"/>
        </w:rPr>
        <w:t>机构内的医护人员应掌握无菌操作技术、手卫生等与本职工作相关的常见病预防控制的专业知识，并在工作中贯彻实施。</w:t>
      </w:r>
    </w:p>
    <w:p w14:paraId="3D8C1890">
      <w:pPr>
        <w:pStyle w:val="165"/>
      </w:pPr>
      <w:r>
        <w:rPr>
          <w:rFonts w:hint="eastAsia"/>
        </w:rPr>
        <w:t>养老护理员、后勤餐饮人员应掌握有关常见病预防控制基础知识、消毒技术和消毒隔离知识，并在工作中正确运用。</w:t>
      </w:r>
    </w:p>
    <w:p w14:paraId="09F74AE8">
      <w:pPr>
        <w:pStyle w:val="165"/>
      </w:pPr>
      <w:r>
        <w:rPr>
          <w:rFonts w:hint="eastAsia"/>
        </w:rPr>
        <w:t>应建立个人培训记录，应每年考核一次。</w:t>
      </w:r>
    </w:p>
    <w:p w14:paraId="0EA82619">
      <w:pPr>
        <w:pStyle w:val="104"/>
        <w:spacing w:before="312" w:after="312"/>
      </w:pPr>
      <w:r>
        <w:rPr>
          <w:rFonts w:hint="eastAsia"/>
        </w:rPr>
        <w:t>常见病预防</w:t>
      </w:r>
    </w:p>
    <w:p w14:paraId="42487BFD">
      <w:pPr>
        <w:pStyle w:val="162"/>
      </w:pPr>
      <w:r>
        <w:rPr>
          <w:rFonts w:hint="eastAsia"/>
        </w:rPr>
        <w:t>应定期进行老年人常见病的防控知识宣传，指导老年人改善不良生活方式，提高老年人的遵医能力。</w:t>
      </w:r>
    </w:p>
    <w:p w14:paraId="10FC8F7D">
      <w:pPr>
        <w:pStyle w:val="162"/>
      </w:pPr>
      <w:r>
        <w:rPr>
          <w:rFonts w:hint="eastAsia"/>
        </w:rPr>
        <w:t>应组织老年人每年进行体检，及时掌握身体状况。</w:t>
      </w:r>
    </w:p>
    <w:p w14:paraId="4D7778B1">
      <w:pPr>
        <w:pStyle w:val="162"/>
      </w:pPr>
      <w:r>
        <w:rPr>
          <w:rFonts w:hint="eastAsia"/>
        </w:rPr>
        <w:t>应指导老年人做好自我管理，包括情绪管理、饮食管理、运动管理、</w:t>
      </w:r>
      <w:r>
        <w:t xml:space="preserve"> </w:t>
      </w:r>
      <w:r>
        <w:rPr>
          <w:rFonts w:hint="eastAsia"/>
        </w:rPr>
        <w:t>日常生活管理、治疗管理。</w:t>
      </w:r>
    </w:p>
    <w:p w14:paraId="176F5FCC">
      <w:pPr>
        <w:pStyle w:val="104"/>
        <w:spacing w:before="312" w:after="312"/>
      </w:pPr>
      <w:r>
        <w:rPr>
          <w:rFonts w:hint="eastAsia"/>
        </w:rPr>
        <w:t>常见病控制</w:t>
      </w:r>
    </w:p>
    <w:p w14:paraId="3B702FB7">
      <w:pPr>
        <w:pStyle w:val="105"/>
        <w:spacing w:before="156" w:after="156"/>
      </w:pPr>
      <w:r>
        <w:rPr>
          <w:rFonts w:hint="eastAsia"/>
        </w:rPr>
        <w:t>高血压</w:t>
      </w:r>
    </w:p>
    <w:p w14:paraId="2356D7E1">
      <w:pPr>
        <w:pStyle w:val="65"/>
        <w:spacing w:before="156" w:after="156"/>
      </w:pPr>
      <w:r>
        <w:rPr>
          <w:rFonts w:hint="eastAsia"/>
        </w:rPr>
        <w:t>评估</w:t>
      </w:r>
    </w:p>
    <w:p w14:paraId="4957DE57">
      <w:pPr>
        <w:pStyle w:val="164"/>
      </w:pPr>
      <w:r>
        <w:rPr>
          <w:rFonts w:hint="eastAsia"/>
        </w:rPr>
        <w:t>应对老年人进行血压水平及心脑血管危险进行分层。</w:t>
      </w:r>
      <w:r>
        <w:t xml:space="preserve"> </w:t>
      </w:r>
    </w:p>
    <w:p w14:paraId="254C0A8A">
      <w:pPr>
        <w:pStyle w:val="164"/>
      </w:pPr>
      <w:r>
        <w:rPr>
          <w:rFonts w:hint="eastAsia"/>
        </w:rPr>
        <w:t>应制定血压监测记录表，规律监测血压。</w:t>
      </w:r>
      <w:r>
        <w:t xml:space="preserve"> </w:t>
      </w:r>
    </w:p>
    <w:p w14:paraId="3868E429">
      <w:pPr>
        <w:pStyle w:val="164"/>
      </w:pPr>
      <w:r>
        <w:rPr>
          <w:rFonts w:hint="eastAsia"/>
        </w:rPr>
        <w:t>老年人如出现血压明显高于平时监测结果，或出现神经系统、消化系统或其它脏器症状时应及时转诊。</w:t>
      </w:r>
    </w:p>
    <w:p w14:paraId="627CB0B3">
      <w:pPr>
        <w:pStyle w:val="65"/>
        <w:spacing w:before="156" w:after="156"/>
      </w:pPr>
      <w:r>
        <w:rPr>
          <w:rFonts w:hint="eastAsia"/>
        </w:rPr>
        <w:t>饮食</w:t>
      </w:r>
    </w:p>
    <w:p w14:paraId="4A368684">
      <w:pPr>
        <w:pStyle w:val="164"/>
      </w:pPr>
      <w:r>
        <w:rPr>
          <w:rFonts w:hint="eastAsia"/>
        </w:rPr>
        <w:t>轻、中度高血压患者应给予低盐低脂饮食。</w:t>
      </w:r>
    </w:p>
    <w:p w14:paraId="59651E47">
      <w:pPr>
        <w:pStyle w:val="164"/>
      </w:pPr>
      <w:r>
        <w:rPr>
          <w:rFonts w:hint="eastAsia"/>
        </w:rPr>
        <w:t>重度高血压患者应严格控制水钠的摄入。</w:t>
      </w:r>
    </w:p>
    <w:p w14:paraId="6986AE72">
      <w:pPr>
        <w:pStyle w:val="65"/>
        <w:spacing w:before="156" w:after="156"/>
      </w:pPr>
      <w:r>
        <w:rPr>
          <w:rFonts w:hint="eastAsia"/>
        </w:rPr>
        <w:t>运动</w:t>
      </w:r>
    </w:p>
    <w:p w14:paraId="38249285">
      <w:pPr>
        <w:pStyle w:val="164"/>
      </w:pPr>
      <w:r>
        <w:rPr>
          <w:rFonts w:hint="eastAsia"/>
        </w:rPr>
        <w:t>应指导老年人进行适宜的运动，注意运动强度的控制。</w:t>
      </w:r>
    </w:p>
    <w:p w14:paraId="65828511">
      <w:pPr>
        <w:pStyle w:val="164"/>
      </w:pPr>
      <w:r>
        <w:rPr>
          <w:rFonts w:hint="eastAsia"/>
        </w:rPr>
        <w:t>应注意老年人运动过程中血压和心率监测，及时调整运动量，如有不适应立即停止并及时干</w:t>
      </w:r>
      <w:r>
        <w:t xml:space="preserve"> </w:t>
      </w:r>
      <w:r>
        <w:rPr>
          <w:rFonts w:hint="eastAsia"/>
        </w:rPr>
        <w:t>预。</w:t>
      </w:r>
    </w:p>
    <w:p w14:paraId="0DFE8245">
      <w:pPr>
        <w:pStyle w:val="65"/>
        <w:spacing w:before="156" w:after="156"/>
      </w:pPr>
      <w:r>
        <w:rPr>
          <w:rFonts w:hint="eastAsia"/>
        </w:rPr>
        <w:t>健康干预</w:t>
      </w:r>
    </w:p>
    <w:p w14:paraId="70579FA9">
      <w:pPr>
        <w:pStyle w:val="164"/>
      </w:pPr>
      <w:r>
        <w:rPr>
          <w:rFonts w:hint="eastAsia"/>
        </w:rPr>
        <w:t>应指导老年人按时按量服药，注意观察药物副作用。</w:t>
      </w:r>
    </w:p>
    <w:p w14:paraId="262EB9CA">
      <w:pPr>
        <w:pStyle w:val="164"/>
      </w:pPr>
      <w:r>
        <w:rPr>
          <w:rFonts w:hint="eastAsia"/>
        </w:rPr>
        <w:t>应根据血压控制情况及时调整降压治疗方案。</w:t>
      </w:r>
    </w:p>
    <w:p w14:paraId="32420612">
      <w:pPr>
        <w:pStyle w:val="164"/>
      </w:pPr>
      <w:r>
        <w:rPr>
          <w:rFonts w:hint="eastAsia"/>
        </w:rPr>
        <w:t>应提供心理指导，使老年人保持心态平和，避免情绪激动。</w:t>
      </w:r>
    </w:p>
    <w:p w14:paraId="415529D6">
      <w:pPr>
        <w:pStyle w:val="105"/>
        <w:spacing w:before="156" w:after="156"/>
      </w:pPr>
      <w:r>
        <w:rPr>
          <w:rFonts w:hint="eastAsia"/>
        </w:rPr>
        <w:t>糖尿病</w:t>
      </w:r>
    </w:p>
    <w:p w14:paraId="6EF26508">
      <w:pPr>
        <w:pStyle w:val="65"/>
        <w:spacing w:before="156" w:after="156"/>
      </w:pPr>
      <w:r>
        <w:rPr>
          <w:rFonts w:hint="eastAsia"/>
        </w:rPr>
        <w:t>评估</w:t>
      </w:r>
    </w:p>
    <w:p w14:paraId="2C075DAB">
      <w:pPr>
        <w:pStyle w:val="164"/>
      </w:pPr>
      <w:r>
        <w:rPr>
          <w:rFonts w:hint="eastAsia"/>
        </w:rPr>
        <w:t>应对老年人血糖控制情况及相关并发症进行评估。</w:t>
      </w:r>
    </w:p>
    <w:p w14:paraId="49F4A105">
      <w:pPr>
        <w:pStyle w:val="164"/>
      </w:pPr>
      <w:r>
        <w:rPr>
          <w:rFonts w:hint="eastAsia"/>
        </w:rPr>
        <w:t>应制定血糖监测记录表，定期监测血糖。</w:t>
      </w:r>
    </w:p>
    <w:p w14:paraId="3753F189">
      <w:pPr>
        <w:pStyle w:val="164"/>
      </w:pPr>
      <w:r>
        <w:rPr>
          <w:rFonts w:hint="eastAsia"/>
        </w:rPr>
        <w:t>老年人血糖明显高于平时血糖监测结果，或出现高渗性昏迷、糖尿病酮症或其他特殊突发异</w:t>
      </w:r>
      <w:r>
        <w:t xml:space="preserve"> </w:t>
      </w:r>
      <w:r>
        <w:rPr>
          <w:rFonts w:hint="eastAsia"/>
        </w:rPr>
        <w:t>常情况时应及时转诊。</w:t>
      </w:r>
    </w:p>
    <w:p w14:paraId="043832EB">
      <w:pPr>
        <w:pStyle w:val="65"/>
        <w:spacing w:before="156" w:after="156"/>
      </w:pPr>
      <w:r>
        <w:rPr>
          <w:rFonts w:hint="eastAsia"/>
        </w:rPr>
        <w:t>饮食</w:t>
      </w:r>
    </w:p>
    <w:p w14:paraId="413C12B8">
      <w:pPr>
        <w:pStyle w:val="164"/>
      </w:pPr>
      <w:r>
        <w:rPr>
          <w:rFonts w:hint="eastAsia"/>
        </w:rPr>
        <w:t>应给予糖尿病饮食，严格饮食管理。</w:t>
      </w:r>
    </w:p>
    <w:p w14:paraId="4F70A593">
      <w:pPr>
        <w:pStyle w:val="164"/>
      </w:pPr>
      <w:r>
        <w:rPr>
          <w:rFonts w:hint="eastAsia"/>
        </w:rPr>
        <w:t>应定时定量进餐，平衡膳食。</w:t>
      </w:r>
    </w:p>
    <w:p w14:paraId="6D3C83D3">
      <w:pPr>
        <w:pStyle w:val="65"/>
        <w:spacing w:before="156" w:after="156"/>
      </w:pPr>
      <w:r>
        <w:rPr>
          <w:rFonts w:hint="eastAsia"/>
        </w:rPr>
        <w:t>运动</w:t>
      </w:r>
    </w:p>
    <w:p w14:paraId="2E34EE8E">
      <w:pPr>
        <w:pStyle w:val="164"/>
      </w:pPr>
      <w:r>
        <w:rPr>
          <w:rFonts w:hint="eastAsia"/>
        </w:rPr>
        <w:t>应指导老年人进行适宜的运动，注意运动强度的控制。</w:t>
      </w:r>
    </w:p>
    <w:p w14:paraId="3B3B7F3A">
      <w:pPr>
        <w:pStyle w:val="164"/>
      </w:pPr>
      <w:r>
        <w:rPr>
          <w:rFonts w:hint="eastAsia"/>
        </w:rPr>
        <w:t>应指导老年人避免空腹运动，运动时准备饼干、糖果等应急食品。</w:t>
      </w:r>
      <w:r>
        <w:t xml:space="preserve"> </w:t>
      </w:r>
    </w:p>
    <w:p w14:paraId="2017BA06">
      <w:pPr>
        <w:pStyle w:val="164"/>
      </w:pPr>
      <w:r>
        <w:rPr>
          <w:rFonts w:hint="eastAsia"/>
        </w:rPr>
        <w:t>运动中及时监测血糖及老年人反应，如出现不适，应立即停止运动并及时干预。</w:t>
      </w:r>
    </w:p>
    <w:p w14:paraId="7F1139B0">
      <w:pPr>
        <w:pStyle w:val="65"/>
        <w:spacing w:before="156" w:after="156"/>
      </w:pPr>
      <w:r>
        <w:rPr>
          <w:rFonts w:hint="eastAsia"/>
        </w:rPr>
        <w:t>健康干预</w:t>
      </w:r>
    </w:p>
    <w:p w14:paraId="27EA0D3A">
      <w:pPr>
        <w:pStyle w:val="164"/>
      </w:pPr>
      <w:r>
        <w:rPr>
          <w:rFonts w:hint="eastAsia"/>
        </w:rPr>
        <w:t>应指导老年人按时按量服药，用药期间注意监测血糖情况，防止低血糖出现。</w:t>
      </w:r>
      <w:r>
        <w:t xml:space="preserve"> </w:t>
      </w:r>
    </w:p>
    <w:p w14:paraId="69AB42AC">
      <w:pPr>
        <w:pStyle w:val="164"/>
      </w:pPr>
      <w:r>
        <w:rPr>
          <w:rFonts w:hint="eastAsia"/>
        </w:rPr>
        <w:t>应根据血糖控制情况调整降糖治疗。</w:t>
      </w:r>
      <w:r>
        <w:t xml:space="preserve"> </w:t>
      </w:r>
    </w:p>
    <w:p w14:paraId="5B5F06B6">
      <w:pPr>
        <w:pStyle w:val="164"/>
      </w:pPr>
      <w:r>
        <w:rPr>
          <w:rFonts w:hint="eastAsia"/>
        </w:rPr>
        <w:t>应提供心理指导，使老年人保持心态平和，避免情绪激动。</w:t>
      </w:r>
    </w:p>
    <w:p w14:paraId="73E3D26C">
      <w:pPr>
        <w:pStyle w:val="105"/>
        <w:spacing w:before="156" w:after="156"/>
      </w:pPr>
      <w:r>
        <w:rPr>
          <w:rFonts w:hint="eastAsia"/>
        </w:rPr>
        <w:t>冠心病</w:t>
      </w:r>
    </w:p>
    <w:p w14:paraId="70DA89C6">
      <w:pPr>
        <w:pStyle w:val="65"/>
        <w:spacing w:before="156" w:after="156"/>
      </w:pPr>
      <w:r>
        <w:rPr>
          <w:rFonts w:hint="eastAsia"/>
        </w:rPr>
        <w:t>评估</w:t>
      </w:r>
    </w:p>
    <w:p w14:paraId="4B64043D">
      <w:pPr>
        <w:pStyle w:val="164"/>
      </w:pPr>
      <w:r>
        <w:rPr>
          <w:rFonts w:hint="eastAsia"/>
        </w:rPr>
        <w:t>应明确老年人冠心病类型。</w:t>
      </w:r>
    </w:p>
    <w:p w14:paraId="78160CC6">
      <w:pPr>
        <w:pStyle w:val="164"/>
      </w:pPr>
      <w:r>
        <w:rPr>
          <w:rFonts w:hint="eastAsia"/>
        </w:rPr>
        <w:t>应了解老年人的生活习惯，判断有无诱发的危险因素。</w:t>
      </w:r>
    </w:p>
    <w:p w14:paraId="6BAEBB29">
      <w:pPr>
        <w:pStyle w:val="164"/>
      </w:pPr>
      <w:r>
        <w:rPr>
          <w:rFonts w:hint="eastAsia"/>
        </w:rPr>
        <w:t>对心绞痛应了解心绞痛发作的频率、疼痛部位、疼痛性质及持续时间。</w:t>
      </w:r>
    </w:p>
    <w:p w14:paraId="71DD5411">
      <w:pPr>
        <w:pStyle w:val="65"/>
        <w:spacing w:before="156" w:after="156"/>
      </w:pPr>
      <w:r>
        <w:rPr>
          <w:rFonts w:hint="eastAsia"/>
        </w:rPr>
        <w:t>饮食</w:t>
      </w:r>
    </w:p>
    <w:p w14:paraId="478801F5">
      <w:pPr>
        <w:pStyle w:val="164"/>
      </w:pPr>
      <w:r>
        <w:rPr>
          <w:rFonts w:hint="eastAsia"/>
        </w:rPr>
        <w:t>应给予老年人低盐低脂低胆固醇饮食。</w:t>
      </w:r>
    </w:p>
    <w:p w14:paraId="555E822B">
      <w:pPr>
        <w:pStyle w:val="164"/>
      </w:pPr>
      <w:r>
        <w:rPr>
          <w:rFonts w:hint="eastAsia"/>
        </w:rPr>
        <w:t>应多提供蔬菜、水果，适当增加高蛋白饮食。</w:t>
      </w:r>
    </w:p>
    <w:p w14:paraId="1DE4C578">
      <w:pPr>
        <w:pStyle w:val="65"/>
        <w:spacing w:before="156" w:after="156"/>
      </w:pPr>
      <w:r>
        <w:rPr>
          <w:rFonts w:hint="eastAsia"/>
        </w:rPr>
        <w:t>运动</w:t>
      </w:r>
    </w:p>
    <w:p w14:paraId="34D6AFB0">
      <w:pPr>
        <w:pStyle w:val="164"/>
      </w:pPr>
      <w:r>
        <w:rPr>
          <w:rFonts w:hint="eastAsia"/>
        </w:rPr>
        <w:t>应指导老年人进行适宜的运动，注意运动强度的控制。</w:t>
      </w:r>
    </w:p>
    <w:p w14:paraId="3F8704B9">
      <w:pPr>
        <w:pStyle w:val="164"/>
      </w:pPr>
      <w:r>
        <w:rPr>
          <w:rFonts w:hint="eastAsia"/>
        </w:rPr>
        <w:t>应注意老年人运动过程中血压和心率监测，及时调整运动量，如有不适应立即停止并及时干</w:t>
      </w:r>
      <w:r>
        <w:t xml:space="preserve"> </w:t>
      </w:r>
      <w:r>
        <w:rPr>
          <w:rFonts w:hint="eastAsia"/>
        </w:rPr>
        <w:t>预。</w:t>
      </w:r>
    </w:p>
    <w:p w14:paraId="64DDF550">
      <w:pPr>
        <w:pStyle w:val="65"/>
        <w:spacing w:before="156" w:after="156"/>
      </w:pPr>
      <w:r>
        <w:rPr>
          <w:rFonts w:hint="eastAsia"/>
        </w:rPr>
        <w:t>健康干预</w:t>
      </w:r>
    </w:p>
    <w:p w14:paraId="3ED8F6D7">
      <w:pPr>
        <w:pStyle w:val="164"/>
      </w:pPr>
      <w:r>
        <w:rPr>
          <w:rFonts w:hint="eastAsia"/>
        </w:rPr>
        <w:t>应指导老年人完善相关检查、按时服药、常备急救药品。</w:t>
      </w:r>
    </w:p>
    <w:p w14:paraId="31890FFF">
      <w:pPr>
        <w:pStyle w:val="164"/>
      </w:pPr>
      <w:r>
        <w:rPr>
          <w:rFonts w:hint="eastAsia"/>
        </w:rPr>
        <w:t>应指导老年人在急性发作时采取即时控制措施，对症处理后症状仍持续不缓解的老年人应及</w:t>
      </w:r>
      <w:r>
        <w:t xml:space="preserve"> </w:t>
      </w:r>
      <w:r>
        <w:rPr>
          <w:rFonts w:hint="eastAsia"/>
        </w:rPr>
        <w:t>时转诊。</w:t>
      </w:r>
    </w:p>
    <w:p w14:paraId="262437B7">
      <w:pPr>
        <w:pStyle w:val="164"/>
      </w:pPr>
      <w:r>
        <w:rPr>
          <w:rFonts w:hint="eastAsia"/>
        </w:rPr>
        <w:t>应指导缓解期老年人进行心功能康复训练。</w:t>
      </w:r>
      <w:r>
        <w:t xml:space="preserve"> </w:t>
      </w:r>
    </w:p>
    <w:p w14:paraId="6A7A062E">
      <w:pPr>
        <w:pStyle w:val="164"/>
      </w:pPr>
      <w:r>
        <w:rPr>
          <w:rFonts w:hint="eastAsia"/>
        </w:rPr>
        <w:t>应提供心理指导，使老年人保持心态平和，避免情绪激动。</w:t>
      </w:r>
    </w:p>
    <w:p w14:paraId="086D39EA">
      <w:pPr>
        <w:pStyle w:val="105"/>
        <w:spacing w:before="156" w:after="156"/>
      </w:pPr>
      <w:r>
        <w:rPr>
          <w:rFonts w:hint="eastAsia"/>
        </w:rPr>
        <w:t>脑血管病</w:t>
      </w:r>
    </w:p>
    <w:p w14:paraId="10E91A74">
      <w:pPr>
        <w:pStyle w:val="65"/>
        <w:spacing w:before="156" w:after="156"/>
      </w:pPr>
      <w:r>
        <w:rPr>
          <w:rFonts w:hint="eastAsia"/>
        </w:rPr>
        <w:t>评估</w:t>
      </w:r>
    </w:p>
    <w:p w14:paraId="6DE9807F">
      <w:pPr>
        <w:pStyle w:val="164"/>
      </w:pPr>
      <w:r>
        <w:rPr>
          <w:rFonts w:hint="eastAsia"/>
        </w:rPr>
        <w:t>应明确脑血管病的具体类型。</w:t>
      </w:r>
      <w:r>
        <w:t xml:space="preserve"> </w:t>
      </w:r>
    </w:p>
    <w:p w14:paraId="1058DE15">
      <w:pPr>
        <w:pStyle w:val="164"/>
      </w:pPr>
      <w:r>
        <w:rPr>
          <w:rFonts w:hint="eastAsia"/>
        </w:rPr>
        <w:t>应了解老年人的生活习惯，判断有无诱发的危险因素。</w:t>
      </w:r>
    </w:p>
    <w:p w14:paraId="2D8DF434">
      <w:pPr>
        <w:pStyle w:val="65"/>
        <w:spacing w:before="156" w:after="156"/>
      </w:pPr>
      <w:r>
        <w:rPr>
          <w:rFonts w:hint="eastAsia"/>
        </w:rPr>
        <w:t>饮食</w:t>
      </w:r>
    </w:p>
    <w:p w14:paraId="45EB8D3C">
      <w:pPr>
        <w:pStyle w:val="164"/>
      </w:pPr>
      <w:r>
        <w:rPr>
          <w:rFonts w:hint="eastAsia"/>
        </w:rPr>
        <w:t>应给予低盐低脂饮食。</w:t>
      </w:r>
      <w:r>
        <w:t xml:space="preserve"> </w:t>
      </w:r>
    </w:p>
    <w:p w14:paraId="700A27B7">
      <w:pPr>
        <w:pStyle w:val="164"/>
      </w:pPr>
      <w:r>
        <w:rPr>
          <w:rFonts w:hint="eastAsia"/>
        </w:rPr>
        <w:t>应对有吞咽功能障碍者给予调整食物性状，必要时鼻饲饮食。</w:t>
      </w:r>
    </w:p>
    <w:p w14:paraId="3B42887D">
      <w:pPr>
        <w:pStyle w:val="65"/>
        <w:spacing w:before="156" w:after="156"/>
      </w:pPr>
      <w:r>
        <w:rPr>
          <w:rFonts w:hint="eastAsia"/>
        </w:rPr>
        <w:t>运动</w:t>
      </w:r>
    </w:p>
    <w:p w14:paraId="13A3872F">
      <w:pPr>
        <w:pStyle w:val="164"/>
      </w:pPr>
      <w:r>
        <w:rPr>
          <w:rFonts w:hint="eastAsia"/>
        </w:rPr>
        <w:t>应根据老年人运动障碍的程度，指导其选择适宜的运动方式。</w:t>
      </w:r>
      <w:r>
        <w:t xml:space="preserve"> </w:t>
      </w:r>
    </w:p>
    <w:p w14:paraId="69FA857E">
      <w:pPr>
        <w:pStyle w:val="164"/>
      </w:pPr>
      <w:r>
        <w:rPr>
          <w:rFonts w:hint="eastAsia"/>
        </w:rPr>
        <w:t>应注意老年人运动过程中血压和心率监测，如有不适应立即停止并及时干预。</w:t>
      </w:r>
    </w:p>
    <w:p w14:paraId="4AE4E9AF">
      <w:pPr>
        <w:pStyle w:val="65"/>
        <w:spacing w:before="156" w:after="156"/>
      </w:pPr>
      <w:r>
        <w:rPr>
          <w:rFonts w:hint="eastAsia"/>
        </w:rPr>
        <w:t>健康干预</w:t>
      </w:r>
    </w:p>
    <w:p w14:paraId="14BE5095">
      <w:pPr>
        <w:pStyle w:val="164"/>
      </w:pPr>
      <w:r>
        <w:rPr>
          <w:rFonts w:hint="eastAsia"/>
        </w:rPr>
        <w:t>应对急性发作期突然出现的意识障碍、运动障碍、感觉障碍、吞咽障碍、言语障碍、平衡障</w:t>
      </w:r>
      <w:r>
        <w:t xml:space="preserve"> </w:t>
      </w:r>
      <w:r>
        <w:rPr>
          <w:rFonts w:hint="eastAsia"/>
        </w:rPr>
        <w:t>碍、视觉障碍的老年人及时转诊。</w:t>
      </w:r>
      <w:r>
        <w:t xml:space="preserve"> </w:t>
      </w:r>
    </w:p>
    <w:p w14:paraId="1CB9B5DC">
      <w:pPr>
        <w:pStyle w:val="164"/>
      </w:pPr>
      <w:r>
        <w:rPr>
          <w:rFonts w:hint="eastAsia"/>
        </w:rPr>
        <w:t>应指导存在功能障碍的缓解期老年人进行功能康复治疗。</w:t>
      </w:r>
    </w:p>
    <w:p w14:paraId="04F5A589">
      <w:pPr>
        <w:pStyle w:val="164"/>
      </w:pPr>
      <w:r>
        <w:rPr>
          <w:rFonts w:hint="eastAsia"/>
        </w:rPr>
        <w:t>应提供心理指导，使老年人保持心态平和，避免情绪激动。</w:t>
      </w:r>
    </w:p>
    <w:p w14:paraId="35813B44">
      <w:pPr>
        <w:pStyle w:val="105"/>
        <w:spacing w:before="156" w:after="156"/>
      </w:pPr>
      <w:r>
        <w:rPr>
          <w:rFonts w:hint="eastAsia"/>
        </w:rPr>
        <w:t>慢性阻塞性肺疾病</w:t>
      </w:r>
    </w:p>
    <w:p w14:paraId="36DB073A">
      <w:pPr>
        <w:pStyle w:val="65"/>
        <w:spacing w:before="156" w:after="156"/>
      </w:pPr>
      <w:r>
        <w:rPr>
          <w:rFonts w:hint="eastAsia"/>
        </w:rPr>
        <w:t>评估</w:t>
      </w:r>
    </w:p>
    <w:p w14:paraId="605B2162">
      <w:pPr>
        <w:pStyle w:val="164"/>
      </w:pPr>
      <w:r>
        <w:rPr>
          <w:rFonts w:hint="eastAsia"/>
        </w:rPr>
        <w:t>应评估咳嗽、咳痰的程度及伴随症状。</w:t>
      </w:r>
    </w:p>
    <w:p w14:paraId="6769A657">
      <w:pPr>
        <w:pStyle w:val="164"/>
      </w:pPr>
      <w:r>
        <w:rPr>
          <w:rFonts w:hint="eastAsia"/>
        </w:rPr>
        <w:t>应评估有无日常活动受限及受限程度。</w:t>
      </w:r>
    </w:p>
    <w:p w14:paraId="725137CD">
      <w:pPr>
        <w:pStyle w:val="65"/>
        <w:spacing w:before="156" w:after="156"/>
      </w:pPr>
      <w:r>
        <w:rPr>
          <w:rFonts w:hint="eastAsia"/>
        </w:rPr>
        <w:t>饮食</w:t>
      </w:r>
    </w:p>
    <w:p w14:paraId="159E7B1F">
      <w:pPr>
        <w:pStyle w:val="164"/>
      </w:pPr>
      <w:r>
        <w:rPr>
          <w:rFonts w:hint="eastAsia"/>
        </w:rPr>
        <w:t>应给予高蛋白、高热量饮食。</w:t>
      </w:r>
    </w:p>
    <w:p w14:paraId="78B6747D">
      <w:pPr>
        <w:pStyle w:val="164"/>
      </w:pPr>
      <w:r>
        <w:rPr>
          <w:rFonts w:hint="eastAsia"/>
        </w:rPr>
        <w:t>应少食多餐，保证足够的饮水量。</w:t>
      </w:r>
    </w:p>
    <w:p w14:paraId="3BF136A1">
      <w:pPr>
        <w:pStyle w:val="65"/>
        <w:spacing w:before="156" w:after="156"/>
      </w:pPr>
      <w:r>
        <w:rPr>
          <w:rFonts w:hint="eastAsia"/>
        </w:rPr>
        <w:t>运动</w:t>
      </w:r>
    </w:p>
    <w:p w14:paraId="680BACE8">
      <w:pPr>
        <w:pStyle w:val="164"/>
      </w:pPr>
      <w:r>
        <w:rPr>
          <w:rFonts w:hint="eastAsia"/>
        </w:rPr>
        <w:t>应指导老年人在空气流通的场地进行运动，注意运动强度的控制。</w:t>
      </w:r>
    </w:p>
    <w:p w14:paraId="5FAA2256">
      <w:pPr>
        <w:pStyle w:val="164"/>
      </w:pPr>
      <w:r>
        <w:rPr>
          <w:rFonts w:hint="eastAsia"/>
        </w:rPr>
        <w:t>应注意老年人运动过程中血氧饱和度监测，及时调整运动量，如有不适应立即停止并及时干预。</w:t>
      </w:r>
    </w:p>
    <w:p w14:paraId="2FCD3E95">
      <w:pPr>
        <w:pStyle w:val="65"/>
        <w:spacing w:before="156" w:after="156"/>
      </w:pPr>
      <w:r>
        <w:rPr>
          <w:rFonts w:hint="eastAsia"/>
        </w:rPr>
        <w:t>健康干预</w:t>
      </w:r>
    </w:p>
    <w:p w14:paraId="55665E93">
      <w:pPr>
        <w:pStyle w:val="164"/>
      </w:pPr>
      <w:r>
        <w:rPr>
          <w:rFonts w:hint="eastAsia"/>
        </w:rPr>
        <w:t>应保持居住环境清洁、室内空气流通。</w:t>
      </w:r>
    </w:p>
    <w:p w14:paraId="48D830C4">
      <w:pPr>
        <w:pStyle w:val="164"/>
      </w:pPr>
      <w:r>
        <w:rPr>
          <w:rFonts w:hint="eastAsia"/>
        </w:rPr>
        <w:t>应引导老年人接种流感疫苗、肺炎链球菌疫苗。</w:t>
      </w:r>
    </w:p>
    <w:p w14:paraId="56A76B5C">
      <w:pPr>
        <w:pStyle w:val="164"/>
      </w:pPr>
      <w:r>
        <w:rPr>
          <w:rFonts w:hint="eastAsia"/>
        </w:rPr>
        <w:t>应指导急性发作期老年人采取合理体位，及时控制症状，需要时及时转诊。</w:t>
      </w:r>
      <w:r>
        <w:t xml:space="preserve"> </w:t>
      </w:r>
    </w:p>
    <w:p w14:paraId="235C5F9F">
      <w:pPr>
        <w:pStyle w:val="164"/>
      </w:pPr>
      <w:r>
        <w:rPr>
          <w:rFonts w:hint="eastAsia"/>
        </w:rPr>
        <w:t>应指导缓解期老年人合理用药、合理使用辅助呼吸或排痰器械、进行呼吸功能康复训练。</w:t>
      </w:r>
    </w:p>
    <w:p w14:paraId="563F68CD">
      <w:pPr>
        <w:pStyle w:val="164"/>
      </w:pPr>
      <w:r>
        <w:rPr>
          <w:rFonts w:hint="eastAsia"/>
        </w:rPr>
        <w:t>对于高危因素的老年人，应定期进行肺功能的监测。</w:t>
      </w:r>
    </w:p>
    <w:p w14:paraId="65C13D6C">
      <w:pPr>
        <w:pStyle w:val="105"/>
        <w:spacing w:before="156" w:after="156"/>
      </w:pPr>
      <w:r>
        <w:rPr>
          <w:rFonts w:hint="eastAsia"/>
        </w:rPr>
        <w:t>骨质疏松</w:t>
      </w:r>
    </w:p>
    <w:p w14:paraId="3B038A44">
      <w:pPr>
        <w:pStyle w:val="65"/>
        <w:spacing w:before="156" w:after="156"/>
      </w:pPr>
      <w:r>
        <w:rPr>
          <w:rFonts w:hint="eastAsia"/>
        </w:rPr>
        <w:t>评估</w:t>
      </w:r>
    </w:p>
    <w:p w14:paraId="103A77FD">
      <w:pPr>
        <w:pStyle w:val="164"/>
      </w:pPr>
      <w:r>
        <w:rPr>
          <w:rFonts w:hint="eastAsia"/>
        </w:rPr>
        <w:t>应根据老人骨密度结果，评估骨质疏松的程度。</w:t>
      </w:r>
      <w:r>
        <w:t xml:space="preserve"> </w:t>
      </w:r>
    </w:p>
    <w:p w14:paraId="104B3C7E">
      <w:pPr>
        <w:pStyle w:val="164"/>
      </w:pPr>
      <w:r>
        <w:rPr>
          <w:rFonts w:hint="eastAsia"/>
        </w:rPr>
        <w:t>应评估有无跌倒风险。</w:t>
      </w:r>
    </w:p>
    <w:p w14:paraId="73A68C3C">
      <w:pPr>
        <w:pStyle w:val="65"/>
        <w:spacing w:before="156" w:after="156"/>
      </w:pPr>
      <w:r>
        <w:rPr>
          <w:rFonts w:hint="eastAsia"/>
        </w:rPr>
        <w:t>饮食</w:t>
      </w:r>
    </w:p>
    <w:p w14:paraId="4E2B8AC6">
      <w:pPr>
        <w:pStyle w:val="164"/>
      </w:pPr>
      <w:r>
        <w:rPr>
          <w:rFonts w:hint="eastAsia"/>
        </w:rPr>
        <w:t>应高钙饮食。</w:t>
      </w:r>
    </w:p>
    <w:p w14:paraId="42F82308">
      <w:pPr>
        <w:pStyle w:val="164"/>
      </w:pPr>
      <w:r>
        <w:rPr>
          <w:rFonts w:hint="eastAsia"/>
        </w:rPr>
        <w:t>救助不合适的饮食习惯，增加蛋白质与维生素的摄入。</w:t>
      </w:r>
    </w:p>
    <w:p w14:paraId="01E047E4">
      <w:pPr>
        <w:pStyle w:val="164"/>
      </w:pPr>
      <w:r>
        <w:rPr>
          <w:rFonts w:hint="eastAsia"/>
        </w:rPr>
        <w:t>应戒饮浓茶、咖啡及碳酸饮料。</w:t>
      </w:r>
    </w:p>
    <w:p w14:paraId="5D8DBFE0">
      <w:pPr>
        <w:pStyle w:val="65"/>
        <w:spacing w:before="156" w:after="156"/>
      </w:pPr>
      <w:r>
        <w:rPr>
          <w:rFonts w:hint="eastAsia"/>
        </w:rPr>
        <w:t>运动</w:t>
      </w:r>
    </w:p>
    <w:p w14:paraId="4867F863">
      <w:pPr>
        <w:pStyle w:val="164"/>
      </w:pPr>
      <w:r>
        <w:rPr>
          <w:rFonts w:hint="eastAsia"/>
        </w:rPr>
        <w:t>应保持运动场所光线充足，无障碍物，衣物宽松舒适。</w:t>
      </w:r>
      <w:r>
        <w:t xml:space="preserve"> </w:t>
      </w:r>
    </w:p>
    <w:p w14:paraId="538DAAFC">
      <w:pPr>
        <w:pStyle w:val="164"/>
      </w:pPr>
      <w:r>
        <w:rPr>
          <w:rFonts w:hint="eastAsia"/>
        </w:rPr>
        <w:t>应指导老年人在地面平整的场所进行适宜的运动，避免进行负重运动。</w:t>
      </w:r>
    </w:p>
    <w:p w14:paraId="49DFE299">
      <w:pPr>
        <w:pStyle w:val="164"/>
      </w:pPr>
      <w:r>
        <w:rPr>
          <w:rFonts w:hint="eastAsia"/>
        </w:rPr>
        <w:t>老年人运动过程中应循序渐进，控制运动负荷，如发生跌倒及趋势应及时干预。</w:t>
      </w:r>
    </w:p>
    <w:p w14:paraId="55B2DB46">
      <w:pPr>
        <w:pStyle w:val="65"/>
        <w:spacing w:before="156" w:after="156"/>
      </w:pPr>
      <w:r>
        <w:rPr>
          <w:rFonts w:hint="eastAsia"/>
        </w:rPr>
        <w:t>健康干预</w:t>
      </w:r>
    </w:p>
    <w:p w14:paraId="2756CC24">
      <w:pPr>
        <w:pStyle w:val="164"/>
      </w:pPr>
      <w:r>
        <w:rPr>
          <w:rFonts w:hint="eastAsia"/>
        </w:rPr>
        <w:t>应指导老年人补充维生素Ｄ和钙质。</w:t>
      </w:r>
    </w:p>
    <w:p w14:paraId="52083CAE">
      <w:pPr>
        <w:pStyle w:val="164"/>
      </w:pPr>
      <w:r>
        <w:rPr>
          <w:rFonts w:hint="eastAsia"/>
        </w:rPr>
        <w:t>应指导老年人增加日晒，促进钙的吸收。</w:t>
      </w:r>
      <w:r>
        <w:t xml:space="preserve"> </w:t>
      </w:r>
    </w:p>
    <w:p w14:paraId="3C455FCE">
      <w:pPr>
        <w:pStyle w:val="164"/>
      </w:pPr>
      <w:r>
        <w:rPr>
          <w:rFonts w:hint="eastAsia"/>
        </w:rPr>
        <w:t>应指导老年人合理用药，避免使用影响骨质代谢的药物。</w:t>
      </w:r>
      <w:r>
        <w:t xml:space="preserve"> </w:t>
      </w:r>
    </w:p>
    <w:p w14:paraId="23A6B9AD">
      <w:pPr>
        <w:pStyle w:val="164"/>
      </w:pPr>
      <w:r>
        <w:rPr>
          <w:rFonts w:hint="eastAsia"/>
        </w:rPr>
        <w:t>应指导老年人进行符合病情程度的、安全的功能康复治疗。</w:t>
      </w:r>
    </w:p>
    <w:p w14:paraId="6424502E">
      <w:pPr>
        <w:pStyle w:val="105"/>
        <w:spacing w:before="156" w:after="156"/>
      </w:pPr>
      <w:r>
        <w:rPr>
          <w:rFonts w:hint="eastAsia"/>
        </w:rPr>
        <w:t>骨关节病</w:t>
      </w:r>
    </w:p>
    <w:p w14:paraId="5BD0089A">
      <w:pPr>
        <w:pStyle w:val="65"/>
        <w:spacing w:before="156" w:after="156"/>
      </w:pPr>
      <w:r>
        <w:rPr>
          <w:rFonts w:hint="eastAsia"/>
        </w:rPr>
        <w:t>评估</w:t>
      </w:r>
    </w:p>
    <w:p w14:paraId="363E8793">
      <w:pPr>
        <w:pStyle w:val="164"/>
      </w:pPr>
      <w:r>
        <w:rPr>
          <w:rFonts w:hint="eastAsia"/>
        </w:rPr>
        <w:t>应明确骨关节病的类型。</w:t>
      </w:r>
      <w:r>
        <w:t xml:space="preserve"> </w:t>
      </w:r>
    </w:p>
    <w:p w14:paraId="31AC3350">
      <w:pPr>
        <w:pStyle w:val="164"/>
      </w:pPr>
      <w:r>
        <w:rPr>
          <w:rFonts w:hint="eastAsia"/>
        </w:rPr>
        <w:t>应评估发作频率、持续时间、缓解方式。</w:t>
      </w:r>
    </w:p>
    <w:p w14:paraId="441C0E01">
      <w:pPr>
        <w:pStyle w:val="65"/>
        <w:spacing w:before="156" w:after="156"/>
      </w:pPr>
      <w:r>
        <w:rPr>
          <w:rFonts w:hint="eastAsia"/>
        </w:rPr>
        <w:t>饮食</w:t>
      </w:r>
    </w:p>
    <w:p w14:paraId="15F385A3">
      <w:pPr>
        <w:pStyle w:val="164"/>
      </w:pPr>
      <w:r>
        <w:rPr>
          <w:rFonts w:hint="eastAsia"/>
        </w:rPr>
        <w:t>应高钙饮食。</w:t>
      </w:r>
      <w:r>
        <w:t xml:space="preserve"> </w:t>
      </w:r>
    </w:p>
    <w:p w14:paraId="5C21E399">
      <w:pPr>
        <w:pStyle w:val="164"/>
      </w:pPr>
      <w:r>
        <w:rPr>
          <w:rFonts w:hint="eastAsia"/>
        </w:rPr>
        <w:t>应适度摄入蛋白质，适当增加维生素的摄入。</w:t>
      </w:r>
    </w:p>
    <w:p w14:paraId="0A959E24">
      <w:pPr>
        <w:pStyle w:val="65"/>
        <w:spacing w:before="156" w:after="156"/>
      </w:pPr>
      <w:r>
        <w:rPr>
          <w:rFonts w:hint="eastAsia"/>
        </w:rPr>
        <w:t>运动</w:t>
      </w:r>
    </w:p>
    <w:p w14:paraId="279EFE4C">
      <w:pPr>
        <w:pStyle w:val="164"/>
      </w:pPr>
      <w:r>
        <w:rPr>
          <w:rFonts w:hint="eastAsia"/>
        </w:rPr>
        <w:t>急性发作时应尽量卧床休息，避免运动。</w:t>
      </w:r>
      <w:r>
        <w:t xml:space="preserve"> </w:t>
      </w:r>
    </w:p>
    <w:p w14:paraId="456510D1">
      <w:pPr>
        <w:pStyle w:val="164"/>
      </w:pPr>
      <w:r>
        <w:rPr>
          <w:rFonts w:hint="eastAsia"/>
        </w:rPr>
        <w:t>缓解期可以进行适当的锻炼，注意控制运动量，如有不适应立即停止并及时干预。</w:t>
      </w:r>
    </w:p>
    <w:p w14:paraId="717BD6ED">
      <w:pPr>
        <w:pStyle w:val="65"/>
        <w:spacing w:before="156" w:after="156"/>
      </w:pPr>
      <w:r>
        <w:rPr>
          <w:rFonts w:hint="eastAsia"/>
        </w:rPr>
        <w:t>健康干预</w:t>
      </w:r>
    </w:p>
    <w:p w14:paraId="050773DE">
      <w:pPr>
        <w:pStyle w:val="164"/>
      </w:pPr>
      <w:r>
        <w:rPr>
          <w:rFonts w:hint="eastAsia"/>
        </w:rPr>
        <w:t>应保持居住环境温度适宜，做好防寒防潮。</w:t>
      </w:r>
      <w:r>
        <w:t xml:space="preserve"> </w:t>
      </w:r>
    </w:p>
    <w:p w14:paraId="09233CB5">
      <w:pPr>
        <w:pStyle w:val="164"/>
      </w:pPr>
      <w:r>
        <w:rPr>
          <w:rFonts w:hint="eastAsia"/>
        </w:rPr>
        <w:t>应对急性发作期老年人及时控制症状，合理安全用药，必要时及时转诊。</w:t>
      </w:r>
    </w:p>
    <w:p w14:paraId="20847C77">
      <w:pPr>
        <w:pStyle w:val="164"/>
      </w:pPr>
      <w:r>
        <w:rPr>
          <w:rFonts w:hint="eastAsia"/>
        </w:rPr>
        <w:t>应对缓解期老年人进行符合病情程度的、安全的功能康复训练。</w:t>
      </w:r>
    </w:p>
    <w:p w14:paraId="5C5336F4">
      <w:pPr>
        <w:pStyle w:val="105"/>
        <w:spacing w:before="156" w:after="156"/>
      </w:pPr>
      <w:r>
        <w:rPr>
          <w:rFonts w:hint="eastAsia"/>
        </w:rPr>
        <w:t>帕金森综合症</w:t>
      </w:r>
    </w:p>
    <w:p w14:paraId="79E93BDE">
      <w:pPr>
        <w:pStyle w:val="65"/>
        <w:spacing w:before="156" w:after="156"/>
      </w:pPr>
      <w:r>
        <w:rPr>
          <w:rFonts w:hint="eastAsia"/>
        </w:rPr>
        <w:t>评估</w:t>
      </w:r>
    </w:p>
    <w:p w14:paraId="1E4BFE32">
      <w:pPr>
        <w:pStyle w:val="164"/>
      </w:pPr>
      <w:r>
        <w:rPr>
          <w:rFonts w:hint="eastAsia"/>
        </w:rPr>
        <w:t>应评估老年人的功能障碍及日常活动情况。</w:t>
      </w:r>
      <w:r>
        <w:t xml:space="preserve"> </w:t>
      </w:r>
    </w:p>
    <w:p w14:paraId="0C5CED3A">
      <w:pPr>
        <w:pStyle w:val="164"/>
      </w:pPr>
      <w:r>
        <w:rPr>
          <w:rFonts w:hint="eastAsia"/>
        </w:rPr>
        <w:t>应评估老年人的用药情况及药物疗效。</w:t>
      </w:r>
    </w:p>
    <w:p w14:paraId="05250FB2">
      <w:pPr>
        <w:pStyle w:val="65"/>
        <w:spacing w:before="156" w:after="156"/>
      </w:pPr>
      <w:r>
        <w:rPr>
          <w:rFonts w:hint="eastAsia"/>
        </w:rPr>
        <w:t>饮食</w:t>
      </w:r>
    </w:p>
    <w:p w14:paraId="1B7B8C88">
      <w:pPr>
        <w:pStyle w:val="164"/>
      </w:pPr>
      <w:r>
        <w:rPr>
          <w:rFonts w:hint="eastAsia"/>
        </w:rPr>
        <w:t>应多食易消化、易咀嚼的食物，避免误吸。</w:t>
      </w:r>
      <w:r>
        <w:t xml:space="preserve"> </w:t>
      </w:r>
    </w:p>
    <w:p w14:paraId="3C4B9FF4">
      <w:pPr>
        <w:pStyle w:val="164"/>
      </w:pPr>
      <w:r>
        <w:rPr>
          <w:rFonts w:hint="eastAsia"/>
        </w:rPr>
        <w:t>应高蛋白、高维生素饮食。</w:t>
      </w:r>
    </w:p>
    <w:p w14:paraId="15E0FC08">
      <w:pPr>
        <w:pStyle w:val="164"/>
      </w:pPr>
      <w:r>
        <w:rPr>
          <w:rFonts w:hint="eastAsia"/>
        </w:rPr>
        <w:t>应对存在吞咽障</w:t>
      </w:r>
      <w:bookmarkStart w:id="38" w:name="_GoBack"/>
      <w:r>
        <w:rPr>
          <w:rFonts w:hint="eastAsia"/>
          <w:lang w:eastAsia="zh-CN"/>
        </w:rPr>
        <w:t>碍的</w:t>
      </w:r>
      <w:bookmarkEnd w:id="38"/>
      <w:r>
        <w:rPr>
          <w:rFonts w:hint="eastAsia"/>
        </w:rPr>
        <w:t>老年人给予流质饮食或鼻饲饮食。</w:t>
      </w:r>
    </w:p>
    <w:p w14:paraId="13F73358">
      <w:pPr>
        <w:pStyle w:val="65"/>
        <w:spacing w:before="156" w:after="156"/>
      </w:pPr>
      <w:r>
        <w:rPr>
          <w:rFonts w:hint="eastAsia"/>
        </w:rPr>
        <w:t>运动</w:t>
      </w:r>
    </w:p>
    <w:p w14:paraId="0E800045">
      <w:pPr>
        <w:pStyle w:val="164"/>
      </w:pPr>
      <w:r>
        <w:rPr>
          <w:rFonts w:hint="eastAsia"/>
        </w:rPr>
        <w:t>应指导老年人在地面平整、场地开阔的场所运动。</w:t>
      </w:r>
    </w:p>
    <w:p w14:paraId="5985266B">
      <w:pPr>
        <w:pStyle w:val="164"/>
      </w:pPr>
      <w:r>
        <w:rPr>
          <w:rFonts w:hint="eastAsia"/>
        </w:rPr>
        <w:t>应选择徐缓、少量、多次的运动方式，合理调整运动量，如有不适应立即停止并及时干预。</w:t>
      </w:r>
    </w:p>
    <w:p w14:paraId="66FD4FED">
      <w:pPr>
        <w:pStyle w:val="65"/>
        <w:spacing w:before="156" w:after="156"/>
      </w:pPr>
      <w:r>
        <w:rPr>
          <w:rFonts w:hint="eastAsia"/>
        </w:rPr>
        <w:t>健康干预</w:t>
      </w:r>
    </w:p>
    <w:p w14:paraId="71EE9E6A">
      <w:pPr>
        <w:pStyle w:val="164"/>
      </w:pPr>
      <w:r>
        <w:rPr>
          <w:rFonts w:hint="eastAsia"/>
        </w:rPr>
        <w:t>应指导老年人合理服药，观察药物副作用。</w:t>
      </w:r>
      <w:r>
        <w:t xml:space="preserve"> </w:t>
      </w:r>
    </w:p>
    <w:p w14:paraId="4F68044A">
      <w:pPr>
        <w:pStyle w:val="164"/>
      </w:pPr>
      <w:r>
        <w:rPr>
          <w:rFonts w:hint="eastAsia"/>
        </w:rPr>
        <w:t>应指导存在运动功能障碍、呼吸功能障碍、平衡障碍的病情稳定期老年人进行功能康复训练。</w:t>
      </w:r>
      <w:r>
        <w:t xml:space="preserve"> </w:t>
      </w:r>
    </w:p>
    <w:p w14:paraId="309A322C">
      <w:pPr>
        <w:pStyle w:val="164"/>
      </w:pPr>
      <w:r>
        <w:rPr>
          <w:rFonts w:hint="eastAsia"/>
        </w:rPr>
        <w:t>应给予病情加重期老年人积极干预，预防及控制并发症。</w:t>
      </w:r>
    </w:p>
    <w:p w14:paraId="4ECE43C4">
      <w:pPr>
        <w:pStyle w:val="105"/>
        <w:spacing w:before="156" w:after="156"/>
      </w:pPr>
      <w:r>
        <w:rPr>
          <w:rFonts w:hint="eastAsia"/>
        </w:rPr>
        <w:t>认知功能障碍</w:t>
      </w:r>
    </w:p>
    <w:p w14:paraId="5A7C7A73">
      <w:pPr>
        <w:pStyle w:val="65"/>
        <w:spacing w:before="156" w:after="156"/>
      </w:pPr>
      <w:r>
        <w:rPr>
          <w:rFonts w:hint="eastAsia"/>
        </w:rPr>
        <w:t>评估</w:t>
      </w:r>
    </w:p>
    <w:p w14:paraId="001C14AF">
      <w:pPr>
        <w:pStyle w:val="231"/>
        <w:rPr>
          <w:color w:val="000000"/>
        </w:rPr>
      </w:pPr>
      <w:r>
        <w:rPr>
          <w:rFonts w:hint="eastAsia"/>
          <w:color w:val="000000"/>
        </w:rPr>
        <w:t>应评估认知功能的程度及功能障碍。</w:t>
      </w:r>
    </w:p>
    <w:p w14:paraId="03F16DFF">
      <w:pPr>
        <w:pStyle w:val="65"/>
        <w:spacing w:before="156" w:after="156"/>
      </w:pPr>
      <w:r>
        <w:rPr>
          <w:rFonts w:hint="eastAsia"/>
        </w:rPr>
        <w:t>饮食</w:t>
      </w:r>
    </w:p>
    <w:p w14:paraId="62146959">
      <w:pPr>
        <w:pStyle w:val="164"/>
      </w:pPr>
      <w:r>
        <w:rPr>
          <w:rFonts w:hint="eastAsia"/>
        </w:rPr>
        <w:t>应为老年人多提供软食或半流质食物，避免噎食。</w:t>
      </w:r>
    </w:p>
    <w:p w14:paraId="2509B1A3">
      <w:pPr>
        <w:pStyle w:val="164"/>
      </w:pPr>
      <w:r>
        <w:rPr>
          <w:rFonts w:hint="eastAsia"/>
        </w:rPr>
        <w:t>应高蛋白、高维生素饮食。</w:t>
      </w:r>
    </w:p>
    <w:p w14:paraId="5A25EA1F">
      <w:pPr>
        <w:pStyle w:val="65"/>
        <w:spacing w:before="156" w:after="156"/>
      </w:pPr>
      <w:r>
        <w:rPr>
          <w:rFonts w:hint="eastAsia"/>
        </w:rPr>
        <w:t>运动</w:t>
      </w:r>
    </w:p>
    <w:p w14:paraId="3FF8F489">
      <w:pPr>
        <w:pStyle w:val="164"/>
      </w:pPr>
      <w:r>
        <w:rPr>
          <w:rFonts w:hint="eastAsia"/>
        </w:rPr>
        <w:t>应指导老年人选择适宜的益智运动，注意限制其运动场所及活动范围。</w:t>
      </w:r>
      <w:r>
        <w:t xml:space="preserve"> </w:t>
      </w:r>
    </w:p>
    <w:p w14:paraId="0E9CA5C5">
      <w:pPr>
        <w:pStyle w:val="164"/>
      </w:pPr>
      <w:r>
        <w:rPr>
          <w:rFonts w:hint="eastAsia"/>
        </w:rPr>
        <w:t>应注意老年人运动过程中精神、情绪的变化，如有不适应立即停止并及时干预。</w:t>
      </w:r>
    </w:p>
    <w:p w14:paraId="7B229C0B">
      <w:pPr>
        <w:pStyle w:val="65"/>
        <w:spacing w:before="156" w:after="156"/>
      </w:pPr>
      <w:r>
        <w:rPr>
          <w:rFonts w:hint="eastAsia"/>
        </w:rPr>
        <w:t>健康干预</w:t>
      </w:r>
    </w:p>
    <w:p w14:paraId="6536DAFC">
      <w:pPr>
        <w:pStyle w:val="164"/>
      </w:pPr>
      <w:r>
        <w:rPr>
          <w:rFonts w:hint="eastAsia"/>
        </w:rPr>
        <w:t>应在老年人随身衣物中放置联系方式，防走失、防意外。</w:t>
      </w:r>
      <w:r>
        <w:t xml:space="preserve"> </w:t>
      </w:r>
    </w:p>
    <w:p w14:paraId="590DC113">
      <w:pPr>
        <w:pStyle w:val="164"/>
      </w:pPr>
      <w:r>
        <w:rPr>
          <w:rFonts w:hint="eastAsia"/>
        </w:rPr>
        <w:t>应监督并协助老年人用药，注意观察药物副作用。</w:t>
      </w:r>
    </w:p>
    <w:p w14:paraId="44FC185B">
      <w:pPr>
        <w:pStyle w:val="164"/>
      </w:pPr>
      <w:r>
        <w:rPr>
          <w:rFonts w:hint="eastAsia"/>
        </w:rPr>
        <w:t>应指导病情稳定期老年人进行认知功能训练、日常生活能力训练。</w:t>
      </w:r>
      <w:r>
        <w:t xml:space="preserve"> </w:t>
      </w:r>
    </w:p>
    <w:p w14:paraId="19B8ABCD">
      <w:pPr>
        <w:pStyle w:val="164"/>
      </w:pPr>
      <w:r>
        <w:rPr>
          <w:rFonts w:hint="eastAsia"/>
        </w:rPr>
        <w:t>应给予病情加重期老年人重点照护，注意清洁卫生，改善营养状况，积极预防并发症。</w:t>
      </w:r>
    </w:p>
    <w:p w14:paraId="11B7CA89">
      <w:pPr>
        <w:pStyle w:val="105"/>
        <w:spacing w:before="156" w:after="156"/>
      </w:pPr>
      <w:r>
        <w:rPr>
          <w:rFonts w:hint="eastAsia"/>
        </w:rPr>
        <w:t>慢性胃炎</w:t>
      </w:r>
    </w:p>
    <w:p w14:paraId="1109EB26">
      <w:pPr>
        <w:pStyle w:val="65"/>
        <w:spacing w:before="156" w:after="156"/>
      </w:pPr>
      <w:r>
        <w:rPr>
          <w:rFonts w:hint="eastAsia"/>
        </w:rPr>
        <w:t>评估</w:t>
      </w:r>
    </w:p>
    <w:p w14:paraId="04E3FC1A">
      <w:pPr>
        <w:pStyle w:val="164"/>
      </w:pPr>
      <w:r>
        <w:rPr>
          <w:rFonts w:hint="eastAsia"/>
        </w:rPr>
        <w:t>应评估老年人的功能障碍及日常活动情况。</w:t>
      </w:r>
    </w:p>
    <w:p w14:paraId="00F1692E">
      <w:pPr>
        <w:pStyle w:val="164"/>
      </w:pPr>
      <w:r>
        <w:rPr>
          <w:rFonts w:hint="eastAsia"/>
        </w:rPr>
        <w:t>应评估老年人的用药情况及药物疗效。</w:t>
      </w:r>
    </w:p>
    <w:p w14:paraId="67778850">
      <w:pPr>
        <w:pStyle w:val="65"/>
        <w:spacing w:before="156" w:after="156"/>
      </w:pPr>
      <w:r>
        <w:rPr>
          <w:rFonts w:hint="eastAsia"/>
        </w:rPr>
        <w:t>饮食</w:t>
      </w:r>
    </w:p>
    <w:p w14:paraId="164A257F">
      <w:pPr>
        <w:pStyle w:val="164"/>
      </w:pPr>
      <w:r>
        <w:rPr>
          <w:rFonts w:hint="eastAsia"/>
        </w:rPr>
        <w:t>限制进食对胃有刺激的食品，如：油煎、辛辣食物、浓茶、咖啡。</w:t>
      </w:r>
    </w:p>
    <w:p w14:paraId="736A40E8">
      <w:pPr>
        <w:pStyle w:val="164"/>
      </w:pPr>
      <w:r>
        <w:rPr>
          <w:rFonts w:hint="eastAsia"/>
        </w:rPr>
        <w:t>进食有规律，少食多餐。</w:t>
      </w:r>
    </w:p>
    <w:p w14:paraId="25C88FBE">
      <w:pPr>
        <w:pStyle w:val="65"/>
        <w:spacing w:before="156" w:after="156"/>
      </w:pPr>
      <w:r>
        <w:rPr>
          <w:rFonts w:hint="eastAsia"/>
        </w:rPr>
        <w:t>运动</w:t>
      </w:r>
    </w:p>
    <w:p w14:paraId="2585BED5">
      <w:pPr>
        <w:pStyle w:val="231"/>
        <w:rPr>
          <w:color w:val="000000"/>
        </w:rPr>
      </w:pPr>
      <w:r>
        <w:rPr>
          <w:rFonts w:hint="eastAsia"/>
          <w:color w:val="000000"/>
        </w:rPr>
        <w:t>应指导老年人进行适宜的运动，注意运动强度的控制。</w:t>
      </w:r>
    </w:p>
    <w:p w14:paraId="7DDB32DF">
      <w:pPr>
        <w:pStyle w:val="65"/>
        <w:spacing w:before="156" w:after="156"/>
      </w:pPr>
      <w:r>
        <w:rPr>
          <w:rFonts w:hint="eastAsia"/>
        </w:rPr>
        <w:t>健康干预</w:t>
      </w:r>
    </w:p>
    <w:p w14:paraId="0E15D2FE">
      <w:pPr>
        <w:pStyle w:val="164"/>
      </w:pPr>
      <w:r>
        <w:rPr>
          <w:rFonts w:hint="eastAsia"/>
        </w:rPr>
        <w:t>急性期发作期应注意休息，劳逸结合，避免精神紧张及情绪不宁。</w:t>
      </w:r>
    </w:p>
    <w:p w14:paraId="5E52D654">
      <w:pPr>
        <w:pStyle w:val="164"/>
      </w:pPr>
      <w:r>
        <w:rPr>
          <w:rFonts w:hint="eastAsia"/>
        </w:rPr>
        <w:t>在医生指导下服用药物，遇有症状明显变化，应及时就医检查。</w:t>
      </w:r>
    </w:p>
    <w:bookmarkEnd w:id="30"/>
    <w:bookmarkEnd w:id="31"/>
    <w:bookmarkEnd w:id="32"/>
    <w:bookmarkEnd w:id="33"/>
    <w:bookmarkEnd w:id="34"/>
    <w:p w14:paraId="194B01AA">
      <w:pPr>
        <w:pStyle w:val="104"/>
        <w:spacing w:before="312" w:after="312"/>
        <w:rPr>
          <w:szCs w:val="21"/>
        </w:rPr>
      </w:pPr>
      <w:bookmarkStart w:id="35" w:name="_Toc50645604"/>
      <w:bookmarkStart w:id="36" w:name="_Toc50645734"/>
      <w:r>
        <w:rPr>
          <w:rFonts w:hint="eastAsia"/>
        </w:rPr>
        <w:t>监督检查</w:t>
      </w:r>
      <w:bookmarkEnd w:id="35"/>
      <w:bookmarkEnd w:id="36"/>
      <w:r>
        <w:t xml:space="preserve">        </w:t>
      </w:r>
      <w:r>
        <w:rPr>
          <w:szCs w:val="21"/>
        </w:rPr>
        <w:t xml:space="preserve">                      </w:t>
      </w:r>
    </w:p>
    <w:p w14:paraId="7CC6C606">
      <w:pPr>
        <w:pStyle w:val="162"/>
      </w:pPr>
      <w:r>
        <w:rPr>
          <w:rFonts w:hint="eastAsia"/>
        </w:rPr>
        <w:t>应每半年进行一次监督检查，从服务质量、服务环境、服务行为、服务态度等方面进行监督检查，根据检查情况及时改进。</w:t>
      </w:r>
    </w:p>
    <w:p w14:paraId="4BA2ADFD">
      <w:pPr>
        <w:pStyle w:val="162"/>
      </w:pPr>
      <w:r>
        <w:rPr>
          <w:rFonts w:hint="eastAsia"/>
        </w:rPr>
        <w:t>应建立投诉处理和处置制度，公开投诉渠道，对老年人及相关第三方提出的投诉，应采取应对措施，督促整改，持续改进。</w:t>
      </w:r>
    </w:p>
    <w:p w14:paraId="77C98D01">
      <w:pPr>
        <w:pStyle w:val="162"/>
      </w:pPr>
      <w:r>
        <w:rPr>
          <w:rFonts w:hint="eastAsia"/>
        </w:rPr>
        <w:t>应自觉接受主管部门对常见病预防控制实施监督检查，对监督检查中指出的问题应立即整改。</w:t>
      </w:r>
    </w:p>
    <w:p w14:paraId="54562853">
      <w:pPr>
        <w:pStyle w:val="162"/>
      </w:pPr>
      <w:r>
        <w:rPr>
          <w:rFonts w:hint="eastAsia"/>
        </w:rPr>
        <w:t>宜委托第三方机构对常见病预防控制工作开展监督评价。</w:t>
      </w:r>
    </w:p>
    <w:bookmarkEnd w:id="20"/>
    <w:p w14:paraId="770EA463">
      <w:pPr>
        <w:pStyle w:val="56"/>
        <w:ind w:firstLine="0" w:firstLineChars="0"/>
        <w:jc w:val="center"/>
      </w:pPr>
      <w:bookmarkStart w:id="37" w:name="BookMark8"/>
      <w:r>
        <w:drawing>
          <wp:inline distT="0" distB="0" distL="114300" distR="114300">
            <wp:extent cx="1457325" cy="314325"/>
            <wp:effectExtent l="0" t="0" r="15875" b="158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tretch>
                      <a:fillRect/>
                    </a:stretch>
                  </pic:blipFill>
                  <pic:spPr>
                    <a:xfrm>
                      <a:off x="0" y="0"/>
                      <a:ext cx="1457325" cy="314325"/>
                    </a:xfrm>
                    <a:prstGeom prst="rect">
                      <a:avLst/>
                    </a:prstGeom>
                    <a:noFill/>
                    <a:ln>
                      <a:noFill/>
                    </a:ln>
                  </pic:spPr>
                </pic:pic>
              </a:graphicData>
            </a:graphic>
          </wp:inline>
        </w:drawing>
      </w:r>
      <w:bookmarkEnd w:id="37"/>
    </w:p>
    <w:sectPr>
      <w:headerReference r:id="rId13" w:type="default"/>
      <w:footerReference r:id="rId15" w:type="default"/>
      <w:headerReference r:id="rId14" w:type="even"/>
      <w:footerReference r:id="rId16" w:type="even"/>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BB69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5B72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AFAF8">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4FA91">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713D5">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335A0">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0A9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D0073">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D9CFB">
    <w:pPr>
      <w:pStyle w:val="61"/>
    </w:pPr>
    <w:r>
      <w:fldChar w:fldCharType="begin"/>
    </w:r>
    <w:r>
      <w:instrText xml:space="preserve"> STYLEREF  标准文件_文件编号  \* MERGEFORMAT </w:instrText>
    </w:r>
    <w:r>
      <w:fldChar w:fldCharType="separate"/>
    </w:r>
    <w:r>
      <w:t>DB 34/T 2468—XXXX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0D797">
    <w:pPr>
      <w:pStyle w:val="62"/>
    </w:pPr>
    <w:r>
      <w:fldChar w:fldCharType="begin"/>
    </w:r>
    <w:r>
      <w:instrText xml:space="preserve"> STYLEREF  标准文件_文件编号 \* MERGEFORMAT </w:instrText>
    </w:r>
    <w:r>
      <w:fldChar w:fldCharType="separate"/>
    </w:r>
    <w:r>
      <w:t>DB 34/T 2468—XXXX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6E689">
    <w:pPr>
      <w:pStyle w:val="61"/>
    </w:pPr>
    <w:r>
      <w:fldChar w:fldCharType="begin"/>
    </w:r>
    <w:r>
      <w:instrText xml:space="preserve"> STYLEREF  标准文件_文件编号  \* MERGEFORMAT </w:instrText>
    </w:r>
    <w:r>
      <w:fldChar w:fldCharType="separate"/>
    </w:r>
    <w:r>
      <w:t>DB 34/T 2468—XXXX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79B56">
    <w:pPr>
      <w:pStyle w:val="62"/>
    </w:pPr>
    <w:r>
      <w:fldChar w:fldCharType="begin"/>
    </w:r>
    <w:r>
      <w:instrText xml:space="preserve"> STYLEREF  标准文件_文件编号 \* MERGEFORMAT </w:instrText>
    </w:r>
    <w:r>
      <w:fldChar w:fldCharType="separate"/>
    </w:r>
    <w:r>
      <w:t>DB 34/T 2468—XXXX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rPr>
        <w:rFonts w:cs="Times New Roman"/>
      </w:rPr>
    </w:lvl>
    <w:lvl w:ilvl="1" w:tentative="0">
      <w:start w:val="1"/>
      <w:numFmt w:val="lowerLetter"/>
      <w:lvlText w:val="%2)"/>
      <w:lvlJc w:val="left"/>
      <w:pPr>
        <w:tabs>
          <w:tab w:val="left" w:pos="1838"/>
        </w:tabs>
        <w:ind w:left="1838" w:hanging="420"/>
      </w:pPr>
      <w:rPr>
        <w:rFonts w:cs="Times New Roman"/>
      </w:rPr>
    </w:lvl>
    <w:lvl w:ilvl="2" w:tentative="0">
      <w:start w:val="1"/>
      <w:numFmt w:val="lowerRoman"/>
      <w:lvlText w:val="%3."/>
      <w:lvlJc w:val="right"/>
      <w:pPr>
        <w:tabs>
          <w:tab w:val="left" w:pos="2258"/>
        </w:tabs>
        <w:ind w:left="2258" w:hanging="420"/>
      </w:pPr>
      <w:rPr>
        <w:rFonts w:cs="Times New Roman"/>
      </w:rPr>
    </w:lvl>
    <w:lvl w:ilvl="3" w:tentative="0">
      <w:start w:val="1"/>
      <w:numFmt w:val="decimal"/>
      <w:lvlText w:val="%4."/>
      <w:lvlJc w:val="left"/>
      <w:pPr>
        <w:tabs>
          <w:tab w:val="left" w:pos="2678"/>
        </w:tabs>
        <w:ind w:left="2678" w:hanging="420"/>
      </w:pPr>
      <w:rPr>
        <w:rFonts w:cs="Times New Roman"/>
      </w:rPr>
    </w:lvl>
    <w:lvl w:ilvl="4" w:tentative="0">
      <w:start w:val="1"/>
      <w:numFmt w:val="lowerLetter"/>
      <w:lvlText w:val="%5)"/>
      <w:lvlJc w:val="left"/>
      <w:pPr>
        <w:tabs>
          <w:tab w:val="left" w:pos="3098"/>
        </w:tabs>
        <w:ind w:left="3098" w:hanging="420"/>
      </w:pPr>
      <w:rPr>
        <w:rFonts w:cs="Times New Roman"/>
      </w:rPr>
    </w:lvl>
    <w:lvl w:ilvl="5" w:tentative="0">
      <w:start w:val="1"/>
      <w:numFmt w:val="lowerRoman"/>
      <w:lvlText w:val="%6."/>
      <w:lvlJc w:val="right"/>
      <w:pPr>
        <w:tabs>
          <w:tab w:val="left" w:pos="3518"/>
        </w:tabs>
        <w:ind w:left="3518" w:hanging="420"/>
      </w:pPr>
      <w:rPr>
        <w:rFonts w:cs="Times New Roman"/>
      </w:rPr>
    </w:lvl>
    <w:lvl w:ilvl="6" w:tentative="0">
      <w:start w:val="1"/>
      <w:numFmt w:val="decimal"/>
      <w:lvlText w:val="%7."/>
      <w:lvlJc w:val="left"/>
      <w:pPr>
        <w:tabs>
          <w:tab w:val="left" w:pos="3938"/>
        </w:tabs>
        <w:ind w:left="3938" w:hanging="420"/>
      </w:pPr>
      <w:rPr>
        <w:rFonts w:cs="Times New Roman"/>
      </w:rPr>
    </w:lvl>
    <w:lvl w:ilvl="7" w:tentative="0">
      <w:start w:val="1"/>
      <w:numFmt w:val="lowerLetter"/>
      <w:lvlText w:val="%8)"/>
      <w:lvlJc w:val="left"/>
      <w:pPr>
        <w:tabs>
          <w:tab w:val="left" w:pos="4358"/>
        </w:tabs>
        <w:ind w:left="4358" w:hanging="420"/>
      </w:pPr>
      <w:rPr>
        <w:rFonts w:cs="Times New Roman"/>
      </w:rPr>
    </w:lvl>
    <w:lvl w:ilvl="8" w:tentative="0">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tentative="0">
      <w:start w:val="1"/>
      <w:numFmt w:val="none"/>
      <w:suff w:val="nothing"/>
      <w:lvlText w:val="　"/>
      <w:lvlJc w:val="left"/>
      <w:rPr>
        <w:rFonts w:cs="Times New Roman"/>
      </w:rPr>
    </w:lvl>
    <w:lvl w:ilvl="1" w:tentative="0">
      <w:start w:val="1"/>
      <w:numFmt w:val="decimal"/>
      <w:isLgl/>
      <w:suff w:val="nothing"/>
      <w:lvlText w:val="%2　"/>
      <w:lvlJc w:val="left"/>
      <w:rPr>
        <w:rFonts w:cs="Times New Roman"/>
      </w:rPr>
    </w:lvl>
    <w:lvl w:ilvl="2" w:tentative="0">
      <w:start w:val="1"/>
      <w:numFmt w:val="decimal"/>
      <w:pStyle w:val="159"/>
      <w:suff w:val="nothing"/>
      <w:lvlText w:val="%1%2.%3　"/>
      <w:lvlJc w:val="left"/>
      <w:rPr>
        <w:rFonts w:cs="Times New Roman"/>
      </w:rPr>
    </w:lvl>
    <w:lvl w:ilvl="3" w:tentative="0">
      <w:start w:val="1"/>
      <w:numFmt w:val="decimal"/>
      <w:pStyle w:val="118"/>
      <w:suff w:val="nothing"/>
      <w:lvlText w:val="%1%2.%3.%4　"/>
      <w:lvlJc w:val="left"/>
      <w:rPr>
        <w:rFonts w:cs="Times New Roman"/>
      </w:rPr>
    </w:lvl>
    <w:lvl w:ilvl="4" w:tentative="0">
      <w:start w:val="1"/>
      <w:numFmt w:val="decimal"/>
      <w:pStyle w:val="153"/>
      <w:suff w:val="nothing"/>
      <w:lvlText w:val="%1%2.%3.%4.%5　"/>
      <w:lvlJc w:val="left"/>
      <w:rPr>
        <w:rFonts w:cs="Times New Roman"/>
      </w:rPr>
    </w:lvl>
    <w:lvl w:ilvl="5" w:tentative="0">
      <w:start w:val="1"/>
      <w:numFmt w:val="decimal"/>
      <w:pStyle w:val="155"/>
      <w:suff w:val="nothing"/>
      <w:lvlText w:val="%1%2.%3.%4.%5.%6　"/>
      <w:lvlJc w:val="left"/>
      <w:rPr>
        <w:rFonts w:cs="Times New Roman"/>
      </w:rPr>
    </w:lvl>
    <w:lvl w:ilvl="6" w:tentative="0">
      <w:start w:val="1"/>
      <w:numFmt w:val="decimal"/>
      <w:pStyle w:val="158"/>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cs="Times New Roman"/>
      </w:rPr>
    </w:lvl>
    <w:lvl w:ilvl="1" w:tentative="0">
      <w:start w:val="1"/>
      <w:numFmt w:val="decimal"/>
      <w:pStyle w:val="200"/>
      <w:suff w:val="nothing"/>
      <w:lvlText w:val="%10.%2 "/>
      <w:lvlJc w:val="left"/>
      <w:rPr>
        <w:rFonts w:hint="eastAsia" w:ascii="黑体" w:hAnsi="等线" w:eastAsia="黑体" w:cs="Times New Roman"/>
        <w:b w:val="0"/>
        <w:i w:val="0"/>
        <w:sz w:val="21"/>
      </w:rPr>
    </w:lvl>
    <w:lvl w:ilvl="2" w:tentative="0">
      <w:start w:val="1"/>
      <w:numFmt w:val="decimal"/>
      <w:pStyle w:val="201"/>
      <w:suff w:val="nothing"/>
      <w:lvlText w:val="%10.%2.%3 "/>
      <w:lvlJc w:val="left"/>
      <w:rPr>
        <w:rFonts w:hint="eastAsia" w:ascii="黑体" w:hAnsi="等线" w:eastAsia="黑体" w:cs="Times New Roman"/>
        <w:b w:val="0"/>
        <w:i w:val="0"/>
        <w:sz w:val="21"/>
      </w:rPr>
    </w:lvl>
    <w:lvl w:ilvl="3" w:tentative="0">
      <w:start w:val="1"/>
      <w:numFmt w:val="decimal"/>
      <w:pStyle w:val="202"/>
      <w:suff w:val="nothing"/>
      <w:lvlText w:val="%10.%2.%3.%4 "/>
      <w:lvlJc w:val="left"/>
      <w:rPr>
        <w:rFonts w:hint="eastAsia" w:ascii="黑体" w:hAnsi="等线" w:eastAsia="黑体" w:cs="Times New Roman"/>
        <w:b w:val="0"/>
        <w:i w:val="0"/>
        <w:sz w:val="21"/>
      </w:rPr>
    </w:lvl>
    <w:lvl w:ilvl="4" w:tentative="0">
      <w:start w:val="1"/>
      <w:numFmt w:val="decimal"/>
      <w:pStyle w:val="203"/>
      <w:suff w:val="nothing"/>
      <w:lvlText w:val="%10.%2.%3.%4.%5 "/>
      <w:lvlJc w:val="left"/>
      <w:rPr>
        <w:rFonts w:hint="eastAsia" w:ascii="黑体" w:hAnsi="等线" w:eastAsia="黑体" w:cs="Times New Roman"/>
        <w:b w:val="0"/>
        <w:i w:val="0"/>
        <w:sz w:val="21"/>
      </w:rPr>
    </w:lvl>
    <w:lvl w:ilvl="5" w:tentative="0">
      <w:start w:val="1"/>
      <w:numFmt w:val="decimal"/>
      <w:pStyle w:val="204"/>
      <w:suff w:val="nothing"/>
      <w:lvlText w:val="%10.%2.%3.%4.%5.%6 "/>
      <w:lvlJc w:val="left"/>
      <w:rPr>
        <w:rFonts w:hint="eastAsia" w:ascii="黑体" w:hAnsi="等线" w:eastAsia="黑体" w:cs="Times New Roman"/>
        <w:b w:val="0"/>
        <w:i w:val="0"/>
        <w:sz w:val="21"/>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4">
    <w:nsid w:val="0AE367E9"/>
    <w:multiLevelType w:val="multilevel"/>
    <w:tmpl w:val="0AE367E9"/>
    <w:lvl w:ilvl="0" w:tentative="0">
      <w:start w:val="1"/>
      <w:numFmt w:val="none"/>
      <w:pStyle w:val="181"/>
      <w:suff w:val="nothing"/>
      <w:lvlText w:val="%1示例："/>
      <w:lvlJc w:val="left"/>
      <w:pPr>
        <w:ind w:firstLine="363"/>
      </w:pPr>
      <w:rPr>
        <w:rFonts w:hint="eastAsia" w:ascii="黑体" w:eastAsia="黑体" w:cs="Times New Roman"/>
        <w:b w:val="0"/>
        <w:i w:val="0"/>
        <w:sz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5">
    <w:nsid w:val="0BDC1670"/>
    <w:multiLevelType w:val="multilevel"/>
    <w:tmpl w:val="0BDC1670"/>
    <w:lvl w:ilvl="0" w:tentative="0">
      <w:start w:val="1"/>
      <w:numFmt w:val="decimal"/>
      <w:pStyle w:val="67"/>
      <w:lvlText w:val="[%1]"/>
      <w:lvlJc w:val="left"/>
      <w:pPr>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543"/>
        </w:tabs>
        <w:ind w:left="1543" w:hanging="420"/>
      </w:pPr>
      <w:rPr>
        <w:rFonts w:hint="eastAsia" w:cs="Times New Roman"/>
      </w:rPr>
    </w:lvl>
    <w:lvl w:ilvl="2" w:tentative="0">
      <w:start w:val="1"/>
      <w:numFmt w:val="lowerRoman"/>
      <w:lvlText w:val="%3."/>
      <w:lvlJc w:val="right"/>
      <w:pPr>
        <w:tabs>
          <w:tab w:val="left" w:pos="1963"/>
        </w:tabs>
        <w:ind w:left="1963" w:hanging="420"/>
      </w:pPr>
      <w:rPr>
        <w:rFonts w:hint="eastAsia" w:cs="Times New Roman"/>
      </w:rPr>
    </w:lvl>
    <w:lvl w:ilvl="3" w:tentative="0">
      <w:start w:val="1"/>
      <w:numFmt w:val="decimal"/>
      <w:lvlText w:val="%4."/>
      <w:lvlJc w:val="left"/>
      <w:pPr>
        <w:tabs>
          <w:tab w:val="left" w:pos="2383"/>
        </w:tabs>
        <w:ind w:left="2383" w:hanging="420"/>
      </w:pPr>
      <w:rPr>
        <w:rFonts w:hint="eastAsia" w:cs="Times New Roman"/>
      </w:rPr>
    </w:lvl>
    <w:lvl w:ilvl="4" w:tentative="0">
      <w:start w:val="1"/>
      <w:numFmt w:val="lowerLetter"/>
      <w:lvlText w:val="%5)"/>
      <w:lvlJc w:val="left"/>
      <w:pPr>
        <w:tabs>
          <w:tab w:val="left" w:pos="2803"/>
        </w:tabs>
        <w:ind w:left="2803" w:hanging="420"/>
      </w:pPr>
      <w:rPr>
        <w:rFonts w:hint="eastAsia" w:cs="Times New Roman"/>
      </w:rPr>
    </w:lvl>
    <w:lvl w:ilvl="5" w:tentative="0">
      <w:start w:val="1"/>
      <w:numFmt w:val="lowerRoman"/>
      <w:lvlText w:val="%6."/>
      <w:lvlJc w:val="right"/>
      <w:pPr>
        <w:tabs>
          <w:tab w:val="left" w:pos="3223"/>
        </w:tabs>
        <w:ind w:left="3223" w:hanging="420"/>
      </w:pPr>
      <w:rPr>
        <w:rFonts w:hint="eastAsia" w:cs="Times New Roman"/>
      </w:rPr>
    </w:lvl>
    <w:lvl w:ilvl="6" w:tentative="0">
      <w:start w:val="1"/>
      <w:numFmt w:val="decimal"/>
      <w:lvlText w:val="%7."/>
      <w:lvlJc w:val="left"/>
      <w:pPr>
        <w:tabs>
          <w:tab w:val="left" w:pos="3643"/>
        </w:tabs>
        <w:ind w:left="3643" w:hanging="420"/>
      </w:pPr>
      <w:rPr>
        <w:rFonts w:hint="eastAsia" w:cs="Times New Roman"/>
      </w:rPr>
    </w:lvl>
    <w:lvl w:ilvl="7" w:tentative="0">
      <w:start w:val="1"/>
      <w:numFmt w:val="lowerLetter"/>
      <w:lvlText w:val="%8)"/>
      <w:lvlJc w:val="left"/>
      <w:pPr>
        <w:tabs>
          <w:tab w:val="left" w:pos="4063"/>
        </w:tabs>
        <w:ind w:left="4063" w:hanging="420"/>
      </w:pPr>
      <w:rPr>
        <w:rFonts w:hint="eastAsia" w:cs="Times New Roman"/>
      </w:rPr>
    </w:lvl>
    <w:lvl w:ilvl="8" w:tentative="0">
      <w:start w:val="1"/>
      <w:numFmt w:val="lowerRoman"/>
      <w:lvlText w:val="%9."/>
      <w:lvlJc w:val="right"/>
      <w:pPr>
        <w:tabs>
          <w:tab w:val="left" w:pos="4483"/>
        </w:tabs>
        <w:ind w:left="4483" w:hanging="420"/>
      </w:pPr>
      <w:rPr>
        <w:rFonts w:hint="eastAsia" w:cs="Times New Roman"/>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tentative="0">
      <w:start w:val="1"/>
      <w:numFmt w:val="upperLetter"/>
      <w:pStyle w:val="85"/>
      <w:suff w:val="nothing"/>
      <w:lvlText w:val="附 录(Annex) %1"/>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tentative="0">
      <w:start w:val="1"/>
      <w:numFmt w:val="none"/>
      <w:pStyle w:val="92"/>
      <w:suff w:val="nothing"/>
      <w:lvlText w:val="——"/>
      <w:lvlJc w:val="left"/>
      <w:pPr>
        <w:ind w:left="794" w:hanging="397"/>
      </w:pPr>
      <w:rPr>
        <w:rFonts w:cs="Times New Roman"/>
      </w:rPr>
    </w:lvl>
    <w:lvl w:ilvl="1" w:tentative="0">
      <w:start w:val="1"/>
      <w:numFmt w:val="decimal"/>
      <w:suff w:val="nothing"/>
      <w:lvlText w:val="%1.%2　"/>
      <w:lvlJc w:val="left"/>
      <w:pPr>
        <w:ind w:left="397"/>
      </w:pPr>
      <w:rPr>
        <w:rFonts w:cs="Times New Roman"/>
      </w:rPr>
    </w:lvl>
    <w:lvl w:ilvl="2" w:tentative="0">
      <w:start w:val="1"/>
      <w:numFmt w:val="decimal"/>
      <w:suff w:val="nothing"/>
      <w:lvlText w:val="%1.%2.%3　"/>
      <w:lvlJc w:val="left"/>
      <w:pPr>
        <w:ind w:left="397"/>
      </w:pPr>
      <w:rPr>
        <w:rFonts w:cs="Times New Roman"/>
      </w:rPr>
    </w:lvl>
    <w:lvl w:ilvl="3" w:tentative="0">
      <w:start w:val="1"/>
      <w:numFmt w:val="decimal"/>
      <w:suff w:val="nothing"/>
      <w:lvlText w:val="%1.%2.%3.%4　"/>
      <w:lvlJc w:val="left"/>
      <w:pPr>
        <w:ind w:left="397"/>
      </w:pPr>
      <w:rPr>
        <w:rFonts w:cs="Times New Roman"/>
      </w:rPr>
    </w:lvl>
    <w:lvl w:ilvl="4" w:tentative="0">
      <w:start w:val="1"/>
      <w:numFmt w:val="decimal"/>
      <w:suff w:val="nothing"/>
      <w:lvlText w:val="%1.%2.%3.%4.%5　"/>
      <w:lvlJc w:val="left"/>
      <w:pPr>
        <w:ind w:left="397"/>
      </w:pPr>
      <w:rPr>
        <w:rFonts w:cs="Times New Roman"/>
      </w:rPr>
    </w:lvl>
    <w:lvl w:ilvl="5" w:tentative="0">
      <w:start w:val="1"/>
      <w:numFmt w:val="decimal"/>
      <w:suff w:val="nothing"/>
      <w:lvlText w:val="%1.%2.%3.%4.%5.%6　"/>
      <w:lvlJc w:val="left"/>
      <w:pPr>
        <w:ind w:left="397"/>
      </w:pPr>
      <w:rPr>
        <w:rFonts w:cs="Times New Roman"/>
      </w:rPr>
    </w:lvl>
    <w:lvl w:ilvl="6" w:tentative="0">
      <w:start w:val="1"/>
      <w:numFmt w:val="decimal"/>
      <w:suff w:val="nothing"/>
      <w:lvlText w:val="%1.%2.%3.%4.%5.%6.%7　"/>
      <w:lvlJc w:val="left"/>
      <w:pPr>
        <w:ind w:left="397"/>
      </w:pPr>
      <w:rPr>
        <w:rFonts w:cs="Times New Roman"/>
      </w:rPr>
    </w:lvl>
    <w:lvl w:ilvl="7" w:tentative="0">
      <w:start w:val="1"/>
      <w:numFmt w:val="decimal"/>
      <w:lvlText w:val="%1.%2.%3.%4.%5.%6.%7.%8"/>
      <w:lvlJc w:val="left"/>
      <w:pPr>
        <w:tabs>
          <w:tab w:val="left" w:pos="4791"/>
        </w:tabs>
        <w:ind w:left="4791" w:hanging="1418"/>
      </w:pPr>
      <w:rPr>
        <w:rFonts w:cs="Times New Roman"/>
      </w:rPr>
    </w:lvl>
    <w:lvl w:ilvl="8" w:tentative="0">
      <w:start w:val="1"/>
      <w:numFmt w:val="decimal"/>
      <w:lvlText w:val="%1.%2.%3.%4.%5.%6.%7.%8.%9"/>
      <w:lvlJc w:val="left"/>
      <w:pPr>
        <w:tabs>
          <w:tab w:val="left" w:pos="5499"/>
        </w:tabs>
        <w:ind w:left="5499" w:hanging="1700"/>
      </w:pPr>
      <w:rPr>
        <w:rFonts w:cs="Times New Roman"/>
      </w:rPr>
    </w:lvl>
  </w:abstractNum>
  <w:abstractNum w:abstractNumId="10">
    <w:nsid w:val="1FC91163"/>
    <w:multiLevelType w:val="multilevel"/>
    <w:tmpl w:val="1FC91163"/>
    <w:lvl w:ilvl="0" w:tentative="0">
      <w:start w:val="1"/>
      <w:numFmt w:val="decimal"/>
      <w:pStyle w:val="236"/>
      <w:suff w:val="nothing"/>
      <w:lvlText w:val="%1　"/>
      <w:lvlJc w:val="left"/>
      <w:rPr>
        <w:rFonts w:hint="eastAsia" w:ascii="黑体" w:hAnsi="Times New Roman" w:eastAsia="黑体" w:cs="Times New Roman"/>
        <w:b w:val="0"/>
        <w:i w:val="0"/>
        <w:sz w:val="21"/>
        <w:szCs w:val="21"/>
      </w:rPr>
    </w:lvl>
    <w:lvl w:ilvl="1" w:tentative="0">
      <w:start w:val="1"/>
      <w:numFmt w:val="decimal"/>
      <w:pStyle w:val="235"/>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7"/>
      <w:suff w:val="nothing"/>
      <w:lvlText w:val="%1.%2.%3　"/>
      <w:lvlJc w:val="left"/>
      <w:rPr>
        <w:rFonts w:hint="eastAsia" w:ascii="黑体" w:hAnsi="Times New Roman" w:eastAsia="黑体" w:cs="Times New Roman"/>
        <w:b w:val="0"/>
        <w:i w:val="0"/>
        <w:sz w:val="21"/>
      </w:rPr>
    </w:lvl>
    <w:lvl w:ilvl="3" w:tentative="0">
      <w:start w:val="1"/>
      <w:numFmt w:val="decimal"/>
      <w:pStyle w:val="238"/>
      <w:suff w:val="nothing"/>
      <w:lvlText w:val="%1.%2.%3.%4　"/>
      <w:lvlJc w:val="left"/>
      <w:rPr>
        <w:rFonts w:hint="eastAsia" w:ascii="黑体" w:hAnsi="Times New Roman" w:eastAsia="黑体" w:cs="Times New Roman"/>
        <w:b w:val="0"/>
        <w:i w:val="0"/>
        <w:sz w:val="21"/>
      </w:rPr>
    </w:lvl>
    <w:lvl w:ilvl="4" w:tentative="0">
      <w:start w:val="1"/>
      <w:numFmt w:val="decimal"/>
      <w:pStyle w:val="239"/>
      <w:suff w:val="nothing"/>
      <w:lvlText w:val="%1.%2.%3.%4.%5　"/>
      <w:lvlJc w:val="left"/>
      <w:rPr>
        <w:rFonts w:hint="eastAsia" w:ascii="黑体" w:hAnsi="Times New Roman" w:eastAsia="黑体" w:cs="Times New Roman"/>
        <w:b w:val="0"/>
        <w:i w:val="0"/>
        <w:sz w:val="21"/>
      </w:rPr>
    </w:lvl>
    <w:lvl w:ilvl="5" w:tentative="0">
      <w:start w:val="1"/>
      <w:numFmt w:val="decimal"/>
      <w:pStyle w:val="240"/>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11">
    <w:nsid w:val="2C5917C3"/>
    <w:multiLevelType w:val="multilevel"/>
    <w:tmpl w:val="2C5917C3"/>
    <w:lvl w:ilvl="0" w:tentative="0">
      <w:start w:val="1"/>
      <w:numFmt w:val="none"/>
      <w:pStyle w:val="132"/>
      <w:lvlText w:val="%1——"/>
      <w:lvlJc w:val="left"/>
      <w:pPr>
        <w:tabs>
          <w:tab w:val="left" w:pos="1791"/>
        </w:tabs>
        <w:ind w:left="1791" w:hanging="426"/>
      </w:pPr>
      <w:rPr>
        <w:rFonts w:hint="eastAsia" w:ascii="宋体"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cs="Times New Roman"/>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s="Times New Roman"/>
        <w:caps w:val="0"/>
        <w:strike w:val="0"/>
        <w:dstrike w:val="0"/>
        <w:vanish w:val="0"/>
        <w:vertAlign w:val="superscript"/>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cs="Times New Roman"/>
        <w:sz w:val="21"/>
      </w:rPr>
    </w:lvl>
    <w:lvl w:ilvl="1" w:tentative="0">
      <w:start w:val="1"/>
      <w:numFmt w:val="decimal"/>
      <w:pStyle w:val="109"/>
      <w:lvlText w:val="%2)"/>
      <w:lvlJc w:val="left"/>
      <w:pPr>
        <w:tabs>
          <w:tab w:val="left" w:pos="1276"/>
        </w:tabs>
        <w:ind w:left="1276" w:hanging="425"/>
      </w:pPr>
      <w:rPr>
        <w:rFonts w:hint="eastAsia" w:ascii="宋体" w:hAnsi="Times New Roman" w:eastAsia="宋体" w:cs="Times New Roman"/>
        <w:sz w:val="21"/>
      </w:rPr>
    </w:lvl>
    <w:lvl w:ilvl="2" w:tentative="0">
      <w:start w:val="1"/>
      <w:numFmt w:val="decimal"/>
      <w:pStyle w:val="117"/>
      <w:lvlText w:val="(%3)"/>
      <w:lvlJc w:val="left"/>
      <w:pPr>
        <w:ind w:left="1701" w:hanging="425"/>
      </w:pPr>
      <w:rPr>
        <w:rFonts w:hint="eastAsia" w:ascii="宋体" w:hAnsi="Times New Roman" w:eastAsia="宋体" w:cs="Times New Roman"/>
        <w:sz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cs="Times New Roman"/>
      </w:rPr>
    </w:lvl>
    <w:lvl w:ilvl="1" w:tentative="0">
      <w:start w:val="1"/>
      <w:numFmt w:val="decimal"/>
      <w:pStyle w:val="83"/>
      <w:suff w:val="space"/>
      <w:lvlText w:val="图%1.%2"/>
      <w:lvlJc w:val="cente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5">
    <w:nsid w:val="4B733A5F"/>
    <w:multiLevelType w:val="multilevel"/>
    <w:tmpl w:val="4B733A5F"/>
    <w:lvl w:ilvl="0" w:tentative="0">
      <w:start w:val="1"/>
      <w:numFmt w:val="decimal"/>
      <w:pStyle w:val="183"/>
      <w:suff w:val="nothing"/>
      <w:lvlText w:val="示例%1："/>
      <w:lvlJc w:val="left"/>
      <w:pPr>
        <w:ind w:firstLine="363"/>
      </w:pPr>
      <w:rPr>
        <w:rFonts w:hint="eastAsia" w:ascii="黑体" w:eastAsia="黑体" w:cs="Times New Roman"/>
        <w:b w:val="0"/>
        <w:i w:val="0"/>
        <w:sz w:val="18"/>
      </w:rPr>
    </w:lvl>
    <w:lvl w:ilvl="1" w:tentative="0">
      <w:start w:val="1"/>
      <w:numFmt w:val="none"/>
      <w:suff w:val="space"/>
      <w:lvlText w:val=""/>
      <w:lvlJc w:val="left"/>
      <w:rPr>
        <w:rFonts w:hint="eastAsia" w:cs="Times New Roman"/>
      </w:rPr>
    </w:lvl>
    <w:lvl w:ilvl="2" w:tentative="0">
      <w:start w:val="1"/>
      <w:numFmt w:val="decimal"/>
      <w:suff w:val="space"/>
      <w:lvlText w:val="2.2.%3"/>
      <w:lvlJc w:val="left"/>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6">
    <w:nsid w:val="4E5D0534"/>
    <w:multiLevelType w:val="multilevel"/>
    <w:tmpl w:val="4E5D0534"/>
    <w:lvl w:ilvl="0" w:tentative="0">
      <w:start w:val="1"/>
      <w:numFmt w:val="decimal"/>
      <w:pStyle w:val="116"/>
      <w:suff w:val="nothing"/>
      <w:lvlText w:val="Figur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7">
    <w:nsid w:val="54632751"/>
    <w:multiLevelType w:val="multilevel"/>
    <w:tmpl w:val="54632751"/>
    <w:lvl w:ilvl="0" w:tentative="0">
      <w:start w:val="1"/>
      <w:numFmt w:val="none"/>
      <w:pStyle w:val="93"/>
      <w:suff w:val="nothing"/>
      <w:lvlText w:val="——"/>
      <w:lvlJc w:val="left"/>
      <w:pPr>
        <w:ind w:left="1588"/>
      </w:pPr>
      <w:rPr>
        <w:rFonts w:cs="Times New Roman"/>
      </w:rPr>
    </w:lvl>
    <w:lvl w:ilvl="1" w:tentative="0">
      <w:start w:val="1"/>
      <w:numFmt w:val="decimal"/>
      <w:suff w:val="nothing"/>
      <w:lvlText w:val="%1.%2　"/>
      <w:lvlJc w:val="left"/>
      <w:pPr>
        <w:ind w:left="1588"/>
      </w:pPr>
      <w:rPr>
        <w:rFonts w:cs="Times New Roman"/>
      </w:rPr>
    </w:lvl>
    <w:lvl w:ilvl="2" w:tentative="0">
      <w:start w:val="1"/>
      <w:numFmt w:val="decimal"/>
      <w:suff w:val="nothing"/>
      <w:lvlText w:val="%1.%2.%3　"/>
      <w:lvlJc w:val="left"/>
      <w:pPr>
        <w:ind w:left="1588"/>
      </w:pPr>
      <w:rPr>
        <w:rFonts w:cs="Times New Roman"/>
      </w:rPr>
    </w:lvl>
    <w:lvl w:ilvl="3" w:tentative="0">
      <w:start w:val="1"/>
      <w:numFmt w:val="decimal"/>
      <w:suff w:val="nothing"/>
      <w:lvlText w:val="%1.%2.%3.%4　"/>
      <w:lvlJc w:val="left"/>
      <w:pPr>
        <w:ind w:left="1588"/>
      </w:pPr>
      <w:rPr>
        <w:rFonts w:cs="Times New Roman"/>
      </w:rPr>
    </w:lvl>
    <w:lvl w:ilvl="4" w:tentative="0">
      <w:start w:val="1"/>
      <w:numFmt w:val="decimal"/>
      <w:suff w:val="nothing"/>
      <w:lvlText w:val="%1.%2.%3.%4.%5　"/>
      <w:lvlJc w:val="left"/>
      <w:pPr>
        <w:ind w:left="1588"/>
      </w:pPr>
      <w:rPr>
        <w:rFonts w:cs="Times New Roman"/>
      </w:rPr>
    </w:lvl>
    <w:lvl w:ilvl="5" w:tentative="0">
      <w:start w:val="1"/>
      <w:numFmt w:val="decimal"/>
      <w:suff w:val="nothing"/>
      <w:lvlText w:val="%1.%2.%3.%4.%5.%6　"/>
      <w:lvlJc w:val="left"/>
      <w:pPr>
        <w:ind w:left="1588"/>
      </w:pPr>
      <w:rPr>
        <w:rFonts w:cs="Times New Roman"/>
      </w:rPr>
    </w:lvl>
    <w:lvl w:ilvl="6" w:tentative="0">
      <w:start w:val="1"/>
      <w:numFmt w:val="decimal"/>
      <w:suff w:val="nothing"/>
      <w:lvlText w:val="%1.%2.%3.%4.%5.%6.%7　"/>
      <w:lvlJc w:val="left"/>
      <w:pPr>
        <w:ind w:left="1588"/>
      </w:pPr>
      <w:rPr>
        <w:rFonts w:cs="Times New Roman"/>
      </w:rPr>
    </w:lvl>
    <w:lvl w:ilvl="7" w:tentative="0">
      <w:start w:val="1"/>
      <w:numFmt w:val="decimal"/>
      <w:lvlText w:val="%1.%2.%3.%4.%5.%6.%7.%8"/>
      <w:lvlJc w:val="left"/>
      <w:pPr>
        <w:tabs>
          <w:tab w:val="left" w:pos="5982"/>
        </w:tabs>
        <w:ind w:left="5982" w:hanging="1418"/>
      </w:pPr>
      <w:rPr>
        <w:rFonts w:cs="Times New Roman"/>
      </w:rPr>
    </w:lvl>
    <w:lvl w:ilvl="8" w:tentative="0">
      <w:start w:val="1"/>
      <w:numFmt w:val="decimal"/>
      <w:lvlText w:val="%1.%2.%3.%4.%5.%6.%7.%8.%9"/>
      <w:lvlJc w:val="left"/>
      <w:pPr>
        <w:tabs>
          <w:tab w:val="left" w:pos="6690"/>
        </w:tabs>
        <w:ind w:left="6690" w:hanging="1700"/>
      </w:pPr>
      <w:rPr>
        <w:rFonts w:cs="Times New Roman"/>
      </w:rPr>
    </w:lvl>
  </w:abstractNum>
  <w:abstractNum w:abstractNumId="18">
    <w:nsid w:val="557C2AF5"/>
    <w:multiLevelType w:val="multilevel"/>
    <w:tmpl w:val="557C2AF5"/>
    <w:lvl w:ilvl="0" w:tentative="0">
      <w:start w:val="1"/>
      <w:numFmt w:val="decimal"/>
      <w:pStyle w:val="114"/>
      <w:suff w:val="nothing"/>
      <w:lvlText w:val="图%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cs="Times New Roman"/>
      </w:rPr>
    </w:lvl>
    <w:lvl w:ilvl="1" w:tentative="0">
      <w:start w:val="1"/>
      <w:numFmt w:val="decimal"/>
      <w:pStyle w:val="77"/>
      <w:suff w:val="space"/>
      <w:lvlText w:val="表%1.%2"/>
      <w:lvlJc w:val="center"/>
      <w:rPr>
        <w:rFonts w:hint="eastAsia" w:ascii="黑体" w:eastAsia="黑体" w:cs="Times New Roman"/>
        <w:sz w:val="21"/>
      </w:rPr>
    </w:lvl>
    <w:lvl w:ilvl="2" w:tentative="0">
      <w:start w:val="1"/>
      <w:numFmt w:val="decimal"/>
      <w:lvlText w:val="%1.%2.%3"/>
      <w:lvlJc w:val="left"/>
      <w:pPr>
        <w:ind w:left="1418" w:hanging="567"/>
      </w:pPr>
      <w:rPr>
        <w:rFonts w:hint="eastAsia" w:cs="Times New Roman"/>
      </w:rPr>
    </w:lvl>
    <w:lvl w:ilvl="3" w:tentative="0">
      <w:start w:val="1"/>
      <w:numFmt w:val="decimal"/>
      <w:lvlText w:val="%1.%2.%3.%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310"/>
        </w:tabs>
        <w:ind w:left="1310" w:hanging="420"/>
      </w:pPr>
      <w:rPr>
        <w:rFonts w:hint="eastAsia" w:cs="Times New Roman"/>
      </w:rPr>
    </w:lvl>
    <w:lvl w:ilvl="2" w:tentative="0">
      <w:start w:val="1"/>
      <w:numFmt w:val="lowerRoman"/>
      <w:lvlText w:val="%3."/>
      <w:lvlJc w:val="right"/>
      <w:pPr>
        <w:tabs>
          <w:tab w:val="left" w:pos="1730"/>
        </w:tabs>
        <w:ind w:left="1730" w:hanging="420"/>
      </w:pPr>
      <w:rPr>
        <w:rFonts w:hint="eastAsia" w:cs="Times New Roman"/>
      </w:rPr>
    </w:lvl>
    <w:lvl w:ilvl="3" w:tentative="0">
      <w:start w:val="1"/>
      <w:numFmt w:val="decimal"/>
      <w:lvlText w:val="%4."/>
      <w:lvlJc w:val="left"/>
      <w:pPr>
        <w:tabs>
          <w:tab w:val="left" w:pos="2150"/>
        </w:tabs>
        <w:ind w:left="2150" w:hanging="420"/>
      </w:pPr>
      <w:rPr>
        <w:rFonts w:hint="eastAsia" w:cs="Times New Roman"/>
      </w:rPr>
    </w:lvl>
    <w:lvl w:ilvl="4" w:tentative="0">
      <w:start w:val="1"/>
      <w:numFmt w:val="lowerLetter"/>
      <w:lvlText w:val="%5)"/>
      <w:lvlJc w:val="left"/>
      <w:pPr>
        <w:tabs>
          <w:tab w:val="left" w:pos="2570"/>
        </w:tabs>
        <w:ind w:left="2570" w:hanging="420"/>
      </w:pPr>
      <w:rPr>
        <w:rFonts w:hint="eastAsia" w:cs="Times New Roman"/>
      </w:rPr>
    </w:lvl>
    <w:lvl w:ilvl="5" w:tentative="0">
      <w:start w:val="1"/>
      <w:numFmt w:val="lowerRoman"/>
      <w:lvlText w:val="%6."/>
      <w:lvlJc w:val="right"/>
      <w:pPr>
        <w:tabs>
          <w:tab w:val="left" w:pos="2990"/>
        </w:tabs>
        <w:ind w:left="2990" w:hanging="420"/>
      </w:pPr>
      <w:rPr>
        <w:rFonts w:hint="eastAsia" w:cs="Times New Roman"/>
      </w:rPr>
    </w:lvl>
    <w:lvl w:ilvl="6" w:tentative="0">
      <w:start w:val="1"/>
      <w:numFmt w:val="decimal"/>
      <w:lvlText w:val="%7."/>
      <w:lvlJc w:val="left"/>
      <w:pPr>
        <w:tabs>
          <w:tab w:val="left" w:pos="3410"/>
        </w:tabs>
        <w:ind w:left="3410" w:hanging="420"/>
      </w:pPr>
      <w:rPr>
        <w:rFonts w:hint="eastAsia" w:cs="Times New Roman"/>
      </w:rPr>
    </w:lvl>
    <w:lvl w:ilvl="7" w:tentative="0">
      <w:start w:val="1"/>
      <w:numFmt w:val="lowerLetter"/>
      <w:lvlText w:val="%8)"/>
      <w:lvlJc w:val="left"/>
      <w:pPr>
        <w:tabs>
          <w:tab w:val="left" w:pos="3830"/>
        </w:tabs>
        <w:ind w:left="3830" w:hanging="420"/>
      </w:pPr>
      <w:rPr>
        <w:rFonts w:hint="eastAsia" w:cs="Times New Roman"/>
      </w:rPr>
    </w:lvl>
    <w:lvl w:ilvl="8" w:tentative="0">
      <w:start w:val="1"/>
      <w:numFmt w:val="lowerRoman"/>
      <w:lvlText w:val="%9."/>
      <w:lvlJc w:val="right"/>
      <w:pPr>
        <w:tabs>
          <w:tab w:val="left" w:pos="4250"/>
        </w:tabs>
        <w:ind w:left="4250" w:hanging="420"/>
      </w:pPr>
      <w:rPr>
        <w:rFonts w:hint="eastAsia" w:cs="Times New Roman"/>
      </w:rPr>
    </w:lvl>
  </w:abstractNum>
  <w:abstractNum w:abstractNumId="22">
    <w:nsid w:val="646260FA"/>
    <w:multiLevelType w:val="multilevel"/>
    <w:tmpl w:val="646260FA"/>
    <w:lvl w:ilvl="0" w:tentative="0">
      <w:start w:val="1"/>
      <w:numFmt w:val="decimal"/>
      <w:pStyle w:val="112"/>
      <w:suff w:val="nothing"/>
      <w:lvlText w:val="表%1　"/>
      <w:lvlJc w:val="left"/>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417"/>
        </w:tabs>
        <w:ind w:left="1417" w:hanging="567"/>
      </w:pPr>
      <w:rPr>
        <w:rFonts w:cs="Times New Roman"/>
      </w:rPr>
    </w:lvl>
    <w:lvl w:ilvl="3" w:tentative="0">
      <w:start w:val="1"/>
      <w:numFmt w:val="decimal"/>
      <w:lvlText w:val="%1.%2.%3.%4"/>
      <w:lvlJc w:val="left"/>
      <w:pPr>
        <w:tabs>
          <w:tab w:val="left" w:pos="1984"/>
        </w:tabs>
        <w:ind w:left="1984" w:hanging="708"/>
      </w:pPr>
      <w:rPr>
        <w:rFonts w:cs="Times New Roman"/>
      </w:rPr>
    </w:lvl>
    <w:lvl w:ilvl="4" w:tentative="0">
      <w:start w:val="1"/>
      <w:numFmt w:val="decimal"/>
      <w:lvlText w:val="%1.%2.%3.%4.%5"/>
      <w:lvlJc w:val="left"/>
      <w:pPr>
        <w:tabs>
          <w:tab w:val="left" w:pos="2551"/>
        </w:tabs>
        <w:ind w:left="2551" w:hanging="850"/>
      </w:pPr>
      <w:rPr>
        <w:rFonts w:cs="Times New Roman"/>
      </w:rPr>
    </w:lvl>
    <w:lvl w:ilvl="5" w:tentative="0">
      <w:start w:val="1"/>
      <w:numFmt w:val="decimal"/>
      <w:lvlText w:val="%1.%2.%3.%4.%5.%6"/>
      <w:lvlJc w:val="left"/>
      <w:pPr>
        <w:tabs>
          <w:tab w:val="left" w:pos="3260"/>
        </w:tabs>
        <w:ind w:left="3260" w:hanging="1134"/>
      </w:pPr>
      <w:rPr>
        <w:rFonts w:cs="Times New Roman"/>
      </w:rPr>
    </w:lvl>
    <w:lvl w:ilvl="6" w:tentative="0">
      <w:start w:val="1"/>
      <w:numFmt w:val="decimal"/>
      <w:lvlText w:val="%1.%2.%3.%4.%5.%6.%7"/>
      <w:lvlJc w:val="left"/>
      <w:pPr>
        <w:tabs>
          <w:tab w:val="left" w:pos="3827"/>
        </w:tabs>
        <w:ind w:left="3827" w:hanging="1276"/>
      </w:pPr>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3">
    <w:nsid w:val="654A26C9"/>
    <w:multiLevelType w:val="multilevel"/>
    <w:tmpl w:val="654A26C9"/>
    <w:lvl w:ilvl="0" w:tentative="0">
      <w:start w:val="1"/>
      <w:numFmt w:val="none"/>
      <w:pStyle w:val="189"/>
      <w:lvlText w:val="──"/>
      <w:lvlJc w:val="left"/>
      <w:pPr>
        <w:ind w:left="851"/>
      </w:pPr>
      <w:rPr>
        <w:rFonts w:hint="eastAsia" w:ascii="宋体" w:hAnsi="等线 Light" w:eastAsia="宋体" w:cs="Times New Roman"/>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rPr>
        <w:rFonts w:hint="eastAsia" w:cs="Times New Roman"/>
        <w:spacing w:val="100"/>
      </w:rPr>
    </w:lvl>
    <w:lvl w:ilvl="1" w:tentative="0">
      <w:start w:val="1"/>
      <w:numFmt w:val="decimal"/>
      <w:pStyle w:val="78"/>
      <w:suff w:val="nothing"/>
      <w:lvlText w:val="%1.%2　"/>
      <w:lvlJc w:val="left"/>
      <w:rPr>
        <w:rFonts w:hint="eastAsia" w:ascii="黑体" w:eastAsia="黑体" w:cs="Times New Roman"/>
        <w:b w:val="0"/>
        <w:i w:val="0"/>
        <w:sz w:val="21"/>
      </w:rPr>
    </w:lvl>
    <w:lvl w:ilvl="2" w:tentative="0">
      <w:start w:val="1"/>
      <w:numFmt w:val="decimal"/>
      <w:pStyle w:val="79"/>
      <w:suff w:val="nothing"/>
      <w:lvlText w:val="%1.%2.%3　"/>
      <w:lvlJc w:val="left"/>
      <w:rPr>
        <w:rFonts w:hint="eastAsia" w:ascii="黑体" w:eastAsia="黑体" w:cs="Times New Roman"/>
        <w:b w:val="0"/>
        <w:i w:val="0"/>
        <w:sz w:val="21"/>
      </w:rPr>
    </w:lvl>
    <w:lvl w:ilvl="3" w:tentative="0">
      <w:start w:val="1"/>
      <w:numFmt w:val="decimal"/>
      <w:pStyle w:val="81"/>
      <w:suff w:val="nothing"/>
      <w:lvlText w:val="%1.%2.%3.%4　"/>
      <w:lvlJc w:val="left"/>
      <w:rPr>
        <w:rFonts w:hint="eastAsia" w:ascii="黑体" w:eastAsia="黑体" w:cs="Times New Roman"/>
        <w:b w:val="0"/>
        <w:i w:val="0"/>
        <w:sz w:val="21"/>
      </w:rPr>
    </w:lvl>
    <w:lvl w:ilvl="4" w:tentative="0">
      <w:start w:val="1"/>
      <w:numFmt w:val="decimal"/>
      <w:pStyle w:val="82"/>
      <w:suff w:val="nothing"/>
      <w:lvlText w:val="%1.%2.%3.%4.%5　"/>
      <w:lvlJc w:val="left"/>
      <w:rPr>
        <w:rFonts w:hint="eastAsia" w:ascii="黑体" w:eastAsia="黑体" w:cs="Times New Roman"/>
        <w:b w:val="0"/>
        <w:i w:val="0"/>
        <w:sz w:val="21"/>
      </w:rPr>
    </w:lvl>
    <w:lvl w:ilvl="5" w:tentative="0">
      <w:start w:val="1"/>
      <w:numFmt w:val="decimal"/>
      <w:pStyle w:val="84"/>
      <w:suff w:val="nothing"/>
      <w:lvlText w:val="%1.%2.%3.%4.%5.%6　"/>
      <w:lvlJc w:val="left"/>
      <w:rPr>
        <w:rFonts w:hint="eastAsia" w:ascii="黑体" w:eastAsia="黑体" w:cs="Times New Roman"/>
        <w:b w:val="0"/>
        <w:i w:val="0"/>
        <w:sz w:val="21"/>
      </w:rPr>
    </w:lvl>
    <w:lvl w:ilvl="6" w:tentative="0">
      <w:start w:val="1"/>
      <w:numFmt w:val="decimal"/>
      <w:suff w:val="nothing"/>
      <w:lvlText w:val="%1.%2.%3.%4.%5.%6.%7　"/>
      <w:lvlJc w:val="left"/>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5">
    <w:nsid w:val="69506ABF"/>
    <w:multiLevelType w:val="multilevel"/>
    <w:tmpl w:val="69506ABF"/>
    <w:lvl w:ilvl="0" w:tentative="0">
      <w:start w:val="1"/>
      <w:numFmt w:val="bullet"/>
      <w:pStyle w:val="188"/>
      <w:lvlText w:val=""/>
      <w:lvlJc w:val="left"/>
      <w:pPr>
        <w:ind w:left="851"/>
      </w:pPr>
      <w:rPr>
        <w:rFonts w:hint="default" w:ascii="Wingdings" w:hAnsi="Wingdings"/>
        <w:color w:val="auto"/>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7">
    <w:nsid w:val="6CE42AC1"/>
    <w:multiLevelType w:val="multilevel"/>
    <w:tmpl w:val="6CE42AC1"/>
    <w:lvl w:ilvl="0" w:tentative="0">
      <w:start w:val="1"/>
      <w:numFmt w:val="lowerLetter"/>
      <w:pStyle w:val="173"/>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8">
    <w:nsid w:val="6CEA2025"/>
    <w:multiLevelType w:val="multilevel"/>
    <w:tmpl w:val="6CEA2025"/>
    <w:lvl w:ilvl="0" w:tentative="0">
      <w:start w:val="1"/>
      <w:numFmt w:val="none"/>
      <w:pStyle w:val="152"/>
      <w:suff w:val="nothing"/>
      <w:lvlText w:val="%1"/>
      <w:lvlJc w:val="left"/>
      <w:rPr>
        <w:rFonts w:hint="eastAsia" w:cs="Times New Roman"/>
      </w:rPr>
    </w:lvl>
    <w:lvl w:ilvl="1" w:tentative="0">
      <w:start w:val="1"/>
      <w:numFmt w:val="decimal"/>
      <w:pStyle w:val="104"/>
      <w:suff w:val="nothing"/>
      <w:lvlText w:val="%1%2　"/>
      <w:lvlJc w:val="left"/>
      <w:rPr>
        <w:rFonts w:hint="eastAsia" w:ascii="黑体" w:eastAsia="黑体" w:cs="Times New Roman"/>
        <w:b w:val="0"/>
        <w:i w:val="0"/>
        <w:sz w:val="21"/>
      </w:rPr>
    </w:lvl>
    <w:lvl w:ilvl="2" w:tentative="0">
      <w:start w:val="1"/>
      <w:numFmt w:val="decimal"/>
      <w:pStyle w:val="105"/>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rPr>
        <w:rFonts w:hint="eastAsia" w:ascii="黑体" w:eastAsia="黑体" w:cs="Times New Roman"/>
        <w:b w:val="0"/>
        <w:i w:val="0"/>
        <w:sz w:val="21"/>
      </w:rPr>
    </w:lvl>
    <w:lvl w:ilvl="4" w:tentative="0">
      <w:start w:val="1"/>
      <w:numFmt w:val="decimal"/>
      <w:pStyle w:val="94"/>
      <w:suff w:val="nothing"/>
      <w:lvlText w:val="%1%2.%3.%4.%5　"/>
      <w:lvlJc w:val="left"/>
      <w:rPr>
        <w:rFonts w:hint="eastAsia" w:ascii="黑体" w:eastAsia="黑体" w:cs="Times New Roman"/>
        <w:b w:val="0"/>
        <w:i w:val="0"/>
        <w:sz w:val="21"/>
      </w:rPr>
    </w:lvl>
    <w:lvl w:ilvl="5" w:tentative="0">
      <w:start w:val="1"/>
      <w:numFmt w:val="decimal"/>
      <w:pStyle w:val="98"/>
      <w:suff w:val="nothing"/>
      <w:lvlText w:val="%1%2.%3.%4.%5.%6　"/>
      <w:lvlJc w:val="left"/>
      <w:rPr>
        <w:rFonts w:hint="eastAsia" w:ascii="黑体" w:eastAsia="黑体" w:cs="Times New Roman"/>
        <w:b w:val="0"/>
        <w:i w:val="0"/>
        <w:sz w:val="21"/>
      </w:rPr>
    </w:lvl>
    <w:lvl w:ilvl="6" w:tentative="0">
      <w:start w:val="1"/>
      <w:numFmt w:val="decimal"/>
      <w:pStyle w:val="103"/>
      <w:suff w:val="nothing"/>
      <w:lvlText w:val="%1%2.%3.%4.%5.%6.%7　"/>
      <w:lvlJc w:val="left"/>
      <w:rPr>
        <w:rFonts w:hint="eastAsia" w:ascii="黑体"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30">
    <w:nsid w:val="6DF35F19"/>
    <w:multiLevelType w:val="multilevel"/>
    <w:tmpl w:val="6DF35F19"/>
    <w:lvl w:ilvl="0" w:tentative="0">
      <w:start w:val="1"/>
      <w:numFmt w:val="decimal"/>
      <w:pStyle w:val="115"/>
      <w:suff w:val="nothing"/>
      <w:lvlText w:val="Tabl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forms"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2F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11E"/>
    <w:rsid w:val="000515DD"/>
    <w:rsid w:val="0005265A"/>
    <w:rsid w:val="000539DD"/>
    <w:rsid w:val="00053BD3"/>
    <w:rsid w:val="000556ED"/>
    <w:rsid w:val="00055FE2"/>
    <w:rsid w:val="0005616F"/>
    <w:rsid w:val="00060C2E"/>
    <w:rsid w:val="00061033"/>
    <w:rsid w:val="000619E9"/>
    <w:rsid w:val="000622D4"/>
    <w:rsid w:val="0006357D"/>
    <w:rsid w:val="00067F1E"/>
    <w:rsid w:val="000707E9"/>
    <w:rsid w:val="00071CC0"/>
    <w:rsid w:val="00073C8C"/>
    <w:rsid w:val="00077B64"/>
    <w:rsid w:val="00080A1C"/>
    <w:rsid w:val="00082317"/>
    <w:rsid w:val="0008332E"/>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97B"/>
    <w:rsid w:val="000B1592"/>
    <w:rsid w:val="000B1FF2"/>
    <w:rsid w:val="000B27A6"/>
    <w:rsid w:val="000B3CDA"/>
    <w:rsid w:val="000B6A0B"/>
    <w:rsid w:val="000C0F6C"/>
    <w:rsid w:val="000C11DB"/>
    <w:rsid w:val="000C1492"/>
    <w:rsid w:val="000C2FBD"/>
    <w:rsid w:val="000C4AA9"/>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68C"/>
    <w:rsid w:val="00104926"/>
    <w:rsid w:val="00113B1E"/>
    <w:rsid w:val="0011711C"/>
    <w:rsid w:val="0012059C"/>
    <w:rsid w:val="0012385B"/>
    <w:rsid w:val="00124E4F"/>
    <w:rsid w:val="001260B7"/>
    <w:rsid w:val="001265CB"/>
    <w:rsid w:val="00127008"/>
    <w:rsid w:val="001321C6"/>
    <w:rsid w:val="001325C4"/>
    <w:rsid w:val="00133010"/>
    <w:rsid w:val="001338EE"/>
    <w:rsid w:val="00133AAE"/>
    <w:rsid w:val="00135323"/>
    <w:rsid w:val="001356C4"/>
    <w:rsid w:val="001372FF"/>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65A"/>
    <w:rsid w:val="0019348F"/>
    <w:rsid w:val="00193A07"/>
    <w:rsid w:val="00194C95"/>
    <w:rsid w:val="00195C34"/>
    <w:rsid w:val="00196EF5"/>
    <w:rsid w:val="001A1A53"/>
    <w:rsid w:val="001A234A"/>
    <w:rsid w:val="001A3AB3"/>
    <w:rsid w:val="001A4CF3"/>
    <w:rsid w:val="001B06E8"/>
    <w:rsid w:val="001B28E2"/>
    <w:rsid w:val="001B6F6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A8F"/>
    <w:rsid w:val="001E096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1B8"/>
    <w:rsid w:val="00200333"/>
    <w:rsid w:val="0020107D"/>
    <w:rsid w:val="00202AA4"/>
    <w:rsid w:val="002031F7"/>
    <w:rsid w:val="002040E6"/>
    <w:rsid w:val="0020527B"/>
    <w:rsid w:val="00205F2C"/>
    <w:rsid w:val="00207D98"/>
    <w:rsid w:val="00210B15"/>
    <w:rsid w:val="002142EA"/>
    <w:rsid w:val="002166D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C1D"/>
    <w:rsid w:val="0026148A"/>
    <w:rsid w:val="00262696"/>
    <w:rsid w:val="00262EAE"/>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E36"/>
    <w:rsid w:val="002A1260"/>
    <w:rsid w:val="002A1589"/>
    <w:rsid w:val="002A1608"/>
    <w:rsid w:val="002A2020"/>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259"/>
    <w:rsid w:val="002D06C1"/>
    <w:rsid w:val="002D42B5"/>
    <w:rsid w:val="002D4F1A"/>
    <w:rsid w:val="002D6EC6"/>
    <w:rsid w:val="002D79AC"/>
    <w:rsid w:val="002E039D"/>
    <w:rsid w:val="002E1EC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2EBF"/>
    <w:rsid w:val="00324D13"/>
    <w:rsid w:val="00324D2A"/>
    <w:rsid w:val="00324EDD"/>
    <w:rsid w:val="003331E4"/>
    <w:rsid w:val="00336C64"/>
    <w:rsid w:val="00336CF0"/>
    <w:rsid w:val="00337162"/>
    <w:rsid w:val="0034194F"/>
    <w:rsid w:val="00342C82"/>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51D"/>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DA3"/>
    <w:rsid w:val="003F6272"/>
    <w:rsid w:val="00400E72"/>
    <w:rsid w:val="00401400"/>
    <w:rsid w:val="00404869"/>
    <w:rsid w:val="00405884"/>
    <w:rsid w:val="00407D39"/>
    <w:rsid w:val="00412523"/>
    <w:rsid w:val="0041440E"/>
    <w:rsid w:val="0041477A"/>
    <w:rsid w:val="004167A3"/>
    <w:rsid w:val="00426B7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72B"/>
    <w:rsid w:val="004746B1"/>
    <w:rsid w:val="0047583F"/>
    <w:rsid w:val="00475DE8"/>
    <w:rsid w:val="00481C44"/>
    <w:rsid w:val="00484936"/>
    <w:rsid w:val="004859BB"/>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2E5C"/>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A13"/>
    <w:rsid w:val="00555044"/>
    <w:rsid w:val="00561475"/>
    <w:rsid w:val="0056487B"/>
    <w:rsid w:val="00564FB9"/>
    <w:rsid w:val="00573D9E"/>
    <w:rsid w:val="00575E22"/>
    <w:rsid w:val="005801E3"/>
    <w:rsid w:val="00581802"/>
    <w:rsid w:val="00582EF7"/>
    <w:rsid w:val="005836A8"/>
    <w:rsid w:val="0058409C"/>
    <w:rsid w:val="00584262"/>
    <w:rsid w:val="00586630"/>
    <w:rsid w:val="00587ADD"/>
    <w:rsid w:val="00591E27"/>
    <w:rsid w:val="0059537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4A4"/>
    <w:rsid w:val="005E34CA"/>
    <w:rsid w:val="005E3C18"/>
    <w:rsid w:val="005E6812"/>
    <w:rsid w:val="005E71BE"/>
    <w:rsid w:val="005E7881"/>
    <w:rsid w:val="005E78E0"/>
    <w:rsid w:val="005F0D9C"/>
    <w:rsid w:val="005F1A2C"/>
    <w:rsid w:val="005F284E"/>
    <w:rsid w:val="005F4712"/>
    <w:rsid w:val="005F6CD1"/>
    <w:rsid w:val="006015CE"/>
    <w:rsid w:val="00604784"/>
    <w:rsid w:val="00606419"/>
    <w:rsid w:val="00607D29"/>
    <w:rsid w:val="00612952"/>
    <w:rsid w:val="00614CC1"/>
    <w:rsid w:val="00615A9D"/>
    <w:rsid w:val="00616C4D"/>
    <w:rsid w:val="00617387"/>
    <w:rsid w:val="006205D6"/>
    <w:rsid w:val="006252D8"/>
    <w:rsid w:val="006259BC"/>
    <w:rsid w:val="0062636B"/>
    <w:rsid w:val="00632182"/>
    <w:rsid w:val="00632AE0"/>
    <w:rsid w:val="00632EEE"/>
    <w:rsid w:val="00633C17"/>
    <w:rsid w:val="00634D9E"/>
    <w:rsid w:val="00636E3E"/>
    <w:rsid w:val="006379F7"/>
    <w:rsid w:val="00637E4D"/>
    <w:rsid w:val="00640620"/>
    <w:rsid w:val="00641A1F"/>
    <w:rsid w:val="00645904"/>
    <w:rsid w:val="006506D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913"/>
    <w:rsid w:val="006840A6"/>
    <w:rsid w:val="006850CD"/>
    <w:rsid w:val="00685AAB"/>
    <w:rsid w:val="00695D22"/>
    <w:rsid w:val="0069735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0503"/>
    <w:rsid w:val="0070151A"/>
    <w:rsid w:val="00704387"/>
    <w:rsid w:val="00707669"/>
    <w:rsid w:val="00711CBA"/>
    <w:rsid w:val="00711FB5"/>
    <w:rsid w:val="00712A01"/>
    <w:rsid w:val="00714F58"/>
    <w:rsid w:val="00716A3D"/>
    <w:rsid w:val="00717931"/>
    <w:rsid w:val="00722FBF"/>
    <w:rsid w:val="00722FC2"/>
    <w:rsid w:val="00724879"/>
    <w:rsid w:val="00724E1B"/>
    <w:rsid w:val="00725949"/>
    <w:rsid w:val="007269ED"/>
    <w:rsid w:val="00727FA2"/>
    <w:rsid w:val="00731947"/>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46F"/>
    <w:rsid w:val="007A6FD9"/>
    <w:rsid w:val="007A7FFA"/>
    <w:rsid w:val="007B04EB"/>
    <w:rsid w:val="007B0D4F"/>
    <w:rsid w:val="007B5A3D"/>
    <w:rsid w:val="007B5B95"/>
    <w:rsid w:val="007B68EA"/>
    <w:rsid w:val="007B7453"/>
    <w:rsid w:val="007C1E8B"/>
    <w:rsid w:val="007C2D89"/>
    <w:rsid w:val="007C4593"/>
    <w:rsid w:val="007C5309"/>
    <w:rsid w:val="007C544D"/>
    <w:rsid w:val="007C6069"/>
    <w:rsid w:val="007D06C4"/>
    <w:rsid w:val="007D1352"/>
    <w:rsid w:val="007D2508"/>
    <w:rsid w:val="007D2DAB"/>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BE7"/>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530"/>
    <w:rsid w:val="00895680"/>
    <w:rsid w:val="00896DFF"/>
    <w:rsid w:val="0089762C"/>
    <w:rsid w:val="008A1893"/>
    <w:rsid w:val="008A3215"/>
    <w:rsid w:val="008A57E6"/>
    <w:rsid w:val="008A603C"/>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7DE"/>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DFC"/>
    <w:rsid w:val="00991F92"/>
    <w:rsid w:val="00992985"/>
    <w:rsid w:val="00993889"/>
    <w:rsid w:val="0099551B"/>
    <w:rsid w:val="00997BF1"/>
    <w:rsid w:val="009A089C"/>
    <w:rsid w:val="009A118E"/>
    <w:rsid w:val="009A21CD"/>
    <w:rsid w:val="009A278C"/>
    <w:rsid w:val="009A2BC2"/>
    <w:rsid w:val="009A42C1"/>
    <w:rsid w:val="009A5429"/>
    <w:rsid w:val="009A72AD"/>
    <w:rsid w:val="009B04DB"/>
    <w:rsid w:val="009B09E0"/>
    <w:rsid w:val="009B0BC5"/>
    <w:rsid w:val="009B1247"/>
    <w:rsid w:val="009B6029"/>
    <w:rsid w:val="009B6971"/>
    <w:rsid w:val="009C27F1"/>
    <w:rsid w:val="009C3152"/>
    <w:rsid w:val="009C4CFA"/>
    <w:rsid w:val="009C5070"/>
    <w:rsid w:val="009D112C"/>
    <w:rsid w:val="009D1BA0"/>
    <w:rsid w:val="009D47FA"/>
    <w:rsid w:val="009D4C5B"/>
    <w:rsid w:val="009D50D2"/>
    <w:rsid w:val="009D6BCA"/>
    <w:rsid w:val="009E0F62"/>
    <w:rsid w:val="009E4A58"/>
    <w:rsid w:val="009E5A2D"/>
    <w:rsid w:val="009E5AB2"/>
    <w:rsid w:val="009E6219"/>
    <w:rsid w:val="009F03B3"/>
    <w:rsid w:val="009F2396"/>
    <w:rsid w:val="00A0096C"/>
    <w:rsid w:val="00A01757"/>
    <w:rsid w:val="00A028C0"/>
    <w:rsid w:val="00A02BAE"/>
    <w:rsid w:val="00A06A6B"/>
    <w:rsid w:val="00A07E47"/>
    <w:rsid w:val="00A129D0"/>
    <w:rsid w:val="00A12C33"/>
    <w:rsid w:val="00A138BA"/>
    <w:rsid w:val="00A14C8E"/>
    <w:rsid w:val="00A153D9"/>
    <w:rsid w:val="00A15F09"/>
    <w:rsid w:val="00A169B6"/>
    <w:rsid w:val="00A223FD"/>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98C"/>
    <w:rsid w:val="00A55BD6"/>
    <w:rsid w:val="00A55D50"/>
    <w:rsid w:val="00A56F4E"/>
    <w:rsid w:val="00A57142"/>
    <w:rsid w:val="00A648CD"/>
    <w:rsid w:val="00A6537A"/>
    <w:rsid w:val="00A66C07"/>
    <w:rsid w:val="00A67866"/>
    <w:rsid w:val="00A70B07"/>
    <w:rsid w:val="00A723F8"/>
    <w:rsid w:val="00A77CCB"/>
    <w:rsid w:val="00A83D8D"/>
    <w:rsid w:val="00A8446B"/>
    <w:rsid w:val="00A8473F"/>
    <w:rsid w:val="00A862D6"/>
    <w:rsid w:val="00A8715E"/>
    <w:rsid w:val="00A87401"/>
    <w:rsid w:val="00A9295B"/>
    <w:rsid w:val="00A93B09"/>
    <w:rsid w:val="00A94247"/>
    <w:rsid w:val="00A952D7"/>
    <w:rsid w:val="00A963F7"/>
    <w:rsid w:val="00A96AD8"/>
    <w:rsid w:val="00AA052C"/>
    <w:rsid w:val="00AA15E4"/>
    <w:rsid w:val="00AA1E45"/>
    <w:rsid w:val="00AA4286"/>
    <w:rsid w:val="00AA4562"/>
    <w:rsid w:val="00AA456B"/>
    <w:rsid w:val="00AA513A"/>
    <w:rsid w:val="00AA57F5"/>
    <w:rsid w:val="00AA672E"/>
    <w:rsid w:val="00AA6EC9"/>
    <w:rsid w:val="00AB41D5"/>
    <w:rsid w:val="00AB6309"/>
    <w:rsid w:val="00AB6C5F"/>
    <w:rsid w:val="00AB7129"/>
    <w:rsid w:val="00AB7FFA"/>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323"/>
    <w:rsid w:val="00AE37E5"/>
    <w:rsid w:val="00AE564F"/>
    <w:rsid w:val="00AE5EB4"/>
    <w:rsid w:val="00AF0C18"/>
    <w:rsid w:val="00AF47C5"/>
    <w:rsid w:val="00AF5398"/>
    <w:rsid w:val="00AF5CE9"/>
    <w:rsid w:val="00B049AF"/>
    <w:rsid w:val="00B05DB5"/>
    <w:rsid w:val="00B07242"/>
    <w:rsid w:val="00B10534"/>
    <w:rsid w:val="00B113DB"/>
    <w:rsid w:val="00B11D8A"/>
    <w:rsid w:val="00B12981"/>
    <w:rsid w:val="00B143C9"/>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225"/>
    <w:rsid w:val="00B54ABC"/>
    <w:rsid w:val="00B54DDE"/>
    <w:rsid w:val="00B56FBE"/>
    <w:rsid w:val="00B57E15"/>
    <w:rsid w:val="00B60ACF"/>
    <w:rsid w:val="00B62B58"/>
    <w:rsid w:val="00B65149"/>
    <w:rsid w:val="00B66567"/>
    <w:rsid w:val="00B66F52"/>
    <w:rsid w:val="00B66FE5"/>
    <w:rsid w:val="00B72880"/>
    <w:rsid w:val="00B758BF"/>
    <w:rsid w:val="00B76C12"/>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6C98"/>
    <w:rsid w:val="00BC1A4E"/>
    <w:rsid w:val="00BC5DC7"/>
    <w:rsid w:val="00BC6B8B"/>
    <w:rsid w:val="00BC73D8"/>
    <w:rsid w:val="00BD4686"/>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147"/>
    <w:rsid w:val="00C24C8D"/>
    <w:rsid w:val="00C25FE2"/>
    <w:rsid w:val="00C26B53"/>
    <w:rsid w:val="00C279B2"/>
    <w:rsid w:val="00C33E50"/>
    <w:rsid w:val="00C34218"/>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95B"/>
    <w:rsid w:val="00C80CB8"/>
    <w:rsid w:val="00C819F8"/>
    <w:rsid w:val="00C8248C"/>
    <w:rsid w:val="00C84E33"/>
    <w:rsid w:val="00C864FA"/>
    <w:rsid w:val="00C86D6F"/>
    <w:rsid w:val="00C905FC"/>
    <w:rsid w:val="00C92D03"/>
    <w:rsid w:val="00C9319C"/>
    <w:rsid w:val="00C9435D"/>
    <w:rsid w:val="00C94DF2"/>
    <w:rsid w:val="00C96741"/>
    <w:rsid w:val="00CA14DA"/>
    <w:rsid w:val="00CA2D1B"/>
    <w:rsid w:val="00CA375D"/>
    <w:rsid w:val="00CA5E2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D06"/>
    <w:rsid w:val="00CD2808"/>
    <w:rsid w:val="00CD28BF"/>
    <w:rsid w:val="00CD4092"/>
    <w:rsid w:val="00CD4A20"/>
    <w:rsid w:val="00CD50A1"/>
    <w:rsid w:val="00CD519E"/>
    <w:rsid w:val="00CE0C4F"/>
    <w:rsid w:val="00CE155B"/>
    <w:rsid w:val="00CE30EA"/>
    <w:rsid w:val="00CF048A"/>
    <w:rsid w:val="00CF07D0"/>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F1B"/>
    <w:rsid w:val="00D21E81"/>
    <w:rsid w:val="00D223DE"/>
    <w:rsid w:val="00D25E37"/>
    <w:rsid w:val="00D2661A"/>
    <w:rsid w:val="00D27582"/>
    <w:rsid w:val="00D27EC4"/>
    <w:rsid w:val="00D32719"/>
    <w:rsid w:val="00D33333"/>
    <w:rsid w:val="00D33457"/>
    <w:rsid w:val="00D352A2"/>
    <w:rsid w:val="00D4162B"/>
    <w:rsid w:val="00D4514F"/>
    <w:rsid w:val="00D451E2"/>
    <w:rsid w:val="00D457A3"/>
    <w:rsid w:val="00D45E89"/>
    <w:rsid w:val="00D45E8D"/>
    <w:rsid w:val="00D466AE"/>
    <w:rsid w:val="00D4734F"/>
    <w:rsid w:val="00D51BF3"/>
    <w:rsid w:val="00D66846"/>
    <w:rsid w:val="00D675FB"/>
    <w:rsid w:val="00D71F25"/>
    <w:rsid w:val="00D72A9C"/>
    <w:rsid w:val="00D77031"/>
    <w:rsid w:val="00D82274"/>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EB3"/>
    <w:rsid w:val="00DB66CA"/>
    <w:rsid w:val="00DB6BCA"/>
    <w:rsid w:val="00DB73F7"/>
    <w:rsid w:val="00DC0321"/>
    <w:rsid w:val="00DC17CD"/>
    <w:rsid w:val="00DC3067"/>
    <w:rsid w:val="00DC370B"/>
    <w:rsid w:val="00DC5B90"/>
    <w:rsid w:val="00DD00FF"/>
    <w:rsid w:val="00DD0619"/>
    <w:rsid w:val="00DD07FB"/>
    <w:rsid w:val="00DD25C6"/>
    <w:rsid w:val="00DD4FE5"/>
    <w:rsid w:val="00DD54B0"/>
    <w:rsid w:val="00DD57EE"/>
    <w:rsid w:val="00DD6BCC"/>
    <w:rsid w:val="00DE0A4B"/>
    <w:rsid w:val="00DE22C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120"/>
    <w:rsid w:val="00E15CCD"/>
    <w:rsid w:val="00E202EF"/>
    <w:rsid w:val="00E210B5"/>
    <w:rsid w:val="00E23D99"/>
    <w:rsid w:val="00E2552F"/>
    <w:rsid w:val="00E2694E"/>
    <w:rsid w:val="00E3137A"/>
    <w:rsid w:val="00E32CCF"/>
    <w:rsid w:val="00E34A98"/>
    <w:rsid w:val="00E35D1E"/>
    <w:rsid w:val="00E364F9"/>
    <w:rsid w:val="00E365FA"/>
    <w:rsid w:val="00E36789"/>
    <w:rsid w:val="00E44A83"/>
    <w:rsid w:val="00E46CF9"/>
    <w:rsid w:val="00E502C1"/>
    <w:rsid w:val="00E502DD"/>
    <w:rsid w:val="00E50D3A"/>
    <w:rsid w:val="00E50D85"/>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730"/>
    <w:rsid w:val="00E90391"/>
    <w:rsid w:val="00E906C2"/>
    <w:rsid w:val="00E91C82"/>
    <w:rsid w:val="00E9311F"/>
    <w:rsid w:val="00E934D1"/>
    <w:rsid w:val="00E94AF0"/>
    <w:rsid w:val="00E95D13"/>
    <w:rsid w:val="00E95DD3"/>
    <w:rsid w:val="00E969D5"/>
    <w:rsid w:val="00EA58D1"/>
    <w:rsid w:val="00EA61BC"/>
    <w:rsid w:val="00EA681A"/>
    <w:rsid w:val="00EA735B"/>
    <w:rsid w:val="00EB17DE"/>
    <w:rsid w:val="00EB1E69"/>
    <w:rsid w:val="00EB2086"/>
    <w:rsid w:val="00EB37EA"/>
    <w:rsid w:val="00EB5EDF"/>
    <w:rsid w:val="00EB60FE"/>
    <w:rsid w:val="00EB74DB"/>
    <w:rsid w:val="00EC5359"/>
    <w:rsid w:val="00EC562A"/>
    <w:rsid w:val="00ED067A"/>
    <w:rsid w:val="00ED1122"/>
    <w:rsid w:val="00ED2B50"/>
    <w:rsid w:val="00ED76F1"/>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7AD"/>
    <w:rsid w:val="00F420D5"/>
    <w:rsid w:val="00F451EA"/>
    <w:rsid w:val="00F45447"/>
    <w:rsid w:val="00F456C6"/>
    <w:rsid w:val="00F4577B"/>
    <w:rsid w:val="00F46496"/>
    <w:rsid w:val="00F474D0"/>
    <w:rsid w:val="00F50179"/>
    <w:rsid w:val="00F515EE"/>
    <w:rsid w:val="00F56511"/>
    <w:rsid w:val="00F6194E"/>
    <w:rsid w:val="00F623AC"/>
    <w:rsid w:val="00F6412A"/>
    <w:rsid w:val="00F6497A"/>
    <w:rsid w:val="00F65893"/>
    <w:rsid w:val="00F66A4A"/>
    <w:rsid w:val="00F709B4"/>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15E"/>
    <w:rsid w:val="00FB45F1"/>
    <w:rsid w:val="00FB4A72"/>
    <w:rsid w:val="00FB54E8"/>
    <w:rsid w:val="00FB7054"/>
    <w:rsid w:val="00FC0C95"/>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731D28FB"/>
    <w:rsid w:val="BBEBC12A"/>
    <w:rsid w:val="D5E77E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qFormat="1" w:unhideWhenUsed="0" w:uiPriority="99" w:semiHidden="0" w:name="toc 2"/>
    <w:lsdException w:unhideWhenUsed="0" w:uiPriority="99" w:semiHidden="0" w:name="toc 3"/>
    <w:lsdException w:unhideWhenUsed="0" w:uiPriority="99" w:semiHidden="0" w:name="toc 4"/>
    <w:lsdException w:qFormat="1" w:unhideWhenUsed="0" w:uiPriority="99" w:semiHidden="0" w:name="toc 5"/>
    <w:lsdException w:qFormat="1" w:unhideWhenUsed="0" w:uiPriority="99" w:semiHidden="0" w:name="toc 6"/>
    <w:lsdException w:unhideWhenUsed="0" w:uiPriority="99" w:semiHidden="0" w:name="toc 7"/>
    <w:lsdException w:uiPriority="0" w:name="toc 8"/>
    <w:lsdException w:uiPriority="0" w:name="toc 9"/>
    <w:lsdException w:unhideWhenUsed="0" w:uiPriority="99" w:semiHidden="0" w:name="Normal Indent"/>
    <w:lsdException w:unhideWhenUsed="0" w:uiPriority="99" w:name="footnote text"/>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nhideWhenUsed="0" w:uiPriority="99" w:name="table of figures"/>
    <w:lsdException w:uiPriority="99" w:name="envelope address" w:locked="1"/>
    <w:lsdException w:uiPriority="99" w:name="envelope return" w:locked="1"/>
    <w:lsdException w:unhideWhenUsed="0" w:uiPriority="99" w:name="footnote reference"/>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nhideWhenUsed="0" w:uiPriority="99" w:semiHidden="0" w:name="Table Web 3" w:locked="1"/>
    <w:lsdException w:unhideWhenUsed="0" w:uiPriority="99" w:name="Balloon Text"/>
    <w:lsdException w:unhideWhenUsed="0" w:uiPriority="99" w:semiHidden="0" w:name="Table Grid"/>
    <w:lsdException w:unhideWhenUsed="0" w:uiPriority="99" w:semiHidden="0"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35"/>
    <w:qFormat/>
    <w:uiPriority w:val="99"/>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link w:val="36"/>
    <w:qFormat/>
    <w:uiPriority w:val="99"/>
    <w:pPr>
      <w:keepNext/>
      <w:keepLines/>
      <w:spacing w:before="260" w:after="260" w:line="416" w:lineRule="auto"/>
      <w:outlineLvl w:val="2"/>
    </w:pPr>
    <w:rPr>
      <w:rFonts w:ascii="Times New Roman" w:hAnsi="Times New Roman"/>
      <w:b/>
      <w:bCs/>
      <w:kern w:val="0"/>
      <w:sz w:val="32"/>
      <w:szCs w:val="32"/>
    </w:rPr>
  </w:style>
  <w:style w:type="paragraph" w:styleId="5">
    <w:name w:val="heading 4"/>
    <w:basedOn w:val="1"/>
    <w:next w:val="1"/>
    <w:link w:val="37"/>
    <w:qFormat/>
    <w:uiPriority w:val="99"/>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link w:val="38"/>
    <w:qFormat/>
    <w:uiPriority w:val="99"/>
    <w:pPr>
      <w:keepNext/>
      <w:keepLines/>
      <w:adjustRightInd/>
      <w:spacing w:before="280" w:after="290" w:line="376" w:lineRule="auto"/>
      <w:outlineLvl w:val="4"/>
    </w:pPr>
    <w:rPr>
      <w:rFonts w:ascii="Times New Roman" w:hAnsi="Times New Roman"/>
      <w:b/>
      <w:bCs/>
      <w:kern w:val="0"/>
      <w:sz w:val="28"/>
      <w:szCs w:val="28"/>
    </w:rPr>
  </w:style>
  <w:style w:type="paragraph" w:styleId="7">
    <w:name w:val="heading 6"/>
    <w:basedOn w:val="1"/>
    <w:next w:val="1"/>
    <w:link w:val="39"/>
    <w:qFormat/>
    <w:uiPriority w:val="99"/>
    <w:pPr>
      <w:keepNext/>
      <w:keepLines/>
      <w:adjustRightInd/>
      <w:spacing w:before="240" w:after="64" w:line="320" w:lineRule="auto"/>
      <w:outlineLvl w:val="5"/>
    </w:pPr>
    <w:rPr>
      <w:rFonts w:ascii="Arial" w:hAnsi="Arial" w:eastAsia="黑体"/>
      <w:b/>
      <w:bCs/>
      <w:kern w:val="0"/>
      <w:sz w:val="24"/>
      <w:szCs w:val="24"/>
    </w:rPr>
  </w:style>
  <w:style w:type="paragraph" w:styleId="8">
    <w:name w:val="heading 7"/>
    <w:basedOn w:val="1"/>
    <w:next w:val="1"/>
    <w:link w:val="40"/>
    <w:qFormat/>
    <w:uiPriority w:val="99"/>
    <w:pPr>
      <w:keepNext/>
      <w:keepLines/>
      <w:adjustRightInd/>
      <w:spacing w:before="240" w:after="64" w:line="320" w:lineRule="auto"/>
      <w:outlineLvl w:val="6"/>
    </w:pPr>
    <w:rPr>
      <w:rFonts w:ascii="Times New Roman" w:hAnsi="Times New Roman"/>
      <w:b/>
      <w:bCs/>
      <w:kern w:val="0"/>
      <w:sz w:val="24"/>
      <w:szCs w:val="24"/>
    </w:rPr>
  </w:style>
  <w:style w:type="paragraph" w:styleId="9">
    <w:name w:val="heading 8"/>
    <w:basedOn w:val="1"/>
    <w:next w:val="1"/>
    <w:link w:val="41"/>
    <w:qFormat/>
    <w:uiPriority w:val="99"/>
    <w:pPr>
      <w:keepNext/>
      <w:keepLines/>
      <w:adjustRightInd/>
      <w:spacing w:before="240" w:after="64" w:line="320" w:lineRule="auto"/>
      <w:outlineLvl w:val="7"/>
    </w:pPr>
    <w:rPr>
      <w:rFonts w:ascii="Arial" w:hAnsi="Arial" w:eastAsia="黑体"/>
      <w:kern w:val="0"/>
      <w:sz w:val="24"/>
      <w:szCs w:val="24"/>
    </w:rPr>
  </w:style>
  <w:style w:type="paragraph" w:styleId="10">
    <w:name w:val="heading 9"/>
    <w:basedOn w:val="1"/>
    <w:next w:val="1"/>
    <w:link w:val="42"/>
    <w:qFormat/>
    <w:uiPriority w:val="99"/>
    <w:pPr>
      <w:keepNext/>
      <w:keepLines/>
      <w:adjustRightInd/>
      <w:spacing w:before="240" w:after="64" w:line="320" w:lineRule="auto"/>
      <w:outlineLvl w:val="8"/>
    </w:pPr>
    <w:rPr>
      <w:rFonts w:ascii="Arial" w:hAnsi="Arial" w:eastAsia="黑体"/>
      <w:kern w:val="0"/>
      <w:sz w:val="20"/>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iPriority w:val="99"/>
    <w:pPr>
      <w:tabs>
        <w:tab w:val="right" w:leader="dot" w:pos="9344"/>
      </w:tabs>
      <w:spacing w:line="300" w:lineRule="exact"/>
      <w:ind w:left="1259"/>
    </w:pPr>
    <w:rPr>
      <w:rFonts w:ascii="宋体"/>
    </w:rPr>
  </w:style>
  <w:style w:type="paragraph" w:styleId="12">
    <w:name w:val="Normal Indent"/>
    <w:basedOn w:val="1"/>
    <w:uiPriority w:val="99"/>
    <w:pPr>
      <w:ind w:firstLine="420"/>
    </w:pPr>
  </w:style>
  <w:style w:type="paragraph" w:styleId="13">
    <w:name w:val="Body Text"/>
    <w:basedOn w:val="1"/>
    <w:link w:val="86"/>
    <w:uiPriority w:val="99"/>
    <w:pPr>
      <w:spacing w:after="120"/>
    </w:pPr>
    <w:rPr>
      <w:rFonts w:ascii="Times New Roman" w:hAnsi="Times New Roman"/>
      <w:kern w:val="0"/>
      <w:sz w:val="20"/>
      <w:szCs w:val="20"/>
    </w:rPr>
  </w:style>
  <w:style w:type="paragraph" w:styleId="14">
    <w:name w:val="toc 5"/>
    <w:basedOn w:val="1"/>
    <w:next w:val="1"/>
    <w:autoRedefine/>
    <w:qFormat/>
    <w:uiPriority w:val="99"/>
    <w:pPr>
      <w:ind w:left="839"/>
    </w:pPr>
    <w:rPr>
      <w:rFonts w:ascii="宋体"/>
    </w:rPr>
  </w:style>
  <w:style w:type="paragraph" w:styleId="15">
    <w:name w:val="toc 3"/>
    <w:basedOn w:val="1"/>
    <w:next w:val="1"/>
    <w:autoRedefine/>
    <w:uiPriority w:val="99"/>
    <w:pPr>
      <w:spacing w:line="300" w:lineRule="exact"/>
      <w:ind w:left="420"/>
    </w:pPr>
    <w:rPr>
      <w:rFonts w:ascii="宋体"/>
    </w:rPr>
  </w:style>
  <w:style w:type="paragraph" w:styleId="16">
    <w:name w:val="Balloon Text"/>
    <w:basedOn w:val="1"/>
    <w:link w:val="45"/>
    <w:semiHidden/>
    <w:uiPriority w:val="99"/>
    <w:rPr>
      <w:kern w:val="0"/>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18">
    <w:name w:val="header"/>
    <w:basedOn w:val="1"/>
    <w:link w:val="43"/>
    <w:uiPriority w:val="99"/>
    <w:pPr>
      <w:tabs>
        <w:tab w:val="center" w:pos="4153"/>
        <w:tab w:val="right" w:pos="8306"/>
      </w:tabs>
      <w:adjustRightInd/>
      <w:snapToGrid w:val="0"/>
      <w:jc w:val="center"/>
    </w:pPr>
    <w:rPr>
      <w:rFonts w:ascii="Times New Roman" w:hAnsi="Times New Roman"/>
      <w:kern w:val="0"/>
      <w:sz w:val="18"/>
      <w:szCs w:val="18"/>
    </w:rPr>
  </w:style>
  <w:style w:type="paragraph" w:styleId="19">
    <w:name w:val="toc 1"/>
    <w:basedOn w:val="1"/>
    <w:next w:val="1"/>
    <w:autoRedefine/>
    <w:uiPriority w:val="99"/>
    <w:rPr>
      <w:rFonts w:ascii="宋体"/>
    </w:rPr>
  </w:style>
  <w:style w:type="paragraph" w:styleId="20">
    <w:name w:val="toc 4"/>
    <w:basedOn w:val="1"/>
    <w:next w:val="1"/>
    <w:autoRedefine/>
    <w:uiPriority w:val="99"/>
    <w:pPr>
      <w:tabs>
        <w:tab w:val="right" w:leader="dot" w:pos="9344"/>
      </w:tabs>
      <w:spacing w:line="300" w:lineRule="exact"/>
      <w:ind w:left="629"/>
    </w:pPr>
    <w:rPr>
      <w:rFonts w:ascii="宋体"/>
    </w:rPr>
  </w:style>
  <w:style w:type="paragraph" w:styleId="21">
    <w:name w:val="footnote text"/>
    <w:basedOn w:val="1"/>
    <w:next w:val="1"/>
    <w:link w:val="99"/>
    <w:semiHidden/>
    <w:uiPriority w:val="99"/>
    <w:pPr>
      <w:adjustRightInd/>
      <w:snapToGrid w:val="0"/>
      <w:spacing w:line="300" w:lineRule="exact"/>
      <w:ind w:left="400" w:leftChars="200" w:hanging="200" w:hangingChars="200"/>
      <w:jc w:val="left"/>
    </w:pPr>
    <w:rPr>
      <w:rFonts w:ascii="宋体" w:hAnsi="Times New Roman"/>
      <w:kern w:val="0"/>
      <w:sz w:val="18"/>
      <w:szCs w:val="18"/>
    </w:rPr>
  </w:style>
  <w:style w:type="paragraph" w:styleId="22">
    <w:name w:val="toc 6"/>
    <w:basedOn w:val="1"/>
    <w:next w:val="1"/>
    <w:autoRedefine/>
    <w:qFormat/>
    <w:uiPriority w:val="99"/>
    <w:pPr>
      <w:spacing w:line="300" w:lineRule="exact"/>
      <w:ind w:left="1049"/>
    </w:pPr>
    <w:rPr>
      <w:rFonts w:ascii="宋体"/>
    </w:rPr>
  </w:style>
  <w:style w:type="paragraph" w:styleId="23">
    <w:name w:val="table of figures"/>
    <w:basedOn w:val="1"/>
    <w:next w:val="1"/>
    <w:semiHidden/>
    <w:uiPriority w:val="99"/>
    <w:pPr>
      <w:adjustRightInd/>
      <w:spacing w:line="240" w:lineRule="auto"/>
      <w:jc w:val="left"/>
    </w:pPr>
    <w:rPr>
      <w:szCs w:val="24"/>
    </w:rPr>
  </w:style>
  <w:style w:type="paragraph" w:styleId="24">
    <w:name w:val="toc 2"/>
    <w:basedOn w:val="1"/>
    <w:next w:val="1"/>
    <w:autoRedefine/>
    <w:qFormat/>
    <w:uiPriority w:val="99"/>
    <w:pPr>
      <w:tabs>
        <w:tab w:val="right" w:leader="dot" w:pos="9344"/>
      </w:tabs>
      <w:spacing w:line="300" w:lineRule="exact"/>
      <w:ind w:left="210"/>
    </w:pPr>
    <w:rPr>
      <w:rFonts w:ascii="宋体"/>
    </w:rPr>
  </w:style>
  <w:style w:type="paragraph" w:styleId="25">
    <w:name w:val="Title"/>
    <w:basedOn w:val="1"/>
    <w:link w:val="48"/>
    <w:qFormat/>
    <w:uiPriority w:val="99"/>
    <w:pPr>
      <w:spacing w:before="240" w:after="60"/>
      <w:jc w:val="center"/>
      <w:outlineLvl w:val="0"/>
    </w:pPr>
    <w:rPr>
      <w:rFonts w:ascii="Arial" w:hAnsi="Arial"/>
      <w:b/>
      <w:bCs/>
      <w:kern w:val="0"/>
      <w:sz w:val="32"/>
      <w:szCs w:val="32"/>
    </w:rPr>
  </w:style>
  <w:style w:type="table" w:styleId="27">
    <w:name w:val="Table Grid"/>
    <w:basedOn w:val="26"/>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99"/>
    <w:rPr>
      <w:rFonts w:cs="Times New Roman"/>
      <w:b/>
    </w:rPr>
  </w:style>
  <w:style w:type="character" w:styleId="30">
    <w:name w:val="page number"/>
    <w:uiPriority w:val="99"/>
    <w:rPr>
      <w:rFonts w:ascii="宋体" w:hAnsi="Times New Roman" w:eastAsia="宋体" w:cs="Times New Roman"/>
      <w:sz w:val="18"/>
    </w:rPr>
  </w:style>
  <w:style w:type="character" w:styleId="31">
    <w:name w:val="Emphasis"/>
    <w:qFormat/>
    <w:uiPriority w:val="99"/>
    <w:rPr>
      <w:rFonts w:cs="Times New Roman"/>
      <w:i/>
    </w:rPr>
  </w:style>
  <w:style w:type="character" w:styleId="32">
    <w:name w:val="Hyperlink"/>
    <w:qFormat/>
    <w:uiPriority w:val="99"/>
    <w:rPr>
      <w:rFonts w:ascii="宋体" w:hAnsi="Times New Roman" w:eastAsia="宋体" w:cs="Times New Roman"/>
      <w:color w:val="auto"/>
      <w:spacing w:val="0"/>
      <w:w w:val="100"/>
      <w:position w:val="0"/>
      <w:sz w:val="21"/>
      <w:u w:val="none"/>
      <w:vertAlign w:val="baseline"/>
    </w:rPr>
  </w:style>
  <w:style w:type="character" w:styleId="33">
    <w:name w:val="footnote reference"/>
    <w:semiHidden/>
    <w:uiPriority w:val="99"/>
    <w:rPr>
      <w:rFonts w:ascii="宋体" w:hAnsi="宋体" w:eastAsia="宋体" w:cs="Times New Roman"/>
      <w:spacing w:val="0"/>
      <w:sz w:val="18"/>
      <w:vertAlign w:val="superscript"/>
    </w:rPr>
  </w:style>
  <w:style w:type="character" w:customStyle="1" w:styleId="34">
    <w:name w:val="标题 1 字符"/>
    <w:link w:val="2"/>
    <w:qFormat/>
    <w:locked/>
    <w:uiPriority w:val="99"/>
    <w:rPr>
      <w:rFonts w:ascii="Times New Roman" w:hAnsi="Times New Roman" w:eastAsia="宋体" w:cs="Times New Roman"/>
      <w:b/>
      <w:kern w:val="44"/>
      <w:sz w:val="44"/>
    </w:rPr>
  </w:style>
  <w:style w:type="character" w:customStyle="1" w:styleId="35">
    <w:name w:val="标题 2 字符"/>
    <w:link w:val="3"/>
    <w:locked/>
    <w:uiPriority w:val="99"/>
    <w:rPr>
      <w:rFonts w:ascii="Arial" w:hAnsi="Arial" w:eastAsia="黑体" w:cs="Times New Roman"/>
      <w:b/>
      <w:sz w:val="32"/>
    </w:rPr>
  </w:style>
  <w:style w:type="character" w:customStyle="1" w:styleId="36">
    <w:name w:val="标题 3 字符"/>
    <w:link w:val="4"/>
    <w:qFormat/>
    <w:locked/>
    <w:uiPriority w:val="99"/>
    <w:rPr>
      <w:rFonts w:ascii="Times New Roman" w:hAnsi="Times New Roman" w:eastAsia="宋体" w:cs="Times New Roman"/>
      <w:b/>
      <w:sz w:val="32"/>
    </w:rPr>
  </w:style>
  <w:style w:type="character" w:customStyle="1" w:styleId="37">
    <w:name w:val="标题 4 字符"/>
    <w:link w:val="5"/>
    <w:locked/>
    <w:uiPriority w:val="99"/>
    <w:rPr>
      <w:rFonts w:ascii="Arial" w:hAnsi="Arial" w:eastAsia="黑体" w:cs="Times New Roman"/>
      <w:b/>
      <w:sz w:val="28"/>
    </w:rPr>
  </w:style>
  <w:style w:type="character" w:customStyle="1" w:styleId="38">
    <w:name w:val="标题 5 字符"/>
    <w:link w:val="6"/>
    <w:qFormat/>
    <w:locked/>
    <w:uiPriority w:val="99"/>
    <w:rPr>
      <w:rFonts w:ascii="Times New Roman" w:hAnsi="Times New Roman" w:eastAsia="宋体" w:cs="Times New Roman"/>
      <w:b/>
      <w:sz w:val="28"/>
    </w:rPr>
  </w:style>
  <w:style w:type="character" w:customStyle="1" w:styleId="39">
    <w:name w:val="标题 6 字符"/>
    <w:link w:val="7"/>
    <w:locked/>
    <w:uiPriority w:val="99"/>
    <w:rPr>
      <w:rFonts w:ascii="Arial" w:hAnsi="Arial" w:eastAsia="黑体" w:cs="Times New Roman"/>
      <w:b/>
      <w:sz w:val="24"/>
    </w:rPr>
  </w:style>
  <w:style w:type="character" w:customStyle="1" w:styleId="40">
    <w:name w:val="标题 7 字符"/>
    <w:link w:val="8"/>
    <w:locked/>
    <w:uiPriority w:val="99"/>
    <w:rPr>
      <w:rFonts w:ascii="Times New Roman" w:hAnsi="Times New Roman" w:eastAsia="宋体" w:cs="Times New Roman"/>
      <w:b/>
      <w:sz w:val="24"/>
    </w:rPr>
  </w:style>
  <w:style w:type="character" w:customStyle="1" w:styleId="41">
    <w:name w:val="标题 8 字符"/>
    <w:link w:val="9"/>
    <w:locked/>
    <w:uiPriority w:val="99"/>
    <w:rPr>
      <w:rFonts w:ascii="Arial" w:hAnsi="Arial" w:eastAsia="黑体" w:cs="Times New Roman"/>
      <w:sz w:val="24"/>
    </w:rPr>
  </w:style>
  <w:style w:type="character" w:customStyle="1" w:styleId="42">
    <w:name w:val="标题 9 字符"/>
    <w:link w:val="10"/>
    <w:locked/>
    <w:uiPriority w:val="99"/>
    <w:rPr>
      <w:rFonts w:ascii="Arial" w:hAnsi="Arial" w:eastAsia="黑体" w:cs="Times New Roman"/>
      <w:sz w:val="21"/>
    </w:rPr>
  </w:style>
  <w:style w:type="character" w:customStyle="1" w:styleId="43">
    <w:name w:val="页眉 字符"/>
    <w:link w:val="18"/>
    <w:qFormat/>
    <w:locked/>
    <w:uiPriority w:val="99"/>
    <w:rPr>
      <w:rFonts w:ascii="Times New Roman" w:hAnsi="Times New Roman" w:eastAsia="宋体" w:cs="Times New Roman"/>
      <w:sz w:val="18"/>
    </w:rPr>
  </w:style>
  <w:style w:type="character" w:customStyle="1" w:styleId="44">
    <w:name w:val="页脚 字符"/>
    <w:link w:val="17"/>
    <w:qFormat/>
    <w:locked/>
    <w:uiPriority w:val="99"/>
    <w:rPr>
      <w:rFonts w:ascii="宋体" w:hAnsi="Times New Roman" w:eastAsia="宋体" w:cs="Times New Roman"/>
      <w:sz w:val="18"/>
    </w:rPr>
  </w:style>
  <w:style w:type="character" w:customStyle="1" w:styleId="45">
    <w:name w:val="批注框文本 字符"/>
    <w:link w:val="16"/>
    <w:semiHidden/>
    <w:qFormat/>
    <w:locked/>
    <w:uiPriority w:val="99"/>
    <w:rPr>
      <w:rFonts w:cs="Times New Roman"/>
      <w:sz w:val="18"/>
    </w:rPr>
  </w:style>
  <w:style w:type="paragraph" w:styleId="46">
    <w:name w:val="Quote"/>
    <w:basedOn w:val="1"/>
    <w:next w:val="1"/>
    <w:link w:val="47"/>
    <w:qFormat/>
    <w:uiPriority w:val="99"/>
    <w:rPr>
      <w:i/>
      <w:iCs/>
      <w:color w:val="000000"/>
      <w:kern w:val="0"/>
      <w:sz w:val="20"/>
      <w:szCs w:val="20"/>
    </w:rPr>
  </w:style>
  <w:style w:type="character" w:customStyle="1" w:styleId="47">
    <w:name w:val="引用 字符"/>
    <w:link w:val="46"/>
    <w:qFormat/>
    <w:locked/>
    <w:uiPriority w:val="99"/>
    <w:rPr>
      <w:rFonts w:cs="Times New Roman"/>
      <w:i/>
      <w:color w:val="000000"/>
    </w:rPr>
  </w:style>
  <w:style w:type="character" w:customStyle="1" w:styleId="48">
    <w:name w:val="标题 字符"/>
    <w:link w:val="25"/>
    <w:qFormat/>
    <w:locked/>
    <w:uiPriority w:val="99"/>
    <w:rPr>
      <w:rFonts w:ascii="Arial" w:hAnsi="Arial" w:eastAsia="宋体" w:cs="Times New Roman"/>
      <w:b/>
      <w:sz w:val="32"/>
    </w:rPr>
  </w:style>
  <w:style w:type="paragraph" w:customStyle="1" w:styleId="49">
    <w:name w:val="标准标志"/>
    <w:next w:val="1"/>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99"/>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99"/>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99"/>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99"/>
    <w:pPr>
      <w:spacing w:line="240" w:lineRule="atLeast"/>
    </w:pPr>
    <w:rPr>
      <w:rFonts w:ascii="黑体" w:hAnsi="宋体" w:eastAsia="黑体"/>
    </w:rPr>
  </w:style>
  <w:style w:type="paragraph" w:customStyle="1" w:styleId="55">
    <w:name w:val="标准文件_标准正文"/>
    <w:basedOn w:val="1"/>
    <w:next w:val="56"/>
    <w:qFormat/>
    <w:uiPriority w:val="99"/>
    <w:pPr>
      <w:snapToGrid w:val="0"/>
      <w:ind w:firstLine="200" w:firstLineChars="200"/>
    </w:pPr>
    <w:rPr>
      <w:kern w:val="0"/>
    </w:rPr>
  </w:style>
  <w:style w:type="paragraph" w:customStyle="1" w:styleId="56">
    <w:name w:val="标准文件_段"/>
    <w:link w:val="184"/>
    <w:qFormat/>
    <w:uiPriority w:val="99"/>
    <w:pPr>
      <w:autoSpaceDE w:val="0"/>
      <w:autoSpaceDN w:val="0"/>
      <w:ind w:firstLine="200" w:firstLineChars="200"/>
      <w:jc w:val="both"/>
    </w:pPr>
    <w:rPr>
      <w:rFonts w:ascii="宋体" w:hAnsi="Times New Roman" w:eastAsia="宋体" w:cs="Times New Roman"/>
      <w:sz w:val="22"/>
      <w:szCs w:val="22"/>
      <w:lang w:val="en-US" w:eastAsia="zh-CN" w:bidi="ar-SA"/>
    </w:rPr>
  </w:style>
  <w:style w:type="paragraph" w:customStyle="1" w:styleId="57">
    <w:name w:val="标准文件_版本"/>
    <w:basedOn w:val="55"/>
    <w:qFormat/>
    <w:uiPriority w:val="99"/>
    <w:pPr>
      <w:adjustRightInd/>
      <w:snapToGrid/>
      <w:ind w:firstLine="0" w:firstLineChars="0"/>
    </w:pPr>
    <w:rPr>
      <w:rFonts w:ascii="宋体" w:hAnsi="宋体"/>
      <w:kern w:val="2"/>
    </w:rPr>
  </w:style>
  <w:style w:type="paragraph" w:customStyle="1" w:styleId="58">
    <w:name w:val="标准文件_标准部门"/>
    <w:basedOn w:val="1"/>
    <w:qFormat/>
    <w:uiPriority w:val="99"/>
    <w:pPr>
      <w:jc w:val="center"/>
    </w:pPr>
    <w:rPr>
      <w:rFonts w:ascii="黑体" w:eastAsia="黑体"/>
      <w:kern w:val="0"/>
      <w:sz w:val="44"/>
    </w:rPr>
  </w:style>
  <w:style w:type="paragraph" w:customStyle="1" w:styleId="59">
    <w:name w:val="标准文件_标准代替"/>
    <w:basedOn w:val="1"/>
    <w:next w:val="1"/>
    <w:qFormat/>
    <w:uiPriority w:val="99"/>
    <w:pPr>
      <w:spacing w:line="310" w:lineRule="exact"/>
      <w:jc w:val="right"/>
    </w:pPr>
    <w:rPr>
      <w:rFonts w:ascii="宋体" w:hAnsi="宋体"/>
      <w:kern w:val="0"/>
    </w:rPr>
  </w:style>
  <w:style w:type="paragraph" w:customStyle="1" w:styleId="60">
    <w:name w:val="标准文件_标准名称标题"/>
    <w:basedOn w:val="1"/>
    <w:next w:val="1"/>
    <w:qFormat/>
    <w:uiPriority w:val="99"/>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99"/>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99"/>
    <w:pPr>
      <w:jc w:val="left"/>
    </w:pPr>
  </w:style>
  <w:style w:type="paragraph" w:customStyle="1" w:styleId="63">
    <w:name w:val="标准文件_参考文献标题"/>
    <w:basedOn w:val="1"/>
    <w:next w:val="1"/>
    <w:qFormat/>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99"/>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99"/>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99"/>
    <w:rPr>
      <w:rFonts w:ascii="黑体" w:eastAsia="黑体"/>
      <w:spacing w:val="0"/>
      <w:w w:val="100"/>
      <w:position w:val="3"/>
      <w:sz w:val="28"/>
    </w:rPr>
  </w:style>
  <w:style w:type="paragraph" w:customStyle="1" w:styleId="67">
    <w:name w:val="标准文件_方框数字列项"/>
    <w:basedOn w:val="56"/>
    <w:uiPriority w:val="99"/>
    <w:pPr>
      <w:numPr>
        <w:ilvl w:val="0"/>
        <w:numId w:val="3"/>
      </w:numPr>
      <w:ind w:firstLine="0" w:firstLineChars="0"/>
    </w:pPr>
  </w:style>
  <w:style w:type="paragraph" w:customStyle="1" w:styleId="68">
    <w:name w:val="标准文件_封面标准编号"/>
    <w:basedOn w:val="1"/>
    <w:next w:val="59"/>
    <w:qFormat/>
    <w:uiPriority w:val="99"/>
    <w:pPr>
      <w:spacing w:line="310" w:lineRule="exact"/>
      <w:jc w:val="right"/>
    </w:pPr>
    <w:rPr>
      <w:rFonts w:ascii="黑体" w:eastAsia="黑体"/>
      <w:kern w:val="0"/>
      <w:sz w:val="28"/>
    </w:rPr>
  </w:style>
  <w:style w:type="paragraph" w:customStyle="1" w:styleId="69">
    <w:name w:val="标准文件_封面标准分类号"/>
    <w:basedOn w:val="1"/>
    <w:qFormat/>
    <w:uiPriority w:val="99"/>
    <w:rPr>
      <w:rFonts w:ascii="黑体" w:eastAsia="黑体"/>
      <w:b/>
      <w:kern w:val="0"/>
      <w:sz w:val="28"/>
    </w:rPr>
  </w:style>
  <w:style w:type="paragraph" w:customStyle="1" w:styleId="70">
    <w:name w:val="标准文件_封面标准名称"/>
    <w:basedOn w:val="1"/>
    <w:qFormat/>
    <w:uiPriority w:val="99"/>
    <w:pPr>
      <w:spacing w:line="240" w:lineRule="auto"/>
      <w:jc w:val="center"/>
    </w:pPr>
    <w:rPr>
      <w:rFonts w:ascii="黑体" w:eastAsia="黑体"/>
      <w:kern w:val="0"/>
      <w:sz w:val="52"/>
    </w:rPr>
  </w:style>
  <w:style w:type="paragraph" w:customStyle="1" w:styleId="71">
    <w:name w:val="标准文件_封面标准英文名称"/>
    <w:basedOn w:val="1"/>
    <w:qFormat/>
    <w:uiPriority w:val="99"/>
    <w:pPr>
      <w:spacing w:line="240" w:lineRule="auto"/>
      <w:jc w:val="center"/>
    </w:pPr>
    <w:rPr>
      <w:rFonts w:ascii="黑体" w:eastAsia="黑体"/>
      <w:b/>
      <w:sz w:val="28"/>
    </w:rPr>
  </w:style>
  <w:style w:type="paragraph" w:customStyle="1" w:styleId="72">
    <w:name w:val="标准文件_封面发布日期"/>
    <w:basedOn w:val="1"/>
    <w:qFormat/>
    <w:uiPriority w:val="99"/>
    <w:pPr>
      <w:spacing w:line="310" w:lineRule="exact"/>
    </w:pPr>
    <w:rPr>
      <w:rFonts w:ascii="黑体" w:eastAsia="黑体"/>
      <w:kern w:val="0"/>
      <w:sz w:val="28"/>
    </w:rPr>
  </w:style>
  <w:style w:type="paragraph" w:customStyle="1" w:styleId="73">
    <w:name w:val="标准文件_封面密级"/>
    <w:basedOn w:val="1"/>
    <w:qFormat/>
    <w:uiPriority w:val="99"/>
    <w:rPr>
      <w:rFonts w:eastAsia="黑体"/>
      <w:sz w:val="32"/>
    </w:rPr>
  </w:style>
  <w:style w:type="paragraph" w:customStyle="1" w:styleId="74">
    <w:name w:val="标准文件_封面实施日期"/>
    <w:basedOn w:val="1"/>
    <w:qFormat/>
    <w:uiPriority w:val="99"/>
    <w:pPr>
      <w:spacing w:line="310" w:lineRule="exact"/>
      <w:jc w:val="right"/>
    </w:pPr>
    <w:rPr>
      <w:rFonts w:ascii="黑体" w:eastAsia="黑体"/>
      <w:sz w:val="28"/>
    </w:rPr>
  </w:style>
  <w:style w:type="paragraph" w:customStyle="1" w:styleId="75">
    <w:name w:val="标准文件_封面抬头"/>
    <w:basedOn w:val="56"/>
    <w:qFormat/>
    <w:uiPriority w:val="99"/>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99"/>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99"/>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99"/>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99"/>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99"/>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99"/>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99"/>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99"/>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99"/>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locked/>
    <w:uiPriority w:val="99"/>
    <w:rPr>
      <w:rFonts w:ascii="Times New Roman" w:hAnsi="Times New Roman" w:eastAsia="宋体" w:cs="Times New Roman"/>
      <w:sz w:val="20"/>
    </w:rPr>
  </w:style>
  <w:style w:type="paragraph" w:customStyle="1" w:styleId="87">
    <w:name w:val="标准文件_附录章标题"/>
    <w:next w:val="56"/>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99"/>
    <w:pPr>
      <w:ind w:left="488" w:leftChars="200" w:hanging="289" w:hangingChars="290"/>
    </w:pPr>
  </w:style>
  <w:style w:type="paragraph" w:customStyle="1" w:styleId="89">
    <w:name w:val="标准文件_前言、引言标题"/>
    <w:next w:val="1"/>
    <w:uiPriority w:val="99"/>
    <w:pPr>
      <w:numPr>
        <w:ilvl w:val="0"/>
        <w:numId w:val="8"/>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99"/>
    <w:pPr>
      <w:spacing w:line="460" w:lineRule="exact"/>
    </w:pPr>
  </w:style>
  <w:style w:type="paragraph" w:customStyle="1" w:styleId="91">
    <w:name w:val="标准文件_目录标题"/>
    <w:basedOn w:val="1"/>
    <w:qFormat/>
    <w:uiPriority w:val="99"/>
    <w:pPr>
      <w:spacing w:afterLines="150" w:line="240" w:lineRule="auto"/>
      <w:jc w:val="center"/>
    </w:pPr>
    <w:rPr>
      <w:rFonts w:ascii="黑体" w:eastAsia="黑体"/>
      <w:sz w:val="32"/>
    </w:rPr>
  </w:style>
  <w:style w:type="paragraph" w:customStyle="1" w:styleId="92">
    <w:name w:val="标准文件_破折号列项"/>
    <w:uiPriority w:val="99"/>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99"/>
    <w:pPr>
      <w:numPr>
        <w:numId w:val="10"/>
      </w:numPr>
      <w:ind w:firstLine="200"/>
    </w:pPr>
  </w:style>
  <w:style w:type="paragraph" w:customStyle="1" w:styleId="94">
    <w:name w:val="标准文件_三级条标题"/>
    <w:basedOn w:val="65"/>
    <w:next w:val="56"/>
    <w:uiPriority w:val="99"/>
    <w:pPr>
      <w:widowControl/>
      <w:numPr>
        <w:ilvl w:val="4"/>
      </w:numPr>
      <w:outlineLvl w:val="3"/>
    </w:pPr>
  </w:style>
  <w:style w:type="character" w:customStyle="1" w:styleId="95">
    <w:name w:val="不明显参考1"/>
    <w:qFormat/>
    <w:uiPriority w:val="99"/>
    <w:rPr>
      <w:rFonts w:cs="Times New Roman"/>
      <w:smallCaps/>
      <w:color w:val="C0504D"/>
      <w:u w:val="single"/>
    </w:rPr>
  </w:style>
  <w:style w:type="paragraph" w:customStyle="1" w:styleId="96">
    <w:name w:val="标准文件_示例后续"/>
    <w:basedOn w:val="1"/>
    <w:uiPriority w:val="99"/>
    <w:pPr>
      <w:adjustRightInd/>
      <w:spacing w:line="240" w:lineRule="auto"/>
      <w:ind w:firstLine="200" w:firstLineChars="200"/>
    </w:pPr>
    <w:rPr>
      <w:sz w:val="18"/>
      <w:szCs w:val="24"/>
    </w:rPr>
  </w:style>
  <w:style w:type="paragraph" w:customStyle="1" w:styleId="97">
    <w:name w:val="标准文件_数字编号列项"/>
    <w:qFormat/>
    <w:uiPriority w:val="99"/>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99"/>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locked/>
    <w:uiPriority w:val="99"/>
    <w:rPr>
      <w:rFonts w:ascii="宋体" w:hAnsi="Times New Roman" w:eastAsia="宋体" w:cs="Times New Roman"/>
      <w:sz w:val="18"/>
    </w:rPr>
  </w:style>
  <w:style w:type="paragraph" w:customStyle="1" w:styleId="100">
    <w:name w:val="标准文件_条文脚注"/>
    <w:basedOn w:val="21"/>
    <w:uiPriority w:val="99"/>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99"/>
    <w:pPr>
      <w:numPr>
        <w:ilvl w:val="0"/>
        <w:numId w:val="12"/>
      </w:numPr>
      <w:spacing w:line="240" w:lineRule="auto"/>
      <w:jc w:val="left"/>
    </w:pPr>
    <w:rPr>
      <w:rFonts w:ascii="宋体" w:hAnsi="宋体"/>
      <w:sz w:val="18"/>
    </w:rPr>
  </w:style>
  <w:style w:type="character" w:customStyle="1" w:styleId="102">
    <w:name w:val="标准文件_图表脚注内容"/>
    <w:uiPriority w:val="99"/>
    <w:rPr>
      <w:rFonts w:ascii="宋体" w:hAnsi="宋体" w:eastAsia="宋体"/>
      <w:spacing w:val="0"/>
      <w:sz w:val="18"/>
      <w:vertAlign w:val="superscript"/>
    </w:rPr>
  </w:style>
  <w:style w:type="paragraph" w:customStyle="1" w:styleId="103">
    <w:name w:val="标准文件_五级条标题"/>
    <w:next w:val="56"/>
    <w:uiPriority w:val="99"/>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99"/>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99"/>
    <w:pPr>
      <w:numPr>
        <w:ilvl w:val="2"/>
      </w:numPr>
      <w:spacing w:beforeLines="50" w:afterLines="50"/>
      <w:outlineLvl w:val="1"/>
    </w:pPr>
  </w:style>
  <w:style w:type="paragraph" w:customStyle="1" w:styleId="106">
    <w:name w:val="标准文件_一致程度"/>
    <w:basedOn w:val="1"/>
    <w:uiPriority w:val="99"/>
    <w:pPr>
      <w:spacing w:line="440" w:lineRule="exact"/>
      <w:jc w:val="center"/>
    </w:pPr>
    <w:rPr>
      <w:sz w:val="28"/>
    </w:rPr>
  </w:style>
  <w:style w:type="paragraph" w:customStyle="1" w:styleId="107">
    <w:name w:val="标准文件_引言标题"/>
    <w:next w:val="1"/>
    <w:uiPriority w:val="99"/>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99"/>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99"/>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99"/>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99"/>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99"/>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99"/>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99"/>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99"/>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99"/>
    <w:pPr>
      <w:numPr>
        <w:ilvl w:val="3"/>
        <w:numId w:val="20"/>
      </w:numPr>
      <w:adjustRightInd/>
      <w:spacing w:line="240" w:lineRule="auto"/>
    </w:pPr>
    <w:rPr>
      <w:rFonts w:ascii="宋体" w:hAnsi="宋体"/>
      <w:szCs w:val="24"/>
    </w:rPr>
  </w:style>
  <w:style w:type="paragraph" w:customStyle="1" w:styleId="119">
    <w:name w:val="发布部门"/>
    <w:next w:val="56"/>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99"/>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99"/>
    <w:pPr>
      <w:outlineLvl w:val="4"/>
    </w:pPr>
  </w:style>
  <w:style w:type="paragraph" w:customStyle="1" w:styleId="130">
    <w:name w:val="附录四级无标题条"/>
    <w:basedOn w:val="129"/>
    <w:next w:val="56"/>
    <w:qFormat/>
    <w:uiPriority w:val="99"/>
    <w:pPr>
      <w:outlineLvl w:val="5"/>
    </w:pPr>
  </w:style>
  <w:style w:type="paragraph" w:customStyle="1" w:styleId="131">
    <w:name w:val="附录图"/>
    <w:next w:val="56"/>
    <w:qFormat/>
    <w:uiPriority w:val="99"/>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99"/>
    <w:pPr>
      <w:numPr>
        <w:ilvl w:val="0"/>
        <w:numId w:val="21"/>
      </w:numPr>
      <w:tabs>
        <w:tab w:val="left" w:pos="851"/>
      </w:tabs>
      <w:ind w:left="851"/>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99"/>
    <w:pPr>
      <w:outlineLvl w:val="6"/>
    </w:pPr>
  </w:style>
  <w:style w:type="paragraph" w:customStyle="1" w:styleId="134">
    <w:name w:val="附录性质"/>
    <w:basedOn w:val="1"/>
    <w:qFormat/>
    <w:uiPriority w:val="99"/>
    <w:pPr>
      <w:widowControl/>
      <w:adjustRightInd/>
      <w:jc w:val="center"/>
    </w:pPr>
    <w:rPr>
      <w:rFonts w:ascii="黑体" w:eastAsia="黑体"/>
    </w:rPr>
  </w:style>
  <w:style w:type="paragraph" w:customStyle="1" w:styleId="135">
    <w:name w:val="附录一级无标题条"/>
    <w:basedOn w:val="87"/>
    <w:next w:val="56"/>
    <w:qFormat/>
    <w:uiPriority w:val="99"/>
    <w:pPr>
      <w:autoSpaceDN w:val="0"/>
      <w:outlineLvl w:val="2"/>
    </w:pPr>
    <w:rPr>
      <w:rFonts w:ascii="宋体" w:hAnsi="宋体" w:eastAsia="宋体"/>
    </w:rPr>
  </w:style>
  <w:style w:type="character" w:customStyle="1" w:styleId="136">
    <w:name w:val="个人答复风格"/>
    <w:qFormat/>
    <w:uiPriority w:val="99"/>
    <w:rPr>
      <w:rFonts w:ascii="Arial" w:hAnsi="Arial" w:eastAsia="宋体"/>
      <w:color w:val="auto"/>
      <w:spacing w:val="0"/>
      <w:sz w:val="20"/>
    </w:rPr>
  </w:style>
  <w:style w:type="character" w:customStyle="1" w:styleId="137">
    <w:name w:val="个人撰写风格"/>
    <w:qFormat/>
    <w:uiPriority w:val="99"/>
    <w:rPr>
      <w:rFonts w:ascii="Arial" w:hAnsi="Arial" w:eastAsia="宋体"/>
      <w:color w:val="auto"/>
      <w:spacing w:val="0"/>
      <w:sz w:val="20"/>
    </w:rPr>
  </w:style>
  <w:style w:type="paragraph" w:customStyle="1" w:styleId="138">
    <w:name w:val="脚注后续"/>
    <w:qFormat/>
    <w:uiPriority w:val="99"/>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99"/>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99"/>
    <w:pPr>
      <w:tabs>
        <w:tab w:val="left" w:pos="840"/>
      </w:tabs>
    </w:pPr>
  </w:style>
  <w:style w:type="paragraph" w:customStyle="1" w:styleId="141">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99"/>
    <w:pPr>
      <w:adjustRightInd/>
      <w:spacing w:line="240" w:lineRule="auto"/>
      <w:jc w:val="left"/>
    </w:pPr>
    <w:rPr>
      <w:bCs/>
      <w:iCs/>
    </w:rPr>
  </w:style>
  <w:style w:type="paragraph" w:customStyle="1" w:styleId="143">
    <w:name w:val="目录 31"/>
    <w:basedOn w:val="1"/>
    <w:next w:val="1"/>
    <w:autoRedefine/>
    <w:semiHidden/>
    <w:qFormat/>
    <w:uiPriority w:val="99"/>
    <w:pPr>
      <w:spacing w:line="240" w:lineRule="auto"/>
    </w:pPr>
    <w:rPr>
      <w:rFonts w:ascii="宋体" w:hAnsi="宋体"/>
      <w:iCs/>
    </w:rPr>
  </w:style>
  <w:style w:type="paragraph" w:customStyle="1" w:styleId="144">
    <w:name w:val="目录 41"/>
    <w:basedOn w:val="1"/>
    <w:next w:val="1"/>
    <w:autoRedefine/>
    <w:semiHidden/>
    <w:qFormat/>
    <w:uiPriority w:val="99"/>
    <w:pPr>
      <w:adjustRightInd/>
      <w:spacing w:line="240" w:lineRule="auto"/>
      <w:jc w:val="left"/>
    </w:pPr>
  </w:style>
  <w:style w:type="paragraph" w:customStyle="1" w:styleId="145">
    <w:name w:val="目录 51"/>
    <w:basedOn w:val="1"/>
    <w:next w:val="1"/>
    <w:autoRedefine/>
    <w:semiHidden/>
    <w:qFormat/>
    <w:uiPriority w:val="99"/>
    <w:pPr>
      <w:spacing w:line="240" w:lineRule="auto"/>
    </w:pPr>
    <w:rPr>
      <w:rFonts w:ascii="宋体" w:hAnsi="宋体"/>
    </w:rPr>
  </w:style>
  <w:style w:type="paragraph" w:customStyle="1" w:styleId="146">
    <w:name w:val="目录 61"/>
    <w:basedOn w:val="1"/>
    <w:next w:val="1"/>
    <w:autoRedefine/>
    <w:semiHidden/>
    <w:qFormat/>
    <w:uiPriority w:val="99"/>
    <w:pPr>
      <w:adjustRightInd/>
      <w:spacing w:line="240" w:lineRule="auto"/>
      <w:jc w:val="left"/>
    </w:pPr>
  </w:style>
  <w:style w:type="paragraph" w:customStyle="1" w:styleId="147">
    <w:name w:val="目录 71"/>
    <w:basedOn w:val="146"/>
    <w:autoRedefine/>
    <w:semiHidden/>
    <w:qFormat/>
    <w:uiPriority w:val="99"/>
    <w:pPr>
      <w:ind w:left="1260"/>
    </w:pPr>
  </w:style>
  <w:style w:type="paragraph" w:customStyle="1" w:styleId="148">
    <w:name w:val="目录 81"/>
    <w:basedOn w:val="147"/>
    <w:autoRedefine/>
    <w:semiHidden/>
    <w:qFormat/>
    <w:uiPriority w:val="99"/>
    <w:pPr>
      <w:ind w:left="1470"/>
    </w:pPr>
  </w:style>
  <w:style w:type="paragraph" w:customStyle="1" w:styleId="149">
    <w:name w:val="目录 91"/>
    <w:basedOn w:val="148"/>
    <w:autoRedefine/>
    <w:semiHidden/>
    <w:qFormat/>
    <w:uiPriority w:val="99"/>
    <w:pPr>
      <w:ind w:left="1680"/>
    </w:pPr>
  </w:style>
  <w:style w:type="paragraph" w:customStyle="1" w:styleId="150">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99"/>
    <w:pPr>
      <w:framePr w:wrap="around"/>
      <w:spacing w:line="240" w:lineRule="atLeast"/>
    </w:pPr>
    <w:rPr>
      <w:rFonts w:ascii="黑体" w:eastAsia="黑体"/>
      <w:b w:val="0"/>
    </w:rPr>
  </w:style>
  <w:style w:type="paragraph" w:customStyle="1" w:styleId="152">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99"/>
    <w:pPr>
      <w:numPr>
        <w:ilvl w:val="4"/>
        <w:numId w:val="20"/>
      </w:numPr>
      <w:adjustRightInd/>
      <w:spacing w:line="240" w:lineRule="auto"/>
    </w:pPr>
    <w:rPr>
      <w:rFonts w:ascii="宋体" w:hAnsi="宋体"/>
      <w:szCs w:val="24"/>
    </w:rPr>
  </w:style>
  <w:style w:type="paragraph" w:customStyle="1" w:styleId="154">
    <w:name w:val="实施日期"/>
    <w:basedOn w:val="120"/>
    <w:qFormat/>
    <w:uiPriority w:val="99"/>
    <w:pPr>
      <w:framePr w:hSpace="0" w:wrap="around" w:xAlign="right"/>
      <w:jc w:val="right"/>
    </w:pPr>
  </w:style>
  <w:style w:type="paragraph" w:customStyle="1" w:styleId="155">
    <w:name w:val="四级无标题条"/>
    <w:basedOn w:val="1"/>
    <w:qFormat/>
    <w:uiPriority w:val="99"/>
    <w:pPr>
      <w:numPr>
        <w:ilvl w:val="5"/>
        <w:numId w:val="20"/>
      </w:numPr>
      <w:adjustRightInd/>
      <w:spacing w:line="240" w:lineRule="auto"/>
    </w:pPr>
    <w:rPr>
      <w:rFonts w:ascii="宋体" w:hAnsi="宋体"/>
      <w:szCs w:val="24"/>
    </w:rPr>
  </w:style>
  <w:style w:type="paragraph" w:customStyle="1" w:styleId="156">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99"/>
    <w:pPr>
      <w:jc w:val="both"/>
    </w:pPr>
    <w:rPr>
      <w:rFonts w:ascii="宋体" w:hAnsi="宋体" w:eastAsia="宋体" w:cs="Times New Roman"/>
      <w:sz w:val="21"/>
      <w:lang w:val="en-US" w:eastAsia="zh-CN" w:bidi="ar-SA"/>
    </w:rPr>
  </w:style>
  <w:style w:type="paragraph" w:customStyle="1" w:styleId="158">
    <w:name w:val="五级无标题条"/>
    <w:basedOn w:val="1"/>
    <w:qFormat/>
    <w:uiPriority w:val="99"/>
    <w:pPr>
      <w:numPr>
        <w:ilvl w:val="6"/>
        <w:numId w:val="20"/>
      </w:numPr>
      <w:adjustRightInd/>
    </w:pPr>
    <w:rPr>
      <w:szCs w:val="24"/>
    </w:rPr>
  </w:style>
  <w:style w:type="paragraph" w:customStyle="1" w:styleId="159">
    <w:name w:val="一级无标题条"/>
    <w:basedOn w:val="1"/>
    <w:qFormat/>
    <w:uiPriority w:val="99"/>
    <w:pPr>
      <w:numPr>
        <w:ilvl w:val="2"/>
        <w:numId w:val="20"/>
      </w:numPr>
      <w:adjustRightInd/>
      <w:spacing w:before="10" w:after="10" w:line="240" w:lineRule="auto"/>
    </w:pPr>
    <w:rPr>
      <w:rFonts w:ascii="宋体" w:hAnsi="宋体"/>
      <w:szCs w:val="24"/>
    </w:rPr>
  </w:style>
  <w:style w:type="paragraph" w:customStyle="1" w:styleId="160">
    <w:name w:val="注:后续"/>
    <w:qFormat/>
    <w:uiPriority w:val="99"/>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99"/>
    <w:pPr>
      <w:ind w:left="1406" w:leftChars="0" w:hanging="499" w:firstLineChars="0"/>
    </w:pPr>
  </w:style>
  <w:style w:type="paragraph" w:customStyle="1" w:styleId="162">
    <w:name w:val="标准文件_一级无标题"/>
    <w:basedOn w:val="105"/>
    <w:qFormat/>
    <w:uiPriority w:val="99"/>
    <w:pPr>
      <w:spacing w:beforeLines="0" w:afterLines="0"/>
      <w:outlineLvl w:val="9"/>
    </w:pPr>
    <w:rPr>
      <w:rFonts w:ascii="宋体" w:eastAsia="宋体"/>
    </w:rPr>
  </w:style>
  <w:style w:type="paragraph" w:customStyle="1" w:styleId="163">
    <w:name w:val="标准文件_五级无标题"/>
    <w:basedOn w:val="103"/>
    <w:qFormat/>
    <w:uiPriority w:val="99"/>
    <w:pPr>
      <w:spacing w:beforeLines="0" w:afterLines="0"/>
      <w:outlineLvl w:val="9"/>
    </w:pPr>
    <w:rPr>
      <w:rFonts w:ascii="宋体" w:eastAsia="宋体"/>
    </w:rPr>
  </w:style>
  <w:style w:type="paragraph" w:customStyle="1" w:styleId="164">
    <w:name w:val="标准文件_三级无标题"/>
    <w:basedOn w:val="94"/>
    <w:qFormat/>
    <w:uiPriority w:val="99"/>
    <w:pPr>
      <w:spacing w:beforeLines="0" w:afterLines="0"/>
      <w:outlineLvl w:val="9"/>
    </w:pPr>
    <w:rPr>
      <w:rFonts w:ascii="宋体" w:eastAsia="宋体"/>
    </w:rPr>
  </w:style>
  <w:style w:type="paragraph" w:customStyle="1" w:styleId="165">
    <w:name w:val="标准文件_二级无标题"/>
    <w:basedOn w:val="65"/>
    <w:qFormat/>
    <w:uiPriority w:val="99"/>
    <w:pPr>
      <w:spacing w:beforeLines="0" w:afterLines="0"/>
      <w:outlineLvl w:val="9"/>
    </w:pPr>
    <w:rPr>
      <w:rFonts w:ascii="宋体" w:eastAsia="宋体"/>
    </w:rPr>
  </w:style>
  <w:style w:type="paragraph" w:customStyle="1" w:styleId="166">
    <w:name w:val="标准_四级无标题"/>
    <w:basedOn w:val="98"/>
    <w:next w:val="56"/>
    <w:qFormat/>
    <w:uiPriority w:val="99"/>
    <w:rPr>
      <w:rFonts w:eastAsia="宋体"/>
    </w:rPr>
  </w:style>
  <w:style w:type="paragraph" w:customStyle="1" w:styleId="167">
    <w:name w:val="标准文件_四级无标题"/>
    <w:basedOn w:val="98"/>
    <w:qFormat/>
    <w:uiPriority w:val="99"/>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99"/>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99"/>
    <w:pPr>
      <w:numPr>
        <w:ilvl w:val="0"/>
        <w:numId w:val="24"/>
      </w:numPr>
      <w:ind w:firstLine="0" w:firstLineChars="0"/>
    </w:pPr>
    <w:rPr>
      <w:rFonts w:cs="Arial"/>
      <w:szCs w:val="28"/>
    </w:rPr>
  </w:style>
  <w:style w:type="paragraph" w:customStyle="1" w:styleId="170">
    <w:name w:val="标准文件_附录标题"/>
    <w:basedOn w:val="76"/>
    <w:uiPriority w:val="99"/>
    <w:pPr>
      <w:numPr>
        <w:numId w:val="0"/>
      </w:numPr>
      <w:spacing w:after="280"/>
      <w:outlineLvl w:val="9"/>
    </w:pPr>
  </w:style>
  <w:style w:type="paragraph" w:customStyle="1" w:styleId="171">
    <w:name w:val="标准文件_二级项"/>
    <w:qFormat/>
    <w:uiPriority w:val="99"/>
    <w:rPr>
      <w:rFonts w:ascii="宋体" w:hAnsi="Times New Roman" w:eastAsia="宋体" w:cs="Times New Roman"/>
      <w:sz w:val="21"/>
      <w:lang w:val="en-US" w:eastAsia="zh-CN" w:bidi="ar-SA"/>
    </w:rPr>
  </w:style>
  <w:style w:type="paragraph" w:customStyle="1" w:styleId="172">
    <w:name w:val="标准文件_三级项"/>
    <w:basedOn w:val="1"/>
    <w:qFormat/>
    <w:uiPriority w:val="99"/>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99"/>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99"/>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99"/>
    <w:pPr>
      <w:jc w:val="center"/>
    </w:pPr>
    <w:rPr>
      <w:rFonts w:ascii="宋体" w:hAnsi="Times New Roman" w:eastAsia="宋体" w:cs="Times New Roman"/>
      <w:b/>
      <w:kern w:val="2"/>
      <w:sz w:val="21"/>
      <w:lang w:val="en-US" w:eastAsia="zh-CN" w:bidi="ar-SA"/>
    </w:rPr>
  </w:style>
  <w:style w:type="paragraph" w:customStyle="1" w:styleId="176">
    <w:name w:val="标准文件_附录前"/>
    <w:next w:val="56"/>
    <w:qFormat/>
    <w:uiPriority w:val="99"/>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99"/>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99"/>
    <w:pPr>
      <w:ind w:firstLine="0" w:firstLineChars="0"/>
      <w:jc w:val="center"/>
    </w:pPr>
    <w:rPr>
      <w:sz w:val="18"/>
    </w:rPr>
  </w:style>
  <w:style w:type="paragraph" w:customStyle="1" w:styleId="179">
    <w:name w:val="标准文件_注："/>
    <w:next w:val="56"/>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99"/>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99"/>
    <w:pPr>
      <w:ind w:firstLine="420"/>
    </w:pPr>
    <w:rPr>
      <w:sz w:val="18"/>
    </w:rPr>
  </w:style>
  <w:style w:type="paragraph" w:customStyle="1" w:styleId="183">
    <w:name w:val="标准文件_示例×："/>
    <w:basedOn w:val="1"/>
    <w:next w:val="182"/>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locked/>
    <w:uiPriority w:val="99"/>
    <w:rPr>
      <w:rFonts w:ascii="宋体" w:hAnsi="Times New Roman"/>
      <w:sz w:val="22"/>
    </w:rPr>
  </w:style>
  <w:style w:type="paragraph" w:customStyle="1" w:styleId="185">
    <w:name w:val="标准文件_表格续"/>
    <w:basedOn w:val="56"/>
    <w:next w:val="56"/>
    <w:qFormat/>
    <w:uiPriority w:val="99"/>
    <w:pPr>
      <w:jc w:val="center"/>
    </w:pPr>
    <w:rPr>
      <w:rFonts w:ascii="黑体" w:hAnsi="黑体" w:eastAsia="黑体"/>
    </w:rPr>
  </w:style>
  <w:style w:type="character" w:styleId="186">
    <w:name w:val="Placeholder Text"/>
    <w:semiHidden/>
    <w:qFormat/>
    <w:uiPriority w:val="99"/>
    <w:rPr>
      <w:rFonts w:cs="Times New Roman"/>
      <w:color w:val="808080"/>
    </w:rPr>
  </w:style>
  <w:style w:type="paragraph" w:customStyle="1" w:styleId="187">
    <w:name w:val="标准文件_二级项2"/>
    <w:basedOn w:val="56"/>
    <w:qFormat/>
    <w:uiPriority w:val="99"/>
    <w:pPr>
      <w:numPr>
        <w:ilvl w:val="1"/>
        <w:numId w:val="21"/>
      </w:numPr>
      <w:ind w:left="1271" w:hanging="420" w:firstLineChars="0"/>
    </w:pPr>
  </w:style>
  <w:style w:type="paragraph" w:customStyle="1" w:styleId="188">
    <w:name w:val="标准文件_三级项2"/>
    <w:basedOn w:val="56"/>
    <w:qFormat/>
    <w:uiPriority w:val="99"/>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99"/>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99"/>
    <w:pPr>
      <w:ind w:firstLine="420"/>
    </w:pPr>
    <w:rPr>
      <w:rFonts w:ascii="黑体" w:eastAsia="黑体"/>
    </w:rPr>
  </w:style>
  <w:style w:type="character" w:customStyle="1" w:styleId="191">
    <w:name w:val="标准文件_来源"/>
    <w:qFormat/>
    <w:uiPriority w:val="99"/>
    <w:rPr>
      <w:rFonts w:eastAsia="宋体" w:cs="Times New Roman"/>
      <w:sz w:val="21"/>
    </w:rPr>
  </w:style>
  <w:style w:type="paragraph" w:customStyle="1" w:styleId="192">
    <w:name w:val="标准文件_图表说明"/>
    <w:qFormat/>
    <w:uiPriority w:val="99"/>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99"/>
    <w:pPr>
      <w:framePr w:w="3997" w:h="471" w:hRule="exact" w:hSpace="0" w:vSpace="181" w:wrap="around" w:vAnchor="page" w:hAnchor="page" w:x="1419" w:y="14097"/>
    </w:pPr>
  </w:style>
  <w:style w:type="paragraph" w:customStyle="1" w:styleId="194">
    <w:name w:val="其他实施日期"/>
    <w:basedOn w:val="154"/>
    <w:qFormat/>
    <w:uiPriority w:val="99"/>
    <w:pPr>
      <w:framePr w:w="3997" w:h="471" w:hRule="exact" w:vSpace="181" w:wrap="around" w:vAnchor="page" w:hAnchor="page" w:x="7089" w:y="14097"/>
    </w:pPr>
  </w:style>
  <w:style w:type="paragraph" w:customStyle="1" w:styleId="195">
    <w:name w:val="标准文件_文件编号"/>
    <w:basedOn w:val="56"/>
    <w:qFormat/>
    <w:uiPriority w:val="99"/>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99"/>
    <w:pPr>
      <w:framePr/>
      <w:spacing w:before="57"/>
    </w:pPr>
    <w:rPr>
      <w:sz w:val="21"/>
    </w:rPr>
  </w:style>
  <w:style w:type="paragraph" w:customStyle="1" w:styleId="197">
    <w:name w:val="标准文件_文件名称"/>
    <w:basedOn w:val="56"/>
    <w:next w:val="56"/>
    <w:qFormat/>
    <w:uiPriority w:val="99"/>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99"/>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99"/>
    <w:pPr>
      <w:numPr>
        <w:ilvl w:val="1"/>
        <w:numId w:val="8"/>
      </w:numPr>
      <w:spacing w:beforeLines="50" w:afterLines="50"/>
      <w:ind w:firstLine="0" w:firstLineChars="0"/>
    </w:pPr>
    <w:rPr>
      <w:rFonts w:ascii="黑体" w:eastAsia="黑体"/>
    </w:rPr>
  </w:style>
  <w:style w:type="paragraph" w:customStyle="1" w:styleId="201">
    <w:name w:val="标准文件_引言二级条标题"/>
    <w:basedOn w:val="56"/>
    <w:next w:val="56"/>
    <w:qFormat/>
    <w:uiPriority w:val="99"/>
    <w:pPr>
      <w:numPr>
        <w:ilvl w:val="2"/>
        <w:numId w:val="8"/>
      </w:numPr>
      <w:spacing w:beforeLines="50" w:afterLines="50"/>
      <w:ind w:firstLine="0" w:firstLineChars="0"/>
    </w:pPr>
    <w:rPr>
      <w:rFonts w:ascii="黑体" w:eastAsia="黑体"/>
    </w:rPr>
  </w:style>
  <w:style w:type="paragraph" w:customStyle="1" w:styleId="202">
    <w:name w:val="标准文件_引言三级条标题"/>
    <w:basedOn w:val="56"/>
    <w:next w:val="56"/>
    <w:qFormat/>
    <w:uiPriority w:val="99"/>
    <w:pPr>
      <w:numPr>
        <w:ilvl w:val="3"/>
        <w:numId w:val="8"/>
      </w:numPr>
      <w:spacing w:beforeLines="50" w:afterLines="50"/>
      <w:ind w:firstLine="0" w:firstLineChars="0"/>
    </w:pPr>
    <w:rPr>
      <w:rFonts w:ascii="黑体" w:eastAsia="黑体"/>
    </w:rPr>
  </w:style>
  <w:style w:type="paragraph" w:customStyle="1" w:styleId="203">
    <w:name w:val="标准文件_引言四级条标题"/>
    <w:basedOn w:val="56"/>
    <w:next w:val="56"/>
    <w:qFormat/>
    <w:uiPriority w:val="99"/>
    <w:pPr>
      <w:numPr>
        <w:ilvl w:val="4"/>
        <w:numId w:val="8"/>
      </w:numPr>
      <w:spacing w:beforeLines="50" w:afterLines="50"/>
      <w:ind w:firstLine="0" w:firstLineChars="0"/>
    </w:pPr>
    <w:rPr>
      <w:rFonts w:ascii="黑体" w:eastAsia="黑体"/>
    </w:rPr>
  </w:style>
  <w:style w:type="paragraph" w:customStyle="1" w:styleId="204">
    <w:name w:val="标准文件_引言五级条标题"/>
    <w:basedOn w:val="56"/>
    <w:next w:val="56"/>
    <w:qFormat/>
    <w:uiPriority w:val="99"/>
    <w:pPr>
      <w:numPr>
        <w:ilvl w:val="5"/>
        <w:numId w:val="8"/>
      </w:numPr>
      <w:spacing w:beforeLines="50" w:afterLines="50"/>
      <w:ind w:firstLine="0" w:firstLineChars="0"/>
    </w:pPr>
    <w:rPr>
      <w:rFonts w:ascii="黑体" w:eastAsia="黑体"/>
    </w:rPr>
  </w:style>
  <w:style w:type="paragraph" w:customStyle="1" w:styleId="205">
    <w:name w:val="标准文件_注后"/>
    <w:basedOn w:val="56"/>
    <w:qFormat/>
    <w:uiPriority w:val="99"/>
    <w:pPr>
      <w:ind w:left="811" w:firstLine="0" w:firstLineChars="0"/>
    </w:pPr>
    <w:rPr>
      <w:sz w:val="18"/>
    </w:rPr>
  </w:style>
  <w:style w:type="paragraph" w:customStyle="1" w:styleId="206">
    <w:name w:val="标准文件_注X后"/>
    <w:basedOn w:val="56"/>
    <w:qFormat/>
    <w:uiPriority w:val="99"/>
    <w:pPr>
      <w:ind w:left="811" w:firstLine="0" w:firstLineChars="0"/>
    </w:pPr>
    <w:rPr>
      <w:sz w:val="18"/>
    </w:rPr>
  </w:style>
  <w:style w:type="paragraph" w:customStyle="1" w:styleId="207">
    <w:name w:val="标准文件_示例后"/>
    <w:basedOn w:val="56"/>
    <w:qFormat/>
    <w:uiPriority w:val="99"/>
    <w:pPr>
      <w:ind w:left="964" w:firstLine="0" w:firstLineChars="0"/>
    </w:pPr>
    <w:rPr>
      <w:sz w:val="18"/>
    </w:rPr>
  </w:style>
  <w:style w:type="paragraph" w:customStyle="1" w:styleId="208">
    <w:name w:val="标准文件_示例X后"/>
    <w:basedOn w:val="56"/>
    <w:link w:val="209"/>
    <w:qFormat/>
    <w:uiPriority w:val="99"/>
    <w:pPr>
      <w:ind w:left="1049" w:firstLine="0" w:firstLineChars="0"/>
    </w:pPr>
    <w:rPr>
      <w:sz w:val="18"/>
    </w:rPr>
  </w:style>
  <w:style w:type="character" w:customStyle="1" w:styleId="209">
    <w:name w:val="标准文件_示例X后 字符"/>
    <w:link w:val="208"/>
    <w:qFormat/>
    <w:locked/>
    <w:uiPriority w:val="99"/>
    <w:rPr>
      <w:rFonts w:ascii="宋体" w:hAnsi="Times New Roman" w:cs="Times New Roman"/>
      <w:sz w:val="22"/>
      <w:szCs w:val="22"/>
      <w:lang w:bidi="ar-SA"/>
    </w:rPr>
  </w:style>
  <w:style w:type="paragraph" w:customStyle="1" w:styleId="210">
    <w:name w:val="标准文件_索引项"/>
    <w:basedOn w:val="56"/>
    <w:next w:val="56"/>
    <w:qFormat/>
    <w:uiPriority w:val="99"/>
    <w:pPr>
      <w:tabs>
        <w:tab w:val="right" w:leader="dot" w:pos="9356"/>
      </w:tabs>
      <w:ind w:left="210" w:hanging="210" w:firstLineChars="0"/>
      <w:jc w:val="left"/>
    </w:pPr>
  </w:style>
  <w:style w:type="paragraph" w:customStyle="1" w:styleId="211">
    <w:name w:val="标准文件_附录一级无标题"/>
    <w:basedOn w:val="78"/>
    <w:qFormat/>
    <w:uiPriority w:val="99"/>
    <w:pPr>
      <w:spacing w:beforeLines="0" w:afterLines="0" w:line="276" w:lineRule="auto"/>
      <w:outlineLvl w:val="9"/>
    </w:pPr>
    <w:rPr>
      <w:rFonts w:ascii="宋体" w:eastAsia="宋体"/>
    </w:rPr>
  </w:style>
  <w:style w:type="paragraph" w:customStyle="1" w:styleId="212">
    <w:name w:val="标准文件_附录二级无标题"/>
    <w:basedOn w:val="79"/>
    <w:qFormat/>
    <w:uiPriority w:val="99"/>
    <w:pPr>
      <w:spacing w:beforeLines="0" w:afterLines="0" w:line="276" w:lineRule="auto"/>
      <w:outlineLvl w:val="9"/>
    </w:pPr>
    <w:rPr>
      <w:rFonts w:ascii="宋体" w:eastAsia="宋体"/>
    </w:rPr>
  </w:style>
  <w:style w:type="paragraph" w:customStyle="1" w:styleId="213">
    <w:name w:val="标准文件_附录三级无标题"/>
    <w:basedOn w:val="81"/>
    <w:qFormat/>
    <w:uiPriority w:val="99"/>
    <w:pPr>
      <w:spacing w:beforeLines="0" w:afterLines="0" w:line="276" w:lineRule="auto"/>
      <w:outlineLvl w:val="9"/>
    </w:pPr>
    <w:rPr>
      <w:rFonts w:ascii="宋体" w:eastAsia="宋体"/>
    </w:rPr>
  </w:style>
  <w:style w:type="paragraph" w:customStyle="1" w:styleId="214">
    <w:name w:val="标准文件_附录四级无标题"/>
    <w:basedOn w:val="82"/>
    <w:qFormat/>
    <w:uiPriority w:val="99"/>
    <w:pPr>
      <w:spacing w:beforeLines="0" w:afterLines="0" w:line="276" w:lineRule="auto"/>
      <w:outlineLvl w:val="9"/>
    </w:pPr>
    <w:rPr>
      <w:rFonts w:ascii="宋体" w:eastAsia="宋体"/>
    </w:rPr>
  </w:style>
  <w:style w:type="paragraph" w:customStyle="1" w:styleId="215">
    <w:name w:val="标准文件_附录五级无标题"/>
    <w:basedOn w:val="84"/>
    <w:qFormat/>
    <w:uiPriority w:val="99"/>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99"/>
    <w:pPr>
      <w:spacing w:beforeLines="0" w:afterLines="0" w:line="276" w:lineRule="auto"/>
    </w:pPr>
    <w:rPr>
      <w:rFonts w:ascii="宋体" w:eastAsia="宋体"/>
    </w:rPr>
  </w:style>
  <w:style w:type="paragraph" w:customStyle="1" w:styleId="217">
    <w:name w:val="标准文件_引言二级无标题"/>
    <w:basedOn w:val="201"/>
    <w:next w:val="56"/>
    <w:qFormat/>
    <w:uiPriority w:val="99"/>
    <w:pPr>
      <w:spacing w:beforeLines="0" w:afterLines="0" w:line="276" w:lineRule="auto"/>
    </w:pPr>
    <w:rPr>
      <w:rFonts w:ascii="宋体" w:eastAsia="宋体"/>
    </w:rPr>
  </w:style>
  <w:style w:type="paragraph" w:customStyle="1" w:styleId="218">
    <w:name w:val="标准文件_引言三级无标题"/>
    <w:basedOn w:val="202"/>
    <w:next w:val="56"/>
    <w:qFormat/>
    <w:uiPriority w:val="99"/>
    <w:pPr>
      <w:spacing w:beforeLines="0" w:afterLines="0" w:line="276" w:lineRule="auto"/>
    </w:pPr>
    <w:rPr>
      <w:rFonts w:ascii="宋体" w:eastAsia="宋体"/>
    </w:rPr>
  </w:style>
  <w:style w:type="paragraph" w:customStyle="1" w:styleId="219">
    <w:name w:val="标准文件_引言四级无标题"/>
    <w:basedOn w:val="203"/>
    <w:next w:val="56"/>
    <w:qFormat/>
    <w:uiPriority w:val="99"/>
    <w:pPr>
      <w:spacing w:beforeLines="0" w:afterLines="0" w:line="276" w:lineRule="auto"/>
    </w:pPr>
    <w:rPr>
      <w:rFonts w:ascii="宋体" w:eastAsia="宋体"/>
    </w:rPr>
  </w:style>
  <w:style w:type="paragraph" w:customStyle="1" w:styleId="220">
    <w:name w:val="标准文件_引言五级无标题"/>
    <w:basedOn w:val="204"/>
    <w:next w:val="56"/>
    <w:qFormat/>
    <w:uiPriority w:val="99"/>
    <w:pPr>
      <w:spacing w:beforeLines="0" w:afterLines="0" w:line="276" w:lineRule="auto"/>
    </w:pPr>
    <w:rPr>
      <w:rFonts w:ascii="宋体" w:eastAsia="宋体"/>
    </w:rPr>
  </w:style>
  <w:style w:type="paragraph" w:customStyle="1" w:styleId="221">
    <w:name w:val="标准文件_索引标题"/>
    <w:basedOn w:val="63"/>
    <w:next w:val="56"/>
    <w:qFormat/>
    <w:uiPriority w:val="99"/>
    <w:rPr>
      <w:rFonts w:hAnsi="黑体"/>
    </w:rPr>
  </w:style>
  <w:style w:type="paragraph" w:customStyle="1" w:styleId="222">
    <w:name w:val="标准文件_脚注内容"/>
    <w:basedOn w:val="56"/>
    <w:qFormat/>
    <w:uiPriority w:val="99"/>
    <w:pPr>
      <w:ind w:left="400" w:leftChars="200" w:hanging="200" w:hangingChars="200"/>
    </w:pPr>
    <w:rPr>
      <w:sz w:val="15"/>
    </w:rPr>
  </w:style>
  <w:style w:type="paragraph" w:customStyle="1" w:styleId="223">
    <w:name w:val="标准文件_术语条一"/>
    <w:basedOn w:val="162"/>
    <w:next w:val="56"/>
    <w:qFormat/>
    <w:uiPriority w:val="99"/>
  </w:style>
  <w:style w:type="paragraph" w:customStyle="1" w:styleId="224">
    <w:name w:val="标准文件_术语条二"/>
    <w:basedOn w:val="165"/>
    <w:next w:val="56"/>
    <w:qFormat/>
    <w:uiPriority w:val="99"/>
  </w:style>
  <w:style w:type="paragraph" w:customStyle="1" w:styleId="225">
    <w:name w:val="标准文件_术语条三"/>
    <w:basedOn w:val="164"/>
    <w:next w:val="56"/>
    <w:qFormat/>
    <w:uiPriority w:val="99"/>
  </w:style>
  <w:style w:type="paragraph" w:customStyle="1" w:styleId="226">
    <w:name w:val="标准文件_术语条四"/>
    <w:basedOn w:val="167"/>
    <w:next w:val="56"/>
    <w:qFormat/>
    <w:uiPriority w:val="99"/>
  </w:style>
  <w:style w:type="paragraph" w:customStyle="1" w:styleId="227">
    <w:name w:val="标准文件_术语条五"/>
    <w:basedOn w:val="163"/>
    <w:next w:val="56"/>
    <w:qFormat/>
    <w:uiPriority w:val="99"/>
  </w:style>
  <w:style w:type="paragraph" w:customStyle="1" w:styleId="22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qFormat/>
    <w:uiPriority w:val="99"/>
    <w:rPr>
      <w:rFonts w:ascii="黑体" w:eastAsia="黑体" w:cs="Times New Roman"/>
      <w:spacing w:val="85"/>
      <w:w w:val="100"/>
      <w:position w:val="3"/>
      <w:sz w:val="28"/>
      <w:szCs w:val="28"/>
    </w:rPr>
  </w:style>
  <w:style w:type="character" w:customStyle="1" w:styleId="230">
    <w:name w:val="段 Char"/>
    <w:link w:val="231"/>
    <w:qFormat/>
    <w:locked/>
    <w:uiPriority w:val="99"/>
    <w:rPr>
      <w:rFonts w:ascii="宋体" w:eastAsia="宋体" w:cs="Times New Roman"/>
      <w:sz w:val="21"/>
      <w:lang w:val="en-US" w:eastAsia="zh-CN" w:bidi="ar-SA"/>
    </w:rPr>
  </w:style>
  <w:style w:type="paragraph" w:customStyle="1" w:styleId="231">
    <w:name w:val="段"/>
    <w:link w:val="230"/>
    <w:qFormat/>
    <w:uiPriority w:val="99"/>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customStyle="1" w:styleId="232">
    <w:name w:val="列项——（一级）"/>
    <w:qFormat/>
    <w:uiPriority w:val="99"/>
    <w:pPr>
      <w:widowControl w:val="0"/>
      <w:ind w:left="833" w:hanging="408"/>
      <w:jc w:val="both"/>
    </w:pPr>
    <w:rPr>
      <w:rFonts w:ascii="宋体" w:hAnsi="Times New Roman" w:eastAsia="宋体" w:cs="Times New Roman"/>
      <w:sz w:val="21"/>
      <w:lang w:val="en-US" w:eastAsia="zh-CN" w:bidi="ar-SA"/>
    </w:rPr>
  </w:style>
  <w:style w:type="paragraph" w:customStyle="1" w:styleId="233">
    <w:name w:val="列项●（二级）"/>
    <w:qFormat/>
    <w:uiPriority w:val="99"/>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34">
    <w:name w:val="列项◆（三级）"/>
    <w:basedOn w:val="1"/>
    <w:qFormat/>
    <w:uiPriority w:val="99"/>
    <w:pPr>
      <w:tabs>
        <w:tab w:val="left" w:pos="1678"/>
      </w:tabs>
      <w:adjustRightInd/>
      <w:spacing w:line="240" w:lineRule="auto"/>
      <w:ind w:left="1678" w:hanging="414"/>
    </w:pPr>
    <w:rPr>
      <w:rFonts w:ascii="宋体" w:hAnsi="Times New Roman"/>
    </w:rPr>
  </w:style>
  <w:style w:type="paragraph" w:customStyle="1" w:styleId="235">
    <w:name w:val="一级条标题"/>
    <w:next w:val="231"/>
    <w:qFormat/>
    <w:uiPriority w:val="99"/>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章标题"/>
    <w:next w:val="231"/>
    <w:qFormat/>
    <w:uiPriority w:val="99"/>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7">
    <w:name w:val="二级条标题"/>
    <w:basedOn w:val="235"/>
    <w:next w:val="231"/>
    <w:qFormat/>
    <w:uiPriority w:val="99"/>
    <w:pPr>
      <w:numPr>
        <w:ilvl w:val="2"/>
      </w:numPr>
      <w:outlineLvl w:val="3"/>
    </w:pPr>
  </w:style>
  <w:style w:type="paragraph" w:customStyle="1" w:styleId="238">
    <w:name w:val="三级条标题"/>
    <w:basedOn w:val="237"/>
    <w:next w:val="231"/>
    <w:qFormat/>
    <w:uiPriority w:val="99"/>
    <w:pPr>
      <w:numPr>
        <w:ilvl w:val="3"/>
      </w:numPr>
      <w:outlineLvl w:val="4"/>
    </w:pPr>
  </w:style>
  <w:style w:type="paragraph" w:customStyle="1" w:styleId="239">
    <w:name w:val="四级条标题"/>
    <w:basedOn w:val="238"/>
    <w:next w:val="231"/>
    <w:qFormat/>
    <w:uiPriority w:val="99"/>
    <w:pPr>
      <w:numPr>
        <w:ilvl w:val="4"/>
      </w:numPr>
      <w:outlineLvl w:val="5"/>
    </w:pPr>
  </w:style>
  <w:style w:type="paragraph" w:customStyle="1" w:styleId="240">
    <w:name w:val="五级条标题"/>
    <w:basedOn w:val="239"/>
    <w:next w:val="231"/>
    <w:qFormat/>
    <w:uiPriority w:val="99"/>
    <w:pPr>
      <w:numPr>
        <w:ilvl w:val="5"/>
      </w:numPr>
      <w:outlineLvl w:val="6"/>
    </w:pPr>
  </w:style>
  <w:style w:type="paragraph" w:customStyle="1" w:styleId="241">
    <w:name w:val="二级无"/>
    <w:basedOn w:val="237"/>
    <w:qFormat/>
    <w:uiPriority w:val="99"/>
    <w:pPr>
      <w:spacing w:beforeLines="0" w:afterLines="0"/>
    </w:pPr>
    <w:rPr>
      <w:rFonts w:ascii="宋体" w:eastAsia="宋体"/>
    </w:rPr>
  </w:style>
  <w:style w:type="paragraph" w:customStyle="1" w:styleId="242">
    <w:name w:val="三级无"/>
    <w:basedOn w:val="238"/>
    <w:qFormat/>
    <w:uiPriority w:val="99"/>
    <w:pPr>
      <w:spacing w:beforeLines="0" w:afterLines="0"/>
    </w:pPr>
    <w:rPr>
      <w:rFonts w:ascii="宋体" w:eastAsia="宋体"/>
    </w:rPr>
  </w:style>
  <w:style w:type="paragraph" w:customStyle="1" w:styleId="243">
    <w:name w:val="四级无"/>
    <w:basedOn w:val="239"/>
    <w:qFormat/>
    <w:uiPriority w:val="99"/>
    <w:pPr>
      <w:spacing w:beforeLines="0" w:afterLines="0"/>
    </w:pPr>
    <w:rPr>
      <w:rFonts w:ascii="宋体" w:eastAsia="宋体"/>
    </w:rPr>
  </w:style>
  <w:style w:type="paragraph" w:customStyle="1" w:styleId="244">
    <w:name w:val="字母编号列项（一级）"/>
    <w:qFormat/>
    <w:uiPriority w:val="99"/>
    <w:pPr>
      <w:tabs>
        <w:tab w:val="left" w:pos="840"/>
      </w:tabs>
      <w:ind w:left="839" w:hanging="419"/>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50ad49-85e0-41e2-8e8e-a7262323a6d5}"/>
        <w:style w:val=""/>
        <w:category>
          <w:name w:val="常规"/>
          <w:gallery w:val="placeholder"/>
        </w:category>
        <w:types>
          <w:type w:val="bbPlcHdr"/>
        </w:types>
        <w:behaviors>
          <w:behavior w:val="content"/>
        </w:behaviors>
        <w:description w:val=""/>
        <w:guid w:val="{D450AD49-85E0-41E2-8E8E-A7262323A6D5}"/>
      </w:docPartPr>
      <w:docPartBody>
        <w:p w14:paraId="757AB635">
          <w:pPr>
            <w:pStyle w:val="4"/>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750017"/>
    <w:rsid w:val="000B1EA2"/>
    <w:rsid w:val="00750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280D8608C06844EBACDBEC59E8AA9F5A"/>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9</Pages>
  <Words>3772</Words>
  <Characters>3960</Characters>
  <Lines>5</Lines>
  <Paragraphs>9</Paragraphs>
  <TotalTime>5</TotalTime>
  <ScaleCrop>false</ScaleCrop>
  <LinksUpToDate>false</LinksUpToDate>
  <CharactersWithSpaces>4036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2022-01-06T18:29:00Z</dcterms:created>
  <dc:creator>air</dc:creator>
  <dc:description>&lt;config cover="true" show_menu="true" version="1.0.0" doctype="SDKXY"&gt;&lt;/config&gt;</dc:description>
  <cp:lastModifiedBy>忐忑</cp:lastModifiedBy>
  <cp:lastPrinted>2025-07-22T01:23:00Z</cp:lastPrinted>
  <dcterms:modified xsi:type="dcterms:W3CDTF">2025-07-25T08:48:12Z</dcterms:modified>
  <dc:title>地方标准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2052-12.1.0.21915</vt:lpwstr>
  </property>
  <property fmtid="{D5CDD505-2E9C-101B-9397-08002B2CF9AE}" pid="16" name="ICV">
    <vt:lpwstr>EC9855BBE984E098324E7868B51C16C0_42</vt:lpwstr>
  </property>
  <property fmtid="{D5CDD505-2E9C-101B-9397-08002B2CF9AE}" pid="17" name="KSOTemplateDocerSaveRecord">
    <vt:lpwstr>eyJoZGlkIjoiMjE1MGZmOTRhZjllMGExZDlkZTMzYmYzNTljMTkwODUiLCJ1c2VySWQiOiI0MzYwMTU0NjQifQ==</vt:lpwstr>
  </property>
</Properties>
</file>