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w:t>
            </w:r>
            <w:r>
              <w:fldChar w:fldCharType="end"/>
            </w:r>
            <w:bookmarkEnd w:id="3"/>
          </w:p>
        </w:tc>
      </w:tr>
    </w:tbl>
    <w:p>
      <w:pPr>
        <w:pStyle w:val="50"/>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甘肃省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学校食堂大宗食材采购管理规范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（本草案完成时间：2025年6月19日）</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甘肃省市场监督管理局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rPr>
          <w:rFonts w:hint="eastAsia"/>
        </w:rPr>
      </w:pPr>
      <w:bookmarkStart w:id="21" w:name="BookMark1"/>
      <w:bookmarkStart w:id="22" w:name="_Toc201247663"/>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"_Toc201247723"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_Toc201247723 \h</w:instrText>
      </w:r>
      <w:r>
        <w:rPr>
          <w:rFonts w:hint="eastAsia"/>
        </w:rPr>
        <w:instrText xml:space="preserve"> </w:instrText>
      </w:r>
      <w:r>
        <w:fldChar w:fldCharType="separate"/>
      </w:r>
      <w:r>
        <w:t>II</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"_Toc201247724"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_Toc201247724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"_Toc201247725"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_Toc201247725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"_Toc201247726"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_Toc201247726 \h</w:instrText>
      </w:r>
      <w:r>
        <w:rPr>
          <w:rFonts w:hint="eastAsia"/>
        </w:rPr>
        <w:instrText xml:space="preserve"> </w:instrText>
      </w:r>
      <w: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"_Toc201247727" </w:instrText>
      </w:r>
      <w:r>
        <w:fldChar w:fldCharType="separate"/>
      </w:r>
      <w:r>
        <w:rPr>
          <w:rStyle w:val="32"/>
          <w:rFonts w:hint="eastAsia"/>
        </w:rPr>
        <w:t>4</w:t>
      </w:r>
      <w:r>
        <w:rPr>
          <w:rStyle w:val="32"/>
        </w:rPr>
        <w:t xml:space="preserve"> </w:t>
      </w:r>
      <w:r>
        <w:rPr>
          <w:rStyle w:val="32"/>
          <w:rFonts w:hint="eastAsia"/>
        </w:rPr>
        <w:t xml:space="preserve"> 总则</w:t>
      </w:r>
      <w:r>
        <w:rPr>
          <w:rFonts w:hint="eastAsia"/>
        </w:rPr>
        <w:tab/>
      </w:r>
      <w:r>
        <w:rPr>
          <w:rFonts w:hint="eastAsia"/>
        </w:rPr>
        <w:fldChar w:fldCharType="begin"/>
      </w:r>
      <w:r>
        <w:rPr>
          <w:rFonts w:hint="eastAsia"/>
        </w:rPr>
        <w:instrText xml:space="preserve"> </w:instrText>
      </w:r>
      <w:r>
        <w:instrText xml:space="preserve">PAGEREF _Toc201247727 \h</w:instrText>
      </w:r>
      <w:r>
        <w:rPr>
          <w:rFonts w:hint="eastAsia"/>
        </w:rPr>
        <w:instrText xml:space="preserve"> </w:instrText>
      </w:r>
      <w: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"_Toc201247728" </w:instrText>
      </w:r>
      <w:r>
        <w:fldChar w:fldCharType="separate"/>
      </w:r>
      <w:r>
        <w:rPr>
          <w:rStyle w:val="32"/>
          <w:rFonts w:hint="eastAsia"/>
        </w:rPr>
        <w:t>5</w:t>
      </w:r>
      <w:r>
        <w:rPr>
          <w:rStyle w:val="32"/>
        </w:rPr>
        <w:t xml:space="preserve"> </w:t>
      </w:r>
      <w:r>
        <w:rPr>
          <w:rStyle w:val="32"/>
          <w:rFonts w:hint="eastAsia"/>
        </w:rPr>
        <w:t xml:space="preserve"> 采购管理</w:t>
      </w:r>
      <w:r>
        <w:rPr>
          <w:rFonts w:hint="eastAsia"/>
        </w:rPr>
        <w:tab/>
      </w:r>
      <w:r>
        <w:rPr>
          <w:rFonts w:hint="eastAsia"/>
        </w:rPr>
        <w:fldChar w:fldCharType="begin"/>
      </w:r>
      <w:r>
        <w:rPr>
          <w:rFonts w:hint="eastAsia"/>
        </w:rPr>
        <w:instrText xml:space="preserve"> </w:instrText>
      </w:r>
      <w:r>
        <w:instrText xml:space="preserve">PAGEREF _Toc201247728 \h</w:instrText>
      </w:r>
      <w:r>
        <w:rPr>
          <w:rFonts w:hint="eastAsia"/>
        </w:rPr>
        <w:instrText xml:space="preserve"> </w:instrText>
      </w:r>
      <w: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"_Toc201247729" </w:instrText>
      </w:r>
      <w:r>
        <w:fldChar w:fldCharType="separate"/>
      </w:r>
      <w:r>
        <w:rPr>
          <w:rStyle w:val="32"/>
          <w:rFonts w:hint="eastAsia"/>
        </w:rPr>
        <w:t>6</w:t>
      </w:r>
      <w:r>
        <w:rPr>
          <w:rStyle w:val="32"/>
        </w:rPr>
        <w:t xml:space="preserve"> </w:t>
      </w:r>
      <w:r>
        <w:rPr>
          <w:rStyle w:val="32"/>
          <w:rFonts w:hint="eastAsia"/>
        </w:rPr>
        <w:t xml:space="preserve"> 退出管理</w:t>
      </w:r>
      <w:r>
        <w:rPr>
          <w:rFonts w:hint="eastAsia"/>
        </w:rPr>
        <w:tab/>
      </w:r>
      <w:r>
        <w:rPr>
          <w:rFonts w:hint="eastAsia"/>
        </w:rPr>
        <w:fldChar w:fldCharType="begin"/>
      </w:r>
      <w:r>
        <w:rPr>
          <w:rFonts w:hint="eastAsia"/>
        </w:rPr>
        <w:instrText xml:space="preserve"> </w:instrText>
      </w:r>
      <w:r>
        <w:instrText xml:space="preserve">PAGEREF _Toc201247729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"_Toc201247730" </w:instrText>
      </w:r>
      <w:r>
        <w:fldChar w:fldCharType="separate"/>
      </w:r>
      <w:r>
        <w:rPr>
          <w:rStyle w:val="32"/>
          <w:rFonts w:hint="eastAsia"/>
        </w:rPr>
        <w:t>7</w:t>
      </w:r>
      <w:r>
        <w:rPr>
          <w:rStyle w:val="32"/>
        </w:rPr>
        <w:t xml:space="preserve"> </w:t>
      </w:r>
      <w:r>
        <w:rPr>
          <w:rStyle w:val="32"/>
          <w:rFonts w:hint="eastAsia"/>
        </w:rPr>
        <w:t xml:space="preserve"> 食品采购</w:t>
      </w:r>
      <w:r>
        <w:rPr>
          <w:rFonts w:hint="eastAsia"/>
        </w:rPr>
        <w:tab/>
      </w:r>
      <w:r>
        <w:rPr>
          <w:rFonts w:hint="eastAsia"/>
        </w:rPr>
        <w:fldChar w:fldCharType="begin"/>
      </w:r>
      <w:r>
        <w:rPr>
          <w:rFonts w:hint="eastAsia"/>
        </w:rPr>
        <w:instrText xml:space="preserve"> </w:instrText>
      </w:r>
      <w:r>
        <w:instrText xml:space="preserve">PAGEREF _Toc201247730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"_Toc201247731" </w:instrText>
      </w:r>
      <w:r>
        <w:fldChar w:fldCharType="separate"/>
      </w:r>
      <w:r>
        <w:rPr>
          <w:rStyle w:val="32"/>
          <w:rFonts w:hint="eastAsia"/>
        </w:rPr>
        <w:t>8</w:t>
      </w:r>
      <w:r>
        <w:rPr>
          <w:rStyle w:val="32"/>
        </w:rPr>
        <w:t xml:space="preserve"> </w:t>
      </w:r>
      <w:r>
        <w:rPr>
          <w:rStyle w:val="32"/>
          <w:rFonts w:hint="eastAsia"/>
        </w:rPr>
        <w:t xml:space="preserve"> 快速检测</w:t>
      </w:r>
      <w:r>
        <w:rPr>
          <w:rFonts w:hint="eastAsia"/>
        </w:rPr>
        <w:tab/>
      </w:r>
      <w:r>
        <w:rPr>
          <w:rFonts w:hint="eastAsia"/>
        </w:rPr>
        <w:fldChar w:fldCharType="begin"/>
      </w:r>
      <w:r>
        <w:rPr>
          <w:rFonts w:hint="eastAsia"/>
        </w:rPr>
        <w:instrText xml:space="preserve"> </w:instrText>
      </w:r>
      <w:r>
        <w:instrText xml:space="preserve">PAGEREF _Toc201247731 \h</w:instrText>
      </w:r>
      <w:r>
        <w:rPr>
          <w:rFonts w:hint="eastAsia"/>
        </w:rPr>
        <w:instrText xml:space="preserve"> </w:instrText>
      </w:r>
      <w:r>
        <w:fldChar w:fldCharType="separate"/>
      </w:r>
      <w:r>
        <w:t>8</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"_Toc201247732" </w:instrText>
      </w:r>
      <w:r>
        <w:fldChar w:fldCharType="separate"/>
      </w:r>
      <w:r>
        <w:rPr>
          <w:rStyle w:val="32"/>
          <w:rFonts w:hint="eastAsia"/>
        </w:rPr>
        <w:t>9</w:t>
      </w:r>
      <w:r>
        <w:rPr>
          <w:rStyle w:val="32"/>
        </w:rPr>
        <w:t xml:space="preserve"> </w:t>
      </w:r>
      <w:r>
        <w:rPr>
          <w:rStyle w:val="32"/>
          <w:rFonts w:hint="eastAsia"/>
        </w:rPr>
        <w:t xml:space="preserve"> 配送管理</w:t>
      </w:r>
      <w:r>
        <w:rPr>
          <w:rFonts w:hint="eastAsia"/>
        </w:rPr>
        <w:tab/>
      </w:r>
      <w:r>
        <w:rPr>
          <w:rFonts w:hint="eastAsia"/>
          <w:lang w:val="en-US" w:eastAsia="zh-CN"/>
        </w:rPr>
        <w:t>9</w:t>
      </w:r>
      <w:r>
        <w:rPr>
          <w:rFonts w:hint="eastAsia"/>
        </w:rPr>
        <w:fldChar w:fldCharType="end"/>
      </w:r>
    </w:p>
    <w:p>
      <w:pPr>
        <w:pStyle w:val="19"/>
        <w:tabs>
          <w:tab w:val="right" w:leader="dot" w:pos="9344"/>
        </w:tabs>
        <w:rPr>
          <w:rFonts w:hint="eastAsia" w:eastAsia="宋体" w:asciiTheme="minorHAnsi" w:hAnsiTheme="minorHAnsi" w:cstheme="minorBidi"/>
          <w:sz w:val="22"/>
          <w:szCs w:val="24"/>
          <w:lang w:val="en-US" w:eastAsia="zh-CN"/>
          <w14:ligatures w14:val="standardContextual"/>
        </w:rPr>
      </w:pPr>
      <w:r>
        <w:fldChar w:fldCharType="begin"/>
      </w:r>
      <w:r>
        <w:instrText xml:space="preserve"> HYPERLINK \l "_Toc201247733" </w:instrText>
      </w:r>
      <w:r>
        <w:fldChar w:fldCharType="separate"/>
      </w:r>
      <w:r>
        <w:rPr>
          <w:rStyle w:val="32"/>
          <w:rFonts w:hint="eastAsia"/>
        </w:rPr>
        <w:t>10</w:t>
      </w:r>
      <w:r>
        <w:rPr>
          <w:rStyle w:val="32"/>
        </w:rPr>
        <w:t xml:space="preserve"> </w:t>
      </w:r>
      <w:r>
        <w:rPr>
          <w:rStyle w:val="32"/>
          <w:rFonts w:hint="eastAsia"/>
        </w:rPr>
        <w:t xml:space="preserve"> 食材贮存</w:t>
      </w:r>
      <w:r>
        <w:rPr>
          <w:rFonts w:hint="eastAsia"/>
        </w:rPr>
        <w:tab/>
      </w:r>
      <w:r>
        <w:rPr>
          <w:rFonts w:hint="eastAsia"/>
          <w:lang w:val="en-US" w:eastAsia="zh-CN"/>
        </w:rPr>
        <w:t>1</w:t>
      </w:r>
      <w:r>
        <w:rPr>
          <w:rFonts w:hint="eastAsia"/>
        </w:rPr>
        <w:fldChar w:fldCharType="end"/>
      </w:r>
      <w:r>
        <w:rPr>
          <w:rFonts w:hint="eastAsia"/>
          <w:lang w:val="en-US" w:eastAsia="zh-CN"/>
        </w:rPr>
        <w:t>0</w:t>
      </w:r>
    </w:p>
    <w:p>
      <w:pPr>
        <w:pStyle w:val="19"/>
        <w:tabs>
          <w:tab w:val="right" w:leader="dot" w:pos="9344"/>
        </w:tabs>
        <w:rPr>
          <w:rFonts w:hint="eastAsia" w:eastAsia="宋体" w:asciiTheme="minorHAnsi" w:hAnsiTheme="minorHAnsi" w:cstheme="minorBidi"/>
          <w:sz w:val="22"/>
          <w:szCs w:val="24"/>
          <w:lang w:val="en-US" w:eastAsia="zh-CN"/>
          <w14:ligatures w14:val="standardContextual"/>
        </w:rPr>
      </w:pPr>
      <w:r>
        <w:fldChar w:fldCharType="begin"/>
      </w:r>
      <w:r>
        <w:instrText xml:space="preserve"> HYPERLINK \l "_Toc201247734" </w:instrText>
      </w:r>
      <w:r>
        <w:fldChar w:fldCharType="separate"/>
      </w:r>
      <w:r>
        <w:rPr>
          <w:rStyle w:val="32"/>
          <w:rFonts w:hint="eastAsia"/>
        </w:rPr>
        <w:t>11</w:t>
      </w:r>
      <w:r>
        <w:rPr>
          <w:rStyle w:val="32"/>
        </w:rPr>
        <w:t xml:space="preserve"> </w:t>
      </w:r>
      <w:r>
        <w:rPr>
          <w:rStyle w:val="32"/>
          <w:rFonts w:hint="eastAsia"/>
        </w:rPr>
        <w:t xml:space="preserve"> 评价监督</w:t>
      </w:r>
      <w:r>
        <w:rPr>
          <w:rFonts w:hint="eastAsia"/>
        </w:rPr>
        <w:tab/>
      </w:r>
      <w:r>
        <w:rPr>
          <w:rFonts w:hint="eastAsia"/>
          <w:lang w:val="en-US" w:eastAsia="zh-CN"/>
        </w:rPr>
        <w:t>1</w:t>
      </w:r>
      <w:r>
        <w:rPr>
          <w:rFonts w:hint="eastAsia"/>
        </w:rPr>
        <w:fldChar w:fldCharType="end"/>
      </w:r>
      <w:r>
        <w:rPr>
          <w:rFonts w:hint="eastAsia"/>
          <w:lang w:val="en-US" w:eastAsia="zh-CN"/>
        </w:rPr>
        <w:t>0</w:t>
      </w:r>
    </w:p>
    <w:p>
      <w:pPr>
        <w:pStyle w:val="19"/>
        <w:tabs>
          <w:tab w:val="right" w:leader="dot" w:pos="9344"/>
        </w:tabs>
        <w:rPr>
          <w:rFonts w:hint="eastAsia" w:eastAsia="宋体" w:asciiTheme="minorHAnsi" w:hAnsiTheme="minorHAnsi" w:cstheme="minorBidi"/>
          <w:sz w:val="22"/>
          <w:szCs w:val="24"/>
          <w:lang w:val="en-US" w:eastAsia="zh-CN"/>
          <w14:ligatures w14:val="standardContextual"/>
        </w:rPr>
      </w:pPr>
      <w:r>
        <w:fldChar w:fldCharType="begin"/>
      </w:r>
      <w:r>
        <w:instrText xml:space="preserve"> HYPERLINK \l "_Toc201247735" </w:instrText>
      </w:r>
      <w:r>
        <w:fldChar w:fldCharType="separate"/>
      </w:r>
      <w:r>
        <w:rPr>
          <w:rStyle w:val="32"/>
          <w:rFonts w:hint="eastAsia"/>
        </w:rPr>
        <w:t>12</w:t>
      </w:r>
      <w:r>
        <w:rPr>
          <w:rStyle w:val="32"/>
        </w:rPr>
        <w:t xml:space="preserve"> </w:t>
      </w:r>
      <w:r>
        <w:rPr>
          <w:rStyle w:val="32"/>
          <w:rFonts w:hint="eastAsia"/>
        </w:rPr>
        <w:t xml:space="preserve"> 应急管理</w:t>
      </w:r>
      <w:r>
        <w:rPr>
          <w:rFonts w:hint="eastAsia"/>
        </w:rPr>
        <w:tab/>
      </w:r>
      <w:r>
        <w:rPr>
          <w:rFonts w:hint="eastAsia"/>
          <w:lang w:val="en-US" w:eastAsia="zh-CN"/>
        </w:rPr>
        <w:t>1</w:t>
      </w:r>
      <w:r>
        <w:rPr>
          <w:rFonts w:hint="eastAsia"/>
        </w:rPr>
        <w:fldChar w:fldCharType="end"/>
      </w:r>
      <w:r>
        <w:rPr>
          <w:rFonts w:hint="eastAsia"/>
          <w:lang w:val="en-US" w:eastAsia="zh-CN"/>
        </w:rPr>
        <w:t>1</w:t>
      </w:r>
    </w:p>
    <w:p>
      <w:pPr>
        <w:pStyle w:val="19"/>
        <w:tabs>
          <w:tab w:val="right" w:leader="dot" w:pos="9344"/>
        </w:tabs>
        <w:rPr>
          <w:rFonts w:hint="eastAsia" w:eastAsia="宋体" w:asciiTheme="minorHAnsi" w:hAnsiTheme="minorHAnsi" w:cstheme="minorBidi"/>
          <w:sz w:val="22"/>
          <w:szCs w:val="24"/>
          <w:lang w:val="en-US" w:eastAsia="zh-CN"/>
          <w14:ligatures w14:val="standardContextual"/>
        </w:rPr>
      </w:pPr>
      <w:r>
        <w:fldChar w:fldCharType="begin"/>
      </w:r>
      <w:r>
        <w:instrText xml:space="preserve"> HYPERLINK \l "_Toc201247736" </w:instrText>
      </w:r>
      <w:r>
        <w:fldChar w:fldCharType="separate"/>
      </w:r>
      <w:r>
        <w:rPr>
          <w:rStyle w:val="32"/>
          <w:rFonts w:hint="eastAsia"/>
        </w:rPr>
        <w:t>13</w:t>
      </w:r>
      <w:r>
        <w:rPr>
          <w:rStyle w:val="32"/>
        </w:rPr>
        <w:t xml:space="preserve"> </w:t>
      </w:r>
      <w:r>
        <w:rPr>
          <w:rStyle w:val="32"/>
          <w:rFonts w:hint="eastAsia"/>
        </w:rPr>
        <w:t xml:space="preserve"> 其他要求</w:t>
      </w:r>
      <w:r>
        <w:rPr>
          <w:rFonts w:hint="eastAsia"/>
        </w:rPr>
        <w:tab/>
      </w:r>
      <w:r>
        <w:rPr>
          <w:rFonts w:hint="eastAsia"/>
          <w:lang w:val="en-US" w:eastAsia="zh-CN"/>
        </w:rPr>
        <w:t>1</w:t>
      </w:r>
      <w:r>
        <w:rPr>
          <w:rFonts w:hint="eastAsia"/>
        </w:rPr>
        <w:fldChar w:fldCharType="end"/>
      </w:r>
      <w:r>
        <w:rPr>
          <w:rFonts w:hint="eastAsia"/>
          <w:lang w:val="en-US" w:eastAsia="zh-CN"/>
        </w:rPr>
        <w:t>1</w:t>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"_Toc201247737" </w:instrText>
      </w:r>
      <w:r>
        <w:fldChar w:fldCharType="separate"/>
      </w:r>
      <w:r>
        <w:rPr>
          <w:rStyle w:val="32"/>
          <w:rFonts w:hint="eastAsia"/>
        </w:rPr>
        <w:t>附录A（规范性）</w:t>
      </w:r>
      <w:r>
        <w:rPr>
          <w:rStyle w:val="32"/>
        </w:rPr>
        <w:t xml:space="preserve"> </w:t>
      </w:r>
      <w:r>
        <w:rPr>
          <w:rStyle w:val="32"/>
          <w:rFonts w:hint="eastAsia"/>
        </w:rPr>
        <w:t xml:space="preserve"> 食品、食品添加剂和食用农产品有关索证索票规定清单</w:t>
      </w:r>
      <w:r>
        <w:rPr>
          <w:rFonts w:hint="eastAsia"/>
        </w:rPr>
        <w:tab/>
      </w:r>
      <w:r>
        <w:rPr>
          <w:rFonts w:hint="eastAsia"/>
        </w:rPr>
        <w:fldChar w:fldCharType="begin"/>
      </w:r>
      <w:r>
        <w:rPr>
          <w:rFonts w:hint="eastAsia"/>
        </w:rPr>
        <w:instrText xml:space="preserve"> </w:instrText>
      </w:r>
      <w:r>
        <w:instrText xml:space="preserve">PAGEREF _Toc201247737 \h</w:instrText>
      </w:r>
      <w:r>
        <w:rPr>
          <w:rFonts w:hint="eastAsia"/>
        </w:rPr>
        <w:instrText xml:space="preserve"> </w:instrText>
      </w:r>
      <w:r>
        <w:fldChar w:fldCharType="separate"/>
      </w:r>
      <w:r>
        <w:t>1</w:t>
      </w:r>
      <w:r>
        <w:rPr>
          <w:rFonts w:hint="eastAsia"/>
          <w:lang w:val="en-US" w:eastAsia="zh-CN"/>
        </w:rP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"_Toc201247738" </w:instrText>
      </w:r>
      <w:r>
        <w:fldChar w:fldCharType="separate"/>
      </w:r>
      <w:r>
        <w:rPr>
          <w:rStyle w:val="32"/>
          <w:rFonts w:hint="eastAsia"/>
        </w:rPr>
        <w:t>附录B（规范性）</w:t>
      </w:r>
      <w:r>
        <w:rPr>
          <w:rStyle w:val="32"/>
        </w:rPr>
        <w:t xml:space="preserve"> </w:t>
      </w:r>
      <w:r>
        <w:rPr>
          <w:rStyle w:val="32"/>
          <w:rFonts w:hint="eastAsia"/>
        </w:rPr>
        <w:t xml:space="preserve"> 附录B学校食堂禁用、慎用食品名单及加工供应注意事项</w:t>
      </w:r>
      <w:r>
        <w:rPr>
          <w:rFonts w:hint="eastAsia"/>
        </w:rPr>
        <w:tab/>
      </w:r>
      <w:r>
        <w:rPr>
          <w:rFonts w:hint="eastAsia"/>
        </w:rPr>
        <w:fldChar w:fldCharType="begin"/>
      </w:r>
      <w:r>
        <w:rPr>
          <w:rFonts w:hint="eastAsia"/>
        </w:rPr>
        <w:instrText xml:space="preserve"> </w:instrText>
      </w:r>
      <w:r>
        <w:instrText xml:space="preserve">PAGEREF _Toc201247738 \h</w:instrText>
      </w:r>
      <w:r>
        <w:rPr>
          <w:rFonts w:hint="eastAsia"/>
        </w:rPr>
        <w:instrText xml:space="preserve"> </w:instrText>
      </w:r>
      <w:r>
        <w:fldChar w:fldCharType="separate"/>
      </w:r>
      <w:r>
        <w:t>1</w:t>
      </w:r>
      <w:r>
        <w:rPr>
          <w:rFonts w:hint="eastAsia"/>
          <w:lang w:val="en-US" w:eastAsia="zh-CN"/>
        </w:rPr>
        <w:t>6</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"_Toc201247739" </w:instrText>
      </w:r>
      <w:r>
        <w:fldChar w:fldCharType="separate"/>
      </w:r>
      <w:r>
        <w:rPr>
          <w:rStyle w:val="32"/>
          <w:rFonts w:hint="eastAsia"/>
        </w:rPr>
        <w:t>附录C（规范性）</w:t>
      </w:r>
      <w:r>
        <w:rPr>
          <w:rStyle w:val="32"/>
        </w:rPr>
        <w:t xml:space="preserve"> </w:t>
      </w:r>
      <w:r>
        <w:rPr>
          <w:rStyle w:val="32"/>
          <w:rFonts w:hint="eastAsia"/>
        </w:rPr>
        <w:t xml:space="preserve"> 餐饮业食品、食品相关产品采购验收台账</w:t>
      </w:r>
      <w:r>
        <w:rPr>
          <w:rFonts w:hint="eastAsia"/>
        </w:rPr>
        <w:tab/>
      </w:r>
      <w:r>
        <w:rPr>
          <w:rFonts w:hint="eastAsia"/>
        </w:rPr>
        <w:fldChar w:fldCharType="begin"/>
      </w:r>
      <w:r>
        <w:rPr>
          <w:rFonts w:hint="eastAsia"/>
        </w:rPr>
        <w:instrText xml:space="preserve"> </w:instrText>
      </w:r>
      <w:r>
        <w:instrText xml:space="preserve">PAGEREF _Toc201247739 \h</w:instrText>
      </w:r>
      <w:r>
        <w:rPr>
          <w:rFonts w:hint="eastAsia"/>
        </w:rPr>
        <w:instrText xml:space="preserve"> </w:instrText>
      </w:r>
      <w:r>
        <w:fldChar w:fldCharType="separate"/>
      </w:r>
      <w:r>
        <w:t>1</w:t>
      </w:r>
      <w:r>
        <w:rPr>
          <w:rFonts w:hint="eastAsia"/>
          <w:lang w:val="en-US" w:eastAsia="zh-CN"/>
        </w:rPr>
        <w:t>8</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"_Toc201247740" </w:instrText>
      </w:r>
      <w:r>
        <w:fldChar w:fldCharType="separate"/>
      </w:r>
      <w:r>
        <w:rPr>
          <w:rStyle w:val="32"/>
          <w:rFonts w:hint="eastAsia"/>
        </w:rPr>
        <w:t>附录D（规范性）</w:t>
      </w:r>
      <w:r>
        <w:rPr>
          <w:rStyle w:val="32"/>
        </w:rPr>
        <w:t xml:space="preserve"> </w:t>
      </w:r>
      <w:r>
        <w:rPr>
          <w:rStyle w:val="32"/>
          <w:rFonts w:hint="eastAsia"/>
        </w:rPr>
        <w:t xml:space="preserve"> 餐饮业食品添加剂采购验收台账</w:t>
      </w:r>
      <w:r>
        <w:rPr>
          <w:rFonts w:hint="eastAsia"/>
        </w:rPr>
        <w:tab/>
      </w:r>
      <w:r>
        <w:rPr>
          <w:rFonts w:hint="eastAsia"/>
        </w:rPr>
        <w:fldChar w:fldCharType="begin"/>
      </w:r>
      <w:r>
        <w:rPr>
          <w:rFonts w:hint="eastAsia"/>
        </w:rPr>
        <w:instrText xml:space="preserve"> </w:instrText>
      </w:r>
      <w:r>
        <w:instrText xml:space="preserve">PAGEREF _Toc201247740 \h</w:instrText>
      </w:r>
      <w:r>
        <w:rPr>
          <w:rFonts w:hint="eastAsia"/>
        </w:rPr>
        <w:instrText xml:space="preserve"> </w:instrText>
      </w:r>
      <w:r>
        <w:fldChar w:fldCharType="separate"/>
      </w:r>
      <w:r>
        <w:t>1</w:t>
      </w:r>
      <w:r>
        <w:rPr>
          <w:rFonts w:hint="eastAsia"/>
          <w:lang w:val="en-US" w:eastAsia="zh-CN"/>
        </w:rPr>
        <w:t>9</w:t>
      </w:r>
      <w:r>
        <w:rPr>
          <w:rFonts w:hint="eastAsia"/>
        </w:rPr>
        <w:fldChar w:fldCharType="end"/>
      </w:r>
      <w:r>
        <w:rPr>
          <w:rFonts w:hint="eastAsia"/>
        </w:rPr>
        <w:fldChar w:fldCharType="end"/>
      </w:r>
    </w:p>
    <w:p>
      <w:pPr>
        <w:pStyle w:val="19"/>
        <w:tabs>
          <w:tab w:val="right" w:leader="dot" w:pos="9344"/>
        </w:tabs>
        <w:rPr>
          <w:rFonts w:hint="eastAsia" w:eastAsia="宋体" w:asciiTheme="minorHAnsi" w:hAnsiTheme="minorHAnsi" w:cstheme="minorBidi"/>
          <w:sz w:val="22"/>
          <w:szCs w:val="24"/>
          <w:lang w:val="en-US" w:eastAsia="zh-CN"/>
          <w14:ligatures w14:val="standardContextual"/>
        </w:rPr>
      </w:pPr>
      <w:r>
        <w:fldChar w:fldCharType="begin"/>
      </w:r>
      <w:r>
        <w:instrText xml:space="preserve"> HYPERLINK \l "_Toc201247741" </w:instrText>
      </w:r>
      <w:r>
        <w:fldChar w:fldCharType="separate"/>
      </w:r>
      <w:r>
        <w:rPr>
          <w:rStyle w:val="32"/>
          <w:rFonts w:hint="eastAsia"/>
        </w:rPr>
        <w:t>参考文献</w:t>
      </w:r>
      <w:r>
        <w:rPr>
          <w:rFonts w:hint="eastAsia"/>
        </w:rPr>
        <w:tab/>
      </w:r>
      <w:r>
        <w:rPr>
          <w:rFonts w:hint="eastAsia"/>
          <w:lang w:val="en-US" w:eastAsia="zh-CN"/>
        </w:rPr>
        <w:t>2</w:t>
      </w:r>
      <w:r>
        <w:rPr>
          <w:rFonts w:hint="eastAsia"/>
        </w:rPr>
        <w:fldChar w:fldCharType="end"/>
      </w:r>
      <w:r>
        <w:rPr>
          <w:rFonts w:hint="eastAsia"/>
          <w:lang w:val="en-US" w:eastAsia="zh-CN"/>
        </w:rPr>
        <w:t>0</w:t>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rPr>
          <w:rFonts w:hint="eastAsia"/>
        </w:rPr>
      </w:pPr>
      <w:bookmarkStart w:id="23" w:name="_Toc201247723"/>
      <w:bookmarkStart w:id="24" w:name="BookMark2"/>
      <w:r>
        <w:rPr>
          <w:rFonts w:hint="eastAsia"/>
          <w:spacing w:val="320"/>
        </w:rPr>
        <w:t>前</w:t>
      </w:r>
      <w:r>
        <w:rPr>
          <w:rFonts w:hint="eastAsia"/>
        </w:rPr>
        <w:t>言</w:t>
      </w:r>
      <w:bookmarkEnd w:id="22"/>
      <w:bookmarkEnd w:id="23"/>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rPr>
          <w:rFonts w:hint="eastAsia"/>
        </w:rPr>
      </w:pPr>
      <w:r>
        <w:rPr>
          <w:rFonts w:hint="eastAsia"/>
        </w:rPr>
        <w:t>本文件由兰州市市场监督管理局提出。</w:t>
      </w:r>
    </w:p>
    <w:p>
      <w:pPr>
        <w:pStyle w:val="56"/>
        <w:ind w:firstLine="420"/>
        <w:rPr>
          <w:rFonts w:hint="eastAsia"/>
        </w:rPr>
      </w:pPr>
      <w:r>
        <w:rPr>
          <w:rFonts w:hint="eastAsia"/>
        </w:rPr>
        <w:t>本文件由甘肃省市场监督管理局、甘肃省教育厅归口并监督实施。</w:t>
      </w:r>
    </w:p>
    <w:p>
      <w:pPr>
        <w:pStyle w:val="56"/>
        <w:ind w:firstLine="420"/>
        <w:rPr>
          <w:rFonts w:hint="eastAsia"/>
        </w:rPr>
      </w:pPr>
      <w:r>
        <w:rPr>
          <w:rFonts w:hint="eastAsia"/>
        </w:rPr>
        <w:t>本文件起草单位：兰州市市场监督管理局、甘肃华测检测认证有限公司、兰州市标准化研究所、西北民族大学、西固区市场监督管理局、榆中县市场监督管理局</w:t>
      </w:r>
    </w:p>
    <w:p>
      <w:pPr>
        <w:pStyle w:val="56"/>
        <w:ind w:firstLine="420"/>
        <w:rPr>
          <w:rFonts w:hint="eastAsia"/>
        </w:rPr>
      </w:pPr>
      <w:r>
        <w:rPr>
          <w:rFonts w:hint="eastAsia"/>
        </w:rPr>
        <w:t>本文件主要起草人：杨晓莉、冯鑫、李崇善、李雪华、吴佩君、窦怀灵、缪配霞、吕婧、巩丽琼</w:t>
      </w:r>
    </w:p>
    <w:p>
      <w:pPr>
        <w:pStyle w:val="56"/>
        <w:ind w:firstLine="420"/>
        <w:rPr>
          <w:rFonts w:hint="eastAsia"/>
        </w:rPr>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hint="eastAsia" w:ascii="黑体" w:hAnsi="黑体" w:eastAsia="黑体"/>
          <w:sz w:val="32"/>
          <w:szCs w:val="32"/>
        </w:rPr>
      </w:pPr>
      <w:bookmarkStart w:id="25"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18820909543242CF8F6DC04524E9E09A"/>
        </w:placeholder>
      </w:sdtPr>
      <w:sdtContent>
        <w:p>
          <w:pPr>
            <w:pStyle w:val="177"/>
            <w:spacing w:before="312" w:beforeLines="100" w:after="686" w:afterLines="220"/>
            <w:rPr>
              <w:rFonts w:hint="eastAsia"/>
            </w:rPr>
          </w:pPr>
          <w:bookmarkStart w:id="26" w:name="NEW_STAND_NAME"/>
          <w:r>
            <w:rPr>
              <w:rFonts w:hint="eastAsia"/>
            </w:rPr>
            <w:t>学校食堂大宗食材采购管理规范</w:t>
          </w:r>
        </w:p>
      </w:sdtContent>
    </w:sdt>
    <w:bookmarkEnd w:id="26"/>
    <w:p>
      <w:pPr>
        <w:pStyle w:val="104"/>
        <w:spacing w:before="312" w:after="312"/>
      </w:pPr>
      <w:bookmarkStart w:id="27" w:name="_Toc17233325"/>
      <w:bookmarkStart w:id="28" w:name="_Toc26986771"/>
      <w:bookmarkStart w:id="29" w:name="_Toc201247724"/>
      <w:bookmarkStart w:id="30" w:name="_Toc24884218"/>
      <w:bookmarkStart w:id="31" w:name="_Toc17233333"/>
      <w:bookmarkStart w:id="32" w:name="_Toc24884211"/>
      <w:bookmarkStart w:id="33" w:name="_Toc26718930"/>
      <w:bookmarkStart w:id="34" w:name="_Toc201247664"/>
      <w:bookmarkStart w:id="35" w:name="_Toc97191423"/>
      <w:bookmarkStart w:id="36" w:name="_Toc26648465"/>
      <w:bookmarkStart w:id="37" w:name="_Toc26986530"/>
      <w:r>
        <w:rPr>
          <w:rFonts w:hint="eastAsia"/>
        </w:rPr>
        <w:t>范围</w:t>
      </w:r>
      <w:bookmarkEnd w:id="27"/>
      <w:bookmarkEnd w:id="28"/>
      <w:bookmarkEnd w:id="29"/>
      <w:bookmarkEnd w:id="30"/>
      <w:bookmarkEnd w:id="31"/>
      <w:bookmarkEnd w:id="32"/>
      <w:bookmarkEnd w:id="33"/>
      <w:bookmarkEnd w:id="34"/>
      <w:bookmarkEnd w:id="35"/>
      <w:bookmarkEnd w:id="36"/>
      <w:bookmarkEnd w:id="37"/>
    </w:p>
    <w:p>
      <w:pPr>
        <w:pStyle w:val="56"/>
        <w:ind w:firstLine="420"/>
        <w:rPr>
          <w:rFonts w:hint="eastAsia"/>
        </w:rPr>
      </w:pPr>
      <w:bookmarkStart w:id="38" w:name="_Toc24884219"/>
      <w:bookmarkStart w:id="39" w:name="_Toc17233334"/>
      <w:bookmarkStart w:id="40" w:name="_Toc24884212"/>
      <w:bookmarkStart w:id="41" w:name="_Toc26648466"/>
      <w:bookmarkStart w:id="42" w:name="_Toc17233326"/>
      <w:r>
        <w:rPr>
          <w:rFonts w:hint="eastAsia"/>
        </w:rPr>
        <w:t>本文件规定了各级各类学校食堂在大宗食材采购过程中的食品安全管理要求。</w:t>
      </w:r>
    </w:p>
    <w:p>
      <w:pPr>
        <w:pStyle w:val="56"/>
        <w:ind w:firstLine="420"/>
      </w:pPr>
      <w:r>
        <w:rPr>
          <w:rFonts w:hint="eastAsia"/>
        </w:rPr>
        <w:t>本文件适用于甘肃省内普通高等学校、职业学校、技工院校、普通中等学校、小学、特殊教育学校、托幼机构的大宗食材的采购管理。</w:t>
      </w:r>
    </w:p>
    <w:p>
      <w:pPr>
        <w:pStyle w:val="104"/>
        <w:spacing w:before="312" w:after="312"/>
      </w:pPr>
      <w:bookmarkStart w:id="43" w:name="_Toc201247665"/>
      <w:bookmarkStart w:id="44" w:name="_Toc26986772"/>
      <w:bookmarkStart w:id="45" w:name="_Toc26986531"/>
      <w:bookmarkStart w:id="46" w:name="_Toc97191424"/>
      <w:bookmarkStart w:id="47" w:name="_Toc26718931"/>
      <w:bookmarkStart w:id="48" w:name="_Toc201247725"/>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41AA0F9C256941DCAFFE0763A82A38A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rPr>
      </w:pPr>
      <w:r>
        <w:rPr>
          <w:rFonts w:hint="eastAsia"/>
        </w:rPr>
        <w:t>GB/T 1354 大米</w:t>
      </w:r>
    </w:p>
    <w:p>
      <w:pPr>
        <w:pStyle w:val="56"/>
        <w:ind w:firstLine="420"/>
        <w:rPr>
          <w:rFonts w:hint="eastAsia"/>
        </w:rPr>
      </w:pPr>
      <w:r>
        <w:rPr>
          <w:rFonts w:hint="eastAsia"/>
        </w:rPr>
        <w:t>GB/T 1355 小麦粉</w:t>
      </w:r>
    </w:p>
    <w:p>
      <w:pPr>
        <w:pStyle w:val="56"/>
        <w:ind w:firstLine="420"/>
        <w:rPr>
          <w:rFonts w:hint="eastAsia"/>
        </w:rPr>
      </w:pPr>
      <w:r>
        <w:rPr>
          <w:rFonts w:hint="eastAsia"/>
        </w:rPr>
        <w:t>GB 2707 食品安全国家标准 鲜（冻）畜、禽产品</w:t>
      </w:r>
    </w:p>
    <w:p>
      <w:pPr>
        <w:pStyle w:val="56"/>
        <w:ind w:firstLine="420"/>
        <w:rPr>
          <w:rFonts w:hint="eastAsia"/>
        </w:rPr>
      </w:pPr>
      <w:r>
        <w:rPr>
          <w:rFonts w:hint="eastAsia"/>
        </w:rPr>
        <w:t>GB 2716 食品安全国家标准 植物油</w:t>
      </w:r>
    </w:p>
    <w:p>
      <w:pPr>
        <w:pStyle w:val="56"/>
        <w:ind w:firstLine="420"/>
        <w:rPr>
          <w:rFonts w:hint="eastAsia"/>
        </w:rPr>
      </w:pPr>
      <w:r>
        <w:rPr>
          <w:rFonts w:hint="eastAsia"/>
        </w:rPr>
        <w:t>GB 2717 食品安全国家标准 酱油</w:t>
      </w:r>
    </w:p>
    <w:p>
      <w:pPr>
        <w:pStyle w:val="56"/>
        <w:ind w:firstLine="420"/>
        <w:rPr>
          <w:rFonts w:hint="eastAsia"/>
        </w:rPr>
      </w:pPr>
      <w:r>
        <w:rPr>
          <w:rFonts w:hint="eastAsia"/>
        </w:rPr>
        <w:t>GB 2719 食品安全国家标准 食醋</w:t>
      </w:r>
    </w:p>
    <w:p>
      <w:pPr>
        <w:pStyle w:val="56"/>
        <w:ind w:firstLine="420"/>
        <w:rPr>
          <w:rFonts w:hint="eastAsia"/>
        </w:rPr>
      </w:pPr>
      <w:r>
        <w:rPr>
          <w:rFonts w:hint="eastAsia"/>
        </w:rPr>
        <w:t>GB 2721 食品安全国家标准 食用盐</w:t>
      </w:r>
    </w:p>
    <w:p>
      <w:pPr>
        <w:pStyle w:val="56"/>
        <w:ind w:firstLine="420"/>
        <w:rPr>
          <w:rFonts w:hint="eastAsia"/>
        </w:rPr>
      </w:pPr>
      <w:r>
        <w:rPr>
          <w:rFonts w:hint="eastAsia"/>
        </w:rPr>
        <w:t>GB 2733 食品安全国家标准 鲜、冻动物性水产品</w:t>
      </w:r>
    </w:p>
    <w:p>
      <w:pPr>
        <w:pStyle w:val="56"/>
        <w:ind w:firstLine="420"/>
        <w:rPr>
          <w:rFonts w:hint="eastAsia"/>
        </w:rPr>
      </w:pPr>
      <w:r>
        <w:rPr>
          <w:rFonts w:hint="eastAsia"/>
        </w:rPr>
        <w:t>GB 2749 食品安全国家标准 蛋与蛋制品</w:t>
      </w:r>
    </w:p>
    <w:p>
      <w:pPr>
        <w:pStyle w:val="56"/>
        <w:ind w:firstLine="420"/>
        <w:rPr>
          <w:rFonts w:hint="eastAsia"/>
        </w:rPr>
      </w:pPr>
      <w:r>
        <w:rPr>
          <w:rFonts w:hint="eastAsia"/>
        </w:rPr>
        <w:t>GB 2760 食品安全国家标准 食品添加剂使用标准</w:t>
      </w:r>
    </w:p>
    <w:p>
      <w:pPr>
        <w:pStyle w:val="56"/>
        <w:ind w:firstLine="420"/>
        <w:rPr>
          <w:rFonts w:hint="eastAsia"/>
        </w:rPr>
      </w:pPr>
      <w:r>
        <w:rPr>
          <w:rFonts w:hint="eastAsia"/>
        </w:rPr>
        <w:t>GB 2761 食品安全国家标准 食品中真菌毒素限量</w:t>
      </w:r>
    </w:p>
    <w:p>
      <w:pPr>
        <w:pStyle w:val="56"/>
        <w:ind w:firstLine="420"/>
        <w:rPr>
          <w:rFonts w:hint="eastAsia"/>
        </w:rPr>
      </w:pPr>
      <w:r>
        <w:rPr>
          <w:rFonts w:hint="eastAsia"/>
        </w:rPr>
        <w:t>GB 2762 食品安全国家标准 食品中污染物限量</w:t>
      </w:r>
    </w:p>
    <w:p>
      <w:pPr>
        <w:pStyle w:val="56"/>
        <w:ind w:firstLine="420"/>
        <w:rPr>
          <w:rFonts w:hint="eastAsia"/>
        </w:rPr>
      </w:pPr>
      <w:r>
        <w:rPr>
          <w:rFonts w:hint="eastAsia"/>
        </w:rPr>
        <w:t>GB 2763 食品安全国家标准 食品中农药最大残留限量</w:t>
      </w:r>
    </w:p>
    <w:p>
      <w:pPr>
        <w:pStyle w:val="56"/>
        <w:ind w:firstLine="420"/>
        <w:rPr>
          <w:rFonts w:hint="eastAsia"/>
        </w:rPr>
      </w:pPr>
      <w:r>
        <w:rPr>
          <w:rFonts w:hint="eastAsia"/>
        </w:rPr>
        <w:t>GB 7718 食品安全国家标准 预包装食品标签通则</w:t>
      </w:r>
    </w:p>
    <w:p>
      <w:pPr>
        <w:pStyle w:val="56"/>
        <w:ind w:firstLine="420"/>
        <w:rPr>
          <w:rFonts w:hint="eastAsia"/>
        </w:rPr>
      </w:pPr>
      <w:r>
        <w:rPr>
          <w:rFonts w:hint="eastAsia"/>
        </w:rPr>
        <w:t>GB/T 9959.1鲜、冻猪肉及猪副产品 第1部分：片猪肉</w:t>
      </w:r>
    </w:p>
    <w:p>
      <w:pPr>
        <w:pStyle w:val="56"/>
        <w:ind w:firstLine="420"/>
        <w:rPr>
          <w:rFonts w:hint="eastAsia"/>
        </w:rPr>
      </w:pPr>
      <w:r>
        <w:rPr>
          <w:rFonts w:hint="eastAsia"/>
        </w:rPr>
        <w:t>GB/T 9959.2 分割鲜冻猪瘦肉</w:t>
      </w:r>
    </w:p>
    <w:p>
      <w:pPr>
        <w:pStyle w:val="56"/>
        <w:ind w:firstLine="420"/>
        <w:rPr>
          <w:rFonts w:hint="eastAsia"/>
        </w:rPr>
      </w:pPr>
      <w:r>
        <w:rPr>
          <w:rFonts w:hint="eastAsia"/>
        </w:rPr>
        <w:t>GB/T 9959.3 鲜、冻猪肉及副产品 第3部分：分部位分割猪肉</w:t>
      </w:r>
    </w:p>
    <w:p>
      <w:pPr>
        <w:pStyle w:val="56"/>
        <w:ind w:firstLine="420"/>
        <w:rPr>
          <w:rFonts w:hint="eastAsia"/>
        </w:rPr>
      </w:pPr>
      <w:r>
        <w:rPr>
          <w:rFonts w:hint="eastAsia"/>
        </w:rPr>
        <w:t>GB/T 9960 鲜、冻四分体牛肉</w:t>
      </w:r>
    </w:p>
    <w:p>
      <w:pPr>
        <w:pStyle w:val="56"/>
        <w:ind w:firstLine="420"/>
        <w:rPr>
          <w:rFonts w:hint="eastAsia"/>
        </w:rPr>
      </w:pPr>
      <w:r>
        <w:rPr>
          <w:rFonts w:hint="eastAsia"/>
        </w:rPr>
        <w:t>GB/T 9961 鲜、冻胴体羊肉</w:t>
      </w:r>
    </w:p>
    <w:p>
      <w:pPr>
        <w:pStyle w:val="56"/>
        <w:ind w:firstLine="420"/>
        <w:rPr>
          <w:rFonts w:hint="eastAsia"/>
        </w:rPr>
      </w:pPr>
      <w:r>
        <w:rPr>
          <w:rFonts w:hint="eastAsia"/>
        </w:rPr>
        <w:t>GB/T15691 香辛料调味品通用技术条件</w:t>
      </w:r>
    </w:p>
    <w:p>
      <w:pPr>
        <w:pStyle w:val="56"/>
        <w:ind w:firstLine="420"/>
        <w:rPr>
          <w:rFonts w:hint="eastAsia"/>
        </w:rPr>
      </w:pPr>
      <w:r>
        <w:rPr>
          <w:rFonts w:hint="eastAsia"/>
        </w:rPr>
        <w:t>GB 18394 畜禽肉水分限量</w:t>
      </w:r>
    </w:p>
    <w:p>
      <w:pPr>
        <w:pStyle w:val="56"/>
        <w:ind w:firstLine="420"/>
        <w:rPr>
          <w:rFonts w:hint="eastAsia"/>
        </w:rPr>
      </w:pPr>
      <w:r>
        <w:rPr>
          <w:rFonts w:hint="eastAsia"/>
        </w:rPr>
        <w:t>GB 19302 食品安全国家标准 发酵乳</w:t>
      </w:r>
    </w:p>
    <w:p>
      <w:pPr>
        <w:pStyle w:val="56"/>
        <w:ind w:firstLine="420"/>
        <w:rPr>
          <w:rFonts w:hint="eastAsia"/>
        </w:rPr>
      </w:pPr>
      <w:r>
        <w:rPr>
          <w:rFonts w:hint="eastAsia"/>
        </w:rPr>
        <w:t>GB/T 19480 肉与肉制品术语</w:t>
      </w:r>
    </w:p>
    <w:p>
      <w:pPr>
        <w:pStyle w:val="56"/>
        <w:ind w:firstLine="420"/>
        <w:rPr>
          <w:rFonts w:hint="eastAsia"/>
        </w:rPr>
      </w:pPr>
      <w:r>
        <w:rPr>
          <w:rFonts w:hint="eastAsia"/>
        </w:rPr>
        <w:t>GB 19645 食品安全国家标准 巴氏杀菌乳</w:t>
      </w:r>
    </w:p>
    <w:p>
      <w:pPr>
        <w:pStyle w:val="56"/>
        <w:ind w:firstLine="420"/>
        <w:rPr>
          <w:rFonts w:hint="eastAsia"/>
        </w:rPr>
      </w:pPr>
      <w:r>
        <w:rPr>
          <w:rFonts w:hint="eastAsia"/>
        </w:rPr>
        <w:t>GB/Z 21922 食品营养成分基本术语</w:t>
      </w:r>
    </w:p>
    <w:p>
      <w:pPr>
        <w:pStyle w:val="56"/>
        <w:ind w:firstLine="420"/>
        <w:rPr>
          <w:rFonts w:hint="eastAsia"/>
        </w:rPr>
      </w:pPr>
      <w:r>
        <w:rPr>
          <w:rFonts w:hint="eastAsia"/>
        </w:rPr>
        <w:t>GB 25190 食品安全国家标准 灭菌乳</w:t>
      </w:r>
    </w:p>
    <w:p>
      <w:pPr>
        <w:pStyle w:val="56"/>
        <w:ind w:firstLine="420"/>
        <w:rPr>
          <w:rFonts w:hint="eastAsia"/>
        </w:rPr>
      </w:pPr>
      <w:r>
        <w:rPr>
          <w:rFonts w:hint="eastAsia"/>
        </w:rPr>
        <w:t>GB 25191 食品安全国家标准 调制乳</w:t>
      </w:r>
    </w:p>
    <w:p>
      <w:pPr>
        <w:pStyle w:val="56"/>
        <w:ind w:firstLine="420"/>
        <w:rPr>
          <w:rFonts w:hint="eastAsia"/>
        </w:rPr>
      </w:pPr>
      <w:r>
        <w:rPr>
          <w:rFonts w:hint="eastAsia"/>
        </w:rPr>
        <w:t>GB 28050 食品安全国家标准 预包装食品营养标签通则</w:t>
      </w:r>
    </w:p>
    <w:p>
      <w:pPr>
        <w:pStyle w:val="56"/>
        <w:ind w:firstLine="420"/>
        <w:rPr>
          <w:rFonts w:hint="eastAsia"/>
        </w:rPr>
      </w:pPr>
      <w:r>
        <w:rPr>
          <w:rFonts w:hint="eastAsia"/>
        </w:rPr>
        <w:t>GB 31650 食品安全国家标准 食品中兽药最大残留限量</w:t>
      </w:r>
    </w:p>
    <w:p>
      <w:pPr>
        <w:pStyle w:val="56"/>
        <w:ind w:firstLine="420"/>
        <w:rPr>
          <w:rFonts w:hint="eastAsia"/>
        </w:rPr>
      </w:pPr>
      <w:r>
        <w:rPr>
          <w:rFonts w:hint="eastAsia"/>
        </w:rPr>
        <w:t>GB/T 34262 蛋与蛋制品术语和分类</w:t>
      </w:r>
    </w:p>
    <w:p>
      <w:pPr>
        <w:pStyle w:val="56"/>
        <w:ind w:firstLine="420"/>
        <w:rPr>
          <w:rFonts w:hint="eastAsia"/>
        </w:rPr>
      </w:pPr>
      <w:r>
        <w:rPr>
          <w:rFonts w:hint="eastAsia"/>
        </w:rPr>
        <w:t>GB/T 36193 水产品加工术语</w:t>
      </w:r>
    </w:p>
    <w:p>
      <w:pPr>
        <w:pStyle w:val="56"/>
        <w:ind w:firstLine="420"/>
      </w:pPr>
      <w:r>
        <w:rPr>
          <w:rFonts w:hint="eastAsia"/>
        </w:rPr>
        <w:t>GB/T 40040 餐饮业供应链管理指南</w:t>
      </w:r>
    </w:p>
    <w:p>
      <w:pPr>
        <w:pStyle w:val="104"/>
        <w:spacing w:before="312" w:after="312"/>
      </w:pPr>
      <w:bookmarkStart w:id="49" w:name="_Toc201247666"/>
      <w:bookmarkStart w:id="50" w:name="_Toc201247726"/>
      <w:bookmarkStart w:id="51" w:name="_Toc97191425"/>
      <w:r>
        <w:rPr>
          <w:rFonts w:hint="eastAsia"/>
          <w:szCs w:val="21"/>
        </w:rPr>
        <w:t>术语和定义</w:t>
      </w:r>
      <w:bookmarkEnd w:id="49"/>
      <w:bookmarkEnd w:id="50"/>
      <w:bookmarkEnd w:id="51"/>
    </w:p>
    <w:sdt>
      <w:sdtPr>
        <w:id w:val="-1909835108"/>
        <w:placeholder>
          <w:docPart w:val="14F985254F4F440FBE97249F0E54F5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2" w:name="_Toc26986532"/>
          <w:bookmarkEnd w:id="52"/>
          <w:r>
            <w:rPr>
              <w:rFonts w:hint="eastAsia"/>
            </w:rPr>
            <w:t>GB/T 19480、GB/Z 21922、GB/T 34262、GB/T 36193</w:t>
          </w:r>
          <w:r>
            <w:t>界定的以及下列术语和定义适用于本文件。</w:t>
          </w:r>
        </w:p>
      </w:sdtContent>
    </w:sdt>
    <w:p>
      <w:pPr>
        <w:pStyle w:val="105"/>
        <w:spacing w:before="156" w:after="156"/>
      </w:pPr>
    </w:p>
    <w:p>
      <w:pPr>
        <w:pStyle w:val="56"/>
        <w:ind w:firstLine="420"/>
        <w:rPr>
          <w:rFonts w:hint="eastAsia" w:ascii="黑体" w:hAnsi="黑体" w:eastAsia="黑体"/>
        </w:rPr>
      </w:pPr>
      <w:r>
        <w:rPr>
          <w:rFonts w:hint="eastAsia" w:ascii="黑体" w:hAnsi="黑体" w:eastAsia="黑体"/>
        </w:rPr>
        <w:t xml:space="preserve">大宗食材 </w:t>
      </w:r>
      <w:r>
        <w:rPr>
          <w:rFonts w:hint="default" w:ascii="黑体" w:hAnsi="黑体" w:eastAsia="黑体"/>
          <w:lang w:val="en"/>
        </w:rPr>
        <w:t>b</w:t>
      </w:r>
      <w:r>
        <w:rPr>
          <w:rFonts w:hint="eastAsia" w:ascii="黑体" w:hAnsi="黑体" w:eastAsia="黑体"/>
        </w:rPr>
        <w:t>ulk food ingredients</w:t>
      </w:r>
    </w:p>
    <w:p>
      <w:pPr>
        <w:pStyle w:val="56"/>
        <w:ind w:firstLine="420"/>
      </w:pPr>
      <w:r>
        <w:rPr>
          <w:rFonts w:hint="eastAsia"/>
        </w:rPr>
        <w:t>学校食堂、餐饮企业等大量采购的基础性食品原料，包括蔬菜、水果、米、面、食用油、畜禽肉、蛋类、乳制品、水（海）产品、豆制品、调味品等。</w:t>
      </w:r>
    </w:p>
    <w:p>
      <w:pPr>
        <w:pStyle w:val="105"/>
        <w:spacing w:before="156" w:after="156"/>
      </w:pPr>
    </w:p>
    <w:p>
      <w:pPr>
        <w:pStyle w:val="56"/>
        <w:ind w:firstLine="420"/>
        <w:rPr>
          <w:rFonts w:hint="eastAsia" w:ascii="黑体" w:hAnsi="黑体" w:eastAsia="黑体"/>
        </w:rPr>
      </w:pPr>
      <w:r>
        <w:rPr>
          <w:rFonts w:hint="eastAsia" w:ascii="黑体" w:hAnsi="黑体" w:eastAsia="黑体"/>
        </w:rPr>
        <w:t xml:space="preserve">干货类食品 </w:t>
      </w:r>
      <w:r>
        <w:rPr>
          <w:rFonts w:hint="default" w:ascii="黑体" w:hAnsi="黑体" w:eastAsia="黑体"/>
          <w:lang w:val="en" w:eastAsia="zh-CN"/>
        </w:rPr>
        <w:t>d</w:t>
      </w:r>
      <w:r>
        <w:rPr>
          <w:rFonts w:hint="eastAsia" w:ascii="黑体" w:hAnsi="黑体" w:eastAsia="黑体"/>
        </w:rPr>
        <w:t>ried food products</w:t>
      </w:r>
    </w:p>
    <w:p>
      <w:pPr>
        <w:pStyle w:val="56"/>
        <w:ind w:firstLine="420"/>
        <w:rPr>
          <w:rFonts w:hint="eastAsia"/>
          <w:highlight w:val="none"/>
        </w:rPr>
      </w:pPr>
      <w:r>
        <w:rPr>
          <w:rFonts w:hint="eastAsia"/>
        </w:rPr>
        <w:t>各类经晒干、风干、烘</w:t>
      </w:r>
      <w:r>
        <w:rPr>
          <w:rFonts w:hint="eastAsia"/>
          <w:highlight w:val="none"/>
        </w:rPr>
        <w:t>干、脱水或腌制方法去除水分，从而延长保存时间的一类食品。包括干制蔬菜（如干笋、干豇豆等）、干制食用菌（如木耳、干香菇等）、干制水果（如干红枣、干枸杞等）、干制水产品（如虾皮、干海带等）、生干坚果与籽类食品（如花生、芝麻等）、</w:t>
      </w:r>
      <w:r>
        <w:rPr>
          <w:rFonts w:hint="eastAsia"/>
          <w:highlight w:val="none"/>
          <w:lang w:eastAsia="zh-CN"/>
        </w:rPr>
        <w:t>杂粮类干货</w:t>
      </w:r>
      <w:r>
        <w:rPr>
          <w:rFonts w:hint="eastAsia"/>
          <w:highlight w:val="none"/>
        </w:rPr>
        <w:t>（如黄豆、红豆、干豌豆</w:t>
      </w:r>
      <w:r>
        <w:rPr>
          <w:rFonts w:hint="eastAsia"/>
          <w:highlight w:val="none"/>
          <w:lang w:eastAsia="zh-CN"/>
        </w:rPr>
        <w:t>、绿豆</w:t>
      </w:r>
      <w:r>
        <w:rPr>
          <w:rFonts w:hint="eastAsia"/>
          <w:highlight w:val="none"/>
        </w:rPr>
        <w:t>等）及香辛</w:t>
      </w:r>
      <w:r>
        <w:rPr>
          <w:rFonts w:hint="eastAsia"/>
          <w:highlight w:val="none"/>
          <w:lang w:eastAsia="zh-CN"/>
        </w:rPr>
        <w:t>料</w:t>
      </w:r>
      <w:r>
        <w:rPr>
          <w:rFonts w:hint="eastAsia"/>
          <w:highlight w:val="none"/>
        </w:rPr>
        <w:t>类</w:t>
      </w:r>
      <w:r>
        <w:rPr>
          <w:rFonts w:hint="eastAsia"/>
          <w:highlight w:val="none"/>
          <w:lang w:eastAsia="zh-CN"/>
        </w:rPr>
        <w:t>（如花椒、桂皮、八角等）</w:t>
      </w:r>
      <w:r>
        <w:rPr>
          <w:rFonts w:hint="eastAsia"/>
          <w:highlight w:val="none"/>
        </w:rPr>
        <w:t>食品</w:t>
      </w:r>
      <w:r>
        <w:rPr>
          <w:rFonts w:hint="eastAsia"/>
          <w:highlight w:val="none"/>
          <w:lang w:eastAsia="zh-CN"/>
        </w:rPr>
        <w:t>等</w:t>
      </w:r>
      <w:r>
        <w:rPr>
          <w:rFonts w:hint="eastAsia"/>
          <w:highlight w:val="none"/>
        </w:rPr>
        <w:t>。</w:t>
      </w:r>
    </w:p>
    <w:p>
      <w:pPr>
        <w:pStyle w:val="104"/>
        <w:spacing w:before="312" w:after="312"/>
        <w:rPr>
          <w:highlight w:val="none"/>
        </w:rPr>
      </w:pPr>
      <w:bookmarkStart w:id="53" w:name="_Toc201247727"/>
      <w:bookmarkStart w:id="54" w:name="_Toc201247667"/>
      <w:r>
        <w:rPr>
          <w:rFonts w:hint="eastAsia"/>
          <w:highlight w:val="none"/>
        </w:rPr>
        <w:t>总则</w:t>
      </w:r>
      <w:bookmarkEnd w:id="53"/>
      <w:bookmarkEnd w:id="54"/>
    </w:p>
    <w:p>
      <w:pPr>
        <w:pStyle w:val="56"/>
        <w:ind w:firstLine="420"/>
        <w:rPr>
          <w:highlight w:val="none"/>
        </w:rPr>
      </w:pPr>
      <w:r>
        <w:rPr>
          <w:rFonts w:hint="eastAsia"/>
          <w:highlight w:val="none"/>
        </w:rPr>
        <w:t>学校食堂大宗食材应实施统一采购管理，选定合格供应商并签订供货协议</w:t>
      </w:r>
      <w:r>
        <w:rPr>
          <w:rFonts w:hint="eastAsia"/>
          <w:highlight w:val="none"/>
          <w:lang w:eastAsia="zh-CN"/>
        </w:rPr>
        <w:t>，建立并实施</w:t>
      </w:r>
      <w:r>
        <w:rPr>
          <w:rFonts w:hint="eastAsia"/>
          <w:highlight w:val="none"/>
        </w:rPr>
        <w:t>供货情况考核评价，</w:t>
      </w:r>
      <w:r>
        <w:rPr>
          <w:rFonts w:hint="eastAsia"/>
          <w:highlight w:val="none"/>
          <w:lang w:eastAsia="zh-CN"/>
        </w:rPr>
        <w:t>确保</w:t>
      </w:r>
      <w:r>
        <w:rPr>
          <w:rFonts w:hint="eastAsia"/>
          <w:highlight w:val="none"/>
        </w:rPr>
        <w:t>供应</w:t>
      </w:r>
      <w:r>
        <w:rPr>
          <w:rFonts w:hint="eastAsia"/>
          <w:highlight w:val="none"/>
          <w:lang w:eastAsia="zh-CN"/>
        </w:rPr>
        <w:t>食材</w:t>
      </w:r>
      <w:r>
        <w:rPr>
          <w:rFonts w:hint="eastAsia"/>
          <w:highlight w:val="none"/>
        </w:rPr>
        <w:t>质量安全，保障师生</w:t>
      </w:r>
      <w:r>
        <w:rPr>
          <w:rFonts w:hint="eastAsia"/>
          <w:highlight w:val="none"/>
          <w:lang w:eastAsia="zh-CN"/>
        </w:rPr>
        <w:t>的饮食安全与</w:t>
      </w:r>
      <w:r>
        <w:rPr>
          <w:rFonts w:hint="eastAsia"/>
          <w:highlight w:val="none"/>
        </w:rPr>
        <w:t>健康。</w:t>
      </w:r>
    </w:p>
    <w:p>
      <w:pPr>
        <w:pStyle w:val="104"/>
        <w:spacing w:before="312" w:after="312"/>
        <w:rPr>
          <w:highlight w:val="none"/>
        </w:rPr>
      </w:pPr>
      <w:bookmarkStart w:id="55" w:name="_Toc201247728"/>
      <w:bookmarkStart w:id="56" w:name="_Toc201247668"/>
      <w:r>
        <w:rPr>
          <w:rFonts w:hint="eastAsia"/>
          <w:highlight w:val="none"/>
        </w:rPr>
        <w:t>采购管理</w:t>
      </w:r>
      <w:bookmarkEnd w:id="55"/>
      <w:bookmarkEnd w:id="56"/>
    </w:p>
    <w:p>
      <w:pPr>
        <w:pStyle w:val="105"/>
        <w:spacing w:before="156" w:after="156"/>
        <w:rPr>
          <w:color w:val="auto"/>
          <w:highlight w:val="none"/>
        </w:rPr>
      </w:pPr>
      <w:r>
        <w:rPr>
          <w:rFonts w:hint="eastAsia"/>
          <w:color w:val="auto"/>
          <w:highlight w:val="none"/>
        </w:rPr>
        <w:t>准入方式</w:t>
      </w:r>
    </w:p>
    <w:p>
      <w:pPr>
        <w:pStyle w:val="56"/>
        <w:ind w:firstLine="420"/>
        <w:rPr>
          <w:color w:val="auto"/>
          <w:highlight w:val="none"/>
        </w:rPr>
      </w:pPr>
      <w:r>
        <w:rPr>
          <w:rFonts w:hint="eastAsia"/>
          <w:color w:val="auto"/>
          <w:highlight w:val="none"/>
        </w:rPr>
        <w:t>学校应通过市场调研、实地考察、公开招标、政府采购等方式，公开选择社会信誉良好且符合条件的食品生产经营单位。</w:t>
      </w:r>
      <w:r>
        <w:rPr>
          <w:rFonts w:hint="eastAsia" w:ascii="宋体" w:hAnsi="宋体" w:eastAsia="宋体"/>
          <w:color w:val="auto"/>
          <w:szCs w:val="21"/>
          <w:highlight w:val="none"/>
        </w:rPr>
        <w:t>优先在属地教育部门或学校联合采购公开招标确定的大宗食品</w:t>
      </w:r>
      <w:r>
        <w:rPr>
          <w:rFonts w:hint="eastAsia" w:ascii="宋体" w:hAnsi="宋体" w:eastAsia="宋体"/>
          <w:color w:val="auto"/>
          <w:highlight w:val="none"/>
        </w:rPr>
        <w:t>入围供货商名录中选择供货商。</w:t>
      </w:r>
    </w:p>
    <w:p>
      <w:pPr>
        <w:pStyle w:val="105"/>
        <w:spacing w:before="156" w:after="156"/>
        <w:rPr>
          <w:color w:val="auto"/>
          <w:highlight w:val="none"/>
        </w:rPr>
      </w:pPr>
      <w:r>
        <w:rPr>
          <w:rFonts w:hint="eastAsia"/>
          <w:color w:val="auto"/>
          <w:highlight w:val="none"/>
        </w:rPr>
        <w:t>基本要求</w:t>
      </w:r>
    </w:p>
    <w:p>
      <w:pPr>
        <w:pStyle w:val="65"/>
        <w:spacing w:before="156" w:after="156"/>
        <w:rPr>
          <w:rFonts w:ascii="宋体" w:hAnsi="宋体" w:eastAsia="宋体"/>
          <w:color w:val="auto"/>
          <w:highlight w:val="none"/>
        </w:rPr>
      </w:pPr>
      <w:r>
        <w:rPr>
          <w:rFonts w:hint="eastAsia" w:ascii="宋体" w:hAnsi="宋体" w:eastAsia="宋体"/>
          <w:color w:val="auto"/>
          <w:highlight w:val="none"/>
        </w:rPr>
        <w:t>供应商应依法取得</w:t>
      </w:r>
      <w:r>
        <w:rPr>
          <w:rFonts w:hint="eastAsia" w:ascii="宋体" w:hAnsi="宋体" w:eastAsia="宋体"/>
          <w:color w:val="auto"/>
          <w:highlight w:val="none"/>
          <w:lang w:eastAsia="zh-CN"/>
        </w:rPr>
        <w:t>有效的</w:t>
      </w:r>
      <w:r>
        <w:rPr>
          <w:rFonts w:hint="eastAsia" w:ascii="宋体" w:hAnsi="宋体" w:eastAsia="宋体"/>
          <w:color w:val="auto"/>
          <w:highlight w:val="none"/>
        </w:rPr>
        <w:t>营业执照、食品生产或经营许可证（预包装食品备案证明）等</w:t>
      </w:r>
      <w:r>
        <w:rPr>
          <w:rFonts w:hint="eastAsia" w:ascii="宋体" w:hAnsi="宋体" w:eastAsia="宋体"/>
          <w:color w:val="auto"/>
          <w:highlight w:val="none"/>
          <w:lang w:eastAsia="zh-CN"/>
        </w:rPr>
        <w:t>法定经营</w:t>
      </w:r>
      <w:r>
        <w:rPr>
          <w:rFonts w:hint="eastAsia" w:ascii="宋体" w:hAnsi="宋体" w:eastAsia="宋体"/>
          <w:color w:val="auto"/>
          <w:highlight w:val="none"/>
        </w:rPr>
        <w:t>资质。</w:t>
      </w:r>
    </w:p>
    <w:p>
      <w:pPr>
        <w:pStyle w:val="65"/>
        <w:spacing w:before="156" w:after="156"/>
        <w:rPr>
          <w:rFonts w:hint="eastAsia" w:ascii="宋体" w:hAnsi="宋体" w:eastAsia="宋体"/>
          <w:color w:val="auto"/>
          <w:highlight w:val="none"/>
        </w:rPr>
      </w:pPr>
      <w:r>
        <w:rPr>
          <w:rFonts w:hint="eastAsia" w:ascii="宋体" w:hAnsi="宋体" w:eastAsia="宋体"/>
          <w:color w:val="auto"/>
          <w:highlight w:val="none"/>
        </w:rPr>
        <w:t>供应商近三年内应无经营诚信、食品安全事故问题及其他较大</w:t>
      </w:r>
      <w:r>
        <w:rPr>
          <w:rFonts w:hint="eastAsia" w:ascii="宋体" w:hAnsi="宋体" w:eastAsia="宋体"/>
          <w:color w:val="auto"/>
          <w:highlight w:val="none"/>
          <w:lang w:eastAsia="zh-CN"/>
        </w:rPr>
        <w:t>及以上安全</w:t>
      </w:r>
      <w:r>
        <w:rPr>
          <w:rFonts w:hint="eastAsia" w:ascii="宋体" w:hAnsi="宋体" w:eastAsia="宋体"/>
          <w:color w:val="auto"/>
          <w:highlight w:val="none"/>
        </w:rPr>
        <w:t>责任事故记录，或未受到相关食品安全行政处罚（警告、通报批评除外）。</w:t>
      </w:r>
    </w:p>
    <w:p>
      <w:pPr>
        <w:pStyle w:val="65"/>
        <w:spacing w:before="156" w:after="156"/>
        <w:rPr>
          <w:rFonts w:hint="eastAsia" w:ascii="宋体" w:hAnsi="宋体" w:eastAsia="宋体"/>
          <w:color w:val="auto"/>
          <w:highlight w:val="none"/>
        </w:rPr>
      </w:pPr>
      <w:r>
        <w:rPr>
          <w:rFonts w:hint="eastAsia" w:ascii="宋体" w:hAnsi="宋体" w:eastAsia="宋体"/>
          <w:color w:val="auto"/>
          <w:highlight w:val="none"/>
        </w:rPr>
        <w:t>供应商应具备与供应数量、品种相适应的</w:t>
      </w:r>
      <w:r>
        <w:rPr>
          <w:rFonts w:hint="eastAsia" w:ascii="宋体" w:hAnsi="宋体" w:eastAsia="宋体"/>
          <w:color w:val="auto"/>
          <w:highlight w:val="none"/>
          <w:lang w:eastAsia="zh-CN"/>
        </w:rPr>
        <w:t>稳定供货</w:t>
      </w:r>
      <w:r>
        <w:rPr>
          <w:rFonts w:hint="eastAsia" w:ascii="宋体" w:hAnsi="宋体" w:eastAsia="宋体"/>
          <w:color w:val="auto"/>
          <w:highlight w:val="none"/>
        </w:rPr>
        <w:t>能力</w:t>
      </w:r>
      <w:r>
        <w:rPr>
          <w:rFonts w:hint="eastAsia" w:ascii="宋体" w:hAnsi="宋体" w:eastAsia="宋体"/>
          <w:color w:val="auto"/>
          <w:highlight w:val="none"/>
          <w:lang w:eastAsia="zh-CN"/>
        </w:rPr>
        <w:t>、仓储条件及配送能力</w:t>
      </w:r>
      <w:r>
        <w:rPr>
          <w:rFonts w:hint="eastAsia" w:ascii="宋体" w:hAnsi="宋体" w:eastAsia="宋体"/>
          <w:color w:val="auto"/>
          <w:highlight w:val="none"/>
        </w:rPr>
        <w:t>，配备</w:t>
      </w:r>
      <w:r>
        <w:rPr>
          <w:rFonts w:hint="eastAsia" w:ascii="宋体" w:hAnsi="宋体" w:eastAsia="宋体"/>
          <w:color w:val="auto"/>
          <w:highlight w:val="none"/>
          <w:lang w:eastAsia="zh-CN"/>
        </w:rPr>
        <w:t>专职或兼职</w:t>
      </w:r>
      <w:r>
        <w:rPr>
          <w:rFonts w:hint="eastAsia" w:ascii="宋体" w:hAnsi="宋体" w:eastAsia="宋体"/>
          <w:color w:val="auto"/>
          <w:highlight w:val="none"/>
        </w:rPr>
        <w:t>食品安全管理人员</w:t>
      </w:r>
      <w:r>
        <w:rPr>
          <w:rFonts w:hint="eastAsia" w:ascii="宋体" w:hAnsi="宋体" w:eastAsia="宋体"/>
          <w:color w:val="auto"/>
          <w:highlight w:val="none"/>
          <w:lang w:eastAsia="zh-CN"/>
        </w:rPr>
        <w:t>，</w:t>
      </w:r>
      <w:r>
        <w:rPr>
          <w:rFonts w:hint="eastAsia" w:ascii="宋体" w:hAnsi="宋体" w:eastAsia="宋体"/>
          <w:color w:val="auto"/>
          <w:highlight w:val="none"/>
        </w:rPr>
        <w:t>符合市场监管</w:t>
      </w:r>
      <w:r>
        <w:rPr>
          <w:rFonts w:hint="eastAsia" w:ascii="宋体" w:hAnsi="宋体" w:eastAsia="宋体"/>
          <w:color w:val="auto"/>
          <w:highlight w:val="none"/>
          <w:lang w:eastAsia="zh-CN"/>
        </w:rPr>
        <w:t>和教育行政主管</w:t>
      </w:r>
      <w:r>
        <w:rPr>
          <w:rFonts w:hint="eastAsia" w:ascii="宋体" w:hAnsi="宋体" w:eastAsia="宋体"/>
          <w:color w:val="auto"/>
          <w:highlight w:val="none"/>
        </w:rPr>
        <w:t>部门提出的其他要求。</w:t>
      </w:r>
    </w:p>
    <w:p>
      <w:pPr>
        <w:pStyle w:val="65"/>
        <w:spacing w:before="156" w:after="156"/>
        <w:rPr>
          <w:rFonts w:hint="eastAsia" w:ascii="宋体" w:hAnsi="宋体" w:eastAsia="宋体"/>
          <w:color w:val="auto"/>
          <w:highlight w:val="none"/>
        </w:rPr>
      </w:pPr>
      <w:r>
        <w:rPr>
          <w:rFonts w:hint="eastAsia" w:ascii="宋体" w:hAnsi="宋体" w:eastAsia="宋体"/>
          <w:color w:val="auto"/>
          <w:highlight w:val="none"/>
        </w:rPr>
        <w:t>供应商应严格按照许可项目，依照法律法规、食品安全标准和合同（协议）约定</w:t>
      </w:r>
      <w:r>
        <w:rPr>
          <w:rFonts w:hint="eastAsia" w:ascii="宋体" w:hAnsi="宋体" w:eastAsia="宋体"/>
          <w:color w:val="auto"/>
          <w:highlight w:val="none"/>
          <w:lang w:eastAsia="zh-CN"/>
        </w:rPr>
        <w:t>开展</w:t>
      </w:r>
      <w:r>
        <w:rPr>
          <w:rFonts w:hint="eastAsia" w:ascii="宋体" w:hAnsi="宋体" w:eastAsia="宋体"/>
          <w:color w:val="auto"/>
          <w:highlight w:val="none"/>
        </w:rPr>
        <w:t>经营</w:t>
      </w:r>
      <w:r>
        <w:rPr>
          <w:rFonts w:hint="eastAsia" w:ascii="宋体" w:hAnsi="宋体" w:eastAsia="宋体"/>
          <w:color w:val="auto"/>
          <w:highlight w:val="none"/>
          <w:lang w:eastAsia="zh-CN"/>
        </w:rPr>
        <w:t>活动</w:t>
      </w:r>
      <w:r>
        <w:rPr>
          <w:rFonts w:hint="eastAsia" w:ascii="宋体" w:hAnsi="宋体" w:eastAsia="宋体"/>
          <w:color w:val="auto"/>
          <w:highlight w:val="none"/>
        </w:rPr>
        <w:t>，确保食品安全。</w:t>
      </w:r>
    </w:p>
    <w:p>
      <w:pPr>
        <w:pStyle w:val="65"/>
        <w:spacing w:before="156" w:after="156"/>
        <w:rPr>
          <w:rFonts w:hint="eastAsia" w:ascii="宋体" w:hAnsi="宋体" w:eastAsia="宋体"/>
          <w:color w:val="auto"/>
          <w:highlight w:val="none"/>
        </w:rPr>
      </w:pPr>
      <w:r>
        <w:rPr>
          <w:rFonts w:hint="eastAsia" w:ascii="宋体" w:hAnsi="宋体" w:eastAsia="宋体"/>
          <w:color w:val="auto"/>
          <w:highlight w:val="none"/>
        </w:rPr>
        <w:t>供应商应依法建立健全</w:t>
      </w:r>
      <w:r>
        <w:rPr>
          <w:rFonts w:hint="eastAsia" w:ascii="宋体" w:hAnsi="宋体" w:eastAsia="宋体"/>
          <w:color w:val="auto"/>
          <w:highlight w:val="none"/>
          <w:lang w:eastAsia="zh-CN"/>
        </w:rPr>
        <w:t>并有效运行</w:t>
      </w:r>
      <w:r>
        <w:rPr>
          <w:rFonts w:hint="eastAsia" w:ascii="宋体" w:hAnsi="宋体" w:eastAsia="宋体"/>
          <w:color w:val="auto"/>
          <w:highlight w:val="none"/>
        </w:rPr>
        <w:t>食品安全管理机构、管理制度、操作规程和应急处置方案，并应对原料采购、</w:t>
      </w:r>
      <w:r>
        <w:rPr>
          <w:rFonts w:hint="eastAsia" w:ascii="宋体" w:hAnsi="宋体" w:eastAsia="宋体"/>
          <w:color w:val="auto"/>
          <w:highlight w:val="none"/>
          <w:lang w:eastAsia="zh-CN"/>
        </w:rPr>
        <w:t>进货查验</w:t>
      </w:r>
      <w:r>
        <w:rPr>
          <w:rFonts w:hint="eastAsia" w:ascii="宋体" w:hAnsi="宋体" w:eastAsia="宋体"/>
          <w:color w:val="auto"/>
          <w:highlight w:val="none"/>
        </w:rPr>
        <w:t>、储运配送环节的食品安全</w:t>
      </w:r>
      <w:r>
        <w:rPr>
          <w:rFonts w:hint="eastAsia" w:ascii="宋体" w:hAnsi="宋体" w:eastAsia="宋体"/>
          <w:color w:val="auto"/>
          <w:highlight w:val="none"/>
          <w:lang w:eastAsia="zh-CN"/>
        </w:rPr>
        <w:t>承担主体责任</w:t>
      </w:r>
      <w:r>
        <w:rPr>
          <w:rFonts w:hint="eastAsia" w:ascii="宋体" w:hAnsi="宋体" w:eastAsia="宋体"/>
          <w:color w:val="auto"/>
          <w:highlight w:val="none"/>
        </w:rPr>
        <w:t>。</w:t>
      </w:r>
    </w:p>
    <w:p>
      <w:pPr>
        <w:pStyle w:val="104"/>
        <w:spacing w:before="312" w:after="312"/>
        <w:rPr>
          <w:color w:val="auto"/>
          <w:highlight w:val="none"/>
        </w:rPr>
      </w:pPr>
      <w:bookmarkStart w:id="57" w:name="_Toc201247669"/>
      <w:bookmarkStart w:id="58" w:name="_Toc201247729"/>
      <w:r>
        <w:rPr>
          <w:rFonts w:hint="eastAsia"/>
          <w:color w:val="auto"/>
          <w:highlight w:val="none"/>
        </w:rPr>
        <w:t>退出管理</w:t>
      </w:r>
      <w:bookmarkEnd w:id="57"/>
      <w:bookmarkEnd w:id="58"/>
    </w:p>
    <w:p>
      <w:pPr>
        <w:pStyle w:val="56"/>
        <w:ind w:firstLine="420"/>
        <w:rPr>
          <w:rFonts w:hint="eastAsia"/>
          <w:color w:val="auto"/>
          <w:highlight w:val="none"/>
        </w:rPr>
      </w:pPr>
      <w:r>
        <w:rPr>
          <w:rFonts w:hint="eastAsia"/>
          <w:color w:val="auto"/>
          <w:highlight w:val="none"/>
        </w:rPr>
        <w:t>供应商有下列情形之一的，学校应终止经营服务合同并及时更换：</w:t>
      </w:r>
    </w:p>
    <w:p>
      <w:pPr>
        <w:pStyle w:val="56"/>
        <w:ind w:firstLine="420"/>
        <w:rPr>
          <w:rFonts w:hint="eastAsia" w:eastAsia="宋体"/>
          <w:color w:val="auto"/>
          <w:highlight w:val="none"/>
          <w:lang w:eastAsia="zh-CN"/>
        </w:rPr>
      </w:pPr>
      <w:r>
        <w:rPr>
          <w:rFonts w:hint="eastAsia"/>
          <w:color w:val="auto"/>
          <w:highlight w:val="none"/>
        </w:rPr>
        <w:t>——因管理松懈、</w:t>
      </w:r>
      <w:r>
        <w:rPr>
          <w:rFonts w:hint="eastAsia"/>
          <w:color w:val="auto"/>
          <w:highlight w:val="none"/>
          <w:lang w:eastAsia="zh-CN"/>
        </w:rPr>
        <w:t>主体</w:t>
      </w:r>
      <w:r>
        <w:rPr>
          <w:rFonts w:hint="eastAsia"/>
          <w:color w:val="auto"/>
          <w:highlight w:val="none"/>
        </w:rPr>
        <w:t>责任履行不到位等造成食品安全事故</w:t>
      </w:r>
      <w:r>
        <w:rPr>
          <w:rFonts w:hint="default"/>
          <w:color w:val="auto"/>
          <w:highlight w:val="none"/>
          <w:lang w:val="en"/>
        </w:rPr>
        <w:t>(</w:t>
      </w:r>
      <w:r>
        <w:rPr>
          <w:rFonts w:hint="eastAsia"/>
          <w:color w:val="auto"/>
          <w:highlight w:val="none"/>
          <w:lang w:val="en" w:eastAsia="zh-CN"/>
        </w:rPr>
        <w:t>件）</w:t>
      </w:r>
      <w:r>
        <w:rPr>
          <w:rFonts w:hint="eastAsia"/>
          <w:color w:val="auto"/>
          <w:highlight w:val="none"/>
        </w:rPr>
        <w:t>、</w:t>
      </w:r>
      <w:r>
        <w:rPr>
          <w:rFonts w:hint="eastAsia"/>
          <w:color w:val="auto"/>
          <w:highlight w:val="none"/>
          <w:lang w:eastAsia="zh-CN"/>
        </w:rPr>
        <w:t>重大食品安全事故或其他食源性疾患的；</w:t>
      </w:r>
    </w:p>
    <w:p>
      <w:pPr>
        <w:pStyle w:val="56"/>
        <w:ind w:firstLine="420"/>
        <w:rPr>
          <w:rFonts w:hint="eastAsia"/>
          <w:color w:val="auto"/>
          <w:highlight w:val="none"/>
        </w:rPr>
      </w:pPr>
      <w:r>
        <w:rPr>
          <w:rFonts w:hint="eastAsia"/>
          <w:color w:val="auto"/>
          <w:highlight w:val="none"/>
        </w:rPr>
        <w:t>——</w:t>
      </w:r>
      <w:r>
        <w:rPr>
          <w:rFonts w:hint="eastAsia"/>
          <w:color w:val="auto"/>
          <w:highlight w:val="none"/>
          <w:lang w:eastAsia="zh-CN"/>
        </w:rPr>
        <w:t>未按照法律法规、规范标准以及校方合同或协议约定，经营管理混乱，</w:t>
      </w:r>
      <w:r>
        <w:rPr>
          <w:rFonts w:hint="eastAsia"/>
          <w:color w:val="auto"/>
          <w:highlight w:val="none"/>
        </w:rPr>
        <w:t>存在食品安全问题且拒不整改或整改不到位的；</w:t>
      </w:r>
    </w:p>
    <w:p>
      <w:pPr>
        <w:pStyle w:val="56"/>
        <w:ind w:firstLine="420"/>
        <w:rPr>
          <w:rFonts w:hint="eastAsia"/>
          <w:color w:val="auto"/>
          <w:highlight w:val="none"/>
        </w:rPr>
      </w:pPr>
      <w:r>
        <w:rPr>
          <w:rFonts w:hint="eastAsia"/>
          <w:color w:val="auto"/>
          <w:highlight w:val="none"/>
        </w:rPr>
        <w:t>——被市场监管部门或其他政府相关管理部门检查发现存在严重食品安全隐患，性质恶劣、情节严重，受到</w:t>
      </w:r>
      <w:r>
        <w:rPr>
          <w:rFonts w:hint="eastAsia"/>
          <w:color w:val="auto"/>
          <w:highlight w:val="none"/>
          <w:lang w:eastAsia="zh-CN"/>
        </w:rPr>
        <w:t>吊销许可证、责令停产停业、较大数额罚款等</w:t>
      </w:r>
      <w:r>
        <w:rPr>
          <w:rFonts w:hint="eastAsia"/>
          <w:color w:val="auto"/>
          <w:highlight w:val="none"/>
        </w:rPr>
        <w:t>较重行政处罚的；</w:t>
      </w:r>
    </w:p>
    <w:p>
      <w:pPr>
        <w:pStyle w:val="56"/>
        <w:ind w:firstLine="420"/>
        <w:rPr>
          <w:rFonts w:hint="eastAsia"/>
          <w:color w:val="auto"/>
          <w:highlight w:val="none"/>
        </w:rPr>
      </w:pPr>
      <w:r>
        <w:rPr>
          <w:rFonts w:hint="eastAsia"/>
          <w:color w:val="auto"/>
          <w:highlight w:val="none"/>
        </w:rPr>
        <w:t>——因</w:t>
      </w:r>
      <w:r>
        <w:rPr>
          <w:rFonts w:hint="eastAsia"/>
          <w:color w:val="auto"/>
          <w:highlight w:val="none"/>
          <w:lang w:eastAsia="zh-CN"/>
        </w:rPr>
        <w:t>食品安全、经营诚信等</w:t>
      </w:r>
      <w:r>
        <w:rPr>
          <w:rFonts w:hint="eastAsia"/>
          <w:color w:val="auto"/>
          <w:highlight w:val="none"/>
        </w:rPr>
        <w:t>违法违规行为给学校造成重大</w:t>
      </w:r>
      <w:r>
        <w:rPr>
          <w:rFonts w:hint="eastAsia"/>
          <w:color w:val="auto"/>
          <w:highlight w:val="none"/>
          <w:lang w:eastAsia="zh-CN"/>
        </w:rPr>
        <w:t>负面</w:t>
      </w:r>
      <w:r>
        <w:rPr>
          <w:rFonts w:hint="eastAsia"/>
          <w:color w:val="auto"/>
          <w:highlight w:val="none"/>
        </w:rPr>
        <w:t>社会影响的；</w:t>
      </w:r>
    </w:p>
    <w:p>
      <w:pPr>
        <w:pStyle w:val="56"/>
        <w:ind w:firstLine="420"/>
        <w:rPr>
          <w:rFonts w:hint="eastAsia"/>
          <w:color w:val="auto"/>
          <w:highlight w:val="none"/>
        </w:rPr>
      </w:pPr>
      <w:r>
        <w:rPr>
          <w:rFonts w:hint="eastAsia"/>
          <w:color w:val="auto"/>
          <w:highlight w:val="none"/>
        </w:rPr>
        <w:t>——因自身原因导致经营状况较差，不能正常经营或有效履约的；</w:t>
      </w:r>
    </w:p>
    <w:p>
      <w:pPr>
        <w:pStyle w:val="56"/>
        <w:ind w:firstLine="420"/>
        <w:rPr>
          <w:color w:val="auto"/>
          <w:highlight w:val="none"/>
        </w:rPr>
      </w:pPr>
      <w:r>
        <w:rPr>
          <w:rFonts w:hint="eastAsia"/>
          <w:color w:val="auto"/>
          <w:highlight w:val="none"/>
        </w:rPr>
        <w:t>——经学校综合认定</w:t>
      </w:r>
      <w:r>
        <w:rPr>
          <w:rFonts w:hint="eastAsia"/>
          <w:color w:val="auto"/>
          <w:highlight w:val="none"/>
          <w:lang w:eastAsia="zh-CN"/>
        </w:rPr>
        <w:t>存在其他严重违反合同约定或无法持续满足准入基本要求</w:t>
      </w:r>
      <w:r>
        <w:rPr>
          <w:rFonts w:hint="eastAsia"/>
          <w:color w:val="auto"/>
          <w:highlight w:val="none"/>
        </w:rPr>
        <w:t>需要终止合作的情形。</w:t>
      </w:r>
    </w:p>
    <w:p>
      <w:pPr>
        <w:pStyle w:val="104"/>
        <w:spacing w:before="312" w:after="312"/>
        <w:rPr>
          <w:color w:val="auto"/>
          <w:highlight w:val="none"/>
        </w:rPr>
      </w:pPr>
      <w:bookmarkStart w:id="59" w:name="_Toc201247730"/>
      <w:bookmarkStart w:id="60" w:name="_Toc201247670"/>
      <w:r>
        <w:rPr>
          <w:rFonts w:hint="eastAsia"/>
          <w:color w:val="auto"/>
          <w:highlight w:val="none"/>
        </w:rPr>
        <w:t>食品采购</w:t>
      </w:r>
      <w:bookmarkEnd w:id="59"/>
      <w:bookmarkEnd w:id="60"/>
    </w:p>
    <w:p>
      <w:pPr>
        <w:pStyle w:val="105"/>
        <w:spacing w:before="156" w:after="156"/>
        <w:rPr>
          <w:color w:val="auto"/>
          <w:highlight w:val="none"/>
        </w:rPr>
      </w:pPr>
      <w:r>
        <w:rPr>
          <w:rFonts w:hint="eastAsia"/>
          <w:color w:val="auto"/>
          <w:highlight w:val="none"/>
        </w:rPr>
        <w:t>基本要求</w:t>
      </w:r>
    </w:p>
    <w:p>
      <w:pPr>
        <w:pStyle w:val="65"/>
        <w:spacing w:before="156" w:after="156"/>
        <w:rPr>
          <w:rFonts w:hint="eastAsia" w:ascii="宋体" w:hAnsi="宋体" w:eastAsia="宋体"/>
          <w:color w:val="auto"/>
          <w:highlight w:val="none"/>
        </w:rPr>
      </w:pPr>
      <w:r>
        <w:rPr>
          <w:rFonts w:hint="eastAsia" w:ascii="宋体" w:hAnsi="宋体" w:eastAsia="宋体"/>
          <w:color w:val="auto"/>
          <w:highlight w:val="none"/>
          <w:lang w:eastAsia="zh-CN"/>
        </w:rPr>
        <w:t>食品</w:t>
      </w:r>
      <w:r>
        <w:rPr>
          <w:rFonts w:hint="eastAsia" w:ascii="宋体" w:hAnsi="宋体" w:eastAsia="宋体"/>
          <w:color w:val="auto"/>
          <w:highlight w:val="none"/>
        </w:rPr>
        <w:t>采购应遵循安全</w:t>
      </w:r>
      <w:r>
        <w:rPr>
          <w:rFonts w:hint="eastAsia" w:ascii="宋体" w:hAnsi="宋体" w:eastAsia="宋体"/>
          <w:color w:val="auto"/>
          <w:highlight w:val="none"/>
          <w:lang w:eastAsia="zh-CN"/>
        </w:rPr>
        <w:t>供应</w:t>
      </w:r>
      <w:r>
        <w:rPr>
          <w:rFonts w:hint="eastAsia" w:ascii="宋体" w:hAnsi="宋体" w:eastAsia="宋体"/>
          <w:color w:val="auto"/>
          <w:highlight w:val="none"/>
        </w:rPr>
        <w:t>、符合营养、计划</w:t>
      </w:r>
      <w:r>
        <w:rPr>
          <w:rFonts w:hint="eastAsia" w:ascii="宋体" w:hAnsi="宋体" w:eastAsia="宋体"/>
          <w:color w:val="auto"/>
          <w:highlight w:val="none"/>
          <w:lang w:eastAsia="zh-CN"/>
        </w:rPr>
        <w:t>采购</w:t>
      </w:r>
      <w:r>
        <w:rPr>
          <w:rFonts w:hint="eastAsia" w:ascii="宋体" w:hAnsi="宋体" w:eastAsia="宋体"/>
          <w:color w:val="auto"/>
          <w:highlight w:val="none"/>
        </w:rPr>
        <w:t>、合理库存、渠道稳定</w:t>
      </w:r>
      <w:r>
        <w:rPr>
          <w:rFonts w:hint="eastAsia" w:ascii="宋体" w:hAnsi="宋体" w:eastAsia="宋体"/>
          <w:color w:val="auto"/>
          <w:highlight w:val="none"/>
          <w:lang w:eastAsia="zh-CN"/>
        </w:rPr>
        <w:t>、公开公平</w:t>
      </w:r>
      <w:r>
        <w:rPr>
          <w:rFonts w:hint="eastAsia" w:ascii="宋体" w:hAnsi="宋体" w:eastAsia="宋体"/>
          <w:color w:val="auto"/>
          <w:highlight w:val="none"/>
        </w:rPr>
        <w:t>的原则</w:t>
      </w:r>
      <w:r>
        <w:rPr>
          <w:rFonts w:hint="eastAsia" w:ascii="宋体" w:hAnsi="宋体" w:eastAsia="宋体"/>
          <w:color w:val="auto"/>
          <w:szCs w:val="21"/>
          <w:highlight w:val="none"/>
        </w:rPr>
        <w:t>。</w:t>
      </w:r>
    </w:p>
    <w:p>
      <w:pPr>
        <w:pStyle w:val="65"/>
        <w:spacing w:before="156" w:after="156"/>
        <w:rPr>
          <w:rFonts w:hint="eastAsia" w:ascii="宋体" w:hAnsi="宋体" w:eastAsia="宋体"/>
          <w:color w:val="auto"/>
          <w:highlight w:val="none"/>
        </w:rPr>
      </w:pPr>
      <w:r>
        <w:rPr>
          <w:rFonts w:hint="eastAsia" w:ascii="宋体" w:hAnsi="宋体" w:eastAsia="宋体"/>
          <w:color w:val="auto"/>
          <w:highlight w:val="none"/>
        </w:rPr>
        <w:t>学校食堂应根据用餐人数</w:t>
      </w:r>
      <w:r>
        <w:rPr>
          <w:rFonts w:hint="eastAsia" w:ascii="宋体" w:hAnsi="宋体" w:eastAsia="宋体"/>
          <w:color w:val="auto"/>
          <w:highlight w:val="none"/>
          <w:lang w:eastAsia="zh-CN"/>
        </w:rPr>
        <w:t>、食材耗费和库存能力等实际情况科学</w:t>
      </w:r>
      <w:r>
        <w:rPr>
          <w:rFonts w:hint="eastAsia" w:ascii="宋体" w:hAnsi="宋体" w:eastAsia="宋体"/>
          <w:color w:val="auto"/>
          <w:highlight w:val="none"/>
        </w:rPr>
        <w:t>制定</w:t>
      </w:r>
      <w:r>
        <w:rPr>
          <w:rFonts w:hint="eastAsia" w:ascii="宋体" w:hAnsi="宋体" w:eastAsia="宋体"/>
          <w:color w:val="auto"/>
          <w:highlight w:val="none"/>
          <w:lang w:eastAsia="zh-CN"/>
        </w:rPr>
        <w:t>采供</w:t>
      </w:r>
      <w:r>
        <w:rPr>
          <w:rFonts w:hint="eastAsia" w:ascii="宋体" w:hAnsi="宋体" w:eastAsia="宋体"/>
          <w:color w:val="auto"/>
          <w:highlight w:val="none"/>
        </w:rPr>
        <w:t>计划。</w:t>
      </w:r>
      <w:r>
        <w:rPr>
          <w:rFonts w:hint="eastAsia" w:ascii="宋体" w:hAnsi="宋体" w:eastAsia="宋体"/>
          <w:bCs/>
          <w:color w:val="auto"/>
          <w:highlight w:val="none"/>
        </w:rPr>
        <w:t>生鲜食品</w:t>
      </w:r>
      <w:r>
        <w:rPr>
          <w:rFonts w:hint="eastAsia" w:ascii="宋体" w:hAnsi="宋体" w:eastAsia="宋体"/>
          <w:bCs/>
          <w:color w:val="auto"/>
          <w:highlight w:val="none"/>
          <w:lang w:eastAsia="zh-CN"/>
        </w:rPr>
        <w:t>等易腐食材</w:t>
      </w:r>
      <w:r>
        <w:rPr>
          <w:rFonts w:hint="eastAsia" w:ascii="宋体" w:hAnsi="宋体" w:eastAsia="宋体"/>
          <w:bCs/>
          <w:color w:val="auto"/>
          <w:highlight w:val="none"/>
        </w:rPr>
        <w:t>应做到</w:t>
      </w:r>
      <w:r>
        <w:rPr>
          <w:rFonts w:hint="eastAsia" w:ascii="宋体" w:hAnsi="宋体" w:eastAsia="宋体"/>
          <w:bCs/>
          <w:color w:val="auto"/>
          <w:highlight w:val="none"/>
          <w:lang w:eastAsia="zh-CN"/>
        </w:rPr>
        <w:t>订单</w:t>
      </w:r>
      <w:r>
        <w:rPr>
          <w:rFonts w:hint="eastAsia" w:ascii="宋体" w:hAnsi="宋体" w:eastAsia="宋体"/>
          <w:bCs/>
          <w:color w:val="auto"/>
          <w:highlight w:val="none"/>
        </w:rPr>
        <w:t>采购、分开存放、及时使用，</w:t>
      </w:r>
      <w:r>
        <w:rPr>
          <w:rFonts w:hint="eastAsia" w:ascii="宋体" w:hAnsi="宋体" w:eastAsia="宋体"/>
          <w:color w:val="auto"/>
          <w:highlight w:val="none"/>
        </w:rPr>
        <w:t>尽可能减少其库存并</w:t>
      </w:r>
      <w:r>
        <w:rPr>
          <w:rFonts w:hint="eastAsia" w:ascii="宋体" w:hAnsi="宋体" w:eastAsia="宋体"/>
          <w:bCs/>
          <w:color w:val="auto"/>
          <w:highlight w:val="none"/>
        </w:rPr>
        <w:t>保鲜冷藏</w:t>
      </w:r>
      <w:r>
        <w:rPr>
          <w:rFonts w:hint="eastAsia" w:ascii="宋体" w:hAnsi="宋体" w:eastAsia="宋体"/>
          <w:color w:val="auto"/>
          <w:highlight w:val="none"/>
        </w:rPr>
        <w:t>。粮、油、调味品等耐储存食品原料采购可根据学校储存条件制定。</w:t>
      </w:r>
    </w:p>
    <w:p>
      <w:pPr>
        <w:pStyle w:val="65"/>
        <w:spacing w:before="156" w:after="156"/>
        <w:rPr>
          <w:rFonts w:hint="eastAsia" w:ascii="宋体" w:hAnsi="宋体" w:eastAsia="宋体"/>
          <w:color w:val="auto"/>
          <w:highlight w:val="none"/>
        </w:rPr>
      </w:pPr>
      <w:r>
        <w:rPr>
          <w:rFonts w:hint="eastAsia" w:ascii="宋体" w:hAnsi="宋体" w:eastAsia="宋体"/>
          <w:color w:val="auto"/>
          <w:highlight w:val="none"/>
        </w:rPr>
        <w:t>学校食堂应当建立食品安全追溯体系，如实、准确、完整记录并保存食品进货查验等信息，保证食品可追溯。</w:t>
      </w:r>
    </w:p>
    <w:p>
      <w:pPr>
        <w:pStyle w:val="65"/>
        <w:spacing w:before="156" w:after="156"/>
        <w:rPr>
          <w:rFonts w:hint="eastAsia"/>
          <w:color w:val="auto"/>
          <w:highlight w:val="none"/>
        </w:rPr>
      </w:pPr>
      <w:r>
        <w:rPr>
          <w:rFonts w:hint="eastAsia" w:ascii="宋体" w:hAnsi="宋体" w:eastAsia="宋体"/>
          <w:color w:val="auto"/>
          <w:highlight w:val="none"/>
        </w:rPr>
        <w:t>学校应建立食品采购部门（中心、小组）</w:t>
      </w:r>
      <w:r>
        <w:rPr>
          <w:rFonts w:hint="eastAsia" w:ascii="宋体" w:hAnsi="宋体" w:eastAsia="宋体"/>
          <w:color w:val="auto"/>
          <w:highlight w:val="none"/>
          <w:lang w:eastAsia="zh-CN"/>
        </w:rPr>
        <w:t>，负责采购工作的组织实施。</w:t>
      </w:r>
    </w:p>
    <w:p>
      <w:pPr>
        <w:pStyle w:val="65"/>
        <w:spacing w:before="156" w:after="156"/>
        <w:rPr>
          <w:rFonts w:hint="eastAsia" w:ascii="宋体" w:hAnsi="宋体" w:eastAsia="宋体"/>
          <w:color w:val="auto"/>
          <w:highlight w:val="none"/>
        </w:rPr>
      </w:pPr>
      <w:r>
        <w:rPr>
          <w:rFonts w:hint="eastAsia" w:ascii="宋体" w:hAnsi="宋体" w:eastAsia="宋体"/>
          <w:color w:val="auto"/>
          <w:highlight w:val="none"/>
          <w:lang w:eastAsia="zh-CN"/>
        </w:rPr>
        <w:t>学校应建立并严格执行食品采购进货查验、索证索票制度，索取、查验并留存供应商的有效资质证明，并存档备查；</w:t>
      </w:r>
    </w:p>
    <w:p>
      <w:pPr>
        <w:pStyle w:val="65"/>
        <w:spacing w:before="156" w:after="156"/>
        <w:rPr>
          <w:rFonts w:hint="eastAsia" w:ascii="宋体" w:hAnsi="宋体" w:eastAsia="宋体"/>
          <w:color w:val="auto"/>
          <w:highlight w:val="none"/>
        </w:rPr>
      </w:pPr>
      <w:r>
        <w:rPr>
          <w:rFonts w:hint="eastAsia" w:ascii="宋体" w:hAnsi="宋体" w:eastAsia="宋体"/>
          <w:color w:val="auto"/>
          <w:highlight w:val="none"/>
        </w:rPr>
        <w:t>学校食堂应明确学校和供应商的责任和义务，且学校应采取但不限于以下措施：</w:t>
      </w:r>
    </w:p>
    <w:p>
      <w:pPr>
        <w:pStyle w:val="65"/>
        <w:numPr>
          <w:ilvl w:val="0"/>
          <w:numId w:val="0"/>
        </w:numPr>
        <w:spacing w:before="156" w:after="156"/>
        <w:rPr>
          <w:rFonts w:hint="eastAsia" w:ascii="宋体" w:hAnsi="宋体" w:eastAsia="宋体"/>
          <w:color w:val="auto"/>
          <w:highlight w:val="none"/>
          <w:lang w:val="en" w:eastAsia="zh-CN"/>
        </w:rPr>
      </w:pPr>
      <w:r>
        <w:rPr>
          <w:rFonts w:hint="eastAsia" w:ascii="宋体" w:hAnsi="宋体" w:eastAsia="宋体"/>
          <w:color w:val="auto"/>
          <w:highlight w:val="none"/>
        </w:rPr>
        <w:t>——学校应采取大宗食品公开招标方式严格遴选供应商，与中标供应商依法签订采购合同，并应采取集中采购和定点采购的方式；</w:t>
      </w:r>
      <w:r>
        <w:rPr>
          <w:rFonts w:hint="eastAsia" w:ascii="宋体" w:hAnsi="宋体" w:eastAsia="宋体"/>
          <w:color w:val="auto"/>
          <w:szCs w:val="21"/>
          <w:highlight w:val="none"/>
        </w:rPr>
        <w:t>鼓励源</w:t>
      </w:r>
      <w:r>
        <w:rPr>
          <w:rFonts w:hint="eastAsia" w:ascii="宋体" w:hAnsi="宋体" w:eastAsia="宋体"/>
          <w:color w:val="auto"/>
          <w:highlight w:val="none"/>
        </w:rPr>
        <w:t>头采购、规模采购，减少流通环节，降低采购成本</w:t>
      </w:r>
      <w:r>
        <w:rPr>
          <w:rFonts w:hint="eastAsia" w:ascii="宋体" w:hAnsi="宋体" w:eastAsia="宋体"/>
          <w:color w:val="auto"/>
          <w:highlight w:val="none"/>
          <w:lang w:eastAsia="zh-CN"/>
        </w:rPr>
        <w:t>；</w:t>
      </w:r>
    </w:p>
    <w:p>
      <w:pPr>
        <w:pStyle w:val="65"/>
        <w:numPr>
          <w:ilvl w:val="0"/>
          <w:numId w:val="0"/>
        </w:numPr>
        <w:spacing w:before="156" w:after="156"/>
        <w:rPr>
          <w:rFonts w:hint="eastAsia" w:ascii="宋体" w:hAnsi="宋体" w:eastAsia="宋体"/>
          <w:color w:val="auto"/>
          <w:highlight w:val="none"/>
        </w:rPr>
      </w:pPr>
      <w:r>
        <w:rPr>
          <w:rFonts w:hint="eastAsia" w:ascii="宋体" w:hAnsi="宋体" w:eastAsia="宋体"/>
          <w:color w:val="auto"/>
          <w:highlight w:val="none"/>
        </w:rPr>
        <w:t>——校方和供应商签订供货协议时，应明确双方责任和义务、准入和退出要求，同时签订产品质量责任书；</w:t>
      </w:r>
    </w:p>
    <w:p>
      <w:pPr>
        <w:pStyle w:val="56"/>
        <w:ind w:left="0" w:leftChars="0" w:firstLine="0" w:firstLineChars="0"/>
        <w:rPr>
          <w:rFonts w:hint="eastAsia" w:eastAsia="宋体"/>
          <w:color w:val="auto"/>
          <w:highlight w:val="none"/>
          <w:lang w:eastAsia="zh-CN"/>
        </w:rPr>
      </w:pPr>
      <w:r>
        <w:rPr>
          <w:rFonts w:hint="eastAsia" w:ascii="宋体" w:hAnsi="宋体" w:eastAsia="宋体"/>
          <w:color w:val="auto"/>
          <w:highlight w:val="none"/>
        </w:rPr>
        <w:t>——</w:t>
      </w:r>
      <w:r>
        <w:rPr>
          <w:rFonts w:hint="eastAsia" w:hAnsi="宋体"/>
          <w:color w:val="auto"/>
          <w:highlight w:val="none"/>
          <w:lang w:eastAsia="zh-CN"/>
        </w:rPr>
        <w:t>自主</w:t>
      </w:r>
      <w:r>
        <w:rPr>
          <w:rFonts w:hint="eastAsia" w:hAnsi="宋体"/>
          <w:color w:val="auto"/>
          <w:highlight w:val="none"/>
        </w:rPr>
        <w:t>和引入社会力量</w:t>
      </w:r>
      <w:r>
        <w:rPr>
          <w:rFonts w:hint="eastAsia" w:hAnsi="宋体"/>
          <w:color w:val="auto"/>
          <w:highlight w:val="none"/>
          <w:lang w:eastAsia="zh-CN"/>
        </w:rPr>
        <w:t>承包（委托）</w:t>
      </w:r>
      <w:r>
        <w:rPr>
          <w:rFonts w:hint="eastAsia" w:hAnsi="宋体"/>
          <w:color w:val="auto"/>
          <w:highlight w:val="none"/>
        </w:rPr>
        <w:t>经营</w:t>
      </w:r>
      <w:r>
        <w:rPr>
          <w:rFonts w:hint="eastAsia" w:hAnsi="宋体"/>
          <w:color w:val="auto"/>
          <w:highlight w:val="none"/>
          <w:lang w:eastAsia="zh-CN"/>
        </w:rPr>
        <w:t>的学校</w:t>
      </w:r>
      <w:r>
        <w:rPr>
          <w:rFonts w:hint="eastAsia" w:hAnsi="宋体"/>
          <w:color w:val="auto"/>
          <w:highlight w:val="none"/>
        </w:rPr>
        <w:t>食堂（或档口）的</w:t>
      </w:r>
      <w:r>
        <w:rPr>
          <w:rFonts w:hint="eastAsia" w:hAnsi="宋体"/>
          <w:color w:val="auto"/>
          <w:highlight w:val="none"/>
          <w:lang w:eastAsia="zh-CN"/>
        </w:rPr>
        <w:t>食品</w:t>
      </w:r>
      <w:r>
        <w:rPr>
          <w:rFonts w:hint="eastAsia" w:hAnsi="宋体"/>
          <w:color w:val="auto"/>
          <w:highlight w:val="none"/>
        </w:rPr>
        <w:t>采购应由学校统一管理配送</w:t>
      </w:r>
      <w:r>
        <w:rPr>
          <w:rFonts w:hint="eastAsia" w:hAnsi="宋体"/>
          <w:color w:val="auto"/>
          <w:highlight w:val="none"/>
          <w:lang w:eastAsia="zh-CN"/>
        </w:rPr>
        <w:t>；</w:t>
      </w:r>
    </w:p>
    <w:p>
      <w:pPr>
        <w:pStyle w:val="56"/>
        <w:ind w:left="0" w:leftChars="0" w:firstLine="0" w:firstLineChars="0"/>
        <w:jc w:val="left"/>
        <w:rPr>
          <w:rFonts w:hint="eastAsia" w:ascii="宋体" w:hAnsi="宋体" w:eastAsia="宋体"/>
          <w:color w:val="auto"/>
          <w:highlight w:val="none"/>
          <w:lang w:eastAsia="zh-CN"/>
        </w:rPr>
      </w:pPr>
      <w:r>
        <w:rPr>
          <w:rFonts w:hint="eastAsia" w:ascii="宋体" w:hAnsi="宋体" w:eastAsia="宋体"/>
          <w:color w:val="auto"/>
          <w:highlight w:val="none"/>
        </w:rPr>
        <w:t>——</w:t>
      </w:r>
      <w:r>
        <w:rPr>
          <w:rFonts w:hint="eastAsia" w:ascii="宋体" w:hAnsi="宋体" w:eastAsia="宋体" w:cs="Times New Roman"/>
          <w:color w:val="auto"/>
          <w:sz w:val="21"/>
          <w:highlight w:val="none"/>
          <w:lang w:val="en-US" w:eastAsia="zh-CN" w:bidi="ar-SA"/>
        </w:rPr>
        <w:t>校方应组建由食品安全管理、采购人员及厨师团队负责人等</w:t>
      </w:r>
      <w:r>
        <w:rPr>
          <w:rFonts w:hint="eastAsia" w:hAnsi="宋体" w:cs="Times New Roman"/>
          <w:color w:val="auto"/>
          <w:sz w:val="21"/>
          <w:highlight w:val="none"/>
          <w:lang w:val="en-US" w:eastAsia="zh-CN" w:bidi="ar-SA"/>
        </w:rPr>
        <w:t>人员</w:t>
      </w:r>
      <w:r>
        <w:rPr>
          <w:rFonts w:hint="eastAsia" w:ascii="宋体" w:hAnsi="宋体" w:eastAsia="宋体" w:cs="Times New Roman"/>
          <w:color w:val="auto"/>
          <w:sz w:val="21"/>
          <w:highlight w:val="none"/>
          <w:lang w:val="en-US" w:eastAsia="zh-CN" w:bidi="ar-SA"/>
        </w:rPr>
        <w:t>组成的验收组，负责食品及原料的采购、配送和验收等日常管理</w:t>
      </w:r>
      <w:r>
        <w:rPr>
          <w:rFonts w:hint="eastAsia" w:hAnsi="宋体" w:cs="Times New Roman"/>
          <w:color w:val="auto"/>
          <w:sz w:val="21"/>
          <w:highlight w:val="none"/>
          <w:lang w:val="en-US" w:eastAsia="zh-CN" w:bidi="ar-SA"/>
        </w:rPr>
        <w:t>，</w:t>
      </w:r>
      <w:r>
        <w:rPr>
          <w:rFonts w:hint="eastAsia" w:ascii="宋体" w:hAnsi="宋体" w:eastAsia="宋体"/>
          <w:color w:val="auto"/>
          <w:highlight w:val="none"/>
        </w:rPr>
        <w:t>校方和供应商应共同参与</w:t>
      </w:r>
      <w:r>
        <w:rPr>
          <w:rFonts w:hint="eastAsia" w:ascii="宋体" w:hAnsi="宋体" w:eastAsia="宋体"/>
          <w:color w:val="auto"/>
          <w:highlight w:val="none"/>
          <w:lang w:eastAsia="zh-CN"/>
        </w:rPr>
        <w:t>食品采购工作；</w:t>
      </w:r>
    </w:p>
    <w:p>
      <w:pPr>
        <w:pStyle w:val="94"/>
        <w:numPr>
          <w:ilvl w:val="4"/>
          <w:numId w:val="0"/>
        </w:numPr>
        <w:spacing w:before="0" w:beforeLines="0" w:after="0" w:afterLines="0"/>
        <w:ind w:leftChars="0"/>
        <w:outlineLvl w:val="9"/>
        <w:rPr>
          <w:rFonts w:hint="eastAsia" w:ascii="宋体" w:hAnsi="宋体" w:eastAsia="宋体"/>
          <w:color w:val="auto"/>
          <w:highlight w:val="none"/>
          <w:lang w:eastAsia="zh-CN"/>
        </w:rPr>
      </w:pPr>
      <w:r>
        <w:rPr>
          <w:rFonts w:hint="eastAsia" w:ascii="宋体" w:hAnsi="宋体" w:eastAsia="宋体"/>
          <w:color w:val="auto"/>
          <w:highlight w:val="none"/>
        </w:rPr>
        <w:t>——学校应公示</w:t>
      </w:r>
      <w:r>
        <w:rPr>
          <w:rFonts w:hint="eastAsia" w:ascii="宋体" w:hAnsi="宋体" w:eastAsia="宋体"/>
          <w:color w:val="auto"/>
          <w:highlight w:val="none"/>
          <w:lang w:eastAsia="zh-CN"/>
        </w:rPr>
        <w:t>大宗食材的供货单位</w:t>
      </w:r>
      <w:r>
        <w:rPr>
          <w:rFonts w:hint="eastAsia" w:ascii="宋体" w:hAnsi="宋体" w:eastAsia="宋体"/>
          <w:color w:val="auto"/>
          <w:highlight w:val="none"/>
        </w:rPr>
        <w:t>、采购价格</w:t>
      </w:r>
      <w:r>
        <w:rPr>
          <w:rFonts w:hint="eastAsia" w:ascii="宋体" w:hAnsi="宋体" w:eastAsia="宋体"/>
          <w:color w:val="auto"/>
          <w:highlight w:val="none"/>
          <w:lang w:eastAsia="zh-CN"/>
        </w:rPr>
        <w:t>、检测</w:t>
      </w:r>
      <w:r>
        <w:rPr>
          <w:rFonts w:hint="eastAsia" w:ascii="宋体" w:hAnsi="宋体" w:eastAsia="宋体"/>
          <w:color w:val="auto"/>
          <w:highlight w:val="none"/>
        </w:rPr>
        <w:t>情况等信息</w:t>
      </w:r>
      <w:r>
        <w:rPr>
          <w:rFonts w:hint="eastAsia" w:ascii="宋体" w:hAnsi="宋体" w:eastAsia="宋体"/>
          <w:color w:val="auto"/>
          <w:highlight w:val="none"/>
          <w:lang w:eastAsia="zh-CN"/>
        </w:rPr>
        <w:t>；</w:t>
      </w:r>
    </w:p>
    <w:p>
      <w:pPr>
        <w:pStyle w:val="56"/>
        <w:ind w:left="0" w:leftChars="0" w:firstLine="0" w:firstLineChars="0"/>
        <w:jc w:val="left"/>
        <w:rPr>
          <w:color w:val="auto"/>
          <w:highlight w:val="none"/>
        </w:rPr>
      </w:pPr>
      <w:r>
        <w:rPr>
          <w:rFonts w:hint="eastAsia" w:ascii="宋体" w:hAnsi="宋体" w:eastAsia="宋体"/>
          <w:color w:val="auto"/>
          <w:highlight w:val="none"/>
        </w:rPr>
        <w:t>——学校应建立供货评价和退出机制。每月应至少组织开展一次对供应商的抽查评价，</w:t>
      </w:r>
      <w:r>
        <w:rPr>
          <w:rFonts w:hint="eastAsia" w:hAnsi="宋体"/>
          <w:color w:val="auto"/>
          <w:highlight w:val="none"/>
          <w:lang w:eastAsia="zh-CN"/>
        </w:rPr>
        <w:t>每学期完成一次供应商的综合评价，</w:t>
      </w:r>
      <w:r>
        <w:rPr>
          <w:rFonts w:hint="eastAsia" w:ascii="宋体" w:hAnsi="宋体" w:eastAsia="宋体"/>
          <w:color w:val="auto"/>
          <w:highlight w:val="none"/>
        </w:rPr>
        <w:t>全面检查评估</w:t>
      </w:r>
      <w:r>
        <w:rPr>
          <w:rFonts w:hint="eastAsia" w:hAnsi="宋体"/>
          <w:color w:val="auto"/>
          <w:highlight w:val="none"/>
          <w:lang w:eastAsia="zh-CN"/>
        </w:rPr>
        <w:t>采供</w:t>
      </w:r>
      <w:r>
        <w:rPr>
          <w:rFonts w:hint="eastAsia" w:ascii="宋体" w:hAnsi="宋体" w:eastAsia="宋体"/>
          <w:color w:val="auto"/>
          <w:highlight w:val="none"/>
        </w:rPr>
        <w:t>配送能力、</w:t>
      </w:r>
      <w:r>
        <w:rPr>
          <w:rFonts w:hint="eastAsia" w:ascii="宋体" w:hAnsi="宋体" w:eastAsia="宋体"/>
          <w:color w:val="auto"/>
          <w:highlight w:val="none"/>
          <w:lang w:eastAsia="zh-CN"/>
        </w:rPr>
        <w:t>依法</w:t>
      </w:r>
      <w:r>
        <w:rPr>
          <w:rFonts w:hint="eastAsia" w:ascii="宋体" w:hAnsi="宋体" w:eastAsia="宋体"/>
          <w:color w:val="auto"/>
          <w:highlight w:val="none"/>
        </w:rPr>
        <w:t>经营</w:t>
      </w:r>
      <w:r>
        <w:rPr>
          <w:rFonts w:hint="eastAsia" w:ascii="宋体" w:hAnsi="宋体" w:eastAsia="宋体"/>
          <w:color w:val="auto"/>
          <w:highlight w:val="none"/>
          <w:lang w:eastAsia="zh-CN"/>
        </w:rPr>
        <w:t>情况</w:t>
      </w:r>
      <w:r>
        <w:rPr>
          <w:rFonts w:hint="eastAsia" w:ascii="宋体" w:hAnsi="宋体" w:eastAsia="宋体"/>
          <w:color w:val="auto"/>
          <w:highlight w:val="none"/>
        </w:rPr>
        <w:t>等，发现存在食品安全问题的，应及时处理，并将相关工作情况报告教育行政部门和市场监管部门。</w:t>
      </w:r>
    </w:p>
    <w:p>
      <w:pPr>
        <w:pStyle w:val="105"/>
        <w:spacing w:before="156" w:after="156"/>
        <w:rPr>
          <w:color w:val="auto"/>
          <w:highlight w:val="none"/>
        </w:rPr>
      </w:pPr>
      <w:r>
        <w:rPr>
          <w:rFonts w:hint="eastAsia"/>
          <w:color w:val="auto"/>
          <w:highlight w:val="none"/>
        </w:rPr>
        <w:t>采购查验</w:t>
      </w:r>
    </w:p>
    <w:p>
      <w:pPr>
        <w:pStyle w:val="65"/>
        <w:spacing w:before="156" w:after="156"/>
        <w:rPr>
          <w:rFonts w:hint="eastAsia" w:ascii="宋体" w:hAnsi="宋体" w:eastAsia="宋体"/>
          <w:color w:val="auto"/>
          <w:highlight w:val="none"/>
        </w:rPr>
      </w:pPr>
      <w:r>
        <w:rPr>
          <w:rFonts w:hint="eastAsia" w:ascii="宋体" w:hAnsi="宋体" w:eastAsia="宋体"/>
          <w:color w:val="auto"/>
          <w:highlight w:val="none"/>
        </w:rPr>
        <w:t>校方食品安全管理、采购人员及厨师团队负责人等应组成验收组，共同开展对食品及原料的采购、配送和验收等日常管理。</w:t>
      </w:r>
    </w:p>
    <w:p>
      <w:pPr>
        <w:pStyle w:val="65"/>
        <w:spacing w:before="156" w:after="156"/>
        <w:rPr>
          <w:rFonts w:hint="eastAsia" w:ascii="宋体" w:hAnsi="宋体" w:eastAsia="宋体"/>
          <w:color w:val="auto"/>
          <w:highlight w:val="none"/>
        </w:rPr>
      </w:pPr>
      <w:r>
        <w:rPr>
          <w:rFonts w:hint="eastAsia" w:ascii="宋体" w:hAnsi="宋体" w:eastAsia="宋体" w:cs="宋体"/>
          <w:color w:val="auto"/>
          <w:highlight w:val="none"/>
        </w:rPr>
        <w:t>验收人员应具备专业能力，能够通过</w:t>
      </w:r>
      <w:r>
        <w:rPr>
          <w:rFonts w:hint="eastAsia" w:ascii="宋体" w:hAnsi="宋体" w:eastAsia="宋体" w:cs="宋体"/>
          <w:color w:val="auto"/>
          <w:highlight w:val="none"/>
          <w:lang w:eastAsia="zh-CN"/>
        </w:rPr>
        <w:t>看、触</w:t>
      </w:r>
      <w:r>
        <w:rPr>
          <w:rFonts w:hint="eastAsia" w:ascii="宋体" w:hAnsi="宋体" w:eastAsia="宋体" w:cs="宋体"/>
          <w:color w:val="auto"/>
          <w:highlight w:val="none"/>
        </w:rPr>
        <w:t>感官判断</w:t>
      </w:r>
      <w:r>
        <w:rPr>
          <w:rFonts w:hint="eastAsia" w:ascii="宋体" w:hAnsi="宋体" w:eastAsia="宋体" w:cs="宋体"/>
          <w:color w:val="auto"/>
          <w:highlight w:val="none"/>
          <w:lang w:eastAsia="zh-CN"/>
        </w:rPr>
        <w:t>食品</w:t>
      </w:r>
      <w:r>
        <w:rPr>
          <w:rFonts w:hint="eastAsia" w:ascii="宋体" w:hAnsi="宋体" w:eastAsia="宋体" w:cs="宋体"/>
          <w:color w:val="auto"/>
          <w:highlight w:val="none"/>
        </w:rPr>
        <w:t>原料</w:t>
      </w:r>
      <w:r>
        <w:rPr>
          <w:rFonts w:hint="eastAsia" w:ascii="宋体" w:hAnsi="宋体" w:eastAsia="宋体" w:cs="宋体"/>
          <w:color w:val="auto"/>
          <w:highlight w:val="none"/>
          <w:lang w:eastAsia="zh-CN"/>
        </w:rPr>
        <w:t>的</w:t>
      </w:r>
      <w:r>
        <w:rPr>
          <w:rFonts w:hint="eastAsia" w:ascii="宋体" w:hAnsi="宋体" w:eastAsia="宋体" w:cs="宋体"/>
          <w:color w:val="auto"/>
          <w:highlight w:val="none"/>
        </w:rPr>
        <w:t>品质性状，对其色泽、气味、质地、形态等</w:t>
      </w:r>
      <w:r>
        <w:rPr>
          <w:rFonts w:hint="eastAsia" w:ascii="宋体" w:hAnsi="宋体" w:eastAsia="宋体" w:cs="宋体"/>
          <w:color w:val="auto"/>
          <w:highlight w:val="none"/>
          <w:lang w:eastAsia="zh-CN"/>
        </w:rPr>
        <w:t>感官指标</w:t>
      </w:r>
      <w:r>
        <w:rPr>
          <w:rFonts w:hint="eastAsia" w:ascii="宋体" w:hAnsi="宋体" w:eastAsia="宋体" w:cs="宋体"/>
          <w:color w:val="auto"/>
          <w:highlight w:val="none"/>
        </w:rPr>
        <w:t>进行准确鉴别，严格把控原料质量。</w:t>
      </w:r>
    </w:p>
    <w:p>
      <w:pPr>
        <w:pStyle w:val="65"/>
        <w:spacing w:before="156" w:after="156"/>
        <w:rPr>
          <w:rFonts w:ascii="宋体" w:hAnsi="宋体" w:eastAsia="宋体"/>
          <w:color w:val="auto"/>
          <w:highlight w:val="none"/>
        </w:rPr>
      </w:pPr>
      <w:r>
        <w:rPr>
          <w:rFonts w:hint="eastAsia" w:ascii="宋体" w:hAnsi="宋体" w:eastAsia="宋体"/>
          <w:color w:val="auto"/>
          <w:highlight w:val="none"/>
        </w:rPr>
        <w:t>学校食堂应建立食品采购进货查验制度。查验内容应包括：</w:t>
      </w:r>
    </w:p>
    <w:p>
      <w:pPr>
        <w:pStyle w:val="56"/>
        <w:ind w:firstLine="0" w:firstLineChars="0"/>
        <w:rPr>
          <w:rFonts w:hAnsi="宋体"/>
          <w:color w:val="auto"/>
          <w:szCs w:val="21"/>
          <w:highlight w:val="none"/>
        </w:rPr>
      </w:pPr>
      <w:r>
        <w:rPr>
          <w:rFonts w:hint="eastAsia" w:hAnsi="宋体"/>
          <w:color w:val="auto"/>
          <w:highlight w:val="none"/>
        </w:rPr>
        <w:t>——从食品生产者采购食品的，应当查验其食品生产许可证和产品合格证明文件等；</w:t>
      </w:r>
    </w:p>
    <w:p>
      <w:pPr>
        <w:pStyle w:val="56"/>
        <w:ind w:firstLine="0" w:firstLineChars="0"/>
        <w:rPr>
          <w:rFonts w:hint="eastAsia" w:hAnsi="宋体"/>
          <w:color w:val="auto"/>
          <w:highlight w:val="none"/>
        </w:rPr>
      </w:pPr>
      <w:r>
        <w:rPr>
          <w:rFonts w:hint="eastAsia" w:hAnsi="宋体"/>
          <w:color w:val="auto"/>
          <w:highlight w:val="none"/>
        </w:rPr>
        <w:t>——从商场、超市、便利店等食品经营者采购食品的，应当查验其食品经营许可证等；</w:t>
      </w:r>
    </w:p>
    <w:p>
      <w:pPr>
        <w:pStyle w:val="56"/>
        <w:ind w:firstLine="0" w:firstLineChars="0"/>
        <w:rPr>
          <w:rFonts w:hint="eastAsia" w:hAnsi="宋体"/>
          <w:color w:val="auto"/>
          <w:highlight w:val="none"/>
        </w:rPr>
      </w:pPr>
      <w:r>
        <w:rPr>
          <w:rFonts w:hint="eastAsia" w:hAnsi="宋体"/>
          <w:color w:val="auto"/>
          <w:highlight w:val="none"/>
        </w:rPr>
        <w:t>——从食用农产品生产者直接采购的，应当查验并留存其社会信用代码或者身份证复印件；</w:t>
      </w:r>
    </w:p>
    <w:p>
      <w:pPr>
        <w:pStyle w:val="56"/>
        <w:ind w:firstLine="0" w:firstLineChars="0"/>
        <w:rPr>
          <w:rFonts w:hint="eastAsia" w:hAnsi="宋体" w:eastAsia="宋体"/>
          <w:color w:val="auto"/>
          <w:highlight w:val="none"/>
          <w:lang w:eastAsia="zh-CN"/>
        </w:rPr>
      </w:pPr>
      <w:r>
        <w:rPr>
          <w:rFonts w:hint="eastAsia" w:hAnsi="宋体"/>
          <w:color w:val="auto"/>
          <w:highlight w:val="none"/>
        </w:rPr>
        <w:t>——从集中交易市场采购食用农产品的，应当索取并留存由市场开办者或经营者加盖公章（或者负责人签字）的购货凭证</w:t>
      </w:r>
      <w:r>
        <w:rPr>
          <w:rFonts w:hint="eastAsia" w:hAnsi="宋体"/>
          <w:color w:val="auto"/>
          <w:highlight w:val="none"/>
          <w:lang w:eastAsia="zh-CN"/>
        </w:rPr>
        <w:t>；</w:t>
      </w:r>
    </w:p>
    <w:p>
      <w:pPr>
        <w:pStyle w:val="56"/>
        <w:ind w:firstLine="0" w:firstLineChars="0"/>
        <w:rPr>
          <w:rFonts w:hint="eastAsia" w:hAnsi="宋体"/>
          <w:color w:val="auto"/>
          <w:highlight w:val="none"/>
        </w:rPr>
      </w:pPr>
      <w:r>
        <w:rPr>
          <w:rFonts w:hint="eastAsia" w:hAnsi="宋体"/>
          <w:color w:val="auto"/>
          <w:highlight w:val="none"/>
        </w:rPr>
        <w:t>——</w:t>
      </w:r>
      <w:r>
        <w:rPr>
          <w:rFonts w:hint="eastAsia" w:ascii="宋体" w:hAnsi="宋体" w:eastAsia="宋体"/>
          <w:color w:val="auto"/>
          <w:highlight w:val="none"/>
          <w:lang w:eastAsia="zh-CN"/>
        </w:rPr>
        <w:t>批量进口食品、食品添加剂的，</w:t>
      </w:r>
      <w:r>
        <w:rPr>
          <w:rFonts w:hint="eastAsia" w:hAnsi="宋体"/>
          <w:color w:val="auto"/>
          <w:highlight w:val="none"/>
          <w:lang w:eastAsia="zh-CN"/>
        </w:rPr>
        <w:t>应当</w:t>
      </w:r>
      <w:r>
        <w:rPr>
          <w:rFonts w:hint="eastAsia" w:ascii="宋体" w:hAnsi="宋体" w:eastAsia="宋体"/>
          <w:color w:val="auto"/>
          <w:highlight w:val="none"/>
          <w:lang w:eastAsia="zh-CN"/>
        </w:rPr>
        <w:t>索取口岸进口食品法定检验机构出具的与所购食品、食品添加剂同批次的食品检验合格证明的复印件</w:t>
      </w:r>
      <w:r>
        <w:rPr>
          <w:rFonts w:hint="eastAsia" w:hAnsi="宋体"/>
          <w:color w:val="auto"/>
          <w:highlight w:val="none"/>
          <w:lang w:eastAsia="zh-CN"/>
        </w:rPr>
        <w:t>。</w:t>
      </w:r>
    </w:p>
    <w:p>
      <w:pPr>
        <w:pStyle w:val="65"/>
        <w:spacing w:before="156" w:after="156"/>
        <w:rPr>
          <w:rFonts w:ascii="宋体" w:hAnsi="宋体" w:eastAsia="宋体"/>
          <w:color w:val="auto"/>
          <w:highlight w:val="none"/>
        </w:rPr>
      </w:pPr>
      <w:r>
        <w:rPr>
          <w:rFonts w:hint="eastAsia" w:ascii="宋体" w:hAnsi="宋体" w:eastAsia="宋体"/>
          <w:color w:val="auto"/>
          <w:highlight w:val="none"/>
        </w:rPr>
        <w:t>采购大宗食材时，学校食品采购部门（中心、小组）应严格落实进货查验、索证索票制度，依照食品、食品添加剂和食用农产品采购索证索票规定清单（</w:t>
      </w:r>
      <w:r>
        <w:rPr>
          <w:rFonts w:hint="eastAsia" w:ascii="宋体" w:hAnsi="宋体" w:eastAsia="宋体"/>
          <w:color w:val="auto"/>
          <w:highlight w:val="none"/>
          <w:lang w:eastAsia="zh-CN"/>
        </w:rPr>
        <w:t>参照</w:t>
      </w:r>
      <w:r>
        <w:rPr>
          <w:rFonts w:hint="eastAsia" w:ascii="宋体" w:hAnsi="宋体" w:eastAsia="宋体"/>
          <w:color w:val="auto"/>
          <w:highlight w:val="none"/>
        </w:rPr>
        <w:t>附录A）要求查验、索取和留存有效票证。查验食品原料与购货凭证上的名称、数量是否相符，票证是否齐全；质量是否符合要求（如生鲜食品原料的感官性状、预包装食品的包装和保质期</w:t>
      </w:r>
      <w:r>
        <w:rPr>
          <w:rFonts w:hint="eastAsia" w:ascii="宋体" w:hAnsi="宋体" w:eastAsia="宋体"/>
          <w:color w:val="auto"/>
          <w:highlight w:val="none"/>
          <w:lang w:eastAsia="zh-CN"/>
        </w:rPr>
        <w:t>等标识</w:t>
      </w:r>
      <w:r>
        <w:rPr>
          <w:rFonts w:hint="eastAsia" w:ascii="宋体" w:hAnsi="宋体" w:eastAsia="宋体"/>
          <w:color w:val="auto"/>
          <w:highlight w:val="none"/>
        </w:rPr>
        <w:t>是否符合要求）；运输储存条件是否符合要求（如冷藏冷冻食品是否在低温或冷冻条件下运输）等</w:t>
      </w:r>
      <w:r>
        <w:rPr>
          <w:rFonts w:hint="eastAsia" w:ascii="宋体" w:hAnsi="宋体" w:eastAsia="宋体"/>
          <w:color w:val="auto"/>
          <w:highlight w:val="none"/>
          <w:lang w:eastAsia="zh-CN"/>
        </w:rPr>
        <w:t>；</w:t>
      </w:r>
      <w:r>
        <w:rPr>
          <w:rFonts w:hint="eastAsia" w:ascii="宋体" w:hAnsi="宋体" w:eastAsia="宋体"/>
          <w:color w:val="auto"/>
          <w:highlight w:val="none"/>
        </w:rPr>
        <w:t>食品原料查验合格</w:t>
      </w:r>
      <w:r>
        <w:rPr>
          <w:rFonts w:hint="eastAsia" w:ascii="宋体" w:hAnsi="宋体" w:eastAsia="宋体"/>
          <w:color w:val="auto"/>
          <w:highlight w:val="none"/>
          <w:lang w:eastAsia="zh-CN"/>
        </w:rPr>
        <w:t>后</w:t>
      </w:r>
      <w:r>
        <w:rPr>
          <w:rFonts w:hint="eastAsia" w:ascii="宋体" w:hAnsi="宋体" w:eastAsia="宋体"/>
          <w:color w:val="auto"/>
          <w:highlight w:val="none"/>
        </w:rPr>
        <w:t>方可入库</w:t>
      </w:r>
      <w:r>
        <w:rPr>
          <w:rFonts w:hint="eastAsia" w:ascii="宋体" w:hAnsi="宋体" w:eastAsia="宋体"/>
          <w:color w:val="auto"/>
          <w:highlight w:val="none"/>
          <w:lang w:eastAsia="zh-CN"/>
        </w:rPr>
        <w:t>。</w:t>
      </w:r>
    </w:p>
    <w:p>
      <w:pPr>
        <w:pStyle w:val="65"/>
        <w:spacing w:before="156" w:after="156"/>
        <w:rPr>
          <w:rFonts w:ascii="宋体" w:hAnsi="宋体" w:eastAsia="宋体"/>
          <w:color w:val="auto"/>
          <w:highlight w:val="none"/>
        </w:rPr>
      </w:pPr>
      <w:r>
        <w:rPr>
          <w:rFonts w:hint="eastAsia" w:ascii="宋体" w:hAnsi="宋体" w:eastAsia="宋体"/>
          <w:color w:val="auto"/>
          <w:highlight w:val="none"/>
        </w:rPr>
        <w:t>学校食堂不应采购《食品安全法》</w:t>
      </w:r>
      <w:r>
        <w:rPr>
          <w:rFonts w:hint="eastAsia" w:ascii="宋体" w:hAnsi="宋体" w:eastAsia="宋体"/>
          <w:color w:val="auto"/>
          <w:highlight w:val="none"/>
          <w:lang w:eastAsia="zh-CN"/>
        </w:rPr>
        <w:t>《</w:t>
      </w:r>
      <w:r>
        <w:rPr>
          <w:rFonts w:hint="eastAsia" w:ascii="宋体" w:hAnsi="宋体" w:eastAsia="宋体"/>
          <w:color w:val="auto"/>
          <w:highlight w:val="none"/>
          <w:lang w:val="en-US" w:eastAsia="zh-CN"/>
        </w:rPr>
        <w:t>学校食品安全和营养健康管理规定</w:t>
      </w:r>
      <w:r>
        <w:rPr>
          <w:rFonts w:hint="eastAsia" w:ascii="宋体" w:hAnsi="宋体" w:eastAsia="宋体"/>
          <w:color w:val="auto"/>
          <w:highlight w:val="none"/>
          <w:lang w:eastAsia="zh-CN"/>
        </w:rPr>
        <w:t>》</w:t>
      </w:r>
      <w:r>
        <w:rPr>
          <w:rFonts w:hint="eastAsia" w:ascii="宋体" w:hAnsi="宋体" w:eastAsia="宋体"/>
          <w:color w:val="auto"/>
          <w:highlight w:val="none"/>
          <w:lang w:val="en-US" w:eastAsia="zh-CN"/>
        </w:rPr>
        <w:t>等</w:t>
      </w:r>
      <w:r>
        <w:rPr>
          <w:rFonts w:hint="eastAsia" w:ascii="宋体" w:hAnsi="宋体" w:eastAsia="宋体"/>
          <w:color w:val="auto"/>
          <w:highlight w:val="none"/>
        </w:rPr>
        <w:t>有关规定禁止生产经营的食品以及监管部门明令禁止的相关食品；学校采购部门应依照《学校食堂禁用、慎用食品名单及加工供应注意事项》（</w:t>
      </w:r>
      <w:r>
        <w:rPr>
          <w:rFonts w:hint="eastAsia" w:ascii="宋体" w:hAnsi="宋体" w:eastAsia="宋体"/>
          <w:color w:val="auto"/>
          <w:highlight w:val="none"/>
          <w:lang w:eastAsia="zh-CN"/>
        </w:rPr>
        <w:t>参照</w:t>
      </w:r>
      <w:r>
        <w:rPr>
          <w:rFonts w:hint="eastAsia" w:ascii="宋体" w:hAnsi="宋体" w:eastAsia="宋体"/>
          <w:color w:val="auto"/>
          <w:highlight w:val="none"/>
        </w:rPr>
        <w:t>附录B）进行采购。</w:t>
      </w:r>
    </w:p>
    <w:p>
      <w:pPr>
        <w:pStyle w:val="65"/>
        <w:spacing w:before="156" w:after="156"/>
        <w:rPr>
          <w:color w:val="auto"/>
          <w:highlight w:val="none"/>
        </w:rPr>
      </w:pPr>
      <w:r>
        <w:rPr>
          <w:rFonts w:hint="eastAsia"/>
          <w:color w:val="auto"/>
          <w:highlight w:val="none"/>
        </w:rPr>
        <w:t>台账记录</w:t>
      </w:r>
    </w:p>
    <w:p>
      <w:pPr>
        <w:pStyle w:val="94"/>
        <w:spacing w:before="156" w:after="156"/>
        <w:rPr>
          <w:rFonts w:ascii="宋体" w:hAnsi="宋体" w:eastAsia="宋体"/>
          <w:color w:val="auto"/>
          <w:highlight w:val="none"/>
        </w:rPr>
      </w:pPr>
      <w:r>
        <w:rPr>
          <w:rFonts w:hint="eastAsia" w:ascii="宋体" w:hAnsi="宋体" w:eastAsia="宋体"/>
          <w:color w:val="auto"/>
          <w:highlight w:val="none"/>
        </w:rPr>
        <w:t>学校食堂食品采购部门应严格落实台账记录制度，如实填写进货查验记录</w:t>
      </w:r>
      <w:r>
        <w:rPr>
          <w:rFonts w:hint="eastAsia" w:ascii="宋体" w:hAnsi="宋体" w:eastAsia="宋体"/>
          <w:color w:val="auto"/>
          <w:highlight w:val="none"/>
          <w:lang w:eastAsia="zh-CN"/>
        </w:rPr>
        <w:t>（</w:t>
      </w:r>
      <w:r>
        <w:rPr>
          <w:rFonts w:hint="eastAsia" w:ascii="宋体" w:hAnsi="宋体" w:eastAsia="宋体"/>
          <w:color w:val="auto"/>
          <w:highlight w:val="none"/>
        </w:rPr>
        <w:t>参照附录C、附录D</w:t>
      </w:r>
      <w:r>
        <w:rPr>
          <w:rFonts w:hint="eastAsia" w:ascii="宋体" w:hAnsi="宋体" w:eastAsia="宋体"/>
          <w:color w:val="auto"/>
          <w:highlight w:val="none"/>
          <w:lang w:eastAsia="zh-CN"/>
        </w:rPr>
        <w:t>）</w:t>
      </w:r>
      <w:r>
        <w:rPr>
          <w:rFonts w:hint="eastAsia" w:ascii="宋体" w:hAnsi="宋体" w:eastAsia="宋体"/>
          <w:color w:val="auto"/>
          <w:highlight w:val="none"/>
        </w:rPr>
        <w:t>，记录应包括所购产品的名称、规格、数量、生产日期或生产批号、保质期、进货日期、供应商单位名称、地址及联系方式等，保证食品可追溯。</w:t>
      </w:r>
    </w:p>
    <w:p>
      <w:pPr>
        <w:pStyle w:val="94"/>
        <w:spacing w:before="156" w:after="156"/>
        <w:rPr>
          <w:rFonts w:ascii="宋体" w:hAnsi="宋体" w:eastAsia="宋体"/>
          <w:color w:val="auto"/>
          <w:highlight w:val="none"/>
        </w:rPr>
      </w:pPr>
      <w:r>
        <w:rPr>
          <w:rFonts w:hint="eastAsia" w:ascii="宋体" w:hAnsi="宋体" w:eastAsia="宋体"/>
          <w:color w:val="auto"/>
          <w:highlight w:val="none"/>
        </w:rPr>
        <w:t>进货查验记录表应逐笔、按时间顺序记录。</w:t>
      </w:r>
    </w:p>
    <w:p>
      <w:pPr>
        <w:pStyle w:val="94"/>
        <w:spacing w:before="156" w:after="156"/>
        <w:rPr>
          <w:rFonts w:ascii="宋体" w:hAnsi="宋体" w:eastAsia="宋体"/>
          <w:color w:val="auto"/>
          <w:highlight w:val="none"/>
        </w:rPr>
      </w:pPr>
      <w:r>
        <w:rPr>
          <w:rFonts w:hint="eastAsia" w:ascii="宋体" w:hAnsi="宋体" w:eastAsia="宋体"/>
          <w:color w:val="auto"/>
          <w:highlight w:val="none"/>
        </w:rPr>
        <w:t>应当按产品类别或供应商、进货时间顺序整理、妥善保管</w:t>
      </w:r>
      <w:r>
        <w:rPr>
          <w:rFonts w:hint="eastAsia" w:ascii="宋体" w:hAnsi="宋体" w:eastAsia="宋体"/>
          <w:color w:val="auto"/>
          <w:highlight w:val="none"/>
          <w:lang w:eastAsia="zh-CN"/>
        </w:rPr>
        <w:t>加盖供货方公章的</w:t>
      </w:r>
      <w:r>
        <w:rPr>
          <w:rFonts w:hint="eastAsia" w:ascii="宋体" w:hAnsi="宋体" w:eastAsia="宋体"/>
          <w:color w:val="auto"/>
          <w:highlight w:val="none"/>
        </w:rPr>
        <w:t>相关证照、产品合格证明文件</w:t>
      </w:r>
      <w:r>
        <w:rPr>
          <w:rFonts w:hint="eastAsia" w:ascii="宋体" w:hAnsi="宋体" w:eastAsia="宋体"/>
          <w:color w:val="auto"/>
          <w:highlight w:val="none"/>
          <w:lang w:eastAsia="zh-CN"/>
        </w:rPr>
        <w:t>复印件、供货方公章（或签字）的每笔购物凭证或每笔送货单，建立采购</w:t>
      </w:r>
      <w:r>
        <w:rPr>
          <w:rFonts w:hint="eastAsia" w:ascii="宋体" w:hAnsi="宋体" w:eastAsia="宋体"/>
          <w:color w:val="auto"/>
          <w:highlight w:val="none"/>
        </w:rPr>
        <w:t>记录，不得涂改、伪造。进货查验的记录和凭证保存期限不应少于产品保质期满后六个月；没有明确保质期的，保存期限不应少于二年。食用农产品的记录和凭证保存期限不得少于六个月。</w:t>
      </w:r>
    </w:p>
    <w:p>
      <w:pPr>
        <w:pStyle w:val="56"/>
        <w:ind w:left="0" w:leftChars="0" w:firstLine="0" w:firstLineChars="0"/>
        <w:rPr>
          <w:rFonts w:hint="eastAsia" w:eastAsia="宋体"/>
          <w:b/>
          <w:bCs/>
          <w:color w:val="auto"/>
          <w:highlight w:val="none"/>
          <w:lang w:val="en-US" w:eastAsia="zh-CN"/>
        </w:rPr>
      </w:pPr>
      <w:r>
        <w:rPr>
          <w:rFonts w:hint="eastAsia"/>
          <w:b/>
          <w:bCs/>
          <w:color w:val="auto"/>
          <w:highlight w:val="none"/>
          <w:lang w:val="en-US" w:eastAsia="zh-CN"/>
        </w:rPr>
        <w:t xml:space="preserve">7.2.5.4  </w:t>
      </w:r>
      <w:r>
        <w:rPr>
          <w:rFonts w:hint="eastAsia" w:ascii="宋体" w:hAnsi="宋体" w:eastAsia="宋体"/>
          <w:color w:val="auto"/>
          <w:highlight w:val="none"/>
        </w:rPr>
        <w:t>鼓励采用信息化手段采集、留存食品生产经营信息、进货信息等。采用信息化记录的应及时备份，不得以电脑损坏等理由拒绝提供</w:t>
      </w:r>
      <w:r>
        <w:rPr>
          <w:rFonts w:hint="eastAsia" w:hAnsi="宋体"/>
          <w:color w:val="auto"/>
          <w:highlight w:val="none"/>
          <w:lang w:eastAsia="zh-CN"/>
        </w:rPr>
        <w:t>记录。</w:t>
      </w:r>
    </w:p>
    <w:p>
      <w:pPr>
        <w:pStyle w:val="105"/>
        <w:spacing w:before="156" w:after="156"/>
        <w:rPr>
          <w:color w:val="auto"/>
          <w:highlight w:val="none"/>
        </w:rPr>
      </w:pPr>
      <w:r>
        <w:rPr>
          <w:rFonts w:hint="eastAsia"/>
          <w:color w:val="auto"/>
          <w:highlight w:val="none"/>
        </w:rPr>
        <w:t>果蔬类查验</w:t>
      </w:r>
    </w:p>
    <w:p>
      <w:pPr>
        <w:pStyle w:val="65"/>
        <w:spacing w:before="156" w:after="156"/>
        <w:rPr>
          <w:color w:val="auto"/>
          <w:highlight w:val="none"/>
        </w:rPr>
      </w:pPr>
      <w:r>
        <w:rPr>
          <w:rFonts w:hint="eastAsia"/>
          <w:color w:val="auto"/>
          <w:highlight w:val="none"/>
        </w:rPr>
        <w:t>基础要求</w:t>
      </w:r>
    </w:p>
    <w:p>
      <w:pPr>
        <w:pStyle w:val="56"/>
        <w:ind w:firstLine="420"/>
        <w:rPr>
          <w:color w:val="auto"/>
          <w:highlight w:val="none"/>
        </w:rPr>
      </w:pPr>
      <w:r>
        <w:rPr>
          <w:rFonts w:hint="eastAsia"/>
          <w:color w:val="auto"/>
          <w:highlight w:val="none"/>
        </w:rPr>
        <w:t>果蔬类的食品安全指标应符合GB 2762、GB 2763的规定，感官应符合表1的要求。</w:t>
      </w:r>
    </w:p>
    <w:p>
      <w:pPr>
        <w:pStyle w:val="112"/>
        <w:spacing w:before="156" w:after="156"/>
        <w:rPr>
          <w:color w:val="auto"/>
          <w:highlight w:val="none"/>
        </w:rPr>
      </w:pPr>
      <w:r>
        <w:rPr>
          <w:rFonts w:hint="eastAsia"/>
          <w:color w:val="auto"/>
          <w:highlight w:val="none"/>
        </w:rPr>
        <w:t>果蔬类基础感官指标</w:t>
      </w:r>
    </w:p>
    <w:tbl>
      <w:tblPr>
        <w:tblStyle w:val="230"/>
        <w:tblW w:w="845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69"/>
        <w:gridCol w:w="4185"/>
        <w:gridCol w:w="34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9" w:type="dxa"/>
            <w:tcBorders>
              <w:top w:val="single" w:color="auto" w:sz="8" w:space="0"/>
              <w:left w:val="single" w:color="auto" w:sz="8" w:space="0"/>
              <w:bottom w:val="single" w:color="auto" w:sz="8" w:space="0"/>
              <w:right w:val="single" w:color="auto" w:sz="4" w:space="0"/>
            </w:tcBorders>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w:t>
            </w:r>
          </w:p>
        </w:tc>
        <w:tc>
          <w:tcPr>
            <w:tcW w:w="4185" w:type="dxa"/>
            <w:tcBorders>
              <w:top w:val="single" w:color="auto" w:sz="8" w:space="0"/>
              <w:left w:val="nil"/>
              <w:bottom w:val="single" w:color="auto" w:sz="8" w:space="0"/>
              <w:right w:val="single" w:color="auto" w:sz="8" w:space="0"/>
            </w:tcBorders>
          </w:tcPr>
          <w:p>
            <w:pPr>
              <w:widowControl/>
              <w:autoSpaceDE w:val="0"/>
              <w:autoSpaceDN w:val="0"/>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lang w:eastAsia="zh-CN"/>
              </w:rPr>
              <w:t>蔬菜</w:t>
            </w:r>
          </w:p>
        </w:tc>
        <w:tc>
          <w:tcPr>
            <w:tcW w:w="3400" w:type="dxa"/>
            <w:tcBorders>
              <w:top w:val="single" w:color="auto" w:sz="8" w:space="0"/>
              <w:left w:val="nil"/>
              <w:bottom w:val="single" w:color="auto" w:sz="8" w:space="0"/>
              <w:right w:val="single" w:color="auto" w:sz="8" w:space="0"/>
            </w:tcBorders>
          </w:tcPr>
          <w:p>
            <w:pPr>
              <w:widowControl/>
              <w:autoSpaceDE w:val="0"/>
              <w:autoSpaceDN w:val="0"/>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lang w:eastAsia="zh-CN"/>
              </w:rPr>
              <w:t>水果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90" w:hRule="atLeast"/>
          <w:jc w:val="center"/>
        </w:trPr>
        <w:tc>
          <w:tcPr>
            <w:tcW w:w="869" w:type="dxa"/>
            <w:tcBorders>
              <w:top w:val="single" w:color="auto" w:sz="8" w:space="0"/>
              <w:left w:val="single" w:color="auto" w:sz="8" w:space="0"/>
              <w:bottom w:val="single" w:color="auto" w:sz="4" w:space="0"/>
              <w:right w:val="single" w:color="auto" w:sz="4" w:space="0"/>
            </w:tcBorders>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w:t>
            </w:r>
          </w:p>
        </w:tc>
        <w:tc>
          <w:tcPr>
            <w:tcW w:w="4185" w:type="dxa"/>
            <w:tcBorders>
              <w:top w:val="single" w:color="auto" w:sz="8" w:space="0"/>
              <w:left w:val="nil"/>
              <w:bottom w:val="single" w:color="auto" w:sz="4" w:space="0"/>
              <w:right w:val="single" w:color="auto" w:sz="8" w:space="0"/>
            </w:tcBorders>
          </w:tcPr>
          <w:p>
            <w:pP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新鲜、</w:t>
            </w:r>
            <w:r>
              <w:rPr>
                <w:rFonts w:hint="eastAsia" w:ascii="宋体" w:hAnsi="宋体" w:eastAsia="宋体" w:cs="宋体"/>
                <w:color w:val="auto"/>
                <w:kern w:val="0"/>
                <w:sz w:val="18"/>
                <w:szCs w:val="18"/>
                <w:highlight w:val="none"/>
                <w:lang w:eastAsia="zh-CN"/>
              </w:rPr>
              <w:t>形态</w:t>
            </w:r>
            <w:r>
              <w:rPr>
                <w:rFonts w:hint="eastAsia" w:ascii="宋体" w:hAnsi="宋体" w:eastAsia="宋体" w:cs="宋体"/>
                <w:color w:val="auto"/>
                <w:kern w:val="0"/>
                <w:sz w:val="18"/>
                <w:szCs w:val="18"/>
                <w:highlight w:val="none"/>
              </w:rPr>
              <w:t>完整</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无腐烂、无霉斑、无虫蛀，无明显机械损伤</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 xml:space="preserve">无泥土、杂草、异物或农药残留痕迹。  </w:t>
            </w:r>
          </w:p>
        </w:tc>
        <w:tc>
          <w:tcPr>
            <w:tcW w:w="3400" w:type="dxa"/>
            <w:tcBorders>
              <w:top w:val="single" w:color="auto" w:sz="8" w:space="0"/>
              <w:left w:val="nil"/>
              <w:bottom w:val="single" w:color="auto" w:sz="4" w:space="0"/>
              <w:right w:val="single" w:color="auto" w:sz="8" w:space="0"/>
            </w:tcBorders>
          </w:tcPr>
          <w:p>
            <w:pP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果形端正</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 xml:space="preserve">无畸形、压伤或明显疤痕。  </w:t>
            </w:r>
          </w:p>
          <w:p>
            <w:pP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无泥土、虫卵、病斑或药渍。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9" w:type="dxa"/>
            <w:tcBorders>
              <w:top w:val="single" w:color="auto" w:sz="4" w:space="0"/>
              <w:left w:val="single" w:color="auto" w:sz="8" w:space="0"/>
              <w:bottom w:val="single" w:color="auto" w:sz="4" w:space="0"/>
              <w:right w:val="single" w:color="auto" w:sz="4" w:space="0"/>
            </w:tcBorders>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颜色</w:t>
            </w:r>
          </w:p>
        </w:tc>
        <w:tc>
          <w:tcPr>
            <w:tcW w:w="4185" w:type="dxa"/>
            <w:tcBorders>
              <w:top w:val="single" w:color="auto" w:sz="4" w:space="0"/>
              <w:left w:val="nil"/>
              <w:bottom w:val="single" w:color="auto" w:sz="4" w:space="0"/>
              <w:right w:val="single" w:color="auto" w:sz="8" w:space="0"/>
            </w:tcBorders>
          </w:tcPr>
          <w:p>
            <w:pPr>
              <w:widowControl/>
              <w:autoSpaceDE w:val="0"/>
              <w:autoSpaceDN w:val="0"/>
              <w:ind w:left="143" w:leftChars="68"/>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符合该品种的颜色</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无异常变色：无黄化（叶菜）、褐变（切口）</w:t>
            </w:r>
          </w:p>
        </w:tc>
        <w:tc>
          <w:tcPr>
            <w:tcW w:w="3400" w:type="dxa"/>
            <w:tcBorders>
              <w:top w:val="single" w:color="auto" w:sz="4" w:space="0"/>
              <w:left w:val="nil"/>
              <w:bottom w:val="single" w:color="auto" w:sz="4" w:space="0"/>
              <w:right w:val="single" w:color="auto" w:sz="8" w:space="0"/>
            </w:tcBorders>
          </w:tcPr>
          <w:p>
            <w:pPr>
              <w:widowControl/>
              <w:autoSpaceDE w:val="0"/>
              <w:autoSpaceDN w:val="0"/>
              <w:ind w:left="143" w:leftChars="68"/>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自然成熟色</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符合</w:t>
            </w:r>
            <w:r>
              <w:rPr>
                <w:rFonts w:hint="eastAsia" w:ascii="宋体" w:hAnsi="宋体" w:eastAsia="宋体" w:cs="宋体"/>
                <w:color w:val="auto"/>
                <w:kern w:val="0"/>
                <w:sz w:val="18"/>
                <w:szCs w:val="18"/>
                <w:highlight w:val="none"/>
                <w:lang w:eastAsia="zh-CN"/>
              </w:rPr>
              <w:t>该</w:t>
            </w:r>
            <w:r>
              <w:rPr>
                <w:rFonts w:hint="eastAsia" w:ascii="宋体" w:hAnsi="宋体" w:eastAsia="宋体" w:cs="宋体"/>
                <w:color w:val="auto"/>
                <w:kern w:val="0"/>
                <w:sz w:val="18"/>
                <w:szCs w:val="18"/>
                <w:highlight w:val="none"/>
              </w:rPr>
              <w:t>品种特征</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无青斑（未熟）、暗沉（过熟）或霉变斑点。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9" w:type="dxa"/>
            <w:tcBorders>
              <w:top w:val="single" w:color="auto" w:sz="4" w:space="0"/>
              <w:left w:val="single" w:color="auto" w:sz="8" w:space="0"/>
              <w:bottom w:val="single" w:color="auto" w:sz="4" w:space="0"/>
              <w:right w:val="single" w:color="auto" w:sz="4" w:space="0"/>
            </w:tcBorders>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质地</w:t>
            </w:r>
          </w:p>
        </w:tc>
        <w:tc>
          <w:tcPr>
            <w:tcW w:w="4185" w:type="dxa"/>
            <w:tcBorders>
              <w:top w:val="single" w:color="auto" w:sz="4" w:space="0"/>
              <w:left w:val="nil"/>
              <w:bottom w:val="single" w:color="auto" w:sz="4" w:space="0"/>
              <w:right w:val="single" w:color="auto" w:sz="8" w:space="0"/>
            </w:tcBorders>
          </w:tcPr>
          <w:p>
            <w:pPr>
              <w:widowControl/>
              <w:autoSpaceDE w:val="0"/>
              <w:autoSpaceDN w:val="0"/>
              <w:ind w:left="143" w:leftChars="68"/>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符合该品种质地、不冻蔫、无冻害</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无干瘪、皱缩或脱水现象</w:t>
            </w:r>
          </w:p>
        </w:tc>
        <w:tc>
          <w:tcPr>
            <w:tcW w:w="3400" w:type="dxa"/>
            <w:tcBorders>
              <w:top w:val="single" w:color="auto" w:sz="4" w:space="0"/>
              <w:left w:val="nil"/>
              <w:bottom w:val="single" w:color="auto" w:sz="4" w:space="0"/>
              <w:right w:val="single" w:color="auto" w:sz="8" w:space="0"/>
            </w:tcBorders>
          </w:tcPr>
          <w:p>
            <w:pPr>
              <w:widowControl/>
              <w:autoSpaceDE w:val="0"/>
              <w:autoSpaceDN w:val="0"/>
              <w:ind w:left="143" w:leftChars="68"/>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果肉饱满</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无空心、干瘪或木质化。汁液丰富</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切开后无干涸或异常出水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9" w:type="dxa"/>
            <w:tcBorders>
              <w:top w:val="single" w:color="auto" w:sz="4" w:space="0"/>
              <w:left w:val="single" w:color="auto" w:sz="8" w:space="0"/>
              <w:bottom w:val="single" w:color="auto" w:sz="8" w:space="0"/>
              <w:right w:val="single" w:color="auto" w:sz="4" w:space="0"/>
            </w:tcBorders>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风味</w:t>
            </w:r>
          </w:p>
        </w:tc>
        <w:tc>
          <w:tcPr>
            <w:tcW w:w="4185" w:type="dxa"/>
            <w:tcBorders>
              <w:top w:val="single" w:color="auto" w:sz="4" w:space="0"/>
              <w:left w:val="nil"/>
              <w:bottom w:val="single" w:color="auto" w:sz="8" w:space="0"/>
              <w:right w:val="single" w:color="auto" w:sz="8" w:space="0"/>
            </w:tcBorders>
          </w:tcPr>
          <w:p>
            <w:pPr>
              <w:widowControl/>
              <w:autoSpaceDE w:val="0"/>
              <w:autoSpaceDN w:val="0"/>
              <w:ind w:left="143" w:leftChars="68"/>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符合该品种风味、无异味、无不良风味</w:t>
            </w:r>
          </w:p>
        </w:tc>
        <w:tc>
          <w:tcPr>
            <w:tcW w:w="3400" w:type="dxa"/>
            <w:tcBorders>
              <w:top w:val="single" w:color="auto" w:sz="4" w:space="0"/>
              <w:left w:val="nil"/>
              <w:bottom w:val="single" w:color="auto" w:sz="8" w:space="0"/>
              <w:right w:val="single" w:color="auto" w:sz="8" w:space="0"/>
            </w:tcBorders>
          </w:tcPr>
          <w:p>
            <w:pPr>
              <w:widowControl/>
              <w:autoSpaceDE w:val="0"/>
              <w:autoSpaceDN w:val="0"/>
              <w:ind w:left="143" w:leftChars="68"/>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符合该品种风味、无异味、无不良风味</w:t>
            </w:r>
          </w:p>
        </w:tc>
      </w:tr>
    </w:tbl>
    <w:p>
      <w:pPr>
        <w:pStyle w:val="65"/>
        <w:spacing w:before="156" w:after="156"/>
        <w:rPr>
          <w:color w:val="auto"/>
          <w:highlight w:val="none"/>
        </w:rPr>
      </w:pPr>
      <w:r>
        <w:rPr>
          <w:rFonts w:hint="eastAsia"/>
          <w:color w:val="auto"/>
          <w:highlight w:val="none"/>
        </w:rPr>
        <w:t>合格证明文件</w:t>
      </w:r>
    </w:p>
    <w:p>
      <w:pPr>
        <w:pStyle w:val="56"/>
        <w:ind w:firstLine="420"/>
        <w:rPr>
          <w:color w:val="auto"/>
          <w:highlight w:val="none"/>
        </w:rPr>
      </w:pPr>
      <w:r>
        <w:rPr>
          <w:rFonts w:hint="eastAsia"/>
          <w:color w:val="auto"/>
          <w:highlight w:val="none"/>
        </w:rPr>
        <w:t>查验、索取和留存有效票证，具体依照附录A 食品、食品添加剂和食用农产品有关索证索票规定清单。果蔬类的合格证明文件应包括最近半年内由具有法定资质的第三方检验检测机构出具的委托检验报告，宜查验每批次快检报告。</w:t>
      </w:r>
    </w:p>
    <w:p>
      <w:pPr>
        <w:pStyle w:val="105"/>
        <w:spacing w:before="156" w:after="156"/>
        <w:rPr>
          <w:color w:val="auto"/>
          <w:highlight w:val="none"/>
        </w:rPr>
      </w:pPr>
      <w:r>
        <w:rPr>
          <w:rFonts w:hint="eastAsia"/>
          <w:color w:val="auto"/>
          <w:highlight w:val="none"/>
        </w:rPr>
        <w:t>畜禽肉类查验</w:t>
      </w:r>
    </w:p>
    <w:p>
      <w:pPr>
        <w:pStyle w:val="65"/>
        <w:spacing w:before="156" w:after="156"/>
        <w:rPr>
          <w:color w:val="auto"/>
          <w:highlight w:val="none"/>
        </w:rPr>
      </w:pPr>
      <w:r>
        <w:rPr>
          <w:rFonts w:hint="eastAsia"/>
          <w:color w:val="auto"/>
          <w:highlight w:val="none"/>
        </w:rPr>
        <w:t>基础感官要求</w:t>
      </w:r>
    </w:p>
    <w:p>
      <w:pPr>
        <w:pStyle w:val="56"/>
        <w:ind w:firstLine="420"/>
        <w:rPr>
          <w:color w:val="auto"/>
          <w:highlight w:val="none"/>
        </w:rPr>
      </w:pPr>
      <w:r>
        <w:rPr>
          <w:rFonts w:hint="eastAsia"/>
          <w:color w:val="auto"/>
          <w:highlight w:val="none"/>
        </w:rPr>
        <w:t>畜禽肉类食品安全指标应符合GB 2707、GB 18394的规定，感官应符合表2的要求。猪牛羊相关胴体、分割肉还应符合GB/T 9959.1、GB/T 9959.2、GB/T 9959.3、GB/T 9960、GB/T 9961的要求。</w:t>
      </w:r>
    </w:p>
    <w:p>
      <w:pPr>
        <w:pStyle w:val="112"/>
        <w:spacing w:before="156" w:after="156"/>
        <w:rPr>
          <w:color w:val="auto"/>
          <w:highlight w:val="none"/>
        </w:rPr>
      </w:pPr>
      <w:r>
        <w:rPr>
          <w:rFonts w:hint="eastAsia"/>
          <w:color w:val="auto"/>
          <w:highlight w:val="none"/>
        </w:rPr>
        <w:t>畜禽肉类基础感官指标</w:t>
      </w:r>
    </w:p>
    <w:tbl>
      <w:tblPr>
        <w:tblStyle w:val="23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3827"/>
        <w:gridCol w:w="353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left w:val="single" w:color="auto" w:sz="8" w:space="0"/>
              <w:bottom w:val="single" w:color="auto" w:sz="8" w:space="0"/>
              <w:right w:val="single" w:color="auto" w:sz="4" w:space="0"/>
            </w:tcBorders>
          </w:tcPr>
          <w:p>
            <w:pPr>
              <w:widowControl/>
              <w:autoSpaceDE w:val="0"/>
              <w:autoSpaceDN w:val="0"/>
              <w:adjustRightInd/>
              <w:spacing w:line="240" w:lineRule="auto"/>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w:t>
            </w:r>
          </w:p>
        </w:tc>
        <w:tc>
          <w:tcPr>
            <w:tcW w:w="3827" w:type="dxa"/>
            <w:tcBorders>
              <w:top w:val="single" w:color="auto" w:sz="8" w:space="0"/>
              <w:left w:val="single" w:color="auto" w:sz="4" w:space="0"/>
              <w:bottom w:val="single" w:color="auto" w:sz="8" w:space="0"/>
              <w:right w:val="single" w:color="auto" w:sz="4" w:space="0"/>
            </w:tcBorders>
          </w:tcPr>
          <w:p>
            <w:pPr>
              <w:widowControl/>
              <w:autoSpaceDE w:val="0"/>
              <w:autoSpaceDN w:val="0"/>
              <w:adjustRightInd/>
              <w:spacing w:line="240" w:lineRule="auto"/>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鲜畜禽肉</w:t>
            </w:r>
          </w:p>
        </w:tc>
        <w:tc>
          <w:tcPr>
            <w:tcW w:w="3532" w:type="dxa"/>
            <w:tcBorders>
              <w:top w:val="single" w:color="auto" w:sz="8" w:space="0"/>
              <w:left w:val="single" w:color="auto" w:sz="4" w:space="0"/>
              <w:bottom w:val="single" w:color="auto" w:sz="8" w:space="0"/>
              <w:right w:val="single" w:color="auto" w:sz="8" w:space="0"/>
            </w:tcBorders>
          </w:tcPr>
          <w:p>
            <w:pPr>
              <w:widowControl/>
              <w:autoSpaceDE w:val="0"/>
              <w:autoSpaceDN w:val="0"/>
              <w:adjustRightInd/>
              <w:spacing w:line="240" w:lineRule="auto"/>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冻畜禽肉（解冻后）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left w:val="single" w:color="auto" w:sz="8" w:space="0"/>
              <w:bottom w:val="single" w:color="auto" w:sz="4" w:space="0"/>
              <w:right w:val="single" w:color="auto" w:sz="4" w:space="0"/>
            </w:tcBorders>
          </w:tcPr>
          <w:p>
            <w:pPr>
              <w:widowControl/>
              <w:autoSpaceDE w:val="0"/>
              <w:autoSpaceDN w:val="0"/>
              <w:adjustRightInd/>
              <w:spacing w:line="240" w:lineRule="auto"/>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色泽</w:t>
            </w:r>
          </w:p>
        </w:tc>
        <w:tc>
          <w:tcPr>
            <w:tcW w:w="3827" w:type="dxa"/>
            <w:tcBorders>
              <w:top w:val="single" w:color="auto" w:sz="8" w:space="0"/>
              <w:left w:val="single" w:color="auto" w:sz="4" w:space="0"/>
              <w:bottom w:val="single" w:color="auto" w:sz="4" w:space="0"/>
              <w:right w:val="single" w:color="auto" w:sz="4" w:space="0"/>
            </w:tcBorders>
          </w:tcPr>
          <w:p>
            <w:pPr>
              <w:widowControl/>
              <w:autoSpaceDE w:val="0"/>
              <w:autoSpaceDN w:val="0"/>
              <w:adjustRightInd/>
              <w:spacing w:line="240" w:lineRule="auto"/>
              <w:ind w:left="134" w:leftChars="64"/>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肌肉和脂肪具有正常的颜色，肌肉有光泽</w:t>
            </w:r>
          </w:p>
        </w:tc>
        <w:tc>
          <w:tcPr>
            <w:tcW w:w="3532" w:type="dxa"/>
            <w:tcBorders>
              <w:top w:val="single" w:color="auto" w:sz="8" w:space="0"/>
              <w:left w:val="single" w:color="auto" w:sz="4" w:space="0"/>
              <w:bottom w:val="single" w:color="auto" w:sz="4" w:space="0"/>
              <w:right w:val="single" w:color="auto" w:sz="8" w:space="0"/>
            </w:tcBorders>
          </w:tcPr>
          <w:p>
            <w:pPr>
              <w:widowControl/>
              <w:autoSpaceDE w:val="0"/>
              <w:autoSpaceDN w:val="0"/>
              <w:adjustRightInd/>
              <w:spacing w:line="240" w:lineRule="auto"/>
              <w:ind w:left="134" w:leftChars="64"/>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肌肉和脂肪呈正常色泽，无霉点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4" w:space="0"/>
              <w:left w:val="single" w:color="auto" w:sz="8" w:space="0"/>
              <w:bottom w:val="single" w:color="auto" w:sz="4" w:space="0"/>
              <w:right w:val="single" w:color="auto" w:sz="4" w:space="0"/>
            </w:tcBorders>
          </w:tcPr>
          <w:p>
            <w:pPr>
              <w:widowControl/>
              <w:autoSpaceDE w:val="0"/>
              <w:autoSpaceDN w:val="0"/>
              <w:adjustRightInd/>
              <w:spacing w:line="240" w:lineRule="auto"/>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弹性（组织状态）</w:t>
            </w:r>
          </w:p>
        </w:tc>
        <w:tc>
          <w:tcPr>
            <w:tcW w:w="3827" w:type="dxa"/>
            <w:tcBorders>
              <w:top w:val="single" w:color="auto" w:sz="4" w:space="0"/>
              <w:left w:val="single" w:color="auto" w:sz="4" w:space="0"/>
              <w:bottom w:val="single" w:color="auto" w:sz="4" w:space="0"/>
              <w:right w:val="single" w:color="auto" w:sz="4" w:space="0"/>
            </w:tcBorders>
          </w:tcPr>
          <w:p>
            <w:pPr>
              <w:widowControl/>
              <w:autoSpaceDE w:val="0"/>
              <w:autoSpaceDN w:val="0"/>
              <w:adjustRightInd/>
              <w:spacing w:line="240" w:lineRule="auto"/>
              <w:ind w:left="134" w:leftChars="64"/>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指压后的凹陷能立即恢复</w:t>
            </w:r>
          </w:p>
        </w:tc>
        <w:tc>
          <w:tcPr>
            <w:tcW w:w="3532" w:type="dxa"/>
            <w:tcBorders>
              <w:top w:val="single" w:color="auto" w:sz="4" w:space="0"/>
              <w:left w:val="single" w:color="auto" w:sz="4" w:space="0"/>
              <w:bottom w:val="single" w:color="auto" w:sz="4" w:space="0"/>
              <w:right w:val="single" w:color="auto" w:sz="8" w:space="0"/>
            </w:tcBorders>
          </w:tcPr>
          <w:p>
            <w:pPr>
              <w:widowControl/>
              <w:autoSpaceDE w:val="0"/>
              <w:autoSpaceDN w:val="0"/>
              <w:adjustRightInd/>
              <w:spacing w:line="240" w:lineRule="auto"/>
              <w:ind w:left="134" w:leftChars="64"/>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肉质紧密，有坚实感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975" w:type="dxa"/>
            <w:tcBorders>
              <w:top w:val="single" w:color="auto" w:sz="4" w:space="0"/>
              <w:left w:val="single" w:color="auto" w:sz="8" w:space="0"/>
              <w:bottom w:val="single" w:color="auto" w:sz="4" w:space="0"/>
              <w:right w:val="single" w:color="auto" w:sz="4" w:space="0"/>
            </w:tcBorders>
          </w:tcPr>
          <w:p>
            <w:pPr>
              <w:widowControl/>
              <w:autoSpaceDE w:val="0"/>
              <w:autoSpaceDN w:val="0"/>
              <w:adjustRightInd/>
              <w:spacing w:line="240" w:lineRule="auto"/>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黏度</w:t>
            </w:r>
          </w:p>
        </w:tc>
        <w:tc>
          <w:tcPr>
            <w:tcW w:w="3827" w:type="dxa"/>
            <w:tcBorders>
              <w:top w:val="single" w:color="auto" w:sz="4" w:space="0"/>
              <w:left w:val="single" w:color="auto" w:sz="4" w:space="0"/>
              <w:bottom w:val="single" w:color="auto" w:sz="4" w:space="0"/>
              <w:right w:val="single" w:color="auto" w:sz="4" w:space="0"/>
            </w:tcBorders>
          </w:tcPr>
          <w:p>
            <w:pPr>
              <w:widowControl/>
              <w:autoSpaceDE w:val="0"/>
              <w:autoSpaceDN w:val="0"/>
              <w:adjustRightInd/>
              <w:spacing w:line="240" w:lineRule="auto"/>
              <w:ind w:left="134" w:leftChars="64"/>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外表微干或微湿润，不黏手</w:t>
            </w:r>
          </w:p>
        </w:tc>
        <w:tc>
          <w:tcPr>
            <w:tcW w:w="3532" w:type="dxa"/>
            <w:tcBorders>
              <w:top w:val="single" w:color="auto" w:sz="4" w:space="0"/>
              <w:left w:val="single" w:color="auto" w:sz="4" w:space="0"/>
              <w:bottom w:val="single" w:color="auto" w:sz="4" w:space="0"/>
              <w:right w:val="single" w:color="auto" w:sz="8" w:space="0"/>
            </w:tcBorders>
          </w:tcPr>
          <w:p>
            <w:pPr>
              <w:widowControl/>
              <w:autoSpaceDE w:val="0"/>
              <w:autoSpaceDN w:val="0"/>
              <w:adjustRightInd/>
              <w:spacing w:line="240" w:lineRule="auto"/>
              <w:ind w:left="134" w:leftChars="64"/>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外表及切面湿润，不黏手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4" w:space="0"/>
              <w:left w:val="single" w:color="auto" w:sz="8" w:space="0"/>
              <w:bottom w:val="single" w:color="auto" w:sz="8" w:space="0"/>
              <w:right w:val="single" w:color="auto" w:sz="4" w:space="0"/>
            </w:tcBorders>
          </w:tcPr>
          <w:p>
            <w:pPr>
              <w:widowControl/>
              <w:autoSpaceDE w:val="0"/>
              <w:autoSpaceDN w:val="0"/>
              <w:adjustRightInd/>
              <w:spacing w:line="240" w:lineRule="auto"/>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气味</w:t>
            </w:r>
          </w:p>
        </w:tc>
        <w:tc>
          <w:tcPr>
            <w:tcW w:w="3827" w:type="dxa"/>
            <w:tcBorders>
              <w:top w:val="single" w:color="auto" w:sz="4" w:space="0"/>
              <w:left w:val="single" w:color="auto" w:sz="4" w:space="0"/>
              <w:bottom w:val="single" w:color="auto" w:sz="8" w:space="0"/>
              <w:right w:val="single" w:color="auto" w:sz="4" w:space="0"/>
            </w:tcBorders>
          </w:tcPr>
          <w:p>
            <w:pPr>
              <w:widowControl/>
              <w:autoSpaceDE w:val="0"/>
              <w:autoSpaceDN w:val="0"/>
              <w:adjustRightInd/>
              <w:spacing w:line="240" w:lineRule="auto"/>
              <w:ind w:left="134" w:leftChars="64"/>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具有畜禽肉的正常气味，无异味</w:t>
            </w:r>
          </w:p>
        </w:tc>
        <w:tc>
          <w:tcPr>
            <w:tcW w:w="3532" w:type="dxa"/>
            <w:tcBorders>
              <w:top w:val="single" w:color="auto" w:sz="4" w:space="0"/>
              <w:left w:val="single" w:color="auto" w:sz="4" w:space="0"/>
              <w:bottom w:val="single" w:color="auto" w:sz="8" w:space="0"/>
              <w:right w:val="single" w:color="auto" w:sz="8" w:space="0"/>
            </w:tcBorders>
          </w:tcPr>
          <w:p>
            <w:pPr>
              <w:widowControl/>
              <w:autoSpaceDE w:val="0"/>
              <w:autoSpaceDN w:val="0"/>
              <w:adjustRightInd/>
              <w:spacing w:line="240" w:lineRule="auto"/>
              <w:ind w:left="134" w:leftChars="64"/>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具有畜禽肉的正常气味，无异味</w:t>
            </w:r>
          </w:p>
        </w:tc>
      </w:tr>
    </w:tbl>
    <w:p>
      <w:pPr>
        <w:pStyle w:val="65"/>
        <w:spacing w:before="156" w:after="156"/>
        <w:rPr>
          <w:color w:val="auto"/>
          <w:highlight w:val="none"/>
        </w:rPr>
      </w:pPr>
      <w:r>
        <w:rPr>
          <w:rFonts w:hint="eastAsia"/>
          <w:color w:val="auto"/>
          <w:highlight w:val="none"/>
        </w:rPr>
        <w:t>合格证明文件</w:t>
      </w:r>
    </w:p>
    <w:p>
      <w:pPr>
        <w:pStyle w:val="56"/>
        <w:ind w:firstLine="420"/>
        <w:rPr>
          <w:color w:val="auto"/>
          <w:highlight w:val="none"/>
        </w:rPr>
      </w:pPr>
      <w:r>
        <w:rPr>
          <w:rFonts w:hint="eastAsia"/>
          <w:color w:val="auto"/>
          <w:highlight w:val="none"/>
        </w:rPr>
        <w:t>查验、索取和留存有效票证，具体依照附录A 食品、食品添加剂和食用农产品有关索证索票规定清单。畜肉类的合格证明文件应提供每批次动物检疫合格证明、肉品品质检验合格证明。禽肉类的合格证明文件应包括最近半年内具有法定资质的第三方检验检测机构出具的委托检验报告，宜查验每批次快检报告。</w:t>
      </w:r>
    </w:p>
    <w:p>
      <w:pPr>
        <w:pStyle w:val="105"/>
        <w:spacing w:before="156" w:after="156"/>
        <w:rPr>
          <w:color w:val="auto"/>
          <w:highlight w:val="none"/>
        </w:rPr>
      </w:pPr>
      <w:r>
        <w:rPr>
          <w:rFonts w:hint="eastAsia"/>
          <w:color w:val="auto"/>
          <w:highlight w:val="none"/>
        </w:rPr>
        <w:t>水产类查验</w:t>
      </w:r>
    </w:p>
    <w:p>
      <w:pPr>
        <w:pStyle w:val="65"/>
        <w:spacing w:before="156" w:after="156"/>
        <w:rPr>
          <w:color w:val="auto"/>
          <w:highlight w:val="none"/>
        </w:rPr>
      </w:pPr>
      <w:r>
        <w:rPr>
          <w:rFonts w:hint="eastAsia"/>
          <w:color w:val="auto"/>
          <w:highlight w:val="none"/>
        </w:rPr>
        <w:t>基础要求</w:t>
      </w:r>
    </w:p>
    <w:p>
      <w:pPr>
        <w:pStyle w:val="56"/>
        <w:ind w:firstLine="420"/>
        <w:rPr>
          <w:color w:val="auto"/>
          <w:highlight w:val="none"/>
        </w:rPr>
      </w:pPr>
      <w:r>
        <w:rPr>
          <w:rFonts w:hint="eastAsia"/>
          <w:color w:val="auto"/>
          <w:highlight w:val="none"/>
        </w:rPr>
        <w:t>水产类的感官和食品安全指标应符合GB 2733、GB 19643的规定，感官应符合表3的要求。</w:t>
      </w:r>
    </w:p>
    <w:p>
      <w:pPr>
        <w:pStyle w:val="112"/>
        <w:spacing w:before="156" w:after="156"/>
        <w:rPr>
          <w:color w:val="auto"/>
          <w:highlight w:val="none"/>
        </w:rPr>
      </w:pPr>
      <w:r>
        <w:rPr>
          <w:rFonts w:hint="eastAsia"/>
          <w:color w:val="auto"/>
          <w:highlight w:val="none"/>
        </w:rPr>
        <w:t>水产类基础感官指标</w:t>
      </w:r>
    </w:p>
    <w:tbl>
      <w:tblPr>
        <w:tblStyle w:val="2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7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left w:val="single" w:color="auto" w:sz="8" w:space="0"/>
              <w:bottom w:val="single" w:color="auto" w:sz="8" w:space="0"/>
              <w:right w:val="single" w:color="auto" w:sz="4" w:space="0"/>
            </w:tcBorders>
            <w:vAlign w:val="top"/>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w:t>
            </w:r>
          </w:p>
        </w:tc>
        <w:tc>
          <w:tcPr>
            <w:tcW w:w="7643" w:type="dxa"/>
            <w:tcBorders>
              <w:top w:val="single" w:color="auto" w:sz="8" w:space="0"/>
              <w:left w:val="nil"/>
              <w:bottom w:val="single" w:color="auto" w:sz="8" w:space="0"/>
              <w:right w:val="single" w:color="auto" w:sz="8" w:space="0"/>
            </w:tcBorders>
            <w:vAlign w:val="top"/>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left w:val="single" w:color="auto" w:sz="8" w:space="0"/>
              <w:bottom w:val="single" w:color="auto" w:sz="4" w:space="0"/>
              <w:right w:val="single" w:color="auto" w:sz="4" w:space="0"/>
            </w:tcBorders>
            <w:vAlign w:val="center"/>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色泽</w:t>
            </w:r>
          </w:p>
        </w:tc>
        <w:tc>
          <w:tcPr>
            <w:tcW w:w="7643" w:type="dxa"/>
            <w:tcBorders>
              <w:top w:val="single" w:color="auto" w:sz="8" w:space="0"/>
              <w:left w:val="nil"/>
              <w:bottom w:val="single" w:color="auto" w:sz="4" w:space="0"/>
              <w:right w:val="single" w:color="auto" w:sz="8" w:space="0"/>
            </w:tcBorders>
          </w:tcPr>
          <w:p>
            <w:pPr>
              <w:widowControl/>
              <w:autoSpaceDE w:val="0"/>
              <w:autoSpaceDN w:val="0"/>
              <w:ind w:left="136" w:leftChars="65"/>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具有水产品应有色泽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4" w:space="0"/>
              <w:left w:val="single" w:color="auto" w:sz="8" w:space="0"/>
              <w:bottom w:val="single" w:color="auto" w:sz="4" w:space="0"/>
              <w:right w:val="single" w:color="auto" w:sz="4" w:space="0"/>
            </w:tcBorders>
            <w:vAlign w:val="center"/>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气味</w:t>
            </w:r>
          </w:p>
        </w:tc>
        <w:tc>
          <w:tcPr>
            <w:tcW w:w="7643" w:type="dxa"/>
            <w:tcBorders>
              <w:top w:val="single" w:color="auto" w:sz="4" w:space="0"/>
              <w:left w:val="nil"/>
              <w:bottom w:val="single" w:color="auto" w:sz="4" w:space="0"/>
              <w:right w:val="single" w:color="auto" w:sz="8" w:space="0"/>
            </w:tcBorders>
          </w:tcPr>
          <w:p>
            <w:pPr>
              <w:widowControl/>
              <w:autoSpaceDE w:val="0"/>
              <w:autoSpaceDN w:val="0"/>
              <w:ind w:left="136" w:leftChars="65"/>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具有水产品应有气味，无异味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691" w:type="dxa"/>
            <w:tcBorders>
              <w:top w:val="single" w:color="auto" w:sz="4" w:space="0"/>
              <w:left w:val="single" w:color="auto" w:sz="8" w:space="0"/>
              <w:bottom w:val="single" w:color="auto" w:sz="8" w:space="0"/>
              <w:right w:val="single" w:color="auto" w:sz="4" w:space="0"/>
            </w:tcBorders>
            <w:vAlign w:val="center"/>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状态</w:t>
            </w:r>
          </w:p>
        </w:tc>
        <w:tc>
          <w:tcPr>
            <w:tcW w:w="7643" w:type="dxa"/>
            <w:tcBorders>
              <w:top w:val="single" w:color="auto" w:sz="4" w:space="0"/>
              <w:left w:val="nil"/>
              <w:bottom w:val="single" w:color="auto" w:sz="8" w:space="0"/>
              <w:right w:val="single" w:color="auto" w:sz="8" w:space="0"/>
            </w:tcBorders>
          </w:tcPr>
          <w:p>
            <w:pPr>
              <w:widowControl/>
              <w:autoSpaceDE w:val="0"/>
              <w:autoSpaceDN w:val="0"/>
              <w:ind w:left="136" w:leftChars="65"/>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具有水产品正常的组织状态，肌肉紧密、有弹性</w:t>
            </w:r>
          </w:p>
        </w:tc>
      </w:tr>
    </w:tbl>
    <w:p>
      <w:pPr>
        <w:pStyle w:val="65"/>
        <w:spacing w:before="156" w:after="156"/>
        <w:rPr>
          <w:color w:val="auto"/>
          <w:highlight w:val="none"/>
        </w:rPr>
      </w:pPr>
      <w:r>
        <w:rPr>
          <w:rFonts w:hint="eastAsia"/>
          <w:color w:val="auto"/>
          <w:highlight w:val="none"/>
        </w:rPr>
        <w:t>合格证明文件</w:t>
      </w:r>
    </w:p>
    <w:p>
      <w:pPr>
        <w:pStyle w:val="56"/>
        <w:ind w:firstLine="420"/>
        <w:rPr>
          <w:color w:val="auto"/>
          <w:highlight w:val="none"/>
        </w:rPr>
      </w:pPr>
      <w:r>
        <w:rPr>
          <w:rFonts w:hint="eastAsia"/>
          <w:color w:val="auto"/>
          <w:highlight w:val="none"/>
        </w:rPr>
        <w:t>查验、索取和留存有效票证，具体依照附录A 食品、食品添加剂和食用农产品有关索证索票规定清单。水产类食品的合格证明文件应包括最近半年内由具有法定资质的第三方检验检测机构出具的委托检验报告，宜查验每批次快检报告。</w:t>
      </w:r>
    </w:p>
    <w:p>
      <w:pPr>
        <w:pStyle w:val="105"/>
        <w:spacing w:before="156" w:after="156"/>
        <w:rPr>
          <w:color w:val="auto"/>
          <w:highlight w:val="none"/>
        </w:rPr>
      </w:pPr>
      <w:r>
        <w:rPr>
          <w:rFonts w:hint="eastAsia"/>
          <w:color w:val="auto"/>
          <w:highlight w:val="none"/>
        </w:rPr>
        <w:t>鲜蛋类查验</w:t>
      </w:r>
    </w:p>
    <w:p>
      <w:pPr>
        <w:pStyle w:val="65"/>
        <w:spacing w:before="156" w:after="156"/>
        <w:rPr>
          <w:color w:val="auto"/>
          <w:highlight w:val="none"/>
        </w:rPr>
      </w:pPr>
      <w:r>
        <w:rPr>
          <w:rFonts w:hint="eastAsia"/>
          <w:color w:val="auto"/>
          <w:highlight w:val="none"/>
        </w:rPr>
        <w:t>基础要求</w:t>
      </w:r>
    </w:p>
    <w:p>
      <w:pPr>
        <w:pStyle w:val="56"/>
        <w:ind w:firstLine="420"/>
        <w:rPr>
          <w:color w:val="auto"/>
          <w:highlight w:val="none"/>
        </w:rPr>
      </w:pPr>
      <w:r>
        <w:rPr>
          <w:rFonts w:hint="eastAsia"/>
          <w:color w:val="auto"/>
          <w:highlight w:val="none"/>
        </w:rPr>
        <w:t>鲜蛋类的感官和食品安全指标应符合GB 2749的规定，感官应符合表4的要求。</w:t>
      </w:r>
    </w:p>
    <w:p>
      <w:pPr>
        <w:pStyle w:val="112"/>
        <w:spacing w:before="156" w:after="156"/>
        <w:rPr>
          <w:color w:val="auto"/>
          <w:highlight w:val="none"/>
        </w:rPr>
      </w:pPr>
      <w:r>
        <w:rPr>
          <w:rFonts w:hint="eastAsia"/>
          <w:color w:val="auto"/>
          <w:highlight w:val="none"/>
        </w:rPr>
        <w:t>鲜蛋类基础感官指标</w:t>
      </w:r>
    </w:p>
    <w:tbl>
      <w:tblPr>
        <w:tblStyle w:val="2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9"/>
        <w:gridCol w:w="84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9" w:type="dxa"/>
            <w:tcBorders>
              <w:top w:val="single" w:color="auto" w:sz="8" w:space="0"/>
              <w:left w:val="single" w:color="auto" w:sz="8" w:space="0"/>
              <w:bottom w:val="single" w:color="auto" w:sz="8" w:space="0"/>
              <w:right w:val="single" w:color="auto" w:sz="4" w:space="0"/>
            </w:tcBorders>
            <w:vAlign w:val="center"/>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w:t>
            </w:r>
          </w:p>
        </w:tc>
        <w:tc>
          <w:tcPr>
            <w:tcW w:w="8445" w:type="dxa"/>
            <w:tcBorders>
              <w:top w:val="single" w:color="auto" w:sz="8" w:space="0"/>
              <w:left w:val="nil"/>
              <w:bottom w:val="single" w:color="auto" w:sz="8" w:space="0"/>
              <w:right w:val="single" w:color="auto" w:sz="8" w:space="0"/>
            </w:tcBorders>
            <w:vAlign w:val="center"/>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9" w:type="dxa"/>
            <w:tcBorders>
              <w:top w:val="single" w:color="auto" w:sz="8" w:space="0"/>
              <w:left w:val="single" w:color="auto" w:sz="8" w:space="0"/>
              <w:bottom w:val="single" w:color="auto" w:sz="4" w:space="0"/>
              <w:right w:val="single" w:color="auto" w:sz="4" w:space="0"/>
            </w:tcBorders>
            <w:vAlign w:val="center"/>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色泽</w:t>
            </w:r>
          </w:p>
        </w:tc>
        <w:tc>
          <w:tcPr>
            <w:tcW w:w="8445" w:type="dxa"/>
            <w:tcBorders>
              <w:top w:val="single" w:color="auto" w:sz="8" w:space="0"/>
              <w:left w:val="nil"/>
              <w:bottom w:val="single" w:color="auto" w:sz="4" w:space="0"/>
              <w:right w:val="single" w:color="auto" w:sz="8" w:space="0"/>
            </w:tcBorders>
          </w:tcPr>
          <w:p>
            <w:pPr>
              <w:widowControl/>
              <w:autoSpaceDE w:val="0"/>
              <w:autoSpaceDN w:val="0"/>
              <w:ind w:left="136" w:leftChars="65"/>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灯光透视时整个蛋呈微红色；去壳后蛋黄呈橘黄色至橙色，蛋白澄清、透明，无其他异常颜色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9" w:type="dxa"/>
            <w:tcBorders>
              <w:top w:val="single" w:color="auto" w:sz="4" w:space="0"/>
              <w:left w:val="single" w:color="auto" w:sz="8" w:space="0"/>
              <w:bottom w:val="single" w:color="auto" w:sz="4" w:space="0"/>
              <w:right w:val="single" w:color="auto" w:sz="4" w:space="0"/>
            </w:tcBorders>
            <w:vAlign w:val="center"/>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气味</w:t>
            </w:r>
          </w:p>
        </w:tc>
        <w:tc>
          <w:tcPr>
            <w:tcW w:w="8445" w:type="dxa"/>
            <w:tcBorders>
              <w:top w:val="single" w:color="auto" w:sz="4" w:space="0"/>
              <w:left w:val="nil"/>
              <w:bottom w:val="single" w:color="auto" w:sz="4" w:space="0"/>
              <w:right w:val="single" w:color="auto" w:sz="8" w:space="0"/>
            </w:tcBorders>
          </w:tcPr>
          <w:p>
            <w:pPr>
              <w:widowControl/>
              <w:autoSpaceDE w:val="0"/>
              <w:autoSpaceDN w:val="0"/>
              <w:ind w:left="136" w:leftChars="65"/>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蛋液具有固有的蛋腥味，无异味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89" w:type="dxa"/>
            <w:tcBorders>
              <w:top w:val="single" w:color="auto" w:sz="4" w:space="0"/>
              <w:left w:val="single" w:color="auto" w:sz="8" w:space="0"/>
              <w:bottom w:val="single" w:color="auto" w:sz="8" w:space="0"/>
              <w:right w:val="single" w:color="auto" w:sz="4" w:space="0"/>
            </w:tcBorders>
            <w:vAlign w:val="center"/>
          </w:tcPr>
          <w:p>
            <w:pPr>
              <w:widowControl/>
              <w:autoSpaceDE w:val="0"/>
              <w:autoSpaceDN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状态</w:t>
            </w:r>
          </w:p>
        </w:tc>
        <w:tc>
          <w:tcPr>
            <w:tcW w:w="8445" w:type="dxa"/>
            <w:tcBorders>
              <w:top w:val="single" w:color="auto" w:sz="4" w:space="0"/>
              <w:left w:val="nil"/>
              <w:bottom w:val="single" w:color="auto" w:sz="8" w:space="0"/>
              <w:right w:val="single" w:color="auto" w:sz="8" w:space="0"/>
            </w:tcBorders>
          </w:tcPr>
          <w:p>
            <w:pPr>
              <w:widowControl/>
              <w:autoSpaceDE w:val="0"/>
              <w:autoSpaceDN w:val="0"/>
              <w:ind w:left="136" w:leftChars="65"/>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蛋壳清洁完整，无裂纹，无霉斑，灯光透视时蛋内无黑点及异物；去壳后蛋黄凸起、完整并带有韧性，蛋白稀稠分明，无正常视力可见外来异物</w:t>
            </w:r>
          </w:p>
        </w:tc>
      </w:tr>
    </w:tbl>
    <w:p>
      <w:pPr>
        <w:pStyle w:val="65"/>
        <w:spacing w:before="156" w:after="156"/>
        <w:rPr>
          <w:color w:val="auto"/>
          <w:highlight w:val="none"/>
        </w:rPr>
      </w:pPr>
      <w:r>
        <w:rPr>
          <w:rFonts w:hint="eastAsia"/>
          <w:color w:val="auto"/>
          <w:highlight w:val="none"/>
        </w:rPr>
        <w:t>合格证明文件</w:t>
      </w:r>
    </w:p>
    <w:p>
      <w:pPr>
        <w:pStyle w:val="56"/>
        <w:ind w:firstLine="420"/>
        <w:rPr>
          <w:color w:val="auto"/>
          <w:highlight w:val="none"/>
        </w:rPr>
      </w:pPr>
      <w:r>
        <w:rPr>
          <w:rFonts w:hint="eastAsia"/>
          <w:color w:val="auto"/>
          <w:highlight w:val="none"/>
        </w:rPr>
        <w:t>查验、索取和留存有效票证，具体依照附录A 食品、食品添加剂和食用农产品有关索证索票规定清单。鲜蛋类食品的合格证明文件应包括最近半年内由具有法定资质的第三方检验检测机构出具的委托检验报告，宜查验每批次快检报告。</w:t>
      </w:r>
    </w:p>
    <w:p>
      <w:pPr>
        <w:pStyle w:val="105"/>
        <w:spacing w:before="156" w:after="156"/>
        <w:rPr>
          <w:color w:val="auto"/>
          <w:highlight w:val="none"/>
        </w:rPr>
      </w:pPr>
      <w:r>
        <w:rPr>
          <w:rFonts w:hint="eastAsia"/>
          <w:color w:val="auto"/>
          <w:highlight w:val="none"/>
        </w:rPr>
        <w:t>粮油、调味品、乳制品等普通食品查验</w:t>
      </w:r>
    </w:p>
    <w:p>
      <w:pPr>
        <w:pStyle w:val="65"/>
        <w:spacing w:before="156" w:after="156"/>
        <w:rPr>
          <w:color w:val="auto"/>
          <w:highlight w:val="none"/>
        </w:rPr>
      </w:pPr>
      <w:r>
        <w:rPr>
          <w:rFonts w:hint="eastAsia"/>
          <w:color w:val="auto"/>
          <w:highlight w:val="none"/>
        </w:rPr>
        <w:t>基础要求</w:t>
      </w:r>
    </w:p>
    <w:p>
      <w:pPr>
        <w:pStyle w:val="56"/>
        <w:ind w:firstLine="420"/>
        <w:rPr>
          <w:color w:val="auto"/>
          <w:highlight w:val="none"/>
        </w:rPr>
      </w:pPr>
      <w:r>
        <w:rPr>
          <w:rFonts w:hint="eastAsia"/>
          <w:color w:val="auto"/>
          <w:highlight w:val="none"/>
        </w:rPr>
        <w:t>学校食堂采购的粮油、调味品、乳制品等普通食品应为预包装食品。产品外包装应完好、无破损，包装标识清晰、规范，标签应符合GB 7718、GB 28050等要求。产品进货查验时剩余有效期宜不少于保质期限的1/2。</w:t>
      </w:r>
    </w:p>
    <w:p>
      <w:pPr>
        <w:pStyle w:val="65"/>
        <w:spacing w:before="156" w:after="156"/>
        <w:rPr>
          <w:color w:val="auto"/>
          <w:highlight w:val="none"/>
        </w:rPr>
      </w:pPr>
      <w:r>
        <w:rPr>
          <w:rFonts w:hint="eastAsia"/>
          <w:color w:val="auto"/>
          <w:highlight w:val="none"/>
        </w:rPr>
        <w:t>合格证明文件</w:t>
      </w:r>
    </w:p>
    <w:p>
      <w:pPr>
        <w:pStyle w:val="56"/>
        <w:ind w:firstLine="420"/>
        <w:rPr>
          <w:rFonts w:hint="eastAsia"/>
          <w:color w:val="auto"/>
          <w:highlight w:val="none"/>
        </w:rPr>
      </w:pPr>
      <w:r>
        <w:rPr>
          <w:rFonts w:hint="eastAsia"/>
          <w:color w:val="auto"/>
          <w:highlight w:val="none"/>
        </w:rPr>
        <w:t>查验、索取和留存有效票证，具体依照附录A 食品、食品添加剂和食用农产品有关索证索票规定清单。每批次产品应随货附带出厂检验合格证明和年度内型式检验报告，检测项目应满足食品安全国家标准和产品执行标准的要求。其中，</w:t>
      </w:r>
    </w:p>
    <w:p>
      <w:pPr>
        <w:pStyle w:val="56"/>
        <w:ind w:firstLine="420"/>
        <w:rPr>
          <w:rFonts w:hint="eastAsia"/>
          <w:color w:val="auto"/>
          <w:highlight w:val="none"/>
        </w:rPr>
      </w:pPr>
      <w:r>
        <w:rPr>
          <w:rFonts w:hint="eastAsia"/>
          <w:color w:val="auto"/>
          <w:highlight w:val="none"/>
        </w:rPr>
        <w:t>大米质量指标应符合GB/T 1354的技术要求；</w:t>
      </w:r>
    </w:p>
    <w:p>
      <w:pPr>
        <w:pStyle w:val="56"/>
        <w:ind w:firstLine="420"/>
        <w:rPr>
          <w:rFonts w:hint="eastAsia"/>
          <w:color w:val="auto"/>
          <w:highlight w:val="none"/>
        </w:rPr>
      </w:pPr>
      <w:r>
        <w:rPr>
          <w:rFonts w:hint="eastAsia"/>
          <w:color w:val="auto"/>
          <w:highlight w:val="none"/>
        </w:rPr>
        <w:t>小麦粉（面粉）质量指标应符合GB/T 1355的技术要求；</w:t>
      </w:r>
    </w:p>
    <w:p>
      <w:pPr>
        <w:pStyle w:val="56"/>
        <w:ind w:firstLine="420"/>
        <w:rPr>
          <w:rFonts w:hint="eastAsia"/>
          <w:color w:val="auto"/>
          <w:highlight w:val="none"/>
        </w:rPr>
      </w:pPr>
      <w:r>
        <w:rPr>
          <w:rFonts w:hint="eastAsia"/>
          <w:color w:val="auto"/>
          <w:highlight w:val="none"/>
        </w:rPr>
        <w:t>食用油的食品安全指标应符合GB 2716的规定；</w:t>
      </w:r>
    </w:p>
    <w:p>
      <w:pPr>
        <w:pStyle w:val="56"/>
        <w:ind w:firstLine="420"/>
        <w:rPr>
          <w:rFonts w:hint="eastAsia"/>
          <w:color w:val="auto"/>
          <w:highlight w:val="none"/>
        </w:rPr>
      </w:pPr>
      <w:r>
        <w:rPr>
          <w:rFonts w:hint="eastAsia"/>
          <w:color w:val="auto"/>
          <w:highlight w:val="none"/>
        </w:rPr>
        <w:t>食用盐的食品安全指标应符合GB 2721的规定；</w:t>
      </w:r>
    </w:p>
    <w:p>
      <w:pPr>
        <w:pStyle w:val="56"/>
        <w:ind w:firstLine="420"/>
        <w:rPr>
          <w:rFonts w:hint="eastAsia"/>
          <w:color w:val="auto"/>
          <w:highlight w:val="none"/>
        </w:rPr>
      </w:pPr>
      <w:r>
        <w:rPr>
          <w:rFonts w:hint="eastAsia"/>
          <w:color w:val="auto"/>
          <w:highlight w:val="none"/>
        </w:rPr>
        <w:t>酱油的食品安全指标应符合GB2717的规定；</w:t>
      </w:r>
    </w:p>
    <w:p>
      <w:pPr>
        <w:pStyle w:val="56"/>
        <w:ind w:firstLine="420"/>
        <w:rPr>
          <w:rFonts w:hint="eastAsia"/>
          <w:color w:val="auto"/>
          <w:highlight w:val="none"/>
        </w:rPr>
      </w:pPr>
      <w:r>
        <w:rPr>
          <w:rFonts w:hint="eastAsia"/>
          <w:color w:val="auto"/>
          <w:highlight w:val="none"/>
        </w:rPr>
        <w:t>食醋的食品安全指标应符合GB2719的规定；</w:t>
      </w:r>
    </w:p>
    <w:p>
      <w:pPr>
        <w:pStyle w:val="56"/>
        <w:ind w:firstLine="420"/>
        <w:rPr>
          <w:color w:val="auto"/>
          <w:highlight w:val="none"/>
        </w:rPr>
      </w:pPr>
      <w:r>
        <w:rPr>
          <w:rFonts w:hint="eastAsia"/>
          <w:color w:val="auto"/>
          <w:highlight w:val="none"/>
        </w:rPr>
        <w:t>乳制品（发酵乳、巴氏杀菌乳、灭菌乳、调制乳）的食品安全指标应分别符合GB 19302、GB 19645、GB 25190、GB 25191的规定。</w:t>
      </w:r>
    </w:p>
    <w:p>
      <w:pPr>
        <w:pStyle w:val="105"/>
        <w:spacing w:before="156" w:after="156"/>
        <w:rPr>
          <w:color w:val="auto"/>
          <w:highlight w:val="none"/>
        </w:rPr>
      </w:pPr>
      <w:r>
        <w:rPr>
          <w:rFonts w:hint="eastAsia"/>
          <w:color w:val="auto"/>
          <w:highlight w:val="none"/>
        </w:rPr>
        <w:t>干货类食品查验</w:t>
      </w:r>
    </w:p>
    <w:p>
      <w:pPr>
        <w:pStyle w:val="65"/>
        <w:spacing w:before="156" w:after="156"/>
        <w:rPr>
          <w:color w:val="auto"/>
          <w:highlight w:val="none"/>
        </w:rPr>
      </w:pPr>
      <w:r>
        <w:rPr>
          <w:rFonts w:hint="eastAsia"/>
          <w:color w:val="auto"/>
          <w:highlight w:val="none"/>
        </w:rPr>
        <w:t>散装干货类食品</w:t>
      </w:r>
    </w:p>
    <w:p>
      <w:pPr>
        <w:pStyle w:val="94"/>
        <w:spacing w:before="156" w:after="156"/>
        <w:rPr>
          <w:color w:val="auto"/>
          <w:highlight w:val="none"/>
        </w:rPr>
      </w:pPr>
      <w:r>
        <w:rPr>
          <w:rFonts w:hint="eastAsia"/>
          <w:color w:val="auto"/>
          <w:highlight w:val="none"/>
        </w:rPr>
        <w:t>基础要求</w:t>
      </w:r>
    </w:p>
    <w:p>
      <w:pPr>
        <w:pStyle w:val="56"/>
        <w:ind w:firstLine="420"/>
        <w:rPr>
          <w:color w:val="auto"/>
          <w:highlight w:val="none"/>
        </w:rPr>
      </w:pPr>
      <w:r>
        <w:rPr>
          <w:rFonts w:hint="eastAsia"/>
          <w:color w:val="auto"/>
          <w:highlight w:val="none"/>
        </w:rPr>
        <w:t>散装干货类食品应符合表5的基础感官要求。</w:t>
      </w:r>
    </w:p>
    <w:p>
      <w:pPr>
        <w:pStyle w:val="112"/>
        <w:spacing w:before="156" w:after="156"/>
        <w:rPr>
          <w:color w:val="auto"/>
          <w:highlight w:val="none"/>
        </w:rPr>
      </w:pPr>
      <w:r>
        <w:rPr>
          <w:rFonts w:hint="eastAsia"/>
          <w:color w:val="auto"/>
          <w:highlight w:val="none"/>
        </w:rPr>
        <w:t>散装干货类食品基础感官指标</w:t>
      </w:r>
    </w:p>
    <w:tbl>
      <w:tblPr>
        <w:tblStyle w:val="23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400"/>
        <w:gridCol w:w="69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8" w:space="0"/>
              <w:left w:val="single" w:color="auto" w:sz="8" w:space="0"/>
              <w:bottom w:val="single" w:color="auto" w:sz="8" w:space="0"/>
              <w:right w:val="single" w:color="auto" w:sz="4" w:space="0"/>
            </w:tcBorders>
          </w:tcPr>
          <w:p>
            <w:pPr>
              <w:widowControl/>
              <w:autoSpaceDE w:val="0"/>
              <w:autoSpaceDN w:val="0"/>
              <w:ind w:left="136" w:leftChars="65"/>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w:t>
            </w:r>
          </w:p>
        </w:tc>
        <w:tc>
          <w:tcPr>
            <w:tcW w:w="6934" w:type="dxa"/>
            <w:tcBorders>
              <w:top w:val="single" w:color="auto" w:sz="8" w:space="0"/>
              <w:left w:val="nil"/>
              <w:bottom w:val="single" w:color="auto" w:sz="8" w:space="0"/>
              <w:right w:val="single" w:color="auto" w:sz="8" w:space="0"/>
            </w:tcBorders>
          </w:tcPr>
          <w:p>
            <w:pPr>
              <w:widowControl/>
              <w:autoSpaceDE w:val="0"/>
              <w:autoSpaceDN w:val="0"/>
              <w:ind w:left="136" w:leftChars="65"/>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8" w:space="0"/>
              <w:left w:val="single" w:color="auto" w:sz="8" w:space="0"/>
              <w:bottom w:val="single" w:color="auto" w:sz="4" w:space="0"/>
              <w:right w:val="single" w:color="auto" w:sz="4" w:space="0"/>
            </w:tcBorders>
          </w:tcPr>
          <w:p>
            <w:pPr>
              <w:widowControl/>
              <w:autoSpaceDE w:val="0"/>
              <w:autoSpaceDN w:val="0"/>
              <w:ind w:left="136" w:leftChars="65"/>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w:t>
            </w:r>
          </w:p>
        </w:tc>
        <w:tc>
          <w:tcPr>
            <w:tcW w:w="6934" w:type="dxa"/>
            <w:tcBorders>
              <w:top w:val="single" w:color="auto" w:sz="8" w:space="0"/>
              <w:left w:val="nil"/>
              <w:bottom w:val="single" w:color="auto" w:sz="4" w:space="0"/>
              <w:right w:val="single" w:color="auto" w:sz="8" w:space="0"/>
            </w:tcBorders>
          </w:tcPr>
          <w:p>
            <w:pPr>
              <w:widowControl/>
              <w:autoSpaceDE w:val="0"/>
              <w:autoSpaceDN w:val="0"/>
              <w:ind w:left="136" w:leftChars="65"/>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干爽、无霉烂现象、无虫蛀、无杂质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4" w:space="0"/>
              <w:left w:val="single" w:color="auto" w:sz="8" w:space="0"/>
              <w:bottom w:val="single" w:color="auto" w:sz="4" w:space="0"/>
              <w:right w:val="single" w:color="auto" w:sz="4" w:space="0"/>
            </w:tcBorders>
          </w:tcPr>
          <w:p>
            <w:pPr>
              <w:widowControl/>
              <w:autoSpaceDE w:val="0"/>
              <w:autoSpaceDN w:val="0"/>
              <w:ind w:left="136" w:leftChars="65"/>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色泽</w:t>
            </w:r>
          </w:p>
        </w:tc>
        <w:tc>
          <w:tcPr>
            <w:tcW w:w="6934" w:type="dxa"/>
            <w:tcBorders>
              <w:top w:val="single" w:color="auto" w:sz="4" w:space="0"/>
              <w:left w:val="nil"/>
              <w:bottom w:val="single" w:color="auto" w:sz="4" w:space="0"/>
              <w:right w:val="single" w:color="auto" w:sz="8" w:space="0"/>
            </w:tcBorders>
          </w:tcPr>
          <w:p>
            <w:pPr>
              <w:widowControl/>
              <w:autoSpaceDE w:val="0"/>
              <w:autoSpaceDN w:val="0"/>
              <w:ind w:left="136" w:leftChars="65"/>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符合该品种的色泽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400" w:type="dxa"/>
            <w:tcBorders>
              <w:top w:val="single" w:color="auto" w:sz="4" w:space="0"/>
              <w:left w:val="single" w:color="auto" w:sz="8" w:space="0"/>
              <w:bottom w:val="single" w:color="auto" w:sz="4" w:space="0"/>
              <w:right w:val="single" w:color="auto" w:sz="4" w:space="0"/>
            </w:tcBorders>
          </w:tcPr>
          <w:p>
            <w:pPr>
              <w:widowControl/>
              <w:autoSpaceDE w:val="0"/>
              <w:autoSpaceDN w:val="0"/>
              <w:ind w:left="136" w:leftChars="65"/>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质地</w:t>
            </w:r>
          </w:p>
        </w:tc>
        <w:tc>
          <w:tcPr>
            <w:tcW w:w="6934" w:type="dxa"/>
            <w:tcBorders>
              <w:top w:val="single" w:color="auto" w:sz="4" w:space="0"/>
              <w:left w:val="nil"/>
              <w:bottom w:val="single" w:color="auto" w:sz="4" w:space="0"/>
              <w:right w:val="single" w:color="auto" w:sz="8" w:space="0"/>
            </w:tcBorders>
          </w:tcPr>
          <w:p>
            <w:pPr>
              <w:widowControl/>
              <w:autoSpaceDE w:val="0"/>
              <w:autoSpaceDN w:val="0"/>
              <w:ind w:left="136" w:leftChars="65"/>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符合该品种质地、干货颗粒整齐、均匀、完整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4" w:space="0"/>
              <w:left w:val="single" w:color="auto" w:sz="8" w:space="0"/>
              <w:bottom w:val="single" w:color="auto" w:sz="8" w:space="0"/>
              <w:right w:val="single" w:color="auto" w:sz="4" w:space="0"/>
            </w:tcBorders>
          </w:tcPr>
          <w:p>
            <w:pPr>
              <w:widowControl/>
              <w:autoSpaceDE w:val="0"/>
              <w:autoSpaceDN w:val="0"/>
              <w:ind w:left="136" w:leftChars="65"/>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风味</w:t>
            </w:r>
          </w:p>
        </w:tc>
        <w:tc>
          <w:tcPr>
            <w:tcW w:w="6934" w:type="dxa"/>
            <w:tcBorders>
              <w:top w:val="single" w:color="auto" w:sz="4" w:space="0"/>
              <w:left w:val="nil"/>
              <w:bottom w:val="single" w:color="auto" w:sz="8" w:space="0"/>
              <w:right w:val="single" w:color="auto" w:sz="8" w:space="0"/>
            </w:tcBorders>
          </w:tcPr>
          <w:p>
            <w:pPr>
              <w:widowControl/>
              <w:autoSpaceDE w:val="0"/>
              <w:autoSpaceDN w:val="0"/>
              <w:ind w:left="136" w:leftChars="65"/>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符合该品种风味、无异味、无不良风味</w:t>
            </w:r>
          </w:p>
        </w:tc>
      </w:tr>
    </w:tbl>
    <w:p>
      <w:pPr>
        <w:pStyle w:val="94"/>
        <w:spacing w:before="156" w:after="156"/>
        <w:rPr>
          <w:color w:val="auto"/>
          <w:highlight w:val="none"/>
        </w:rPr>
      </w:pPr>
      <w:r>
        <w:rPr>
          <w:rFonts w:hint="eastAsia"/>
          <w:color w:val="auto"/>
          <w:highlight w:val="none"/>
        </w:rPr>
        <w:t>合格证明文件</w:t>
      </w:r>
    </w:p>
    <w:p>
      <w:pPr>
        <w:pStyle w:val="56"/>
        <w:ind w:firstLine="420"/>
        <w:rPr>
          <w:color w:val="auto"/>
          <w:highlight w:val="none"/>
        </w:rPr>
      </w:pPr>
      <w:r>
        <w:rPr>
          <w:rFonts w:hint="eastAsia"/>
          <w:color w:val="auto"/>
          <w:highlight w:val="none"/>
        </w:rPr>
        <w:t>查验、索取和留存有效票证，具体依照附录A 食品、食品添加剂和食用农产品有关索证索票规定清单。散装干货类食材的合格证明文件应包括最近半年内由具有法定资质的第三方检验检测机构出具的委托检验报告。干制蔬菜、干制食用菌、干制水果、干制水产品和干调香辛料宜查验每批次的快检报告。</w:t>
      </w:r>
    </w:p>
    <w:p>
      <w:pPr>
        <w:pStyle w:val="65"/>
        <w:spacing w:before="156" w:after="156"/>
        <w:rPr>
          <w:color w:val="auto"/>
          <w:highlight w:val="none"/>
        </w:rPr>
      </w:pPr>
      <w:r>
        <w:rPr>
          <w:rFonts w:hint="eastAsia"/>
          <w:color w:val="auto"/>
          <w:highlight w:val="none"/>
        </w:rPr>
        <w:t>预包装干货类食品</w:t>
      </w:r>
    </w:p>
    <w:p>
      <w:pPr>
        <w:pStyle w:val="94"/>
        <w:spacing w:before="156" w:after="156"/>
        <w:rPr>
          <w:color w:val="auto"/>
          <w:highlight w:val="none"/>
        </w:rPr>
      </w:pPr>
      <w:r>
        <w:rPr>
          <w:rFonts w:hint="eastAsia"/>
          <w:color w:val="auto"/>
          <w:highlight w:val="none"/>
        </w:rPr>
        <w:t>基础要求</w:t>
      </w:r>
    </w:p>
    <w:p>
      <w:pPr>
        <w:pStyle w:val="56"/>
        <w:ind w:firstLine="420"/>
        <w:rPr>
          <w:color w:val="auto"/>
          <w:highlight w:val="none"/>
        </w:rPr>
      </w:pPr>
      <w:r>
        <w:rPr>
          <w:rFonts w:hint="eastAsia"/>
          <w:color w:val="auto"/>
          <w:highlight w:val="none"/>
        </w:rPr>
        <w:t>预包装干货类食品的产品外包装应完好、无破损，包装标识清晰、规范，标签应符合GB 7718、GB 28050等要求。产品供应时剩余有效期不少于保质期限的1/2。</w:t>
      </w:r>
    </w:p>
    <w:p>
      <w:pPr>
        <w:pStyle w:val="94"/>
        <w:spacing w:before="156" w:after="156"/>
        <w:rPr>
          <w:color w:val="auto"/>
          <w:highlight w:val="none"/>
        </w:rPr>
      </w:pPr>
      <w:r>
        <w:rPr>
          <w:rFonts w:hint="eastAsia"/>
          <w:color w:val="auto"/>
          <w:highlight w:val="none"/>
        </w:rPr>
        <w:t>合格证明文件</w:t>
      </w:r>
    </w:p>
    <w:p>
      <w:pPr>
        <w:pStyle w:val="56"/>
        <w:ind w:firstLine="420"/>
        <w:rPr>
          <w:color w:val="auto"/>
          <w:highlight w:val="none"/>
        </w:rPr>
      </w:pPr>
      <w:r>
        <w:rPr>
          <w:rFonts w:hint="eastAsia"/>
          <w:color w:val="auto"/>
          <w:highlight w:val="none"/>
        </w:rPr>
        <w:t>查验、索取和留存有效票证，具体依照附录A 食品、食品添加剂和食用农产品有关索证索票规定清单。干货类食品的合格证明文件应包括近半年内由具有法定资质的第三方检验检测机构出具的委托检验报告或每批次随货附带的出厂检验合格证明。</w:t>
      </w:r>
    </w:p>
    <w:p>
      <w:pPr>
        <w:pStyle w:val="105"/>
        <w:spacing w:before="156" w:after="156"/>
        <w:rPr>
          <w:color w:val="auto"/>
          <w:highlight w:val="none"/>
        </w:rPr>
      </w:pPr>
      <w:r>
        <w:rPr>
          <w:rFonts w:hint="eastAsia"/>
          <w:color w:val="auto"/>
          <w:highlight w:val="none"/>
        </w:rPr>
        <w:t>冻货食品查验</w:t>
      </w:r>
    </w:p>
    <w:p>
      <w:pPr>
        <w:pStyle w:val="65"/>
        <w:spacing w:before="156" w:after="156"/>
        <w:rPr>
          <w:color w:val="auto"/>
          <w:highlight w:val="none"/>
        </w:rPr>
      </w:pPr>
      <w:r>
        <w:rPr>
          <w:rFonts w:hint="eastAsia"/>
          <w:color w:val="auto"/>
          <w:highlight w:val="none"/>
        </w:rPr>
        <w:t>基础要求</w:t>
      </w:r>
    </w:p>
    <w:p>
      <w:pPr>
        <w:pStyle w:val="56"/>
        <w:ind w:firstLine="420"/>
        <w:rPr>
          <w:color w:val="auto"/>
          <w:highlight w:val="none"/>
        </w:rPr>
      </w:pPr>
      <w:r>
        <w:rPr>
          <w:rFonts w:hint="eastAsia"/>
          <w:color w:val="auto"/>
          <w:highlight w:val="none"/>
        </w:rPr>
        <w:t>整箱包装应完整、无破箱。食品无解冻后再次冷冻情形，具有正常的感官性状，食品标签标识符合相关要求，包装上应注明厂名、品名、毛重、净重、出厂日期、保质期等。食品在保质期内。冷藏食品表面温度与标识标签的温度要求不得超过+3℃。冷冻食品表面温度不宜高于-9℃。</w:t>
      </w:r>
    </w:p>
    <w:p>
      <w:pPr>
        <w:pStyle w:val="65"/>
        <w:spacing w:before="156" w:after="156"/>
        <w:rPr>
          <w:color w:val="auto"/>
          <w:highlight w:val="none"/>
        </w:rPr>
      </w:pPr>
      <w:r>
        <w:rPr>
          <w:rFonts w:hint="eastAsia"/>
          <w:color w:val="auto"/>
          <w:highlight w:val="none"/>
        </w:rPr>
        <w:t>合格证明文件</w:t>
      </w:r>
    </w:p>
    <w:p>
      <w:pPr>
        <w:pStyle w:val="56"/>
        <w:ind w:firstLine="420"/>
        <w:rPr>
          <w:color w:val="auto"/>
          <w:highlight w:val="none"/>
        </w:rPr>
      </w:pPr>
      <w:r>
        <w:rPr>
          <w:rFonts w:hint="eastAsia"/>
          <w:color w:val="auto"/>
          <w:highlight w:val="none"/>
        </w:rPr>
        <w:t>查验、索取和留存有效票证，具体依照附录A 食品、食品添加剂和食用农产品有关索证索票规定清单。冻货食品的合格证明文件应包括近半年内由具有法定资质的第三方检验检测机构出具的委托检验报告或每批次随货附带的出厂检验合格证明。</w:t>
      </w:r>
    </w:p>
    <w:p>
      <w:pPr>
        <w:pStyle w:val="105"/>
        <w:spacing w:before="156" w:after="156"/>
        <w:rPr>
          <w:color w:val="auto"/>
          <w:highlight w:val="none"/>
        </w:rPr>
      </w:pPr>
      <w:r>
        <w:rPr>
          <w:rFonts w:hint="eastAsia"/>
          <w:color w:val="auto"/>
          <w:highlight w:val="none"/>
        </w:rPr>
        <w:t>豆制品查验</w:t>
      </w:r>
    </w:p>
    <w:p>
      <w:pPr>
        <w:pStyle w:val="65"/>
        <w:spacing w:before="156" w:after="156"/>
        <w:rPr>
          <w:color w:val="auto"/>
          <w:highlight w:val="none"/>
        </w:rPr>
      </w:pPr>
      <w:r>
        <w:rPr>
          <w:rFonts w:hint="eastAsia"/>
          <w:color w:val="auto"/>
          <w:highlight w:val="none"/>
        </w:rPr>
        <w:t>基础要求</w:t>
      </w:r>
    </w:p>
    <w:p>
      <w:pPr>
        <w:pStyle w:val="56"/>
        <w:ind w:firstLine="420"/>
        <w:rPr>
          <w:rFonts w:hint="eastAsia"/>
          <w:color w:val="auto"/>
          <w:highlight w:val="none"/>
        </w:rPr>
      </w:pPr>
      <w:r>
        <w:rPr>
          <w:rFonts w:hint="eastAsia"/>
          <w:color w:val="auto"/>
          <w:highlight w:val="none"/>
        </w:rPr>
        <w:t>豆腐类软硬适宜，有弹性。豆干类质地密实，有韧性。豆皮类簿厚均匀，无白边、花洞。素鸡有弹性，无裂纹，切面光亮。面筋呈黄色或淡黄色，面味浓，无异味，质地松散，韧性好。</w:t>
      </w:r>
    </w:p>
    <w:p>
      <w:pPr>
        <w:pStyle w:val="56"/>
        <w:ind w:firstLine="420"/>
        <w:rPr>
          <w:rFonts w:hint="eastAsia"/>
          <w:color w:val="auto"/>
          <w:highlight w:val="none"/>
        </w:rPr>
      </w:pPr>
    </w:p>
    <w:p>
      <w:pPr>
        <w:pStyle w:val="112"/>
        <w:spacing w:before="156" w:after="156"/>
        <w:rPr>
          <w:rFonts w:hint="eastAsia"/>
          <w:color w:val="auto"/>
          <w:highlight w:val="none"/>
          <w:lang w:val="en-US" w:eastAsia="zh-CN"/>
        </w:rPr>
      </w:pPr>
      <w:r>
        <w:rPr>
          <w:rFonts w:hint="eastAsia"/>
          <w:color w:val="auto"/>
          <w:highlight w:val="none"/>
          <w:lang w:val="en-US" w:eastAsia="zh-CN"/>
        </w:rPr>
        <w:t>豆制品感官要求</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
        <w:gridCol w:w="2248"/>
        <w:gridCol w:w="1980"/>
        <w:gridCol w:w="1230"/>
        <w:gridCol w:w="2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94" w:type="dxa"/>
          </w:tcPr>
          <w:p>
            <w:pPr>
              <w:widowControl/>
              <w:autoSpaceDE w:val="0"/>
              <w:autoSpaceDN w:val="0"/>
              <w:ind w:left="136" w:leftChars="65"/>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项目</w:t>
            </w:r>
          </w:p>
        </w:tc>
        <w:tc>
          <w:tcPr>
            <w:tcW w:w="2248" w:type="dxa"/>
            <w:vAlign w:val="top"/>
          </w:tcPr>
          <w:p>
            <w:pPr>
              <w:widowControl/>
              <w:autoSpaceDE w:val="0"/>
              <w:autoSpaceDN w:val="0"/>
              <w:ind w:left="136" w:leftChars="65"/>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豆腐</w:t>
            </w:r>
          </w:p>
        </w:tc>
        <w:tc>
          <w:tcPr>
            <w:tcW w:w="1980" w:type="dxa"/>
            <w:vAlign w:val="top"/>
          </w:tcPr>
          <w:p>
            <w:pPr>
              <w:widowControl/>
              <w:autoSpaceDE w:val="0"/>
              <w:autoSpaceDN w:val="0"/>
              <w:ind w:left="136" w:leftChars="65"/>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豆腐皮</w:t>
            </w:r>
          </w:p>
        </w:tc>
        <w:tc>
          <w:tcPr>
            <w:tcW w:w="1230" w:type="dxa"/>
            <w:vAlign w:val="top"/>
          </w:tcPr>
          <w:p>
            <w:pPr>
              <w:widowControl/>
              <w:autoSpaceDE w:val="0"/>
              <w:autoSpaceDN w:val="0"/>
              <w:ind w:left="136" w:leftChars="65"/>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面筋</w:t>
            </w:r>
          </w:p>
        </w:tc>
        <w:tc>
          <w:tcPr>
            <w:tcW w:w="2983" w:type="dxa"/>
            <w:vAlign w:val="top"/>
          </w:tcPr>
          <w:p>
            <w:pPr>
              <w:widowControl/>
              <w:autoSpaceDE w:val="0"/>
              <w:autoSpaceDN w:val="0"/>
              <w:ind w:left="136" w:leftChars="65"/>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素鸡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994" w:type="dxa"/>
          </w:tcPr>
          <w:p>
            <w:pPr>
              <w:widowControl/>
              <w:autoSpaceDE w:val="0"/>
              <w:autoSpaceDN w:val="0"/>
              <w:ind w:left="136" w:leftChars="65"/>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色泽</w:t>
            </w:r>
          </w:p>
        </w:tc>
        <w:tc>
          <w:tcPr>
            <w:tcW w:w="2248" w:type="dxa"/>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外黄内白，晶莹剔透</w:t>
            </w:r>
          </w:p>
        </w:tc>
        <w:tc>
          <w:tcPr>
            <w:tcW w:w="1980" w:type="dxa"/>
            <w:vAlign w:val="top"/>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 xml:space="preserve">呈浅黄色，外表润泽，不得有明显焦斑 </w:t>
            </w:r>
          </w:p>
        </w:tc>
        <w:tc>
          <w:tcPr>
            <w:tcW w:w="1230" w:type="dxa"/>
            <w:vAlign w:val="top"/>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zh-CN" w:eastAsia="zh-CN"/>
              </w:rPr>
              <w:t>有光泽</w:t>
            </w:r>
          </w:p>
        </w:tc>
        <w:tc>
          <w:tcPr>
            <w:tcW w:w="2983" w:type="dxa"/>
            <w:vAlign w:val="top"/>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色泽均匀，呈乳白色或淡黄色，外观为圆柱形，切开后刀口光亮‌‌。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994" w:type="dxa"/>
          </w:tcPr>
          <w:p>
            <w:pPr>
              <w:widowControl/>
              <w:autoSpaceDE w:val="0"/>
              <w:autoSpaceDN w:val="0"/>
              <w:ind w:left="136" w:leftChars="65"/>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滋味气味</w:t>
            </w:r>
          </w:p>
        </w:tc>
        <w:tc>
          <w:tcPr>
            <w:tcW w:w="2248" w:type="dxa"/>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鲜嫩滑爽，味正醇香，具有豆腐固有的豆香味</w:t>
            </w:r>
          </w:p>
        </w:tc>
        <w:tc>
          <w:tcPr>
            <w:tcW w:w="1980" w:type="dxa"/>
            <w:vAlign w:val="top"/>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豆香味浓郁纯正、微甜，无酸味、无霉味</w:t>
            </w:r>
          </w:p>
        </w:tc>
        <w:tc>
          <w:tcPr>
            <w:tcW w:w="1230" w:type="dxa"/>
            <w:vAlign w:val="top"/>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zh-CN" w:eastAsia="zh-CN"/>
              </w:rPr>
              <w:t>有小麦固有香气</w:t>
            </w:r>
          </w:p>
        </w:tc>
        <w:tc>
          <w:tcPr>
            <w:tcW w:w="2983" w:type="dxa"/>
            <w:vAlign w:val="top"/>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具有豆香味，没有重碱味，口感醇香，味道鲜美‌‌。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94" w:type="dxa"/>
          </w:tcPr>
          <w:p>
            <w:pPr>
              <w:widowControl/>
              <w:autoSpaceDE w:val="0"/>
              <w:autoSpaceDN w:val="0"/>
              <w:ind w:left="136" w:leftChars="65"/>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形态</w:t>
            </w:r>
          </w:p>
        </w:tc>
        <w:tc>
          <w:tcPr>
            <w:tcW w:w="2248" w:type="dxa"/>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块形完整，韧性高、组织细腻，有弹性，手感绵软</w:t>
            </w:r>
          </w:p>
        </w:tc>
        <w:tc>
          <w:tcPr>
            <w:tcW w:w="1980" w:type="dxa"/>
            <w:vAlign w:val="top"/>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呈扁长条形叠片状，条形均匀、质地细腻</w:t>
            </w:r>
          </w:p>
        </w:tc>
        <w:tc>
          <w:tcPr>
            <w:tcW w:w="1230" w:type="dxa"/>
            <w:vAlign w:val="top"/>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zh-CN" w:eastAsia="zh-CN"/>
              </w:rPr>
              <w:t>有较强弹性</w:t>
            </w:r>
          </w:p>
        </w:tc>
        <w:tc>
          <w:tcPr>
            <w:tcW w:w="2983" w:type="dxa"/>
            <w:vAlign w:val="top"/>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组织形态应密实、坚韧有弹性，切开后刀口光亮，无裂缝或烂心‌‌。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994" w:type="dxa"/>
          </w:tcPr>
          <w:p>
            <w:pPr>
              <w:widowControl/>
              <w:autoSpaceDE w:val="0"/>
              <w:autoSpaceDN w:val="0"/>
              <w:ind w:left="136" w:leftChars="65"/>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杂质</w:t>
            </w:r>
          </w:p>
        </w:tc>
        <w:tc>
          <w:tcPr>
            <w:tcW w:w="2248" w:type="dxa"/>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无肉眼可见的杂质</w:t>
            </w:r>
          </w:p>
        </w:tc>
        <w:tc>
          <w:tcPr>
            <w:tcW w:w="1980" w:type="dxa"/>
            <w:vAlign w:val="top"/>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无可见的外来杂质</w:t>
            </w:r>
          </w:p>
        </w:tc>
        <w:tc>
          <w:tcPr>
            <w:tcW w:w="1230" w:type="dxa"/>
            <w:vAlign w:val="top"/>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zh-CN" w:eastAsia="zh-CN"/>
              </w:rPr>
              <w:t>无异物</w:t>
            </w:r>
          </w:p>
        </w:tc>
        <w:tc>
          <w:tcPr>
            <w:tcW w:w="2983" w:type="dxa"/>
            <w:vAlign w:val="top"/>
          </w:tcPr>
          <w:p>
            <w:pPr>
              <w:widowControl/>
              <w:autoSpaceDE w:val="0"/>
              <w:autoSpaceDN w:val="0"/>
              <w:ind w:left="136" w:leftChars="65"/>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没有肉眼可见的外来杂质‌‌。</w:t>
            </w:r>
          </w:p>
        </w:tc>
      </w:tr>
    </w:tbl>
    <w:p>
      <w:pPr>
        <w:pStyle w:val="56"/>
        <w:ind w:left="0" w:leftChars="0" w:firstLine="0" w:firstLineChars="0"/>
        <w:rPr>
          <w:rFonts w:hint="eastAsia"/>
          <w:color w:val="auto"/>
          <w:highlight w:val="none"/>
        </w:rPr>
      </w:pPr>
    </w:p>
    <w:p>
      <w:pPr>
        <w:pStyle w:val="65"/>
        <w:spacing w:before="156" w:after="156"/>
        <w:rPr>
          <w:color w:val="auto"/>
          <w:highlight w:val="none"/>
        </w:rPr>
      </w:pPr>
      <w:r>
        <w:rPr>
          <w:rFonts w:hint="eastAsia"/>
          <w:color w:val="auto"/>
          <w:highlight w:val="none"/>
        </w:rPr>
        <w:t>合格证明文件</w:t>
      </w:r>
    </w:p>
    <w:p>
      <w:pPr>
        <w:pStyle w:val="56"/>
        <w:ind w:firstLine="420"/>
        <w:rPr>
          <w:color w:val="auto"/>
          <w:highlight w:val="none"/>
        </w:rPr>
      </w:pPr>
      <w:r>
        <w:rPr>
          <w:rFonts w:hint="eastAsia"/>
          <w:color w:val="auto"/>
          <w:highlight w:val="none"/>
        </w:rPr>
        <w:t>查验、索取和留存有效票证，具体依照附录A 食品、食品添加剂和食用农产品有关索证索票规定清单。合格证明文件应包括近半年内由具有法定资质的第三方检验检测机构出具的委托检验报告，宜查验批次快检报告。</w:t>
      </w:r>
    </w:p>
    <w:p>
      <w:pPr>
        <w:pStyle w:val="104"/>
        <w:spacing w:before="312" w:after="312"/>
        <w:rPr>
          <w:color w:val="auto"/>
          <w:highlight w:val="none"/>
        </w:rPr>
      </w:pPr>
      <w:bookmarkStart w:id="61" w:name="_Toc201247731"/>
      <w:bookmarkStart w:id="62" w:name="_Toc201247671"/>
      <w:r>
        <w:rPr>
          <w:rFonts w:hint="eastAsia"/>
          <w:color w:val="auto"/>
          <w:highlight w:val="none"/>
        </w:rPr>
        <w:t>快速检测</w:t>
      </w:r>
      <w:bookmarkEnd w:id="61"/>
      <w:bookmarkEnd w:id="62"/>
    </w:p>
    <w:p>
      <w:pPr>
        <w:pStyle w:val="56"/>
        <w:ind w:firstLine="420"/>
        <w:rPr>
          <w:rFonts w:hint="eastAsia"/>
          <w:color w:val="auto"/>
          <w:highlight w:val="none"/>
        </w:rPr>
      </w:pPr>
      <w:r>
        <w:rPr>
          <w:rFonts w:hint="eastAsia"/>
          <w:color w:val="auto"/>
          <w:highlight w:val="none"/>
        </w:rPr>
        <w:t>鼓励学校建立快检实验室或购置快检设备、试剂等，对采购的蔬菜水果、禽畜肉类、水产品等食用农产品进行抽样检测或委托检测。快速检测项目应符合表6的规定。</w:t>
      </w:r>
    </w:p>
    <w:p>
      <w:pPr>
        <w:pStyle w:val="56"/>
        <w:ind w:firstLine="420"/>
        <w:rPr>
          <w:rFonts w:hint="eastAsia"/>
          <w:color w:val="auto"/>
          <w:highlight w:val="none"/>
        </w:rPr>
      </w:pPr>
    </w:p>
    <w:p>
      <w:pPr>
        <w:pStyle w:val="112"/>
        <w:spacing w:before="156" w:after="156"/>
        <w:rPr>
          <w:color w:val="auto"/>
          <w:highlight w:val="none"/>
        </w:rPr>
      </w:pPr>
      <w:r>
        <w:rPr>
          <w:rFonts w:hint="eastAsia"/>
          <w:color w:val="auto"/>
          <w:highlight w:val="none"/>
        </w:rPr>
        <w:t>快速检测项目</w:t>
      </w:r>
    </w:p>
    <w:tbl>
      <w:tblPr>
        <w:tblStyle w:val="26"/>
        <w:tblW w:w="8939" w:type="dxa"/>
        <w:tblInd w:w="13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9"/>
        <w:gridCol w:w="697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1" w:hRule="atLeast"/>
        </w:trPr>
        <w:tc>
          <w:tcPr>
            <w:tcW w:w="1969" w:type="dxa"/>
            <w:tcBorders>
              <w:top w:val="single" w:color="auto" w:sz="12" w:space="0"/>
              <w:left w:val="single" w:color="auto" w:sz="12" w:space="0"/>
              <w:bottom w:val="single" w:color="auto" w:sz="12" w:space="0"/>
              <w:right w:val="single" w:color="auto" w:sz="6" w:space="0"/>
            </w:tcBorders>
            <w:vAlign w:val="center"/>
          </w:tcPr>
          <w:p>
            <w:pPr>
              <w:widowControl/>
              <w:spacing w:line="360" w:lineRule="auto"/>
              <w:jc w:val="center"/>
              <w:rPr>
                <w:rFonts w:ascii="宋体" w:hAnsi="宋体"/>
                <w:color w:val="auto"/>
                <w:kern w:val="0"/>
                <w:sz w:val="18"/>
                <w:szCs w:val="18"/>
                <w:highlight w:val="none"/>
              </w:rPr>
            </w:pPr>
            <w:r>
              <w:rPr>
                <w:rFonts w:hint="eastAsia" w:ascii="宋体" w:hAnsi="宋体"/>
                <w:color w:val="auto"/>
                <w:kern w:val="0"/>
                <w:sz w:val="18"/>
                <w:szCs w:val="18"/>
                <w:highlight w:val="none"/>
              </w:rPr>
              <w:t>应检食材</w:t>
            </w:r>
          </w:p>
        </w:tc>
        <w:tc>
          <w:tcPr>
            <w:tcW w:w="6970" w:type="dxa"/>
            <w:tcBorders>
              <w:top w:val="single" w:color="auto" w:sz="12" w:space="0"/>
              <w:left w:val="nil"/>
              <w:bottom w:val="single" w:color="auto" w:sz="12" w:space="0"/>
              <w:right w:val="single" w:color="auto" w:sz="4"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建议检测项目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08" w:hRule="atLeast"/>
        </w:trPr>
        <w:tc>
          <w:tcPr>
            <w:tcW w:w="1969" w:type="dxa"/>
            <w:tcBorders>
              <w:top w:val="single" w:color="auto" w:sz="12" w:space="0"/>
              <w:left w:val="single" w:color="auto" w:sz="12" w:space="0"/>
              <w:bottom w:val="single" w:color="auto" w:sz="6" w:space="0"/>
              <w:right w:val="single" w:color="auto" w:sz="6"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畜禽肉及副产品</w:t>
            </w:r>
          </w:p>
        </w:tc>
        <w:tc>
          <w:tcPr>
            <w:tcW w:w="6970" w:type="dxa"/>
            <w:tcBorders>
              <w:top w:val="single" w:color="auto" w:sz="12" w:space="0"/>
              <w:left w:val="nil"/>
              <w:bottom w:val="single" w:color="auto" w:sz="6" w:space="0"/>
              <w:right w:val="single" w:color="auto" w:sz="4" w:space="0"/>
            </w:tcBorders>
            <w:vAlign w:val="center"/>
          </w:tcPr>
          <w:p>
            <w:pPr>
              <w:widowControl/>
              <w:spacing w:line="360" w:lineRule="auto"/>
              <w:ind w:firstLine="360" w:firstLineChars="200"/>
              <w:jc w:val="left"/>
              <w:rPr>
                <w:rFonts w:hint="eastAsia" w:ascii="宋体" w:hAnsi="宋体"/>
                <w:color w:val="auto"/>
                <w:kern w:val="0"/>
                <w:sz w:val="18"/>
                <w:szCs w:val="18"/>
                <w:highlight w:val="none"/>
              </w:rPr>
            </w:pPr>
            <w:r>
              <w:rPr>
                <w:rFonts w:hint="eastAsia" w:ascii="宋体" w:hAnsi="宋体"/>
                <w:color w:val="auto"/>
                <w:kern w:val="0"/>
                <w:sz w:val="18"/>
                <w:szCs w:val="18"/>
                <w:highlight w:val="none"/>
              </w:rPr>
              <w:t>挥发性盐基氮、盐酸克伦特罗、莱克多巴胺、沙丁胺醇、磺胺类、恩诺沙星、环丙沙星、氧氟沙星、青霉素、喹诺酮类、呋喃唑酮、呋喃妥因、呋喃它酮、呋喃西林、氨基糖苷类、四环素类、链霉素类、喹乙醇、氯霉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1969" w:type="dxa"/>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果蔬类</w:t>
            </w:r>
          </w:p>
        </w:tc>
        <w:tc>
          <w:tcPr>
            <w:tcW w:w="6970" w:type="dxa"/>
            <w:tcBorders>
              <w:top w:val="single" w:color="auto" w:sz="6" w:space="0"/>
              <w:left w:val="nil"/>
              <w:bottom w:val="single" w:color="auto" w:sz="6" w:space="0"/>
              <w:right w:val="single" w:color="auto" w:sz="4" w:space="0"/>
            </w:tcBorders>
            <w:vAlign w:val="center"/>
          </w:tcPr>
          <w:p>
            <w:pPr>
              <w:widowControl/>
              <w:spacing w:line="360" w:lineRule="auto"/>
              <w:ind w:firstLine="360" w:firstLineChars="20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有机磷及氨基甲酸酯类等农药残留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1969" w:type="dxa"/>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干货类</w:t>
            </w:r>
          </w:p>
        </w:tc>
        <w:tc>
          <w:tcPr>
            <w:tcW w:w="6970" w:type="dxa"/>
            <w:tcBorders>
              <w:top w:val="single" w:color="auto" w:sz="6" w:space="0"/>
              <w:left w:val="nil"/>
              <w:bottom w:val="single" w:color="auto" w:sz="6" w:space="0"/>
              <w:right w:val="single" w:color="auto" w:sz="4" w:space="0"/>
            </w:tcBorders>
            <w:vAlign w:val="center"/>
          </w:tcPr>
          <w:p>
            <w:pPr>
              <w:widowControl/>
              <w:spacing w:line="360" w:lineRule="auto"/>
              <w:ind w:firstLine="360" w:firstLineChars="20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二氧化硫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1969" w:type="dxa"/>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食用菌</w:t>
            </w:r>
          </w:p>
        </w:tc>
        <w:tc>
          <w:tcPr>
            <w:tcW w:w="6970" w:type="dxa"/>
            <w:tcBorders>
              <w:top w:val="single" w:color="auto" w:sz="6" w:space="0"/>
              <w:left w:val="nil"/>
              <w:bottom w:val="single" w:color="auto" w:sz="6" w:space="0"/>
              <w:right w:val="single" w:color="auto" w:sz="4" w:space="0"/>
            </w:tcBorders>
            <w:vAlign w:val="center"/>
          </w:tcPr>
          <w:p>
            <w:pPr>
              <w:widowControl/>
              <w:spacing w:line="360" w:lineRule="auto"/>
              <w:ind w:firstLine="360" w:firstLineChars="20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二氧化硫、亚硝酸盐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2" w:hRule="atLeast"/>
        </w:trPr>
        <w:tc>
          <w:tcPr>
            <w:tcW w:w="1969" w:type="dxa"/>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水产品</w:t>
            </w:r>
          </w:p>
        </w:tc>
        <w:tc>
          <w:tcPr>
            <w:tcW w:w="6970" w:type="dxa"/>
            <w:tcBorders>
              <w:top w:val="single" w:color="auto" w:sz="6" w:space="0"/>
              <w:left w:val="nil"/>
              <w:bottom w:val="single" w:color="auto" w:sz="6" w:space="0"/>
              <w:right w:val="single" w:color="auto" w:sz="4"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孔雀石绿、甲醛、呋喃唑酮代谢物、呋喃它酮代谢物、呋喃西林代谢物、呋喃妥因代谢物、恩诺沙星、氯霉素、四环素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2" w:hRule="atLeast"/>
        </w:trPr>
        <w:tc>
          <w:tcPr>
            <w:tcW w:w="1969" w:type="dxa"/>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鲜蛋</w:t>
            </w:r>
          </w:p>
        </w:tc>
        <w:tc>
          <w:tcPr>
            <w:tcW w:w="6970" w:type="dxa"/>
            <w:tcBorders>
              <w:top w:val="single" w:color="auto" w:sz="6" w:space="0"/>
              <w:left w:val="nil"/>
              <w:bottom w:val="single" w:color="auto" w:sz="6" w:space="0"/>
              <w:right w:val="single" w:color="auto" w:sz="4"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苏丹红、恩诺沙星、氯霉素、四环素、呋喃它酮代谢物、呋喃唑酮代谢物、呋喃西林代谢物、呋喃妥因代谢物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1969" w:type="dxa"/>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豆类及豆制品</w:t>
            </w:r>
          </w:p>
        </w:tc>
        <w:tc>
          <w:tcPr>
            <w:tcW w:w="6970" w:type="dxa"/>
            <w:tcBorders>
              <w:top w:val="single" w:color="auto" w:sz="6" w:space="0"/>
              <w:left w:val="nil"/>
              <w:bottom w:val="single" w:color="auto" w:sz="6" w:space="0"/>
              <w:right w:val="single" w:color="auto" w:sz="4" w:space="0"/>
            </w:tcBorders>
            <w:vAlign w:val="center"/>
          </w:tcPr>
          <w:p>
            <w:pPr>
              <w:widowControl/>
              <w:spacing w:line="360" w:lineRule="auto"/>
              <w:ind w:firstLine="360" w:firstLineChars="20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甲醛、吊白块、硼砂、黄曲霉毒素B</w:t>
            </w:r>
            <w:r>
              <w:rPr>
                <w:rFonts w:hint="eastAsia" w:ascii="宋体" w:hAnsi="宋体"/>
                <w:color w:val="auto"/>
                <w:kern w:val="0"/>
                <w:sz w:val="18"/>
                <w:szCs w:val="18"/>
                <w:highlight w:val="none"/>
                <w:vertAlign w:val="superscript"/>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1969" w:type="dxa"/>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坚果与籽类食品</w:t>
            </w:r>
          </w:p>
        </w:tc>
        <w:tc>
          <w:tcPr>
            <w:tcW w:w="6970" w:type="dxa"/>
            <w:tcBorders>
              <w:top w:val="single" w:color="auto" w:sz="6" w:space="0"/>
              <w:left w:val="nil"/>
              <w:bottom w:val="single" w:color="auto" w:sz="6" w:space="0"/>
              <w:right w:val="single" w:color="auto" w:sz="4" w:space="0"/>
            </w:tcBorders>
            <w:vAlign w:val="center"/>
          </w:tcPr>
          <w:p>
            <w:pPr>
              <w:widowControl/>
              <w:spacing w:line="360" w:lineRule="auto"/>
              <w:ind w:firstLine="360" w:firstLineChars="20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二氧化硫、黄曲霉毒素B1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1969" w:type="dxa"/>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淀粉制品</w:t>
            </w:r>
          </w:p>
        </w:tc>
        <w:tc>
          <w:tcPr>
            <w:tcW w:w="6970" w:type="dxa"/>
            <w:tcBorders>
              <w:top w:val="single" w:color="auto" w:sz="6" w:space="0"/>
              <w:left w:val="nil"/>
              <w:bottom w:val="single" w:color="auto" w:sz="6" w:space="0"/>
              <w:right w:val="single" w:color="auto" w:sz="4" w:space="0"/>
            </w:tcBorders>
            <w:vAlign w:val="center"/>
          </w:tcPr>
          <w:p>
            <w:pPr>
              <w:widowControl/>
              <w:spacing w:line="360" w:lineRule="auto"/>
              <w:ind w:firstLine="360" w:firstLineChars="20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甲醛、吊白块、硼砂、亚硝酸盐、二氧化硫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1969" w:type="dxa"/>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调味料</w:t>
            </w:r>
          </w:p>
        </w:tc>
        <w:tc>
          <w:tcPr>
            <w:tcW w:w="6970" w:type="dxa"/>
            <w:tcBorders>
              <w:top w:val="single" w:color="auto" w:sz="6" w:space="0"/>
              <w:left w:val="nil"/>
              <w:bottom w:val="single" w:color="auto" w:sz="6" w:space="0"/>
              <w:right w:val="single" w:color="auto" w:sz="4" w:space="0"/>
            </w:tcBorders>
            <w:vAlign w:val="center"/>
          </w:tcPr>
          <w:p>
            <w:pPr>
              <w:widowControl/>
              <w:spacing w:line="360" w:lineRule="auto"/>
              <w:ind w:firstLine="360" w:firstLineChars="20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二氧化硫、罗丹明B、苏丹红、罂粟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1969" w:type="dxa"/>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水发产品</w:t>
            </w:r>
          </w:p>
        </w:tc>
        <w:tc>
          <w:tcPr>
            <w:tcW w:w="6970" w:type="dxa"/>
            <w:tcBorders>
              <w:top w:val="single" w:color="auto" w:sz="6" w:space="0"/>
              <w:left w:val="nil"/>
              <w:bottom w:val="single" w:color="auto" w:sz="6" w:space="0"/>
              <w:right w:val="single" w:color="auto" w:sz="4" w:space="0"/>
            </w:tcBorders>
            <w:vAlign w:val="center"/>
          </w:tcPr>
          <w:p>
            <w:pPr>
              <w:widowControl/>
              <w:spacing w:line="360" w:lineRule="auto"/>
              <w:ind w:firstLine="360" w:firstLineChars="20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甲醛、吊白块、亚硝酸盐、硼砂、工业碱、重金属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1" w:hRule="atLeast"/>
        </w:trPr>
        <w:tc>
          <w:tcPr>
            <w:tcW w:w="1969" w:type="dxa"/>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冷冻食品</w:t>
            </w:r>
          </w:p>
        </w:tc>
        <w:tc>
          <w:tcPr>
            <w:tcW w:w="6970" w:type="dxa"/>
            <w:tcBorders>
              <w:top w:val="single" w:color="auto" w:sz="6" w:space="0"/>
              <w:left w:val="nil"/>
              <w:bottom w:val="single" w:color="auto" w:sz="6" w:space="0"/>
              <w:right w:val="single" w:color="auto" w:sz="4" w:space="0"/>
            </w:tcBorders>
            <w:vAlign w:val="center"/>
          </w:tcPr>
          <w:p>
            <w:pPr>
              <w:widowControl/>
              <w:spacing w:line="360" w:lineRule="auto"/>
              <w:ind w:firstLine="360" w:firstLineChars="20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中心温度</w:t>
            </w:r>
          </w:p>
        </w:tc>
      </w:tr>
    </w:tbl>
    <w:p>
      <w:pPr>
        <w:pStyle w:val="104"/>
        <w:spacing w:before="312" w:after="312"/>
        <w:rPr>
          <w:color w:val="auto"/>
          <w:highlight w:val="none"/>
        </w:rPr>
      </w:pPr>
      <w:bookmarkStart w:id="63" w:name="_Toc201247732"/>
      <w:bookmarkStart w:id="64" w:name="_Toc201247672"/>
      <w:r>
        <w:rPr>
          <w:rFonts w:hint="eastAsia"/>
          <w:color w:val="auto"/>
          <w:highlight w:val="none"/>
        </w:rPr>
        <w:t>配送管理</w:t>
      </w:r>
      <w:bookmarkEnd w:id="63"/>
      <w:bookmarkEnd w:id="64"/>
    </w:p>
    <w:p>
      <w:pPr>
        <w:pStyle w:val="105"/>
        <w:spacing w:before="156" w:after="156"/>
        <w:rPr>
          <w:rFonts w:ascii="宋体" w:hAnsi="宋体" w:eastAsia="宋体"/>
          <w:color w:val="auto"/>
          <w:highlight w:val="none"/>
        </w:rPr>
      </w:pPr>
      <w:r>
        <w:rPr>
          <w:rFonts w:hint="eastAsia" w:ascii="宋体" w:hAnsi="宋体" w:eastAsia="宋体"/>
          <w:color w:val="auto"/>
          <w:highlight w:val="none"/>
          <w:lang w:eastAsia="zh-CN"/>
        </w:rPr>
        <w:t>运输车辆应专用，</w:t>
      </w:r>
      <w:r>
        <w:rPr>
          <w:rFonts w:hint="eastAsia" w:ascii="宋体" w:hAnsi="宋体" w:eastAsia="宋体"/>
          <w:color w:val="auto"/>
          <w:highlight w:val="none"/>
        </w:rPr>
        <w:t>不应将食品及原材料与有毒有害物品混装运输，运输食品及原材料的车辆和运输有毒有害物品的车辆不应混用。</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运输前，应清洁运输车辆的车厢，保持配送容器清洁。</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运输过程中，应采取防尘、防风措施，食品与非食品、不同类型的食品原料应分隔，食品包装</w:t>
      </w:r>
      <w:r>
        <w:rPr>
          <w:rFonts w:hint="eastAsia" w:ascii="宋体" w:hAnsi="宋体" w:eastAsia="宋体"/>
          <w:color w:val="auto"/>
          <w:highlight w:val="none"/>
          <w:lang w:eastAsia="zh-CN"/>
        </w:rPr>
        <w:t>应保持</w:t>
      </w:r>
      <w:r>
        <w:rPr>
          <w:rFonts w:hint="eastAsia" w:ascii="宋体" w:hAnsi="宋体" w:eastAsia="宋体"/>
          <w:color w:val="auto"/>
          <w:highlight w:val="none"/>
        </w:rPr>
        <w:t>完整清洁。</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食品的温度和配送时间应符合食品安全要求。有温度需求的，应配备冷藏食品运输车辆，且应配备制冷装置和温度监控设施，应能使运输食品的中心温度保持在0 ℃～8 ℃（冷藏）。</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采购配送半成品的，应有相应的专用密闭容器和冷藏（冻）设备设施，运送车辆应为专用封闭</w:t>
      </w:r>
      <w:r>
        <w:rPr>
          <w:rFonts w:hint="eastAsia" w:ascii="宋体" w:hAnsi="宋体" w:eastAsia="宋体"/>
          <w:color w:val="auto"/>
          <w:highlight w:val="none"/>
          <w:lang w:eastAsia="zh-CN"/>
        </w:rPr>
        <w:t>厢</w:t>
      </w:r>
      <w:r>
        <w:rPr>
          <w:rFonts w:hint="eastAsia" w:ascii="宋体" w:hAnsi="宋体" w:eastAsia="宋体"/>
          <w:color w:val="auto"/>
          <w:highlight w:val="none"/>
        </w:rPr>
        <w:t>式。车辆内部应结构平整并保持清洁，存放及运输时不应污染半成品。配送容器使用后应及时清理、消毒。</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半成品外包装应</w:t>
      </w:r>
      <w:r>
        <w:rPr>
          <w:rFonts w:hint="eastAsia" w:ascii="宋体" w:hAnsi="宋体" w:eastAsia="宋体"/>
          <w:color w:val="auto"/>
          <w:highlight w:val="none"/>
          <w:lang w:eastAsia="zh-CN"/>
        </w:rPr>
        <w:t>清晰</w:t>
      </w:r>
      <w:r>
        <w:rPr>
          <w:rFonts w:hint="eastAsia" w:ascii="宋体" w:hAnsi="宋体" w:eastAsia="宋体"/>
          <w:color w:val="auto"/>
          <w:highlight w:val="none"/>
        </w:rPr>
        <w:t>标明食品名称、加工制作时间、保存条件、保质期限等有关食品安全的提示内容。</w:t>
      </w:r>
    </w:p>
    <w:p>
      <w:pPr>
        <w:pStyle w:val="105"/>
        <w:spacing w:before="156" w:after="156"/>
        <w:rPr>
          <w:rFonts w:ascii="宋体" w:hAnsi="宋体" w:eastAsia="宋体"/>
          <w:color w:val="auto"/>
          <w:highlight w:val="none"/>
        </w:rPr>
      </w:pPr>
      <w:r>
        <w:rPr>
          <w:rFonts w:hint="eastAsia" w:ascii="宋体" w:hAnsi="宋体" w:eastAsia="宋体"/>
          <w:color w:val="auto"/>
          <w:highlight w:val="none"/>
        </w:rPr>
        <w:t>配送人员相对固定，健康证明（接触直接入口食品的）、居民身份证</w:t>
      </w:r>
      <w:r>
        <w:rPr>
          <w:rFonts w:hint="eastAsia" w:ascii="宋体" w:hAnsi="宋体" w:eastAsia="宋体"/>
          <w:color w:val="auto"/>
          <w:highlight w:val="none"/>
          <w:lang w:eastAsia="zh-CN"/>
        </w:rPr>
        <w:t>应</w:t>
      </w:r>
      <w:r>
        <w:rPr>
          <w:rFonts w:hint="eastAsia" w:ascii="宋体" w:hAnsi="宋体" w:eastAsia="宋体"/>
          <w:color w:val="auto"/>
          <w:highlight w:val="none"/>
        </w:rPr>
        <w:t>向校方进行备案。</w:t>
      </w:r>
    </w:p>
    <w:p>
      <w:pPr>
        <w:pStyle w:val="104"/>
        <w:spacing w:before="312" w:after="312"/>
        <w:rPr>
          <w:color w:val="auto"/>
          <w:highlight w:val="none"/>
        </w:rPr>
      </w:pPr>
      <w:bookmarkStart w:id="65" w:name="_Toc201247733"/>
      <w:bookmarkStart w:id="66" w:name="_Toc201247673"/>
      <w:r>
        <w:rPr>
          <w:rFonts w:hint="eastAsia"/>
          <w:color w:val="auto"/>
          <w:highlight w:val="none"/>
        </w:rPr>
        <w:t>食材贮存</w:t>
      </w:r>
      <w:bookmarkEnd w:id="65"/>
      <w:bookmarkEnd w:id="66"/>
    </w:p>
    <w:p>
      <w:pPr>
        <w:pStyle w:val="105"/>
        <w:spacing w:before="156" w:after="156"/>
        <w:rPr>
          <w:rFonts w:hint="eastAsia" w:ascii="宋体" w:hAnsi="宋体" w:eastAsia="宋体"/>
          <w:color w:val="auto"/>
          <w:highlight w:val="none"/>
        </w:rPr>
      </w:pPr>
    </w:p>
    <w:p>
      <w:pPr>
        <w:pStyle w:val="94"/>
        <w:numPr>
          <w:ilvl w:val="4"/>
          <w:numId w:val="0"/>
        </w:numPr>
        <w:spacing w:before="0" w:beforeLines="0" w:after="0" w:afterLines="0"/>
        <w:ind w:firstLine="630" w:firstLineChars="300"/>
        <w:outlineLvl w:val="9"/>
        <w:rPr>
          <w:rFonts w:hint="eastAsia"/>
          <w:color w:val="auto"/>
          <w:highlight w:val="none"/>
        </w:rPr>
      </w:pPr>
      <w:r>
        <w:rPr>
          <w:rFonts w:hint="eastAsia" w:ascii="宋体" w:hAnsi="宋体" w:eastAsia="宋体"/>
          <w:color w:val="auto"/>
          <w:highlight w:val="none"/>
        </w:rPr>
        <w:t>学校应</w:t>
      </w:r>
      <w:r>
        <w:rPr>
          <w:rFonts w:hint="eastAsia" w:ascii="宋体" w:hAnsi="宋体" w:eastAsia="宋体"/>
          <w:color w:val="auto"/>
          <w:highlight w:val="none"/>
          <w:lang w:val="en-US" w:eastAsia="zh-CN"/>
        </w:rPr>
        <w:t>建立食品库房，宜分设</w:t>
      </w:r>
      <w:r>
        <w:rPr>
          <w:rFonts w:hint="eastAsia" w:ascii="宋体" w:hAnsi="宋体" w:eastAsia="宋体"/>
          <w:color w:val="auto"/>
          <w:highlight w:val="none"/>
        </w:rPr>
        <w:t>主食库、副食库、果蔬库等</w:t>
      </w:r>
      <w:r>
        <w:rPr>
          <w:rFonts w:hint="eastAsia" w:ascii="宋体" w:hAnsi="宋体" w:eastAsia="宋体"/>
          <w:color w:val="auto"/>
          <w:highlight w:val="none"/>
          <w:lang w:val="en-US" w:eastAsia="zh-CN"/>
        </w:rPr>
        <w:t>贮存场所。</w:t>
      </w:r>
      <w:r>
        <w:rPr>
          <w:rFonts w:hint="eastAsia" w:ascii="宋体" w:hAnsi="宋体" w:eastAsia="宋体"/>
          <w:color w:val="auto"/>
          <w:highlight w:val="none"/>
        </w:rPr>
        <w:t>必要时设冷冻（藏）库，冷冻（藏）库的温度应满足食品的储存要求，并配备测量温度、</w:t>
      </w:r>
      <w:r>
        <w:rPr>
          <w:rFonts w:hint="eastAsia" w:ascii="宋体" w:hAnsi="宋体" w:eastAsia="宋体" w:cs="黑体"/>
          <w:color w:val="auto"/>
          <w:szCs w:val="21"/>
          <w:highlight w:val="none"/>
        </w:rPr>
        <w:t>湿度</w:t>
      </w:r>
      <w:r>
        <w:rPr>
          <w:rFonts w:hint="eastAsia" w:ascii="宋体" w:hAnsi="宋体" w:eastAsia="宋体"/>
          <w:color w:val="auto"/>
          <w:highlight w:val="none"/>
        </w:rPr>
        <w:t>的</w:t>
      </w:r>
      <w:r>
        <w:rPr>
          <w:rFonts w:hint="eastAsia" w:ascii="宋体" w:hAnsi="宋体" w:eastAsia="宋体"/>
          <w:color w:val="auto"/>
          <w:highlight w:val="none"/>
          <w:lang w:eastAsia="zh-CN"/>
        </w:rPr>
        <w:t>显示</w:t>
      </w:r>
      <w:r>
        <w:rPr>
          <w:rFonts w:hint="eastAsia" w:ascii="宋体" w:hAnsi="宋体" w:eastAsia="宋体"/>
          <w:color w:val="auto"/>
          <w:highlight w:val="none"/>
        </w:rPr>
        <w:t>装置。</w:t>
      </w:r>
      <w:r>
        <w:rPr>
          <w:rFonts w:hint="eastAsia" w:ascii="宋体" w:hAnsi="宋体" w:eastAsia="宋体"/>
          <w:color w:val="auto"/>
          <w:highlight w:val="none"/>
          <w:lang w:eastAsia="zh-CN"/>
        </w:rPr>
        <w:t>食品库房应</w:t>
      </w:r>
      <w:r>
        <w:rPr>
          <w:rFonts w:hint="eastAsia" w:ascii="宋体" w:hAnsi="宋体" w:eastAsia="宋体"/>
          <w:color w:val="auto"/>
          <w:highlight w:val="none"/>
        </w:rPr>
        <w:t>具备通风、防潮</w:t>
      </w:r>
      <w:r>
        <w:rPr>
          <w:rFonts w:hint="eastAsia" w:ascii="宋体" w:hAnsi="宋体" w:eastAsia="宋体"/>
          <w:color w:val="auto"/>
          <w:highlight w:val="none"/>
          <w:lang w:eastAsia="zh-CN"/>
        </w:rPr>
        <w:t>条件，并配备有效的</w:t>
      </w:r>
      <w:r>
        <w:rPr>
          <w:rFonts w:hint="eastAsia" w:ascii="宋体" w:hAnsi="宋体" w:eastAsia="宋体"/>
          <w:color w:val="auto"/>
          <w:highlight w:val="none"/>
        </w:rPr>
        <w:t>防蝇防鼠防虫设施</w:t>
      </w:r>
      <w:r>
        <w:rPr>
          <w:rFonts w:hint="eastAsia" w:ascii="宋体" w:hAnsi="宋体" w:eastAsia="宋体"/>
          <w:color w:val="auto"/>
          <w:highlight w:val="none"/>
          <w:lang w:eastAsia="zh-CN"/>
        </w:rPr>
        <w:t>。库房内</w:t>
      </w:r>
      <w:r>
        <w:rPr>
          <w:rFonts w:hint="eastAsia" w:ascii="宋体" w:hAnsi="宋体" w:eastAsia="宋体"/>
          <w:color w:val="auto"/>
          <w:highlight w:val="none"/>
        </w:rPr>
        <w:t>不应存放有毒、有害物品、个人生活用品和杂物等。</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食品库房应设立专人负责，</w:t>
      </w:r>
      <w:r>
        <w:rPr>
          <w:rFonts w:hint="eastAsia" w:ascii="宋体" w:hAnsi="宋体" w:eastAsia="宋体"/>
          <w:color w:val="auto"/>
          <w:highlight w:val="none"/>
          <w:lang w:eastAsia="zh-CN"/>
        </w:rPr>
        <w:t>建立并</w:t>
      </w:r>
      <w:r>
        <w:rPr>
          <w:rFonts w:hint="eastAsia" w:ascii="宋体" w:hAnsi="宋体" w:eastAsia="宋体"/>
          <w:color w:val="auto"/>
          <w:highlight w:val="none"/>
        </w:rPr>
        <w:t>严格执行</w:t>
      </w:r>
      <w:r>
        <w:rPr>
          <w:rFonts w:hint="eastAsia" w:ascii="宋体" w:hAnsi="宋体" w:eastAsia="宋体"/>
          <w:color w:val="auto"/>
          <w:highlight w:val="none"/>
          <w:lang w:eastAsia="zh-CN"/>
        </w:rPr>
        <w:t>食品</w:t>
      </w:r>
      <w:r>
        <w:rPr>
          <w:rFonts w:hint="eastAsia" w:ascii="宋体" w:hAnsi="宋体" w:eastAsia="宋体"/>
          <w:color w:val="auto"/>
          <w:highlight w:val="none"/>
        </w:rPr>
        <w:t>出入库及贮存管理制度</w:t>
      </w:r>
      <w:r>
        <w:rPr>
          <w:rFonts w:hint="eastAsia" w:ascii="宋体" w:hAnsi="宋体" w:eastAsia="宋体"/>
          <w:color w:val="auto"/>
          <w:highlight w:val="none"/>
          <w:lang w:eastAsia="zh-CN"/>
        </w:rPr>
        <w:t>，</w:t>
      </w:r>
      <w:r>
        <w:rPr>
          <w:rFonts w:hint="eastAsia" w:ascii="宋体" w:hAnsi="宋体" w:eastAsia="宋体" w:cs="宋体"/>
          <w:color w:val="auto"/>
          <w:highlight w:val="none"/>
        </w:rPr>
        <w:t>禁止</w:t>
      </w:r>
      <w:r>
        <w:rPr>
          <w:rFonts w:hint="eastAsia" w:ascii="宋体" w:hAnsi="宋体" w:eastAsia="宋体" w:cs="宋体"/>
          <w:color w:val="auto"/>
          <w:highlight w:val="none"/>
          <w:lang w:eastAsia="zh-CN"/>
        </w:rPr>
        <w:t>腐败变质等感官性状异常，</w:t>
      </w:r>
      <w:r>
        <w:rPr>
          <w:rFonts w:ascii="宋体" w:hAnsi="宋体" w:eastAsia="宋体" w:cs="宋体"/>
          <w:color w:val="auto"/>
          <w:highlight w:val="none"/>
        </w:rPr>
        <w:t>过期</w:t>
      </w:r>
      <w:r>
        <w:rPr>
          <w:rFonts w:hint="eastAsia" w:ascii="宋体" w:hAnsi="宋体" w:eastAsia="宋体" w:cs="宋体"/>
          <w:color w:val="auto"/>
          <w:highlight w:val="none"/>
          <w:lang w:eastAsia="zh-CN"/>
        </w:rPr>
        <w:t>食品、无标签或标签说明书不符合规定等不合格</w:t>
      </w:r>
      <w:r>
        <w:rPr>
          <w:rFonts w:ascii="宋体" w:hAnsi="宋体" w:eastAsia="宋体" w:cs="宋体"/>
          <w:color w:val="auto"/>
          <w:highlight w:val="none"/>
        </w:rPr>
        <w:t>食品入库。</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贮存食材应做到分区</w:t>
      </w:r>
      <w:r>
        <w:rPr>
          <w:rFonts w:hint="eastAsia" w:ascii="宋体" w:hAnsi="宋体" w:eastAsia="宋体"/>
          <w:color w:val="auto"/>
          <w:highlight w:val="none"/>
          <w:lang w:eastAsia="zh-CN"/>
        </w:rPr>
        <w:t>、</w:t>
      </w:r>
      <w:r>
        <w:rPr>
          <w:rFonts w:hint="eastAsia" w:ascii="宋体" w:hAnsi="宋体" w:eastAsia="宋体"/>
          <w:color w:val="auto"/>
          <w:highlight w:val="none"/>
        </w:rPr>
        <w:t>分类</w:t>
      </w:r>
      <w:r>
        <w:rPr>
          <w:rFonts w:hint="eastAsia" w:ascii="宋体" w:hAnsi="宋体" w:eastAsia="宋体"/>
          <w:color w:val="auto"/>
          <w:highlight w:val="none"/>
          <w:lang w:eastAsia="zh-CN"/>
        </w:rPr>
        <w:t>、</w:t>
      </w:r>
      <w:r>
        <w:rPr>
          <w:rFonts w:hint="eastAsia" w:ascii="宋体" w:hAnsi="宋体" w:eastAsia="宋体"/>
          <w:color w:val="auto"/>
          <w:highlight w:val="none"/>
        </w:rPr>
        <w:t>分架</w:t>
      </w:r>
      <w:r>
        <w:rPr>
          <w:rFonts w:hint="eastAsia" w:ascii="宋体" w:hAnsi="宋体" w:eastAsia="宋体"/>
          <w:color w:val="auto"/>
          <w:highlight w:val="none"/>
          <w:lang w:eastAsia="zh-CN"/>
        </w:rPr>
        <w:t>存放</w:t>
      </w:r>
      <w:r>
        <w:rPr>
          <w:rFonts w:hint="eastAsia" w:ascii="宋体" w:hAnsi="宋体" w:eastAsia="宋体"/>
          <w:color w:val="auto"/>
          <w:highlight w:val="none"/>
        </w:rPr>
        <w:t>，离墙离地10㎝以上</w:t>
      </w:r>
      <w:r>
        <w:rPr>
          <w:rFonts w:hint="eastAsia" w:ascii="宋体" w:hAnsi="宋体" w:eastAsia="宋体"/>
          <w:color w:val="auto"/>
          <w:highlight w:val="none"/>
          <w:lang w:eastAsia="zh-CN"/>
        </w:rPr>
        <w:t>。</w:t>
      </w:r>
      <w:r>
        <w:rPr>
          <w:rFonts w:hint="eastAsia" w:ascii="宋体" w:hAnsi="宋体" w:eastAsia="宋体"/>
          <w:color w:val="auto"/>
          <w:highlight w:val="none"/>
        </w:rPr>
        <w:t>不同类型的食材应分隔或分离贮存，并按照</w:t>
      </w:r>
      <w:r>
        <w:rPr>
          <w:rFonts w:hint="eastAsia" w:ascii="宋体" w:hAnsi="宋体" w:eastAsia="宋体"/>
          <w:color w:val="auto"/>
          <w:highlight w:val="none"/>
          <w:lang w:eastAsia="zh-CN"/>
        </w:rPr>
        <w:t>食材、</w:t>
      </w:r>
      <w:r>
        <w:rPr>
          <w:rFonts w:hint="eastAsia" w:ascii="宋体" w:hAnsi="宋体" w:eastAsia="宋体"/>
          <w:color w:val="auto"/>
          <w:highlight w:val="none"/>
        </w:rPr>
        <w:t>产品包装标识在贮存位置或容器上进行明确标注</w:t>
      </w:r>
      <w:r>
        <w:rPr>
          <w:rFonts w:hint="eastAsia" w:ascii="宋体" w:hAnsi="宋体" w:eastAsia="宋体"/>
          <w:color w:val="auto"/>
          <w:highlight w:val="none"/>
          <w:lang w:eastAsia="zh-CN"/>
        </w:rPr>
        <w:t>。食材应</w:t>
      </w:r>
      <w:r>
        <w:rPr>
          <w:rFonts w:hint="eastAsia" w:ascii="宋体" w:hAnsi="宋体" w:eastAsia="宋体"/>
          <w:color w:val="auto"/>
          <w:highlight w:val="none"/>
        </w:rPr>
        <w:t>按照保存条件和保质期</w:t>
      </w:r>
      <w:r>
        <w:rPr>
          <w:rFonts w:hint="eastAsia" w:ascii="宋体" w:hAnsi="宋体" w:eastAsia="宋体"/>
          <w:color w:val="auto"/>
          <w:highlight w:val="none"/>
          <w:lang w:eastAsia="zh-CN"/>
        </w:rPr>
        <w:t>要求</w:t>
      </w:r>
      <w:r>
        <w:rPr>
          <w:rFonts w:hint="eastAsia" w:ascii="宋体" w:hAnsi="宋体" w:eastAsia="宋体"/>
          <w:color w:val="auto"/>
          <w:highlight w:val="none"/>
        </w:rPr>
        <w:t>贮存，定位存放。散装食品</w:t>
      </w:r>
      <w:r>
        <w:rPr>
          <w:rFonts w:hint="eastAsia" w:ascii="宋体" w:hAnsi="宋体" w:eastAsia="宋体"/>
          <w:color w:val="auto"/>
          <w:highlight w:val="none"/>
          <w:lang w:eastAsia="zh-CN"/>
        </w:rPr>
        <w:t>（食用农产品除外）贮存位置或</w:t>
      </w:r>
      <w:r>
        <w:rPr>
          <w:rFonts w:hint="eastAsia" w:ascii="宋体" w:hAnsi="宋体" w:eastAsia="宋体"/>
          <w:color w:val="auto"/>
          <w:highlight w:val="none"/>
        </w:rPr>
        <w:t>盛放容器上应标明食品的名称、生产日期或生产批号、</w:t>
      </w:r>
      <w:r>
        <w:rPr>
          <w:rFonts w:hint="eastAsia" w:ascii="宋体" w:hAnsi="宋体" w:eastAsia="宋体"/>
          <w:color w:val="auto"/>
          <w:highlight w:val="none"/>
          <w:lang w:eastAsia="zh-CN"/>
        </w:rPr>
        <w:t>使用期限</w:t>
      </w:r>
      <w:r>
        <w:rPr>
          <w:rFonts w:hint="eastAsia" w:ascii="宋体" w:hAnsi="宋体" w:eastAsia="宋体"/>
          <w:color w:val="auto"/>
          <w:highlight w:val="none"/>
        </w:rPr>
        <w:t>等</w:t>
      </w:r>
      <w:r>
        <w:rPr>
          <w:rFonts w:hint="eastAsia" w:ascii="宋体" w:hAnsi="宋体" w:eastAsia="宋体"/>
          <w:color w:val="auto"/>
          <w:highlight w:val="none"/>
          <w:lang w:eastAsia="zh-CN"/>
        </w:rPr>
        <w:t>内容</w:t>
      </w:r>
      <w:r>
        <w:rPr>
          <w:rFonts w:hint="eastAsia" w:ascii="宋体" w:hAnsi="宋体" w:eastAsia="宋体"/>
          <w:color w:val="auto"/>
          <w:highlight w:val="none"/>
        </w:rPr>
        <w:t>。</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食材管理应按照先进、先出、先用的原则</w:t>
      </w:r>
      <w:r>
        <w:rPr>
          <w:rFonts w:hint="eastAsia" w:ascii="宋体" w:hAnsi="宋体" w:eastAsia="宋体"/>
          <w:color w:val="auto"/>
          <w:highlight w:val="none"/>
          <w:lang w:eastAsia="zh-CN"/>
        </w:rPr>
        <w:t>，</w:t>
      </w:r>
      <w:r>
        <w:rPr>
          <w:rFonts w:hint="eastAsia" w:ascii="宋体" w:hAnsi="宋体" w:eastAsia="宋体"/>
          <w:color w:val="auto"/>
          <w:highlight w:val="none"/>
        </w:rPr>
        <w:t>确保先入库的食材优先使用</w:t>
      </w:r>
      <w:r>
        <w:rPr>
          <w:rFonts w:hint="eastAsia" w:ascii="宋体" w:hAnsi="宋体" w:eastAsia="宋体"/>
          <w:color w:val="auto"/>
          <w:highlight w:val="none"/>
          <w:lang w:eastAsia="zh-CN"/>
        </w:rPr>
        <w:t>。</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冷藏冷冻设施上应有</w:t>
      </w:r>
      <w:r>
        <w:rPr>
          <w:rFonts w:hint="eastAsia" w:ascii="宋体" w:hAnsi="宋体" w:eastAsia="宋体"/>
          <w:color w:val="auto"/>
          <w:highlight w:val="none"/>
          <w:lang w:val="en-US" w:eastAsia="zh-CN"/>
        </w:rPr>
        <w:t>温度显示装置，</w:t>
      </w:r>
      <w:r>
        <w:rPr>
          <w:rFonts w:hint="eastAsia" w:ascii="宋体" w:hAnsi="宋体" w:eastAsia="宋体"/>
          <w:color w:val="auto"/>
          <w:highlight w:val="none"/>
        </w:rPr>
        <w:t>原料、半成品、成品</w:t>
      </w:r>
      <w:r>
        <w:rPr>
          <w:rFonts w:hint="eastAsia" w:ascii="宋体" w:hAnsi="宋体" w:eastAsia="宋体"/>
          <w:color w:val="auto"/>
          <w:highlight w:val="none"/>
          <w:lang w:val="en-US" w:eastAsia="zh-CN"/>
        </w:rPr>
        <w:t>应</w:t>
      </w:r>
      <w:r>
        <w:rPr>
          <w:rFonts w:hint="eastAsia" w:ascii="宋体" w:hAnsi="宋体" w:eastAsia="宋体"/>
          <w:color w:val="auto"/>
          <w:highlight w:val="none"/>
        </w:rPr>
        <w:t>明确标识，做到分柜存放。</w:t>
      </w:r>
      <w:r>
        <w:rPr>
          <w:rFonts w:hint="eastAsia" w:ascii="宋体" w:hAnsi="宋体" w:eastAsia="宋体"/>
          <w:color w:val="auto"/>
          <w:highlight w:val="none"/>
          <w:lang w:eastAsia="zh-CN"/>
        </w:rPr>
        <w:t>保存条件、保质期不明确的，应根据食品品种、加工制作方式、包装形式等针对性的确定适宜的保存条件，</w:t>
      </w:r>
      <w:r>
        <w:rPr>
          <w:rFonts w:hint="eastAsia" w:ascii="宋体" w:hAnsi="宋体" w:eastAsia="宋体"/>
          <w:color w:val="auto"/>
          <w:highlight w:val="none"/>
        </w:rPr>
        <w:t>需冷藏冷冻食材的贮存温度可参照《餐饮服务食品安全操作规范》附录M。</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lang w:eastAsia="zh-CN"/>
        </w:rPr>
        <w:t>冷冻贮存食品前，宜分割食品，避免使用时反复解冻、冷冻。冷冻（藏）贮存食品时，不宜堆积、挤压食品。</w:t>
      </w:r>
    </w:p>
    <w:p>
      <w:pPr>
        <w:pStyle w:val="56"/>
        <w:ind w:left="0" w:leftChars="0" w:firstLine="0" w:firstLineChars="0"/>
        <w:rPr>
          <w:rFonts w:hint="eastAsia" w:ascii="宋体" w:hAnsi="宋体" w:eastAsia="宋体"/>
          <w:color w:val="auto"/>
          <w:highlight w:val="none"/>
        </w:rPr>
      </w:pPr>
      <w:r>
        <w:rPr>
          <w:rFonts w:hint="eastAsia" w:ascii="黑体" w:hAnsi="黑体" w:eastAsia="黑体" w:cs="黑体"/>
          <w:color w:val="auto"/>
          <w:highlight w:val="none"/>
          <w:lang w:val="en-US" w:eastAsia="zh-CN"/>
        </w:rPr>
        <w:t>10.7　</w:t>
      </w:r>
      <w:r>
        <w:rPr>
          <w:rFonts w:ascii="宋体" w:hAnsi="宋体" w:eastAsia="宋体"/>
          <w:color w:val="auto"/>
          <w:highlight w:val="none"/>
        </w:rPr>
        <w:t>应建立库存盘点制度，</w:t>
      </w:r>
      <w:r>
        <w:rPr>
          <w:rFonts w:hint="eastAsia" w:ascii="宋体" w:hAnsi="宋体" w:eastAsia="宋体"/>
          <w:color w:val="auto"/>
          <w:highlight w:val="none"/>
        </w:rPr>
        <w:t>做好食材出入库登记</w:t>
      </w:r>
      <w:r>
        <w:rPr>
          <w:rFonts w:hint="eastAsia" w:hAnsi="宋体"/>
          <w:color w:val="auto"/>
          <w:highlight w:val="none"/>
          <w:lang w:eastAsia="zh-CN"/>
        </w:rPr>
        <w:t>，</w:t>
      </w:r>
      <w:r>
        <w:rPr>
          <w:rFonts w:ascii="宋体" w:hAnsi="宋体" w:eastAsia="宋体"/>
          <w:color w:val="auto"/>
          <w:highlight w:val="none"/>
        </w:rPr>
        <w:t>确保</w:t>
      </w:r>
      <w:r>
        <w:rPr>
          <w:rFonts w:hint="eastAsia" w:hAnsi="宋体"/>
          <w:color w:val="auto"/>
          <w:highlight w:val="none"/>
          <w:lang w:eastAsia="zh-CN"/>
        </w:rPr>
        <w:t>食材</w:t>
      </w:r>
      <w:r>
        <w:rPr>
          <w:rFonts w:ascii="宋体" w:hAnsi="宋体" w:eastAsia="宋体"/>
          <w:color w:val="auto"/>
          <w:highlight w:val="none"/>
        </w:rPr>
        <w:t>入库、验收、保管、出库手续齐全，物、据、账</w:t>
      </w:r>
      <w:r>
        <w:rPr>
          <w:rFonts w:hint="eastAsia" w:hAnsi="宋体"/>
          <w:color w:val="auto"/>
          <w:highlight w:val="none"/>
          <w:lang w:eastAsia="zh-CN"/>
        </w:rPr>
        <w:t>、</w:t>
      </w:r>
      <w:r>
        <w:rPr>
          <w:rFonts w:ascii="宋体" w:hAnsi="宋体" w:eastAsia="宋体"/>
          <w:color w:val="auto"/>
          <w:highlight w:val="none"/>
        </w:rPr>
        <w:t>表相符，</w:t>
      </w:r>
      <w:r>
        <w:rPr>
          <w:rFonts w:hint="eastAsia" w:hAnsi="宋体"/>
          <w:color w:val="auto"/>
          <w:highlight w:val="none"/>
          <w:lang w:eastAsia="zh-CN"/>
        </w:rPr>
        <w:t>做到</w:t>
      </w:r>
      <w:r>
        <w:rPr>
          <w:rFonts w:ascii="宋体" w:hAnsi="宋体" w:eastAsia="宋体"/>
          <w:color w:val="auto"/>
          <w:highlight w:val="none"/>
        </w:rPr>
        <w:t>日清月结。</w:t>
      </w:r>
    </w:p>
    <w:p>
      <w:pPr>
        <w:pStyle w:val="105"/>
        <w:numPr>
          <w:ilvl w:val="2"/>
          <w:numId w:val="0"/>
        </w:numPr>
        <w:spacing w:before="156" w:after="156"/>
        <w:ind w:leftChars="0"/>
        <w:rPr>
          <w:rFonts w:ascii="宋体" w:hAnsi="宋体" w:eastAsia="宋体"/>
          <w:color w:val="auto"/>
          <w:highlight w:val="none"/>
        </w:rPr>
      </w:pPr>
      <w:r>
        <w:rPr>
          <w:rFonts w:hint="eastAsia" w:ascii="黑体" w:hAnsi="黑体" w:eastAsia="黑体" w:cs="黑体"/>
          <w:color w:val="auto"/>
          <w:highlight w:val="none"/>
          <w:lang w:val="en-US" w:eastAsia="zh-CN"/>
        </w:rPr>
        <w:t>10.8　</w:t>
      </w:r>
      <w:r>
        <w:rPr>
          <w:rFonts w:hint="eastAsia" w:ascii="宋体" w:hAnsi="宋体" w:eastAsia="宋体"/>
          <w:color w:val="auto"/>
          <w:highlight w:val="none"/>
        </w:rPr>
        <w:t>应定期检查库存</w:t>
      </w:r>
      <w:r>
        <w:rPr>
          <w:rFonts w:hint="eastAsia" w:ascii="宋体" w:hAnsi="宋体" w:eastAsia="宋体"/>
          <w:color w:val="auto"/>
          <w:highlight w:val="none"/>
          <w:lang w:eastAsia="zh-CN"/>
        </w:rPr>
        <w:t>食品</w:t>
      </w:r>
      <w:r>
        <w:rPr>
          <w:rFonts w:hint="eastAsia" w:ascii="宋体" w:hAnsi="宋体" w:eastAsia="宋体"/>
          <w:color w:val="auto"/>
          <w:highlight w:val="none"/>
        </w:rPr>
        <w:t>，及时清理变质或者超过保质期的食品。</w:t>
      </w:r>
    </w:p>
    <w:p>
      <w:pPr>
        <w:pStyle w:val="104"/>
        <w:spacing w:before="312" w:after="312"/>
        <w:rPr>
          <w:color w:val="auto"/>
          <w:highlight w:val="none"/>
        </w:rPr>
      </w:pPr>
      <w:bookmarkStart w:id="67" w:name="_Toc201247674"/>
      <w:bookmarkStart w:id="68" w:name="_Toc201247734"/>
      <w:r>
        <w:rPr>
          <w:rFonts w:hint="eastAsia"/>
          <w:color w:val="auto"/>
          <w:highlight w:val="none"/>
        </w:rPr>
        <w:t>评价监督</w:t>
      </w:r>
      <w:bookmarkEnd w:id="67"/>
      <w:bookmarkEnd w:id="68"/>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学校应建立供应商质量综合评价制度，每学期应自行或委托第三方机构对供应商的经营管理、服务质量和食品安全状况进行现场评价，并及时公布综合考核结果。</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学校应建立供应商退出机制，对评价符合食品安全管理要求的列入名录，</w:t>
      </w:r>
      <w:r>
        <w:rPr>
          <w:rFonts w:hint="eastAsia" w:ascii="宋体" w:hAnsi="宋体" w:eastAsia="宋体"/>
          <w:color w:val="auto"/>
          <w:highlight w:val="none"/>
          <w:lang w:eastAsia="zh-CN"/>
        </w:rPr>
        <w:t>不符合要求的，应</w:t>
      </w:r>
      <w:r>
        <w:rPr>
          <w:rFonts w:hint="eastAsia" w:ascii="宋体" w:hAnsi="宋体" w:eastAsia="宋体"/>
          <w:color w:val="auto"/>
          <w:highlight w:val="none"/>
        </w:rPr>
        <w:t>及时</w:t>
      </w:r>
      <w:r>
        <w:rPr>
          <w:rFonts w:hint="eastAsia" w:ascii="宋体" w:hAnsi="宋体" w:eastAsia="宋体"/>
          <w:color w:val="auto"/>
          <w:highlight w:val="none"/>
          <w:lang w:eastAsia="zh-CN"/>
        </w:rPr>
        <w:t>终止合作并移出名录</w:t>
      </w:r>
      <w:r>
        <w:rPr>
          <w:rFonts w:hint="eastAsia" w:ascii="宋体" w:hAnsi="宋体" w:eastAsia="宋体"/>
          <w:color w:val="auto"/>
          <w:highlight w:val="none"/>
        </w:rPr>
        <w:t>。</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学校应利用校园官网、公示栏等公共信息平台等方式</w:t>
      </w:r>
      <w:r>
        <w:rPr>
          <w:rFonts w:hint="eastAsia" w:ascii="宋体" w:hAnsi="宋体" w:eastAsia="宋体"/>
          <w:color w:val="auto"/>
          <w:highlight w:val="none"/>
          <w:lang w:eastAsia="zh-CN"/>
        </w:rPr>
        <w:t>，</w:t>
      </w:r>
      <w:r>
        <w:rPr>
          <w:rFonts w:hint="eastAsia" w:ascii="宋体" w:hAnsi="宋体" w:eastAsia="宋体"/>
          <w:color w:val="auto"/>
          <w:highlight w:val="none"/>
        </w:rPr>
        <w:t>及时</w:t>
      </w:r>
      <w:r>
        <w:rPr>
          <w:rFonts w:hint="eastAsia" w:ascii="宋体" w:hAnsi="宋体" w:eastAsia="宋体"/>
          <w:color w:val="auto"/>
          <w:highlight w:val="none"/>
          <w:lang w:eastAsia="zh-CN"/>
        </w:rPr>
        <w:t>、主动地</w:t>
      </w:r>
      <w:r>
        <w:rPr>
          <w:rFonts w:hint="eastAsia" w:ascii="宋体" w:hAnsi="宋体" w:eastAsia="宋体"/>
          <w:color w:val="auto"/>
          <w:highlight w:val="none"/>
        </w:rPr>
        <w:t>向师生家长公开食品进货来源</w:t>
      </w:r>
      <w:r>
        <w:rPr>
          <w:rFonts w:hint="eastAsia" w:ascii="宋体" w:hAnsi="宋体" w:eastAsia="宋体"/>
          <w:color w:val="auto"/>
          <w:highlight w:val="none"/>
          <w:lang w:eastAsia="zh-CN"/>
        </w:rPr>
        <w:t>、供应商</w:t>
      </w:r>
      <w:r>
        <w:rPr>
          <w:rFonts w:hint="eastAsia" w:ascii="宋体" w:hAnsi="宋体" w:eastAsia="宋体"/>
          <w:color w:val="auto"/>
          <w:highlight w:val="none"/>
        </w:rPr>
        <w:t>等信息</w:t>
      </w:r>
      <w:r>
        <w:rPr>
          <w:rFonts w:hint="eastAsia" w:ascii="宋体" w:hAnsi="宋体" w:eastAsia="宋体"/>
          <w:color w:val="auto"/>
          <w:highlight w:val="none"/>
          <w:lang w:eastAsia="zh-CN"/>
        </w:rPr>
        <w:t>。</w:t>
      </w:r>
    </w:p>
    <w:p>
      <w:pPr>
        <w:pStyle w:val="105"/>
        <w:spacing w:before="156" w:after="156"/>
        <w:rPr>
          <w:rFonts w:hint="eastAsia" w:ascii="宋体" w:hAnsi="宋体" w:eastAsia="宋体"/>
          <w:color w:val="auto"/>
          <w:highlight w:val="none"/>
          <w:lang w:eastAsia="zh-CN"/>
        </w:rPr>
      </w:pPr>
      <w:r>
        <w:rPr>
          <w:rFonts w:hint="eastAsia" w:ascii="宋体" w:hAnsi="宋体" w:eastAsia="宋体"/>
          <w:color w:val="auto"/>
          <w:highlight w:val="none"/>
          <w:lang w:eastAsia="zh-CN"/>
        </w:rPr>
        <w:t>中小学、幼儿园应按照最新规定在建立膳食委员会的基础上成立校园膳食监督家长委员会，采取适当方式，定期</w:t>
      </w:r>
      <w:r>
        <w:rPr>
          <w:rFonts w:hint="eastAsia" w:ascii="宋体" w:hAnsi="宋体" w:eastAsia="宋体"/>
          <w:color w:val="auto"/>
          <w:highlight w:val="none"/>
        </w:rPr>
        <w:t>组织师生</w:t>
      </w:r>
      <w:r>
        <w:rPr>
          <w:rFonts w:hint="eastAsia" w:ascii="宋体" w:hAnsi="宋体" w:eastAsia="宋体"/>
          <w:color w:val="auto"/>
          <w:highlight w:val="none"/>
          <w:lang w:eastAsia="zh-CN"/>
        </w:rPr>
        <w:t>、</w:t>
      </w:r>
      <w:r>
        <w:rPr>
          <w:rFonts w:hint="eastAsia" w:ascii="宋体" w:hAnsi="宋体" w:eastAsia="宋体"/>
          <w:color w:val="auto"/>
          <w:highlight w:val="none"/>
        </w:rPr>
        <w:t>家长代表参与</w:t>
      </w:r>
      <w:r>
        <w:rPr>
          <w:rFonts w:hint="eastAsia" w:ascii="宋体" w:hAnsi="宋体" w:eastAsia="宋体"/>
          <w:color w:val="auto"/>
          <w:highlight w:val="none"/>
          <w:lang w:eastAsia="zh-CN"/>
        </w:rPr>
        <w:t>学校招标采购、质量评价等</w:t>
      </w:r>
      <w:r>
        <w:rPr>
          <w:rFonts w:hint="eastAsia" w:ascii="宋体" w:hAnsi="宋体" w:eastAsia="宋体"/>
          <w:color w:val="auto"/>
          <w:highlight w:val="none"/>
        </w:rPr>
        <w:t>食品安全与营养健康的</w:t>
      </w:r>
      <w:r>
        <w:rPr>
          <w:rFonts w:hint="eastAsia" w:ascii="宋体" w:hAnsi="宋体" w:eastAsia="宋体"/>
          <w:color w:val="auto"/>
          <w:highlight w:val="none"/>
          <w:lang w:eastAsia="zh-CN"/>
        </w:rPr>
        <w:t>日常</w:t>
      </w:r>
      <w:r>
        <w:rPr>
          <w:rFonts w:hint="eastAsia" w:ascii="宋体" w:hAnsi="宋体" w:eastAsia="宋体"/>
          <w:color w:val="auto"/>
          <w:highlight w:val="none"/>
        </w:rPr>
        <w:t>监督</w:t>
      </w:r>
      <w:r>
        <w:rPr>
          <w:rFonts w:hint="eastAsia" w:ascii="宋体" w:hAnsi="宋体" w:eastAsia="宋体"/>
          <w:color w:val="auto"/>
          <w:highlight w:val="none"/>
          <w:lang w:eastAsia="zh-CN"/>
        </w:rPr>
        <w:t>，进一步构建家长参与学校食堂监督管理的制度机制</w:t>
      </w:r>
      <w:r>
        <w:rPr>
          <w:rFonts w:hint="eastAsia" w:hAnsi="宋体"/>
          <w:color w:val="auto"/>
          <w:highlight w:val="none"/>
          <w:lang w:eastAsia="zh-CN"/>
        </w:rPr>
        <w:t>。</w:t>
      </w:r>
    </w:p>
    <w:p>
      <w:pPr>
        <w:pStyle w:val="105"/>
        <w:spacing w:before="156" w:after="156"/>
        <w:rPr>
          <w:rFonts w:ascii="宋体" w:hAnsi="宋体" w:eastAsia="宋体"/>
          <w:color w:val="auto"/>
          <w:highlight w:val="none"/>
        </w:rPr>
      </w:pPr>
      <w:r>
        <w:rPr>
          <w:rFonts w:hint="eastAsia" w:ascii="宋体" w:hAnsi="宋体" w:eastAsia="宋体"/>
          <w:color w:val="auto"/>
          <w:highlight w:val="none"/>
        </w:rPr>
        <w:t>学校在食品采购等涉及学校集中用餐的重大事项上，应当以</w:t>
      </w:r>
      <w:r>
        <w:rPr>
          <w:rFonts w:hint="eastAsia" w:ascii="宋体" w:hAnsi="宋体" w:eastAsia="宋体"/>
          <w:color w:val="auto"/>
          <w:highlight w:val="none"/>
          <w:lang w:eastAsia="zh-CN"/>
        </w:rPr>
        <w:t>座谈会、听证会等</w:t>
      </w:r>
      <w:r>
        <w:rPr>
          <w:rFonts w:hint="eastAsia" w:ascii="宋体" w:hAnsi="宋体" w:eastAsia="宋体"/>
          <w:color w:val="auto"/>
          <w:highlight w:val="none"/>
        </w:rPr>
        <w:t>适当方式</w:t>
      </w:r>
      <w:r>
        <w:rPr>
          <w:rFonts w:hint="eastAsia" w:ascii="宋体" w:hAnsi="宋体" w:eastAsia="宋体"/>
          <w:color w:val="auto"/>
          <w:highlight w:val="none"/>
          <w:lang w:eastAsia="zh-CN"/>
        </w:rPr>
        <w:t>，充分</w:t>
      </w:r>
      <w:r>
        <w:rPr>
          <w:rFonts w:hint="eastAsia" w:ascii="宋体" w:hAnsi="宋体" w:eastAsia="宋体"/>
          <w:color w:val="auto"/>
          <w:highlight w:val="none"/>
        </w:rPr>
        <w:t>听取家长委员会</w:t>
      </w:r>
      <w:r>
        <w:rPr>
          <w:rFonts w:hint="eastAsia" w:ascii="宋体" w:hAnsi="宋体" w:eastAsia="宋体"/>
          <w:color w:val="auto"/>
          <w:highlight w:val="none"/>
          <w:lang w:eastAsia="zh-CN"/>
        </w:rPr>
        <w:t>、</w:t>
      </w:r>
      <w:r>
        <w:rPr>
          <w:rFonts w:hint="eastAsia" w:ascii="宋体" w:hAnsi="宋体" w:eastAsia="宋体"/>
          <w:color w:val="auto"/>
          <w:highlight w:val="none"/>
        </w:rPr>
        <w:t>学生代表大会、教职工代表大会</w:t>
      </w:r>
      <w:r>
        <w:rPr>
          <w:rFonts w:hint="eastAsia" w:ascii="宋体" w:hAnsi="宋体" w:eastAsia="宋体"/>
          <w:color w:val="auto"/>
          <w:highlight w:val="none"/>
          <w:lang w:eastAsia="zh-CN"/>
        </w:rPr>
        <w:t>的</w:t>
      </w:r>
      <w:r>
        <w:rPr>
          <w:rFonts w:hint="eastAsia" w:ascii="宋体" w:hAnsi="宋体" w:eastAsia="宋体"/>
          <w:color w:val="auto"/>
          <w:highlight w:val="none"/>
        </w:rPr>
        <w:t>意见</w:t>
      </w:r>
      <w:r>
        <w:rPr>
          <w:rFonts w:hint="eastAsia" w:ascii="宋体" w:hAnsi="宋体" w:eastAsia="宋体"/>
          <w:color w:val="auto"/>
          <w:highlight w:val="none"/>
          <w:lang w:eastAsia="zh-CN"/>
        </w:rPr>
        <w:t>和建议</w:t>
      </w:r>
      <w:r>
        <w:rPr>
          <w:rFonts w:hint="eastAsia" w:ascii="宋体" w:hAnsi="宋体" w:eastAsia="宋体"/>
          <w:color w:val="auto"/>
          <w:highlight w:val="none"/>
        </w:rPr>
        <w:t>，保障师生家长的知情权、参与权、选择权、监督权。</w:t>
      </w:r>
    </w:p>
    <w:p>
      <w:pPr>
        <w:pStyle w:val="104"/>
        <w:spacing w:before="312" w:after="312"/>
        <w:rPr>
          <w:color w:val="auto"/>
          <w:highlight w:val="none"/>
        </w:rPr>
      </w:pPr>
      <w:bookmarkStart w:id="69" w:name="_Toc201247675"/>
      <w:bookmarkStart w:id="70" w:name="_Toc201247735"/>
      <w:r>
        <w:rPr>
          <w:rFonts w:hint="eastAsia"/>
          <w:color w:val="auto"/>
          <w:highlight w:val="none"/>
        </w:rPr>
        <w:t>应急管理</w:t>
      </w:r>
      <w:bookmarkEnd w:id="69"/>
      <w:bookmarkEnd w:id="70"/>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lang w:eastAsia="zh-CN"/>
        </w:rPr>
        <w:t>在进货查验环节，</w:t>
      </w:r>
      <w:r>
        <w:rPr>
          <w:rFonts w:hint="eastAsia" w:ascii="宋体" w:hAnsi="宋体" w:eastAsia="宋体"/>
          <w:color w:val="auto"/>
          <w:highlight w:val="none"/>
        </w:rPr>
        <w:t>发现</w:t>
      </w:r>
      <w:r>
        <w:rPr>
          <w:rFonts w:hint="eastAsia" w:ascii="宋体" w:hAnsi="宋体" w:eastAsia="宋体"/>
          <w:color w:val="auto"/>
          <w:highlight w:val="none"/>
          <w:lang w:val="en-US" w:eastAsia="zh-CN"/>
        </w:rPr>
        <w:t>食材</w:t>
      </w:r>
      <w:r>
        <w:rPr>
          <w:rFonts w:hint="eastAsia" w:ascii="宋体" w:hAnsi="宋体" w:eastAsia="宋体"/>
          <w:color w:val="auto"/>
          <w:highlight w:val="none"/>
        </w:rPr>
        <w:t>存在</w:t>
      </w:r>
      <w:r>
        <w:rPr>
          <w:rFonts w:hint="eastAsia" w:ascii="宋体" w:hAnsi="宋体" w:eastAsia="宋体"/>
          <w:color w:val="auto"/>
          <w:highlight w:val="none"/>
          <w:lang w:val="en-US" w:eastAsia="zh-CN"/>
        </w:rPr>
        <w:t>食品安全</w:t>
      </w:r>
      <w:r>
        <w:rPr>
          <w:rFonts w:hint="eastAsia" w:ascii="宋体" w:hAnsi="宋体" w:eastAsia="宋体"/>
          <w:color w:val="auto"/>
          <w:highlight w:val="none"/>
        </w:rPr>
        <w:t>问题</w:t>
      </w:r>
      <w:r>
        <w:rPr>
          <w:rFonts w:hint="eastAsia" w:ascii="宋体" w:hAnsi="宋体" w:eastAsia="宋体"/>
          <w:color w:val="auto"/>
          <w:highlight w:val="none"/>
          <w:lang w:val="en-US" w:eastAsia="zh-CN"/>
        </w:rPr>
        <w:t>及可疑迹象</w:t>
      </w:r>
      <w:r>
        <w:rPr>
          <w:rFonts w:hint="eastAsia" w:ascii="宋体" w:hAnsi="宋体" w:eastAsia="宋体"/>
          <w:color w:val="auto"/>
          <w:highlight w:val="none"/>
        </w:rPr>
        <w:t>的，学校应拒绝收货</w:t>
      </w:r>
      <w:r>
        <w:rPr>
          <w:rFonts w:hint="eastAsia" w:ascii="宋体" w:hAnsi="宋体" w:eastAsia="宋体"/>
          <w:color w:val="auto"/>
          <w:highlight w:val="none"/>
          <w:lang w:eastAsia="zh-CN"/>
        </w:rPr>
        <w:t>。拒收原因、</w:t>
      </w:r>
      <w:r>
        <w:rPr>
          <w:rFonts w:hint="eastAsia" w:ascii="宋体" w:hAnsi="宋体" w:eastAsia="宋体"/>
          <w:color w:val="auto"/>
          <w:highlight w:val="none"/>
        </w:rPr>
        <w:t>查验情况及处置措施应</w:t>
      </w:r>
      <w:r>
        <w:rPr>
          <w:rFonts w:hint="eastAsia" w:ascii="宋体" w:hAnsi="宋体" w:eastAsia="宋体"/>
          <w:color w:val="auto"/>
          <w:highlight w:val="none"/>
          <w:lang w:eastAsia="zh-CN"/>
        </w:rPr>
        <w:t>如实</w:t>
      </w:r>
      <w:r>
        <w:rPr>
          <w:rFonts w:hint="eastAsia" w:ascii="宋体" w:hAnsi="宋体" w:eastAsia="宋体"/>
          <w:color w:val="auto"/>
          <w:highlight w:val="none"/>
        </w:rPr>
        <w:t>记录在进货查验记录中</w:t>
      </w:r>
      <w:r>
        <w:rPr>
          <w:rFonts w:hint="eastAsia" w:ascii="宋体" w:hAnsi="宋体" w:eastAsia="宋体"/>
          <w:color w:val="auto"/>
          <w:highlight w:val="none"/>
          <w:lang w:eastAsia="zh-CN"/>
        </w:rPr>
        <w:t>，并由相关责任人员签字确认。</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发现供应商存在</w:t>
      </w:r>
      <w:r>
        <w:rPr>
          <w:rFonts w:hint="eastAsia" w:ascii="宋体" w:hAnsi="宋体" w:eastAsia="宋体"/>
          <w:color w:val="auto"/>
          <w:highlight w:val="none"/>
          <w:lang w:eastAsia="zh-CN"/>
        </w:rPr>
        <w:t>食品安全</w:t>
      </w:r>
      <w:r>
        <w:rPr>
          <w:rFonts w:hint="eastAsia" w:ascii="宋体" w:hAnsi="宋体" w:eastAsia="宋体"/>
          <w:color w:val="auto"/>
          <w:highlight w:val="none"/>
        </w:rPr>
        <w:t>违法行为的，</w:t>
      </w:r>
      <w:r>
        <w:rPr>
          <w:rFonts w:hint="eastAsia" w:ascii="宋体" w:hAnsi="宋体" w:eastAsia="宋体"/>
          <w:color w:val="auto"/>
          <w:highlight w:val="none"/>
          <w:lang w:eastAsia="zh-CN"/>
        </w:rPr>
        <w:t>学校</w:t>
      </w:r>
      <w:r>
        <w:rPr>
          <w:rFonts w:hint="eastAsia" w:ascii="宋体" w:hAnsi="宋体" w:eastAsia="宋体"/>
          <w:color w:val="auto"/>
          <w:highlight w:val="none"/>
        </w:rPr>
        <w:t>应</w:t>
      </w:r>
      <w:r>
        <w:rPr>
          <w:rFonts w:hint="eastAsia" w:ascii="宋体" w:hAnsi="宋体" w:eastAsia="宋体"/>
          <w:color w:val="auto"/>
          <w:highlight w:val="none"/>
          <w:lang w:eastAsia="zh-CN"/>
        </w:rPr>
        <w:t>立即停止食材的采购和使用，并</w:t>
      </w:r>
      <w:r>
        <w:rPr>
          <w:rFonts w:hint="eastAsia" w:ascii="宋体" w:hAnsi="宋体" w:eastAsia="宋体"/>
          <w:color w:val="auto"/>
          <w:highlight w:val="none"/>
        </w:rPr>
        <w:t>及时向属地市场监督管理部门举报。</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lang w:eastAsia="zh-CN"/>
        </w:rPr>
        <w:t>学校</w:t>
      </w:r>
      <w:r>
        <w:rPr>
          <w:rFonts w:hint="eastAsia" w:ascii="宋体" w:hAnsi="宋体" w:eastAsia="宋体"/>
          <w:color w:val="auto"/>
          <w:highlight w:val="none"/>
        </w:rPr>
        <w:t>经自行抽样委托检测、快速检测发现食材不合格的，应及时</w:t>
      </w:r>
      <w:r>
        <w:rPr>
          <w:rFonts w:hint="eastAsia" w:ascii="宋体" w:hAnsi="宋体" w:eastAsia="宋体"/>
          <w:color w:val="auto"/>
          <w:highlight w:val="none"/>
          <w:lang w:eastAsia="zh-CN"/>
        </w:rPr>
        <w:t>停止使用并</w:t>
      </w:r>
      <w:r>
        <w:rPr>
          <w:rFonts w:hint="eastAsia" w:ascii="宋体" w:hAnsi="宋体" w:eastAsia="宋体"/>
          <w:color w:val="auto"/>
          <w:highlight w:val="none"/>
        </w:rPr>
        <w:t>下架、撤换，</w:t>
      </w:r>
      <w:r>
        <w:rPr>
          <w:rFonts w:hint="eastAsia" w:ascii="宋体" w:hAnsi="宋体" w:eastAsia="宋体"/>
          <w:color w:val="auto"/>
          <w:highlight w:val="none"/>
          <w:lang w:eastAsia="zh-CN"/>
        </w:rPr>
        <w:t>封存问题食材，</w:t>
      </w:r>
      <w:r>
        <w:rPr>
          <w:rFonts w:hint="eastAsia" w:ascii="宋体" w:hAnsi="宋体" w:eastAsia="宋体"/>
          <w:color w:val="auto"/>
          <w:highlight w:val="none"/>
        </w:rPr>
        <w:t>联系供应商，及时</w:t>
      </w:r>
      <w:r>
        <w:rPr>
          <w:rFonts w:hint="eastAsia" w:ascii="宋体" w:hAnsi="宋体" w:eastAsia="宋体"/>
          <w:color w:val="auto"/>
          <w:highlight w:val="none"/>
          <w:lang w:eastAsia="zh-CN"/>
        </w:rPr>
        <w:t>协同</w:t>
      </w:r>
      <w:r>
        <w:rPr>
          <w:rFonts w:hint="eastAsia" w:ascii="宋体" w:hAnsi="宋体" w:eastAsia="宋体"/>
          <w:color w:val="auto"/>
          <w:highlight w:val="none"/>
        </w:rPr>
        <w:t>做好食品召回等。</w:t>
      </w:r>
      <w:r>
        <w:rPr>
          <w:rFonts w:hint="eastAsia" w:ascii="宋体" w:hAnsi="宋体" w:eastAsia="宋体"/>
          <w:color w:val="auto"/>
          <w:highlight w:val="none"/>
          <w:lang w:eastAsia="zh-CN"/>
        </w:rPr>
        <w:t>相关检测情况、处置情况应完整记录。</w:t>
      </w:r>
    </w:p>
    <w:p>
      <w:pPr>
        <w:pStyle w:val="105"/>
        <w:spacing w:before="156" w:after="156"/>
        <w:rPr>
          <w:rFonts w:ascii="宋体" w:hAnsi="宋体" w:eastAsia="宋体"/>
          <w:color w:val="auto"/>
          <w:highlight w:val="none"/>
        </w:rPr>
      </w:pPr>
      <w:r>
        <w:rPr>
          <w:rFonts w:hint="eastAsia" w:ascii="宋体" w:hAnsi="宋体" w:eastAsia="宋体"/>
          <w:color w:val="auto"/>
          <w:highlight w:val="none"/>
        </w:rPr>
        <w:t>学校宜根据食材特性、</w:t>
      </w:r>
      <w:r>
        <w:rPr>
          <w:rFonts w:hint="eastAsia" w:ascii="宋体" w:hAnsi="宋体" w:eastAsia="宋体"/>
          <w:color w:val="auto"/>
          <w:highlight w:val="none"/>
          <w:lang w:eastAsia="zh-CN"/>
        </w:rPr>
        <w:t>消耗规律</w:t>
      </w:r>
      <w:r>
        <w:rPr>
          <w:rFonts w:hint="eastAsia" w:ascii="宋体" w:hAnsi="宋体" w:eastAsia="宋体"/>
          <w:color w:val="auto"/>
          <w:highlight w:val="none"/>
        </w:rPr>
        <w:t>及供应链稳定</w:t>
      </w:r>
      <w:r>
        <w:rPr>
          <w:rFonts w:hint="eastAsia" w:ascii="宋体" w:hAnsi="宋体" w:eastAsia="宋体"/>
          <w:color w:val="auto"/>
          <w:highlight w:val="none"/>
          <w:lang w:eastAsia="zh-CN"/>
        </w:rPr>
        <w:t>情况</w:t>
      </w:r>
      <w:r>
        <w:rPr>
          <w:rFonts w:hint="eastAsia" w:ascii="宋体" w:hAnsi="宋体" w:eastAsia="宋体"/>
          <w:color w:val="auto"/>
          <w:highlight w:val="none"/>
        </w:rPr>
        <w:t>，科学设定大宗食材安全库存阈值，并设置预警提醒。库存量接近或低于阈值时，应及时发出预警提示，以便学校调整采购计划，保障供应连续性并防止食材过期浪费。</w:t>
      </w:r>
    </w:p>
    <w:p>
      <w:pPr>
        <w:pStyle w:val="104"/>
        <w:spacing w:before="312" w:after="312"/>
        <w:rPr>
          <w:color w:val="auto"/>
          <w:highlight w:val="none"/>
        </w:rPr>
      </w:pPr>
      <w:bookmarkStart w:id="71" w:name="_Toc201247736"/>
      <w:bookmarkStart w:id="72" w:name="_Toc201247676"/>
      <w:r>
        <w:rPr>
          <w:rFonts w:hint="eastAsia"/>
          <w:color w:val="auto"/>
          <w:highlight w:val="none"/>
        </w:rPr>
        <w:t>其他要求</w:t>
      </w:r>
      <w:bookmarkEnd w:id="71"/>
      <w:bookmarkEnd w:id="72"/>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学校应建立由学校负责人、教职工代表、学生代表、家长代表等参与的食品安全民主监督机制。</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学校应设立并公布食品安全投诉举报电话、电子邮箱、意见箱等</w:t>
      </w:r>
      <w:r>
        <w:rPr>
          <w:rFonts w:hint="eastAsia" w:ascii="宋体" w:hAnsi="宋体" w:eastAsia="宋体"/>
          <w:color w:val="auto"/>
          <w:highlight w:val="none"/>
          <w:lang w:eastAsia="zh-CN"/>
        </w:rPr>
        <w:t>有效渠道</w:t>
      </w:r>
      <w:r>
        <w:rPr>
          <w:rFonts w:hint="eastAsia" w:ascii="宋体" w:hAnsi="宋体" w:eastAsia="宋体"/>
          <w:color w:val="auto"/>
          <w:highlight w:val="none"/>
        </w:rPr>
        <w:t>，及时</w:t>
      </w:r>
      <w:r>
        <w:rPr>
          <w:rFonts w:hint="eastAsia" w:ascii="宋体" w:hAnsi="宋体" w:eastAsia="宋体"/>
          <w:color w:val="auto"/>
          <w:highlight w:val="none"/>
          <w:lang w:eastAsia="zh-CN"/>
        </w:rPr>
        <w:t>受理、核查和</w:t>
      </w:r>
      <w:r>
        <w:rPr>
          <w:rFonts w:hint="eastAsia" w:ascii="宋体" w:hAnsi="宋体" w:eastAsia="宋体"/>
          <w:color w:val="auto"/>
          <w:highlight w:val="none"/>
        </w:rPr>
        <w:t>处理投诉举报或意见</w:t>
      </w:r>
      <w:r>
        <w:rPr>
          <w:rFonts w:hint="eastAsia" w:ascii="宋体" w:hAnsi="宋体" w:eastAsia="宋体"/>
          <w:color w:val="auto"/>
          <w:highlight w:val="none"/>
          <w:lang w:eastAsia="zh-CN"/>
        </w:rPr>
        <w:t>建议</w:t>
      </w:r>
      <w:r>
        <w:rPr>
          <w:rFonts w:hint="eastAsia" w:ascii="宋体" w:hAnsi="宋体" w:eastAsia="宋体"/>
          <w:color w:val="auto"/>
          <w:highlight w:val="none"/>
        </w:rPr>
        <w:t>。</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学校宜对供应商进行分类分级管理，制定评价性标准，并</w:t>
      </w:r>
      <w:r>
        <w:rPr>
          <w:rFonts w:hint="eastAsia" w:ascii="宋体" w:hAnsi="宋体" w:eastAsia="宋体"/>
          <w:color w:val="auto"/>
          <w:highlight w:val="none"/>
          <w:lang w:eastAsia="zh-CN"/>
        </w:rPr>
        <w:t>可</w:t>
      </w:r>
      <w:r>
        <w:rPr>
          <w:rFonts w:hint="eastAsia" w:ascii="宋体" w:hAnsi="宋体" w:eastAsia="宋体"/>
          <w:color w:val="auto"/>
          <w:highlight w:val="none"/>
        </w:rPr>
        <w:t>通过引入末</w:t>
      </w:r>
      <w:r>
        <w:rPr>
          <w:rFonts w:hint="eastAsia" w:ascii="宋体" w:hAnsi="宋体" w:eastAsia="宋体"/>
          <w:color w:val="auto"/>
          <w:highlight w:val="none"/>
          <w:lang w:val="en-US" w:eastAsia="zh-CN"/>
        </w:rPr>
        <w:t>位</w:t>
      </w:r>
      <w:r>
        <w:rPr>
          <w:rFonts w:hint="eastAsia" w:ascii="宋体" w:hAnsi="宋体" w:eastAsia="宋体"/>
          <w:color w:val="auto"/>
          <w:highlight w:val="none"/>
        </w:rPr>
        <w:t>淘汰机制</w:t>
      </w:r>
      <w:r>
        <w:rPr>
          <w:rFonts w:hint="eastAsia" w:ascii="宋体" w:hAnsi="宋体" w:eastAsia="宋体"/>
          <w:color w:val="auto"/>
          <w:highlight w:val="none"/>
          <w:lang w:eastAsia="zh-CN"/>
        </w:rPr>
        <w:t>等方式</w:t>
      </w:r>
      <w:r>
        <w:rPr>
          <w:rFonts w:hint="eastAsia" w:ascii="宋体" w:hAnsi="宋体" w:eastAsia="宋体"/>
          <w:color w:val="auto"/>
          <w:highlight w:val="none"/>
        </w:rPr>
        <w:t>，持续优化整合供应商，保证食材质量安全。</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学校宜通过源头采购、多方合作等方式建立标准化采购模式，提升</w:t>
      </w:r>
      <w:r>
        <w:rPr>
          <w:rFonts w:hint="eastAsia" w:ascii="宋体" w:hAnsi="宋体" w:eastAsia="宋体"/>
          <w:color w:val="auto"/>
          <w:highlight w:val="none"/>
          <w:lang w:val="en-US" w:eastAsia="zh-CN"/>
        </w:rPr>
        <w:t>食品</w:t>
      </w:r>
      <w:r>
        <w:rPr>
          <w:rFonts w:hint="eastAsia" w:ascii="宋体" w:hAnsi="宋体" w:eastAsia="宋体"/>
          <w:color w:val="auto"/>
          <w:highlight w:val="none"/>
        </w:rPr>
        <w:t>质量</w:t>
      </w:r>
      <w:r>
        <w:rPr>
          <w:rFonts w:hint="eastAsia" w:ascii="宋体" w:hAnsi="宋体" w:eastAsia="宋体"/>
          <w:color w:val="auto"/>
          <w:highlight w:val="none"/>
          <w:lang w:eastAsia="zh-CN"/>
        </w:rPr>
        <w:t>保障</w:t>
      </w:r>
      <w:r>
        <w:rPr>
          <w:rFonts w:hint="eastAsia" w:ascii="宋体" w:hAnsi="宋体" w:eastAsia="宋体"/>
          <w:color w:val="auto"/>
          <w:highlight w:val="none"/>
        </w:rPr>
        <w:t>能力。</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学校宜结合库存量及历史运营情况，根据日常采购量、消耗量等确定定量采购信息，</w:t>
      </w:r>
      <w:r>
        <w:rPr>
          <w:rFonts w:hint="eastAsia" w:ascii="宋体" w:hAnsi="宋体" w:eastAsia="宋体"/>
          <w:color w:val="auto"/>
          <w:highlight w:val="none"/>
          <w:lang w:eastAsia="zh-CN"/>
        </w:rPr>
        <w:t>科学</w:t>
      </w:r>
      <w:r>
        <w:rPr>
          <w:rFonts w:hint="eastAsia" w:ascii="宋体" w:hAnsi="宋体" w:eastAsia="宋体"/>
          <w:color w:val="auto"/>
          <w:highlight w:val="none"/>
        </w:rPr>
        <w:t>确定采购基准量，实施采购订单动态管理，</w:t>
      </w:r>
      <w:r>
        <w:rPr>
          <w:rFonts w:hint="eastAsia" w:ascii="宋体" w:hAnsi="宋体" w:eastAsia="宋体"/>
          <w:color w:val="auto"/>
          <w:highlight w:val="none"/>
          <w:lang w:eastAsia="zh-CN"/>
        </w:rPr>
        <w:t>有效</w:t>
      </w:r>
      <w:r>
        <w:rPr>
          <w:rFonts w:hint="eastAsia" w:ascii="宋体" w:hAnsi="宋体" w:eastAsia="宋体"/>
          <w:color w:val="auto"/>
          <w:highlight w:val="none"/>
        </w:rPr>
        <w:t>防止食材浪费。</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学校食堂食品安全管理员及食品采购部门</w:t>
      </w:r>
      <w:r>
        <w:rPr>
          <w:rFonts w:hint="eastAsia" w:ascii="宋体" w:hAnsi="宋体" w:eastAsia="宋体"/>
          <w:color w:val="auto"/>
          <w:highlight w:val="none"/>
          <w:lang w:eastAsia="zh-CN"/>
        </w:rPr>
        <w:t>应</w:t>
      </w:r>
      <w:r>
        <w:rPr>
          <w:rFonts w:hint="eastAsia" w:ascii="宋体" w:hAnsi="宋体" w:eastAsia="宋体"/>
          <w:color w:val="auto"/>
          <w:highlight w:val="none"/>
        </w:rPr>
        <w:t>关注和收集食品安全监督抽检不合格信息、食品安全风险提示，并根据提示</w:t>
      </w:r>
      <w:r>
        <w:rPr>
          <w:rFonts w:hint="eastAsia" w:ascii="宋体" w:hAnsi="宋体" w:eastAsia="宋体"/>
          <w:color w:val="auto"/>
          <w:highlight w:val="none"/>
          <w:lang w:eastAsia="zh-CN"/>
        </w:rPr>
        <w:t>针对性地</w:t>
      </w:r>
      <w:r>
        <w:rPr>
          <w:rFonts w:hint="eastAsia" w:ascii="宋体" w:hAnsi="宋体" w:eastAsia="宋体"/>
          <w:color w:val="auto"/>
          <w:highlight w:val="none"/>
        </w:rPr>
        <w:t>加强对所采购</w:t>
      </w:r>
      <w:r>
        <w:rPr>
          <w:rFonts w:hint="eastAsia" w:ascii="宋体" w:hAnsi="宋体" w:eastAsia="宋体"/>
          <w:color w:val="auto"/>
          <w:highlight w:val="none"/>
          <w:lang w:val="en-US" w:eastAsia="zh-CN"/>
        </w:rPr>
        <w:t>食材</w:t>
      </w:r>
      <w:r>
        <w:rPr>
          <w:rFonts w:hint="eastAsia" w:ascii="宋体" w:hAnsi="宋体" w:eastAsia="宋体"/>
          <w:color w:val="auto"/>
          <w:highlight w:val="none"/>
        </w:rPr>
        <w:t>的质量管控。</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鼓励学校参加食品安全责任保险，完善事前</w:t>
      </w:r>
      <w:r>
        <w:rPr>
          <w:rFonts w:hint="eastAsia" w:ascii="宋体" w:hAnsi="宋体" w:eastAsia="宋体"/>
          <w:color w:val="auto"/>
          <w:highlight w:val="none"/>
          <w:lang w:eastAsia="zh-CN"/>
        </w:rPr>
        <w:t>预防</w:t>
      </w:r>
      <w:r>
        <w:rPr>
          <w:rFonts w:hint="eastAsia" w:ascii="宋体" w:hAnsi="宋体" w:eastAsia="宋体"/>
          <w:color w:val="auto"/>
          <w:highlight w:val="none"/>
        </w:rPr>
        <w:t>、事中</w:t>
      </w:r>
      <w:r>
        <w:rPr>
          <w:rFonts w:hint="eastAsia" w:ascii="宋体" w:hAnsi="宋体" w:eastAsia="宋体"/>
          <w:color w:val="auto"/>
          <w:highlight w:val="none"/>
          <w:lang w:eastAsia="zh-CN"/>
        </w:rPr>
        <w:t>控制</w:t>
      </w:r>
      <w:r>
        <w:rPr>
          <w:rFonts w:hint="eastAsia" w:ascii="宋体" w:hAnsi="宋体" w:eastAsia="宋体"/>
          <w:color w:val="auto"/>
          <w:highlight w:val="none"/>
        </w:rPr>
        <w:t>、事后</w:t>
      </w:r>
      <w:r>
        <w:rPr>
          <w:rFonts w:hint="eastAsia" w:ascii="宋体" w:hAnsi="宋体" w:eastAsia="宋体"/>
          <w:color w:val="auto"/>
          <w:highlight w:val="none"/>
          <w:lang w:eastAsia="zh-CN"/>
        </w:rPr>
        <w:t>补偿的</w:t>
      </w:r>
      <w:r>
        <w:rPr>
          <w:rFonts w:hint="eastAsia" w:ascii="宋体" w:hAnsi="宋体" w:eastAsia="宋体"/>
          <w:color w:val="auto"/>
          <w:highlight w:val="none"/>
        </w:rPr>
        <w:t>食品安全</w:t>
      </w:r>
      <w:r>
        <w:rPr>
          <w:rFonts w:hint="eastAsia" w:ascii="宋体" w:hAnsi="宋体" w:eastAsia="宋体"/>
          <w:color w:val="auto"/>
          <w:highlight w:val="none"/>
          <w:lang w:eastAsia="zh-CN"/>
        </w:rPr>
        <w:t>风险</w:t>
      </w:r>
      <w:r>
        <w:rPr>
          <w:rFonts w:hint="eastAsia" w:ascii="宋体" w:hAnsi="宋体" w:eastAsia="宋体"/>
          <w:color w:val="auto"/>
          <w:highlight w:val="none"/>
        </w:rPr>
        <w:t>保障体系，防范食品安全风险。</w:t>
      </w:r>
    </w:p>
    <w:p>
      <w:pPr>
        <w:pStyle w:val="105"/>
        <w:spacing w:before="156" w:after="156"/>
        <w:rPr>
          <w:rFonts w:hint="eastAsia" w:ascii="宋体" w:hAnsi="宋体" w:eastAsia="宋体"/>
          <w:color w:val="auto"/>
          <w:highlight w:val="none"/>
        </w:rPr>
      </w:pPr>
      <w:r>
        <w:rPr>
          <w:rFonts w:hint="eastAsia" w:ascii="宋体" w:hAnsi="宋体" w:eastAsia="宋体"/>
          <w:color w:val="auto"/>
          <w:highlight w:val="none"/>
        </w:rPr>
        <w:t>鼓励</w:t>
      </w:r>
      <w:r>
        <w:rPr>
          <w:rFonts w:hint="eastAsia" w:ascii="宋体" w:hAnsi="宋体" w:eastAsia="宋体"/>
          <w:color w:val="auto"/>
          <w:highlight w:val="none"/>
          <w:lang w:eastAsia="zh-CN"/>
        </w:rPr>
        <w:t>学校</w:t>
      </w:r>
      <w:r>
        <w:rPr>
          <w:rFonts w:hint="eastAsia" w:ascii="宋体" w:hAnsi="宋体" w:eastAsia="宋体"/>
          <w:color w:val="auto"/>
          <w:highlight w:val="none"/>
        </w:rPr>
        <w:t>充分运用物联网、人工智能</w:t>
      </w:r>
      <w:r>
        <w:rPr>
          <w:rFonts w:hint="eastAsia" w:ascii="宋体" w:hAnsi="宋体" w:eastAsia="宋体"/>
          <w:color w:val="auto"/>
          <w:highlight w:val="none"/>
          <w:lang w:eastAsia="zh-CN"/>
        </w:rPr>
        <w:t>等</w:t>
      </w:r>
      <w:r>
        <w:rPr>
          <w:rFonts w:hint="eastAsia" w:ascii="宋体" w:hAnsi="宋体" w:eastAsia="宋体"/>
          <w:color w:val="auto"/>
          <w:highlight w:val="none"/>
        </w:rPr>
        <w:t>信息化</w:t>
      </w:r>
      <w:r>
        <w:rPr>
          <w:rFonts w:hint="eastAsia" w:ascii="宋体" w:hAnsi="宋体" w:eastAsia="宋体"/>
          <w:color w:val="auto"/>
          <w:highlight w:val="none"/>
          <w:lang w:eastAsia="zh-CN"/>
        </w:rPr>
        <w:t>技术</w:t>
      </w:r>
      <w:r>
        <w:rPr>
          <w:rFonts w:hint="eastAsia" w:ascii="宋体" w:hAnsi="宋体" w:eastAsia="宋体"/>
          <w:color w:val="auto"/>
          <w:highlight w:val="none"/>
        </w:rPr>
        <w:t>手段</w:t>
      </w:r>
      <w:r>
        <w:rPr>
          <w:rFonts w:hint="eastAsia" w:ascii="宋体" w:hAnsi="宋体" w:eastAsia="宋体"/>
          <w:color w:val="auto"/>
          <w:highlight w:val="none"/>
          <w:lang w:eastAsia="zh-CN"/>
        </w:rPr>
        <w:t>，</w:t>
      </w:r>
      <w:r>
        <w:rPr>
          <w:rFonts w:hint="eastAsia" w:ascii="宋体" w:hAnsi="宋体" w:eastAsia="宋体"/>
          <w:color w:val="auto"/>
          <w:highlight w:val="none"/>
        </w:rPr>
        <w:t>采集、留存</w:t>
      </w:r>
      <w:r>
        <w:rPr>
          <w:rFonts w:hint="eastAsia" w:ascii="宋体" w:hAnsi="宋体" w:eastAsia="宋体"/>
          <w:color w:val="auto"/>
          <w:highlight w:val="none"/>
          <w:lang w:eastAsia="zh-CN"/>
        </w:rPr>
        <w:t>和记录</w:t>
      </w:r>
      <w:r>
        <w:rPr>
          <w:rFonts w:hint="eastAsia" w:ascii="宋体" w:hAnsi="宋体" w:eastAsia="宋体"/>
          <w:color w:val="auto"/>
          <w:highlight w:val="none"/>
          <w:lang w:val="en-US" w:eastAsia="zh-CN"/>
        </w:rPr>
        <w:t>食品进货查验</w:t>
      </w:r>
      <w:r>
        <w:rPr>
          <w:rFonts w:hint="eastAsia" w:ascii="宋体" w:hAnsi="宋体" w:eastAsia="宋体"/>
          <w:color w:val="auto"/>
          <w:highlight w:val="none"/>
        </w:rPr>
        <w:t>等信息，提升管理效率</w:t>
      </w:r>
      <w:r>
        <w:rPr>
          <w:rFonts w:hint="eastAsia" w:ascii="宋体" w:hAnsi="宋体" w:eastAsia="宋体"/>
          <w:color w:val="auto"/>
          <w:highlight w:val="none"/>
          <w:lang w:eastAsia="zh-CN"/>
        </w:rPr>
        <w:t>，</w:t>
      </w:r>
      <w:r>
        <w:rPr>
          <w:rFonts w:hint="eastAsia" w:ascii="宋体" w:hAnsi="宋体" w:eastAsia="宋体"/>
          <w:color w:val="auto"/>
          <w:highlight w:val="none"/>
        </w:rPr>
        <w:t>保证食品可追溯。</w:t>
      </w:r>
    </w:p>
    <w:p>
      <w:pPr>
        <w:pStyle w:val="105"/>
        <w:spacing w:before="156" w:after="156"/>
        <w:rPr>
          <w:rFonts w:hint="default" w:ascii="宋体" w:hAnsi="宋体" w:eastAsia="宋体"/>
          <w:color w:val="auto"/>
          <w:highlight w:val="none"/>
          <w:lang w:val="en-US" w:eastAsia="zh-CN"/>
        </w:rPr>
        <w:sectPr>
          <w:pgSz w:w="11906" w:h="16838"/>
          <w:pgMar w:top="1928" w:right="1134" w:bottom="1134" w:left="1134" w:header="1418" w:footer="1134" w:gutter="284"/>
          <w:pgNumType w:start="1"/>
          <w:cols w:space="425" w:num="1"/>
          <w:formProt w:val="0"/>
          <w:docGrid w:type="lines" w:linePitch="312" w:charSpace="0"/>
        </w:sectPr>
      </w:pPr>
      <w:r>
        <w:rPr>
          <w:rFonts w:hint="eastAsia" w:ascii="宋体" w:hAnsi="宋体" w:eastAsia="宋体"/>
          <w:color w:val="auto"/>
          <w:highlight w:val="none"/>
          <w:lang w:val="en-US" w:eastAsia="zh-CN"/>
        </w:rPr>
        <w:t>鼓励有条件的的学校可在正餐间合理选择零食，针对儿童少年正处于长身体的特殊时期，推荐适当选择果蔬汁类等饮品、酸奶等乳制品、坚果类、谷类制品等营养价值高、干净卫生的零食，并在适宜的时间补充必要的矿物质、维生素等营养素。</w:t>
      </w:r>
      <w:r>
        <w:rPr>
          <w:rFonts w:hint="eastAsia" w:ascii="宋体" w:hAnsi="宋体" w:eastAsia="宋体"/>
          <w:color w:val="auto"/>
          <w:highlight w:val="none"/>
        </w:rPr>
        <w:t>鼓励有条件的地区</w:t>
      </w:r>
      <w:r>
        <w:rPr>
          <w:rFonts w:hint="eastAsia" w:ascii="宋体" w:hAnsi="宋体" w:eastAsia="宋体"/>
          <w:color w:val="auto"/>
          <w:highlight w:val="none"/>
          <w:lang w:eastAsia="zh-CN"/>
        </w:rPr>
        <w:t>学校</w:t>
      </w:r>
      <w:r>
        <w:rPr>
          <w:rFonts w:hint="eastAsia" w:ascii="宋体" w:hAnsi="宋体" w:eastAsia="宋体"/>
          <w:color w:val="auto"/>
          <w:highlight w:val="none"/>
        </w:rPr>
        <w:t>优先采购绿色、有机食品。</w:t>
      </w:r>
    </w:p>
    <w:bookmarkEnd w:id="25"/>
    <w:p>
      <w:pPr>
        <w:pStyle w:val="198"/>
        <w:rPr>
          <w:rFonts w:hint="eastAsia"/>
        </w:rPr>
      </w:pPr>
      <w:bookmarkStart w:id="73" w:name="BookMark5"/>
    </w:p>
    <w:p>
      <w:pPr>
        <w:pStyle w:val="199"/>
        <w:rPr>
          <w:rFonts w:hint="eastAsia"/>
        </w:rPr>
      </w:pPr>
    </w:p>
    <w:p>
      <w:pPr>
        <w:pStyle w:val="76"/>
        <w:spacing w:after="156"/>
        <w:rPr>
          <w:rFonts w:hint="eastAsia"/>
        </w:rPr>
      </w:pPr>
      <w:r>
        <w:br w:type="textWrapping"/>
      </w:r>
      <w:bookmarkStart w:id="74" w:name="_Toc201247737"/>
      <w:bookmarkStart w:id="75" w:name="_Toc201247677"/>
      <w:r>
        <w:rPr>
          <w:rFonts w:hint="eastAsia"/>
        </w:rPr>
        <w:t>（规范性）</w:t>
      </w:r>
      <w:r>
        <w:br w:type="textWrapping"/>
      </w:r>
      <w:r>
        <w:rPr>
          <w:rFonts w:hint="eastAsia"/>
        </w:rPr>
        <w:t>食品、食品添加剂和食用农产品有关索证索票规定清单</w:t>
      </w:r>
      <w:bookmarkEnd w:id="74"/>
      <w:bookmarkEnd w:id="75"/>
    </w:p>
    <w:tbl>
      <w:tblPr>
        <w:tblStyle w:val="26"/>
        <w:tblW w:w="4994" w:type="pct"/>
        <w:tblInd w:w="0" w:type="dxa"/>
        <w:tblLayout w:type="autofit"/>
        <w:tblCellMar>
          <w:top w:w="0" w:type="dxa"/>
          <w:left w:w="108" w:type="dxa"/>
          <w:bottom w:w="0" w:type="dxa"/>
          <w:right w:w="108" w:type="dxa"/>
        </w:tblCellMar>
      </w:tblPr>
      <w:tblGrid>
        <w:gridCol w:w="859"/>
        <w:gridCol w:w="1434"/>
        <w:gridCol w:w="2201"/>
        <w:gridCol w:w="2548"/>
        <w:gridCol w:w="2517"/>
      </w:tblGrid>
      <w:tr>
        <w:tblPrEx>
          <w:tblCellMar>
            <w:top w:w="0" w:type="dxa"/>
            <w:left w:w="108" w:type="dxa"/>
            <w:bottom w:w="0" w:type="dxa"/>
            <w:right w:w="108" w:type="dxa"/>
          </w:tblCellMar>
        </w:tblPrEx>
        <w:trPr>
          <w:trHeight w:val="525" w:hRule="atLeast"/>
        </w:trPr>
        <w:tc>
          <w:tcPr>
            <w:tcW w:w="449"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18"/>
                <w:szCs w:val="18"/>
              </w:rPr>
            </w:pPr>
            <w:r>
              <w:rPr>
                <w:rFonts w:hint="eastAsia" w:ascii="黑体" w:hAnsi="黑体" w:eastAsia="黑体"/>
                <w:sz w:val="18"/>
                <w:szCs w:val="18"/>
              </w:rPr>
              <w:t>序号</w:t>
            </w:r>
          </w:p>
        </w:tc>
        <w:tc>
          <w:tcPr>
            <w:tcW w:w="750" w:type="pct"/>
            <w:vMerge w:val="restart"/>
            <w:tcBorders>
              <w:top w:val="single" w:color="auto" w:sz="4" w:space="0"/>
              <w:left w:val="nil"/>
              <w:bottom w:val="single" w:color="auto" w:sz="4" w:space="0"/>
              <w:right w:val="single" w:color="auto" w:sz="4" w:space="0"/>
            </w:tcBorders>
            <w:noWrap/>
            <w:vAlign w:val="center"/>
          </w:tcPr>
          <w:p>
            <w:pPr>
              <w:jc w:val="center"/>
              <w:rPr>
                <w:rFonts w:hint="eastAsia" w:ascii="黑体" w:hAnsi="黑体" w:eastAsia="黑体"/>
                <w:sz w:val="18"/>
                <w:szCs w:val="18"/>
              </w:rPr>
            </w:pPr>
            <w:r>
              <w:rPr>
                <w:rFonts w:hint="eastAsia" w:ascii="黑体" w:hAnsi="黑体" w:eastAsia="黑体"/>
                <w:sz w:val="18"/>
                <w:szCs w:val="18"/>
              </w:rPr>
              <w:t>品类</w:t>
            </w:r>
          </w:p>
        </w:tc>
        <w:tc>
          <w:tcPr>
            <w:tcW w:w="2483" w:type="pct"/>
            <w:gridSpan w:val="2"/>
            <w:tcBorders>
              <w:top w:val="single" w:color="auto" w:sz="4" w:space="0"/>
              <w:left w:val="nil"/>
              <w:bottom w:val="single" w:color="auto" w:sz="4" w:space="0"/>
              <w:right w:val="single" w:color="auto" w:sz="4" w:space="0"/>
            </w:tcBorders>
            <w:noWrap/>
            <w:vAlign w:val="center"/>
          </w:tcPr>
          <w:p>
            <w:pPr>
              <w:jc w:val="center"/>
              <w:rPr>
                <w:rFonts w:hint="eastAsia" w:ascii="黑体" w:hAnsi="黑体" w:eastAsia="黑体"/>
                <w:sz w:val="18"/>
                <w:szCs w:val="18"/>
              </w:rPr>
            </w:pPr>
            <w:r>
              <w:rPr>
                <w:rFonts w:hint="eastAsia" w:ascii="黑体" w:hAnsi="黑体" w:eastAsia="黑体"/>
                <w:sz w:val="18"/>
                <w:szCs w:val="18"/>
              </w:rPr>
              <w:t>索证资料</w:t>
            </w:r>
          </w:p>
        </w:tc>
        <w:tc>
          <w:tcPr>
            <w:tcW w:w="1316" w:type="pct"/>
            <w:tcBorders>
              <w:top w:val="single" w:color="auto" w:sz="4" w:space="0"/>
              <w:left w:val="nil"/>
              <w:bottom w:val="single" w:color="auto" w:sz="4" w:space="0"/>
              <w:right w:val="single" w:color="auto" w:sz="4" w:space="0"/>
            </w:tcBorders>
            <w:noWrap/>
            <w:vAlign w:val="center"/>
          </w:tcPr>
          <w:p>
            <w:pPr>
              <w:jc w:val="center"/>
              <w:rPr>
                <w:rFonts w:hint="eastAsia" w:ascii="黑体" w:hAnsi="黑体" w:eastAsia="黑体"/>
                <w:sz w:val="18"/>
                <w:szCs w:val="18"/>
              </w:rPr>
            </w:pPr>
            <w:r>
              <w:rPr>
                <w:rFonts w:hint="eastAsia" w:ascii="黑体" w:hAnsi="黑体" w:eastAsia="黑体"/>
                <w:sz w:val="18"/>
                <w:szCs w:val="18"/>
              </w:rPr>
              <w:t>索票资料</w:t>
            </w:r>
          </w:p>
        </w:tc>
      </w:tr>
      <w:tr>
        <w:tblPrEx>
          <w:tblCellMar>
            <w:top w:w="0" w:type="dxa"/>
            <w:left w:w="108" w:type="dxa"/>
            <w:bottom w:w="0" w:type="dxa"/>
            <w:right w:w="108" w:type="dxa"/>
          </w:tblCellMar>
        </w:tblPrEx>
        <w:trPr>
          <w:trHeight w:val="52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黑体" w:hAnsi="黑体" w:eastAsia="黑体"/>
                <w:sz w:val="18"/>
                <w:szCs w:val="18"/>
              </w:rPr>
            </w:pPr>
          </w:p>
        </w:tc>
        <w:tc>
          <w:tcPr>
            <w:tcW w:w="0" w:type="auto"/>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rPr>
                <w:rFonts w:ascii="黑体" w:hAnsi="黑体" w:eastAsia="黑体"/>
                <w:sz w:val="18"/>
                <w:szCs w:val="18"/>
              </w:rPr>
            </w:pPr>
          </w:p>
        </w:tc>
        <w:tc>
          <w:tcPr>
            <w:tcW w:w="1151" w:type="pct"/>
            <w:tcBorders>
              <w:top w:val="nil"/>
              <w:left w:val="nil"/>
              <w:bottom w:val="single" w:color="auto" w:sz="4" w:space="0"/>
              <w:right w:val="single" w:color="auto" w:sz="4" w:space="0"/>
            </w:tcBorders>
            <w:noWrap/>
            <w:vAlign w:val="center"/>
          </w:tcPr>
          <w:p>
            <w:pPr>
              <w:jc w:val="center"/>
              <w:rPr>
                <w:rFonts w:hint="eastAsia" w:ascii="黑体" w:hAnsi="黑体" w:eastAsia="黑体"/>
                <w:sz w:val="18"/>
                <w:szCs w:val="18"/>
              </w:rPr>
            </w:pPr>
            <w:r>
              <w:rPr>
                <w:rFonts w:hint="eastAsia" w:ascii="黑体" w:hAnsi="黑体" w:eastAsia="黑体"/>
                <w:sz w:val="18"/>
                <w:szCs w:val="18"/>
              </w:rPr>
              <w:t>证照资质</w:t>
            </w:r>
          </w:p>
        </w:tc>
        <w:tc>
          <w:tcPr>
            <w:tcW w:w="1332" w:type="pct"/>
            <w:tcBorders>
              <w:top w:val="nil"/>
              <w:left w:val="nil"/>
              <w:bottom w:val="single" w:color="auto" w:sz="4" w:space="0"/>
              <w:right w:val="single" w:color="auto" w:sz="4" w:space="0"/>
            </w:tcBorders>
            <w:noWrap/>
            <w:vAlign w:val="center"/>
          </w:tcPr>
          <w:p>
            <w:pPr>
              <w:jc w:val="center"/>
              <w:rPr>
                <w:rFonts w:hint="eastAsia" w:ascii="黑体" w:hAnsi="黑体" w:eastAsia="黑体"/>
                <w:sz w:val="18"/>
                <w:szCs w:val="18"/>
              </w:rPr>
            </w:pPr>
            <w:r>
              <w:rPr>
                <w:rFonts w:hint="eastAsia" w:ascii="黑体" w:hAnsi="黑体" w:eastAsia="黑体"/>
                <w:sz w:val="18"/>
                <w:szCs w:val="18"/>
              </w:rPr>
              <w:t>查验事项</w:t>
            </w:r>
          </w:p>
        </w:tc>
        <w:tc>
          <w:tcPr>
            <w:tcW w:w="1316" w:type="pct"/>
            <w:tcBorders>
              <w:top w:val="nil"/>
              <w:left w:val="nil"/>
              <w:bottom w:val="single" w:color="auto" w:sz="4" w:space="0"/>
              <w:right w:val="single" w:color="auto" w:sz="4" w:space="0"/>
            </w:tcBorders>
            <w:noWrap/>
            <w:vAlign w:val="center"/>
          </w:tcPr>
          <w:p>
            <w:pPr>
              <w:jc w:val="center"/>
              <w:rPr>
                <w:rFonts w:hint="eastAsia" w:ascii="黑体" w:hAnsi="黑体" w:eastAsia="黑体"/>
                <w:sz w:val="18"/>
                <w:szCs w:val="18"/>
              </w:rPr>
            </w:pPr>
            <w:r>
              <w:rPr>
                <w:rFonts w:hint="eastAsia" w:ascii="黑体" w:hAnsi="黑体" w:eastAsia="黑体"/>
                <w:sz w:val="18"/>
                <w:szCs w:val="18"/>
              </w:rPr>
              <w:t>销售票据</w:t>
            </w:r>
          </w:p>
        </w:tc>
      </w:tr>
      <w:tr>
        <w:tblPrEx>
          <w:tblCellMar>
            <w:top w:w="0" w:type="dxa"/>
            <w:left w:w="108" w:type="dxa"/>
            <w:bottom w:w="0" w:type="dxa"/>
            <w:right w:w="108" w:type="dxa"/>
          </w:tblCellMar>
        </w:tblPrEx>
        <w:trPr>
          <w:trHeight w:val="2420" w:hRule="atLeast"/>
        </w:trPr>
        <w:tc>
          <w:tcPr>
            <w:tcW w:w="449" w:type="pct"/>
            <w:tcBorders>
              <w:top w:val="nil"/>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w:t>
            </w:r>
          </w:p>
        </w:tc>
        <w:tc>
          <w:tcPr>
            <w:tcW w:w="750" w:type="pct"/>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进口食品和食品添加剂、其他物资(食品相关产品等)；进口蔬果</w:t>
            </w:r>
          </w:p>
        </w:tc>
        <w:tc>
          <w:tcPr>
            <w:tcW w:w="1151" w:type="pct"/>
            <w:vMerge w:val="restart"/>
            <w:tcBorders>
              <w:top w:val="nil"/>
              <w:left w:val="nil"/>
              <w:bottom w:val="nil"/>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1、若供货方为国内经销商，需提供国内经销商资质【营业执照、食品经营许可证或备案凭证】</w:t>
            </w:r>
            <w:r>
              <w:rPr>
                <w:rFonts w:hint="eastAsia" w:ascii="宋体" w:hAnsi="宋体" w:eastAsia="宋体" w:cs="宋体"/>
                <w:sz w:val="18"/>
                <w:szCs w:val="18"/>
              </w:rPr>
              <w:br w:type="textWrapping"/>
            </w:r>
            <w:r>
              <w:rPr>
                <w:rFonts w:hint="eastAsia" w:ascii="宋体" w:hAnsi="宋体" w:eastAsia="宋体" w:cs="宋体"/>
                <w:sz w:val="18"/>
                <w:szCs w:val="18"/>
              </w:rPr>
              <w:t>2、若供货方为进口商，需提供进口商资质【营业执照、食品经营许可证】</w:t>
            </w:r>
          </w:p>
        </w:tc>
        <w:tc>
          <w:tcPr>
            <w:tcW w:w="1332" w:type="pct"/>
            <w:vMerge w:val="restart"/>
            <w:tcBorders>
              <w:top w:val="nil"/>
              <w:left w:val="nil"/>
              <w:bottom w:val="nil"/>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“一证”：批次【入境货物检验检疫证明】</w:t>
            </w:r>
          </w:p>
        </w:tc>
        <w:tc>
          <w:tcPr>
            <w:tcW w:w="1316" w:type="pct"/>
            <w:vMerge w:val="restart"/>
            <w:tcBorders>
              <w:top w:val="nil"/>
              <w:left w:val="nil"/>
              <w:bottom w:val="nil"/>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“一单”：【报关单或有效销售凭证（带红章）】</w:t>
            </w:r>
          </w:p>
        </w:tc>
      </w:tr>
      <w:tr>
        <w:tblPrEx>
          <w:tblCellMar>
            <w:top w:w="0" w:type="dxa"/>
            <w:left w:w="108" w:type="dxa"/>
            <w:bottom w:w="0" w:type="dxa"/>
            <w:right w:w="108" w:type="dxa"/>
          </w:tblCellMar>
        </w:tblPrEx>
        <w:trPr>
          <w:trHeight w:val="2190" w:hRule="atLeast"/>
        </w:trPr>
        <w:tc>
          <w:tcPr>
            <w:tcW w:w="449" w:type="pct"/>
            <w:tcBorders>
              <w:top w:val="nil"/>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2</w:t>
            </w:r>
          </w:p>
        </w:tc>
        <w:tc>
          <w:tcPr>
            <w:tcW w:w="750" w:type="pct"/>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进口食用农产品（如进口冷冻畜禽肉类、水产品如三文鱼）</w:t>
            </w:r>
          </w:p>
        </w:tc>
        <w:tc>
          <w:tcPr>
            <w:tcW w:w="0" w:type="auto"/>
            <w:vMerge w:val="continue"/>
            <w:tcBorders>
              <w:top w:val="nil"/>
              <w:left w:val="nil"/>
              <w:bottom w:val="nil"/>
              <w:right w:val="single" w:color="auto" w:sz="4" w:space="0"/>
            </w:tcBorders>
            <w:vAlign w:val="center"/>
          </w:tcPr>
          <w:p>
            <w:pPr>
              <w:widowControl/>
              <w:adjustRightInd/>
              <w:spacing w:line="240" w:lineRule="auto"/>
              <w:jc w:val="left"/>
              <w:rPr>
                <w:rFonts w:hint="eastAsia" w:ascii="宋体" w:hAnsi="宋体" w:eastAsia="宋体" w:cs="宋体"/>
                <w:sz w:val="18"/>
                <w:szCs w:val="18"/>
              </w:rPr>
            </w:pPr>
          </w:p>
        </w:tc>
        <w:tc>
          <w:tcPr>
            <w:tcW w:w="0" w:type="auto"/>
            <w:vMerge w:val="continue"/>
            <w:tcBorders>
              <w:top w:val="nil"/>
              <w:left w:val="nil"/>
              <w:bottom w:val="nil"/>
              <w:right w:val="single" w:color="auto" w:sz="4" w:space="0"/>
            </w:tcBorders>
            <w:vAlign w:val="center"/>
          </w:tcPr>
          <w:p>
            <w:pPr>
              <w:widowControl/>
              <w:adjustRightInd/>
              <w:spacing w:line="240" w:lineRule="auto"/>
              <w:jc w:val="left"/>
              <w:rPr>
                <w:rFonts w:hint="eastAsia" w:ascii="宋体" w:hAnsi="宋体" w:eastAsia="宋体" w:cs="宋体"/>
                <w:sz w:val="18"/>
                <w:szCs w:val="18"/>
              </w:rPr>
            </w:pPr>
          </w:p>
        </w:tc>
        <w:tc>
          <w:tcPr>
            <w:tcW w:w="0" w:type="auto"/>
            <w:vMerge w:val="continue"/>
            <w:tcBorders>
              <w:top w:val="nil"/>
              <w:left w:val="nil"/>
              <w:bottom w:val="nil"/>
              <w:right w:val="single" w:color="auto" w:sz="4" w:space="0"/>
            </w:tcBorders>
            <w:vAlign w:val="center"/>
          </w:tcPr>
          <w:p>
            <w:pPr>
              <w:widowControl/>
              <w:adjustRightInd/>
              <w:spacing w:line="240" w:lineRule="auto"/>
              <w:jc w:val="left"/>
              <w:rPr>
                <w:rFonts w:hint="eastAsia" w:ascii="宋体" w:hAnsi="宋体" w:eastAsia="宋体" w:cs="宋体"/>
                <w:sz w:val="18"/>
                <w:szCs w:val="18"/>
              </w:rPr>
            </w:pPr>
          </w:p>
        </w:tc>
      </w:tr>
      <w:tr>
        <w:tblPrEx>
          <w:tblCellMar>
            <w:top w:w="0" w:type="dxa"/>
            <w:left w:w="108" w:type="dxa"/>
            <w:bottom w:w="0" w:type="dxa"/>
            <w:right w:w="108" w:type="dxa"/>
          </w:tblCellMar>
        </w:tblPrEx>
        <w:trPr>
          <w:trHeight w:val="5300" w:hRule="atLeast"/>
        </w:trPr>
        <w:tc>
          <w:tcPr>
            <w:tcW w:w="449"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3</w:t>
            </w:r>
          </w:p>
        </w:tc>
        <w:tc>
          <w:tcPr>
            <w:tcW w:w="750" w:type="pct"/>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国产食品及食品添加剂</w:t>
            </w:r>
          </w:p>
        </w:tc>
        <w:tc>
          <w:tcPr>
            <w:tcW w:w="1151" w:type="pct"/>
            <w:tcBorders>
              <w:top w:val="single" w:color="auto" w:sz="4" w:space="0"/>
              <w:left w:val="nil"/>
              <w:bottom w:val="single" w:color="auto" w:sz="4" w:space="0"/>
              <w:right w:val="single" w:color="auto" w:sz="4" w:space="0"/>
            </w:tcBorders>
            <w:vAlign w:val="center"/>
          </w:tcPr>
          <w:p>
            <w:pPr>
              <w:numPr>
                <w:ilvl w:val="0"/>
                <w:numId w:val="0"/>
              </w:numPr>
              <w:rPr>
                <w:rFonts w:hint="eastAsia" w:ascii="宋体" w:hAnsi="宋体" w:eastAsia="宋体" w:cs="宋体"/>
                <w:sz w:val="18"/>
                <w:szCs w:val="18"/>
                <w:highlight w:val="none"/>
                <w:lang w:val="en" w:eastAsia="zh-CN"/>
              </w:rPr>
            </w:pPr>
            <w:r>
              <w:rPr>
                <w:rFonts w:hint="eastAsia" w:ascii="宋体" w:hAnsi="宋体" w:eastAsia="宋体" w:cs="宋体"/>
                <w:sz w:val="18"/>
                <w:szCs w:val="18"/>
                <w:highlight w:val="none"/>
                <w:lang w:val="en-US" w:eastAsia="zh-CN"/>
              </w:rPr>
              <w:t>1.</w:t>
            </w:r>
            <w:r>
              <w:rPr>
                <w:rFonts w:hint="eastAsia" w:ascii="宋体" w:hAnsi="宋体" w:eastAsia="宋体" w:cs="宋体"/>
                <w:sz w:val="18"/>
                <w:szCs w:val="18"/>
                <w:highlight w:val="none"/>
                <w:lang w:val="en" w:eastAsia="zh-CN"/>
              </w:rPr>
              <w:t>若供货方为经销商，需提供经销商资质【营业执照、食品经营许可证或备案凭证】</w:t>
            </w:r>
            <w:r>
              <w:rPr>
                <w:rFonts w:hint="eastAsia" w:ascii="宋体" w:hAnsi="宋体" w:eastAsia="宋体" w:cs="宋体"/>
                <w:sz w:val="18"/>
                <w:szCs w:val="18"/>
                <w:highlight w:val="none"/>
                <w:lang w:val="en" w:eastAsia="zh-CN"/>
              </w:rPr>
              <w:br w:type="textWrapping"/>
            </w:r>
            <w:r>
              <w:rPr>
                <w:rFonts w:hint="eastAsia" w:ascii="宋体" w:hAnsi="宋体" w:eastAsia="宋体" w:cs="宋体"/>
                <w:sz w:val="18"/>
                <w:szCs w:val="18"/>
                <w:highlight w:val="none"/>
                <w:lang w:val="en" w:eastAsia="zh-CN"/>
              </w:rPr>
              <w:t>2</w:t>
            </w:r>
            <w:r>
              <w:rPr>
                <w:rFonts w:hint="eastAsia" w:ascii="宋体" w:hAnsi="宋体" w:eastAsia="宋体" w:cs="宋体"/>
                <w:sz w:val="18"/>
                <w:szCs w:val="18"/>
                <w:highlight w:val="none"/>
                <w:lang w:val="en-US" w:eastAsia="zh-CN"/>
              </w:rPr>
              <w:t>.</w:t>
            </w:r>
            <w:r>
              <w:rPr>
                <w:rFonts w:hint="eastAsia" w:ascii="宋体" w:hAnsi="宋体" w:eastAsia="宋体" w:cs="宋体"/>
                <w:sz w:val="18"/>
                <w:szCs w:val="18"/>
                <w:highlight w:val="none"/>
                <w:lang w:val="en" w:eastAsia="zh-CN"/>
              </w:rPr>
              <w:t>若供货方为生产商，需提供生产商资质【营业执照、食品生产许可证】</w:t>
            </w:r>
            <w:r>
              <w:rPr>
                <w:rFonts w:hint="eastAsia" w:ascii="宋体" w:hAnsi="宋体" w:eastAsia="宋体" w:cs="宋体"/>
                <w:sz w:val="18"/>
                <w:szCs w:val="18"/>
                <w:highlight w:val="none"/>
                <w:lang w:val="en" w:eastAsia="zh-CN"/>
              </w:rPr>
              <w:br w:type="textWrapping"/>
            </w:r>
            <w:r>
              <w:rPr>
                <w:rFonts w:hint="eastAsia" w:ascii="宋体" w:hAnsi="宋体" w:eastAsia="宋体" w:cs="宋体"/>
                <w:sz w:val="18"/>
                <w:szCs w:val="18"/>
                <w:highlight w:val="none"/>
                <w:lang w:val="en" w:eastAsia="zh-CN"/>
              </w:rPr>
              <w:t>3</w:t>
            </w:r>
            <w:r>
              <w:rPr>
                <w:rFonts w:hint="eastAsia" w:ascii="宋体" w:hAnsi="宋体" w:eastAsia="宋体" w:cs="宋体"/>
                <w:sz w:val="18"/>
                <w:szCs w:val="18"/>
                <w:highlight w:val="none"/>
                <w:lang w:val="en-US" w:eastAsia="zh-CN"/>
              </w:rPr>
              <w:t>.</w:t>
            </w:r>
            <w:r>
              <w:rPr>
                <w:rFonts w:hint="eastAsia" w:ascii="宋体" w:hAnsi="宋体" w:eastAsia="宋体" w:cs="宋体"/>
                <w:sz w:val="18"/>
                <w:szCs w:val="18"/>
                <w:highlight w:val="none"/>
                <w:lang w:val="en" w:eastAsia="zh-CN"/>
              </w:rPr>
              <w:t>若为委托生产,还需提供生产商资质【营业执照、食品生产许可证】</w:t>
            </w:r>
          </w:p>
          <w:p>
            <w:pPr>
              <w:numPr>
                <w:ilvl w:val="0"/>
                <w:numId w:val="0"/>
              </w:numP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 w:eastAsia="zh-CN"/>
              </w:rPr>
              <w:t>4.若供货方为代理商，需提供合同或代理授权书，相关产品授权证明文件等。</w:t>
            </w:r>
          </w:p>
        </w:tc>
        <w:tc>
          <w:tcPr>
            <w:tcW w:w="1332" w:type="pct"/>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【地区】特殊要求：</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从省外购进，索取、留存“五证”（供货方及产品生产商资质【营业执照、食品生产许可证】+合格证明文件【第三方检测报告或产品出厂检验报告】</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1、【第三方检测报告】：</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每年至少2次，宜季度报告</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2、【产品出厂检验报告】：</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注意：生产日期与实物相符</w:t>
            </w:r>
          </w:p>
        </w:tc>
        <w:tc>
          <w:tcPr>
            <w:tcW w:w="1316" w:type="pct"/>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【一票】：</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盖红章有效销售票证（从省外购进）</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盖红章“电子一票通”（从省内购进）</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【方式】特殊要求：</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学校应签订大宗食材采购质量安全协议。少量或临时采购的，应确认资质并留存【有效购物凭证或每笔送货单】。</w:t>
            </w:r>
          </w:p>
        </w:tc>
      </w:tr>
    </w:tbl>
    <w:p>
      <w:pPr>
        <w:pStyle w:val="56"/>
        <w:ind w:firstLine="420"/>
        <w:rPr>
          <w:highlight w:val="none"/>
        </w:rPr>
      </w:pPr>
    </w:p>
    <w:p>
      <w:pPr>
        <w:pStyle w:val="56"/>
        <w:ind w:firstLine="420"/>
        <w:rPr>
          <w:highlight w:val="none"/>
        </w:rPr>
      </w:pPr>
    </w:p>
    <w:p>
      <w:pPr>
        <w:pStyle w:val="235"/>
        <w:ind w:firstLine="3990" w:firstLineChars="1900"/>
        <w:rPr>
          <w:highlight w:val="none"/>
        </w:rPr>
      </w:pPr>
      <w:r>
        <w:rPr>
          <w:rFonts w:hint="eastAsia" w:ascii="黑体" w:hAnsi="黑体" w:eastAsia="黑体"/>
          <w:highlight w:val="none"/>
        </w:rPr>
        <w:t>上表</w:t>
      </w:r>
      <w:r>
        <w:rPr>
          <w:rFonts w:hint="eastAsia" w:ascii="宋体" w:hAnsi="宋体"/>
          <w:highlight w:val="none"/>
        </w:rPr>
        <w:t>（续）</w:t>
      </w:r>
    </w:p>
    <w:tbl>
      <w:tblPr>
        <w:tblStyle w:val="26"/>
        <w:tblW w:w="4997" w:type="pct"/>
        <w:tblInd w:w="0" w:type="dxa"/>
        <w:tblLayout w:type="autofit"/>
        <w:tblCellMar>
          <w:top w:w="0" w:type="dxa"/>
          <w:left w:w="108" w:type="dxa"/>
          <w:bottom w:w="0" w:type="dxa"/>
          <w:right w:w="108" w:type="dxa"/>
        </w:tblCellMar>
      </w:tblPr>
      <w:tblGrid>
        <w:gridCol w:w="863"/>
        <w:gridCol w:w="1077"/>
        <w:gridCol w:w="2077"/>
        <w:gridCol w:w="3028"/>
        <w:gridCol w:w="2519"/>
      </w:tblGrid>
      <w:tr>
        <w:tblPrEx>
          <w:tblCellMar>
            <w:top w:w="0" w:type="dxa"/>
            <w:left w:w="108" w:type="dxa"/>
            <w:bottom w:w="0" w:type="dxa"/>
            <w:right w:w="108" w:type="dxa"/>
          </w:tblCellMar>
        </w:tblPrEx>
        <w:trPr>
          <w:trHeight w:val="95" w:hRule="atLeast"/>
        </w:trPr>
        <w:tc>
          <w:tcPr>
            <w:tcW w:w="451"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18"/>
                <w:szCs w:val="18"/>
                <w:highlight w:val="none"/>
              </w:rPr>
            </w:pPr>
            <w:r>
              <w:rPr>
                <w:rFonts w:hint="eastAsia" w:ascii="黑体" w:hAnsi="黑体" w:eastAsia="黑体"/>
                <w:sz w:val="18"/>
                <w:szCs w:val="18"/>
                <w:highlight w:val="none"/>
              </w:rPr>
              <w:t>序号</w:t>
            </w:r>
          </w:p>
        </w:tc>
        <w:tc>
          <w:tcPr>
            <w:tcW w:w="563" w:type="pct"/>
            <w:vMerge w:val="restart"/>
            <w:tcBorders>
              <w:top w:val="single" w:color="auto" w:sz="4" w:space="0"/>
              <w:left w:val="nil"/>
              <w:bottom w:val="single" w:color="auto" w:sz="4" w:space="0"/>
              <w:right w:val="single" w:color="auto" w:sz="4" w:space="0"/>
            </w:tcBorders>
            <w:noWrap/>
            <w:vAlign w:val="center"/>
          </w:tcPr>
          <w:p>
            <w:pPr>
              <w:jc w:val="center"/>
              <w:rPr>
                <w:rFonts w:hint="eastAsia" w:ascii="黑体" w:hAnsi="黑体" w:eastAsia="黑体"/>
                <w:sz w:val="18"/>
                <w:szCs w:val="18"/>
                <w:highlight w:val="none"/>
              </w:rPr>
            </w:pPr>
            <w:r>
              <w:rPr>
                <w:rFonts w:hint="eastAsia" w:ascii="黑体" w:hAnsi="黑体" w:eastAsia="黑体"/>
                <w:sz w:val="18"/>
                <w:szCs w:val="18"/>
                <w:highlight w:val="none"/>
              </w:rPr>
              <w:t>品类</w:t>
            </w:r>
          </w:p>
        </w:tc>
        <w:tc>
          <w:tcPr>
            <w:tcW w:w="2669" w:type="pct"/>
            <w:gridSpan w:val="2"/>
            <w:tcBorders>
              <w:top w:val="single" w:color="auto" w:sz="4" w:space="0"/>
              <w:left w:val="nil"/>
              <w:bottom w:val="single" w:color="auto" w:sz="4" w:space="0"/>
              <w:right w:val="single" w:color="auto" w:sz="4" w:space="0"/>
            </w:tcBorders>
            <w:noWrap/>
            <w:vAlign w:val="center"/>
          </w:tcPr>
          <w:p>
            <w:pPr>
              <w:jc w:val="center"/>
              <w:rPr>
                <w:rFonts w:hint="eastAsia" w:ascii="黑体" w:hAnsi="黑体" w:eastAsia="黑体"/>
                <w:sz w:val="18"/>
                <w:szCs w:val="18"/>
                <w:highlight w:val="none"/>
              </w:rPr>
            </w:pPr>
            <w:r>
              <w:rPr>
                <w:rFonts w:hint="eastAsia" w:ascii="黑体" w:hAnsi="黑体" w:eastAsia="黑体"/>
                <w:sz w:val="18"/>
                <w:szCs w:val="18"/>
                <w:highlight w:val="none"/>
              </w:rPr>
              <w:t>索证资料</w:t>
            </w:r>
          </w:p>
        </w:tc>
        <w:tc>
          <w:tcPr>
            <w:tcW w:w="1317" w:type="pct"/>
            <w:tcBorders>
              <w:top w:val="single" w:color="auto" w:sz="4" w:space="0"/>
              <w:left w:val="nil"/>
              <w:bottom w:val="single" w:color="auto" w:sz="4" w:space="0"/>
              <w:right w:val="single" w:color="auto" w:sz="4" w:space="0"/>
            </w:tcBorders>
            <w:noWrap/>
            <w:vAlign w:val="center"/>
          </w:tcPr>
          <w:p>
            <w:pPr>
              <w:jc w:val="center"/>
              <w:rPr>
                <w:rFonts w:hint="eastAsia" w:ascii="黑体" w:hAnsi="黑体" w:eastAsia="黑体"/>
                <w:sz w:val="18"/>
                <w:szCs w:val="18"/>
                <w:highlight w:val="none"/>
              </w:rPr>
            </w:pPr>
            <w:r>
              <w:rPr>
                <w:rFonts w:hint="eastAsia" w:ascii="黑体" w:hAnsi="黑体" w:eastAsia="黑体"/>
                <w:sz w:val="18"/>
                <w:szCs w:val="18"/>
                <w:highlight w:val="none"/>
              </w:rPr>
              <w:t>索票资料</w:t>
            </w:r>
          </w:p>
        </w:tc>
      </w:tr>
      <w:tr>
        <w:tblPrEx>
          <w:tblCellMar>
            <w:top w:w="0" w:type="dxa"/>
            <w:left w:w="108" w:type="dxa"/>
            <w:bottom w:w="0" w:type="dxa"/>
            <w:right w:w="108" w:type="dxa"/>
          </w:tblCellMar>
        </w:tblPrEx>
        <w:trPr>
          <w:trHeight w:val="9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黑体" w:hAnsi="黑体" w:eastAsia="黑体"/>
                <w:sz w:val="18"/>
                <w:szCs w:val="18"/>
                <w:highlight w:val="none"/>
              </w:rPr>
            </w:pPr>
          </w:p>
        </w:tc>
        <w:tc>
          <w:tcPr>
            <w:tcW w:w="0" w:type="auto"/>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rPr>
                <w:rFonts w:ascii="黑体" w:hAnsi="黑体" w:eastAsia="黑体"/>
                <w:sz w:val="18"/>
                <w:szCs w:val="18"/>
                <w:highlight w:val="none"/>
              </w:rPr>
            </w:pPr>
          </w:p>
        </w:tc>
        <w:tc>
          <w:tcPr>
            <w:tcW w:w="1086" w:type="pct"/>
            <w:tcBorders>
              <w:top w:val="nil"/>
              <w:left w:val="nil"/>
              <w:bottom w:val="single" w:color="auto" w:sz="4" w:space="0"/>
              <w:right w:val="single" w:color="auto" w:sz="4" w:space="0"/>
            </w:tcBorders>
            <w:noWrap/>
            <w:vAlign w:val="center"/>
          </w:tcPr>
          <w:p>
            <w:pPr>
              <w:jc w:val="center"/>
              <w:rPr>
                <w:rFonts w:hint="eastAsia" w:ascii="黑体" w:hAnsi="黑体" w:eastAsia="黑体"/>
                <w:sz w:val="18"/>
                <w:szCs w:val="18"/>
                <w:highlight w:val="none"/>
              </w:rPr>
            </w:pPr>
            <w:r>
              <w:rPr>
                <w:rFonts w:hint="eastAsia" w:ascii="黑体" w:hAnsi="黑体" w:eastAsia="黑体"/>
                <w:sz w:val="18"/>
                <w:szCs w:val="18"/>
                <w:highlight w:val="none"/>
              </w:rPr>
              <w:t>证照资质</w:t>
            </w:r>
          </w:p>
        </w:tc>
        <w:tc>
          <w:tcPr>
            <w:tcW w:w="1583" w:type="pct"/>
            <w:tcBorders>
              <w:top w:val="nil"/>
              <w:left w:val="nil"/>
              <w:bottom w:val="single" w:color="auto" w:sz="4" w:space="0"/>
              <w:right w:val="single" w:color="auto" w:sz="4" w:space="0"/>
            </w:tcBorders>
            <w:noWrap/>
            <w:vAlign w:val="center"/>
          </w:tcPr>
          <w:p>
            <w:pPr>
              <w:jc w:val="center"/>
              <w:rPr>
                <w:rFonts w:hint="eastAsia" w:ascii="黑体" w:hAnsi="黑体" w:eastAsia="黑体"/>
                <w:sz w:val="18"/>
                <w:szCs w:val="18"/>
                <w:highlight w:val="none"/>
              </w:rPr>
            </w:pPr>
            <w:r>
              <w:rPr>
                <w:rFonts w:hint="eastAsia" w:ascii="黑体" w:hAnsi="黑体" w:eastAsia="黑体"/>
                <w:sz w:val="18"/>
                <w:szCs w:val="18"/>
                <w:highlight w:val="none"/>
              </w:rPr>
              <w:t>查验事项</w:t>
            </w:r>
          </w:p>
        </w:tc>
        <w:tc>
          <w:tcPr>
            <w:tcW w:w="1317" w:type="pct"/>
            <w:tcBorders>
              <w:top w:val="nil"/>
              <w:left w:val="nil"/>
              <w:bottom w:val="single" w:color="auto" w:sz="4" w:space="0"/>
              <w:right w:val="single" w:color="auto" w:sz="4" w:space="0"/>
            </w:tcBorders>
            <w:noWrap/>
            <w:vAlign w:val="center"/>
          </w:tcPr>
          <w:p>
            <w:pPr>
              <w:jc w:val="center"/>
              <w:rPr>
                <w:rFonts w:hint="eastAsia" w:ascii="黑体" w:hAnsi="黑体" w:eastAsia="黑体"/>
                <w:sz w:val="18"/>
                <w:szCs w:val="18"/>
                <w:highlight w:val="none"/>
              </w:rPr>
            </w:pPr>
            <w:r>
              <w:rPr>
                <w:rFonts w:hint="eastAsia" w:ascii="黑体" w:hAnsi="黑体" w:eastAsia="黑体"/>
                <w:sz w:val="18"/>
                <w:szCs w:val="18"/>
                <w:highlight w:val="none"/>
              </w:rPr>
              <w:t>销售票据</w:t>
            </w:r>
          </w:p>
        </w:tc>
      </w:tr>
      <w:tr>
        <w:tblPrEx>
          <w:tblCellMar>
            <w:top w:w="0" w:type="dxa"/>
            <w:left w:w="108" w:type="dxa"/>
            <w:bottom w:w="0" w:type="dxa"/>
            <w:right w:w="108" w:type="dxa"/>
          </w:tblCellMar>
        </w:tblPrEx>
        <w:trPr>
          <w:trHeight w:val="370" w:hRule="atLeast"/>
        </w:trPr>
        <w:tc>
          <w:tcPr>
            <w:tcW w:w="451" w:type="pct"/>
            <w:tcBorders>
              <w:top w:val="nil"/>
              <w:left w:val="single" w:color="auto" w:sz="4" w:space="0"/>
              <w:bottom w:val="single" w:color="auto" w:sz="4" w:space="0"/>
              <w:right w:val="single" w:color="auto" w:sz="4" w:space="0"/>
            </w:tcBorders>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4</w:t>
            </w:r>
          </w:p>
        </w:tc>
        <w:tc>
          <w:tcPr>
            <w:tcW w:w="563" w:type="pct"/>
            <w:tcBorders>
              <w:top w:val="nil"/>
              <w:left w:val="nil"/>
              <w:bottom w:val="single" w:color="auto" w:sz="4" w:space="0"/>
              <w:right w:val="single" w:color="auto" w:sz="4" w:space="0"/>
            </w:tcBorders>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国产食用农产品</w:t>
            </w:r>
          </w:p>
        </w:tc>
        <w:tc>
          <w:tcPr>
            <w:tcW w:w="1086" w:type="pct"/>
            <w:tcBorders>
              <w:top w:val="nil"/>
              <w:left w:val="nil"/>
              <w:bottom w:val="single" w:color="auto" w:sz="4" w:space="0"/>
              <w:right w:val="single" w:color="auto" w:sz="4" w:space="0"/>
            </w:tcBorders>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蔬菜类：1</w:t>
            </w:r>
            <w:r>
              <w:rPr>
                <w:rFonts w:hint="eastAsia" w:ascii="宋体" w:hAnsi="宋体" w:eastAsia="宋体" w:cs="宋体"/>
                <w:sz w:val="18"/>
                <w:szCs w:val="18"/>
                <w:highlight w:val="none"/>
                <w:lang w:val="en-US" w:eastAsia="zh-CN"/>
              </w:rPr>
              <w:t>.</w:t>
            </w:r>
            <w:r>
              <w:rPr>
                <w:rFonts w:hint="eastAsia" w:ascii="宋体" w:hAnsi="宋体" w:eastAsia="宋体" w:cs="宋体"/>
                <w:sz w:val="18"/>
                <w:szCs w:val="18"/>
                <w:highlight w:val="none"/>
              </w:rPr>
              <w:t>若供货方为经销商，需查验、留存经销商资质【营业执照或/和食品经营许可证复印件（盖红章）】</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2</w:t>
            </w:r>
            <w:r>
              <w:rPr>
                <w:rFonts w:hint="eastAsia" w:ascii="宋体" w:hAnsi="宋体" w:eastAsia="宋体" w:cs="宋体"/>
                <w:sz w:val="18"/>
                <w:szCs w:val="18"/>
                <w:highlight w:val="none"/>
                <w:lang w:val="en-US" w:eastAsia="zh-CN"/>
              </w:rPr>
              <w:t>.</w:t>
            </w:r>
            <w:r>
              <w:rPr>
                <w:rFonts w:hint="eastAsia" w:ascii="宋体" w:hAnsi="宋体" w:eastAsia="宋体" w:cs="宋体"/>
                <w:sz w:val="18"/>
                <w:szCs w:val="18"/>
                <w:highlight w:val="none"/>
              </w:rPr>
              <w:t>若供货方为食用农产品生产企业、农民专业合作经济组织、农业种植基地等，需提供生产商资质【营业执照或相关凭证】</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【种类】一般要求：</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采购禽畜肉类及其制品，供货方为屠宰企业:还需查验以下证照资质：【动物防疫条件合格证、畜禽定点屠宰证/生猪定点屠宰证】。</w:t>
            </w:r>
          </w:p>
        </w:tc>
        <w:tc>
          <w:tcPr>
            <w:tcW w:w="1583" w:type="pct"/>
            <w:tcBorders>
              <w:top w:val="nil"/>
              <w:left w:val="nil"/>
              <w:bottom w:val="single" w:color="auto" w:sz="4" w:space="0"/>
              <w:right w:val="single" w:color="auto" w:sz="4" w:space="0"/>
            </w:tcBorders>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【种类】特殊要求：</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w:t>
            </w:r>
            <w:r>
              <w:rPr>
                <w:rFonts w:hint="eastAsia" w:ascii="宋体" w:hAnsi="宋体" w:eastAsia="宋体" w:cs="宋体"/>
                <w:sz w:val="18"/>
                <w:szCs w:val="18"/>
                <w:highlight w:val="none"/>
              </w:rPr>
              <w:t>采购禽畜肉类及其制品：</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1)采购猪肉及产品，供货方为经销商:查验猪肉产品“两章”【检疫合格验讫印章和肉品品质合格验讫印章】。索取、留存“两证”【《动物检疫合格证明》复印件（盖红章）、肉品品质检验合格证明(猪肉类适用)】。</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2)采购牛羊肉类，查牛羊肉腿部“一章”【检疫合格验讫印章】，索取、留存“两证”【《动物检疫合格证明》复印件（盖红章）、肉品品质检验合格证明】。</w:t>
            </w:r>
          </w:p>
          <w:p>
            <w:pPr>
              <w:numPr>
                <w:ilvl w:val="0"/>
                <w:numId w:val="32"/>
              </w:numPr>
              <w:rPr>
                <w:rFonts w:hint="eastAsia" w:ascii="宋体" w:hAnsi="宋体" w:eastAsia="宋体" w:cs="宋体"/>
                <w:sz w:val="18"/>
                <w:szCs w:val="18"/>
                <w:highlight w:val="none"/>
              </w:rPr>
            </w:pPr>
            <w:r>
              <w:rPr>
                <w:rFonts w:hint="eastAsia" w:ascii="宋体" w:hAnsi="宋体" w:eastAsia="宋体" w:cs="宋体"/>
                <w:sz w:val="18"/>
                <w:szCs w:val="18"/>
                <w:highlight w:val="none"/>
              </w:rPr>
              <w:t>采购禽肉类，</w:t>
            </w:r>
            <w:r>
              <w:rPr>
                <w:rFonts w:hint="eastAsia" w:ascii="宋体" w:hAnsi="宋体" w:eastAsia="宋体" w:cs="宋体"/>
                <w:sz w:val="18"/>
                <w:szCs w:val="18"/>
                <w:highlight w:val="none"/>
                <w:lang w:eastAsia="zh-CN"/>
              </w:rPr>
              <w:t>需查验、</w:t>
            </w:r>
            <w:r>
              <w:rPr>
                <w:rFonts w:hint="eastAsia" w:ascii="宋体" w:hAnsi="宋体" w:eastAsia="宋体" w:cs="宋体"/>
                <w:sz w:val="18"/>
                <w:szCs w:val="18"/>
                <w:highlight w:val="none"/>
              </w:rPr>
              <w:t>索取</w:t>
            </w:r>
            <w:r>
              <w:rPr>
                <w:rFonts w:hint="eastAsia" w:ascii="宋体" w:hAnsi="宋体" w:eastAsia="宋体" w:cs="宋体"/>
                <w:sz w:val="18"/>
                <w:szCs w:val="18"/>
                <w:highlight w:val="none"/>
                <w:lang w:eastAsia="zh-CN"/>
              </w:rPr>
              <w:t>和</w:t>
            </w:r>
            <w:r>
              <w:rPr>
                <w:rFonts w:hint="eastAsia" w:ascii="宋体" w:hAnsi="宋体" w:eastAsia="宋体" w:cs="宋体"/>
                <w:sz w:val="18"/>
                <w:szCs w:val="18"/>
                <w:highlight w:val="none"/>
              </w:rPr>
              <w:t>留存“一证”【《动物检疫合格证明》复印件（盖红章）】或检验报告等合格证明文件；</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2</w:t>
            </w:r>
            <w:r>
              <w:rPr>
                <w:rFonts w:hint="eastAsia" w:ascii="宋体" w:hAnsi="宋体" w:eastAsia="宋体" w:cs="宋体"/>
                <w:sz w:val="18"/>
                <w:szCs w:val="18"/>
                <w:highlight w:val="none"/>
                <w:lang w:val="en-US" w:eastAsia="zh-CN"/>
              </w:rPr>
              <w:t>.</w:t>
            </w:r>
            <w:r>
              <w:rPr>
                <w:rFonts w:hint="eastAsia" w:ascii="宋体" w:hAnsi="宋体" w:eastAsia="宋体" w:cs="宋体"/>
                <w:sz w:val="18"/>
                <w:szCs w:val="18"/>
                <w:highlight w:val="none"/>
              </w:rPr>
              <w:t>采购水产类：需查验、索取</w:t>
            </w:r>
            <w:r>
              <w:rPr>
                <w:rFonts w:hint="eastAsia" w:ascii="宋体" w:hAnsi="宋体" w:eastAsia="宋体" w:cs="宋体"/>
                <w:sz w:val="18"/>
                <w:szCs w:val="18"/>
                <w:highlight w:val="none"/>
                <w:lang w:eastAsia="zh-CN"/>
              </w:rPr>
              <w:t>和留存</w:t>
            </w:r>
            <w:r>
              <w:rPr>
                <w:rFonts w:hint="eastAsia" w:ascii="宋体" w:hAnsi="宋体" w:eastAsia="宋体" w:cs="宋体"/>
                <w:sz w:val="18"/>
                <w:szCs w:val="18"/>
                <w:highlight w:val="none"/>
              </w:rPr>
              <w:t>“一证”【《动物检疫合格证明》复印件（盖红章）】或检验报告等合格证明文件；</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3</w:t>
            </w:r>
            <w:r>
              <w:rPr>
                <w:rFonts w:hint="eastAsia" w:ascii="宋体" w:hAnsi="宋体" w:eastAsia="宋体" w:cs="宋体"/>
                <w:sz w:val="18"/>
                <w:szCs w:val="18"/>
                <w:highlight w:val="none"/>
                <w:lang w:val="en-US" w:eastAsia="zh-CN"/>
              </w:rPr>
              <w:t>.</w:t>
            </w:r>
            <w:r>
              <w:rPr>
                <w:rFonts w:hint="eastAsia" w:ascii="宋体" w:hAnsi="宋体" w:eastAsia="宋体" w:cs="宋体"/>
                <w:sz w:val="18"/>
                <w:szCs w:val="18"/>
                <w:highlight w:val="none"/>
              </w:rPr>
              <w:t>采购</w:t>
            </w:r>
            <w:r>
              <w:rPr>
                <w:rFonts w:hint="eastAsia" w:ascii="宋体" w:hAnsi="宋体" w:eastAsia="宋体" w:cs="宋体"/>
                <w:sz w:val="18"/>
                <w:szCs w:val="18"/>
                <w:highlight w:val="none"/>
                <w:lang w:eastAsia="zh-CN"/>
              </w:rPr>
              <w:t>粮食和</w:t>
            </w:r>
            <w:r>
              <w:rPr>
                <w:rFonts w:hint="eastAsia" w:ascii="宋体" w:hAnsi="宋体" w:eastAsia="宋体" w:cs="宋体"/>
                <w:sz w:val="18"/>
                <w:szCs w:val="18"/>
                <w:highlight w:val="none"/>
              </w:rPr>
              <w:t>蔬菜、水果类：需查验、索取</w:t>
            </w:r>
            <w:r>
              <w:rPr>
                <w:rFonts w:hint="eastAsia" w:ascii="宋体" w:hAnsi="宋体" w:eastAsia="宋体" w:cs="宋体"/>
                <w:sz w:val="18"/>
                <w:szCs w:val="18"/>
                <w:highlight w:val="none"/>
                <w:lang w:eastAsia="zh-CN"/>
              </w:rPr>
              <w:t>和留存</w:t>
            </w:r>
            <w:r>
              <w:rPr>
                <w:rFonts w:hint="eastAsia" w:ascii="宋体" w:hAnsi="宋体" w:eastAsia="宋体" w:cs="宋体"/>
                <w:sz w:val="18"/>
                <w:szCs w:val="18"/>
                <w:highlight w:val="none"/>
              </w:rPr>
              <w:t>【食用农产品承诺达标合格证】或【食用农产品质量安全检验（检疫）合格证明、自检合格证明】及其他合格证明文件（如无公害农产品、绿色食品、有机农产品及地理农产品认证证书复印件和标示标志等）</w:t>
            </w:r>
          </w:p>
          <w:p>
            <w:pPr>
              <w:numPr>
                <w:ilvl w:val="0"/>
                <w:numId w:val="0"/>
              </w:numP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不宜采购转基因食品原料。</w:t>
            </w:r>
          </w:p>
        </w:tc>
        <w:tc>
          <w:tcPr>
            <w:tcW w:w="1317" w:type="pct"/>
            <w:tcBorders>
              <w:top w:val="nil"/>
              <w:left w:val="nil"/>
              <w:bottom w:val="single" w:color="auto" w:sz="4" w:space="0"/>
              <w:right w:val="single" w:color="auto" w:sz="4" w:space="0"/>
            </w:tcBorders>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【地区】特殊要求：</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从省外购进，索取、留存盖红章销售凭证等有效票证；</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从省内购进，索取、留存【食用农产品购销凭证或电子一票通】；</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【方式】特殊要求：</w:t>
            </w:r>
            <w:r>
              <w:rPr>
                <w:rFonts w:hint="eastAsia" w:ascii="宋体" w:hAnsi="宋体" w:eastAsia="宋体" w:cs="宋体"/>
                <w:sz w:val="18"/>
                <w:szCs w:val="18"/>
                <w:highlight w:val="none"/>
              </w:rPr>
              <w:br w:type="textWrapping"/>
            </w:r>
            <w:r>
              <w:rPr>
                <w:rFonts w:hint="eastAsia" w:ascii="宋体" w:hAnsi="宋体" w:eastAsia="宋体" w:cs="宋体"/>
                <w:sz w:val="18"/>
                <w:szCs w:val="18"/>
                <w:highlight w:val="none"/>
              </w:rPr>
              <w:t>学校与供货方应签订食用农产品采购协议；少量或临时采购的，应确认资质并留存【食用农产品购物凭证或每笔送货单】。</w:t>
            </w:r>
          </w:p>
        </w:tc>
      </w:tr>
    </w:tbl>
    <w:p>
      <w:pPr>
        <w:pStyle w:val="56"/>
        <w:ind w:firstLine="420"/>
        <w:rPr>
          <w:rFonts w:hint="eastAsia" w:ascii="宋体" w:hAnsi="宋体" w:eastAsia="宋体" w:cs="宋体"/>
          <w:sz w:val="18"/>
          <w:szCs w:val="18"/>
          <w:highlight w:val="none"/>
        </w:rPr>
      </w:pPr>
      <w:r>
        <w:rPr>
          <w:rFonts w:hint="eastAsia" w:ascii="黑体" w:hAnsi="黑体" w:eastAsia="黑体" w:cs="黑体"/>
          <w:sz w:val="18"/>
          <w:szCs w:val="18"/>
          <w:highlight w:val="none"/>
        </w:rPr>
        <w:t>注：</w:t>
      </w:r>
      <w:r>
        <w:rPr>
          <w:rFonts w:hint="eastAsia" w:ascii="宋体" w:hAnsi="宋体" w:eastAsia="宋体" w:cs="宋体"/>
          <w:sz w:val="18"/>
          <w:szCs w:val="18"/>
          <w:highlight w:val="none"/>
        </w:rPr>
        <w:t>1、资质证照要求:①最新有效证照正本复印件,必须加盖生产商或经销商公章;②清晰可追溯,真实有效,不得伪造；</w:t>
      </w:r>
    </w:p>
    <w:p>
      <w:pPr>
        <w:pStyle w:val="56"/>
        <w:ind w:firstLine="420"/>
        <w:rPr>
          <w:rFonts w:hint="eastAsia" w:ascii="宋体" w:hAnsi="宋体" w:eastAsia="宋体" w:cs="宋体"/>
          <w:sz w:val="18"/>
          <w:szCs w:val="18"/>
          <w:highlight w:val="none"/>
        </w:rPr>
      </w:pPr>
      <w:r>
        <w:rPr>
          <w:rFonts w:hint="eastAsia" w:ascii="宋体" w:hAnsi="宋体" w:eastAsia="宋体" w:cs="宋体"/>
          <w:sz w:val="18"/>
          <w:szCs w:val="18"/>
          <w:highlight w:val="none"/>
        </w:rPr>
        <w:t>2、合格证明文件包含动物检疫合格证明、肉品品质检验合格证明、第三方检测报告、产品出厂检验报告、食用农产品承诺达标合格证、产品合格证等。</w:t>
      </w:r>
    </w:p>
    <w:p>
      <w:pPr>
        <w:pStyle w:val="56"/>
        <w:ind w:firstLine="420"/>
        <w:rPr>
          <w:rFonts w:hint="eastAsia" w:ascii="宋体" w:hAnsi="宋体" w:eastAsia="宋体" w:cs="宋体"/>
          <w:sz w:val="18"/>
          <w:szCs w:val="18"/>
          <w:highlight w:val="none"/>
        </w:rPr>
      </w:pPr>
      <w:r>
        <w:rPr>
          <w:rFonts w:hint="eastAsia" w:ascii="宋体" w:hAnsi="宋体" w:eastAsia="宋体" w:cs="宋体"/>
          <w:sz w:val="18"/>
          <w:szCs w:val="18"/>
          <w:highlight w:val="none"/>
        </w:rPr>
        <w:t>3、检验报告要求:①带有CMA章(第三方检测报告且具有法律效力);②生产批号/签发日期为一个自然年内(原则上不得超过6个月)，宜提供近效期报告（季度检测）;③需同实物名称、品牌、生产厂家一致(宜规格一致);④检验项目需覆盖产品执行标准全部指标且高风险性指标必须覆盖；</w:t>
      </w:r>
    </w:p>
    <w:p>
      <w:pPr>
        <w:pStyle w:val="56"/>
        <w:ind w:firstLine="420"/>
        <w:rPr>
          <w:rFonts w:hint="eastAsia" w:ascii="宋体" w:hAnsi="宋体" w:eastAsia="宋体" w:cs="宋体"/>
          <w:sz w:val="18"/>
          <w:szCs w:val="18"/>
          <w:highlight w:val="none"/>
        </w:rPr>
      </w:pPr>
      <w:r>
        <w:rPr>
          <w:rFonts w:hint="eastAsia" w:ascii="宋体" w:hAnsi="宋体" w:eastAsia="宋体" w:cs="宋体"/>
          <w:sz w:val="18"/>
          <w:szCs w:val="18"/>
          <w:highlight w:val="none"/>
        </w:rPr>
        <w:t>4、标签不是判定项,但要确保标签主体合规;标签若体现某些资质信息(如:清真、地理标识产品、绿色食品、有机食品),需同时提供资质；</w:t>
      </w:r>
    </w:p>
    <w:p>
      <w:pPr>
        <w:pStyle w:val="56"/>
        <w:ind w:firstLine="420"/>
        <w:rPr>
          <w:rFonts w:hint="eastAsia" w:ascii="宋体" w:hAnsi="宋体" w:eastAsia="宋体" w:cs="宋体"/>
          <w:sz w:val="18"/>
          <w:szCs w:val="18"/>
          <w:highlight w:val="none"/>
        </w:rPr>
      </w:pPr>
      <w:r>
        <w:rPr>
          <w:rFonts w:hint="eastAsia" w:ascii="宋体" w:hAnsi="宋体" w:eastAsia="宋体" w:cs="宋体"/>
          <w:sz w:val="18"/>
          <w:szCs w:val="18"/>
          <w:highlight w:val="none"/>
        </w:rPr>
        <w:t>5、根据《甘肃省食品小作坊小经营店小摊点监督管理条例》规定,若供应商为省内食品小作坊,需提供营业执照、食品生产加工小作坊登记证；</w:t>
      </w:r>
    </w:p>
    <w:p>
      <w:pPr>
        <w:pStyle w:val="56"/>
        <w:ind w:firstLine="420"/>
        <w:rPr>
          <w:rFonts w:hint="eastAsia" w:ascii="宋体" w:hAnsi="宋体" w:eastAsia="宋体" w:cs="宋体"/>
          <w:sz w:val="18"/>
          <w:szCs w:val="18"/>
          <w:highlight w:val="none"/>
        </w:rPr>
      </w:pPr>
      <w:r>
        <w:rPr>
          <w:rFonts w:hint="eastAsia" w:ascii="宋体" w:hAnsi="宋体" w:eastAsia="宋体" w:cs="宋体"/>
          <w:sz w:val="18"/>
          <w:szCs w:val="18"/>
          <w:highlight w:val="none"/>
        </w:rPr>
        <w:t>6、货物、票证信息要相符，做到票随货走，无票证不得进货。</w:t>
      </w:r>
    </w:p>
    <w:p>
      <w:pPr>
        <w:pStyle w:val="56"/>
        <w:ind w:firstLine="420"/>
        <w:rPr>
          <w:rFonts w:hint="eastAsia" w:ascii="宋体" w:hAnsi="宋体" w:eastAsia="宋体" w:cs="宋体"/>
          <w:sz w:val="18"/>
          <w:szCs w:val="18"/>
          <w:highlight w:val="none"/>
        </w:rPr>
      </w:pPr>
      <w:r>
        <w:rPr>
          <w:rFonts w:hint="eastAsia" w:ascii="宋体" w:hAnsi="宋体" w:eastAsia="宋体" w:cs="宋体"/>
          <w:sz w:val="18"/>
          <w:szCs w:val="18"/>
          <w:highlight w:val="none"/>
        </w:rPr>
        <w:t>7、以上规定为一般性通则要求,其他特殊情况从其有关规定。</w:t>
      </w:r>
    </w:p>
    <w:p>
      <w:pPr>
        <w:pStyle w:val="56"/>
        <w:ind w:firstLine="420"/>
        <w:rPr>
          <w:rFonts w:hint="eastAsia"/>
          <w:highlight w:val="none"/>
        </w:rPr>
      </w:pPr>
    </w:p>
    <w:p>
      <w:pPr>
        <w:pStyle w:val="56"/>
        <w:ind w:firstLine="420"/>
        <w:rPr>
          <w:highlight w:val="none"/>
        </w:rPr>
      </w:pPr>
    </w:p>
    <w:p>
      <w:pPr>
        <w:pStyle w:val="56"/>
        <w:ind w:firstLine="420"/>
        <w:rPr>
          <w:rFonts w:hint="eastAsia"/>
          <w:highlight w:val="none"/>
        </w:rPr>
      </w:pPr>
    </w:p>
    <w:p>
      <w:pPr>
        <w:pStyle w:val="56"/>
        <w:ind w:firstLine="420"/>
        <w:rPr>
          <w:rFonts w:hint="eastAsia"/>
          <w:highlight w:val="none"/>
        </w:rPr>
      </w:pPr>
    </w:p>
    <w:p>
      <w:pPr>
        <w:pStyle w:val="56"/>
        <w:ind w:firstLine="420"/>
        <w:rPr>
          <w:rFonts w:hint="eastAsia"/>
          <w:highlight w:val="none"/>
        </w:rPr>
      </w:pPr>
    </w:p>
    <w:p>
      <w:pPr>
        <w:pStyle w:val="56"/>
        <w:ind w:firstLine="420"/>
        <w:sectPr>
          <w:pgSz w:w="11906" w:h="16838"/>
          <w:pgMar w:top="1928" w:right="1134" w:bottom="1134" w:left="1134" w:header="1418" w:footer="1134" w:gutter="284"/>
          <w:cols w:space="425" w:num="1"/>
          <w:formProt w:val="0"/>
          <w:docGrid w:type="lines" w:linePitch="312" w:charSpace="0"/>
        </w:sectPr>
      </w:pPr>
    </w:p>
    <w:p>
      <w:pPr>
        <w:pStyle w:val="198"/>
        <w:rPr>
          <w:rFonts w:hint="eastAsia"/>
        </w:rPr>
      </w:pPr>
    </w:p>
    <w:p>
      <w:pPr>
        <w:pStyle w:val="199"/>
        <w:rPr>
          <w:rFonts w:hint="eastAsia"/>
        </w:rPr>
      </w:pPr>
    </w:p>
    <w:p>
      <w:pPr>
        <w:pStyle w:val="76"/>
        <w:spacing w:after="156"/>
        <w:rPr>
          <w:rFonts w:hint="eastAsia"/>
        </w:rPr>
      </w:pPr>
      <w:r>
        <w:br w:type="textWrapping"/>
      </w:r>
      <w:bookmarkStart w:id="76" w:name="_Toc201247678"/>
      <w:bookmarkStart w:id="77" w:name="_Toc201247738"/>
      <w:r>
        <w:rPr>
          <w:rFonts w:hint="eastAsia"/>
        </w:rPr>
        <w:t>（规范性）</w:t>
      </w:r>
      <w:r>
        <w:br w:type="textWrapping"/>
      </w:r>
      <w:r>
        <w:rPr>
          <w:rFonts w:hint="eastAsia"/>
        </w:rPr>
        <w:t>学校食堂禁用、慎用食品名单及加工供应注意事项</w:t>
      </w:r>
      <w:bookmarkEnd w:id="76"/>
      <w:bookmarkEnd w:id="77"/>
    </w:p>
    <w:p>
      <w:pPr>
        <w:pStyle w:val="56"/>
        <w:ind w:firstLine="420"/>
        <w:rPr>
          <w:rFonts w:hint="eastAsia"/>
          <w:highlight w:val="none"/>
        </w:rPr>
      </w:pPr>
      <w:r>
        <w:rPr>
          <w:rFonts w:hint="eastAsia"/>
          <w:highlight w:val="none"/>
        </w:rPr>
        <w:t>一、禁止食用（使用）的食品（原料）类别（品种）名单</w:t>
      </w:r>
    </w:p>
    <w:p>
      <w:pPr>
        <w:pStyle w:val="56"/>
        <w:ind w:firstLine="420"/>
        <w:jc w:val="left"/>
        <w:rPr>
          <w:rFonts w:hint="eastAsia"/>
          <w:highlight w:val="none"/>
        </w:rPr>
      </w:pPr>
      <w:r>
        <w:rPr>
          <w:rFonts w:hint="eastAsia"/>
          <w:highlight w:val="none"/>
        </w:rPr>
        <w:t>1.</w:t>
      </w:r>
      <w:r>
        <w:rPr>
          <w:rFonts w:hint="eastAsia" w:ascii="宋体" w:eastAsia="宋体"/>
          <w:highlight w:val="none"/>
        </w:rPr>
        <w:t>时间/温度控制不当食品：</w:t>
      </w:r>
      <w:r>
        <w:rPr>
          <w:rFonts w:hint="eastAsia"/>
          <w:highlight w:val="none"/>
        </w:rPr>
        <w:t>加工后常温条件下供应时间超过2h的食品（高危易腐食品）；烧熟后60℃热保藏超过4h的食品；烧熟后冷藏保存时间超过24h的冷荤制品等高危易腐食品。隔餐、隔夜的剩余食品。</w:t>
      </w:r>
    </w:p>
    <w:p>
      <w:pPr>
        <w:pStyle w:val="56"/>
        <w:ind w:firstLine="420"/>
        <w:rPr>
          <w:rFonts w:hint="eastAsia"/>
          <w:highlight w:val="none"/>
        </w:rPr>
      </w:pPr>
      <w:r>
        <w:rPr>
          <w:rFonts w:hint="eastAsia"/>
          <w:highlight w:val="none"/>
        </w:rPr>
        <w:t>2.</w:t>
      </w:r>
      <w:r>
        <w:rPr>
          <w:rFonts w:hint="eastAsia"/>
          <w:highlight w:val="none"/>
          <w:lang w:eastAsia="zh-CN"/>
        </w:rPr>
        <w:t>生食类食品：</w:t>
      </w:r>
      <w:r>
        <w:rPr>
          <w:rFonts w:hint="eastAsia"/>
          <w:highlight w:val="none"/>
        </w:rPr>
        <w:t>直接入口的生海产品、水产品，包括海蜇、海带、海产贝类、深海鱼、虾、蟹及其炝制、酱制、腌制、冰制品。</w:t>
      </w:r>
    </w:p>
    <w:p>
      <w:pPr>
        <w:pStyle w:val="56"/>
        <w:ind w:firstLine="420"/>
        <w:rPr>
          <w:rFonts w:hint="eastAsia"/>
          <w:highlight w:val="none"/>
        </w:rPr>
      </w:pPr>
      <w:r>
        <w:rPr>
          <w:rFonts w:hint="eastAsia"/>
          <w:highlight w:val="none"/>
        </w:rPr>
        <w:t>3.</w:t>
      </w:r>
      <w:r>
        <w:rPr>
          <w:rFonts w:hint="eastAsia"/>
          <w:highlight w:val="none"/>
          <w:lang w:eastAsia="zh-CN"/>
        </w:rPr>
        <w:t>死亡水产品：</w:t>
      </w:r>
      <w:r>
        <w:rPr>
          <w:rFonts w:hint="eastAsia"/>
          <w:highlight w:val="none"/>
        </w:rPr>
        <w:t>已死的甲鱼、黄鳝、乌龟、鳌虾、河蟹、贝壳类水产品等不得用作食品的加工原料。</w:t>
      </w:r>
    </w:p>
    <w:p>
      <w:pPr>
        <w:pStyle w:val="56"/>
        <w:ind w:firstLine="420"/>
        <w:rPr>
          <w:rFonts w:hint="eastAsia" w:eastAsia="宋体"/>
          <w:highlight w:val="none"/>
          <w:lang w:eastAsia="zh-CN"/>
        </w:rPr>
      </w:pPr>
      <w:r>
        <w:rPr>
          <w:rFonts w:hint="eastAsia"/>
          <w:highlight w:val="none"/>
        </w:rPr>
        <w:t>4.</w:t>
      </w:r>
      <w:r>
        <w:rPr>
          <w:rFonts w:hint="eastAsia"/>
          <w:highlight w:val="none"/>
          <w:lang w:eastAsia="zh-CN"/>
        </w:rPr>
        <w:t>禁用食品添加剂和非食用物质：</w:t>
      </w:r>
      <w:r>
        <w:rPr>
          <w:rFonts w:hint="eastAsia"/>
          <w:highlight w:val="none"/>
        </w:rPr>
        <w:t>亚硝酸盐（包括亚硝酸钠、亚硝酸钾）、含铝泡打粉、人工着色剂、防腐剂、乳化剂、稳定剂等。含甲醛、吊白块、工业色素等非食品物质的原辅料。</w:t>
      </w:r>
    </w:p>
    <w:p>
      <w:pPr>
        <w:pStyle w:val="56"/>
        <w:ind w:firstLine="420"/>
        <w:rPr>
          <w:rFonts w:hint="eastAsia" w:eastAsia="宋体"/>
          <w:highlight w:val="none"/>
          <w:lang w:eastAsia="zh-CN"/>
        </w:rPr>
      </w:pPr>
      <w:r>
        <w:rPr>
          <w:rFonts w:hint="eastAsia"/>
          <w:highlight w:val="none"/>
        </w:rPr>
        <w:t>5.</w:t>
      </w:r>
      <w:r>
        <w:rPr>
          <w:rFonts w:hint="eastAsia"/>
          <w:highlight w:val="none"/>
          <w:lang w:eastAsia="zh-CN"/>
        </w:rPr>
        <w:t>有毒动植物：</w:t>
      </w:r>
    </w:p>
    <w:p>
      <w:pPr>
        <w:pStyle w:val="56"/>
        <w:ind w:firstLine="420"/>
        <w:rPr>
          <w:rFonts w:hint="eastAsia"/>
          <w:highlight w:val="none"/>
        </w:rPr>
      </w:pPr>
      <w:r>
        <w:rPr>
          <w:rFonts w:hint="eastAsia"/>
          <w:highlight w:val="none"/>
        </w:rPr>
        <w:t>动物性原料：河豚鱼、毛蚶、织纹螺、鱼胆、有毒贝类；狗肝、牲畜甲状腺、肾上腺及其它不明动物的器官、组织和腺体。</w:t>
      </w:r>
    </w:p>
    <w:p>
      <w:pPr>
        <w:pStyle w:val="56"/>
        <w:ind w:firstLine="420"/>
        <w:rPr>
          <w:rFonts w:hint="eastAsia"/>
          <w:highlight w:val="none"/>
        </w:rPr>
      </w:pPr>
      <w:r>
        <w:rPr>
          <w:rFonts w:hint="eastAsia"/>
          <w:highlight w:val="none"/>
        </w:rPr>
        <w:t>植物性原料：四季豆、鲜黄花菜、野生蘑菇、发芽马铃薯、生豆浆、霉变甘蔗、杏仁、苦桃仁等果仁、木薯、蓖麻子、白果、野生蜂蜜等。</w:t>
      </w:r>
    </w:p>
    <w:p>
      <w:pPr>
        <w:pStyle w:val="56"/>
        <w:ind w:firstLine="420"/>
        <w:rPr>
          <w:rFonts w:hint="eastAsia" w:eastAsia="宋体"/>
          <w:highlight w:val="none"/>
          <w:lang w:eastAsia="zh-CN"/>
        </w:rPr>
      </w:pPr>
      <w:r>
        <w:rPr>
          <w:rFonts w:hint="eastAsia"/>
          <w:highlight w:val="none"/>
        </w:rPr>
        <w:t>6.</w:t>
      </w:r>
      <w:r>
        <w:rPr>
          <w:rFonts w:hint="eastAsia"/>
          <w:highlight w:val="none"/>
          <w:lang w:eastAsia="zh-CN"/>
        </w:rPr>
        <w:t>添加药品的食品：</w:t>
      </w:r>
      <w:r>
        <w:rPr>
          <w:rFonts w:hint="eastAsia"/>
          <w:highlight w:val="none"/>
        </w:rPr>
        <w:t>未经许可的各类药膳</w:t>
      </w:r>
      <w:r>
        <w:rPr>
          <w:rFonts w:hint="eastAsia"/>
          <w:highlight w:val="none"/>
          <w:lang w:eastAsia="zh-CN"/>
        </w:rPr>
        <w:t>，药食同源的食品除外。</w:t>
      </w:r>
    </w:p>
    <w:p>
      <w:pPr>
        <w:pStyle w:val="56"/>
        <w:ind w:firstLine="420"/>
        <w:rPr>
          <w:rFonts w:hint="eastAsia" w:eastAsia="宋体"/>
          <w:highlight w:val="none"/>
          <w:lang w:eastAsia="zh-CN"/>
        </w:rPr>
      </w:pPr>
      <w:r>
        <w:rPr>
          <w:rFonts w:hint="eastAsia"/>
          <w:highlight w:val="none"/>
        </w:rPr>
        <w:t>7</w:t>
      </w:r>
      <w:r>
        <w:rPr>
          <w:rFonts w:hint="eastAsia"/>
          <w:highlight w:val="none"/>
          <w:lang w:eastAsia="zh-CN"/>
        </w:rPr>
        <w:t>.特定散装食品：</w:t>
      </w:r>
      <w:r>
        <w:rPr>
          <w:rFonts w:hint="eastAsia"/>
          <w:highlight w:val="none"/>
        </w:rPr>
        <w:t>散装</w:t>
      </w:r>
      <w:r>
        <w:rPr>
          <w:rFonts w:hint="eastAsia"/>
          <w:highlight w:val="none"/>
          <w:lang w:eastAsia="zh-CN"/>
        </w:rPr>
        <w:t>食用</w:t>
      </w:r>
      <w:r>
        <w:rPr>
          <w:rFonts w:hint="eastAsia"/>
          <w:highlight w:val="none"/>
        </w:rPr>
        <w:t>油、</w:t>
      </w:r>
      <w:r>
        <w:rPr>
          <w:rFonts w:hint="eastAsia"/>
          <w:highlight w:val="none"/>
          <w:lang w:eastAsia="zh-CN"/>
        </w:rPr>
        <w:t>食</w:t>
      </w:r>
      <w:r>
        <w:rPr>
          <w:rFonts w:hint="eastAsia"/>
          <w:highlight w:val="none"/>
        </w:rPr>
        <w:t>醋、酱油、食盐</w:t>
      </w:r>
      <w:r>
        <w:rPr>
          <w:rFonts w:hint="eastAsia"/>
          <w:highlight w:val="none"/>
          <w:lang w:eastAsia="zh-CN"/>
        </w:rPr>
        <w:t>。</w:t>
      </w:r>
    </w:p>
    <w:p>
      <w:pPr>
        <w:pStyle w:val="56"/>
        <w:ind w:firstLine="420"/>
        <w:rPr>
          <w:rFonts w:hint="eastAsia"/>
          <w:highlight w:val="none"/>
          <w:lang w:val="en-US" w:eastAsia="zh-CN"/>
        </w:rPr>
      </w:pPr>
      <w:r>
        <w:rPr>
          <w:rFonts w:hint="eastAsia"/>
          <w:highlight w:val="none"/>
        </w:rPr>
        <w:t>8</w:t>
      </w:r>
      <w:r>
        <w:rPr>
          <w:rFonts w:hint="eastAsia"/>
          <w:highlight w:val="none"/>
          <w:lang w:eastAsia="zh-CN"/>
        </w:rPr>
        <w:t>.特定餐饮服务提供者禁止制售</w:t>
      </w:r>
      <w:r>
        <w:rPr>
          <w:rFonts w:hint="eastAsia"/>
          <w:highlight w:val="none"/>
          <w:lang w:val="en-US" w:eastAsia="zh-CN"/>
        </w:rPr>
        <w:t>/外购食品（</w:t>
      </w:r>
      <w:r>
        <w:rPr>
          <w:rFonts w:hint="eastAsia"/>
          <w:highlight w:val="none"/>
        </w:rPr>
        <w:t>中小学校含特殊教育学校、托幼机构、中等职业技术学校、技工院校的学生食堂</w:t>
      </w:r>
      <w:r>
        <w:rPr>
          <w:rFonts w:hint="eastAsia"/>
          <w:highlight w:val="none"/>
          <w:lang w:val="en-US" w:eastAsia="zh-CN"/>
        </w:rPr>
        <w:t>）：</w:t>
      </w:r>
    </w:p>
    <w:p>
      <w:pPr>
        <w:pStyle w:val="56"/>
        <w:ind w:firstLine="420"/>
        <w:rPr>
          <w:rFonts w:hint="eastAsia"/>
          <w:highlight w:val="none"/>
        </w:rPr>
      </w:pPr>
      <w:r>
        <w:rPr>
          <w:rFonts w:hint="eastAsia"/>
          <w:highlight w:val="none"/>
        </w:rPr>
        <w:t>不得制售生食类、冷食类（不含水果）食品、裱花蛋糕，不得外购散装熟食肉制品。</w:t>
      </w:r>
    </w:p>
    <w:p>
      <w:pPr>
        <w:pStyle w:val="56"/>
        <w:ind w:firstLine="420"/>
        <w:rPr>
          <w:rFonts w:hint="eastAsia"/>
          <w:highlight w:val="none"/>
        </w:rPr>
      </w:pPr>
      <w:r>
        <w:rPr>
          <w:rFonts w:hint="eastAsia"/>
          <w:highlight w:val="none"/>
        </w:rPr>
        <w:t>9</w:t>
      </w:r>
      <w:r>
        <w:rPr>
          <w:rFonts w:hint="eastAsia"/>
          <w:highlight w:val="none"/>
          <w:lang w:eastAsia="zh-CN"/>
        </w:rPr>
        <w:t>.</w:t>
      </w:r>
      <w:r>
        <w:rPr>
          <w:rFonts w:hint="eastAsia"/>
          <w:highlight w:val="none"/>
        </w:rPr>
        <w:t>不得提供以生鸡蛋为原料且不经加热处理的三文治、沙拉等食品。</w:t>
      </w:r>
    </w:p>
    <w:p>
      <w:pPr>
        <w:pStyle w:val="56"/>
        <w:ind w:firstLine="420"/>
        <w:rPr>
          <w:rFonts w:hint="eastAsia"/>
          <w:highlight w:val="none"/>
        </w:rPr>
      </w:pPr>
      <w:r>
        <w:rPr>
          <w:rFonts w:hint="eastAsia"/>
          <w:highlight w:val="none"/>
        </w:rPr>
        <w:t>10</w:t>
      </w:r>
      <w:r>
        <w:rPr>
          <w:rFonts w:hint="eastAsia"/>
          <w:highlight w:val="none"/>
          <w:lang w:eastAsia="zh-CN"/>
        </w:rPr>
        <w:t>.过期食品：</w:t>
      </w:r>
      <w:r>
        <w:rPr>
          <w:rFonts w:hint="eastAsia"/>
          <w:highlight w:val="none"/>
        </w:rPr>
        <w:t>超过保质期的食品、食品添加剂。</w:t>
      </w:r>
    </w:p>
    <w:p>
      <w:pPr>
        <w:pStyle w:val="56"/>
        <w:ind w:firstLine="420"/>
        <w:rPr>
          <w:rFonts w:hint="eastAsia"/>
          <w:highlight w:val="none"/>
        </w:rPr>
      </w:pPr>
      <w:r>
        <w:rPr>
          <w:rFonts w:hint="eastAsia"/>
          <w:highlight w:val="none"/>
        </w:rPr>
        <w:t>1</w:t>
      </w:r>
      <w:r>
        <w:rPr>
          <w:rFonts w:hint="eastAsia"/>
          <w:highlight w:val="none"/>
          <w:lang w:val="en-US" w:eastAsia="zh-CN"/>
        </w:rPr>
        <w:t>1.感官性状异常食品：</w:t>
      </w:r>
      <w:r>
        <w:rPr>
          <w:rFonts w:hint="eastAsia"/>
          <w:highlight w:val="none"/>
        </w:rPr>
        <w:t>腐败变质、油脂酸败、霉变生虫、污秽不洁、混有异物、掺杂掺假或者感官性状异常食品。</w:t>
      </w:r>
    </w:p>
    <w:p>
      <w:pPr>
        <w:pStyle w:val="56"/>
        <w:ind w:firstLine="420"/>
        <w:rPr>
          <w:rFonts w:hint="default" w:eastAsia="宋体"/>
          <w:highlight w:val="none"/>
          <w:lang w:val="en-US" w:eastAsia="zh-CN"/>
        </w:rPr>
      </w:pPr>
      <w:r>
        <w:rPr>
          <w:rFonts w:hint="eastAsia"/>
          <w:highlight w:val="none"/>
          <w:lang w:val="en-US" w:eastAsia="zh-CN"/>
        </w:rPr>
        <w:t>12.检测不合格食品：致病微生物、农药残留、兽药残留、生物毒素、重金属等污染物质以及其他危害人体健康的物质含量超过食品安全标准限量的食品、食品添加剂和食品相关产品。</w:t>
      </w:r>
    </w:p>
    <w:p>
      <w:pPr>
        <w:pStyle w:val="56"/>
        <w:ind w:firstLine="420"/>
        <w:rPr>
          <w:rFonts w:hint="eastAsia"/>
          <w:highlight w:val="none"/>
        </w:rPr>
      </w:pPr>
      <w:r>
        <w:rPr>
          <w:rFonts w:hint="eastAsia"/>
          <w:highlight w:val="none"/>
        </w:rPr>
        <w:t>13</w:t>
      </w:r>
      <w:r>
        <w:rPr>
          <w:rFonts w:hint="eastAsia"/>
          <w:highlight w:val="none"/>
          <w:lang w:eastAsia="zh-CN"/>
        </w:rPr>
        <w:t>.</w:t>
      </w:r>
      <w:r>
        <w:rPr>
          <w:rFonts w:hint="eastAsia"/>
          <w:highlight w:val="none"/>
        </w:rPr>
        <w:t>其他《食品安全法》第三十四条</w:t>
      </w:r>
      <w:r>
        <w:rPr>
          <w:rFonts w:hint="eastAsia"/>
          <w:highlight w:val="none"/>
          <w:lang w:eastAsia="zh-CN"/>
        </w:rPr>
        <w:t>等明令</w:t>
      </w:r>
      <w:r>
        <w:rPr>
          <w:rFonts w:hint="eastAsia"/>
          <w:highlight w:val="none"/>
        </w:rPr>
        <w:t>禁止生产经营的食品。</w:t>
      </w:r>
    </w:p>
    <w:p>
      <w:pPr>
        <w:pStyle w:val="56"/>
        <w:ind w:firstLine="420"/>
        <w:rPr>
          <w:rFonts w:hint="eastAsia"/>
          <w:highlight w:val="none"/>
        </w:rPr>
      </w:pPr>
      <w:r>
        <w:rPr>
          <w:rFonts w:hint="eastAsia"/>
          <w:highlight w:val="none"/>
        </w:rPr>
        <w:t>14</w:t>
      </w:r>
      <w:r>
        <w:rPr>
          <w:rFonts w:hint="eastAsia"/>
          <w:highlight w:val="none"/>
          <w:lang w:eastAsia="zh-CN"/>
        </w:rPr>
        <w:t>.</w:t>
      </w:r>
      <w:r>
        <w:rPr>
          <w:rFonts w:hint="eastAsia"/>
          <w:highlight w:val="none"/>
        </w:rPr>
        <w:t>国家明令禁止食用的野生动物等。</w:t>
      </w:r>
    </w:p>
    <w:p>
      <w:pPr>
        <w:pStyle w:val="56"/>
        <w:ind w:firstLine="420"/>
        <w:rPr>
          <w:rFonts w:hint="eastAsia"/>
          <w:highlight w:val="none"/>
        </w:rPr>
      </w:pPr>
      <w:r>
        <w:rPr>
          <w:rFonts w:hint="eastAsia"/>
          <w:highlight w:val="none"/>
        </w:rPr>
        <w:t>二、慎重食用、使用的食品（原料）类别（品种）名单</w:t>
      </w:r>
    </w:p>
    <w:p>
      <w:pPr>
        <w:pStyle w:val="56"/>
        <w:ind w:firstLine="420"/>
        <w:rPr>
          <w:rFonts w:hint="eastAsia"/>
          <w:highlight w:val="none"/>
        </w:rPr>
      </w:pPr>
      <w:r>
        <w:rPr>
          <w:rFonts w:hint="eastAsia"/>
          <w:highlight w:val="none"/>
        </w:rPr>
        <w:t>1.需强调烧熟、煮透的</w:t>
      </w:r>
      <w:r>
        <w:rPr>
          <w:rFonts w:hint="eastAsia"/>
          <w:highlight w:val="none"/>
          <w:lang w:eastAsia="zh-CN"/>
        </w:rPr>
        <w:t>食品</w:t>
      </w:r>
      <w:r>
        <w:rPr>
          <w:rFonts w:hint="eastAsia"/>
          <w:highlight w:val="none"/>
        </w:rPr>
        <w:t>：扁豆、豇豆、芸豆、蚕豆、豆浆、较大的肉以及整鸡、整鸭、整鹅。</w:t>
      </w:r>
    </w:p>
    <w:p>
      <w:pPr>
        <w:pStyle w:val="56"/>
        <w:ind w:firstLine="420"/>
        <w:rPr>
          <w:rFonts w:hint="eastAsia"/>
          <w:highlight w:val="none"/>
        </w:rPr>
      </w:pPr>
      <w:r>
        <w:rPr>
          <w:rFonts w:hint="eastAsia"/>
          <w:highlight w:val="none"/>
        </w:rPr>
        <w:t>2.需注意存放温度和时间的</w:t>
      </w:r>
      <w:r>
        <w:rPr>
          <w:rFonts w:hint="eastAsia"/>
          <w:highlight w:val="none"/>
          <w:lang w:eastAsia="zh-CN"/>
        </w:rPr>
        <w:t>食品</w:t>
      </w:r>
      <w:r>
        <w:rPr>
          <w:rFonts w:hint="eastAsia"/>
          <w:highlight w:val="none"/>
        </w:rPr>
        <w:t>：熟肉制品、凉拌菜、色拉及制品、鲜奶制品、鲜奶油裱花食品、改刀装盘食品、生鲜啤酒、鲜榨果汁</w:t>
      </w:r>
      <w:r>
        <w:rPr>
          <w:rFonts w:hint="eastAsia"/>
          <w:highlight w:val="none"/>
          <w:lang w:eastAsia="zh-CN"/>
        </w:rPr>
        <w:t>、水果捞等果盘</w:t>
      </w:r>
      <w:r>
        <w:rPr>
          <w:rFonts w:hint="eastAsia"/>
          <w:highlight w:val="none"/>
        </w:rPr>
        <w:t>。</w:t>
      </w:r>
    </w:p>
    <w:p>
      <w:pPr>
        <w:pStyle w:val="56"/>
        <w:ind w:firstLine="420"/>
        <w:rPr>
          <w:rFonts w:hint="eastAsia"/>
          <w:highlight w:val="none"/>
        </w:rPr>
      </w:pPr>
      <w:r>
        <w:rPr>
          <w:rFonts w:hint="eastAsia"/>
          <w:highlight w:val="none"/>
        </w:rPr>
        <w:t>3.需特别注意防止加工过程中工具、用具、操作人员手交叉污染的高危易腐</w:t>
      </w:r>
      <w:r>
        <w:rPr>
          <w:rFonts w:hint="eastAsia"/>
          <w:highlight w:val="none"/>
          <w:lang w:eastAsia="zh-CN"/>
        </w:rPr>
        <w:t>食品</w:t>
      </w:r>
      <w:r>
        <w:rPr>
          <w:rFonts w:hint="eastAsia"/>
          <w:highlight w:val="none"/>
        </w:rPr>
        <w:t>：生家禽及其内脏、鲜蛋、海产品、水产品等。</w:t>
      </w:r>
    </w:p>
    <w:p>
      <w:pPr>
        <w:pStyle w:val="56"/>
        <w:ind w:firstLine="420"/>
        <w:rPr>
          <w:rFonts w:hint="eastAsia"/>
          <w:highlight w:val="none"/>
        </w:rPr>
      </w:pPr>
      <w:r>
        <w:rPr>
          <w:rFonts w:hint="eastAsia"/>
          <w:highlight w:val="none"/>
        </w:rPr>
        <w:t>4</w:t>
      </w:r>
      <w:r>
        <w:rPr>
          <w:rFonts w:hint="eastAsia"/>
          <w:highlight w:val="none"/>
          <w:lang w:eastAsia="zh-CN"/>
        </w:rPr>
        <w:t>.</w:t>
      </w:r>
      <w:r>
        <w:rPr>
          <w:rFonts w:hint="eastAsia"/>
          <w:highlight w:val="none"/>
        </w:rPr>
        <w:t>易残留有毒有害物质的原料：猪肺、猪肝、猪心等动物内脏器官。</w:t>
      </w:r>
    </w:p>
    <w:p>
      <w:pPr>
        <w:pStyle w:val="56"/>
        <w:ind w:firstLine="420"/>
        <w:rPr>
          <w:rFonts w:hint="eastAsia"/>
          <w:highlight w:val="none"/>
        </w:rPr>
      </w:pPr>
      <w:r>
        <w:rPr>
          <w:rFonts w:hint="eastAsia"/>
          <w:highlight w:val="none"/>
        </w:rPr>
        <w:t>5</w:t>
      </w:r>
      <w:r>
        <w:rPr>
          <w:rFonts w:hint="eastAsia"/>
          <w:highlight w:val="none"/>
          <w:lang w:eastAsia="zh-CN"/>
        </w:rPr>
        <w:t>.</w:t>
      </w:r>
      <w:r>
        <w:rPr>
          <w:rFonts w:hint="eastAsia"/>
          <w:highlight w:val="none"/>
        </w:rPr>
        <w:t>易引起组胺中毒的青皮红肉的海产鱼类</w:t>
      </w:r>
      <w:r>
        <w:rPr>
          <w:rFonts w:hint="eastAsia"/>
          <w:highlight w:val="none"/>
          <w:lang w:eastAsia="zh-CN"/>
        </w:rPr>
        <w:t>：如</w:t>
      </w:r>
      <w:r>
        <w:rPr>
          <w:rFonts w:hint="eastAsia"/>
          <w:highlight w:val="none"/>
        </w:rPr>
        <w:t>鲐鱼</w:t>
      </w:r>
      <w:r>
        <w:rPr>
          <w:rFonts w:hint="eastAsia"/>
          <w:highlight w:val="none"/>
          <w:lang w:val="en-US" w:eastAsia="zh-CN"/>
        </w:rPr>
        <w:t>/青花鱼</w:t>
      </w:r>
      <w:r>
        <w:rPr>
          <w:rFonts w:hint="eastAsia"/>
          <w:highlight w:val="none"/>
        </w:rPr>
        <w:t>、青条鱼、秋刀鱼、金枪鱼、沙丁鱼等。</w:t>
      </w:r>
    </w:p>
    <w:p>
      <w:pPr>
        <w:pStyle w:val="56"/>
        <w:ind w:firstLine="420"/>
        <w:rPr>
          <w:rFonts w:hint="eastAsia"/>
          <w:highlight w:val="none"/>
        </w:rPr>
      </w:pPr>
      <w:r>
        <w:rPr>
          <w:rFonts w:hint="eastAsia"/>
          <w:highlight w:val="none"/>
        </w:rPr>
        <w:t>6</w:t>
      </w:r>
      <w:r>
        <w:rPr>
          <w:rFonts w:hint="eastAsia"/>
          <w:highlight w:val="none"/>
          <w:lang w:eastAsia="zh-CN"/>
        </w:rPr>
        <w:t>.</w:t>
      </w:r>
      <w:r>
        <w:rPr>
          <w:rFonts w:hint="eastAsia"/>
          <w:highlight w:val="none"/>
        </w:rPr>
        <w:t>贝类</w:t>
      </w:r>
      <w:r>
        <w:rPr>
          <w:rFonts w:hint="eastAsia"/>
          <w:highlight w:val="none"/>
          <w:lang w:eastAsia="zh-CN"/>
        </w:rPr>
        <w:t>：如</w:t>
      </w:r>
      <w:r>
        <w:rPr>
          <w:rFonts w:hint="eastAsia"/>
          <w:highlight w:val="none"/>
        </w:rPr>
        <w:t>贻贝、扇贝、蛤蛎、牡蛎、生蚝、蛏子等。</w:t>
      </w:r>
    </w:p>
    <w:p>
      <w:pPr>
        <w:pStyle w:val="56"/>
        <w:ind w:firstLine="420"/>
        <w:rPr>
          <w:rFonts w:hint="eastAsia"/>
          <w:highlight w:val="none"/>
        </w:rPr>
      </w:pPr>
      <w:r>
        <w:rPr>
          <w:rFonts w:hint="eastAsia"/>
          <w:highlight w:val="none"/>
        </w:rPr>
        <w:t>7</w:t>
      </w:r>
      <w:r>
        <w:rPr>
          <w:rFonts w:hint="eastAsia"/>
          <w:highlight w:val="none"/>
          <w:lang w:eastAsia="zh-CN"/>
        </w:rPr>
        <w:t>.</w:t>
      </w:r>
      <w:r>
        <w:rPr>
          <w:rFonts w:hint="eastAsia"/>
          <w:highlight w:val="none"/>
        </w:rPr>
        <w:t>反复解冻后的</w:t>
      </w:r>
      <w:r>
        <w:rPr>
          <w:rFonts w:hint="eastAsia"/>
          <w:highlight w:val="none"/>
          <w:lang w:eastAsia="zh-CN"/>
        </w:rPr>
        <w:t>禽畜</w:t>
      </w:r>
      <w:r>
        <w:rPr>
          <w:rFonts w:hint="eastAsia"/>
          <w:highlight w:val="none"/>
        </w:rPr>
        <w:t>肉</w:t>
      </w:r>
      <w:r>
        <w:rPr>
          <w:rFonts w:hint="eastAsia"/>
          <w:highlight w:val="none"/>
          <w:lang w:eastAsia="zh-CN"/>
        </w:rPr>
        <w:t>类</w:t>
      </w:r>
      <w:r>
        <w:rPr>
          <w:rFonts w:hint="eastAsia"/>
          <w:highlight w:val="none"/>
        </w:rPr>
        <w:t>、储存条件不当的高危易腐食品。</w:t>
      </w:r>
    </w:p>
    <w:p>
      <w:pPr>
        <w:pStyle w:val="56"/>
        <w:ind w:firstLine="420"/>
        <w:rPr>
          <w:rFonts w:hint="eastAsia"/>
          <w:highlight w:val="none"/>
        </w:rPr>
      </w:pPr>
      <w:r>
        <w:rPr>
          <w:rFonts w:hint="eastAsia"/>
          <w:highlight w:val="none"/>
        </w:rPr>
        <w:t>8</w:t>
      </w:r>
      <w:r>
        <w:rPr>
          <w:rFonts w:hint="eastAsia"/>
          <w:highlight w:val="none"/>
          <w:lang w:eastAsia="zh-CN"/>
        </w:rPr>
        <w:t>.</w:t>
      </w:r>
      <w:r>
        <w:rPr>
          <w:rFonts w:hint="eastAsia"/>
          <w:highlight w:val="none"/>
        </w:rPr>
        <w:t>高等院校食堂应慎重供应生食类、冷食类（不含水果）食品、裱花蛋糕。</w:t>
      </w:r>
    </w:p>
    <w:p>
      <w:pPr>
        <w:pStyle w:val="56"/>
        <w:ind w:firstLine="420"/>
        <w:rPr>
          <w:rFonts w:hint="eastAsia"/>
          <w:highlight w:val="none"/>
        </w:rPr>
      </w:pPr>
      <w:r>
        <w:rPr>
          <w:rFonts w:hint="eastAsia"/>
          <w:highlight w:val="none"/>
        </w:rPr>
        <w:t>9</w:t>
      </w:r>
      <w:r>
        <w:rPr>
          <w:rFonts w:hint="eastAsia"/>
          <w:highlight w:val="none"/>
          <w:lang w:eastAsia="zh-CN"/>
        </w:rPr>
        <w:t>.</w:t>
      </w:r>
      <w:r>
        <w:rPr>
          <w:rFonts w:hint="eastAsia"/>
          <w:highlight w:val="none"/>
        </w:rPr>
        <w:t>野菜、野生菌类。</w:t>
      </w:r>
    </w:p>
    <w:p>
      <w:pPr>
        <w:pStyle w:val="56"/>
        <w:ind w:firstLine="420"/>
        <w:rPr>
          <w:rFonts w:hint="default" w:eastAsia="宋体"/>
          <w:highlight w:val="none"/>
          <w:lang w:val="en-US" w:eastAsia="zh-CN"/>
        </w:rPr>
      </w:pPr>
      <w:r>
        <w:rPr>
          <w:rFonts w:hint="eastAsia"/>
          <w:highlight w:val="none"/>
          <w:lang w:val="en-US" w:eastAsia="zh-CN"/>
        </w:rPr>
        <w:t>10.其他有关规范性文件明确规定不适宜在学校食堂集中供应的食材。</w:t>
      </w:r>
    </w:p>
    <w:p>
      <w:pPr>
        <w:pStyle w:val="56"/>
        <w:ind w:firstLine="420"/>
        <w:rPr>
          <w:rFonts w:hint="eastAsia"/>
          <w:highlight w:val="none"/>
        </w:rPr>
      </w:pPr>
      <w:r>
        <w:rPr>
          <w:rFonts w:hint="eastAsia"/>
          <w:highlight w:val="none"/>
        </w:rPr>
        <w:t>三、</w:t>
      </w:r>
      <w:r>
        <w:rPr>
          <w:rFonts w:hint="eastAsia"/>
          <w:highlight w:val="none"/>
          <w:lang w:eastAsia="zh-CN"/>
        </w:rPr>
        <w:t>关键</w:t>
      </w:r>
      <w:r>
        <w:rPr>
          <w:rFonts w:hint="eastAsia"/>
          <w:highlight w:val="none"/>
        </w:rPr>
        <w:t>加工过程</w:t>
      </w:r>
      <w:r>
        <w:rPr>
          <w:rFonts w:hint="eastAsia"/>
          <w:highlight w:val="none"/>
          <w:lang w:eastAsia="zh-CN"/>
        </w:rPr>
        <w:t>操作规范与</w:t>
      </w:r>
      <w:r>
        <w:rPr>
          <w:rFonts w:hint="eastAsia"/>
          <w:highlight w:val="none"/>
        </w:rPr>
        <w:t>注意事项</w:t>
      </w:r>
    </w:p>
    <w:p>
      <w:pPr>
        <w:pStyle w:val="56"/>
        <w:ind w:firstLine="420"/>
        <w:rPr>
          <w:rFonts w:hint="eastAsia"/>
          <w:highlight w:val="none"/>
        </w:rPr>
      </w:pPr>
      <w:r>
        <w:rPr>
          <w:rFonts w:hint="eastAsia"/>
          <w:highlight w:val="none"/>
        </w:rPr>
        <w:t>1</w:t>
      </w:r>
      <w:r>
        <w:rPr>
          <w:rFonts w:hint="eastAsia"/>
          <w:highlight w:val="none"/>
          <w:lang w:eastAsia="zh-CN"/>
        </w:rPr>
        <w:t>.禽蛋处理：</w:t>
      </w:r>
      <w:r>
        <w:rPr>
          <w:rFonts w:hint="eastAsia"/>
          <w:highlight w:val="none"/>
        </w:rPr>
        <w:t>使用鸡蛋前，应清洗干净蛋的外壳，必要时消毒外壳。破蛋后应单独存放在暂存容器内，确认禽蛋未变质后再合并存放。烹饪时必须</w:t>
      </w:r>
      <w:r>
        <w:rPr>
          <w:rFonts w:hint="eastAsia"/>
          <w:highlight w:val="none"/>
          <w:lang w:eastAsia="zh-CN"/>
        </w:rPr>
        <w:t>彻底加热，</w:t>
      </w:r>
      <w:r>
        <w:rPr>
          <w:rFonts w:hint="eastAsia"/>
          <w:highlight w:val="none"/>
        </w:rPr>
        <w:t>确保烧熟煮透。</w:t>
      </w:r>
    </w:p>
    <w:p>
      <w:pPr>
        <w:pStyle w:val="56"/>
        <w:ind w:firstLine="420"/>
        <w:rPr>
          <w:rFonts w:hint="eastAsia"/>
          <w:highlight w:val="none"/>
        </w:rPr>
      </w:pPr>
      <w:r>
        <w:rPr>
          <w:rFonts w:hint="eastAsia" w:ascii="宋体" w:eastAsia="宋体"/>
          <w:highlight w:val="none"/>
          <w:lang w:eastAsia="zh-CN"/>
        </w:rPr>
        <w:t>2.豆浆煮制：</w:t>
      </w:r>
      <w:r>
        <w:rPr>
          <w:rFonts w:hint="eastAsia"/>
          <w:highlight w:val="none"/>
        </w:rPr>
        <w:t>豆浆因出现“假沸”现象易引起食物中毒。烹饪时必须确保烧熟煮透。煮沸生豆浆时，应将上涌泡沫除净，煮沸后保持沸腾状态5min以上。</w:t>
      </w:r>
    </w:p>
    <w:p>
      <w:pPr>
        <w:pStyle w:val="56"/>
        <w:ind w:firstLine="420"/>
        <w:rPr>
          <w:rFonts w:hint="eastAsia"/>
          <w:highlight w:val="none"/>
        </w:rPr>
      </w:pPr>
      <w:r>
        <w:rPr>
          <w:rFonts w:hint="eastAsia"/>
          <w:highlight w:val="none"/>
        </w:rPr>
        <w:t>3</w:t>
      </w:r>
      <w:r>
        <w:rPr>
          <w:rFonts w:hint="eastAsia" w:ascii="宋体" w:eastAsia="宋体"/>
          <w:highlight w:val="none"/>
          <w:lang w:eastAsia="zh-CN"/>
        </w:rPr>
        <w:t>.豆类加工：</w:t>
      </w:r>
      <w:r>
        <w:rPr>
          <w:rFonts w:hint="eastAsia"/>
          <w:highlight w:val="none"/>
        </w:rPr>
        <w:t>扁豆、豇豆、芸豆、蚕豆加工中需做到烧熟、煮透，应提前去蒂和经络，用沸水焯</w:t>
      </w:r>
      <w:r>
        <w:rPr>
          <w:rFonts w:hint="eastAsia"/>
          <w:highlight w:val="none"/>
          <w:lang w:eastAsia="zh-CN"/>
        </w:rPr>
        <w:t>烫处理</w:t>
      </w:r>
      <w:r>
        <w:rPr>
          <w:rFonts w:hint="eastAsia"/>
          <w:highlight w:val="none"/>
        </w:rPr>
        <w:t>，然后用大火</w:t>
      </w:r>
      <w:r>
        <w:rPr>
          <w:rFonts w:hint="eastAsia"/>
          <w:highlight w:val="none"/>
          <w:lang w:eastAsia="zh-CN"/>
        </w:rPr>
        <w:t>充分</w:t>
      </w:r>
      <w:r>
        <w:rPr>
          <w:rFonts w:hint="eastAsia"/>
          <w:highlight w:val="none"/>
        </w:rPr>
        <w:t>翻炒至无生绿色，</w:t>
      </w:r>
      <w:r>
        <w:rPr>
          <w:rFonts w:hint="eastAsia"/>
          <w:highlight w:val="none"/>
          <w:lang w:eastAsia="zh-CN"/>
        </w:rPr>
        <w:t>确保完全熟透，</w:t>
      </w:r>
      <w:r>
        <w:rPr>
          <w:rFonts w:hint="eastAsia"/>
          <w:highlight w:val="none"/>
        </w:rPr>
        <w:t>防止因植物毒素造成中毒。</w:t>
      </w:r>
    </w:p>
    <w:p>
      <w:pPr>
        <w:pStyle w:val="56"/>
        <w:ind w:firstLine="420"/>
        <w:rPr>
          <w:rFonts w:hint="eastAsia"/>
          <w:highlight w:val="none"/>
        </w:rPr>
      </w:pPr>
      <w:r>
        <w:rPr>
          <w:rFonts w:hint="eastAsia"/>
          <w:highlight w:val="none"/>
        </w:rPr>
        <w:t>4</w:t>
      </w:r>
      <w:r>
        <w:rPr>
          <w:rFonts w:hint="eastAsia" w:ascii="宋体" w:eastAsia="宋体"/>
          <w:highlight w:val="none"/>
          <w:lang w:eastAsia="zh-CN"/>
        </w:rPr>
        <w:t>.食品添加剂使用：</w:t>
      </w:r>
      <w:r>
        <w:rPr>
          <w:rFonts w:hint="eastAsia"/>
          <w:highlight w:val="none"/>
        </w:rPr>
        <w:t>餐饮加工中尽可能少用或不用食品添加剂，必须添加时应严格按照GB2760限量等规定</w:t>
      </w:r>
      <w:r>
        <w:rPr>
          <w:rFonts w:hint="eastAsia"/>
          <w:highlight w:val="none"/>
          <w:lang w:eastAsia="zh-CN"/>
        </w:rPr>
        <w:t>的品种、范围及限量。严格执行</w:t>
      </w:r>
      <w:r>
        <w:rPr>
          <w:rFonts w:hint="eastAsia"/>
          <w:highlight w:val="none"/>
        </w:rPr>
        <w:t>食品添加剂“五专”</w:t>
      </w:r>
      <w:r>
        <w:rPr>
          <w:rFonts w:hint="eastAsia" w:ascii="宋体" w:eastAsia="宋体"/>
          <w:highlight w:val="none"/>
        </w:rPr>
        <w:t>管理（专人采购、专人保管、专人领用、专人登记、专柜保存），</w:t>
      </w:r>
      <w:r>
        <w:rPr>
          <w:rFonts w:hint="eastAsia"/>
          <w:highlight w:val="none"/>
        </w:rPr>
        <w:t>且使用克秤准确称量后添加，不得出现超限量、超范围添加的情形。</w:t>
      </w:r>
    </w:p>
    <w:p>
      <w:pPr>
        <w:pStyle w:val="56"/>
        <w:ind w:firstLine="420"/>
        <w:rPr>
          <w:rFonts w:hint="eastAsia" w:eastAsia="宋体"/>
          <w:highlight w:val="none"/>
          <w:lang w:eastAsia="zh-CN"/>
        </w:rPr>
      </w:pPr>
      <w:r>
        <w:rPr>
          <w:rFonts w:hint="eastAsia"/>
          <w:highlight w:val="none"/>
        </w:rPr>
        <w:t>5</w:t>
      </w:r>
      <w:r>
        <w:rPr>
          <w:rFonts w:hint="eastAsia"/>
          <w:highlight w:val="none"/>
          <w:lang w:eastAsia="zh-CN"/>
        </w:rPr>
        <w:t>.</w:t>
      </w:r>
      <w:r>
        <w:rPr>
          <w:rFonts w:hint="eastAsia" w:ascii="宋体" w:eastAsia="宋体"/>
          <w:highlight w:val="none"/>
          <w:lang w:eastAsia="zh-CN"/>
        </w:rPr>
        <w:t>油炸类食品制作：</w:t>
      </w:r>
      <w:r>
        <w:rPr>
          <w:rFonts w:hint="eastAsia"/>
          <w:highlight w:val="none"/>
        </w:rPr>
        <w:t>油炸食品应注意煎炸油温度，油温不宜超过190℃,定期过滤用油，</w:t>
      </w:r>
      <w:r>
        <w:rPr>
          <w:rFonts w:hint="eastAsia"/>
          <w:highlight w:val="none"/>
          <w:lang w:eastAsia="zh-CN"/>
        </w:rPr>
        <w:t>清除聚合物。</w:t>
      </w:r>
      <w:r>
        <w:rPr>
          <w:rFonts w:hint="eastAsia"/>
          <w:highlight w:val="none"/>
        </w:rPr>
        <w:t>油量不足时，及时添加新油</w:t>
      </w:r>
      <w:r>
        <w:rPr>
          <w:rFonts w:hint="eastAsia"/>
          <w:highlight w:val="none"/>
          <w:lang w:eastAsia="zh-CN"/>
        </w:rPr>
        <w:t>，保持油量充足，避免反复高温煎炸导致劣变。</w:t>
      </w:r>
    </w:p>
    <w:p>
      <w:pPr>
        <w:pStyle w:val="56"/>
        <w:ind w:firstLine="420"/>
        <w:rPr>
          <w:rFonts w:hint="eastAsia"/>
          <w:highlight w:val="none"/>
        </w:rPr>
      </w:pPr>
      <w:r>
        <w:rPr>
          <w:rFonts w:hint="eastAsia"/>
          <w:highlight w:val="none"/>
        </w:rPr>
        <w:t>6</w:t>
      </w:r>
      <w:r>
        <w:rPr>
          <w:rFonts w:hint="eastAsia"/>
          <w:highlight w:val="none"/>
          <w:lang w:eastAsia="zh-CN"/>
        </w:rPr>
        <w:t>.干货处理：</w:t>
      </w:r>
      <w:r>
        <w:rPr>
          <w:rFonts w:hint="eastAsia"/>
          <w:highlight w:val="none"/>
        </w:rPr>
        <w:t>木耳、米粉等宜即泡即吃，用冷水泡1h～2h且一般不超过4h，用热水泡需适当缩短时间；</w:t>
      </w:r>
    </w:p>
    <w:p>
      <w:pPr>
        <w:pStyle w:val="56"/>
        <w:ind w:firstLine="420"/>
        <w:rPr>
          <w:rFonts w:hint="eastAsia"/>
          <w:highlight w:val="none"/>
        </w:rPr>
      </w:pPr>
      <w:r>
        <w:rPr>
          <w:rFonts w:hint="eastAsia" w:ascii="宋体" w:eastAsia="宋体"/>
          <w:highlight w:val="none"/>
          <w:lang w:eastAsia="zh-CN"/>
        </w:rPr>
        <w:t>7.热藏食品要求：</w:t>
      </w:r>
      <w:r>
        <w:rPr>
          <w:rFonts w:hint="eastAsia"/>
          <w:highlight w:val="none"/>
        </w:rPr>
        <w:t>从烧熟至食用的间隔时间超过2h的，应保持60℃以上热保藏，食用时限为烧熟后4h。</w:t>
      </w:r>
    </w:p>
    <w:p>
      <w:pPr>
        <w:pStyle w:val="56"/>
        <w:ind w:firstLine="420"/>
        <w:rPr>
          <w:rFonts w:hint="eastAsia"/>
          <w:highlight w:val="none"/>
        </w:rPr>
      </w:pPr>
      <w:r>
        <w:rPr>
          <w:rFonts w:hint="eastAsia" w:ascii="宋体" w:eastAsia="宋体"/>
          <w:highlight w:val="none"/>
          <w:lang w:eastAsia="zh-CN"/>
        </w:rPr>
        <w:t>8.再加热要求：</w:t>
      </w:r>
      <w:r>
        <w:rPr>
          <w:rFonts w:hint="eastAsia"/>
          <w:highlight w:val="none"/>
        </w:rPr>
        <w:t>在8℃～60℃条件下存放超过2h，且未发生感官性状变化，应再加热后方可供餐。再加热时，食品的中心温度应达到70℃以上。</w:t>
      </w:r>
    </w:p>
    <w:p>
      <w:pPr>
        <w:pStyle w:val="56"/>
        <w:ind w:firstLine="420"/>
        <w:rPr>
          <w:rFonts w:hint="eastAsia"/>
          <w:highlight w:val="none"/>
        </w:rPr>
      </w:pPr>
      <w:r>
        <w:rPr>
          <w:rFonts w:hint="eastAsia"/>
          <w:highlight w:val="none"/>
        </w:rPr>
        <w:t>9</w:t>
      </w:r>
      <w:r>
        <w:rPr>
          <w:rFonts w:hint="eastAsia"/>
          <w:highlight w:val="none"/>
          <w:lang w:eastAsia="zh-CN"/>
        </w:rPr>
        <w:t>.生食水果蔬菜处理：</w:t>
      </w:r>
      <w:r>
        <w:rPr>
          <w:rFonts w:hint="eastAsia"/>
          <w:highlight w:val="none"/>
        </w:rPr>
        <w:t>新鲜叶菜、水果用来制作果盘、盘花等应洗净或消毒，去除农药残留等。</w:t>
      </w:r>
    </w:p>
    <w:p>
      <w:pPr>
        <w:pStyle w:val="56"/>
        <w:ind w:firstLine="420"/>
        <w:rPr>
          <w:rFonts w:hint="eastAsia"/>
          <w:highlight w:val="none"/>
        </w:rPr>
      </w:pPr>
      <w:r>
        <w:rPr>
          <w:rFonts w:hint="eastAsia"/>
          <w:highlight w:val="none"/>
        </w:rPr>
        <w:t>四、采用校外集体用餐配送方式供餐的</w:t>
      </w:r>
    </w:p>
    <w:p>
      <w:pPr>
        <w:pStyle w:val="56"/>
        <w:ind w:firstLine="420"/>
        <w:rPr>
          <w:highlight w:val="none"/>
        </w:rPr>
      </w:pPr>
      <w:r>
        <w:rPr>
          <w:rFonts w:hint="eastAsia"/>
          <w:highlight w:val="none"/>
        </w:rPr>
        <w:t>不得配送</w:t>
      </w:r>
      <w:r>
        <w:rPr>
          <w:rFonts w:hint="eastAsia"/>
          <w:highlight w:val="none"/>
          <w:lang w:eastAsia="zh-CN"/>
        </w:rPr>
        <w:t>以下高风险食品：</w:t>
      </w:r>
      <w:r>
        <w:rPr>
          <w:rFonts w:hint="eastAsia"/>
          <w:highlight w:val="none"/>
        </w:rPr>
        <w:t>冷食类食品（如沙拉、寿司等）、生食类食品（如刺身）、自制冷冻饮品（包括冰淇淋、酸奶、乳酸发酵饮料、鲜榨果汁以及其他冷冻饮品）、裱花蛋糕以及其他冷加工糕点。</w:t>
      </w:r>
    </w:p>
    <w:p>
      <w:pPr>
        <w:pStyle w:val="56"/>
        <w:ind w:firstLine="420"/>
        <w:rPr>
          <w:highlight w:val="none"/>
        </w:rPr>
      </w:pPr>
    </w:p>
    <w:p>
      <w:pPr>
        <w:pStyle w:val="56"/>
        <w:ind w:firstLine="420"/>
        <w:rPr>
          <w:rFonts w:hint="eastAsia"/>
          <w:highlight w:val="none"/>
        </w:rPr>
      </w:pPr>
    </w:p>
    <w:p>
      <w:pPr>
        <w:pStyle w:val="56"/>
        <w:ind w:firstLine="420"/>
        <w:rPr>
          <w:rFonts w:hint="eastAsia"/>
          <w:highlight w:val="none"/>
        </w:rPr>
      </w:pPr>
    </w:p>
    <w:p>
      <w:pPr>
        <w:pStyle w:val="56"/>
        <w:ind w:firstLine="420"/>
        <w:rPr>
          <w:rFonts w:hint="eastAsia"/>
          <w:highlight w:val="none"/>
        </w:rPr>
      </w:pPr>
    </w:p>
    <w:p>
      <w:pPr>
        <w:pStyle w:val="56"/>
        <w:ind w:firstLine="420"/>
        <w:rPr>
          <w:rFonts w:hint="eastAsia"/>
          <w:highlight w:val="none"/>
        </w:rPr>
      </w:pPr>
    </w:p>
    <w:p>
      <w:pPr>
        <w:pStyle w:val="56"/>
        <w:ind w:firstLine="420"/>
        <w:rPr>
          <w:highlight w:val="none"/>
        </w:rPr>
        <w:sectPr>
          <w:pgSz w:w="11906" w:h="16838"/>
          <w:pgMar w:top="1928" w:right="1134" w:bottom="1134" w:left="1134" w:header="1418" w:footer="1134" w:gutter="284"/>
          <w:cols w:space="425" w:num="1"/>
          <w:formProt w:val="0"/>
          <w:docGrid w:type="lines" w:linePitch="312" w:charSpace="0"/>
        </w:sectPr>
      </w:pPr>
    </w:p>
    <w:p>
      <w:pPr>
        <w:pStyle w:val="198"/>
        <w:rPr>
          <w:rFonts w:hint="eastAsia"/>
        </w:rPr>
      </w:pPr>
    </w:p>
    <w:p>
      <w:pPr>
        <w:pStyle w:val="199"/>
        <w:rPr>
          <w:rFonts w:hint="eastAsia"/>
        </w:rPr>
      </w:pPr>
    </w:p>
    <w:p>
      <w:pPr>
        <w:pStyle w:val="76"/>
        <w:spacing w:after="156"/>
        <w:rPr>
          <w:rFonts w:hint="eastAsia"/>
        </w:rPr>
      </w:pPr>
      <w:r>
        <w:br w:type="textWrapping"/>
      </w:r>
      <w:bookmarkStart w:id="78" w:name="_Toc201247679"/>
      <w:bookmarkStart w:id="79" w:name="_Toc201247739"/>
      <w:r>
        <w:rPr>
          <w:rFonts w:hint="eastAsia"/>
        </w:rPr>
        <w:t>（规范性）</w:t>
      </w:r>
      <w:r>
        <w:br w:type="textWrapping"/>
      </w:r>
      <w:r>
        <w:rPr>
          <w:rFonts w:hint="eastAsia"/>
        </w:rPr>
        <w:t>餐饮业食品、食品相关产品采购验收台账</w:t>
      </w:r>
      <w:bookmarkEnd w:id="78"/>
      <w:bookmarkEnd w:id="79"/>
    </w:p>
    <w:p>
      <w:pPr>
        <w:pStyle w:val="56"/>
        <w:ind w:firstLine="420"/>
      </w:pPr>
      <w:r>
        <w:rPr>
          <w:rFonts w:hint="eastAsia"/>
        </w:rPr>
        <w:t>单位或部门名称：                             食品类别：</w:t>
      </w:r>
    </w:p>
    <w:tbl>
      <w:tblPr>
        <w:tblStyle w:val="26"/>
        <w:tblW w:w="5005"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44"/>
        <w:gridCol w:w="721"/>
        <w:gridCol w:w="550"/>
        <w:gridCol w:w="548"/>
        <w:gridCol w:w="507"/>
        <w:gridCol w:w="567"/>
        <w:gridCol w:w="741"/>
        <w:gridCol w:w="989"/>
        <w:gridCol w:w="704"/>
        <w:gridCol w:w="494"/>
        <w:gridCol w:w="877"/>
        <w:gridCol w:w="839"/>
        <w:gridCol w:w="603"/>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1" w:hRule="atLeast"/>
        </w:trPr>
        <w:tc>
          <w:tcPr>
            <w:tcW w:w="29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序号</w:t>
            </w:r>
          </w:p>
        </w:tc>
        <w:tc>
          <w:tcPr>
            <w:tcW w:w="384"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进货</w:t>
            </w:r>
          </w:p>
          <w:p>
            <w:pPr>
              <w:jc w:val="center"/>
              <w:rPr>
                <w:rFonts w:hint="eastAsia" w:ascii="宋体" w:hAnsi="宋体" w:eastAsia="宋体" w:cs="宋体"/>
                <w:sz w:val="18"/>
                <w:szCs w:val="18"/>
              </w:rPr>
            </w:pPr>
            <w:r>
              <w:rPr>
                <w:rFonts w:hint="eastAsia" w:ascii="宋体" w:hAnsi="宋体" w:eastAsia="宋体" w:cs="宋体"/>
                <w:sz w:val="18"/>
                <w:szCs w:val="18"/>
              </w:rPr>
              <w:t>时间</w:t>
            </w:r>
          </w:p>
        </w:tc>
        <w:tc>
          <w:tcPr>
            <w:tcW w:w="293"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品名</w:t>
            </w:r>
          </w:p>
        </w:tc>
        <w:tc>
          <w:tcPr>
            <w:tcW w:w="292"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270"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数量</w:t>
            </w:r>
          </w:p>
        </w:tc>
        <w:tc>
          <w:tcPr>
            <w:tcW w:w="302"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单价</w:t>
            </w:r>
          </w:p>
        </w:tc>
        <w:tc>
          <w:tcPr>
            <w:tcW w:w="395"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供货</w:t>
            </w:r>
          </w:p>
          <w:p>
            <w:pPr>
              <w:jc w:val="center"/>
              <w:rPr>
                <w:rFonts w:hint="eastAsia" w:ascii="宋体" w:hAnsi="宋体" w:eastAsia="宋体" w:cs="宋体"/>
                <w:sz w:val="18"/>
                <w:szCs w:val="18"/>
              </w:rPr>
            </w:pPr>
            <w:r>
              <w:rPr>
                <w:rFonts w:hint="eastAsia" w:ascii="宋体" w:hAnsi="宋体" w:eastAsia="宋体" w:cs="宋体"/>
                <w:sz w:val="18"/>
                <w:szCs w:val="18"/>
              </w:rPr>
              <w:t>单位</w:t>
            </w:r>
          </w:p>
        </w:tc>
        <w:tc>
          <w:tcPr>
            <w:tcW w:w="52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联系方式</w:t>
            </w:r>
          </w:p>
        </w:tc>
        <w:tc>
          <w:tcPr>
            <w:tcW w:w="375"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生产</w:t>
            </w:r>
          </w:p>
          <w:p>
            <w:pPr>
              <w:jc w:val="center"/>
              <w:rPr>
                <w:rFonts w:hint="eastAsia" w:ascii="宋体" w:hAnsi="宋体" w:eastAsia="宋体" w:cs="宋体"/>
                <w:sz w:val="18"/>
                <w:szCs w:val="18"/>
              </w:rPr>
            </w:pPr>
            <w:r>
              <w:rPr>
                <w:rFonts w:hint="eastAsia" w:ascii="宋体" w:hAnsi="宋体" w:eastAsia="宋体" w:cs="宋体"/>
                <w:sz w:val="18"/>
                <w:szCs w:val="18"/>
              </w:rPr>
              <w:t>日期</w:t>
            </w:r>
          </w:p>
        </w:tc>
        <w:tc>
          <w:tcPr>
            <w:tcW w:w="263"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保质期</w:t>
            </w:r>
          </w:p>
        </w:tc>
        <w:tc>
          <w:tcPr>
            <w:tcW w:w="46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感官性状</w:t>
            </w:r>
          </w:p>
        </w:tc>
        <w:tc>
          <w:tcPr>
            <w:tcW w:w="44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保存</w:t>
            </w:r>
          </w:p>
          <w:p>
            <w:pPr>
              <w:jc w:val="center"/>
              <w:rPr>
                <w:rFonts w:hint="eastAsia" w:ascii="宋体" w:hAnsi="宋体" w:eastAsia="宋体" w:cs="宋体"/>
                <w:sz w:val="18"/>
                <w:szCs w:val="18"/>
              </w:rPr>
            </w:pPr>
            <w:r>
              <w:rPr>
                <w:rFonts w:hint="eastAsia" w:ascii="宋体" w:hAnsi="宋体" w:eastAsia="宋体" w:cs="宋体"/>
                <w:sz w:val="18"/>
                <w:szCs w:val="18"/>
              </w:rPr>
              <w:t>条件</w:t>
            </w:r>
          </w:p>
        </w:tc>
        <w:tc>
          <w:tcPr>
            <w:tcW w:w="321"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验收人</w:t>
            </w:r>
          </w:p>
        </w:tc>
        <w:tc>
          <w:tcPr>
            <w:tcW w:w="36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票证</w:t>
            </w:r>
          </w:p>
          <w:p>
            <w:pPr>
              <w:jc w:val="center"/>
              <w:rPr>
                <w:rFonts w:hint="eastAsia" w:ascii="宋体" w:hAnsi="宋体" w:eastAsia="宋体" w:cs="宋体"/>
                <w:sz w:val="18"/>
                <w:szCs w:val="18"/>
              </w:rPr>
            </w:pPr>
            <w:r>
              <w:rPr>
                <w:rFonts w:hint="eastAsia" w:ascii="宋体" w:hAnsi="宋体" w:eastAsia="宋体" w:cs="宋体"/>
                <w:sz w:val="18"/>
                <w:szCs w:val="18"/>
              </w:rPr>
              <w:t>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290"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sz w:val="18"/>
                <w:szCs w:val="18"/>
              </w:rPr>
            </w:pPr>
          </w:p>
        </w:tc>
        <w:tc>
          <w:tcPr>
            <w:tcW w:w="384"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293"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292" w:type="pct"/>
            <w:tcBorders>
              <w:top w:val="single" w:color="auto" w:sz="4" w:space="0"/>
              <w:left w:val="nil"/>
              <w:bottom w:val="single" w:color="auto" w:sz="4" w:space="0"/>
              <w:right w:val="single" w:color="auto" w:sz="4" w:space="0"/>
            </w:tcBorders>
          </w:tcPr>
          <w:p>
            <w:pPr>
              <w:jc w:val="center"/>
              <w:rPr>
                <w:rFonts w:hint="eastAsia" w:ascii="宋体" w:hAnsi="宋体" w:eastAsia="宋体" w:cs="宋体"/>
                <w:sz w:val="18"/>
                <w:szCs w:val="18"/>
              </w:rPr>
            </w:pPr>
          </w:p>
        </w:tc>
        <w:tc>
          <w:tcPr>
            <w:tcW w:w="270" w:type="pct"/>
            <w:tcBorders>
              <w:top w:val="single" w:color="auto" w:sz="4" w:space="0"/>
              <w:left w:val="nil"/>
              <w:bottom w:val="single" w:color="auto" w:sz="4" w:space="0"/>
              <w:right w:val="single" w:color="auto" w:sz="4" w:space="0"/>
            </w:tcBorders>
          </w:tcPr>
          <w:p>
            <w:pPr>
              <w:jc w:val="center"/>
              <w:rPr>
                <w:rFonts w:hint="eastAsia" w:ascii="宋体" w:hAnsi="宋体" w:eastAsia="宋体" w:cs="宋体"/>
                <w:sz w:val="18"/>
                <w:szCs w:val="18"/>
              </w:rPr>
            </w:pPr>
          </w:p>
        </w:tc>
        <w:tc>
          <w:tcPr>
            <w:tcW w:w="302"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95"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52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75"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263"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46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44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21" w:type="pct"/>
            <w:tcBorders>
              <w:top w:val="single" w:color="auto" w:sz="4" w:space="0"/>
              <w:left w:val="nil"/>
              <w:bottom w:val="single" w:color="auto" w:sz="4" w:space="0"/>
              <w:right w:val="single" w:color="auto" w:sz="4" w:space="0"/>
            </w:tcBorders>
          </w:tcPr>
          <w:p>
            <w:pPr>
              <w:jc w:val="center"/>
              <w:rPr>
                <w:rFonts w:hint="eastAsia" w:ascii="宋体" w:hAnsi="宋体" w:eastAsia="宋体" w:cs="宋体"/>
                <w:sz w:val="18"/>
                <w:szCs w:val="18"/>
              </w:rPr>
            </w:pPr>
          </w:p>
        </w:tc>
        <w:tc>
          <w:tcPr>
            <w:tcW w:w="367" w:type="pct"/>
            <w:tcBorders>
              <w:top w:val="single" w:color="auto" w:sz="4" w:space="0"/>
              <w:left w:val="nil"/>
              <w:bottom w:val="single" w:color="auto" w:sz="4" w:space="0"/>
              <w:right w:val="single" w:color="auto" w:sz="4" w:space="0"/>
            </w:tcBorders>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8" w:hRule="atLeast"/>
        </w:trPr>
        <w:tc>
          <w:tcPr>
            <w:tcW w:w="290"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sz w:val="18"/>
                <w:szCs w:val="18"/>
              </w:rPr>
            </w:pPr>
          </w:p>
        </w:tc>
        <w:tc>
          <w:tcPr>
            <w:tcW w:w="384"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293"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292" w:type="pct"/>
            <w:tcBorders>
              <w:top w:val="single" w:color="auto" w:sz="4" w:space="0"/>
              <w:left w:val="nil"/>
              <w:bottom w:val="single" w:color="auto" w:sz="4" w:space="0"/>
              <w:right w:val="single" w:color="auto" w:sz="4" w:space="0"/>
            </w:tcBorders>
          </w:tcPr>
          <w:p>
            <w:pPr>
              <w:jc w:val="center"/>
              <w:rPr>
                <w:rFonts w:hint="eastAsia" w:ascii="宋体" w:hAnsi="宋体" w:eastAsia="宋体" w:cs="宋体"/>
                <w:sz w:val="18"/>
                <w:szCs w:val="18"/>
              </w:rPr>
            </w:pPr>
          </w:p>
        </w:tc>
        <w:tc>
          <w:tcPr>
            <w:tcW w:w="270" w:type="pct"/>
            <w:tcBorders>
              <w:top w:val="single" w:color="auto" w:sz="4" w:space="0"/>
              <w:left w:val="nil"/>
              <w:bottom w:val="single" w:color="auto" w:sz="4" w:space="0"/>
              <w:right w:val="single" w:color="auto" w:sz="4" w:space="0"/>
            </w:tcBorders>
          </w:tcPr>
          <w:p>
            <w:pPr>
              <w:jc w:val="center"/>
              <w:rPr>
                <w:rFonts w:hint="eastAsia" w:ascii="宋体" w:hAnsi="宋体" w:eastAsia="宋体" w:cs="宋体"/>
                <w:sz w:val="18"/>
                <w:szCs w:val="18"/>
              </w:rPr>
            </w:pPr>
          </w:p>
        </w:tc>
        <w:tc>
          <w:tcPr>
            <w:tcW w:w="302"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95"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52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75"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263"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46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44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21" w:type="pct"/>
            <w:tcBorders>
              <w:top w:val="single" w:color="auto" w:sz="4" w:space="0"/>
              <w:left w:val="nil"/>
              <w:bottom w:val="single" w:color="auto" w:sz="4" w:space="0"/>
              <w:right w:val="single" w:color="auto" w:sz="4" w:space="0"/>
            </w:tcBorders>
          </w:tcPr>
          <w:p>
            <w:pPr>
              <w:jc w:val="center"/>
              <w:rPr>
                <w:rFonts w:hint="eastAsia" w:ascii="宋体" w:hAnsi="宋体" w:eastAsia="宋体" w:cs="宋体"/>
                <w:sz w:val="18"/>
                <w:szCs w:val="18"/>
              </w:rPr>
            </w:pPr>
          </w:p>
        </w:tc>
        <w:tc>
          <w:tcPr>
            <w:tcW w:w="367" w:type="pct"/>
            <w:tcBorders>
              <w:top w:val="single" w:color="auto" w:sz="4" w:space="0"/>
              <w:left w:val="nil"/>
              <w:bottom w:val="single" w:color="auto" w:sz="4" w:space="0"/>
              <w:right w:val="single" w:color="auto" w:sz="4" w:space="0"/>
            </w:tcBorders>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290"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sz w:val="18"/>
                <w:szCs w:val="18"/>
              </w:rPr>
            </w:pPr>
          </w:p>
        </w:tc>
        <w:tc>
          <w:tcPr>
            <w:tcW w:w="384"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293"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292" w:type="pct"/>
            <w:tcBorders>
              <w:top w:val="single" w:color="auto" w:sz="4" w:space="0"/>
              <w:left w:val="nil"/>
              <w:bottom w:val="single" w:color="auto" w:sz="4" w:space="0"/>
              <w:right w:val="single" w:color="auto" w:sz="4" w:space="0"/>
            </w:tcBorders>
          </w:tcPr>
          <w:p>
            <w:pPr>
              <w:jc w:val="center"/>
              <w:rPr>
                <w:rFonts w:hint="eastAsia" w:ascii="宋体" w:hAnsi="宋体" w:eastAsia="宋体" w:cs="宋体"/>
                <w:sz w:val="18"/>
                <w:szCs w:val="18"/>
              </w:rPr>
            </w:pPr>
          </w:p>
        </w:tc>
        <w:tc>
          <w:tcPr>
            <w:tcW w:w="270" w:type="pct"/>
            <w:tcBorders>
              <w:top w:val="single" w:color="auto" w:sz="4" w:space="0"/>
              <w:left w:val="nil"/>
              <w:bottom w:val="single" w:color="auto" w:sz="4" w:space="0"/>
              <w:right w:val="single" w:color="auto" w:sz="4" w:space="0"/>
            </w:tcBorders>
          </w:tcPr>
          <w:p>
            <w:pPr>
              <w:jc w:val="center"/>
              <w:rPr>
                <w:rFonts w:hint="eastAsia" w:ascii="宋体" w:hAnsi="宋体" w:eastAsia="宋体" w:cs="宋体"/>
                <w:sz w:val="18"/>
                <w:szCs w:val="18"/>
              </w:rPr>
            </w:pPr>
          </w:p>
        </w:tc>
        <w:tc>
          <w:tcPr>
            <w:tcW w:w="302"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95"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52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75"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263"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46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447"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21" w:type="pct"/>
            <w:tcBorders>
              <w:top w:val="single" w:color="auto" w:sz="4" w:space="0"/>
              <w:left w:val="nil"/>
              <w:bottom w:val="single" w:color="auto" w:sz="4" w:space="0"/>
              <w:right w:val="single" w:color="auto" w:sz="4" w:space="0"/>
            </w:tcBorders>
          </w:tcPr>
          <w:p>
            <w:pPr>
              <w:jc w:val="center"/>
              <w:rPr>
                <w:rFonts w:hint="eastAsia" w:ascii="宋体" w:hAnsi="宋体" w:eastAsia="宋体" w:cs="宋体"/>
                <w:sz w:val="18"/>
                <w:szCs w:val="18"/>
              </w:rPr>
            </w:pPr>
          </w:p>
        </w:tc>
        <w:tc>
          <w:tcPr>
            <w:tcW w:w="367" w:type="pct"/>
            <w:tcBorders>
              <w:top w:val="single" w:color="auto" w:sz="4" w:space="0"/>
              <w:left w:val="nil"/>
              <w:bottom w:val="single" w:color="auto" w:sz="4" w:space="0"/>
              <w:right w:val="single" w:color="auto" w:sz="4" w:space="0"/>
            </w:tcBorders>
          </w:tcPr>
          <w:p>
            <w:pPr>
              <w:jc w:val="center"/>
              <w:rPr>
                <w:rFonts w:hint="eastAsia" w:ascii="宋体" w:hAnsi="宋体" w:eastAsia="宋体" w:cs="宋体"/>
                <w:sz w:val="18"/>
                <w:szCs w:val="18"/>
              </w:rPr>
            </w:pPr>
          </w:p>
        </w:tc>
      </w:tr>
    </w:tbl>
    <w:p>
      <w:pPr>
        <w:widowControl/>
        <w:autoSpaceDE w:val="0"/>
        <w:autoSpaceDN w:val="0"/>
        <w:ind w:firstLine="420" w:firstLineChars="200"/>
        <w:rPr>
          <w:rFonts w:ascii="宋体" w:hAnsi="Times New Roman"/>
          <w:kern w:val="0"/>
        </w:rPr>
      </w:pPr>
      <w:r>
        <w:rPr>
          <w:rFonts w:hint="eastAsia" w:ascii="宋体" w:hAnsi="宋体"/>
          <w:kern w:val="0"/>
        </w:rPr>
        <w:t>食品安全管理人员（签字）：</w:t>
      </w:r>
    </w:p>
    <w:p>
      <w:pPr>
        <w:widowControl/>
        <w:autoSpaceDE w:val="0"/>
        <w:autoSpaceDN w:val="0"/>
        <w:adjustRightInd/>
        <w:spacing w:line="240" w:lineRule="auto"/>
        <w:ind w:firstLine="420" w:firstLineChars="200"/>
        <w:rPr>
          <w:rFonts w:hint="eastAsia" w:ascii="宋体" w:hAnsi="宋体"/>
          <w:kern w:val="0"/>
        </w:rPr>
      </w:pPr>
      <w:r>
        <w:rPr>
          <w:rFonts w:hint="eastAsia" w:ascii="宋体" w:hAnsi="宋体"/>
          <w:kern w:val="0"/>
        </w:rPr>
        <w:t>1、类别分为：食品类（包括粮油类、调味品类、肉及肉制品类、水产品类、蛋及蛋制品类、豆及豆制品类、奶及奶制品类、酱腌菜类、蔬菜水果类、酒及饮料类、淀粉制品类）；食品相关产品类（包含包装材料、容器、设备、洗涤剂、消毒剂）；</w:t>
      </w:r>
    </w:p>
    <w:p>
      <w:pPr>
        <w:widowControl/>
        <w:autoSpaceDE w:val="0"/>
        <w:autoSpaceDN w:val="0"/>
        <w:adjustRightInd/>
        <w:spacing w:line="240" w:lineRule="auto"/>
        <w:ind w:firstLine="420" w:firstLineChars="200"/>
        <w:rPr>
          <w:rFonts w:hint="eastAsia" w:ascii="宋体" w:hAnsi="宋体"/>
          <w:kern w:val="0"/>
        </w:rPr>
      </w:pPr>
      <w:r>
        <w:rPr>
          <w:rFonts w:hint="eastAsia" w:ascii="宋体" w:hAnsi="宋体"/>
          <w:kern w:val="0"/>
          <w:lang w:val="en-US" w:eastAsia="zh-CN"/>
        </w:rPr>
        <w:t>2、</w:t>
      </w:r>
      <w:r>
        <w:rPr>
          <w:rFonts w:hint="eastAsia" w:ascii="宋体" w:hAnsi="宋体"/>
          <w:kern w:val="0"/>
        </w:rPr>
        <w:t>票证序号：应具体填写索取的证（票）名称，并记录证（票）序号，以便查询。</w:t>
      </w:r>
    </w:p>
    <w:p>
      <w:pPr>
        <w:pStyle w:val="56"/>
        <w:ind w:left="420" w:leftChars="200" w:firstLine="0" w:firstLineChars="0"/>
        <w:rPr>
          <w:rFonts w:hint="eastAsia" w:ascii="宋体" w:hAnsi="宋体"/>
          <w:kern w:val="0"/>
        </w:rPr>
      </w:pPr>
      <w:r>
        <w:rPr>
          <w:rFonts w:hint="eastAsia" w:ascii="宋体" w:hAnsi="宋体"/>
          <w:kern w:val="0"/>
          <w:lang w:val="en-US" w:eastAsia="zh-CN"/>
        </w:rPr>
        <w:t>3、</w:t>
      </w:r>
      <w:r>
        <w:rPr>
          <w:rFonts w:hint="eastAsia" w:ascii="宋体" w:hAnsi="宋体"/>
          <w:kern w:val="0"/>
        </w:rPr>
        <w:t>此表由食品采购验收人员填写。入库前必须认真查验、留存核对索证索票资料，做到货证相符。</w:t>
      </w:r>
      <w:r>
        <w:rPr>
          <w:rFonts w:hint="eastAsia" w:hAnsi="宋体"/>
          <w:kern w:val="0"/>
          <w:lang w:val="en-US" w:eastAsia="zh-CN"/>
        </w:rPr>
        <w:t>4、</w:t>
      </w:r>
      <w:r>
        <w:rPr>
          <w:rFonts w:hint="eastAsia" w:ascii="宋体" w:hAnsi="宋体"/>
          <w:kern w:val="0"/>
        </w:rPr>
        <w:t>按月整理或按照食品类别分别装订电子一票通等有效凭证。</w:t>
      </w:r>
    </w:p>
    <w:p>
      <w:pPr>
        <w:pStyle w:val="56"/>
        <w:ind w:left="420" w:leftChars="200" w:firstLine="0" w:firstLineChars="0"/>
      </w:pPr>
      <w:r>
        <w:rPr>
          <w:rFonts w:hint="eastAsia" w:hAnsi="宋体"/>
          <w:kern w:val="0"/>
          <w:lang w:val="en-US" w:eastAsia="zh-CN"/>
        </w:rPr>
        <w:t>5、</w:t>
      </w:r>
      <w:r>
        <w:rPr>
          <w:rFonts w:hint="eastAsia"/>
        </w:rPr>
        <w:t>鼓励借助信息化方式建立电子台账。</w:t>
      </w:r>
    </w:p>
    <w:p>
      <w:pPr>
        <w:pStyle w:val="56"/>
        <w:ind w:firstLine="420"/>
      </w:pPr>
    </w:p>
    <w:p>
      <w:pPr>
        <w:widowControl/>
        <w:autoSpaceDE w:val="0"/>
        <w:autoSpaceDN w:val="0"/>
        <w:adjustRightInd/>
        <w:spacing w:line="240" w:lineRule="auto"/>
        <w:ind w:firstLine="420" w:firstLineChars="200"/>
        <w:rPr>
          <w:rFonts w:hint="eastAsia" w:ascii="宋体" w:hAnsi="宋体"/>
          <w:kern w:val="0"/>
        </w:rPr>
      </w:pPr>
    </w:p>
    <w:p>
      <w:pPr>
        <w:widowControl/>
        <w:autoSpaceDE w:val="0"/>
        <w:autoSpaceDN w:val="0"/>
        <w:adjustRightInd/>
        <w:spacing w:line="240" w:lineRule="auto"/>
        <w:ind w:firstLine="420" w:firstLineChars="200"/>
        <w:rPr>
          <w:rFonts w:hint="eastAsia" w:ascii="宋体" w:hAnsi="Times New Roman"/>
          <w:kern w:val="0"/>
        </w:rPr>
      </w:pPr>
      <w:r>
        <w:rPr>
          <w:rFonts w:hint="eastAsia" w:ascii="宋体" w:hAnsi="Times New Roman"/>
          <w:kern w:val="0"/>
        </w:rPr>
        <w:t xml:space="preserve"> </w:t>
      </w:r>
    </w:p>
    <w:p>
      <w:pPr>
        <w:pStyle w:val="56"/>
        <w:ind w:firstLine="420"/>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sectPr>
          <w:pgSz w:w="11906" w:h="16838"/>
          <w:pgMar w:top="1928" w:right="1134" w:bottom="1134" w:left="1134" w:header="1418" w:footer="1134" w:gutter="284"/>
          <w:cols w:space="425" w:num="1"/>
          <w:formProt w:val="0"/>
          <w:docGrid w:type="lines" w:linePitch="312" w:charSpace="0"/>
        </w:sectPr>
      </w:pPr>
    </w:p>
    <w:p>
      <w:pPr>
        <w:pStyle w:val="198"/>
        <w:rPr>
          <w:rFonts w:hint="eastAsia"/>
        </w:rPr>
      </w:pPr>
    </w:p>
    <w:p>
      <w:pPr>
        <w:pStyle w:val="199"/>
        <w:rPr>
          <w:rFonts w:hint="eastAsia"/>
        </w:rPr>
      </w:pPr>
    </w:p>
    <w:p>
      <w:pPr>
        <w:pStyle w:val="76"/>
        <w:spacing w:after="156"/>
        <w:rPr>
          <w:rFonts w:hint="eastAsia"/>
        </w:rPr>
      </w:pPr>
      <w:r>
        <w:br w:type="textWrapping"/>
      </w:r>
      <w:bookmarkStart w:id="80" w:name="_Toc201247740"/>
      <w:bookmarkStart w:id="81" w:name="_Toc201247680"/>
      <w:r>
        <w:rPr>
          <w:rFonts w:hint="eastAsia"/>
        </w:rPr>
        <w:t>（规范性）</w:t>
      </w:r>
      <w:r>
        <w:br w:type="textWrapping"/>
      </w:r>
      <w:r>
        <w:rPr>
          <w:rFonts w:hint="eastAsia"/>
        </w:rPr>
        <w:t>餐饮业食品添加剂采购验收台账</w:t>
      </w:r>
      <w:bookmarkEnd w:id="80"/>
      <w:bookmarkEnd w:id="81"/>
    </w:p>
    <w:tbl>
      <w:tblPr>
        <w:tblStyle w:val="236"/>
        <w:tblW w:w="49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901"/>
        <w:gridCol w:w="937"/>
        <w:gridCol w:w="1030"/>
        <w:gridCol w:w="1410"/>
        <w:gridCol w:w="1191"/>
        <w:gridCol w:w="958"/>
        <w:gridCol w:w="92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食品添加剂名称</w:t>
            </w:r>
          </w:p>
        </w:tc>
        <w:tc>
          <w:tcPr>
            <w:tcW w:w="476"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生产厂家</w:t>
            </w:r>
          </w:p>
        </w:tc>
        <w:tc>
          <w:tcPr>
            <w:tcW w:w="495"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生产日期</w:t>
            </w:r>
          </w:p>
        </w:tc>
        <w:tc>
          <w:tcPr>
            <w:tcW w:w="544"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保质期</w:t>
            </w:r>
          </w:p>
        </w:tc>
        <w:tc>
          <w:tcPr>
            <w:tcW w:w="745"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供货商</w:t>
            </w:r>
          </w:p>
        </w:tc>
        <w:tc>
          <w:tcPr>
            <w:tcW w:w="629"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供货商联系</w:t>
            </w:r>
          </w:p>
          <w:p>
            <w:pPr>
              <w:jc w:val="center"/>
              <w:rPr>
                <w:rFonts w:hint="eastAsia" w:ascii="宋体" w:hAnsi="宋体" w:eastAsia="宋体" w:cs="宋体"/>
                <w:sz w:val="18"/>
                <w:szCs w:val="18"/>
              </w:rPr>
            </w:pPr>
            <w:r>
              <w:rPr>
                <w:rFonts w:hint="eastAsia" w:ascii="宋体" w:hAnsi="宋体" w:eastAsia="宋体" w:cs="宋体"/>
                <w:sz w:val="18"/>
                <w:szCs w:val="18"/>
              </w:rPr>
              <w:t>方式</w:t>
            </w:r>
          </w:p>
        </w:tc>
        <w:tc>
          <w:tcPr>
            <w:tcW w:w="506"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索证索票</w:t>
            </w:r>
          </w:p>
          <w:p>
            <w:pPr>
              <w:jc w:val="center"/>
              <w:rPr>
                <w:rFonts w:hint="eastAsia" w:ascii="宋体" w:hAnsi="宋体" w:eastAsia="宋体" w:cs="宋体"/>
                <w:sz w:val="18"/>
                <w:szCs w:val="18"/>
              </w:rPr>
            </w:pPr>
            <w:r>
              <w:rPr>
                <w:rFonts w:hint="eastAsia" w:ascii="宋体" w:hAnsi="宋体" w:eastAsia="宋体" w:cs="宋体"/>
                <w:sz w:val="18"/>
                <w:szCs w:val="18"/>
              </w:rPr>
              <w:t>是否齐全</w:t>
            </w:r>
          </w:p>
        </w:tc>
        <w:tc>
          <w:tcPr>
            <w:tcW w:w="488"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验收人</w:t>
            </w:r>
          </w:p>
        </w:tc>
        <w:tc>
          <w:tcPr>
            <w:tcW w:w="432"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sz w:val="18"/>
                <w:szCs w:val="18"/>
              </w:rPr>
            </w:pPr>
          </w:p>
        </w:tc>
        <w:tc>
          <w:tcPr>
            <w:tcW w:w="476"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495"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544"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745"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629"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506"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488"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432"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sz w:val="18"/>
                <w:szCs w:val="18"/>
              </w:rPr>
            </w:pPr>
          </w:p>
        </w:tc>
        <w:tc>
          <w:tcPr>
            <w:tcW w:w="476"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495"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544"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745"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629"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506"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488"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432"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5" w:type="pct"/>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sz w:val="18"/>
                <w:szCs w:val="18"/>
              </w:rPr>
            </w:pPr>
          </w:p>
        </w:tc>
        <w:tc>
          <w:tcPr>
            <w:tcW w:w="476"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495"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544"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745"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629"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506"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488"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c>
          <w:tcPr>
            <w:tcW w:w="432" w:type="pct"/>
            <w:tcBorders>
              <w:top w:val="single" w:color="auto" w:sz="4" w:space="0"/>
              <w:left w:val="nil"/>
              <w:bottom w:val="single" w:color="auto" w:sz="4" w:space="0"/>
              <w:right w:val="single" w:color="auto" w:sz="4" w:space="0"/>
            </w:tcBorders>
          </w:tcPr>
          <w:p>
            <w:pPr>
              <w:rPr>
                <w:rFonts w:hint="eastAsia" w:ascii="宋体" w:hAnsi="宋体" w:eastAsia="宋体" w:cs="宋体"/>
                <w:sz w:val="18"/>
                <w:szCs w:val="18"/>
              </w:rPr>
            </w:pPr>
          </w:p>
        </w:tc>
      </w:tr>
    </w:tbl>
    <w:p>
      <w:pPr>
        <w:widowControl/>
        <w:autoSpaceDE w:val="0"/>
        <w:autoSpaceDN w:val="0"/>
        <w:adjustRightInd/>
        <w:spacing w:line="240" w:lineRule="auto"/>
        <w:ind w:firstLine="420" w:firstLineChars="200"/>
        <w:rPr>
          <w:rFonts w:ascii="宋体" w:hAnsi="Times New Roman"/>
          <w:kern w:val="0"/>
        </w:rPr>
      </w:pPr>
      <w:r>
        <w:rPr>
          <w:rFonts w:hint="eastAsia" w:ascii="宋体" w:hAnsi="宋体"/>
          <w:kern w:val="0"/>
        </w:rPr>
        <w:t>食品安全管理人员（签字）：</w:t>
      </w:r>
    </w:p>
    <w:p>
      <w:pPr>
        <w:widowControl/>
        <w:autoSpaceDE w:val="0"/>
        <w:autoSpaceDN w:val="0"/>
        <w:adjustRightInd/>
        <w:spacing w:line="240" w:lineRule="auto"/>
        <w:ind w:firstLine="420" w:firstLineChars="200"/>
        <w:rPr>
          <w:rFonts w:hint="eastAsia" w:ascii="宋体" w:hAnsi="Times New Roman"/>
          <w:kern w:val="0"/>
        </w:rPr>
      </w:pPr>
      <w:r>
        <w:rPr>
          <w:rFonts w:hint="eastAsia" w:ascii="宋体" w:hAnsi="Times New Roman"/>
          <w:kern w:val="0"/>
        </w:rPr>
        <w:t xml:space="preserve"> </w:t>
      </w:r>
    </w:p>
    <w:p>
      <w:pPr>
        <w:widowControl/>
        <w:autoSpaceDE w:val="0"/>
        <w:autoSpaceDN w:val="0"/>
        <w:adjustRightInd/>
        <w:spacing w:line="240" w:lineRule="auto"/>
        <w:ind w:firstLine="360" w:firstLineChars="200"/>
        <w:rPr>
          <w:rFonts w:hint="eastAsia" w:ascii="宋体" w:hAnsi="Times New Roman"/>
          <w:kern w:val="0"/>
          <w:sz w:val="18"/>
          <w:szCs w:val="18"/>
        </w:rPr>
      </w:pPr>
      <w:r>
        <w:rPr>
          <w:rFonts w:hint="eastAsia" w:ascii="黑体" w:hAnsi="黑体" w:eastAsia="黑体" w:cs="黑体"/>
          <w:kern w:val="0"/>
          <w:sz w:val="18"/>
          <w:szCs w:val="18"/>
        </w:rPr>
        <w:t>注：</w:t>
      </w:r>
      <w:r>
        <w:rPr>
          <w:rFonts w:hint="eastAsia" w:ascii="宋体" w:hAnsi="宋体"/>
          <w:kern w:val="0"/>
          <w:sz w:val="18"/>
          <w:szCs w:val="18"/>
        </w:rPr>
        <w:t>此表由食品采购验收人员填写。入库前必须认真查验、留存核对索证索票资料，做到货证相符</w:t>
      </w:r>
      <w:r>
        <w:rPr>
          <w:rFonts w:hint="eastAsia" w:ascii="宋体" w:hAnsi="宋体"/>
          <w:kern w:val="0"/>
          <w:sz w:val="18"/>
          <w:szCs w:val="18"/>
          <w:lang w:eastAsia="zh-CN"/>
        </w:rPr>
        <w:t>。</w:t>
      </w:r>
      <w:r>
        <w:rPr>
          <w:rFonts w:hint="eastAsia" w:ascii="宋体" w:hAnsi="宋体"/>
          <w:kern w:val="0"/>
          <w:sz w:val="18"/>
          <w:szCs w:val="18"/>
        </w:rPr>
        <w:t>按月整理或按照食品类别分别装订电子一票通等有效凭证。鼓励借助信息化方式建立电子台账。</w:t>
      </w: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bookmarkEnd w:id="73"/>
    <w:p>
      <w:pPr>
        <w:pStyle w:val="56"/>
        <w:ind w:firstLine="420"/>
        <w:sectPr>
          <w:pgSz w:w="11906" w:h="16838"/>
          <w:pgMar w:top="1928" w:right="1134" w:bottom="1134" w:left="1134" w:header="1418" w:footer="1134" w:gutter="284"/>
          <w:cols w:space="425" w:num="1"/>
          <w:formProt w:val="0"/>
          <w:docGrid w:type="lines" w:linePitch="312" w:charSpace="0"/>
        </w:sectPr>
      </w:pPr>
      <w:bookmarkStart w:id="82" w:name="BookMark6"/>
    </w:p>
    <w:p>
      <w:pPr>
        <w:pStyle w:val="63"/>
        <w:spacing w:after="156"/>
        <w:rPr>
          <w:rFonts w:hint="eastAsia"/>
        </w:rPr>
      </w:pPr>
      <w:bookmarkStart w:id="83" w:name="_Toc201247741"/>
      <w:r>
        <w:rPr>
          <w:rFonts w:hint="eastAsia"/>
          <w:spacing w:val="105"/>
        </w:rPr>
        <w:t>参考文</w:t>
      </w:r>
      <w:r>
        <w:rPr>
          <w:rFonts w:hint="eastAsia"/>
        </w:rPr>
        <w:t>献</w:t>
      </w:r>
      <w:bookmarkEnd w:id="83"/>
    </w:p>
    <w:p>
      <w:pPr>
        <w:widowControl/>
        <w:autoSpaceDE w:val="0"/>
        <w:autoSpaceDN w:val="0"/>
        <w:adjustRightInd/>
        <w:spacing w:line="240" w:lineRule="auto"/>
        <w:ind w:firstLine="420" w:firstLineChars="200"/>
        <w:rPr>
          <w:rFonts w:hint="eastAsia" w:ascii="宋体" w:hAnsi="宋体" w:eastAsia="宋体" w:cs="宋体"/>
          <w:kern w:val="0"/>
        </w:rPr>
      </w:pPr>
      <w:bookmarkStart w:id="84" w:name="_GoBack"/>
      <w:r>
        <w:rPr>
          <w:rFonts w:hint="eastAsia" w:ascii="宋体" w:hAnsi="宋体" w:eastAsia="宋体" w:cs="宋体"/>
          <w:kern w:val="0"/>
        </w:rPr>
        <w:t>[1] 全国人民代表大会常务委员会.中华人民共和国食品安全法[Z].2021年4月29日.</w:t>
      </w:r>
    </w:p>
    <w:p>
      <w:pPr>
        <w:widowControl/>
        <w:autoSpaceDE w:val="0"/>
        <w:autoSpaceDN w:val="0"/>
        <w:adjustRightInd/>
        <w:spacing w:line="240" w:lineRule="auto"/>
        <w:ind w:firstLine="420" w:firstLineChars="200"/>
        <w:rPr>
          <w:rFonts w:hint="eastAsia" w:ascii="宋体" w:hAnsi="宋体" w:eastAsia="宋体" w:cs="宋体"/>
          <w:kern w:val="0"/>
        </w:rPr>
      </w:pPr>
      <w:r>
        <w:rPr>
          <w:rFonts w:hint="eastAsia" w:ascii="宋体" w:hAnsi="宋体" w:eastAsia="宋体" w:cs="宋体"/>
          <w:kern w:val="0"/>
        </w:rPr>
        <w:t>[2] 国务院.中华人民共和国食品安全法实施条例[Z].2019年10月11日.</w:t>
      </w:r>
    </w:p>
    <w:p>
      <w:pPr>
        <w:widowControl/>
        <w:autoSpaceDE w:val="0"/>
        <w:autoSpaceDN w:val="0"/>
        <w:adjustRightInd/>
        <w:spacing w:line="240" w:lineRule="auto"/>
        <w:ind w:firstLine="420" w:firstLineChars="200"/>
        <w:rPr>
          <w:rFonts w:hint="eastAsia" w:ascii="宋体" w:hAnsi="宋体" w:eastAsia="宋体" w:cs="宋体"/>
          <w:kern w:val="0"/>
        </w:rPr>
      </w:pPr>
      <w:r>
        <w:rPr>
          <w:rFonts w:hint="eastAsia" w:ascii="宋体" w:hAnsi="宋体" w:eastAsia="宋体" w:cs="宋体"/>
          <w:kern w:val="0"/>
        </w:rPr>
        <w:t>[3] 全国人民代表常务委员会.中华人民共和国农产品质量安全法[Z].2022年9月2日.</w:t>
      </w:r>
    </w:p>
    <w:p>
      <w:pPr>
        <w:widowControl/>
        <w:autoSpaceDE w:val="0"/>
        <w:autoSpaceDN w:val="0"/>
        <w:adjustRightInd/>
        <w:spacing w:line="240" w:lineRule="auto"/>
        <w:ind w:firstLine="420" w:firstLineChars="200"/>
        <w:rPr>
          <w:rFonts w:hint="eastAsia" w:ascii="宋体" w:hAnsi="宋体" w:eastAsia="宋体" w:cs="宋体"/>
          <w:kern w:val="0"/>
        </w:rPr>
      </w:pPr>
      <w:r>
        <w:rPr>
          <w:rFonts w:hint="eastAsia" w:ascii="宋体" w:hAnsi="宋体" w:eastAsia="宋体" w:cs="宋体"/>
          <w:kern w:val="0"/>
        </w:rPr>
        <w:t>[4] 教育部,国家市场监督管理总局,国家卫生健康委员会.学校食品安全与营养健康管理规定[Z].</w:t>
      </w:r>
    </w:p>
    <w:p>
      <w:pPr>
        <w:widowControl/>
        <w:autoSpaceDE w:val="0"/>
        <w:autoSpaceDN w:val="0"/>
        <w:adjustRightInd/>
        <w:spacing w:line="240" w:lineRule="auto"/>
        <w:ind w:firstLine="420" w:firstLineChars="200"/>
        <w:rPr>
          <w:rFonts w:hint="eastAsia" w:ascii="宋体" w:hAnsi="宋体" w:eastAsia="宋体" w:cs="宋体"/>
          <w:kern w:val="0"/>
        </w:rPr>
      </w:pPr>
      <w:r>
        <w:rPr>
          <w:rFonts w:hint="eastAsia" w:ascii="宋体" w:hAnsi="宋体" w:eastAsia="宋体" w:cs="宋体"/>
          <w:kern w:val="0"/>
        </w:rPr>
        <w:t>2019年2月20日.</w:t>
      </w:r>
    </w:p>
    <w:p>
      <w:pPr>
        <w:widowControl/>
        <w:ind w:firstLine="420" w:firstLineChars="200"/>
        <w:jc w:val="left"/>
        <w:rPr>
          <w:rFonts w:hint="eastAsia" w:ascii="宋体" w:hAnsi="宋体" w:eastAsia="宋体" w:cs="宋体"/>
        </w:rPr>
      </w:pPr>
      <w:r>
        <w:rPr>
          <w:rFonts w:hint="eastAsia" w:ascii="宋体" w:hAnsi="宋体" w:eastAsia="宋体" w:cs="宋体"/>
          <w:kern w:val="0"/>
        </w:rPr>
        <w:t>[5]国家食品药品监督管理局.餐饮服务食品采购索证索票管理规定[Z].2011年4月18日.</w:t>
      </w:r>
    </w:p>
    <w:p>
      <w:pPr>
        <w:widowControl/>
        <w:ind w:firstLine="420" w:firstLineChars="200"/>
        <w:jc w:val="left"/>
        <w:rPr>
          <w:rFonts w:hint="eastAsia" w:ascii="宋体" w:hAnsi="宋体" w:eastAsia="宋体" w:cs="宋体"/>
          <w:kern w:val="0"/>
        </w:rPr>
      </w:pPr>
      <w:r>
        <w:rPr>
          <w:rFonts w:hint="eastAsia" w:ascii="宋体" w:hAnsi="宋体" w:eastAsia="宋体" w:cs="宋体"/>
          <w:kern w:val="0"/>
        </w:rPr>
        <w:t xml:space="preserve">[6] </w:t>
      </w:r>
      <w:r>
        <w:rPr>
          <w:rFonts w:hint="eastAsia" w:ascii="宋体" w:hAnsi="宋体" w:eastAsia="宋体" w:cs="宋体"/>
        </w:rPr>
        <w:t>国家市场监督管理总局.餐饮服务</w:t>
      </w:r>
      <w:r>
        <w:rPr>
          <w:rFonts w:hint="eastAsia" w:ascii="宋体" w:hAnsi="宋体" w:eastAsia="宋体" w:cs="宋体"/>
          <w:kern w:val="0"/>
        </w:rPr>
        <w:t>食品安全操作规范[Z].2018年6月22日.</w:t>
      </w:r>
    </w:p>
    <w:bookmarkEnd w:id="84"/>
    <w:p>
      <w:pPr>
        <w:widowControl/>
        <w:autoSpaceDE w:val="0"/>
        <w:autoSpaceDN w:val="0"/>
        <w:adjustRightInd/>
        <w:spacing w:line="240" w:lineRule="auto"/>
        <w:jc w:val="center"/>
        <w:rPr>
          <w:rFonts w:hint="eastAsia"/>
        </w:rPr>
      </w:pPr>
      <w:r>
        <w:rPr>
          <w:rFonts w:ascii="宋体" w:hAnsi="Times New Roman"/>
          <w:kern w:val="0"/>
        </w:rPr>
        <w:drawing>
          <wp:inline distT="0" distB="0" distL="0" distR="0">
            <wp:extent cx="1485265" cy="313690"/>
            <wp:effectExtent l="0" t="0" r="635" b="0"/>
            <wp:docPr id="2"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true" noChangeArrowheads="true"/>
                    </pic:cNvPicPr>
                  </pic:nvPicPr>
                  <pic:blipFill>
                    <a:blip r:embed="rId16">
                      <a:extLst>
                        <a:ext uri="{28A0092B-C50C-407E-A947-70E740481C1C}">
                          <a14:useLocalDpi xmlns:a14="http://schemas.microsoft.com/office/drawing/2010/main" val="false"/>
                        </a:ext>
                      </a:extLst>
                    </a:blip>
                    <a:srcRect/>
                    <a:stretch>
                      <a:fillRect/>
                    </a:stretch>
                  </pic:blipFill>
                  <pic:spPr>
                    <a:xfrm>
                      <a:off x="0" y="0"/>
                      <a:ext cx="1485265" cy="313690"/>
                    </a:xfrm>
                    <a:prstGeom prst="rect">
                      <a:avLst/>
                    </a:prstGeom>
                    <a:noFill/>
                    <a:ln>
                      <a:noFill/>
                    </a:ln>
                  </pic:spPr>
                </pic:pic>
              </a:graphicData>
            </a:graphic>
          </wp:inline>
        </w:drawing>
      </w:r>
      <w:bookmarkEnd w:id="82"/>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Light">
    <w:altName w:val="华文仿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C059">
    <w:panose1 w:val="00000000000000000000"/>
    <w:charset w:val="00"/>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 w:name="CESI楷体-GB2312">
    <w:panose1 w:val="02000500000000000000"/>
    <w:charset w:val="86"/>
    <w:family w:val="auto"/>
    <w:pitch w:val="default"/>
    <w:sig w:usb0="800002BF" w:usb1="184F6CF8" w:usb2="00000012" w:usb3="00000000" w:csb0="0004000F" w:csb1="00000000"/>
  </w:font>
  <w:font w:name="仿宋">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黑体">
    <w:altName w:val="方正黑体_GBK"/>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62/T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A2C56"/>
    <w:multiLevelType w:val="singleLevel"/>
    <w:tmpl w:val="FFBA2C56"/>
    <w:lvl w:ilvl="0" w:tentative="0">
      <w:start w:val="3"/>
      <w:numFmt w:val="decimal"/>
      <w:lvlText w:val="%1)"/>
      <w:lvlJc w:val="left"/>
      <w:pPr>
        <w:tabs>
          <w:tab w:val="left" w:pos="312"/>
        </w:tabs>
      </w:p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true"/>
  <w:bordersDoNotSurroundFooter w:val="true"/>
  <w:attachedTemplate r:id="rId1"/>
  <w:documentProtection w:edit="forms" w:enforcement="1" w:cryptProviderType="rsaAES" w:cryptAlgorithmClass="hash" w:cryptAlgorithmType="typeAny" w:cryptAlgorithmSid="14" w:cryptSpinCount="100000" w:hash="KbkNhCWqHWp1h47UYZb3gUqA1SA2Ab0XdXGVWpPwZp2sBJNOLY+hAPzFFnUfnOtHbw9X1jvBGxpMe89gNtWLCQ==" w:salt="gaBnVB7br3a1bjkHZPzJF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C16"/>
    <w:rsid w:val="0000040A"/>
    <w:rsid w:val="00000A94"/>
    <w:rsid w:val="00001972"/>
    <w:rsid w:val="00001D9A"/>
    <w:rsid w:val="00007B3A"/>
    <w:rsid w:val="000107E0"/>
    <w:rsid w:val="00011FDE"/>
    <w:rsid w:val="000129B9"/>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5A0"/>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3BFA"/>
    <w:rsid w:val="002F7AF6"/>
    <w:rsid w:val="00300E63"/>
    <w:rsid w:val="00302F5F"/>
    <w:rsid w:val="0030441D"/>
    <w:rsid w:val="00306063"/>
    <w:rsid w:val="00313B85"/>
    <w:rsid w:val="00317988"/>
    <w:rsid w:val="00321A1F"/>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1C6"/>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1FE9"/>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BA2"/>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7F6"/>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459"/>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7C16"/>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7C0"/>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2DDB"/>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558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BDF1CC8"/>
    <w:rsid w:val="174943D0"/>
    <w:rsid w:val="1AF562C3"/>
    <w:rsid w:val="295E6F3D"/>
    <w:rsid w:val="2A75369A"/>
    <w:rsid w:val="2DD97F60"/>
    <w:rsid w:val="36AF2D20"/>
    <w:rsid w:val="3CFB12BC"/>
    <w:rsid w:val="3D755A38"/>
    <w:rsid w:val="3FFF356B"/>
    <w:rsid w:val="4858299F"/>
    <w:rsid w:val="4C0F043D"/>
    <w:rsid w:val="4DFD10E9"/>
    <w:rsid w:val="4FBF29F5"/>
    <w:rsid w:val="4FFE50E3"/>
    <w:rsid w:val="535F3991"/>
    <w:rsid w:val="57FE9FAA"/>
    <w:rsid w:val="58C46FE0"/>
    <w:rsid w:val="58FB32C4"/>
    <w:rsid w:val="59E72C2F"/>
    <w:rsid w:val="5BEF64FB"/>
    <w:rsid w:val="5D7DC189"/>
    <w:rsid w:val="5E7B4D7F"/>
    <w:rsid w:val="5F0404C6"/>
    <w:rsid w:val="5FF7300C"/>
    <w:rsid w:val="696F798D"/>
    <w:rsid w:val="6ACB846E"/>
    <w:rsid w:val="6CFB0858"/>
    <w:rsid w:val="6EED5849"/>
    <w:rsid w:val="6FBF8EA1"/>
    <w:rsid w:val="73BE56E6"/>
    <w:rsid w:val="73D85009"/>
    <w:rsid w:val="75F64D20"/>
    <w:rsid w:val="77118918"/>
    <w:rsid w:val="77D78F0C"/>
    <w:rsid w:val="77FF29DA"/>
    <w:rsid w:val="79BED9D1"/>
    <w:rsid w:val="7AE3AB40"/>
    <w:rsid w:val="7B4E9902"/>
    <w:rsid w:val="7B61CAC4"/>
    <w:rsid w:val="7BDFC034"/>
    <w:rsid w:val="7D052831"/>
    <w:rsid w:val="7DB7A8B7"/>
    <w:rsid w:val="7DFEE6DA"/>
    <w:rsid w:val="7DFF78D0"/>
    <w:rsid w:val="7EDC516A"/>
    <w:rsid w:val="7EDF8F37"/>
    <w:rsid w:val="7EDFA0B7"/>
    <w:rsid w:val="7FCFE9AE"/>
    <w:rsid w:val="7FE3356C"/>
    <w:rsid w:val="7FF7441C"/>
    <w:rsid w:val="7FFD3680"/>
    <w:rsid w:val="7FFF658A"/>
    <w:rsid w:val="9EFBF422"/>
    <w:rsid w:val="AF74DA16"/>
    <w:rsid w:val="B77F6217"/>
    <w:rsid w:val="B7EFE1DA"/>
    <w:rsid w:val="B9AB6D26"/>
    <w:rsid w:val="BBF14AF6"/>
    <w:rsid w:val="BFB35FA9"/>
    <w:rsid w:val="BFFF4E03"/>
    <w:rsid w:val="CE9FD06D"/>
    <w:rsid w:val="CFFFB0B9"/>
    <w:rsid w:val="D3FFC0F8"/>
    <w:rsid w:val="D4EFF6EA"/>
    <w:rsid w:val="DF9792B2"/>
    <w:rsid w:val="DFC66B25"/>
    <w:rsid w:val="DFEBF21E"/>
    <w:rsid w:val="DFF36E74"/>
    <w:rsid w:val="E2BFF78F"/>
    <w:rsid w:val="EBCFBE52"/>
    <w:rsid w:val="ED7F7D98"/>
    <w:rsid w:val="EDEB0F08"/>
    <w:rsid w:val="EEFD8F53"/>
    <w:rsid w:val="F11F2DD6"/>
    <w:rsid w:val="F47722AB"/>
    <w:rsid w:val="F5763BB5"/>
    <w:rsid w:val="F6F2CA7B"/>
    <w:rsid w:val="F7F9C108"/>
    <w:rsid w:val="FB6F50B0"/>
    <w:rsid w:val="FBD7725D"/>
    <w:rsid w:val="FBDF61DC"/>
    <w:rsid w:val="FBFAB08D"/>
    <w:rsid w:val="FD6BDD49"/>
    <w:rsid w:val="FE66BB9B"/>
    <w:rsid w:val="FEE7032F"/>
    <w:rsid w:val="FEFE8F3B"/>
    <w:rsid w:val="FF0F676E"/>
    <w:rsid w:val="FF7D22E5"/>
    <w:rsid w:val="FFBE472A"/>
    <w:rsid w:val="FFBF64C9"/>
    <w:rsid w:val="FFEC26EE"/>
    <w:rsid w:val="FFF2E008"/>
    <w:rsid w:val="FFFF1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网格型1"/>
    <w:basedOn w:val="26"/>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网格型2"/>
    <w:basedOn w:val="26"/>
    <w:qFormat/>
    <w:uiPriority w:val="9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网格型3"/>
    <w:basedOn w:val="26"/>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网格型4"/>
    <w:basedOn w:val="26"/>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网格型5"/>
    <w:basedOn w:val="26"/>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
    <w:name w:val="Normal"/>
    <w:qFormat/>
    <w:uiPriority w:val="0"/>
    <w:pPr>
      <w:jc w:val="both"/>
    </w:pPr>
    <w:rPr>
      <w:rFonts w:ascii="Times New Roman" w:hAnsi="Times New Roman" w:eastAsia="宋体" w:cs="Times New Roman"/>
      <w:kern w:val="2"/>
      <w:sz w:val="21"/>
      <w:szCs w:val="21"/>
      <w:lang w:val="en-US" w:eastAsia="zh-CN" w:bidi="ar-SA"/>
    </w:rPr>
  </w:style>
  <w:style w:type="table" w:customStyle="1" w:styleId="236">
    <w:name w:val="网格型6"/>
    <w:basedOn w:val="26"/>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ykyxl/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8820909543242CF8F6DC04524E9E09A"/>
        <w:style w:val=""/>
        <w:category>
          <w:name w:val="常规"/>
          <w:gallery w:val="placeholder"/>
        </w:category>
        <w:types>
          <w:type w:val="bbPlcHdr"/>
        </w:types>
        <w:behaviors>
          <w:behavior w:val="content"/>
        </w:behaviors>
        <w:description w:val=""/>
        <w:guid w:val="{75EB6EE0-47D5-43CF-959D-265A13A2293F}"/>
      </w:docPartPr>
      <w:docPartBody>
        <w:p>
          <w:pPr>
            <w:pStyle w:val="5"/>
          </w:pPr>
          <w:r>
            <w:rPr>
              <w:rStyle w:val="4"/>
              <w:rFonts w:hint="eastAsia"/>
            </w:rPr>
            <w:t>单击或点击此处输入文字。</w:t>
          </w:r>
        </w:p>
      </w:docPartBody>
    </w:docPart>
    <w:docPart>
      <w:docPartPr>
        <w:name w:val="41AA0F9C256941DCAFFE0763A82A38AA"/>
        <w:style w:val=""/>
        <w:category>
          <w:name w:val="常规"/>
          <w:gallery w:val="placeholder"/>
        </w:category>
        <w:types>
          <w:type w:val="bbPlcHdr"/>
        </w:types>
        <w:behaviors>
          <w:behavior w:val="content"/>
        </w:behaviors>
        <w:description w:val=""/>
        <w:guid w:val="{69394C15-5AB8-4DAF-9BE9-2392139CFF12}"/>
      </w:docPartPr>
      <w:docPartBody>
        <w:p>
          <w:pPr>
            <w:pStyle w:val="6"/>
          </w:pPr>
          <w:r>
            <w:rPr>
              <w:rStyle w:val="4"/>
              <w:rFonts w:hint="eastAsia"/>
            </w:rPr>
            <w:t>选择一项。</w:t>
          </w:r>
        </w:p>
      </w:docPartBody>
    </w:docPart>
    <w:docPart>
      <w:docPartPr>
        <w:name w:val="14F985254F4F440FBE97249F0E54F589"/>
        <w:style w:val=""/>
        <w:category>
          <w:name w:val="常规"/>
          <w:gallery w:val="placeholder"/>
        </w:category>
        <w:types>
          <w:type w:val="bbPlcHdr"/>
        </w:types>
        <w:behaviors>
          <w:behavior w:val="content"/>
        </w:behaviors>
        <w:description w:val=""/>
        <w:guid w:val="{D346592F-D016-431E-99D2-AF0D0C7E2B23}"/>
      </w:docPartPr>
      <w:docPartBody>
        <w:p>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方正黑体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汉仪仿宋S">
    <w:panose1 w:val="00020600040101000101"/>
    <w:charset w:val="86"/>
    <w:family w:val="auto"/>
    <w:pitch w:val="default"/>
    <w:sig w:usb0="A00002BF" w:usb1="38CF7CFA" w:usb2="00000016" w:usb3="00000000" w:csb0="0004009F" w:csb1="00000000"/>
  </w:font>
  <w:font w:name="URW Bookman">
    <w:panose1 w:val="00000400000000000000"/>
    <w:charset w:val="00"/>
    <w:family w:val="auto"/>
    <w:pitch w:val="default"/>
    <w:sig w:usb0="00000287" w:usb1="00000800" w:usb2="00000000" w:usb3="00000000" w:csb0="600000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34"/>
    <w:rsid w:val="006867F6"/>
    <w:rsid w:val="009F0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8820909543242CF8F6DC04524E9E09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41AA0F9C256941DCAFFE0763A82A38A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4F985254F4F440FBE97249F0E54F58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21</Pages>
  <Words>3582</Words>
  <Characters>3879</Characters>
  <Lines>1358</Lines>
  <Paragraphs>1222</Paragraphs>
  <TotalTime>77</TotalTime>
  <ScaleCrop>false</ScaleCrop>
  <LinksUpToDate>false</LinksUpToDate>
  <CharactersWithSpaces>4046</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2025-06-22T16:21:00Z</dcterms:created>
  <dc:creator>BZH</dc:creator>
  <dc:description>&lt;config cover="true" show_menu="true" version="1.0.0" doctype="SDKXY"&gt;_x000d_
&lt;/config&gt;</dc:description>
  <cp:lastModifiedBy>xjkp</cp:lastModifiedBy>
  <cp:lastPrinted>2025-06-22T17:49:00Z</cp:lastPrinted>
  <dcterms:modified xsi:type="dcterms:W3CDTF">2025-07-22T15:12:11Z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eyJoZGlkIjoiYmRkNjlhOWNlODYzOTNmMDAzYTFhMjkxNzk5Y2U3MWIiLCJ1c2VySWQiOiI5NDE3NzA4MjIifQ==</vt:lpwstr>
  </property>
  <property fmtid="{D5CDD505-2E9C-101B-9397-08002B2CF9AE}" pid="15" name="KSOProductBuildVer">
    <vt:lpwstr>2052-11.8.2.10489</vt:lpwstr>
  </property>
  <property fmtid="{D5CDD505-2E9C-101B-9397-08002B2CF9AE}" pid="16" name="ICV">
    <vt:lpwstr>A190D9B087DC4F15B53C11EE550FB1E7_12</vt:lpwstr>
  </property>
</Properties>
</file>