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5CB31">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《优质</w:t>
      </w:r>
      <w:r>
        <w:rPr>
          <w:rFonts w:hint="eastAsia" w:ascii="宋体" w:hAnsi="宋体" w:cs="宋体"/>
          <w:sz w:val="44"/>
          <w:szCs w:val="44"/>
          <w:lang w:eastAsia="zh-CN"/>
        </w:rPr>
        <w:t>西兰花</w:t>
      </w:r>
      <w:r>
        <w:rPr>
          <w:rFonts w:hint="eastAsia" w:ascii="宋体" w:hAnsi="宋体" w:eastAsia="宋体" w:cs="宋体"/>
          <w:sz w:val="44"/>
          <w:szCs w:val="44"/>
          <w:lang w:eastAsia="zh-CN"/>
        </w:rPr>
        <w:t>生产技术规程》编制说明</w:t>
      </w:r>
    </w:p>
    <w:p w14:paraId="5D4DEB41">
      <w:pPr>
        <w:numPr>
          <w:ilvl w:val="0"/>
          <w:numId w:val="0"/>
        </w:numPr>
        <w:jc w:val="both"/>
        <w:rPr>
          <w:rFonts w:hint="eastAsia" w:ascii="黑体" w:hAnsi="黑体" w:eastAsia="黑体" w:cs="黑体"/>
          <w:kern w:val="2"/>
          <w:sz w:val="32"/>
          <w:szCs w:val="32"/>
          <w:lang w:val="en-US" w:eastAsia="zh-CN" w:bidi="ar-SA"/>
        </w:rPr>
      </w:pPr>
    </w:p>
    <w:p w14:paraId="7A2B3DD1">
      <w:pPr>
        <w:numPr>
          <w:ilvl w:val="0"/>
          <w:numId w:val="0"/>
        </w:numPr>
        <w:jc w:val="both"/>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eastAsia="zh-CN"/>
        </w:rPr>
        <w:t>项目基本情况</w:t>
      </w:r>
    </w:p>
    <w:p w14:paraId="19F4C0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任务来源</w:t>
      </w:r>
    </w:p>
    <w:p w14:paraId="168869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zh-CN" w:eastAsia="zh-CN"/>
        </w:rPr>
        <w:t>按照农业农村部关于加快农产品提档升级的统一部署和广东省委“1310”具体部署，为加快构建以品质提升为核心的优质农产品发展体系，助力推动“深圳标准”引领全国农产品行业转型升级，有效推动农产品</w:t>
      </w:r>
      <w:r>
        <w:rPr>
          <w:rFonts w:hint="eastAsia" w:ascii="仿宋_GB2312" w:eastAsia="仿宋_GB2312"/>
          <w:sz w:val="32"/>
          <w:szCs w:val="32"/>
          <w:lang w:val="en-US" w:eastAsia="zh-CN"/>
        </w:rPr>
        <w:t>质量提档升级，建立以市场需求为导向的品质评价和质量分级制度</w:t>
      </w:r>
      <w:r>
        <w:rPr>
          <w:rFonts w:hint="eastAsia" w:ascii="仿宋_GB2312" w:eastAsia="仿宋_GB2312"/>
          <w:sz w:val="32"/>
          <w:szCs w:val="32"/>
          <w:lang w:val="zh-CN" w:eastAsia="zh-CN"/>
        </w:rPr>
        <w:t>，</w:t>
      </w:r>
      <w:r>
        <w:rPr>
          <w:rFonts w:hint="eastAsia" w:ascii="仿宋_GB2312" w:eastAsia="仿宋_GB2312"/>
          <w:sz w:val="32"/>
          <w:szCs w:val="32"/>
          <w:lang w:val="en-US" w:eastAsia="zh-CN"/>
        </w:rPr>
        <w:t>由深圳农产品质量提升联盟提出，深圳市农产品质量安全检验检测中心负责团体标准</w:t>
      </w:r>
      <w:r>
        <w:rPr>
          <w:rFonts w:hint="eastAsia" w:ascii="仿宋_GB2312" w:eastAsia="仿宋_GB2312"/>
          <w:sz w:val="32"/>
          <w:szCs w:val="32"/>
        </w:rPr>
        <w:t>《</w:t>
      </w:r>
      <w:r>
        <w:rPr>
          <w:rFonts w:hint="eastAsia" w:ascii="仿宋_GB2312" w:eastAsia="仿宋_GB2312"/>
          <w:sz w:val="32"/>
          <w:szCs w:val="32"/>
          <w:lang w:eastAsia="zh-CN"/>
        </w:rPr>
        <w:t>优质</w:t>
      </w:r>
      <w:r>
        <w:rPr>
          <w:rFonts w:hint="eastAsia" w:ascii="仿宋_GB2312" w:eastAsia="仿宋_GB2312"/>
          <w:sz w:val="32"/>
          <w:szCs w:val="32"/>
          <w:lang w:val="en-US" w:eastAsia="zh-CN"/>
        </w:rPr>
        <w:t>西兰花</w:t>
      </w:r>
      <w:r>
        <w:rPr>
          <w:rFonts w:hint="eastAsia" w:ascii="仿宋_GB2312" w:eastAsia="仿宋_GB2312"/>
          <w:sz w:val="32"/>
          <w:szCs w:val="32"/>
          <w:lang w:eastAsia="zh-CN"/>
        </w:rPr>
        <w:t>生产</w:t>
      </w:r>
      <w:r>
        <w:rPr>
          <w:rFonts w:hint="eastAsia" w:ascii="仿宋_GB2312" w:eastAsia="仿宋_GB2312"/>
          <w:sz w:val="32"/>
          <w:szCs w:val="32"/>
        </w:rPr>
        <w:t>技术规程》</w:t>
      </w:r>
      <w:r>
        <w:rPr>
          <w:rFonts w:hint="eastAsia" w:ascii="仿宋_GB2312" w:eastAsia="仿宋_GB2312"/>
          <w:sz w:val="32"/>
          <w:szCs w:val="32"/>
          <w:lang w:val="en-US" w:eastAsia="zh-CN"/>
        </w:rPr>
        <w:t>的</w:t>
      </w:r>
      <w:bookmarkStart w:id="0" w:name="_GoBack"/>
      <w:bookmarkEnd w:id="0"/>
      <w:r>
        <w:rPr>
          <w:rFonts w:hint="eastAsia" w:ascii="仿宋_GB2312" w:eastAsia="仿宋_GB2312"/>
          <w:sz w:val="32"/>
          <w:szCs w:val="32"/>
          <w:lang w:val="en-US" w:eastAsia="zh-CN"/>
        </w:rPr>
        <w:t>起草</w:t>
      </w:r>
      <w:r>
        <w:rPr>
          <w:rFonts w:hint="eastAsia" w:ascii="仿宋_GB2312" w:hAnsi="仿宋_GB2312" w:eastAsia="仿宋_GB2312" w:cs="仿宋_GB2312"/>
          <w:sz w:val="32"/>
          <w:szCs w:val="32"/>
          <w:lang w:val="en-US" w:eastAsia="zh-CN"/>
        </w:rPr>
        <w:t>。</w:t>
      </w:r>
    </w:p>
    <w:p w14:paraId="1CCB88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（二）参与单位</w:t>
      </w:r>
    </w:p>
    <w:p w14:paraId="206DF4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牵头起草单位：深圳市农产品质量安全检验检测中心</w:t>
      </w:r>
    </w:p>
    <w:p w14:paraId="22735AAE">
      <w:pPr>
        <w:ind w:firstLine="640" w:firstLineChars="200"/>
        <w:rPr>
          <w:rFonts w:hint="eastAsia" w:ascii="仿宋_GB2312" w:eastAsia="仿宋_GB2312" w:cs="Times New Roman"/>
          <w:sz w:val="32"/>
          <w:szCs w:val="32"/>
          <w:lang w:val="en-US" w:eastAsia="zh-CN"/>
        </w:rPr>
      </w:pPr>
      <w:r>
        <w:rPr>
          <w:rFonts w:hint="eastAsia" w:ascii="仿宋_GB2312" w:hAnsi="仿宋_GB2312" w:eastAsia="仿宋_GB2312" w:cs="仿宋_GB2312"/>
          <w:sz w:val="32"/>
          <w:szCs w:val="32"/>
          <w:lang w:val="en-US" w:eastAsia="zh-CN"/>
        </w:rPr>
        <w:t>参与起草单位：</w:t>
      </w:r>
      <w:r>
        <w:rPr>
          <w:rFonts w:hint="eastAsia" w:ascii="仿宋_GB2312" w:eastAsia="仿宋_GB2312" w:cs="Times New Roman"/>
          <w:sz w:val="32"/>
          <w:szCs w:val="32"/>
          <w:lang w:val="en-US" w:eastAsia="zh-CN"/>
        </w:rPr>
        <w:t>深圳市茂雄万家农副产品有限公司、深圳市中鼎检测技术有限公司、深圳市农业产业化龙头企业协会。</w:t>
      </w:r>
    </w:p>
    <w:p w14:paraId="174123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（三）主要起草人</w:t>
      </w:r>
    </w:p>
    <w:p w14:paraId="0749D99E">
      <w:pPr>
        <w:keepNext w:val="0"/>
        <w:keepLines w:val="0"/>
        <w:pageBreakBefore w:val="0"/>
        <w:widowControl w:val="0"/>
        <w:numPr>
          <w:ilvl w:val="0"/>
          <w:numId w:val="0"/>
        </w:numPr>
        <w:kinsoku/>
        <w:wordWrap/>
        <w:overflowPunct/>
        <w:topLinePunct w:val="0"/>
        <w:bidi w:val="0"/>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xxxx。</w:t>
      </w:r>
    </w:p>
    <w:p w14:paraId="47883F45">
      <w:pPr>
        <w:keepNext w:val="0"/>
        <w:keepLines w:val="0"/>
        <w:pageBreakBefore w:val="0"/>
        <w:widowControl w:val="0"/>
        <w:numPr>
          <w:ilvl w:val="0"/>
          <w:numId w:val="0"/>
        </w:numPr>
        <w:kinsoku/>
        <w:wordWrap/>
        <w:overflowPunct/>
        <w:topLinePunct w:val="0"/>
        <w:bidi w:val="0"/>
        <w:spacing w:line="560" w:lineRule="exact"/>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eastAsia="zh-CN"/>
        </w:rPr>
        <w:t>立项背景和意义</w:t>
      </w:r>
    </w:p>
    <w:p w14:paraId="63D7AC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适应当前农产品消费结构升级大趋势，加快构建以质量提升为核心的优质农产品发展体系，推动“深圳标准”引领全国农产品行业转型升级，根据《深圳市农产品质量分级试点工作方案》有关要求，围绕市场需求，对标高品质农产品品质标准关键指标，引导试点企业边试点、边提质、边总结，对西兰花育苗、定植、病虫害防治等技术方法以及生产各阶段管理持续改进，形成良好农业生产技术规程。</w:t>
      </w:r>
    </w:p>
    <w:p w14:paraId="14BC98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圳市在西兰花的消费、加工、利用等方面处于全国前列，凭借区位、资源和市场优势，近十年来，甘肃、宁夏、云南等地的供深西兰花基地在优化种植业结构、推动蔬菜产业化进程、增加企业效益和竞争力等方面发挥了重要的作用。随着西兰花实现周年稳定供应，人们对其品质和安全性的要求也愈发严苛，对高品质产品体验的追求日益迫切。</w:t>
      </w:r>
    </w:p>
    <w:p w14:paraId="138B73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此背景下，亟需为供深基地制定科学、规范的全流程西兰花生产操作指引，从源头保障供深西兰花的品质与安全性，增强企业核心竞争力，为公众提供质优价优的农产品。为此，深圳市农产品质量安全检验检测中心提出制定《优质西兰花生产技术规程》，旨在进一步规范西兰花基地的科学、安全生产，满足深圳市民对优质西兰花的需求；同时发挥标准引领作用，促进西兰花基地生产标准化，完善优质西兰花提档分级体系，为推动西兰花产业高质量发展提供有力支撑。</w:t>
      </w:r>
    </w:p>
    <w:p w14:paraId="29465EC7">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eastAsia="zh-CN"/>
        </w:rPr>
        <w:t>主要起草过程</w:t>
      </w:r>
    </w:p>
    <w:p w14:paraId="1406C8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立项前准备阶段</w:t>
      </w:r>
    </w:p>
    <w:p w14:paraId="3D4E9E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组建专业的优质西兰花生产技术规程编制团队，精准拟定涵盖时间节点、任务分工的详细编制计划。二是全面收集各地西兰花生产技术规程、学术论文等文献资料，重点梳理国家标准、行业标准及地方标准的制定内容，系统对比各标准的异同，尤其聚焦规程中与西兰花品质提升相关的关键指标及核心生产技术要点。三是赴甘肃等西兰花主产区，深入考察大规模生产基地的实际情况，全方位调研产地的生产管理模式、技术应用细节及品质管控措施。</w:t>
      </w:r>
    </w:p>
    <w:p w14:paraId="7B9BE2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（二）组织起草阶段</w:t>
      </w:r>
    </w:p>
    <w:p w14:paraId="1A0ABB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编制组在广泛调研、查阅文献资料的基础上，详细了解了西兰花种植管理过程的各个关键环节，明确了本文件的适用范围以及框架结构，并逐步细化完善标准内容，形成工作组讨论稿。</w:t>
      </w:r>
    </w:p>
    <w:p w14:paraId="492873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0000FF"/>
          <w:lang w:val="en-US" w:eastAsia="zh-CN"/>
        </w:rPr>
      </w:pPr>
      <w:r>
        <w:rPr>
          <w:rFonts w:hint="eastAsia" w:ascii="仿宋_GB2312" w:hAnsi="仿宋_GB2312" w:eastAsia="仿宋_GB2312" w:cs="仿宋_GB2312"/>
          <w:sz w:val="32"/>
          <w:szCs w:val="32"/>
          <w:lang w:val="en-US" w:eastAsia="zh-CN"/>
        </w:rPr>
        <w:t>编制组通过多次集体讨论，逐条审议讨论稿中的各个条款，并通过对接企业负责人、生产基地管理人员及行业专家，围绕品质提升路径与生产技术关键点展开深度研讨，征求修改意见，梳理共识与差异，形成针对性的技术参考要点，并根据讨论结果修改完善、形成标准征求意见稿。</w:t>
      </w:r>
    </w:p>
    <w:p w14:paraId="72544E80">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eastAsia="zh-CN"/>
        </w:rPr>
        <w:t>主要技术指标确定的依据以及与国内领先、国际先进标准的对标情况</w:t>
      </w:r>
    </w:p>
    <w:p w14:paraId="48A0F1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（一）标准编制的原则</w:t>
      </w:r>
    </w:p>
    <w:p w14:paraId="16E9C5D5">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的编制遵循相关的国家标准</w:t>
      </w:r>
      <w:r>
        <w:rPr>
          <w:rFonts w:hint="eastAsia" w:ascii="仿宋_GB2312" w:hAnsi="仿宋_GB2312" w:eastAsia="仿宋_GB2312" w:cs="仿宋_GB2312"/>
          <w:sz w:val="32"/>
          <w:szCs w:val="32"/>
          <w:lang w:eastAsia="zh-CN"/>
        </w:rPr>
        <w:t>和行业标准，</w:t>
      </w:r>
      <w:r>
        <w:rPr>
          <w:rFonts w:hint="eastAsia" w:ascii="仿宋_GB2312" w:hAnsi="仿宋_GB2312" w:eastAsia="仿宋_GB2312" w:cs="仿宋_GB2312"/>
          <w:sz w:val="32"/>
          <w:szCs w:val="32"/>
        </w:rPr>
        <w:t>在充分调研的基础上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研究和分析了</w:t>
      </w:r>
      <w:r>
        <w:rPr>
          <w:rFonts w:hint="eastAsia" w:ascii="仿宋_GB2312" w:hAnsi="仿宋_GB2312" w:eastAsia="仿宋_GB2312" w:cs="仿宋_GB2312"/>
          <w:sz w:val="32"/>
          <w:szCs w:val="32"/>
          <w:lang w:eastAsia="zh-CN"/>
        </w:rPr>
        <w:t>西兰花生产全过程中的关键技术指标，主要</w:t>
      </w:r>
      <w:r>
        <w:rPr>
          <w:rFonts w:hint="eastAsia" w:ascii="仿宋_GB2312" w:hAnsi="仿宋_GB2312" w:eastAsia="仿宋_GB2312" w:cs="仿宋_GB2312"/>
          <w:sz w:val="32"/>
          <w:szCs w:val="32"/>
        </w:rPr>
        <w:t>遵循以下基本原则</w:t>
      </w:r>
      <w:r>
        <w:rPr>
          <w:rFonts w:hint="eastAsia" w:ascii="仿宋_GB2312" w:hAnsi="仿宋_GB2312" w:eastAsia="仿宋_GB2312" w:cs="仿宋_GB2312"/>
          <w:sz w:val="32"/>
          <w:szCs w:val="32"/>
          <w:lang w:eastAsia="zh-CN"/>
        </w:rPr>
        <w:t>：</w:t>
      </w:r>
    </w:p>
    <w:p w14:paraId="01611782">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1、科学性原则。根据</w:t>
      </w:r>
      <w:r>
        <w:rPr>
          <w:rFonts w:hint="eastAsia" w:ascii="仿宋_GB2312" w:hAnsi="仿宋_GB2312" w:eastAsia="仿宋_GB2312" w:cs="仿宋_GB2312"/>
          <w:sz w:val="32"/>
          <w:szCs w:val="32"/>
          <w:lang w:eastAsia="zh-CN"/>
        </w:rPr>
        <w:t>优质西兰花的生产</w:t>
      </w:r>
      <w:r>
        <w:rPr>
          <w:rFonts w:hint="eastAsia" w:ascii="仿宋_GB2312" w:hAnsi="仿宋_GB2312" w:eastAsia="仿宋_GB2312" w:cs="仿宋_GB2312"/>
          <w:sz w:val="32"/>
          <w:szCs w:val="32"/>
        </w:rPr>
        <w:t>特点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大量的查询资料</w:t>
      </w:r>
      <w:r>
        <w:rPr>
          <w:rFonts w:hint="eastAsia" w:ascii="仿宋_GB2312" w:hAnsi="仿宋_GB2312" w:eastAsia="仿宋_GB2312" w:cs="仿宋_GB2312"/>
          <w:sz w:val="32"/>
          <w:szCs w:val="32"/>
        </w:rPr>
        <w:t>、实地调研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建立科学、实用、合理、可操作性强的</w:t>
      </w:r>
      <w:r>
        <w:rPr>
          <w:rFonts w:hint="eastAsia" w:ascii="仿宋_GB2312" w:hAnsi="仿宋_GB2312" w:eastAsia="仿宋_GB2312" w:cs="仿宋_GB2312"/>
          <w:sz w:val="32"/>
          <w:szCs w:val="32"/>
          <w:lang w:eastAsia="zh-CN"/>
        </w:rPr>
        <w:t>优质西兰花生产技术规程。</w:t>
      </w:r>
    </w:p>
    <w:p w14:paraId="386BFF42">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2、一致性原则。标准的术语、技术内容等与国家、行业标准相兼容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无冲突矛盾的地方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保证了一致性。</w:t>
      </w:r>
    </w:p>
    <w:p w14:paraId="2A8DE062">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3、可操作性原则。在起草过程中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编制组查阅大量</w:t>
      </w:r>
      <w:r>
        <w:rPr>
          <w:rFonts w:hint="eastAsia" w:ascii="仿宋_GB2312" w:hAnsi="仿宋_GB2312" w:eastAsia="仿宋_GB2312" w:cs="仿宋_GB2312"/>
          <w:sz w:val="32"/>
          <w:szCs w:val="32"/>
          <w:lang w:eastAsia="zh-CN"/>
        </w:rPr>
        <w:t>文献资料，开展相关试验示范，</w:t>
      </w:r>
      <w:r>
        <w:rPr>
          <w:rFonts w:hint="eastAsia" w:ascii="仿宋_GB2312" w:hAnsi="仿宋_GB2312" w:eastAsia="仿宋_GB2312" w:cs="仿宋_GB2312"/>
          <w:sz w:val="32"/>
          <w:szCs w:val="32"/>
        </w:rPr>
        <w:t>并征求相关专家及单位的意见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充分考虑了</w:t>
      </w:r>
      <w:r>
        <w:rPr>
          <w:rFonts w:hint="eastAsia" w:ascii="仿宋_GB2312" w:hAnsi="仿宋_GB2312" w:eastAsia="仿宋_GB2312" w:cs="仿宋_GB2312"/>
          <w:sz w:val="32"/>
          <w:szCs w:val="32"/>
          <w:lang w:eastAsia="zh-CN"/>
        </w:rPr>
        <w:t>供深基地西兰花生产</w:t>
      </w:r>
      <w:r>
        <w:rPr>
          <w:rFonts w:hint="eastAsia" w:ascii="仿宋_GB2312" w:hAnsi="仿宋_GB2312" w:eastAsia="仿宋_GB2312" w:cs="仿宋_GB2312"/>
          <w:sz w:val="32"/>
          <w:szCs w:val="32"/>
        </w:rPr>
        <w:t>的实际情况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以期满足实际工作的可操作性。</w:t>
      </w:r>
    </w:p>
    <w:p w14:paraId="5D6948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（二）标准编制依据</w:t>
      </w:r>
    </w:p>
    <w:p w14:paraId="64DEAD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本文件制定过程中主要参考了如下标准：</w:t>
      </w:r>
    </w:p>
    <w:p w14:paraId="0BA68A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5084  农田灌溉水质标准</w:t>
      </w:r>
    </w:p>
    <w:p w14:paraId="0470FA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16715.2  瓜菜作物种子 第4部分：甘蓝类</w:t>
      </w:r>
    </w:p>
    <w:p w14:paraId="5A0EE9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8321（所有部分）  农药合理使用准则</w:t>
      </w:r>
    </w:p>
    <w:p w14:paraId="7BB43B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29373  农产品追溯要求 果蔬</w:t>
      </w:r>
    </w:p>
    <w:p w14:paraId="196F99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GB/Z 26586-2011  西兰花生产技术规范</w:t>
      </w:r>
    </w:p>
    <w:p w14:paraId="0726F4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391  绿色食品 产地环境质量</w:t>
      </w:r>
    </w:p>
    <w:p w14:paraId="55340A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393  绿色食品 农药使用准则</w:t>
      </w:r>
    </w:p>
    <w:p w14:paraId="78409D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394  绿色食品 肥料使用准则</w:t>
      </w:r>
    </w:p>
    <w:p w14:paraId="6A94BB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525  有机肥料</w:t>
      </w:r>
    </w:p>
    <w:p w14:paraId="7C2403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658  绿色食品 包装通用准则</w:t>
      </w:r>
    </w:p>
    <w:p w14:paraId="4BA9C8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1056  绿色食品 贮藏运输准则</w:t>
      </w:r>
    </w:p>
    <w:p w14:paraId="73F820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2118  蔬菜育苗基质</w:t>
      </w:r>
    </w:p>
    <w:p w14:paraId="1AFB2B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标准编制过程中还参考了西北、华北、西南等多区域西兰花生产标准，结合优质西兰花生产过程中的成功经验和做法进行编写。</w:t>
      </w:r>
    </w:p>
    <w:p w14:paraId="3CF4CE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（三）与现行法律、法规、标准的关系</w:t>
      </w:r>
    </w:p>
    <w:p w14:paraId="63CA051D">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本文件</w:t>
      </w:r>
      <w:r>
        <w:rPr>
          <w:rFonts w:hint="eastAsia" w:ascii="仿宋_GB2312" w:hAnsi="仿宋_GB2312" w:eastAsia="仿宋_GB2312" w:cs="仿宋_GB2312"/>
          <w:sz w:val="32"/>
          <w:szCs w:val="32"/>
        </w:rPr>
        <w:t>与有关现行法律、法规和强制性国家标准、行业标准没有冲突。</w:t>
      </w:r>
    </w:p>
    <w:p w14:paraId="2BA0964C">
      <w:pPr>
        <w:keepNext w:val="0"/>
        <w:keepLines w:val="0"/>
        <w:pageBreakBefore w:val="0"/>
        <w:widowControl w:val="0"/>
        <w:numPr>
          <w:ilvl w:val="0"/>
          <w:numId w:val="0"/>
        </w:numPr>
        <w:kinsoku/>
        <w:wordWrap/>
        <w:overflowPunct/>
        <w:topLinePunct w:val="0"/>
        <w:bidi w:val="0"/>
        <w:spacing w:line="560" w:lineRule="exact"/>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eastAsia="zh-CN"/>
        </w:rPr>
        <w:t>主要条款说明以及主要技术指标、参数、试验验证的论述</w:t>
      </w:r>
    </w:p>
    <w:p w14:paraId="5047A6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（一）范围</w:t>
      </w:r>
    </w:p>
    <w:p w14:paraId="51B7CD45">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给出了本文件规定的内容和适用的范围。本文件规定了优质西兰花生产的生产基地要求及管理、品种选择、育苗、定植、田间管理、病虫害防治、采收、包装、贮藏与运输、生产废弃物的处理、生产档案以及产品质量追溯基本要求。本文件适用于供深基地优质西兰花的生产。</w:t>
      </w:r>
    </w:p>
    <w:p w14:paraId="68C569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（二）规范性引用文件</w:t>
      </w:r>
    </w:p>
    <w:p w14:paraId="25C8E0D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给出了本文件规范引用文件的情况。本文件引用了最新的国家、行业的标准，做为规程的规范性引用文件。</w:t>
      </w:r>
    </w:p>
    <w:p w14:paraId="0F3BBD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（三）术语与定义</w:t>
      </w:r>
    </w:p>
    <w:p w14:paraId="7385822C">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对本文件涉及的专用名词和术语做了全面准确的定义。</w:t>
      </w:r>
    </w:p>
    <w:p w14:paraId="10926F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（四）生产基地要求及管理</w:t>
      </w:r>
    </w:p>
    <w:p w14:paraId="4D9A9C8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本章节规定了西兰花生产基地要求及管理的规范要求，包括产地环境要求、土壤要求、环境条件监测、基地管理等相关条件及符合的标准。</w:t>
      </w:r>
    </w:p>
    <w:p w14:paraId="558642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（五）品种选择</w:t>
      </w:r>
    </w:p>
    <w:p w14:paraId="63D0A918">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jc w:val="both"/>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本章节规定了品种选择的原则和种子处理方式。</w:t>
      </w:r>
    </w:p>
    <w:p w14:paraId="068223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（六）育苗</w:t>
      </w:r>
    </w:p>
    <w:p w14:paraId="5F0A0026">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本章节提出了播种前准备，以及漂浮育苗和穴盘育苗两种育苗方式，针对两种育苗方式的不同点分别给出苗床管理技术要点。</w:t>
      </w:r>
    </w:p>
    <w:p w14:paraId="59E6B1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（七）定植</w:t>
      </w:r>
    </w:p>
    <w:p w14:paraId="61346167">
      <w:pPr>
        <w:pStyle w:val="7"/>
        <w:keepNext w:val="0"/>
        <w:keepLines w:val="0"/>
        <w:pageBreakBefore w:val="0"/>
        <w:widowControl w:val="0"/>
        <w:tabs>
          <w:tab w:val="left" w:pos="3780"/>
        </w:tabs>
        <w:kinsoku/>
        <w:wordWrap/>
        <w:overflowPunct/>
        <w:topLinePunct w:val="0"/>
        <w:autoSpaceDE w:val="0"/>
        <w:autoSpaceDN w:val="0"/>
        <w:bidi w:val="0"/>
        <w:adjustRightInd w:val="0"/>
        <w:snapToGrid w:val="0"/>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本章节规定了西兰花幼苗定植前的整地方法和定植中的技术要求。</w:t>
      </w:r>
    </w:p>
    <w:p w14:paraId="797567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（八）田间管理</w:t>
      </w:r>
    </w:p>
    <w:p w14:paraId="5D7ADFBB">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本章节给出了水分管理、追肥、整枝和中耕的重点管理措施。</w:t>
      </w:r>
    </w:p>
    <w:p w14:paraId="6CA561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sz w:val="32"/>
          <w:szCs w:val="32"/>
          <w:lang w:val="en-US" w:eastAsia="zh-CN"/>
        </w:rPr>
        <w:t>（九）病虫害防治</w:t>
      </w:r>
    </w:p>
    <w:p w14:paraId="517674DA">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本章节指出了综合防治原则、防治对象、农业防治、物理防治、生物防治和农药防控的技术要点，并在附录中给出了西兰花主要病虫害农药防控推荐措施。</w:t>
      </w:r>
    </w:p>
    <w:p w14:paraId="0D1053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（十）采收</w:t>
      </w:r>
    </w:p>
    <w:p w14:paraId="74DDE17C">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本章节规定了采收标准、采收方式和采后处理。</w:t>
      </w:r>
    </w:p>
    <w:p w14:paraId="7395C0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（十一）包装、储藏与运输</w:t>
      </w:r>
    </w:p>
    <w:p w14:paraId="5FBBBF11">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本章节规定了包装、贮藏与运输、三项要求，并同时应符合NY/T 658、NY/T 1056的规定。</w:t>
      </w:r>
    </w:p>
    <w:p w14:paraId="515103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（十二）生产废弃物的处理</w:t>
      </w:r>
    </w:p>
    <w:p w14:paraId="6730529D">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本章节规定了地膜、农药、肥料包装袋等废弃物的统一回收和处理。</w:t>
      </w:r>
    </w:p>
    <w:p w14:paraId="33B026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sz w:val="32"/>
          <w:szCs w:val="32"/>
          <w:lang w:val="en-US" w:eastAsia="zh-CN"/>
        </w:rPr>
        <w:t>（十三）生产档案</w:t>
      </w:r>
    </w:p>
    <w:p w14:paraId="47C31E2D">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本章节给出了生产档案的记录和保存要求，记录包括农业作业记录、收获记录、检测记录、存储运输记录、销售记录要求。</w:t>
      </w:r>
    </w:p>
    <w:p w14:paraId="69193B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sz w:val="32"/>
          <w:szCs w:val="32"/>
          <w:lang w:val="en-US" w:eastAsia="zh-CN"/>
        </w:rPr>
        <w:t>（十四）产品质量追溯</w:t>
      </w:r>
    </w:p>
    <w:p w14:paraId="1BDAC96B">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本章节规定了产品质量追溯的相关要求，追溯应符合GB/T 29373的要求。</w:t>
      </w:r>
    </w:p>
    <w:p w14:paraId="5BB7A7A8">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lang w:eastAsia="zh-CN"/>
        </w:rPr>
        <w:t>是否涉及专利等知识产权问题</w:t>
      </w:r>
    </w:p>
    <w:p w14:paraId="28C09C0F">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58D61096">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七、</w:t>
      </w:r>
      <w:r>
        <w:rPr>
          <w:rFonts w:hint="eastAsia" w:ascii="方正黑体_GBK" w:hAnsi="方正黑体_GBK" w:eastAsia="方正黑体_GBK" w:cs="方正黑体_GBK"/>
          <w:sz w:val="32"/>
          <w:szCs w:val="32"/>
          <w:lang w:eastAsia="zh-CN"/>
        </w:rPr>
        <w:t>重大意见分歧的处理依据和结果</w:t>
      </w:r>
    </w:p>
    <w:p w14:paraId="521F03F6">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29FBA559">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八、</w:t>
      </w:r>
      <w:r>
        <w:rPr>
          <w:rFonts w:hint="eastAsia" w:ascii="方正黑体_GBK" w:hAnsi="方正黑体_GBK" w:eastAsia="方正黑体_GBK" w:cs="方正黑体_GBK"/>
          <w:sz w:val="32"/>
          <w:szCs w:val="32"/>
          <w:lang w:eastAsia="zh-CN"/>
        </w:rPr>
        <w:t>实施标准的措施建议</w:t>
      </w:r>
    </w:p>
    <w:p w14:paraId="30B56C1A">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一是开展田间技术示范，建立标准化生产示范园，通过现场观摩和对比展示，直观呈现标准实施效果，增强种植者对标准的认可度。</w:t>
      </w:r>
    </w:p>
    <w:p w14:paraId="7B58909B">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二是组织系统化培训，通过举办培训班、技术讲座和研讨会等形式，分层次对管理人员、技术人员和种植户进行培训，确保相关人员准确掌握标准要求。</w:t>
      </w:r>
    </w:p>
    <w:p w14:paraId="45697274">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三是强化技术指导与服务，采取专家现场授课、线上答疑、田间地头指导等方式，提供全程技术支撑，帮助解决生产中的实际问题。</w:t>
      </w:r>
    </w:p>
    <w:p w14:paraId="666C3D28">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sz w:val="32"/>
          <w:szCs w:val="32"/>
          <w:lang w:val="en-US" w:eastAsia="zh-CN"/>
        </w:rPr>
        <w:t>四是推动全产业链标准化，引导企业从生产管理、育苗到病虫害防治、采收、生产档案管理和产品追溯等各环节严格执行标准，确保标准落地见效，真正发挥对产业提质增效的指导作用。</w:t>
      </w:r>
    </w:p>
    <w:p w14:paraId="400198D0">
      <w:pPr>
        <w:keepNext w:val="0"/>
        <w:keepLines w:val="0"/>
        <w:pageBreakBefore w:val="0"/>
        <w:widowControl w:val="0"/>
        <w:numPr>
          <w:ilvl w:val="0"/>
          <w:numId w:val="0"/>
        </w:numPr>
        <w:kinsoku/>
        <w:wordWrap/>
        <w:overflowPunct/>
        <w:topLinePunct w:val="0"/>
        <w:bidi w:val="0"/>
        <w:spacing w:line="560" w:lineRule="exact"/>
        <w:ind w:left="0" w:leftChars="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kern w:val="2"/>
          <w:sz w:val="32"/>
          <w:szCs w:val="32"/>
          <w:lang w:val="en-US" w:eastAsia="zh-CN" w:bidi="ar-SA"/>
        </w:rPr>
        <w:t>九、</w:t>
      </w:r>
      <w:r>
        <w:rPr>
          <w:rFonts w:hint="eastAsia" w:ascii="方正黑体_GBK" w:hAnsi="方正黑体_GBK" w:eastAsia="方正黑体_GBK" w:cs="方正黑体_GBK"/>
          <w:sz w:val="32"/>
          <w:szCs w:val="32"/>
          <w:lang w:eastAsia="zh-CN"/>
        </w:rPr>
        <w:t>其他需要说明的事项</w:t>
      </w:r>
    </w:p>
    <w:p w14:paraId="3C22DA11">
      <w:pPr>
        <w:keepNext w:val="0"/>
        <w:keepLines w:val="0"/>
        <w:pageBreakBefore w:val="0"/>
        <w:widowControl w:val="0"/>
        <w:numPr>
          <w:ilvl w:val="0"/>
          <w:numId w:val="0"/>
        </w:numPr>
        <w:kinsoku/>
        <w:wordWrap/>
        <w:overflowPunct/>
        <w:topLinePunct w:val="0"/>
        <w:bidi w:val="0"/>
        <w:spacing w:line="560" w:lineRule="exact"/>
        <w:ind w:left="0" w:leftChars="0"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84E16"/>
    <w:rsid w:val="11E84F45"/>
    <w:rsid w:val="2FF94C5C"/>
    <w:rsid w:val="37B73FF6"/>
    <w:rsid w:val="37FE4235"/>
    <w:rsid w:val="3AE4929E"/>
    <w:rsid w:val="3B9DEA7B"/>
    <w:rsid w:val="3CD704DE"/>
    <w:rsid w:val="3D6B4913"/>
    <w:rsid w:val="3EAB0813"/>
    <w:rsid w:val="3EBF6A2B"/>
    <w:rsid w:val="3ECD4E08"/>
    <w:rsid w:val="3EDFAC1B"/>
    <w:rsid w:val="3EFD8961"/>
    <w:rsid w:val="3F4E82F0"/>
    <w:rsid w:val="3FFE67CC"/>
    <w:rsid w:val="4B7B26C2"/>
    <w:rsid w:val="51A3C795"/>
    <w:rsid w:val="55727FBD"/>
    <w:rsid w:val="57872915"/>
    <w:rsid w:val="5AFE11E7"/>
    <w:rsid w:val="5DF75E78"/>
    <w:rsid w:val="5FE7BB6C"/>
    <w:rsid w:val="65971C4E"/>
    <w:rsid w:val="65FFB434"/>
    <w:rsid w:val="68D9F9D0"/>
    <w:rsid w:val="6D7784AD"/>
    <w:rsid w:val="6DFB8DAC"/>
    <w:rsid w:val="6FBB0A6F"/>
    <w:rsid w:val="6FF53FC4"/>
    <w:rsid w:val="70F77723"/>
    <w:rsid w:val="751B0FD7"/>
    <w:rsid w:val="75FFA34A"/>
    <w:rsid w:val="786FD01A"/>
    <w:rsid w:val="7A58266B"/>
    <w:rsid w:val="7A9FB03B"/>
    <w:rsid w:val="7AAC8EE4"/>
    <w:rsid w:val="7BE7219B"/>
    <w:rsid w:val="7D634215"/>
    <w:rsid w:val="7DFBE804"/>
    <w:rsid w:val="7E710D69"/>
    <w:rsid w:val="7E8DF369"/>
    <w:rsid w:val="7EEDF954"/>
    <w:rsid w:val="7EF560FB"/>
    <w:rsid w:val="7F198A6A"/>
    <w:rsid w:val="7F6BBB49"/>
    <w:rsid w:val="7F6C5A72"/>
    <w:rsid w:val="7F6DFD7E"/>
    <w:rsid w:val="7F776918"/>
    <w:rsid w:val="7F7C1F7B"/>
    <w:rsid w:val="7F7D651B"/>
    <w:rsid w:val="7F7EDADB"/>
    <w:rsid w:val="7FBB8C8C"/>
    <w:rsid w:val="7FDB8F5B"/>
    <w:rsid w:val="7FDCB275"/>
    <w:rsid w:val="7FDFD308"/>
    <w:rsid w:val="7FE570CB"/>
    <w:rsid w:val="7FEF3A1E"/>
    <w:rsid w:val="7FEF5E4F"/>
    <w:rsid w:val="7FF7AA02"/>
    <w:rsid w:val="7FF7EF38"/>
    <w:rsid w:val="7FFBC62E"/>
    <w:rsid w:val="7FFFECE6"/>
    <w:rsid w:val="7FFFF197"/>
    <w:rsid w:val="8DF7D69D"/>
    <w:rsid w:val="91F54E9C"/>
    <w:rsid w:val="982FADAA"/>
    <w:rsid w:val="98DC0DB1"/>
    <w:rsid w:val="9BF59DF2"/>
    <w:rsid w:val="9EF76245"/>
    <w:rsid w:val="9EFFB27D"/>
    <w:rsid w:val="9F7DF89C"/>
    <w:rsid w:val="9FFFCECA"/>
    <w:rsid w:val="AEAD4E96"/>
    <w:rsid w:val="AF7F8050"/>
    <w:rsid w:val="AFAB748F"/>
    <w:rsid w:val="B8FF8AD6"/>
    <w:rsid w:val="B9FD3A98"/>
    <w:rsid w:val="BAEDBDA7"/>
    <w:rsid w:val="BAFD5620"/>
    <w:rsid w:val="BBCB866E"/>
    <w:rsid w:val="BCE3CC60"/>
    <w:rsid w:val="BE70E217"/>
    <w:rsid w:val="BEEFFFEE"/>
    <w:rsid w:val="BF6F24DA"/>
    <w:rsid w:val="BF7F7BAF"/>
    <w:rsid w:val="BFCFB4BA"/>
    <w:rsid w:val="BFDF60CD"/>
    <w:rsid w:val="CBBD1211"/>
    <w:rsid w:val="CCEEDCD8"/>
    <w:rsid w:val="CDFB08E4"/>
    <w:rsid w:val="CE7E6399"/>
    <w:rsid w:val="CE9F106B"/>
    <w:rsid w:val="CF5F1B37"/>
    <w:rsid w:val="D6ADB99C"/>
    <w:rsid w:val="D7BB97DD"/>
    <w:rsid w:val="D9FEF2D7"/>
    <w:rsid w:val="DC7F1F9D"/>
    <w:rsid w:val="DDF715CA"/>
    <w:rsid w:val="DEFF22F0"/>
    <w:rsid w:val="DF7F6C5B"/>
    <w:rsid w:val="DF8D24FF"/>
    <w:rsid w:val="DFCAC5AE"/>
    <w:rsid w:val="E73AD2F2"/>
    <w:rsid w:val="EBDEFEF1"/>
    <w:rsid w:val="ED7ACE2E"/>
    <w:rsid w:val="EDFDEDDD"/>
    <w:rsid w:val="EDFF75FB"/>
    <w:rsid w:val="EF9F44DD"/>
    <w:rsid w:val="EFD7CCE4"/>
    <w:rsid w:val="EFFE5644"/>
    <w:rsid w:val="F5EFA63B"/>
    <w:rsid w:val="F5FD577B"/>
    <w:rsid w:val="F7F79A46"/>
    <w:rsid w:val="FAF3407C"/>
    <w:rsid w:val="FB573D5B"/>
    <w:rsid w:val="FBEF4EC9"/>
    <w:rsid w:val="FBF5113B"/>
    <w:rsid w:val="FBF5BE62"/>
    <w:rsid w:val="FBFABCB9"/>
    <w:rsid w:val="FBFD7859"/>
    <w:rsid w:val="FBFFA4DB"/>
    <w:rsid w:val="FBFFDA31"/>
    <w:rsid w:val="FBFFFC26"/>
    <w:rsid w:val="FCFDF632"/>
    <w:rsid w:val="FDD7EC1A"/>
    <w:rsid w:val="FDE93368"/>
    <w:rsid w:val="FDFE910A"/>
    <w:rsid w:val="FDFFD2D0"/>
    <w:rsid w:val="FE7F5DEE"/>
    <w:rsid w:val="FEBF1CA5"/>
    <w:rsid w:val="FEBF1F96"/>
    <w:rsid w:val="FEE5FEB5"/>
    <w:rsid w:val="FEEF473D"/>
    <w:rsid w:val="FF3F0981"/>
    <w:rsid w:val="FF4F8BD8"/>
    <w:rsid w:val="FFA705B9"/>
    <w:rsid w:val="FFBFD677"/>
    <w:rsid w:val="FFD73552"/>
    <w:rsid w:val="FFE6B070"/>
    <w:rsid w:val="FFE9F136"/>
    <w:rsid w:val="FFFA0961"/>
    <w:rsid w:val="FFFA49AD"/>
    <w:rsid w:val="FFFAA621"/>
    <w:rsid w:val="FFFE5FAA"/>
    <w:rsid w:val="FFFF06E4"/>
    <w:rsid w:val="FFFFE7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b/>
      <w:bCs/>
      <w:sz w:val="24"/>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2911</Words>
  <Characters>3011</Characters>
  <Lines>0</Lines>
  <Paragraphs>0</Paragraphs>
  <TotalTime>6</TotalTime>
  <ScaleCrop>false</ScaleCrop>
  <LinksUpToDate>false</LinksUpToDate>
  <CharactersWithSpaces>3057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2014-11-08T12:08:00Z</dcterms:created>
  <dc:creator>Administrator</dc:creator>
  <cp:lastModifiedBy>CTT.</cp:lastModifiedBy>
  <dcterms:modified xsi:type="dcterms:W3CDTF">2025-08-18T04:00:13Z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1531280604C54409AA2F6CB74144D57F_13</vt:lpwstr>
  </property>
  <property fmtid="{D5CDD505-2E9C-101B-9397-08002B2CF9AE}" pid="4" name="KSOTemplateDocerSaveRecord">
    <vt:lpwstr>eyJoZGlkIjoiODViY2JkMjU3NGYzZTEwMzZmMGFkZWViYmNkYWU3NDIiLCJ1c2VySWQiOiIzMTc0MjkyOTkifQ==</vt:lpwstr>
  </property>
</Properties>
</file>