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A706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tLeast"/>
        <w:textAlignment w:val="auto"/>
        <w:rPr>
          <w:rFonts w:hint="default" w:ascii="黑体" w:hAnsi="黑体" w:eastAsia="黑体" w:cs="黑体"/>
          <w:color w:val="auto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1"/>
          <w:szCs w:val="21"/>
          <w:lang w:val="en-US" w:eastAsia="zh-CN"/>
        </w:rPr>
        <w:t>ICS 65.XXX.XXX</w:t>
      </w:r>
    </w:p>
    <w:p w14:paraId="471944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tLeast"/>
        <w:textAlignment w:val="auto"/>
        <w:rPr>
          <w:rFonts w:hint="default" w:ascii="黑体" w:hAnsi="黑体" w:eastAsia="黑体" w:cs="黑体"/>
          <w:color w:val="auto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1"/>
          <w:szCs w:val="21"/>
          <w:lang w:val="en-US" w:eastAsia="zh-CN"/>
        </w:rPr>
        <w:t>CCS B 0X</w:t>
      </w:r>
    </w:p>
    <w:p w14:paraId="34A5B1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tLeast"/>
        <w:jc w:val="right"/>
        <w:textAlignment w:val="auto"/>
        <w:rPr>
          <w:rFonts w:hint="default" w:ascii="Times New Roman" w:hAnsi="Times New Roman" w:eastAsia="黑体" w:cs="Times New Roman"/>
          <w:b/>
          <w:bCs/>
          <w:color w:val="auto"/>
          <w:sz w:val="96"/>
          <w:szCs w:val="96"/>
          <w:lang w:val="en-US" w:eastAsia="zh-CN"/>
        </w:rPr>
      </w:pPr>
    </w:p>
    <w:p w14:paraId="72A3971F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240" w:lineRule="atLeast"/>
        <w:jc w:val="distribute"/>
        <w:textAlignment w:val="auto"/>
        <w:rPr>
          <w:rFonts w:hint="eastAsia" w:ascii="Times New Roman" w:hAnsi="Times New Roman" w:eastAsia="黑体" w:cs="Times New Roman"/>
          <w:b/>
          <w:bCs/>
          <w:color w:val="auto"/>
          <w:sz w:val="72"/>
          <w:szCs w:val="72"/>
          <w:lang w:val="en-US" w:eastAsia="zh-CN"/>
        </w:rPr>
      </w:pPr>
      <w:r>
        <w:rPr>
          <w:rFonts w:hint="eastAsia" w:ascii="Times New Roman" w:hAnsi="Times New Roman" w:eastAsia="黑体" w:cs="Times New Roman"/>
          <w:b/>
          <w:bCs/>
          <w:color w:val="auto"/>
          <w:sz w:val="72"/>
          <w:szCs w:val="72"/>
          <w:lang w:val="en-US" w:eastAsia="zh-CN"/>
        </w:rPr>
        <w:t>团体标准</w:t>
      </w:r>
    </w:p>
    <w:p w14:paraId="4D85E9FB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240" w:lineRule="atLeast"/>
        <w:jc w:val="right"/>
        <w:textAlignment w:val="auto"/>
        <w:rPr>
          <w:rFonts w:hint="eastAsia" w:ascii="Times New Roman" w:hAnsi="Times New Roman" w:eastAsia="黑体" w:cs="Times New Roman"/>
          <w:b/>
          <w:bCs/>
          <w:color w:val="auto"/>
          <w:sz w:val="28"/>
          <w:szCs w:val="28"/>
          <w:lang w:val="en-US" w:eastAsia="zh-CN"/>
        </w:rPr>
      </w:pPr>
    </w:p>
    <w:p w14:paraId="34C433BC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240" w:lineRule="atLeast"/>
        <w:jc w:val="right"/>
        <w:textAlignment w:val="auto"/>
        <w:rPr>
          <w:rFonts w:hint="default" w:ascii="Times New Roman" w:hAnsi="Times New Roman" w:eastAsia="黑体" w:cs="Times New Roman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黑体" w:cs="Times New Roman"/>
          <w:b w:val="0"/>
          <w:bCs w:val="0"/>
          <w:color w:val="auto"/>
          <w:sz w:val="28"/>
          <w:szCs w:val="28"/>
          <w:lang w:val="en-US" w:eastAsia="zh-CN"/>
        </w:rPr>
        <w:t xml:space="preserve">T/SZNB </w:t>
      </w:r>
      <w:r>
        <w:rPr>
          <w:rFonts w:hint="default" w:ascii="Times New Roman" w:hAnsi="Times New Roman" w:eastAsia="黑体" w:cs="Times New Roman"/>
          <w:b w:val="0"/>
          <w:bCs w:val="0"/>
          <w:color w:val="auto"/>
          <w:sz w:val="28"/>
          <w:szCs w:val="28"/>
          <w:lang w:val="en" w:eastAsia="zh-CN"/>
        </w:rPr>
        <w:t>xxx</w:t>
      </w:r>
      <w:r>
        <w:rPr>
          <w:rFonts w:hint="eastAsia" w:ascii="Times New Roman" w:hAnsi="Times New Roman" w:eastAsia="黑体" w:cs="Times New Roman"/>
          <w:b w:val="0"/>
          <w:bCs w:val="0"/>
          <w:color w:val="auto"/>
          <w:sz w:val="28"/>
          <w:szCs w:val="28"/>
          <w:lang w:val="en-US" w:eastAsia="zh-CN"/>
        </w:rPr>
        <w:t>-2025</w:t>
      </w:r>
    </w:p>
    <w:p w14:paraId="0CB26B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tLeast"/>
        <w:jc w:val="left"/>
        <w:textAlignment w:val="auto"/>
        <w:rPr>
          <w:rFonts w:hint="eastAsia" w:ascii="Times New Roman" w:hAnsi="Times New Roman" w:eastAsia="黑体" w:cs="Times New Roman"/>
          <w:b/>
          <w:bCs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Times New Roman" w:hAnsi="Times New Roman" w:eastAsia="黑体" w:cs="Times New Roman"/>
          <w:b/>
          <w:bCs/>
          <w:color w:val="auto"/>
          <w:sz w:val="28"/>
          <w:szCs w:val="28"/>
          <w:u w:val="single"/>
          <w:lang w:val="en-US" w:eastAsia="zh-CN"/>
        </w:rPr>
        <w:t xml:space="preserve">                                                                      </w:t>
      </w:r>
    </w:p>
    <w:p w14:paraId="67659B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tLeast"/>
        <w:jc w:val="left"/>
        <w:textAlignment w:val="auto"/>
        <w:rPr>
          <w:rFonts w:hint="eastAsia" w:ascii="Times New Roman" w:hAnsi="Times New Roman" w:eastAsia="黑体" w:cs="Times New Roman"/>
          <w:b/>
          <w:bCs/>
          <w:color w:val="auto"/>
          <w:sz w:val="28"/>
          <w:szCs w:val="28"/>
          <w:u w:val="none"/>
          <w:lang w:val="en-US" w:eastAsia="zh-CN"/>
        </w:rPr>
      </w:pPr>
    </w:p>
    <w:p w14:paraId="2E95C2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tLeast"/>
        <w:jc w:val="left"/>
        <w:textAlignment w:val="auto"/>
        <w:rPr>
          <w:rFonts w:hint="eastAsia" w:ascii="Times New Roman" w:hAnsi="Times New Roman" w:eastAsia="黑体" w:cs="Times New Roman"/>
          <w:b/>
          <w:bCs/>
          <w:color w:val="auto"/>
          <w:sz w:val="28"/>
          <w:szCs w:val="28"/>
          <w:u w:val="none"/>
          <w:lang w:val="en-US" w:eastAsia="zh-CN"/>
        </w:rPr>
      </w:pPr>
    </w:p>
    <w:p w14:paraId="1EA854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tLeast"/>
        <w:jc w:val="left"/>
        <w:textAlignment w:val="auto"/>
        <w:rPr>
          <w:rFonts w:hint="eastAsia" w:ascii="Times New Roman" w:hAnsi="Times New Roman" w:eastAsia="黑体" w:cs="Times New Roman"/>
          <w:b/>
          <w:bCs/>
          <w:color w:val="auto"/>
          <w:sz w:val="28"/>
          <w:szCs w:val="28"/>
          <w:u w:val="none"/>
          <w:lang w:val="en-US" w:eastAsia="zh-CN"/>
        </w:rPr>
      </w:pPr>
    </w:p>
    <w:p w14:paraId="61E017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tLeast"/>
        <w:jc w:val="left"/>
        <w:textAlignment w:val="auto"/>
        <w:rPr>
          <w:rFonts w:hint="eastAsia" w:ascii="Times New Roman" w:hAnsi="Times New Roman" w:eastAsia="黑体" w:cs="Times New Roman"/>
          <w:b/>
          <w:bCs/>
          <w:color w:val="auto"/>
          <w:sz w:val="28"/>
          <w:szCs w:val="28"/>
          <w:u w:val="none"/>
          <w:lang w:val="en-US" w:eastAsia="zh-CN"/>
        </w:rPr>
      </w:pPr>
    </w:p>
    <w:p w14:paraId="6B00B0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tLeast"/>
        <w:jc w:val="left"/>
        <w:textAlignment w:val="auto"/>
        <w:rPr>
          <w:rFonts w:hint="eastAsia" w:ascii="Times New Roman" w:hAnsi="Times New Roman" w:eastAsia="黑体" w:cs="Times New Roman"/>
          <w:b/>
          <w:bCs/>
          <w:color w:val="auto"/>
          <w:sz w:val="28"/>
          <w:szCs w:val="28"/>
          <w:u w:val="none"/>
          <w:lang w:val="en-US" w:eastAsia="zh-CN"/>
        </w:rPr>
      </w:pPr>
    </w:p>
    <w:p w14:paraId="3AF623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tLeast"/>
        <w:jc w:val="left"/>
        <w:textAlignment w:val="auto"/>
        <w:rPr>
          <w:rFonts w:hint="eastAsia" w:ascii="Times New Roman" w:hAnsi="Times New Roman" w:eastAsia="黑体" w:cs="Times New Roman"/>
          <w:b/>
          <w:bCs/>
          <w:color w:val="auto"/>
          <w:sz w:val="28"/>
          <w:szCs w:val="28"/>
          <w:u w:val="none"/>
          <w:lang w:val="en-US" w:eastAsia="zh-CN"/>
        </w:rPr>
      </w:pPr>
    </w:p>
    <w:p w14:paraId="658ED3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tLeast"/>
        <w:jc w:val="left"/>
        <w:textAlignment w:val="auto"/>
        <w:rPr>
          <w:rFonts w:hint="eastAsia" w:ascii="Times New Roman" w:hAnsi="Times New Roman" w:eastAsia="黑体" w:cs="Times New Roman"/>
          <w:b/>
          <w:bCs/>
          <w:color w:val="auto"/>
          <w:sz w:val="28"/>
          <w:szCs w:val="28"/>
          <w:u w:val="none"/>
          <w:lang w:val="en-US" w:eastAsia="zh-CN"/>
        </w:rPr>
      </w:pPr>
    </w:p>
    <w:p w14:paraId="1208C7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tLeast"/>
        <w:jc w:val="left"/>
        <w:textAlignment w:val="auto"/>
        <w:rPr>
          <w:rFonts w:hint="eastAsia" w:ascii="Times New Roman" w:hAnsi="Times New Roman" w:eastAsia="黑体" w:cs="Times New Roman"/>
          <w:b/>
          <w:bCs/>
          <w:color w:val="auto"/>
          <w:sz w:val="28"/>
          <w:szCs w:val="28"/>
          <w:u w:val="none"/>
          <w:lang w:val="en-US" w:eastAsia="zh-CN"/>
        </w:rPr>
      </w:pPr>
    </w:p>
    <w:p w14:paraId="5E00B7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tLeast"/>
        <w:jc w:val="left"/>
        <w:textAlignment w:val="auto"/>
        <w:rPr>
          <w:rFonts w:hint="eastAsia" w:ascii="Times New Roman" w:hAnsi="Times New Roman" w:eastAsia="黑体" w:cs="Times New Roman"/>
          <w:b/>
          <w:bCs/>
          <w:color w:val="auto"/>
          <w:sz w:val="28"/>
          <w:szCs w:val="28"/>
          <w:u w:val="none"/>
          <w:lang w:val="en-US" w:eastAsia="zh-CN"/>
        </w:rPr>
      </w:pPr>
    </w:p>
    <w:p w14:paraId="6A315C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eastAsia" w:ascii="Times New Roman" w:hAnsi="Times New Roman" w:eastAsia="黑体" w:cs="Times New Roman"/>
          <w:b w:val="0"/>
          <w:bCs w:val="0"/>
          <w:color w:val="auto"/>
          <w:sz w:val="52"/>
          <w:szCs w:val="52"/>
          <w:u w:val="none"/>
          <w:lang w:val="en-US" w:eastAsia="zh-CN"/>
        </w:rPr>
      </w:pPr>
      <w:r>
        <w:rPr>
          <w:rFonts w:hint="eastAsia" w:ascii="Times New Roman" w:hAnsi="Times New Roman" w:eastAsia="黑体" w:cs="Times New Roman"/>
          <w:b w:val="0"/>
          <w:bCs w:val="0"/>
          <w:color w:val="auto"/>
          <w:sz w:val="52"/>
          <w:szCs w:val="52"/>
          <w:u w:val="none"/>
          <w:lang w:val="en-US" w:eastAsia="zh-CN"/>
        </w:rPr>
        <w:t>优质</w:t>
      </w:r>
      <w:r>
        <w:rPr>
          <w:rFonts w:hint="eastAsia" w:eastAsia="黑体" w:cs="Times New Roman"/>
          <w:b w:val="0"/>
          <w:bCs w:val="0"/>
          <w:color w:val="auto"/>
          <w:sz w:val="52"/>
          <w:szCs w:val="52"/>
          <w:u w:val="none"/>
          <w:lang w:val="en-US" w:eastAsia="zh-CN"/>
        </w:rPr>
        <w:t>西兰花</w:t>
      </w:r>
      <w:r>
        <w:rPr>
          <w:rFonts w:hint="eastAsia" w:ascii="Times New Roman" w:hAnsi="Times New Roman" w:eastAsia="黑体" w:cs="Times New Roman"/>
          <w:b w:val="0"/>
          <w:bCs w:val="0"/>
          <w:color w:val="auto"/>
          <w:sz w:val="52"/>
          <w:szCs w:val="52"/>
          <w:u w:val="none"/>
          <w:lang w:val="en-US" w:eastAsia="zh-CN"/>
        </w:rPr>
        <w:t>生产技术规程</w:t>
      </w:r>
    </w:p>
    <w:p w14:paraId="35178614">
      <w:pPr>
        <w:jc w:val="center"/>
        <w:rPr>
          <w:rFonts w:hint="eastAsia" w:eastAsia="黑体" w:cs="Times New Roman"/>
          <w:b w:val="0"/>
          <w:bCs w:val="0"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eastAsia="黑体" w:cs="Times New Roman"/>
          <w:b w:val="0"/>
          <w:bCs w:val="0"/>
          <w:color w:val="auto"/>
          <w:sz w:val="28"/>
          <w:szCs w:val="28"/>
          <w:u w:val="none"/>
          <w:lang w:val="en-US" w:eastAsia="zh-CN"/>
        </w:rPr>
        <w:t>Technical regulation for High Quality Broccoli Production</w:t>
      </w:r>
    </w:p>
    <w:p w14:paraId="73B3A417">
      <w:pPr>
        <w:wordWrap/>
        <w:jc w:val="left"/>
        <w:rPr>
          <w:rFonts w:hint="eastAsia" w:ascii="Times New Roman" w:hAnsi="Times New Roman" w:eastAsia="黑体" w:cs="Times New Roman"/>
          <w:b/>
          <w:bCs/>
          <w:color w:val="auto"/>
          <w:sz w:val="28"/>
          <w:szCs w:val="28"/>
          <w:lang w:val="en-US" w:eastAsia="zh-CN"/>
        </w:rPr>
      </w:pPr>
    </w:p>
    <w:p w14:paraId="1A0C90D0">
      <w:pPr>
        <w:wordWrap/>
        <w:jc w:val="left"/>
        <w:rPr>
          <w:rFonts w:hint="eastAsia" w:ascii="Times New Roman" w:hAnsi="Times New Roman" w:eastAsia="黑体" w:cs="Times New Roman"/>
          <w:b/>
          <w:bCs/>
          <w:color w:val="auto"/>
          <w:sz w:val="28"/>
          <w:szCs w:val="28"/>
          <w:lang w:val="en-US" w:eastAsia="zh-CN"/>
        </w:rPr>
      </w:pPr>
    </w:p>
    <w:p w14:paraId="1ABB183D">
      <w:pPr>
        <w:wordWrap/>
        <w:jc w:val="left"/>
        <w:rPr>
          <w:rFonts w:hint="eastAsia" w:ascii="Times New Roman" w:hAnsi="Times New Roman" w:eastAsia="黑体" w:cs="Times New Roman"/>
          <w:b/>
          <w:bCs/>
          <w:color w:val="auto"/>
          <w:sz w:val="28"/>
          <w:szCs w:val="28"/>
          <w:lang w:val="en-US" w:eastAsia="zh-CN"/>
        </w:rPr>
      </w:pPr>
    </w:p>
    <w:p w14:paraId="6AD75DFF">
      <w:pPr>
        <w:wordWrap/>
        <w:jc w:val="left"/>
        <w:rPr>
          <w:rFonts w:hint="eastAsia" w:ascii="Times New Roman" w:hAnsi="Times New Roman" w:eastAsia="黑体" w:cs="Times New Roman"/>
          <w:b w:val="0"/>
          <w:bCs w:val="0"/>
          <w:color w:val="auto"/>
          <w:sz w:val="28"/>
          <w:szCs w:val="28"/>
          <w:u w:val="single"/>
          <w:lang w:val="en-US" w:eastAsia="zh-CN"/>
        </w:rPr>
      </w:pPr>
    </w:p>
    <w:p w14:paraId="7B617203">
      <w:pPr>
        <w:wordWrap/>
        <w:jc w:val="left"/>
        <w:rPr>
          <w:rFonts w:hint="eastAsia" w:ascii="黑体" w:hAnsi="Times New Roman" w:eastAsia="黑体" w:cs="Times New Roman"/>
          <w:b w:val="0"/>
          <w:color w:val="auto"/>
          <w:spacing w:val="20"/>
          <w:w w:val="135"/>
          <w:kern w:val="0"/>
          <w:sz w:val="28"/>
          <w:szCs w:val="20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b w:val="0"/>
          <w:bCs w:val="0"/>
          <w:color w:val="auto"/>
          <w:sz w:val="28"/>
          <w:szCs w:val="28"/>
          <w:u w:val="single"/>
          <w:lang w:val="en-US" w:eastAsia="zh-CN"/>
        </w:rPr>
        <w:t>XXXX-XX-XX发布                                XXXX-XX-XX实施</w:t>
      </w:r>
    </w:p>
    <w:p w14:paraId="296F2767">
      <w:pPr>
        <w:spacing w:before="567" w:after="680" w:line="360" w:lineRule="auto"/>
        <w:jc w:val="center"/>
        <w:rPr>
          <w:rFonts w:hint="eastAsia" w:ascii="Times New Roman" w:hAnsi="Times New Roman" w:eastAsia="黑体" w:cs="Times New Roman"/>
          <w:b/>
          <w:bCs/>
          <w:color w:val="auto"/>
          <w:sz w:val="32"/>
          <w:szCs w:val="32"/>
          <w:u w:val="none"/>
          <w:lang w:val="en-US" w:eastAsia="zh-CN"/>
        </w:rPr>
        <w:sectPr>
          <w:headerReference r:id="rId3" w:type="default"/>
          <w:footerReference r:id="rId5" w:type="default"/>
          <w:headerReference r:id="rId4" w:type="even"/>
          <w:pgSz w:w="11906" w:h="16838"/>
          <w:pgMar w:top="1417" w:right="1134" w:bottom="1134" w:left="1417" w:header="1417" w:footer="1134" w:gutter="0"/>
          <w:pgNumType w:fmt="decimal" w:start="1"/>
          <w:cols w:space="720" w:num="1"/>
          <w:docGrid w:type="lines" w:linePitch="312" w:charSpace="0"/>
        </w:sectPr>
      </w:pPr>
      <w:r>
        <w:rPr>
          <w:rFonts w:hint="eastAsia" w:ascii="Times New Roman" w:hAnsi="Times New Roman" w:eastAsia="黑体" w:cs="Times New Roman"/>
          <w:b w:val="0"/>
          <w:bCs w:val="0"/>
          <w:color w:val="auto"/>
          <w:sz w:val="28"/>
          <w:szCs w:val="28"/>
          <w:u w:val="none"/>
          <w:lang w:val="en-US" w:eastAsia="zh-CN"/>
        </w:rPr>
        <w:t>深圳市农业产业化龙头企业协会     发布</w:t>
      </w:r>
      <w:r>
        <w:rPr>
          <w:rFonts w:hint="eastAsia" w:ascii="Times New Roman" w:hAnsi="Times New Roman" w:eastAsia="黑体" w:cs="Times New Roman"/>
          <w:b/>
          <w:bCs/>
          <w:color w:val="auto"/>
          <w:sz w:val="32"/>
          <w:szCs w:val="32"/>
          <w:u w:val="none"/>
          <w:lang w:val="en-US" w:eastAsia="zh-CN"/>
        </w:rPr>
        <w:t xml:space="preserve">  </w:t>
      </w:r>
    </w:p>
    <w:p w14:paraId="1F48BB1D">
      <w:pPr>
        <w:spacing w:before="567" w:after="680" w:line="360" w:lineRule="auto"/>
        <w:jc w:val="center"/>
        <w:rPr>
          <w:rFonts w:hint="eastAsia" w:eastAsia="黑体"/>
          <w:color w:val="auto"/>
          <w:sz w:val="32"/>
          <w:szCs w:val="32"/>
          <w:lang w:eastAsia="zh-CN"/>
        </w:rPr>
      </w:pPr>
      <w:r>
        <w:rPr>
          <w:rFonts w:hint="eastAsia" w:eastAsia="黑体"/>
          <w:color w:val="auto"/>
          <w:spacing w:val="20"/>
          <w:sz w:val="32"/>
          <w:szCs w:val="32"/>
        </w:rPr>
        <w:t xml:space="preserve">目    </w:t>
      </w:r>
      <w:r>
        <w:rPr>
          <w:rFonts w:hint="eastAsia" w:eastAsia="黑体"/>
          <w:color w:val="auto"/>
          <w:spacing w:val="20"/>
          <w:sz w:val="32"/>
          <w:szCs w:val="32"/>
          <w:lang w:val="en-US" w:eastAsia="zh-CN"/>
        </w:rPr>
        <w:t>录</w:t>
      </w:r>
      <w:bookmarkStart w:id="5" w:name="_GoBack"/>
      <w:bookmarkEnd w:id="5"/>
    </w:p>
    <w:p w14:paraId="7EFC9E99">
      <w:pPr>
        <w:pStyle w:val="138"/>
        <w:tabs>
          <w:tab w:val="right" w:leader="dot" w:pos="9354"/>
        </w:tabs>
        <w:spacing w:before="78" w:beforeLines="25" w:after="78" w:afterLines="25"/>
        <w:rPr>
          <w:rFonts w:ascii="宋体" w:hAnsi="宋体" w:cs="宋体"/>
          <w:color w:val="auto"/>
          <w:sz w:val="21"/>
          <w:szCs w:val="21"/>
        </w:rPr>
      </w:pPr>
      <w:r>
        <w:rPr>
          <w:color w:val="auto"/>
        </w:rPr>
        <w:fldChar w:fldCharType="begin"/>
      </w:r>
      <w:r>
        <w:rPr>
          <w:color w:val="auto"/>
        </w:rPr>
        <w:instrText xml:space="preserve"> HYPERLINK \l "_Toc1874933468_WPSOffice_Level1" </w:instrText>
      </w:r>
      <w:r>
        <w:rPr>
          <w:color w:val="auto"/>
        </w:rPr>
        <w:fldChar w:fldCharType="separate"/>
      </w:r>
      <w:r>
        <w:rPr>
          <w:rFonts w:hint="eastAsia" w:ascii="宋体" w:hAnsi="宋体" w:cs="宋体"/>
          <w:color w:val="auto"/>
          <w:sz w:val="21"/>
          <w:szCs w:val="21"/>
        </w:rPr>
        <w:t>前言</w:t>
      </w:r>
      <w:r>
        <w:rPr>
          <w:rFonts w:hint="eastAsia" w:ascii="宋体" w:hAnsi="宋体" w:cs="宋体"/>
          <w:color w:val="auto"/>
          <w:sz w:val="21"/>
          <w:szCs w:val="21"/>
        </w:rPr>
        <w:tab/>
      </w:r>
      <w:r>
        <w:rPr>
          <w:rFonts w:hint="eastAsia" w:ascii="宋体" w:hAnsi="宋体" w:cs="宋体"/>
          <w:color w:val="auto"/>
          <w:sz w:val="21"/>
          <w:szCs w:val="21"/>
        </w:rPr>
        <w:t>Ⅱ</w:t>
      </w:r>
      <w:r>
        <w:rPr>
          <w:rFonts w:hint="eastAsia" w:ascii="宋体" w:hAnsi="宋体" w:cs="宋体"/>
          <w:color w:val="auto"/>
          <w:sz w:val="21"/>
          <w:szCs w:val="21"/>
        </w:rPr>
        <w:fldChar w:fldCharType="end"/>
      </w:r>
    </w:p>
    <w:p w14:paraId="535A7862">
      <w:pPr>
        <w:pStyle w:val="138"/>
        <w:tabs>
          <w:tab w:val="right" w:leader="dot" w:pos="9354"/>
        </w:tabs>
        <w:spacing w:before="78" w:beforeLines="25" w:after="78" w:afterLines="25"/>
        <w:rPr>
          <w:rFonts w:ascii="宋体" w:hAnsi="宋体" w:cs="宋体"/>
          <w:color w:val="auto"/>
          <w:sz w:val="21"/>
          <w:szCs w:val="21"/>
        </w:rPr>
      </w:pPr>
      <w:r>
        <w:rPr>
          <w:color w:val="auto"/>
        </w:rPr>
        <w:fldChar w:fldCharType="begin"/>
      </w:r>
      <w:r>
        <w:rPr>
          <w:color w:val="auto"/>
        </w:rPr>
        <w:instrText xml:space="preserve"> HYPERLINK \l "_Toc1760373248_WPSOffice_Level1" </w:instrText>
      </w:r>
      <w:r>
        <w:rPr>
          <w:color w:val="auto"/>
        </w:rPr>
        <w:fldChar w:fldCharType="separate"/>
      </w:r>
      <w:r>
        <w:rPr>
          <w:rFonts w:hint="eastAsia" w:ascii="宋体" w:hAnsi="宋体" w:cs="宋体"/>
          <w:color w:val="auto"/>
          <w:sz w:val="21"/>
          <w:szCs w:val="21"/>
        </w:rPr>
        <w:t>1  范围</w:t>
      </w:r>
      <w:r>
        <w:rPr>
          <w:rFonts w:hint="eastAsia" w:ascii="宋体" w:hAnsi="宋体" w:cs="宋体"/>
          <w:color w:val="auto"/>
          <w:sz w:val="21"/>
          <w:szCs w:val="21"/>
        </w:rPr>
        <w:tab/>
      </w:r>
      <w:r>
        <w:rPr>
          <w:rFonts w:hint="eastAsia" w:ascii="宋体" w:hAnsi="宋体" w:cs="宋体"/>
          <w:color w:val="auto"/>
          <w:sz w:val="21"/>
          <w:szCs w:val="21"/>
        </w:rPr>
        <w:t>1</w:t>
      </w:r>
      <w:r>
        <w:rPr>
          <w:rFonts w:hint="eastAsia" w:ascii="宋体" w:hAnsi="宋体" w:cs="宋体"/>
          <w:color w:val="auto"/>
          <w:sz w:val="21"/>
          <w:szCs w:val="21"/>
        </w:rPr>
        <w:fldChar w:fldCharType="end"/>
      </w:r>
    </w:p>
    <w:p w14:paraId="74940275">
      <w:pPr>
        <w:pStyle w:val="138"/>
        <w:tabs>
          <w:tab w:val="right" w:leader="dot" w:pos="9354"/>
        </w:tabs>
        <w:spacing w:before="78" w:beforeLines="25" w:after="78" w:afterLines="25"/>
        <w:rPr>
          <w:rFonts w:ascii="宋体" w:hAnsi="宋体" w:cs="宋体"/>
          <w:color w:val="auto"/>
          <w:sz w:val="21"/>
          <w:szCs w:val="21"/>
        </w:rPr>
      </w:pPr>
      <w:r>
        <w:rPr>
          <w:color w:val="auto"/>
        </w:rPr>
        <w:fldChar w:fldCharType="begin"/>
      </w:r>
      <w:r>
        <w:rPr>
          <w:color w:val="auto"/>
        </w:rPr>
        <w:instrText xml:space="preserve"> HYPERLINK \l "_Toc1194504409_WPSOffice_Level1" </w:instrText>
      </w:r>
      <w:r>
        <w:rPr>
          <w:color w:val="auto"/>
        </w:rPr>
        <w:fldChar w:fldCharType="separate"/>
      </w:r>
      <w:r>
        <w:rPr>
          <w:rFonts w:hint="eastAsia" w:ascii="宋体" w:hAnsi="宋体" w:cs="宋体"/>
          <w:color w:val="auto"/>
          <w:sz w:val="21"/>
          <w:szCs w:val="21"/>
        </w:rPr>
        <w:t>2  规范性引用文件</w:t>
      </w:r>
      <w:r>
        <w:rPr>
          <w:rFonts w:hint="eastAsia" w:ascii="宋体" w:hAnsi="宋体" w:cs="宋体"/>
          <w:color w:val="auto"/>
          <w:sz w:val="21"/>
          <w:szCs w:val="21"/>
        </w:rPr>
        <w:tab/>
      </w:r>
      <w:r>
        <w:rPr>
          <w:rFonts w:hint="eastAsia" w:ascii="宋体" w:hAnsi="宋体" w:cs="宋体"/>
          <w:color w:val="auto"/>
          <w:sz w:val="21"/>
          <w:szCs w:val="21"/>
        </w:rPr>
        <w:t>1</w:t>
      </w:r>
      <w:r>
        <w:rPr>
          <w:rFonts w:hint="eastAsia" w:ascii="宋体" w:hAnsi="宋体" w:cs="宋体"/>
          <w:color w:val="auto"/>
          <w:sz w:val="21"/>
          <w:szCs w:val="21"/>
        </w:rPr>
        <w:fldChar w:fldCharType="end"/>
      </w:r>
    </w:p>
    <w:p w14:paraId="3BA35D62">
      <w:pPr>
        <w:pStyle w:val="138"/>
        <w:tabs>
          <w:tab w:val="right" w:leader="dot" w:pos="9354"/>
        </w:tabs>
        <w:spacing w:before="78" w:beforeLines="25" w:after="78" w:afterLines="25"/>
        <w:rPr>
          <w:rFonts w:ascii="宋体" w:hAnsi="宋体" w:cs="宋体"/>
          <w:color w:val="auto"/>
          <w:sz w:val="21"/>
          <w:szCs w:val="21"/>
        </w:rPr>
      </w:pPr>
      <w:r>
        <w:rPr>
          <w:color w:val="auto"/>
        </w:rPr>
        <w:fldChar w:fldCharType="begin"/>
      </w:r>
      <w:r>
        <w:rPr>
          <w:color w:val="auto"/>
        </w:rPr>
        <w:instrText xml:space="preserve"> HYPERLINK \l "_Toc1107861666_WPSOffice_Level1" </w:instrText>
      </w:r>
      <w:r>
        <w:rPr>
          <w:color w:val="auto"/>
        </w:rPr>
        <w:fldChar w:fldCharType="separate"/>
      </w:r>
      <w:r>
        <w:rPr>
          <w:rFonts w:hint="eastAsia" w:ascii="宋体" w:hAnsi="宋体" w:cs="宋体"/>
          <w:color w:val="auto"/>
          <w:sz w:val="21"/>
          <w:szCs w:val="21"/>
        </w:rPr>
        <w:t>3  术语和定义</w:t>
      </w:r>
      <w:r>
        <w:rPr>
          <w:rFonts w:hint="eastAsia" w:ascii="宋体" w:hAnsi="宋体" w:cs="宋体"/>
          <w:color w:val="auto"/>
          <w:sz w:val="21"/>
          <w:szCs w:val="21"/>
        </w:rPr>
        <w:tab/>
      </w:r>
      <w:r>
        <w:rPr>
          <w:rFonts w:hint="eastAsia" w:ascii="宋体" w:hAnsi="宋体" w:cs="宋体"/>
          <w:color w:val="auto"/>
          <w:sz w:val="21"/>
          <w:szCs w:val="21"/>
        </w:rPr>
        <w:t>1</w:t>
      </w:r>
      <w:r>
        <w:rPr>
          <w:rFonts w:hint="eastAsia" w:ascii="宋体" w:hAnsi="宋体" w:cs="宋体"/>
          <w:color w:val="auto"/>
          <w:sz w:val="21"/>
          <w:szCs w:val="21"/>
        </w:rPr>
        <w:fldChar w:fldCharType="end"/>
      </w:r>
    </w:p>
    <w:p w14:paraId="057919D4">
      <w:pPr>
        <w:pStyle w:val="138"/>
        <w:tabs>
          <w:tab w:val="right" w:leader="dot" w:pos="9354"/>
        </w:tabs>
        <w:spacing w:before="78" w:beforeLines="25" w:after="78" w:afterLines="25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color w:val="auto"/>
        </w:rPr>
        <w:fldChar w:fldCharType="begin"/>
      </w:r>
      <w:r>
        <w:rPr>
          <w:color w:val="auto"/>
        </w:rPr>
        <w:instrText xml:space="preserve"> HYPERLINK \l "_Toc263804099_WPSOffice_Level1" </w:instrText>
      </w:r>
      <w:r>
        <w:rPr>
          <w:color w:val="auto"/>
        </w:rPr>
        <w:fldChar w:fldCharType="separate"/>
      </w:r>
      <w:r>
        <w:rPr>
          <w:rFonts w:hint="eastAsia" w:ascii="宋体" w:hAnsi="宋体" w:cs="宋体"/>
          <w:color w:val="auto"/>
          <w:sz w:val="21"/>
          <w:szCs w:val="21"/>
        </w:rPr>
        <w:t>4  生产基地</w:t>
      </w:r>
      <w:r>
        <w:rPr>
          <w:rFonts w:hint="eastAsia" w:ascii="宋体" w:hAnsi="宋体" w:cs="宋体"/>
          <w:color w:val="auto"/>
          <w:sz w:val="21"/>
          <w:szCs w:val="21"/>
          <w:lang w:eastAsia="zh-CN"/>
        </w:rPr>
        <w:t>要求</w:t>
      </w:r>
      <w:r>
        <w:rPr>
          <w:rFonts w:hint="eastAsia" w:ascii="宋体" w:hAnsi="宋体" w:cs="宋体"/>
          <w:color w:val="auto"/>
          <w:sz w:val="21"/>
          <w:szCs w:val="21"/>
        </w:rPr>
        <w:t>及管理</w:t>
      </w:r>
      <w:r>
        <w:rPr>
          <w:rFonts w:hint="eastAsia" w:ascii="宋体" w:hAnsi="宋体" w:cs="宋体"/>
          <w:color w:val="auto"/>
          <w:sz w:val="21"/>
          <w:szCs w:val="21"/>
        </w:rPr>
        <w:tab/>
      </w:r>
      <w:r>
        <w:rPr>
          <w:rFonts w:hint="eastAsia" w:ascii="宋体" w:hAnsi="宋体" w:cs="宋体"/>
          <w:color w:val="auto"/>
          <w:sz w:val="21"/>
          <w:szCs w:val="21"/>
        </w:rPr>
        <w:fldChar w:fldCharType="end"/>
      </w: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2</w:t>
      </w:r>
    </w:p>
    <w:p w14:paraId="16DD2243">
      <w:pPr>
        <w:pStyle w:val="138"/>
        <w:tabs>
          <w:tab w:val="right" w:leader="dot" w:pos="9354"/>
        </w:tabs>
        <w:spacing w:before="78" w:beforeLines="25" w:after="78" w:afterLines="25"/>
        <w:rPr>
          <w:rFonts w:ascii="宋体" w:hAnsi="宋体" w:cs="宋体"/>
          <w:color w:val="auto"/>
          <w:sz w:val="21"/>
          <w:szCs w:val="21"/>
        </w:rPr>
      </w:pPr>
      <w:r>
        <w:rPr>
          <w:color w:val="auto"/>
        </w:rPr>
        <w:fldChar w:fldCharType="begin"/>
      </w:r>
      <w:r>
        <w:rPr>
          <w:color w:val="auto"/>
        </w:rPr>
        <w:instrText xml:space="preserve"> HYPERLINK \l "_Toc2129448254_WPSOffice_Level1" </w:instrText>
      </w:r>
      <w:r>
        <w:rPr>
          <w:color w:val="auto"/>
        </w:rPr>
        <w:fldChar w:fldCharType="separate"/>
      </w:r>
      <w:r>
        <w:rPr>
          <w:rFonts w:hint="eastAsia" w:ascii="宋体" w:hAnsi="宋体" w:cs="宋体"/>
          <w:color w:val="auto"/>
          <w:sz w:val="21"/>
          <w:szCs w:val="21"/>
        </w:rPr>
        <w:t>5  品种选择</w:t>
      </w:r>
      <w:r>
        <w:rPr>
          <w:rFonts w:hint="eastAsia" w:ascii="宋体" w:hAnsi="宋体" w:cs="宋体"/>
          <w:color w:val="auto"/>
          <w:sz w:val="21"/>
          <w:szCs w:val="21"/>
        </w:rPr>
        <w:tab/>
      </w: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2</w:t>
      </w:r>
      <w:r>
        <w:rPr>
          <w:rFonts w:hint="eastAsia" w:ascii="宋体" w:hAnsi="宋体" w:cs="宋体"/>
          <w:color w:val="auto"/>
          <w:sz w:val="21"/>
          <w:szCs w:val="21"/>
        </w:rPr>
        <w:fldChar w:fldCharType="end"/>
      </w:r>
    </w:p>
    <w:p w14:paraId="4BB3B89C">
      <w:pPr>
        <w:pStyle w:val="138"/>
        <w:tabs>
          <w:tab w:val="right" w:leader="dot" w:pos="9354"/>
        </w:tabs>
        <w:spacing w:before="78" w:beforeLines="25" w:after="78" w:afterLines="25"/>
        <w:rPr>
          <w:rFonts w:ascii="宋体" w:hAnsi="宋体" w:cs="宋体"/>
          <w:color w:val="auto"/>
          <w:sz w:val="21"/>
          <w:szCs w:val="21"/>
        </w:rPr>
      </w:pPr>
      <w:r>
        <w:rPr>
          <w:color w:val="auto"/>
        </w:rPr>
        <w:fldChar w:fldCharType="begin"/>
      </w:r>
      <w:r>
        <w:rPr>
          <w:color w:val="auto"/>
        </w:rPr>
        <w:instrText xml:space="preserve"> HYPERLINK \l "_Toc263804099_WPSOffice_Level1" </w:instrText>
      </w:r>
      <w:r>
        <w:rPr>
          <w:color w:val="auto"/>
        </w:rPr>
        <w:fldChar w:fldCharType="separate"/>
      </w:r>
      <w:r>
        <w:rPr>
          <w:rFonts w:hint="eastAsia" w:ascii="宋体" w:hAnsi="宋体" w:cs="宋体"/>
          <w:color w:val="auto"/>
          <w:sz w:val="21"/>
          <w:szCs w:val="21"/>
        </w:rPr>
        <w:t xml:space="preserve">6  </w:t>
      </w:r>
      <w:r>
        <w:rPr>
          <w:rFonts w:hint="eastAsia" w:ascii="宋体" w:hAnsi="宋体" w:cs="宋体"/>
          <w:color w:val="auto"/>
          <w:sz w:val="21"/>
          <w:szCs w:val="21"/>
          <w:lang w:eastAsia="zh-CN"/>
        </w:rPr>
        <w:t>育苗</w:t>
      </w:r>
      <w:r>
        <w:rPr>
          <w:rFonts w:hint="eastAsia" w:ascii="宋体" w:hAnsi="宋体" w:cs="宋体"/>
          <w:color w:val="auto"/>
          <w:sz w:val="21"/>
          <w:szCs w:val="21"/>
        </w:rPr>
        <w:tab/>
      </w: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2</w:t>
      </w:r>
      <w:r>
        <w:rPr>
          <w:rFonts w:hint="eastAsia" w:ascii="宋体" w:hAnsi="宋体" w:cs="宋体"/>
          <w:color w:val="auto"/>
          <w:sz w:val="21"/>
          <w:szCs w:val="21"/>
        </w:rPr>
        <w:fldChar w:fldCharType="end"/>
      </w:r>
    </w:p>
    <w:p w14:paraId="631FD05A">
      <w:pPr>
        <w:pStyle w:val="138"/>
        <w:tabs>
          <w:tab w:val="right" w:leader="dot" w:pos="9354"/>
        </w:tabs>
        <w:spacing w:before="78" w:beforeLines="25" w:after="78" w:afterLines="25"/>
        <w:rPr>
          <w:rFonts w:ascii="宋体" w:hAnsi="宋体" w:cs="宋体"/>
          <w:color w:val="auto"/>
          <w:sz w:val="21"/>
          <w:szCs w:val="21"/>
        </w:rPr>
      </w:pPr>
      <w:r>
        <w:rPr>
          <w:color w:val="auto"/>
        </w:rPr>
        <w:fldChar w:fldCharType="begin"/>
      </w:r>
      <w:r>
        <w:rPr>
          <w:color w:val="auto"/>
        </w:rPr>
        <w:instrText xml:space="preserve"> HYPERLINK \l "_Toc263804099_WPSOffice_Level1" </w:instrText>
      </w:r>
      <w:r>
        <w:rPr>
          <w:color w:val="auto"/>
        </w:rPr>
        <w:fldChar w:fldCharType="separate"/>
      </w:r>
      <w:r>
        <w:rPr>
          <w:rFonts w:hint="eastAsia" w:ascii="宋体" w:hAnsi="宋体" w:cs="宋体"/>
          <w:color w:val="auto"/>
          <w:sz w:val="21"/>
          <w:szCs w:val="21"/>
        </w:rPr>
        <w:t>7  定植</w:t>
      </w:r>
      <w:r>
        <w:rPr>
          <w:rFonts w:hint="eastAsia" w:ascii="宋体" w:hAnsi="宋体" w:cs="宋体"/>
          <w:color w:val="auto"/>
          <w:sz w:val="21"/>
          <w:szCs w:val="21"/>
        </w:rPr>
        <w:tab/>
      </w: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3</w:t>
      </w:r>
      <w:r>
        <w:rPr>
          <w:rFonts w:hint="eastAsia" w:ascii="宋体" w:hAnsi="宋体" w:cs="宋体"/>
          <w:color w:val="auto"/>
          <w:sz w:val="21"/>
          <w:szCs w:val="21"/>
        </w:rPr>
        <w:fldChar w:fldCharType="end"/>
      </w:r>
    </w:p>
    <w:p w14:paraId="18492732">
      <w:pPr>
        <w:pStyle w:val="138"/>
        <w:tabs>
          <w:tab w:val="right" w:leader="dot" w:pos="9354"/>
        </w:tabs>
        <w:spacing w:before="78" w:beforeLines="25" w:after="78" w:afterLines="25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color w:val="auto"/>
        </w:rPr>
        <w:fldChar w:fldCharType="begin"/>
      </w:r>
      <w:r>
        <w:rPr>
          <w:color w:val="auto"/>
        </w:rPr>
        <w:instrText xml:space="preserve"> HYPERLINK \l "_Toc263804099_WPSOffice_Level1" </w:instrText>
      </w:r>
      <w:r>
        <w:rPr>
          <w:color w:val="auto"/>
        </w:rPr>
        <w:fldChar w:fldCharType="separate"/>
      </w:r>
      <w:r>
        <w:rPr>
          <w:rFonts w:hint="eastAsia" w:ascii="宋体" w:hAnsi="宋体" w:cs="宋体"/>
          <w:color w:val="auto"/>
          <w:sz w:val="21"/>
          <w:szCs w:val="21"/>
        </w:rPr>
        <w:t xml:space="preserve">8  </w:t>
      </w:r>
      <w:r>
        <w:rPr>
          <w:rFonts w:hint="eastAsia" w:ascii="宋体" w:hAnsi="宋体" w:cs="宋体"/>
          <w:color w:val="auto"/>
          <w:sz w:val="21"/>
          <w:szCs w:val="21"/>
          <w:lang w:eastAsia="zh-CN"/>
        </w:rPr>
        <w:t>田间管理</w:t>
      </w:r>
      <w:r>
        <w:rPr>
          <w:rFonts w:hint="eastAsia" w:ascii="宋体" w:hAnsi="宋体" w:cs="宋体"/>
          <w:color w:val="auto"/>
          <w:sz w:val="21"/>
          <w:szCs w:val="21"/>
        </w:rPr>
        <w:tab/>
      </w:r>
      <w:r>
        <w:rPr>
          <w:rFonts w:hint="eastAsia" w:ascii="宋体" w:hAnsi="宋体" w:cs="宋体"/>
          <w:color w:val="auto"/>
          <w:sz w:val="21"/>
          <w:szCs w:val="21"/>
        </w:rPr>
        <w:fldChar w:fldCharType="end"/>
      </w: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4</w:t>
      </w:r>
    </w:p>
    <w:p w14:paraId="2E0CB23A">
      <w:pPr>
        <w:pStyle w:val="138"/>
        <w:tabs>
          <w:tab w:val="right" w:leader="dot" w:pos="9354"/>
        </w:tabs>
        <w:spacing w:before="78" w:beforeLines="25" w:after="78" w:afterLines="25"/>
        <w:rPr>
          <w:rFonts w:ascii="宋体" w:hAnsi="宋体" w:cs="宋体"/>
          <w:color w:val="auto"/>
          <w:sz w:val="21"/>
          <w:szCs w:val="21"/>
        </w:rPr>
      </w:pPr>
      <w:r>
        <w:rPr>
          <w:color w:val="auto"/>
        </w:rPr>
        <w:fldChar w:fldCharType="begin"/>
      </w:r>
      <w:r>
        <w:rPr>
          <w:color w:val="auto"/>
        </w:rPr>
        <w:instrText xml:space="preserve"> HYPERLINK \l "_Toc263804099_WPSOffice_Level1" </w:instrText>
      </w:r>
      <w:r>
        <w:rPr>
          <w:color w:val="auto"/>
        </w:rPr>
        <w:fldChar w:fldCharType="separate"/>
      </w:r>
      <w:r>
        <w:rPr>
          <w:rFonts w:hint="eastAsia" w:ascii="宋体" w:hAnsi="宋体" w:cs="宋体"/>
          <w:color w:val="auto"/>
          <w:sz w:val="21"/>
          <w:szCs w:val="21"/>
        </w:rPr>
        <w:t>9  病虫害防治</w:t>
      </w:r>
      <w:r>
        <w:rPr>
          <w:rFonts w:hint="eastAsia" w:ascii="宋体" w:hAnsi="宋体" w:cs="宋体"/>
          <w:color w:val="auto"/>
          <w:sz w:val="21"/>
          <w:szCs w:val="21"/>
        </w:rPr>
        <w:tab/>
      </w:r>
      <w:r>
        <w:rPr>
          <w:rFonts w:hint="eastAsia" w:ascii="宋体" w:hAnsi="宋体" w:cs="宋体"/>
          <w:color w:val="auto"/>
          <w:sz w:val="21"/>
          <w:szCs w:val="21"/>
        </w:rPr>
        <w:fldChar w:fldCharType="end"/>
      </w: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5</w:t>
      </w:r>
      <w:r>
        <w:rPr>
          <w:rFonts w:hint="eastAsia" w:ascii="宋体" w:hAnsi="宋体" w:cs="宋体"/>
          <w:color w:val="auto"/>
          <w:sz w:val="21"/>
          <w:szCs w:val="21"/>
        </w:rPr>
        <w:fldChar w:fldCharType="begin"/>
      </w:r>
      <w:r>
        <w:rPr>
          <w:rFonts w:hint="eastAsia" w:ascii="宋体" w:hAnsi="宋体" w:cs="宋体"/>
          <w:color w:val="auto"/>
          <w:sz w:val="21"/>
          <w:szCs w:val="21"/>
        </w:rPr>
        <w:instrText xml:space="preserve"> HYPERLINK \l "_Toc263804099_WPSOffice_Level1" </w:instrText>
      </w:r>
      <w:r>
        <w:rPr>
          <w:rFonts w:hint="eastAsia" w:ascii="宋体" w:hAnsi="宋体" w:cs="宋体"/>
          <w:color w:val="auto"/>
          <w:sz w:val="21"/>
          <w:szCs w:val="21"/>
        </w:rPr>
        <w:fldChar w:fldCharType="separate"/>
      </w:r>
    </w:p>
    <w:p w14:paraId="232AEF33">
      <w:pPr>
        <w:pStyle w:val="138"/>
        <w:tabs>
          <w:tab w:val="right" w:leader="dot" w:pos="9354"/>
        </w:tabs>
        <w:spacing w:before="78" w:beforeLines="25" w:after="78" w:afterLines="25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color w:val="auto"/>
        </w:rPr>
        <w:fldChar w:fldCharType="begin"/>
      </w:r>
      <w:r>
        <w:rPr>
          <w:color w:val="auto"/>
        </w:rPr>
        <w:instrText xml:space="preserve"> HYPERLINK \l "_Toc263804099_WPSOffice_Level1" </w:instrText>
      </w:r>
      <w:r>
        <w:rPr>
          <w:color w:val="auto"/>
        </w:rPr>
        <w:fldChar w:fldCharType="separate"/>
      </w:r>
      <w:r>
        <w:rPr>
          <w:rFonts w:hint="eastAsia" w:ascii="宋体" w:hAnsi="宋体" w:cs="宋体"/>
          <w:color w:val="auto"/>
          <w:sz w:val="21"/>
          <w:szCs w:val="21"/>
        </w:rPr>
        <w:t>10  采</w:t>
      </w:r>
      <w:r>
        <w:rPr>
          <w:rFonts w:hint="eastAsia" w:ascii="宋体" w:hAnsi="宋体" w:cs="宋体"/>
          <w:color w:val="auto"/>
          <w:sz w:val="21"/>
          <w:szCs w:val="21"/>
          <w:lang w:eastAsia="zh-CN"/>
        </w:rPr>
        <w:t>收</w:t>
      </w:r>
      <w:r>
        <w:rPr>
          <w:rFonts w:hint="eastAsia" w:ascii="宋体" w:hAnsi="宋体" w:cs="宋体"/>
          <w:color w:val="auto"/>
          <w:sz w:val="21"/>
          <w:szCs w:val="21"/>
        </w:rPr>
        <w:tab/>
      </w:r>
      <w:r>
        <w:rPr>
          <w:rFonts w:hint="eastAsia" w:ascii="宋体" w:hAnsi="宋体" w:cs="宋体"/>
          <w:color w:val="auto"/>
          <w:sz w:val="21"/>
          <w:szCs w:val="21"/>
        </w:rPr>
        <w:fldChar w:fldCharType="end"/>
      </w: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5</w:t>
      </w:r>
    </w:p>
    <w:p w14:paraId="7A304DF8">
      <w:pPr>
        <w:pStyle w:val="138"/>
        <w:tabs>
          <w:tab w:val="right" w:leader="dot" w:pos="9354"/>
        </w:tabs>
        <w:spacing w:before="78" w:beforeLines="25" w:after="78" w:afterLines="25"/>
        <w:rPr>
          <w:rFonts w:ascii="宋体" w:hAnsi="宋体" w:cs="宋体"/>
          <w:color w:val="auto"/>
          <w:sz w:val="21"/>
          <w:szCs w:val="21"/>
        </w:rPr>
      </w:pPr>
      <w:r>
        <w:rPr>
          <w:color w:val="auto"/>
        </w:rPr>
        <w:fldChar w:fldCharType="begin"/>
      </w:r>
      <w:r>
        <w:rPr>
          <w:color w:val="auto"/>
        </w:rPr>
        <w:instrText xml:space="preserve"> HYPERLINK \l "_Toc263804099_WPSOffice_Level1" </w:instrText>
      </w:r>
      <w:r>
        <w:rPr>
          <w:color w:val="auto"/>
        </w:rPr>
        <w:fldChar w:fldCharType="separate"/>
      </w:r>
      <w:r>
        <w:rPr>
          <w:rFonts w:hint="eastAsia" w:ascii="宋体" w:hAnsi="宋体" w:cs="宋体"/>
          <w:color w:val="auto"/>
          <w:sz w:val="21"/>
          <w:szCs w:val="21"/>
        </w:rPr>
        <w:t>11  包装、贮藏与运输</w:t>
      </w:r>
      <w:r>
        <w:rPr>
          <w:rFonts w:hint="eastAsia" w:ascii="宋体" w:hAnsi="宋体" w:cs="宋体"/>
          <w:color w:val="auto"/>
          <w:sz w:val="21"/>
          <w:szCs w:val="21"/>
        </w:rPr>
        <w:tab/>
      </w:r>
      <w:r>
        <w:rPr>
          <w:rFonts w:hint="eastAsia" w:ascii="宋体" w:hAnsi="宋体" w:cs="宋体"/>
          <w:color w:val="auto"/>
          <w:sz w:val="21"/>
          <w:szCs w:val="21"/>
        </w:rPr>
        <w:fldChar w:fldCharType="end"/>
      </w:r>
      <w:r>
        <w:rPr>
          <w:rFonts w:hint="eastAsia" w:ascii="宋体" w:hAnsi="宋体" w:cs="宋体"/>
          <w:color w:val="auto"/>
          <w:sz w:val="21"/>
          <w:szCs w:val="21"/>
        </w:rPr>
        <w:t>6</w:t>
      </w:r>
    </w:p>
    <w:p w14:paraId="31EC8CFB">
      <w:pPr>
        <w:pStyle w:val="138"/>
        <w:tabs>
          <w:tab w:val="right" w:leader="dot" w:pos="9354"/>
        </w:tabs>
        <w:spacing w:before="78" w:beforeLines="25" w:after="78" w:afterLines="25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sz w:val="21"/>
          <w:szCs w:val="21"/>
        </w:rPr>
        <w:t>12  生产废弃物的处理</w:t>
      </w:r>
      <w:r>
        <w:rPr>
          <w:rFonts w:hint="eastAsia" w:ascii="宋体" w:hAnsi="宋体" w:cs="宋体"/>
          <w:color w:val="auto"/>
          <w:sz w:val="21"/>
          <w:szCs w:val="21"/>
        </w:rPr>
        <w:tab/>
      </w: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6</w:t>
      </w:r>
    </w:p>
    <w:p w14:paraId="4E1DE212">
      <w:pPr>
        <w:pStyle w:val="138"/>
        <w:tabs>
          <w:tab w:val="right" w:leader="dot" w:pos="9354"/>
        </w:tabs>
        <w:spacing w:before="78" w:beforeLines="25" w:after="78" w:afterLines="25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13  生产档案</w:t>
      </w:r>
      <w:r>
        <w:rPr>
          <w:rFonts w:hint="eastAsia" w:ascii="宋体" w:hAnsi="宋体" w:cs="宋体"/>
          <w:color w:val="auto"/>
          <w:sz w:val="21"/>
          <w:szCs w:val="21"/>
        </w:rPr>
        <w:tab/>
      </w: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6</w:t>
      </w:r>
    </w:p>
    <w:p w14:paraId="15F2E2FE">
      <w:pPr>
        <w:pStyle w:val="138"/>
        <w:tabs>
          <w:tab w:val="right" w:leader="dot" w:pos="9354"/>
        </w:tabs>
        <w:spacing w:before="78" w:beforeLines="25" w:after="78" w:afterLines="25"/>
        <w:rPr>
          <w:rFonts w:ascii="宋体" w:hAnsi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sz w:val="21"/>
          <w:szCs w:val="21"/>
        </w:rPr>
        <w:t>1</w:t>
      </w: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4</w:t>
      </w:r>
      <w:r>
        <w:rPr>
          <w:rFonts w:hint="eastAsia" w:ascii="宋体" w:hAnsi="宋体" w:cs="宋体"/>
          <w:color w:val="auto"/>
          <w:sz w:val="21"/>
          <w:szCs w:val="21"/>
        </w:rPr>
        <w:t xml:space="preserve">  产品质量追溯</w:t>
      </w:r>
      <w:r>
        <w:rPr>
          <w:rFonts w:hint="eastAsia" w:ascii="宋体" w:hAnsi="宋体" w:cs="宋体"/>
          <w:color w:val="auto"/>
          <w:sz w:val="21"/>
          <w:szCs w:val="21"/>
        </w:rPr>
        <w:tab/>
      </w:r>
      <w:r>
        <w:rPr>
          <w:rFonts w:hint="eastAsia" w:ascii="宋体" w:hAnsi="宋体" w:cs="宋体"/>
          <w:color w:val="auto"/>
          <w:sz w:val="21"/>
          <w:szCs w:val="21"/>
        </w:rPr>
        <w:fldChar w:fldCharType="end"/>
      </w: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7</w:t>
      </w:r>
      <w:r>
        <w:rPr>
          <w:rFonts w:hint="eastAsia" w:ascii="宋体" w:hAnsi="宋体" w:cs="宋体"/>
          <w:color w:val="auto"/>
          <w:sz w:val="21"/>
          <w:szCs w:val="21"/>
        </w:rPr>
        <w:fldChar w:fldCharType="begin"/>
      </w:r>
      <w:r>
        <w:rPr>
          <w:rFonts w:hint="eastAsia" w:ascii="宋体" w:hAnsi="宋体" w:cs="宋体"/>
          <w:color w:val="auto"/>
          <w:sz w:val="21"/>
          <w:szCs w:val="21"/>
        </w:rPr>
        <w:instrText xml:space="preserve"> HYPERLINK \l "_Toc263804099_WPSOffice_Level1" </w:instrText>
      </w:r>
      <w:r>
        <w:rPr>
          <w:rFonts w:hint="eastAsia" w:ascii="宋体" w:hAnsi="宋体" w:cs="宋体"/>
          <w:color w:val="auto"/>
          <w:sz w:val="21"/>
          <w:szCs w:val="21"/>
        </w:rPr>
        <w:fldChar w:fldCharType="separate"/>
      </w:r>
    </w:p>
    <w:p w14:paraId="661C9D87">
      <w:pPr>
        <w:pStyle w:val="138"/>
        <w:tabs>
          <w:tab w:val="right" w:leader="dot" w:pos="9354"/>
        </w:tabs>
        <w:spacing w:before="78" w:beforeLines="25" w:after="78" w:afterLines="25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cs="宋体"/>
          <w:color w:val="auto"/>
          <w:sz w:val="21"/>
          <w:szCs w:val="21"/>
        </w:rPr>
        <w:t>附录A（资料性）  西兰花主要病虫害农药防控推荐</w:t>
      </w:r>
      <w:r>
        <w:rPr>
          <w:rFonts w:hint="eastAsia" w:ascii="宋体" w:hAnsi="宋体" w:cs="宋体"/>
          <w:color w:val="auto"/>
          <w:sz w:val="21"/>
          <w:szCs w:val="21"/>
        </w:rPr>
        <w:tab/>
      </w:r>
      <w:r>
        <w:rPr>
          <w:rFonts w:hint="eastAsia" w:ascii="宋体" w:hAnsi="宋体" w:cs="宋体"/>
          <w:color w:val="auto"/>
          <w:sz w:val="21"/>
          <w:szCs w:val="21"/>
        </w:rPr>
        <w:fldChar w:fldCharType="end"/>
      </w: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8</w:t>
      </w:r>
    </w:p>
    <w:p w14:paraId="50104A3C">
      <w:pPr>
        <w:pStyle w:val="138"/>
        <w:tabs>
          <w:tab w:val="right" w:leader="dot" w:pos="9354"/>
        </w:tabs>
        <w:spacing w:before="78" w:beforeLines="25" w:after="78" w:afterLines="25"/>
        <w:rPr>
          <w:rFonts w:ascii="宋体" w:hAnsi="宋体" w:cs="宋体"/>
          <w:color w:val="auto"/>
          <w:sz w:val="21"/>
          <w:szCs w:val="21"/>
        </w:rPr>
      </w:pPr>
    </w:p>
    <w:p w14:paraId="73E17166">
      <w:pPr>
        <w:spacing w:before="78" w:beforeLines="25" w:after="78" w:afterLines="25"/>
        <w:rPr>
          <w:rFonts w:ascii="宋体" w:hAnsi="宋体" w:cs="宋体"/>
          <w:color w:val="auto"/>
          <w:szCs w:val="21"/>
        </w:rPr>
      </w:pPr>
    </w:p>
    <w:p w14:paraId="59C8DA02">
      <w:pPr>
        <w:spacing w:before="78" w:beforeLines="25" w:after="78" w:afterLines="25"/>
        <w:jc w:val="left"/>
        <w:rPr>
          <w:rFonts w:ascii="宋体" w:hAnsi="宋体" w:cs="宋体"/>
          <w:color w:val="auto"/>
          <w:spacing w:val="20"/>
          <w:szCs w:val="21"/>
        </w:rPr>
        <w:sectPr>
          <w:footerReference r:id="rId6" w:type="default"/>
          <w:footerReference r:id="rId7" w:type="even"/>
          <w:pgSz w:w="11906" w:h="16838"/>
          <w:pgMar w:top="1417" w:right="1134" w:bottom="1134" w:left="1417" w:header="1417" w:footer="1134" w:gutter="0"/>
          <w:pgNumType w:fmt="decimal" w:start="1"/>
          <w:cols w:space="720" w:num="1"/>
          <w:docGrid w:type="lines" w:linePitch="312" w:charSpace="0"/>
        </w:sectPr>
      </w:pPr>
    </w:p>
    <w:p w14:paraId="7A68EC17">
      <w:pPr>
        <w:spacing w:before="567" w:after="680" w:line="360" w:lineRule="auto"/>
        <w:jc w:val="center"/>
        <w:rPr>
          <w:rFonts w:eastAsia="黑体"/>
          <w:color w:val="auto"/>
          <w:spacing w:val="20"/>
          <w:sz w:val="32"/>
          <w:szCs w:val="32"/>
        </w:rPr>
      </w:pPr>
      <w:bookmarkStart w:id="0" w:name="_Toc1874933468_WPSOffice_Level1"/>
      <w:r>
        <w:rPr>
          <w:rFonts w:eastAsia="黑体"/>
          <w:color w:val="auto"/>
          <w:spacing w:val="20"/>
          <w:sz w:val="32"/>
          <w:szCs w:val="32"/>
        </w:rPr>
        <w:t>前  言</w:t>
      </w:r>
      <w:bookmarkEnd w:id="0"/>
    </w:p>
    <w:p w14:paraId="5BB354E4">
      <w:pPr>
        <w:ind w:firstLine="420" w:firstLineChars="200"/>
        <w:rPr>
          <w:rFonts w:ascii="宋体" w:hAnsi="宋体" w:cs="宋体"/>
          <w:color w:val="auto"/>
        </w:rPr>
      </w:pPr>
      <w:r>
        <w:rPr>
          <w:rFonts w:hint="eastAsia" w:ascii="宋体" w:hAnsi="宋体" w:cs="宋体"/>
          <w:color w:val="auto"/>
        </w:rPr>
        <w:t>本文件按照GB/T 1.1—2020《标准化工作导则 第1部分：标准化文件的结构和起草规则》的规定起草。</w:t>
      </w:r>
    </w:p>
    <w:p w14:paraId="0BA6BBBD">
      <w:pPr>
        <w:ind w:firstLine="420" w:firstLineChars="200"/>
        <w:rPr>
          <w:rFonts w:ascii="宋体" w:hAnsi="宋体" w:cs="宋体"/>
          <w:color w:val="auto"/>
        </w:rPr>
      </w:pPr>
      <w:r>
        <w:rPr>
          <w:rFonts w:hint="eastAsia" w:ascii="宋体" w:hAnsi="宋体" w:cs="宋体"/>
          <w:color w:val="auto"/>
        </w:rPr>
        <w:t>本文件由深圳农产品质量提升联盟提出。</w:t>
      </w:r>
    </w:p>
    <w:p w14:paraId="16F5F31C">
      <w:pPr>
        <w:ind w:firstLine="420" w:firstLineChars="200"/>
        <w:rPr>
          <w:rFonts w:ascii="宋体" w:hAnsi="宋体" w:cs="宋体"/>
          <w:color w:val="auto"/>
        </w:rPr>
      </w:pPr>
      <w:r>
        <w:rPr>
          <w:rFonts w:hint="eastAsia" w:ascii="宋体" w:hAnsi="宋体" w:cs="宋体"/>
          <w:color w:val="auto"/>
        </w:rPr>
        <w:t>本文件由深圳市农业产业化龙头企业协会归口。</w:t>
      </w:r>
    </w:p>
    <w:p w14:paraId="48BF9458">
      <w:pPr>
        <w:ind w:firstLine="420" w:firstLineChars="200"/>
        <w:rPr>
          <w:rFonts w:hint="default" w:ascii="宋体" w:hAnsi="宋体" w:eastAsia="宋体" w:cs="宋体"/>
          <w:color w:val="auto"/>
          <w:lang w:val="en-US" w:eastAsia="zh-CN"/>
        </w:rPr>
      </w:pPr>
      <w:r>
        <w:rPr>
          <w:rFonts w:hint="eastAsia" w:ascii="宋体" w:hAnsi="宋体" w:cs="宋体"/>
          <w:color w:val="auto"/>
        </w:rPr>
        <w:t>本文件起草单位：深圳市农产品质量安全检验检测中心、</w:t>
      </w:r>
      <w:r>
        <w:rPr>
          <w:rFonts w:hint="eastAsia"/>
          <w:color w:val="auto"/>
          <w:szCs w:val="32"/>
        </w:rPr>
        <w:t>深圳市茂雄万家农副产品有限公司</w:t>
      </w:r>
      <w:r>
        <w:rPr>
          <w:rFonts w:hint="eastAsia"/>
          <w:color w:val="auto"/>
          <w:szCs w:val="32"/>
          <w:lang w:eastAsia="zh-CN"/>
        </w:rPr>
        <w:t>、深圳市中鼎检测技术有限公司、</w:t>
      </w:r>
      <w:r>
        <w:rPr>
          <w:rFonts w:hint="eastAsia"/>
          <w:color w:val="auto"/>
          <w:szCs w:val="32"/>
        </w:rPr>
        <w:t>深圳市农业产业化龙头企业协会</w:t>
      </w:r>
      <w:r>
        <w:rPr>
          <w:rFonts w:hint="eastAsia" w:ascii="宋体" w:hAnsi="宋体" w:cs="宋体"/>
          <w:color w:val="auto"/>
          <w:lang w:val="en-US" w:eastAsia="zh-CN"/>
        </w:rPr>
        <w:t>。</w:t>
      </w:r>
    </w:p>
    <w:p w14:paraId="66481C8D">
      <w:pPr>
        <w:ind w:firstLine="420" w:firstLineChars="200"/>
        <w:rPr>
          <w:rFonts w:hint="eastAsia" w:ascii="宋体" w:hAnsi="宋体" w:cs="宋体"/>
          <w:b w:val="0"/>
          <w:color w:val="auto"/>
          <w:spacing w:val="0"/>
          <w:szCs w:val="24"/>
        </w:rPr>
      </w:pPr>
      <w:r>
        <w:rPr>
          <w:rFonts w:hint="eastAsia" w:ascii="宋体" w:hAnsi="宋体" w:cs="宋体"/>
          <w:color w:val="auto"/>
        </w:rPr>
        <w:t>本文件主要起草人：</w:t>
      </w:r>
      <w:r>
        <w:rPr>
          <w:rFonts w:hint="eastAsia" w:ascii="宋体" w:hAnsi="宋体" w:cs="宋体"/>
          <w:color w:val="auto"/>
          <w:lang w:val="en-US" w:eastAsia="zh-CN"/>
        </w:rPr>
        <w:t>XXX</w:t>
      </w:r>
      <w:r>
        <w:rPr>
          <w:rFonts w:hint="eastAsia" w:ascii="宋体" w:hAnsi="宋体" w:cs="宋体"/>
          <w:color w:val="auto"/>
        </w:rPr>
        <w:t>。</w:t>
      </w:r>
    </w:p>
    <w:p w14:paraId="14BE0D37">
      <w:pPr>
        <w:spacing w:line="360" w:lineRule="auto"/>
        <w:ind w:firstLine="502" w:firstLineChars="200"/>
        <w:rPr>
          <w:b/>
          <w:color w:val="auto"/>
          <w:spacing w:val="20"/>
          <w:szCs w:val="21"/>
        </w:rPr>
      </w:pPr>
    </w:p>
    <w:p w14:paraId="3FC9C24B">
      <w:pPr>
        <w:spacing w:line="360" w:lineRule="auto"/>
        <w:rPr>
          <w:b/>
          <w:color w:val="auto"/>
          <w:spacing w:val="20"/>
          <w:szCs w:val="21"/>
        </w:rPr>
        <w:sectPr>
          <w:footerReference r:id="rId8" w:type="default"/>
          <w:footerReference r:id="rId9" w:type="even"/>
          <w:pgSz w:w="11906" w:h="16838"/>
          <w:pgMar w:top="1417" w:right="1134" w:bottom="1134" w:left="1417" w:header="1417" w:footer="1134" w:gutter="0"/>
          <w:pgNumType w:fmt="decimal"/>
          <w:cols w:space="720" w:num="1"/>
          <w:docGrid w:type="lines" w:linePitch="312" w:charSpace="0"/>
        </w:sectPr>
      </w:pPr>
    </w:p>
    <w:p w14:paraId="354E6A64">
      <w:pPr>
        <w:spacing w:before="567" w:after="680" w:line="360" w:lineRule="auto"/>
        <w:jc w:val="center"/>
        <w:rPr>
          <w:rFonts w:eastAsia="黑体"/>
          <w:color w:val="auto"/>
          <w:sz w:val="32"/>
          <w:szCs w:val="32"/>
        </w:rPr>
      </w:pPr>
      <w:r>
        <w:rPr>
          <w:rFonts w:hint="eastAsia" w:eastAsia="黑体"/>
          <w:color w:val="auto"/>
          <w:sz w:val="32"/>
          <w:szCs w:val="32"/>
        </w:rPr>
        <w:t>优质</w:t>
      </w:r>
      <w:r>
        <w:rPr>
          <w:rFonts w:hint="eastAsia" w:eastAsia="黑体"/>
          <w:color w:val="auto"/>
          <w:sz w:val="32"/>
          <w:szCs w:val="32"/>
          <w:lang w:eastAsia="zh-CN"/>
        </w:rPr>
        <w:t>西兰花</w:t>
      </w:r>
      <w:r>
        <w:rPr>
          <w:rFonts w:hint="eastAsia" w:eastAsia="黑体"/>
          <w:color w:val="auto"/>
          <w:sz w:val="32"/>
          <w:szCs w:val="32"/>
        </w:rPr>
        <w:t>生产技术规程</w:t>
      </w:r>
    </w:p>
    <w:p w14:paraId="3B7EC469">
      <w:pPr>
        <w:spacing w:before="317" w:beforeLines="100" w:after="317" w:afterLines="100"/>
        <w:rPr>
          <w:i/>
          <w:color w:val="auto"/>
          <w:szCs w:val="21"/>
        </w:rPr>
      </w:pPr>
      <w:bookmarkStart w:id="1" w:name="_Toc1760373248_WPSOffice_Level1"/>
      <w:r>
        <w:rPr>
          <w:rFonts w:ascii="黑体" w:hAnsi="黑体" w:eastAsia="黑体"/>
          <w:color w:val="auto"/>
          <w:szCs w:val="21"/>
        </w:rPr>
        <w:t>1</w:t>
      </w:r>
      <w:r>
        <w:rPr>
          <w:rFonts w:eastAsia="黑体"/>
          <w:color w:val="auto"/>
          <w:szCs w:val="21"/>
        </w:rPr>
        <w:t xml:space="preserve"> </w:t>
      </w:r>
      <w:r>
        <w:rPr>
          <w:rFonts w:hint="eastAsia" w:eastAsia="黑体"/>
          <w:color w:val="auto"/>
          <w:szCs w:val="21"/>
        </w:rPr>
        <w:t xml:space="preserve"> </w:t>
      </w:r>
      <w:r>
        <w:rPr>
          <w:rFonts w:eastAsia="黑体"/>
          <w:color w:val="auto"/>
          <w:szCs w:val="21"/>
        </w:rPr>
        <w:t>范围</w:t>
      </w:r>
      <w:bookmarkEnd w:id="1"/>
    </w:p>
    <w:p w14:paraId="10D0224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 w:firstLineChars="200"/>
        <w:jc w:val="left"/>
        <w:rPr>
          <w:rFonts w:hint="eastAsia" w:ascii="宋体" w:hAnsi="宋体" w:cs="宋体"/>
          <w:color w:val="auto"/>
        </w:rPr>
      </w:pPr>
      <w:r>
        <w:rPr>
          <w:rFonts w:hint="eastAsia" w:ascii="宋体" w:hAnsi="宋体" w:cs="宋体"/>
          <w:color w:val="auto"/>
        </w:rPr>
        <w:t>本文件规定了优质</w:t>
      </w:r>
      <w:r>
        <w:rPr>
          <w:rFonts w:hint="eastAsia" w:ascii="宋体" w:hAnsi="宋体" w:cs="宋体"/>
          <w:color w:val="auto"/>
          <w:lang w:eastAsia="zh-CN"/>
        </w:rPr>
        <w:t>西兰花</w:t>
      </w:r>
      <w:r>
        <w:rPr>
          <w:rFonts w:hint="eastAsia" w:ascii="宋体" w:hAnsi="宋体" w:cs="宋体"/>
          <w:color w:val="auto"/>
        </w:rPr>
        <w:t>生产的</w:t>
      </w:r>
      <w:r>
        <w:rPr>
          <w:rFonts w:hint="eastAsia" w:ascii="宋体" w:hAnsi="宋体" w:cs="宋体"/>
          <w:color w:val="auto"/>
          <w:lang w:eastAsia="zh-CN"/>
        </w:rPr>
        <w:t>基本要求，主要包括</w:t>
      </w:r>
      <w:r>
        <w:rPr>
          <w:rFonts w:hint="eastAsia" w:ascii="宋体" w:hAnsi="宋体" w:cs="宋体"/>
          <w:color w:val="auto"/>
        </w:rPr>
        <w:t>生产基地</w:t>
      </w:r>
      <w:r>
        <w:rPr>
          <w:rFonts w:hint="eastAsia" w:ascii="宋体" w:hAnsi="宋体" w:cs="宋体"/>
          <w:color w:val="auto"/>
          <w:lang w:eastAsia="zh-CN"/>
        </w:rPr>
        <w:t>要求</w:t>
      </w:r>
      <w:r>
        <w:rPr>
          <w:rFonts w:hint="eastAsia" w:ascii="宋体" w:hAnsi="宋体" w:cs="宋体"/>
          <w:color w:val="auto"/>
        </w:rPr>
        <w:t>及管理</w:t>
      </w:r>
      <w:r>
        <w:rPr>
          <w:rFonts w:hint="eastAsia" w:ascii="宋体" w:hAnsi="宋体" w:cs="宋体"/>
          <w:color w:val="auto"/>
          <w:lang w:eastAsia="zh-CN"/>
        </w:rPr>
        <w:t>、</w:t>
      </w:r>
      <w:r>
        <w:rPr>
          <w:rFonts w:hint="default" w:ascii="宋体" w:hAnsi="宋体" w:cs="宋体"/>
          <w:color w:val="auto"/>
          <w:lang w:val="en-US" w:eastAsia="zh-CN"/>
        </w:rPr>
        <w:t>品种选择</w:t>
      </w:r>
      <w:r>
        <w:rPr>
          <w:rFonts w:hint="eastAsia" w:ascii="宋体" w:hAnsi="宋体" w:cs="宋体"/>
          <w:color w:val="auto"/>
          <w:lang w:eastAsia="zh-CN"/>
        </w:rPr>
        <w:t>、育苗</w:t>
      </w:r>
      <w:r>
        <w:rPr>
          <w:rFonts w:hint="eastAsia" w:ascii="宋体" w:hAnsi="宋体" w:cs="宋体"/>
          <w:color w:val="auto"/>
        </w:rPr>
        <w:t>、</w:t>
      </w:r>
      <w:r>
        <w:rPr>
          <w:rFonts w:hint="eastAsia" w:ascii="宋体" w:hAnsi="宋体" w:cs="宋体"/>
          <w:color w:val="auto"/>
          <w:lang w:eastAsia="zh-CN"/>
        </w:rPr>
        <w:t>定植、田间</w:t>
      </w:r>
      <w:r>
        <w:rPr>
          <w:rFonts w:hint="eastAsia" w:ascii="宋体" w:hAnsi="宋体" w:cs="宋体"/>
          <w:color w:val="auto"/>
        </w:rPr>
        <w:t>管理、病虫害防治、采收、包装、贮藏与运输</w:t>
      </w:r>
      <w:r>
        <w:rPr>
          <w:rFonts w:hint="eastAsia" w:ascii="宋体" w:hAnsi="宋体" w:cs="宋体"/>
          <w:color w:val="auto"/>
          <w:lang w:eastAsia="zh-CN"/>
        </w:rPr>
        <w:t>、生产废弃物的处理、</w:t>
      </w:r>
      <w:r>
        <w:rPr>
          <w:rFonts w:hint="eastAsia" w:ascii="宋体" w:hAnsi="宋体" w:cs="宋体"/>
          <w:color w:val="auto"/>
        </w:rPr>
        <w:t>生产档案以及产品质量追溯等</w:t>
      </w:r>
      <w:r>
        <w:rPr>
          <w:rFonts w:hint="eastAsia" w:ascii="宋体" w:hAnsi="宋体" w:cs="宋体"/>
          <w:color w:val="auto"/>
          <w:lang w:eastAsia="zh-CN"/>
        </w:rPr>
        <w:t>方面</w:t>
      </w:r>
      <w:r>
        <w:rPr>
          <w:rFonts w:hint="eastAsia" w:ascii="宋体" w:hAnsi="宋体" w:cs="宋体"/>
          <w:color w:val="auto"/>
        </w:rPr>
        <w:t>。</w:t>
      </w:r>
    </w:p>
    <w:p w14:paraId="22162DF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 w:firstLineChars="200"/>
        <w:jc w:val="left"/>
        <w:rPr>
          <w:rFonts w:hint="eastAsia" w:ascii="宋体" w:hAnsi="宋体" w:cs="宋体"/>
          <w:color w:val="auto"/>
        </w:rPr>
      </w:pPr>
      <w:r>
        <w:rPr>
          <w:rFonts w:hint="eastAsia" w:ascii="宋体" w:hAnsi="宋体" w:cs="宋体"/>
          <w:color w:val="auto"/>
        </w:rPr>
        <w:t>本文件适用</w:t>
      </w:r>
      <w:r>
        <w:rPr>
          <w:rFonts w:hint="eastAsia" w:ascii="宋体" w:hAnsi="宋体" w:cs="宋体"/>
          <w:color w:val="auto"/>
          <w:lang w:eastAsia="zh-CN"/>
        </w:rPr>
        <w:t>于</w:t>
      </w:r>
      <w:r>
        <w:rPr>
          <w:rFonts w:hint="eastAsia" w:ascii="宋体" w:hAnsi="宋体" w:cs="宋体"/>
          <w:color w:val="auto"/>
        </w:rPr>
        <w:t>优质</w:t>
      </w:r>
      <w:r>
        <w:rPr>
          <w:rFonts w:hint="eastAsia" w:ascii="宋体" w:hAnsi="宋体" w:cs="宋体"/>
          <w:color w:val="auto"/>
          <w:lang w:eastAsia="zh-CN"/>
        </w:rPr>
        <w:t>西兰花</w:t>
      </w:r>
      <w:r>
        <w:rPr>
          <w:rFonts w:hint="eastAsia" w:ascii="宋体" w:hAnsi="宋体" w:cs="宋体"/>
          <w:color w:val="auto"/>
        </w:rPr>
        <w:t>的生产。</w:t>
      </w:r>
    </w:p>
    <w:p w14:paraId="6B12DD63">
      <w:pPr>
        <w:spacing w:before="317" w:beforeLines="100" w:after="317" w:afterLines="100"/>
        <w:rPr>
          <w:rFonts w:ascii="黑体" w:hAnsi="黑体" w:eastAsia="黑体"/>
          <w:color w:val="auto"/>
          <w:szCs w:val="21"/>
        </w:rPr>
      </w:pPr>
      <w:bookmarkStart w:id="2" w:name="_Toc1194504409_WPSOffice_Level1"/>
      <w:r>
        <w:rPr>
          <w:rFonts w:ascii="黑体" w:hAnsi="黑体" w:eastAsia="黑体"/>
          <w:color w:val="auto"/>
          <w:szCs w:val="21"/>
        </w:rPr>
        <w:t>2</w:t>
      </w:r>
      <w:r>
        <w:rPr>
          <w:rFonts w:hint="eastAsia" w:ascii="黑体" w:hAnsi="黑体" w:eastAsia="黑体"/>
          <w:color w:val="auto"/>
          <w:szCs w:val="21"/>
        </w:rPr>
        <w:t xml:space="preserve"> </w:t>
      </w:r>
      <w:r>
        <w:rPr>
          <w:rFonts w:ascii="黑体" w:hAnsi="黑体" w:eastAsia="黑体"/>
          <w:color w:val="auto"/>
          <w:szCs w:val="21"/>
        </w:rPr>
        <w:t xml:space="preserve"> 规范性引用文件</w:t>
      </w:r>
      <w:bookmarkEnd w:id="2"/>
    </w:p>
    <w:p w14:paraId="7AD4D55E">
      <w:pPr>
        <w:ind w:firstLine="420" w:firstLineChars="200"/>
        <w:rPr>
          <w:color w:val="auto"/>
          <w:szCs w:val="22"/>
          <w:highlight w:val="none"/>
        </w:rPr>
      </w:pPr>
      <w:r>
        <w:rPr>
          <w:rFonts w:hint="eastAsia" w:ascii="宋体" w:hAnsi="宋体" w:cs="宋体"/>
          <w:color w:val="auto"/>
        </w:rPr>
        <w:t>下列文件中的内容通过文中的规范性引用而构成</w:t>
      </w:r>
      <w:r>
        <w:rPr>
          <w:rFonts w:hint="eastAsia" w:ascii="宋体" w:hAnsi="宋体" w:cs="宋体"/>
          <w:color w:val="auto"/>
          <w:lang w:eastAsia="zh-CN"/>
        </w:rPr>
        <w:t>本文件</w:t>
      </w:r>
      <w:r>
        <w:rPr>
          <w:rFonts w:hint="eastAsia" w:ascii="宋体" w:hAnsi="宋体" w:cs="宋体"/>
          <w:color w:val="auto"/>
        </w:rPr>
        <w:t>必不可少的条款。其中，注日期的引用文件，仅该日期对应的版本适用于本文件</w:t>
      </w:r>
      <w:r>
        <w:rPr>
          <w:rFonts w:hint="eastAsia" w:ascii="宋体" w:hAnsi="宋体" w:cs="宋体"/>
          <w:color w:val="auto"/>
          <w:lang w:eastAsia="zh-CN"/>
        </w:rPr>
        <w:t>；</w:t>
      </w:r>
      <w:r>
        <w:rPr>
          <w:rFonts w:hint="eastAsia" w:ascii="宋体" w:hAnsi="宋体" w:cs="宋体"/>
          <w:color w:val="auto"/>
        </w:rPr>
        <w:t>不注日期的引用文件，其最新版本（包括所有的修改单）适用于本文件。</w:t>
      </w:r>
    </w:p>
    <w:p w14:paraId="19FCB3E0">
      <w:pPr>
        <w:pStyle w:val="22"/>
        <w:rPr>
          <w:rFonts w:hint="eastAsia" w:ascii="宋体" w:hAnsi="宋体" w:cs="宋体"/>
          <w:color w:val="auto"/>
          <w:highlight w:val="none"/>
          <w:lang w:val="en-US" w:eastAsia="zh-CN"/>
        </w:rPr>
      </w:pPr>
      <w:r>
        <w:rPr>
          <w:rFonts w:hint="eastAsia"/>
          <w:color w:val="auto"/>
          <w:szCs w:val="22"/>
          <w:highlight w:val="none"/>
          <w:lang w:val="en-US" w:eastAsia="zh-CN"/>
        </w:rPr>
        <w:t>GB 5084  农田灌溉水质标准</w:t>
      </w:r>
    </w:p>
    <w:p w14:paraId="119EEFA5">
      <w:pPr>
        <w:pStyle w:val="22"/>
        <w:rPr>
          <w:rFonts w:hint="default" w:eastAsia="宋体"/>
          <w:color w:val="auto"/>
          <w:szCs w:val="22"/>
          <w:highlight w:val="none"/>
          <w:lang w:val="en-US" w:eastAsia="zh-CN"/>
        </w:rPr>
      </w:pPr>
      <w:r>
        <w:rPr>
          <w:rFonts w:hint="eastAsia"/>
          <w:color w:val="auto"/>
          <w:szCs w:val="22"/>
          <w:highlight w:val="none"/>
        </w:rPr>
        <w:t>GB</w:t>
      </w:r>
      <w:r>
        <w:rPr>
          <w:rFonts w:hint="eastAsia"/>
          <w:color w:val="auto"/>
          <w:szCs w:val="22"/>
          <w:highlight w:val="none"/>
          <w:lang w:val="en-US" w:eastAsia="zh-CN"/>
        </w:rPr>
        <w:t xml:space="preserve"> </w:t>
      </w:r>
      <w:r>
        <w:rPr>
          <w:rFonts w:hint="eastAsia"/>
          <w:color w:val="auto"/>
          <w:szCs w:val="22"/>
          <w:highlight w:val="none"/>
        </w:rPr>
        <w:t>16715.2</w:t>
      </w:r>
      <w:r>
        <w:rPr>
          <w:rFonts w:hint="eastAsia"/>
          <w:color w:val="auto"/>
          <w:szCs w:val="22"/>
          <w:highlight w:val="none"/>
          <w:lang w:val="en-US" w:eastAsia="zh-CN"/>
        </w:rPr>
        <w:t xml:space="preserve"> </w:t>
      </w:r>
      <w:r>
        <w:rPr>
          <w:rFonts w:hint="eastAsia"/>
          <w:color w:val="auto"/>
          <w:szCs w:val="22"/>
          <w:highlight w:val="none"/>
        </w:rPr>
        <w:t xml:space="preserve"> 瓜菜作物种子 第4部分：甘蓝类</w:t>
      </w:r>
    </w:p>
    <w:p w14:paraId="42371DDE">
      <w:pPr>
        <w:pStyle w:val="22"/>
        <w:rPr>
          <w:rFonts w:hint="eastAsia"/>
          <w:color w:val="auto"/>
          <w:szCs w:val="22"/>
          <w:highlight w:val="none"/>
        </w:rPr>
      </w:pPr>
      <w:r>
        <w:rPr>
          <w:rFonts w:hint="eastAsia"/>
          <w:color w:val="auto"/>
          <w:szCs w:val="22"/>
          <w:highlight w:val="none"/>
        </w:rPr>
        <w:t>GB/T 8321（所有部分）  农药合理使用准则</w:t>
      </w:r>
    </w:p>
    <w:p w14:paraId="5F167930">
      <w:pPr>
        <w:pStyle w:val="22"/>
        <w:rPr>
          <w:rFonts w:hint="eastAsia"/>
          <w:color w:val="auto"/>
          <w:szCs w:val="22"/>
          <w:highlight w:val="none"/>
        </w:rPr>
      </w:pPr>
      <w:r>
        <w:rPr>
          <w:rFonts w:hint="eastAsia"/>
          <w:color w:val="auto"/>
          <w:szCs w:val="22"/>
          <w:highlight w:val="none"/>
        </w:rPr>
        <w:t>GB/T 29373  农产品追溯要求 果蔬</w:t>
      </w:r>
    </w:p>
    <w:p w14:paraId="648E1EF4">
      <w:pPr>
        <w:pStyle w:val="22"/>
        <w:rPr>
          <w:rFonts w:hint="eastAsia"/>
          <w:color w:val="auto"/>
          <w:szCs w:val="22"/>
          <w:highlight w:val="none"/>
        </w:rPr>
      </w:pPr>
      <w:r>
        <w:rPr>
          <w:rFonts w:hint="eastAsia" w:ascii="宋体" w:hAnsi="宋体" w:cs="宋体"/>
          <w:color w:val="auto"/>
          <w:highlight w:val="none"/>
          <w:lang w:val="en-US" w:eastAsia="zh-CN"/>
        </w:rPr>
        <w:t>GB/Z 26586-2011</w:t>
      </w:r>
      <w:r>
        <w:rPr>
          <w:rFonts w:hint="eastAsia" w:hAnsi="宋体" w:cs="宋体"/>
          <w:color w:val="auto"/>
          <w:highlight w:val="none"/>
          <w:lang w:val="en-US" w:eastAsia="zh-CN"/>
        </w:rPr>
        <w:t xml:space="preserve">  西兰花生产技术规范</w:t>
      </w:r>
    </w:p>
    <w:p w14:paraId="49179205">
      <w:pPr>
        <w:pStyle w:val="22"/>
        <w:rPr>
          <w:color w:val="auto"/>
          <w:szCs w:val="22"/>
          <w:highlight w:val="none"/>
        </w:rPr>
      </w:pPr>
      <w:r>
        <w:rPr>
          <w:rFonts w:hint="eastAsia"/>
          <w:color w:val="auto"/>
          <w:szCs w:val="22"/>
          <w:highlight w:val="none"/>
        </w:rPr>
        <w:t>NY/T 391  绿色食品 产地环境质量</w:t>
      </w:r>
    </w:p>
    <w:p w14:paraId="0377E7E1">
      <w:pPr>
        <w:pStyle w:val="22"/>
        <w:rPr>
          <w:color w:val="auto"/>
          <w:szCs w:val="22"/>
          <w:highlight w:val="none"/>
        </w:rPr>
      </w:pPr>
      <w:r>
        <w:rPr>
          <w:rFonts w:hint="eastAsia"/>
          <w:color w:val="auto"/>
          <w:szCs w:val="22"/>
          <w:highlight w:val="none"/>
        </w:rPr>
        <w:t>NY/T 393  绿色食品 农药使用准则</w:t>
      </w:r>
    </w:p>
    <w:p w14:paraId="65D2CB53">
      <w:pPr>
        <w:pStyle w:val="22"/>
        <w:rPr>
          <w:rFonts w:hint="eastAsia"/>
          <w:color w:val="auto"/>
          <w:szCs w:val="22"/>
          <w:highlight w:val="none"/>
        </w:rPr>
      </w:pPr>
      <w:r>
        <w:rPr>
          <w:rFonts w:hint="eastAsia"/>
          <w:color w:val="auto"/>
          <w:szCs w:val="22"/>
          <w:highlight w:val="none"/>
        </w:rPr>
        <w:t>NY/T 394  绿色食品 肥料使用准则</w:t>
      </w:r>
    </w:p>
    <w:p w14:paraId="7B5F5C42">
      <w:pPr>
        <w:pStyle w:val="22"/>
        <w:rPr>
          <w:rFonts w:hint="default"/>
          <w:color w:val="auto"/>
          <w:szCs w:val="22"/>
          <w:highlight w:val="none"/>
          <w:lang w:val="en-US"/>
        </w:rPr>
      </w:pPr>
      <w:r>
        <w:rPr>
          <w:rFonts w:hint="default" w:ascii="宋体" w:hAnsi="宋体" w:cs="宋体"/>
          <w:color w:val="auto"/>
          <w:highlight w:val="none"/>
          <w:lang w:val="en-US" w:eastAsia="zh-CN"/>
        </w:rPr>
        <w:t>NY/T 525</w:t>
      </w:r>
      <w:r>
        <w:rPr>
          <w:rFonts w:hint="eastAsia" w:hAnsi="宋体" w:cs="宋体"/>
          <w:color w:val="auto"/>
          <w:highlight w:val="none"/>
          <w:lang w:val="en-US" w:eastAsia="zh-CN"/>
        </w:rPr>
        <w:t xml:space="preserve">  有机肥料</w:t>
      </w:r>
    </w:p>
    <w:p w14:paraId="59BD02A6">
      <w:pPr>
        <w:pStyle w:val="127"/>
        <w:framePr w:hSpace="0" w:vSpace="0" w:wrap="auto" w:vAnchor="margin" w:hAnchor="text" w:xAlign="left" w:yAlign="inline"/>
        <w:ind w:firstLine="420" w:firstLineChars="200"/>
        <w:rPr>
          <w:rFonts w:hint="default" w:ascii="宋体" w:hAnsi="宋体" w:cs="宋体"/>
          <w:color w:val="auto"/>
          <w:highlight w:val="none"/>
          <w:lang w:val="en-US"/>
        </w:rPr>
      </w:pPr>
      <w:r>
        <w:rPr>
          <w:rFonts w:hint="eastAsia" w:ascii="宋体" w:hAnsi="宋体" w:cs="宋体"/>
          <w:color w:val="auto"/>
          <w:highlight w:val="none"/>
          <w:lang w:val="en-US" w:eastAsia="zh-CN"/>
        </w:rPr>
        <w:t>NY/T 658  绿色食品 包装通用准则</w:t>
      </w:r>
    </w:p>
    <w:p w14:paraId="17B7A0DF">
      <w:pPr>
        <w:pStyle w:val="127"/>
        <w:framePr w:hSpace="0" w:vSpace="0" w:wrap="auto" w:vAnchor="margin" w:hAnchor="text" w:xAlign="left" w:yAlign="inline"/>
        <w:ind w:firstLine="420" w:firstLineChars="200"/>
        <w:rPr>
          <w:rFonts w:hint="eastAsia" w:ascii="宋体" w:hAnsi="宋体" w:cs="宋体"/>
          <w:color w:val="auto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highlight w:val="none"/>
          <w:lang w:val="en-US" w:eastAsia="zh-CN"/>
        </w:rPr>
        <w:t>NY/T 1056  绿色食品 贮藏运输准则</w:t>
      </w:r>
    </w:p>
    <w:p w14:paraId="7B7552AD">
      <w:pPr>
        <w:pStyle w:val="22"/>
        <w:rPr>
          <w:rFonts w:hint="eastAsia" w:ascii="宋体" w:hAnsi="宋体" w:cs="宋体"/>
          <w:color w:val="auto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highlight w:val="none"/>
          <w:lang w:val="en-US" w:eastAsia="zh-CN"/>
        </w:rPr>
        <w:t>NY/T 2118</w:t>
      </w:r>
      <w:r>
        <w:rPr>
          <w:rFonts w:hint="eastAsia" w:hAnsi="宋体" w:cs="宋体"/>
          <w:color w:val="auto"/>
          <w:highlight w:val="none"/>
          <w:lang w:val="en-US" w:eastAsia="zh-CN"/>
        </w:rPr>
        <w:t xml:space="preserve">  蔬菜育苗基质</w:t>
      </w:r>
    </w:p>
    <w:p w14:paraId="561A895F">
      <w:pPr>
        <w:spacing w:before="283" w:after="317" w:afterLines="100"/>
        <w:rPr>
          <w:rFonts w:hint="eastAsia" w:ascii="黑体" w:hAnsi="黑体" w:eastAsia="黑体"/>
          <w:color w:val="auto"/>
          <w:szCs w:val="21"/>
        </w:rPr>
      </w:pPr>
      <w:bookmarkStart w:id="3" w:name="_Toc1107861666_WPSOffice_Level1"/>
      <w:r>
        <w:rPr>
          <w:rFonts w:hint="eastAsia" w:ascii="黑体" w:hAnsi="黑体" w:eastAsia="黑体"/>
          <w:color w:val="auto"/>
          <w:szCs w:val="21"/>
        </w:rPr>
        <w:t>3  术语和定义</w:t>
      </w:r>
      <w:bookmarkEnd w:id="3"/>
    </w:p>
    <w:p w14:paraId="75B3F669">
      <w:pPr>
        <w:spacing w:line="360" w:lineRule="auto"/>
        <w:ind w:firstLine="420" w:firstLineChars="200"/>
        <w:jc w:val="left"/>
        <w:rPr>
          <w:color w:val="auto"/>
          <w:szCs w:val="21"/>
        </w:rPr>
      </w:pPr>
      <w:r>
        <w:rPr>
          <w:color w:val="auto"/>
        </w:rPr>
        <w:t>下列术语和定义适用于本</w:t>
      </w:r>
      <w:r>
        <w:rPr>
          <w:rFonts w:hint="eastAsia"/>
          <w:color w:val="auto"/>
        </w:rPr>
        <w:t>文件</w:t>
      </w:r>
      <w:r>
        <w:rPr>
          <w:color w:val="auto"/>
        </w:rPr>
        <w:t>。</w:t>
      </w:r>
    </w:p>
    <w:p w14:paraId="6566F146">
      <w:pPr>
        <w:spacing w:before="158" w:beforeLines="50" w:after="158" w:afterLines="50"/>
        <w:jc w:val="left"/>
        <w:rPr>
          <w:rFonts w:hint="eastAsia" w:ascii="黑体" w:hAnsi="黑体" w:eastAsia="黑体"/>
          <w:color w:val="auto"/>
          <w:szCs w:val="21"/>
          <w:lang w:val="en-US" w:eastAsia="zh-CN"/>
        </w:rPr>
      </w:pPr>
      <w:r>
        <w:rPr>
          <w:rFonts w:hint="eastAsia" w:ascii="黑体" w:hAnsi="黑体" w:eastAsia="黑体"/>
          <w:color w:val="auto"/>
          <w:szCs w:val="21"/>
          <w:lang w:val="en-US" w:eastAsia="zh-CN"/>
        </w:rPr>
        <w:t>3.1</w:t>
      </w:r>
    </w:p>
    <w:p w14:paraId="3A7B0758">
      <w:pPr>
        <w:spacing w:before="158" w:beforeLines="50" w:after="158" w:afterLines="50"/>
        <w:ind w:firstLine="420" w:firstLineChars="200"/>
        <w:jc w:val="left"/>
        <w:rPr>
          <w:rFonts w:hint="eastAsia" w:ascii="黑体" w:hAnsi="黑体" w:eastAsia="黑体"/>
          <w:color w:val="auto"/>
          <w:szCs w:val="21"/>
          <w:lang w:eastAsia="zh-CN"/>
        </w:rPr>
      </w:pPr>
      <w:r>
        <w:rPr>
          <w:rFonts w:hint="eastAsia" w:ascii="黑体" w:hAnsi="黑体" w:eastAsia="黑体"/>
          <w:color w:val="auto"/>
          <w:szCs w:val="21"/>
          <w:lang w:eastAsia="zh-CN"/>
        </w:rPr>
        <w:t xml:space="preserve">西兰花 </w:t>
      </w:r>
      <w:r>
        <w:rPr>
          <w:rFonts w:hint="eastAsia" w:ascii="黑体" w:hAnsi="黑体" w:eastAsia="黑体"/>
          <w:color w:val="auto"/>
          <w:szCs w:val="21"/>
          <w:lang w:val="en-US" w:eastAsia="zh-CN"/>
        </w:rPr>
        <w:t>Broccoli</w:t>
      </w:r>
    </w:p>
    <w:p w14:paraId="74CE51D3">
      <w:pPr>
        <w:ind w:firstLine="420" w:firstLineChars="200"/>
        <w:jc w:val="left"/>
        <w:rPr>
          <w:rFonts w:hint="eastAsia" w:ascii="宋体" w:hAnsi="宋体" w:cs="宋体"/>
          <w:color w:val="auto"/>
        </w:rPr>
      </w:pPr>
      <w:r>
        <w:rPr>
          <w:rFonts w:hint="eastAsia" w:ascii="宋体" w:hAnsi="宋体" w:cs="宋体"/>
          <w:color w:val="auto"/>
          <w:lang w:val="en-US" w:eastAsia="zh-CN"/>
        </w:rPr>
        <w:t>又名青花菜，是十字花科芸薹属甘蓝类变种中以绿色花球为产品的一种蔬菜，以鲜食为主</w:t>
      </w:r>
      <w:r>
        <w:rPr>
          <w:rFonts w:hint="eastAsia" w:ascii="宋体" w:hAnsi="宋体" w:cs="宋体"/>
          <w:color w:val="auto"/>
        </w:rPr>
        <w:t>。</w:t>
      </w:r>
    </w:p>
    <w:p w14:paraId="4857E2C5">
      <w:pPr>
        <w:jc w:val="left"/>
        <w:rPr>
          <w:rFonts w:hint="eastAsia" w:ascii="黑体" w:hAnsi="黑体" w:eastAsia="黑体"/>
          <w:color w:val="auto"/>
          <w:szCs w:val="21"/>
          <w:lang w:val="en-US" w:eastAsia="zh-CN"/>
        </w:rPr>
      </w:pPr>
      <w:r>
        <w:rPr>
          <w:rFonts w:hint="eastAsia" w:ascii="黑体" w:hAnsi="黑体" w:eastAsia="黑体"/>
          <w:color w:val="auto"/>
          <w:szCs w:val="21"/>
          <w:lang w:val="en-US" w:eastAsia="zh-CN"/>
        </w:rPr>
        <w:t>3.2</w:t>
      </w:r>
    </w:p>
    <w:p w14:paraId="099A1EF3">
      <w:pPr>
        <w:spacing w:before="158" w:beforeLines="50" w:after="158" w:afterLines="50"/>
        <w:ind w:firstLine="420" w:firstLineChars="200"/>
        <w:jc w:val="left"/>
        <w:rPr>
          <w:rFonts w:hint="eastAsia" w:ascii="黑体" w:hAnsi="黑体" w:eastAsia="黑体"/>
          <w:color w:val="auto"/>
          <w:szCs w:val="21"/>
          <w:lang w:val="en-US" w:eastAsia="zh-CN"/>
        </w:rPr>
      </w:pPr>
      <w:r>
        <w:rPr>
          <w:rFonts w:hint="eastAsia" w:ascii="黑体" w:hAnsi="黑体" w:eastAsia="黑体"/>
          <w:color w:val="auto"/>
          <w:szCs w:val="21"/>
          <w:lang w:val="en-US" w:eastAsia="zh-CN"/>
        </w:rPr>
        <w:t>漂浮育苗技术  Floating Seedling Technology</w:t>
      </w:r>
    </w:p>
    <w:p w14:paraId="10FBAFDD">
      <w:pPr>
        <w:ind w:firstLine="420" w:firstLineChars="200"/>
        <w:jc w:val="left"/>
        <w:rPr>
          <w:rFonts w:hint="default" w:ascii="宋体" w:hAnsi="宋体" w:cs="宋体"/>
          <w:b w:val="0"/>
          <w:bCs w:val="0"/>
          <w:color w:val="auto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auto"/>
          <w:lang w:val="en-US" w:eastAsia="zh-CN"/>
        </w:rPr>
        <w:t>指在温室、塑料大棚等有薄膜覆盖的条件下，将种子播种于装有育苗基质的泡沫穴盘中，再将穴盘置于盛有营养液的育苗池，以便完成萌发、生长和成苗过程的育苗方法。</w:t>
      </w:r>
    </w:p>
    <w:p w14:paraId="5C8B16A9">
      <w:pPr>
        <w:spacing w:before="283" w:after="317" w:afterLines="100"/>
        <w:rPr>
          <w:rFonts w:hint="eastAsia" w:ascii="黑体" w:hAnsi="黑体" w:eastAsia="黑体"/>
          <w:color w:val="auto"/>
          <w:szCs w:val="21"/>
          <w:lang w:eastAsia="zh-CN"/>
        </w:rPr>
      </w:pPr>
      <w:bookmarkStart w:id="4" w:name="_Toc263804099_WPSOffice_Level1"/>
      <w:r>
        <w:rPr>
          <w:rFonts w:hint="eastAsia" w:ascii="黑体" w:hAnsi="黑体" w:eastAsia="黑体"/>
          <w:color w:val="auto"/>
          <w:szCs w:val="21"/>
        </w:rPr>
        <w:t xml:space="preserve">4  </w:t>
      </w:r>
      <w:bookmarkEnd w:id="4"/>
      <w:r>
        <w:rPr>
          <w:rFonts w:hint="eastAsia" w:ascii="黑体" w:hAnsi="黑体" w:eastAsia="黑体"/>
          <w:color w:val="auto"/>
          <w:szCs w:val="21"/>
          <w:lang w:eastAsia="zh-CN"/>
        </w:rPr>
        <w:t>生产基地要求及管理</w:t>
      </w:r>
    </w:p>
    <w:p w14:paraId="30884D28">
      <w:pPr>
        <w:spacing w:before="158" w:beforeLines="50" w:after="158" w:afterLines="50"/>
        <w:rPr>
          <w:rFonts w:ascii="黑体" w:hAnsi="黑体" w:eastAsia="黑体"/>
          <w:color w:val="auto"/>
          <w:szCs w:val="21"/>
        </w:rPr>
      </w:pPr>
      <w:r>
        <w:rPr>
          <w:rFonts w:hint="eastAsia" w:ascii="黑体" w:hAnsi="黑体" w:eastAsia="黑体"/>
          <w:color w:val="auto"/>
          <w:szCs w:val="21"/>
        </w:rPr>
        <w:t>4.1  产地环境要求</w:t>
      </w:r>
    </w:p>
    <w:p w14:paraId="2AEB9619">
      <w:pPr>
        <w:pStyle w:val="127"/>
        <w:framePr w:hSpace="0" w:vSpace="0" w:wrap="auto" w:vAnchor="margin" w:hAnchor="text" w:xAlign="left" w:yAlign="inline"/>
        <w:ind w:firstLine="435"/>
        <w:rPr>
          <w:rFonts w:hint="default" w:ascii="宋体" w:hAnsi="宋体" w:eastAsia="宋体" w:cs="宋体"/>
          <w:color w:val="auto"/>
          <w:u w:val="none"/>
          <w:lang w:val="en-US" w:eastAsia="zh-CN"/>
        </w:rPr>
      </w:pPr>
      <w:r>
        <w:rPr>
          <w:rFonts w:hint="eastAsia"/>
          <w:color w:val="auto"/>
          <w:lang w:eastAsia="zh-CN"/>
        </w:rPr>
        <w:t>应选择生态条件良好，远离污染源，并具有可持续生产能力的农业生产区域。产地环境应符合</w:t>
      </w:r>
      <w:r>
        <w:rPr>
          <w:rFonts w:hint="eastAsia" w:ascii="宋体" w:hAnsi="宋体" w:cs="宋体"/>
          <w:color w:val="auto"/>
        </w:rPr>
        <w:t>NY/T 391的</w:t>
      </w:r>
      <w:r>
        <w:rPr>
          <w:rFonts w:hint="eastAsia" w:ascii="宋体" w:hAnsi="宋体" w:cs="宋体"/>
          <w:color w:val="auto"/>
          <w:lang w:eastAsia="zh-CN"/>
        </w:rPr>
        <w:t>规定</w:t>
      </w:r>
      <w:r>
        <w:rPr>
          <w:rFonts w:hint="eastAsia" w:ascii="宋体" w:hAnsi="宋体" w:cs="宋体"/>
          <w:color w:val="auto"/>
        </w:rPr>
        <w:t>。</w:t>
      </w:r>
      <w:r>
        <w:rPr>
          <w:rFonts w:hint="eastAsia" w:ascii="宋体" w:hAnsi="宋体" w:cs="宋体"/>
          <w:color w:val="auto"/>
          <w:lang w:eastAsia="zh-CN"/>
        </w:rPr>
        <w:t>灌溉用水水质应符合</w:t>
      </w:r>
      <w:r>
        <w:rPr>
          <w:rFonts w:hint="eastAsia" w:ascii="宋体" w:hAnsi="宋体" w:cs="宋体"/>
          <w:color w:val="auto"/>
          <w:lang w:val="en-US" w:eastAsia="zh-CN"/>
        </w:rPr>
        <w:t>GB 5084的要求。适宜在光照充足，</w:t>
      </w:r>
      <w:r>
        <w:rPr>
          <w:rFonts w:hint="eastAsia" w:ascii="宋体" w:hAnsi="宋体" w:cs="宋体"/>
          <w:color w:val="auto"/>
          <w:u w:val="none"/>
          <w:lang w:val="en-US" w:eastAsia="zh-CN"/>
        </w:rPr>
        <w:t>温和、湿润、冷凉的气候种植</w:t>
      </w:r>
      <w:r>
        <w:rPr>
          <w:rFonts w:hint="eastAsia"/>
          <w:color w:val="auto"/>
          <w:u w:val="none"/>
          <w:lang w:val="en-US" w:eastAsia="zh-CN"/>
        </w:rPr>
        <w:t>。</w:t>
      </w:r>
    </w:p>
    <w:p w14:paraId="6851C88E">
      <w:pPr>
        <w:spacing w:before="158" w:beforeLines="50" w:after="158" w:afterLines="50"/>
        <w:rPr>
          <w:rFonts w:hint="eastAsia" w:ascii="黑体" w:hAnsi="黑体" w:eastAsia="黑体"/>
          <w:color w:val="auto"/>
          <w:szCs w:val="21"/>
          <w:lang w:val="en-US" w:eastAsia="zh-CN"/>
        </w:rPr>
      </w:pPr>
      <w:r>
        <w:rPr>
          <w:rFonts w:hint="eastAsia" w:ascii="黑体" w:hAnsi="黑体" w:eastAsia="黑体"/>
          <w:color w:val="auto"/>
          <w:szCs w:val="21"/>
          <w:lang w:val="en-US" w:eastAsia="zh-CN"/>
        </w:rPr>
        <w:t xml:space="preserve">4.2  </w:t>
      </w:r>
      <w:r>
        <w:rPr>
          <w:rFonts w:hint="eastAsia" w:ascii="黑体" w:hAnsi="黑体" w:eastAsia="黑体"/>
          <w:color w:val="auto"/>
          <w:szCs w:val="21"/>
          <w:lang w:eastAsia="zh-CN"/>
        </w:rPr>
        <w:t>土</w:t>
      </w:r>
      <w:r>
        <w:rPr>
          <w:rFonts w:hint="eastAsia" w:ascii="黑体" w:hAnsi="黑体" w:eastAsia="黑体"/>
          <w:color w:val="auto"/>
          <w:szCs w:val="21"/>
          <w:lang w:val="en-US" w:eastAsia="zh-CN"/>
        </w:rPr>
        <w:t>壤要求</w:t>
      </w:r>
    </w:p>
    <w:p w14:paraId="173C110D">
      <w:pPr>
        <w:pStyle w:val="127"/>
        <w:framePr w:hSpace="0" w:vSpace="0" w:wrap="auto" w:vAnchor="margin" w:hAnchor="text" w:xAlign="left" w:yAlign="inline"/>
        <w:ind w:firstLine="435"/>
        <w:rPr>
          <w:rFonts w:hint="eastAsia" w:ascii="宋体" w:hAnsi="宋体" w:cs="宋体"/>
          <w:color w:val="auto"/>
          <w:lang w:eastAsia="zh-CN"/>
        </w:rPr>
      </w:pPr>
      <w:r>
        <w:rPr>
          <w:rFonts w:hint="eastAsia"/>
          <w:color w:val="auto"/>
          <w:lang w:eastAsia="zh-CN"/>
        </w:rPr>
        <w:t>宜选择地势平坦、排灌方便、土层深厚、土壤疏松肥沃、理化性状良好，前</w:t>
      </w:r>
      <w:r>
        <w:rPr>
          <w:rFonts w:hint="eastAsia"/>
          <w:color w:val="auto"/>
          <w:lang w:val="en-US" w:eastAsia="zh-CN"/>
        </w:rPr>
        <w:t xml:space="preserve"> 2 茬未种植大白菜、甘蓝、西兰花等十字花科作物的土壤地块。</w:t>
      </w:r>
      <w:r>
        <w:rPr>
          <w:rFonts w:hint="eastAsia"/>
          <w:color w:val="auto"/>
          <w:lang w:eastAsia="zh-CN"/>
        </w:rPr>
        <w:t>适宜的土壤</w:t>
      </w:r>
      <w:r>
        <w:rPr>
          <w:rFonts w:hint="eastAsia"/>
          <w:color w:val="auto"/>
          <w:lang w:val="en-US" w:eastAsia="zh-CN"/>
        </w:rPr>
        <w:t>pH值为5.5</w:t>
      </w:r>
      <w:r>
        <w:rPr>
          <w:rFonts w:hint="eastAsia" w:ascii="华文仿宋" w:hAnsi="华文仿宋" w:eastAsia="华文仿宋" w:cs="华文仿宋"/>
          <w:color w:val="auto"/>
          <w:lang w:val="en-US" w:eastAsia="zh-CN"/>
        </w:rPr>
        <w:t>~</w:t>
      </w:r>
      <w:r>
        <w:rPr>
          <w:rFonts w:hint="eastAsia"/>
          <w:color w:val="auto"/>
          <w:lang w:val="en-US" w:eastAsia="zh-CN"/>
        </w:rPr>
        <w:t>8.0，以 6.5 左右为最佳。</w:t>
      </w:r>
    </w:p>
    <w:p w14:paraId="445A7EE7">
      <w:pPr>
        <w:spacing w:before="158" w:beforeLines="50" w:after="158" w:afterLines="50"/>
        <w:rPr>
          <w:rFonts w:hint="eastAsia" w:ascii="黑体" w:hAnsi="黑体" w:eastAsia="黑体"/>
          <w:color w:val="auto"/>
          <w:szCs w:val="21"/>
          <w:lang w:val="en-US" w:eastAsia="zh-CN"/>
        </w:rPr>
      </w:pPr>
      <w:r>
        <w:rPr>
          <w:rFonts w:hint="eastAsia" w:ascii="黑体" w:hAnsi="黑体" w:eastAsia="黑体"/>
          <w:color w:val="auto"/>
          <w:szCs w:val="21"/>
          <w:lang w:val="en-US" w:eastAsia="zh-CN"/>
        </w:rPr>
        <w:t>4.3  环境条件监测</w:t>
      </w:r>
    </w:p>
    <w:p w14:paraId="6CEFE924">
      <w:pPr>
        <w:pStyle w:val="127"/>
        <w:framePr w:hSpace="0" w:vSpace="0" w:wrap="auto" w:vAnchor="margin" w:hAnchor="text" w:xAlign="left" w:yAlign="inline"/>
        <w:ind w:firstLine="435"/>
        <w:rPr>
          <w:rFonts w:hint="eastAsia" w:ascii="宋体" w:hAnsi="宋体" w:cs="宋体"/>
          <w:b/>
          <w:bCs/>
          <w:color w:val="auto"/>
          <w:lang w:val="en-US" w:eastAsia="zh-CN"/>
        </w:rPr>
      </w:pPr>
      <w:r>
        <w:rPr>
          <w:rFonts w:hint="eastAsia" w:ascii="宋体" w:hAnsi="宋体" w:cs="宋体"/>
          <w:color w:val="auto"/>
          <w:lang w:eastAsia="zh-CN"/>
        </w:rPr>
        <w:t>新建基地应进行环境条件监测，每</w:t>
      </w:r>
      <w:r>
        <w:rPr>
          <w:rFonts w:hint="eastAsia" w:ascii="宋体" w:hAnsi="宋体" w:cs="宋体"/>
          <w:color w:val="auto"/>
          <w:lang w:val="en-US" w:eastAsia="zh-CN"/>
        </w:rPr>
        <w:t xml:space="preserve"> 2</w:t>
      </w:r>
      <w:r>
        <w:rPr>
          <w:rFonts w:hint="eastAsia" w:ascii="华文仿宋" w:hAnsi="华文仿宋" w:eastAsia="华文仿宋" w:cs="华文仿宋"/>
          <w:color w:val="auto"/>
          <w:lang w:val="en-US" w:eastAsia="zh-CN"/>
        </w:rPr>
        <w:t>~</w:t>
      </w:r>
      <w:r>
        <w:rPr>
          <w:rFonts w:hint="eastAsia" w:ascii="宋体" w:hAnsi="宋体" w:cs="宋体"/>
          <w:color w:val="auto"/>
          <w:lang w:val="en-US" w:eastAsia="zh-CN"/>
        </w:rPr>
        <w:t>3 年，或环境条件发生变化有可能影响产品质量安全时，应由有资质的监测单位及时进行相关指标（如土壤、水分等）的检测，以确保环境条件符合要求。</w:t>
      </w:r>
    </w:p>
    <w:p w14:paraId="5EC074AD">
      <w:pPr>
        <w:spacing w:before="158" w:beforeLines="50" w:after="158" w:afterLines="50"/>
        <w:rPr>
          <w:rFonts w:hint="eastAsia" w:ascii="黑体" w:hAnsi="黑体" w:eastAsia="黑体"/>
          <w:color w:val="auto"/>
          <w:szCs w:val="21"/>
          <w:lang w:val="en-US" w:eastAsia="zh-CN"/>
        </w:rPr>
      </w:pPr>
      <w:r>
        <w:rPr>
          <w:rFonts w:hint="eastAsia" w:ascii="黑体" w:hAnsi="黑体" w:eastAsia="黑体"/>
          <w:color w:val="auto"/>
          <w:szCs w:val="21"/>
          <w:lang w:val="en-US" w:eastAsia="zh-CN"/>
        </w:rPr>
        <w:t>4.4  基地管理</w:t>
      </w:r>
    </w:p>
    <w:p w14:paraId="18731D79">
      <w:pPr>
        <w:pStyle w:val="127"/>
        <w:framePr w:hSpace="0" w:vSpace="0" w:wrap="auto" w:vAnchor="margin" w:hAnchor="text" w:xAlign="left" w:yAlign="inline"/>
        <w:ind w:firstLine="435"/>
        <w:rPr>
          <w:rFonts w:hint="eastAsia" w:ascii="宋体" w:hAnsi="宋体" w:cs="宋体"/>
          <w:color w:val="auto"/>
          <w:lang w:val="en-US" w:eastAsia="zh-CN"/>
        </w:rPr>
      </w:pPr>
      <w:r>
        <w:rPr>
          <w:rFonts w:hint="eastAsia" w:ascii="宋体" w:hAnsi="宋体" w:cs="宋体"/>
          <w:color w:val="auto"/>
        </w:rPr>
        <w:t>基地应建立有关的规章制度，规范操作流程，配备相应的</w:t>
      </w:r>
      <w:r>
        <w:rPr>
          <w:rFonts w:hint="eastAsia" w:ascii="宋体" w:hAnsi="宋体" w:cs="宋体"/>
          <w:color w:val="auto"/>
          <w:lang w:eastAsia="zh-CN"/>
        </w:rPr>
        <w:t>管理人员和</w:t>
      </w:r>
      <w:r>
        <w:rPr>
          <w:rFonts w:hint="eastAsia" w:ascii="宋体" w:hAnsi="宋体" w:cs="宋体"/>
          <w:color w:val="auto"/>
        </w:rPr>
        <w:t>技术人员，并加强人员培训。</w:t>
      </w:r>
      <w:r>
        <w:rPr>
          <w:rFonts w:hint="eastAsia" w:ascii="宋体" w:hAnsi="宋体" w:cs="宋体"/>
          <w:color w:val="auto"/>
          <w:lang w:val="en-US" w:eastAsia="zh-CN"/>
        </w:rPr>
        <w:t>基地管理及投入品管理推荐参照GB/Z 26586-2011相应条款。</w:t>
      </w:r>
    </w:p>
    <w:p w14:paraId="2A278A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8" w:beforeLines="100" w:after="317" w:afterLines="100"/>
        <w:textAlignment w:val="auto"/>
        <w:rPr>
          <w:rFonts w:hint="eastAsia" w:ascii="黑体" w:hAnsi="黑体" w:eastAsia="黑体"/>
          <w:color w:val="auto"/>
          <w:szCs w:val="21"/>
          <w:lang w:val="en-US" w:eastAsia="zh-CN"/>
        </w:rPr>
      </w:pPr>
      <w:r>
        <w:rPr>
          <w:rFonts w:hint="eastAsia" w:ascii="黑体" w:hAnsi="黑体" w:eastAsia="黑体"/>
          <w:color w:val="auto"/>
          <w:szCs w:val="21"/>
          <w:lang w:val="en-US" w:eastAsia="zh-CN"/>
        </w:rPr>
        <w:t xml:space="preserve">5  </w:t>
      </w:r>
      <w:r>
        <w:rPr>
          <w:rFonts w:hint="default" w:ascii="黑体" w:hAnsi="黑体" w:eastAsia="黑体"/>
          <w:color w:val="auto"/>
          <w:szCs w:val="21"/>
          <w:lang w:val="en-US" w:eastAsia="zh-CN"/>
        </w:rPr>
        <w:t>品种选择</w:t>
      </w:r>
    </w:p>
    <w:p w14:paraId="5ABDD601">
      <w:pPr>
        <w:spacing w:before="158" w:beforeLines="50" w:after="158" w:afterLines="50"/>
        <w:rPr>
          <w:rFonts w:hint="default" w:ascii="黑体" w:hAnsi="黑体" w:eastAsia="黑体"/>
          <w:color w:val="auto"/>
          <w:szCs w:val="21"/>
          <w:lang w:val="en-US" w:eastAsia="zh-CN"/>
        </w:rPr>
      </w:pPr>
      <w:r>
        <w:rPr>
          <w:rFonts w:hint="eastAsia" w:ascii="黑体" w:hAnsi="黑体" w:eastAsia="黑体"/>
          <w:color w:val="auto"/>
          <w:szCs w:val="21"/>
          <w:lang w:val="en-US" w:eastAsia="zh-CN"/>
        </w:rPr>
        <w:t>5.1  选择原则</w:t>
      </w:r>
    </w:p>
    <w:p w14:paraId="25E64C0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 w:firstLineChars="200"/>
        <w:jc w:val="left"/>
        <w:rPr>
          <w:rFonts w:hint="default" w:ascii="宋体" w:hAnsi="宋体" w:cs="宋体"/>
          <w:color w:val="auto"/>
          <w:kern w:val="2"/>
          <w:sz w:val="21"/>
          <w:szCs w:val="24"/>
          <w:lang w:val="en-US" w:eastAsia="zh-CN" w:bidi="ar-SA"/>
        </w:rPr>
      </w:pPr>
      <w:r>
        <w:rPr>
          <w:rFonts w:hint="eastAsia" w:ascii="宋体" w:hAnsi="宋体" w:cs="宋体"/>
          <w:color w:val="auto"/>
          <w:kern w:val="2"/>
          <w:sz w:val="21"/>
          <w:szCs w:val="24"/>
          <w:lang w:val="en-US" w:eastAsia="zh-CN" w:bidi="ar-SA"/>
        </w:rPr>
        <w:t>根据市场需求</w:t>
      </w:r>
      <w:r>
        <w:rPr>
          <w:rFonts w:hint="default" w:ascii="宋体" w:hAnsi="宋体" w:eastAsia="宋体" w:cs="宋体"/>
          <w:color w:val="auto"/>
          <w:kern w:val="2"/>
          <w:sz w:val="21"/>
          <w:szCs w:val="24"/>
          <w:lang w:val="en-US" w:eastAsia="zh-CN" w:bidi="ar-SA"/>
        </w:rPr>
        <w:t>和茬口</w:t>
      </w:r>
      <w:r>
        <w:rPr>
          <w:rFonts w:hint="eastAsia" w:ascii="宋体" w:hAnsi="宋体" w:cs="宋体"/>
          <w:color w:val="auto"/>
          <w:kern w:val="2"/>
          <w:sz w:val="21"/>
          <w:szCs w:val="24"/>
          <w:lang w:val="en-US" w:eastAsia="zh-CN" w:bidi="ar-SA"/>
        </w:rPr>
        <w:t>安排等实际情况</w:t>
      </w:r>
      <w:r>
        <w:rPr>
          <w:rFonts w:hint="default" w:ascii="宋体" w:hAnsi="宋体" w:eastAsia="宋体" w:cs="宋体"/>
          <w:color w:val="auto"/>
          <w:kern w:val="2"/>
          <w:sz w:val="21"/>
          <w:szCs w:val="24"/>
          <w:lang w:val="en-US" w:eastAsia="zh-CN" w:bidi="ar-SA"/>
        </w:rPr>
        <w:t>，</w:t>
      </w:r>
      <w:r>
        <w:rPr>
          <w:rFonts w:hint="eastAsia" w:ascii="宋体" w:hAnsi="宋体" w:cs="宋体"/>
          <w:color w:val="auto"/>
          <w:kern w:val="2"/>
          <w:sz w:val="21"/>
          <w:szCs w:val="24"/>
          <w:lang w:val="en-US" w:eastAsia="zh-CN" w:bidi="ar-SA"/>
        </w:rPr>
        <w:t>选择适宜当地生产、</w:t>
      </w:r>
      <w:r>
        <w:rPr>
          <w:rFonts w:hint="default" w:ascii="宋体" w:hAnsi="宋体" w:eastAsia="宋体" w:cs="宋体"/>
          <w:color w:val="auto"/>
          <w:kern w:val="2"/>
          <w:sz w:val="21"/>
          <w:szCs w:val="24"/>
          <w:lang w:val="en-US" w:eastAsia="zh-CN" w:bidi="ar-SA"/>
        </w:rPr>
        <w:t>抗病抗逆性强、优质丰产、</w:t>
      </w:r>
      <w:r>
        <w:rPr>
          <w:rFonts w:hint="eastAsia" w:ascii="宋体" w:hAnsi="宋体" w:cs="宋体"/>
          <w:color w:val="auto"/>
          <w:kern w:val="2"/>
          <w:sz w:val="21"/>
          <w:szCs w:val="24"/>
          <w:lang w:val="en-US" w:eastAsia="zh-CN" w:bidi="ar-SA"/>
        </w:rPr>
        <w:t>耐抽薹</w:t>
      </w:r>
      <w:r>
        <w:rPr>
          <w:rFonts w:hint="default" w:ascii="宋体" w:hAnsi="宋体" w:eastAsia="宋体" w:cs="宋体"/>
          <w:color w:val="auto"/>
          <w:kern w:val="2"/>
          <w:sz w:val="21"/>
          <w:szCs w:val="24"/>
          <w:lang w:val="en-US" w:eastAsia="zh-CN" w:bidi="ar-SA"/>
        </w:rPr>
        <w:t>、商品性好的</w:t>
      </w:r>
      <w:r>
        <w:rPr>
          <w:rFonts w:hint="eastAsia" w:ascii="宋体" w:hAnsi="宋体" w:cs="宋体"/>
          <w:color w:val="auto"/>
          <w:kern w:val="2"/>
          <w:sz w:val="21"/>
          <w:szCs w:val="24"/>
          <w:lang w:val="en-US" w:eastAsia="zh-CN" w:bidi="ar-SA"/>
        </w:rPr>
        <w:t>西兰花</w:t>
      </w:r>
      <w:r>
        <w:rPr>
          <w:rFonts w:hint="default" w:ascii="宋体" w:hAnsi="宋体" w:eastAsia="宋体" w:cs="宋体"/>
          <w:color w:val="auto"/>
          <w:kern w:val="2"/>
          <w:sz w:val="21"/>
          <w:szCs w:val="24"/>
          <w:lang w:val="en-US" w:eastAsia="zh-CN" w:bidi="ar-SA"/>
        </w:rPr>
        <w:t>品种。</w:t>
      </w:r>
      <w:r>
        <w:rPr>
          <w:rFonts w:hint="eastAsia" w:ascii="宋体" w:hAnsi="宋体" w:cs="宋体"/>
          <w:color w:val="auto"/>
          <w:kern w:val="2"/>
          <w:sz w:val="21"/>
          <w:szCs w:val="24"/>
          <w:lang w:val="en-US" w:eastAsia="zh-CN" w:bidi="ar-SA"/>
        </w:rPr>
        <w:t>冬春季栽培以早熟、耐寒、冬性强的早中熟品种为宜，如耐寒优秀等；夏秋季栽培以早熟、耐热品种为宜，如美青等；秋冬季栽培早中晚熟品种均可。</w:t>
      </w:r>
    </w:p>
    <w:p w14:paraId="06E997F2">
      <w:pPr>
        <w:spacing w:before="158" w:beforeLines="50" w:after="158" w:afterLines="50"/>
        <w:rPr>
          <w:rFonts w:hint="eastAsia" w:ascii="黑体" w:hAnsi="黑体" w:eastAsia="黑体"/>
          <w:color w:val="auto"/>
          <w:szCs w:val="21"/>
          <w:lang w:val="en-US" w:eastAsia="zh-CN"/>
        </w:rPr>
      </w:pPr>
      <w:r>
        <w:rPr>
          <w:rFonts w:hint="eastAsia" w:ascii="黑体" w:hAnsi="黑体" w:eastAsia="黑体"/>
          <w:color w:val="auto"/>
          <w:szCs w:val="21"/>
          <w:lang w:val="en-US" w:eastAsia="zh-CN"/>
        </w:rPr>
        <w:t>5.2  种子处理</w:t>
      </w:r>
    </w:p>
    <w:p w14:paraId="495F653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 w:firstLineChars="200"/>
        <w:jc w:val="left"/>
        <w:rPr>
          <w:rFonts w:hint="eastAsia" w:ascii="宋体" w:hAnsi="宋体" w:cs="宋体"/>
          <w:color w:val="auto"/>
          <w:kern w:val="2"/>
          <w:sz w:val="21"/>
          <w:szCs w:val="24"/>
          <w:lang w:val="en-US" w:eastAsia="zh-CN" w:bidi="ar-SA"/>
        </w:rPr>
      </w:pPr>
      <w:r>
        <w:rPr>
          <w:rFonts w:hint="eastAsia" w:ascii="宋体" w:hAnsi="宋体" w:cs="宋体"/>
          <w:color w:val="auto"/>
          <w:kern w:val="2"/>
          <w:sz w:val="21"/>
          <w:szCs w:val="24"/>
          <w:lang w:val="en-US" w:eastAsia="zh-CN" w:bidi="ar-SA"/>
        </w:rPr>
        <w:t>选择大小均匀、籽粒饱满的新鲜种子，种子质量应符合GB16715.2的规定。包衣或丸粒化的种子可直接播种。未经包衣或丸粒化的种子，可用50 ℃-55 ℃的热水不断搅拌浸种15 min</w:t>
      </w:r>
      <w:r>
        <w:rPr>
          <w:rFonts w:hint="eastAsia" w:ascii="华文仿宋" w:hAnsi="华文仿宋" w:eastAsia="华文仿宋" w:cs="华文仿宋"/>
          <w:color w:val="auto"/>
          <w:kern w:val="2"/>
          <w:sz w:val="21"/>
          <w:szCs w:val="24"/>
          <w:lang w:val="en-US" w:eastAsia="zh-CN" w:bidi="ar-SA"/>
        </w:rPr>
        <w:t>~</w:t>
      </w:r>
      <w:r>
        <w:rPr>
          <w:rFonts w:hint="eastAsia" w:ascii="宋体" w:hAnsi="宋体" w:cs="宋体"/>
          <w:color w:val="auto"/>
          <w:kern w:val="2"/>
          <w:sz w:val="21"/>
          <w:szCs w:val="24"/>
          <w:lang w:val="en-US" w:eastAsia="zh-CN" w:bidi="ar-SA"/>
        </w:rPr>
        <w:t>30 min后，晾干。</w:t>
      </w:r>
    </w:p>
    <w:p w14:paraId="1957B9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8" w:beforeLines="100" w:after="318" w:afterLines="100"/>
        <w:textAlignment w:val="auto"/>
        <w:rPr>
          <w:rFonts w:hint="eastAsia" w:ascii="黑体" w:hAnsi="黑体" w:eastAsia="黑体"/>
          <w:color w:val="auto"/>
          <w:szCs w:val="21"/>
          <w:lang w:val="en-US" w:eastAsia="zh-CN"/>
        </w:rPr>
      </w:pPr>
      <w:r>
        <w:rPr>
          <w:rFonts w:hint="eastAsia" w:ascii="黑体" w:hAnsi="黑体" w:eastAsia="黑体"/>
          <w:color w:val="auto"/>
          <w:szCs w:val="21"/>
          <w:lang w:val="en-US" w:eastAsia="zh-CN"/>
        </w:rPr>
        <w:t>6  育苗</w:t>
      </w:r>
    </w:p>
    <w:p w14:paraId="70A0E0BE">
      <w:pPr>
        <w:spacing w:before="158" w:beforeLines="50" w:after="158" w:afterLines="50"/>
        <w:rPr>
          <w:rFonts w:hint="eastAsia" w:ascii="黑体" w:hAnsi="黑体" w:eastAsia="黑体"/>
          <w:color w:val="auto"/>
          <w:szCs w:val="21"/>
          <w:highlight w:val="none"/>
          <w:lang w:val="en-US" w:eastAsia="zh-CN"/>
        </w:rPr>
      </w:pPr>
      <w:r>
        <w:rPr>
          <w:rFonts w:hint="eastAsia" w:ascii="黑体" w:hAnsi="黑体" w:eastAsia="黑体"/>
          <w:color w:val="auto"/>
          <w:szCs w:val="21"/>
          <w:highlight w:val="none"/>
          <w:lang w:val="en-US" w:eastAsia="zh-CN"/>
        </w:rPr>
        <w:t>6.1  播种时间</w:t>
      </w:r>
    </w:p>
    <w:p w14:paraId="4AE80722">
      <w:pPr>
        <w:spacing w:before="10" w:after="160" w:afterLines="50"/>
        <w:ind w:firstLine="420" w:firstLineChars="200"/>
        <w:rPr>
          <w:rFonts w:hint="eastAsia" w:ascii="宋体" w:hAnsi="宋体" w:cs="宋体"/>
          <w:color w:val="auto"/>
          <w:lang w:eastAsia="zh-CN"/>
        </w:rPr>
      </w:pPr>
      <w:r>
        <w:rPr>
          <w:rFonts w:hint="eastAsia" w:ascii="宋体" w:hAnsi="宋体" w:cs="宋体"/>
          <w:color w:val="auto"/>
          <w:lang w:eastAsia="zh-CN"/>
        </w:rPr>
        <w:t>根据当地的气候条件、品种特征特性和产品上市时间等选择适宜的播种时间。</w:t>
      </w:r>
    </w:p>
    <w:p w14:paraId="354AC96E">
      <w:pPr>
        <w:spacing w:before="158" w:beforeLines="50" w:after="158" w:afterLines="50"/>
        <w:rPr>
          <w:rFonts w:hint="eastAsia" w:ascii="黑体" w:hAnsi="黑体" w:eastAsia="黑体"/>
          <w:color w:val="auto"/>
          <w:szCs w:val="21"/>
        </w:rPr>
      </w:pPr>
      <w:r>
        <w:rPr>
          <w:rFonts w:hint="eastAsia" w:ascii="黑体" w:hAnsi="黑体" w:eastAsia="黑体"/>
          <w:color w:val="auto"/>
          <w:szCs w:val="21"/>
        </w:rPr>
        <w:t>6.</w:t>
      </w:r>
      <w:r>
        <w:rPr>
          <w:rFonts w:hint="eastAsia" w:ascii="黑体" w:hAnsi="黑体" w:eastAsia="黑体"/>
          <w:color w:val="auto"/>
          <w:szCs w:val="21"/>
          <w:lang w:val="en-US" w:eastAsia="zh-CN"/>
        </w:rPr>
        <w:t>2</w:t>
      </w:r>
      <w:r>
        <w:rPr>
          <w:rFonts w:hint="eastAsia" w:ascii="黑体" w:hAnsi="黑体" w:eastAsia="黑体"/>
          <w:color w:val="auto"/>
          <w:szCs w:val="21"/>
        </w:rPr>
        <w:t>育苗方式</w:t>
      </w:r>
    </w:p>
    <w:p w14:paraId="77D9E49F">
      <w:pPr>
        <w:spacing w:before="158" w:beforeLines="50" w:after="158" w:afterLines="50"/>
        <w:ind w:firstLine="420" w:firstLineChars="200"/>
        <w:rPr>
          <w:rFonts w:hint="eastAsia" w:ascii="宋体" w:hAnsi="宋体" w:eastAsia="宋体" w:cs="宋体"/>
          <w:color w:val="auto"/>
          <w:szCs w:val="24"/>
        </w:rPr>
      </w:pPr>
      <w:r>
        <w:rPr>
          <w:rFonts w:hint="eastAsia" w:ascii="宋体" w:hAnsi="宋体" w:cs="宋体"/>
          <w:color w:val="auto"/>
          <w:szCs w:val="24"/>
          <w:lang w:eastAsia="zh-CN"/>
        </w:rPr>
        <w:t>根据当地的育苗习惯或实际情况，选择不同的育苗方式，推荐使用</w:t>
      </w:r>
      <w:r>
        <w:rPr>
          <w:rFonts w:hint="eastAsia" w:ascii="宋体" w:hAnsi="宋体" w:eastAsia="宋体" w:cs="宋体"/>
          <w:color w:val="auto"/>
          <w:szCs w:val="24"/>
        </w:rPr>
        <w:t>穴盘育苗或漂浮育苗。</w:t>
      </w:r>
    </w:p>
    <w:p w14:paraId="6F3B33B8">
      <w:pPr>
        <w:spacing w:before="158" w:beforeLines="50" w:after="158" w:afterLines="50"/>
        <w:rPr>
          <w:rFonts w:hint="eastAsia" w:ascii="黑体" w:hAnsi="黑体" w:eastAsia="黑体"/>
          <w:color w:val="auto"/>
          <w:szCs w:val="21"/>
        </w:rPr>
      </w:pPr>
      <w:r>
        <w:rPr>
          <w:rFonts w:hint="eastAsia" w:ascii="黑体" w:hAnsi="黑体" w:eastAsia="黑体"/>
          <w:color w:val="auto"/>
          <w:szCs w:val="21"/>
        </w:rPr>
        <w:t>6.</w:t>
      </w:r>
      <w:r>
        <w:rPr>
          <w:rFonts w:hint="eastAsia" w:ascii="黑体" w:hAnsi="黑体" w:eastAsia="黑体"/>
          <w:color w:val="auto"/>
          <w:szCs w:val="21"/>
          <w:lang w:val="en-US" w:eastAsia="zh-CN"/>
        </w:rPr>
        <w:t>3</w:t>
      </w:r>
      <w:r>
        <w:rPr>
          <w:rFonts w:hint="eastAsia" w:ascii="黑体" w:hAnsi="黑体" w:eastAsia="黑体"/>
          <w:color w:val="auto"/>
          <w:szCs w:val="21"/>
        </w:rPr>
        <w:t xml:space="preserve">  播前准备</w:t>
      </w:r>
    </w:p>
    <w:p w14:paraId="38135DF5">
      <w:pPr>
        <w:spacing w:before="158" w:beforeLines="50" w:after="158" w:afterLines="50"/>
        <w:ind w:firstLine="420" w:firstLineChars="200"/>
        <w:rPr>
          <w:rFonts w:hint="eastAsia" w:ascii="宋体" w:hAnsi="宋体" w:eastAsia="宋体" w:cs="宋体"/>
          <w:color w:val="auto"/>
          <w:szCs w:val="24"/>
        </w:rPr>
      </w:pPr>
      <w:r>
        <w:rPr>
          <w:rFonts w:hint="eastAsia" w:ascii="宋体" w:hAnsi="宋体" w:eastAsia="宋体" w:cs="宋体"/>
          <w:color w:val="auto"/>
          <w:szCs w:val="24"/>
        </w:rPr>
        <w:t>利用日光温室、塑料拱棚、防虫防雨棚、连栋温室等设施进行育苗。育苗前 7 d对育苗设施进行杀菌、杀虫或高温闷棚等消毒处理。</w:t>
      </w:r>
      <w:r>
        <w:rPr>
          <w:rFonts w:hint="eastAsia" w:ascii="宋体" w:hAnsi="宋体" w:cs="宋体"/>
          <w:color w:val="auto"/>
          <w:szCs w:val="24"/>
          <w:lang w:eastAsia="zh-CN"/>
        </w:rPr>
        <w:t>提前</w:t>
      </w:r>
      <w:r>
        <w:rPr>
          <w:rFonts w:hint="eastAsia" w:ascii="宋体" w:hAnsi="宋体" w:eastAsia="宋体" w:cs="宋体"/>
          <w:color w:val="auto"/>
          <w:szCs w:val="24"/>
        </w:rPr>
        <w:t>对重复使用的穴盘或漂盘进行消毒。</w:t>
      </w:r>
    </w:p>
    <w:p w14:paraId="46B127A4">
      <w:pPr>
        <w:spacing w:before="158" w:beforeLines="50" w:after="158" w:afterLines="50"/>
        <w:rPr>
          <w:rFonts w:hint="eastAsia" w:ascii="黑体" w:hAnsi="黑体" w:eastAsia="黑体"/>
          <w:color w:val="auto"/>
          <w:szCs w:val="21"/>
        </w:rPr>
      </w:pPr>
      <w:r>
        <w:rPr>
          <w:rFonts w:hint="eastAsia" w:ascii="黑体" w:hAnsi="黑体" w:eastAsia="黑体"/>
          <w:color w:val="auto"/>
          <w:szCs w:val="21"/>
        </w:rPr>
        <w:t>6.</w:t>
      </w:r>
      <w:r>
        <w:rPr>
          <w:rFonts w:hint="eastAsia" w:ascii="黑体" w:hAnsi="黑体" w:eastAsia="黑体"/>
          <w:color w:val="auto"/>
          <w:szCs w:val="21"/>
          <w:lang w:val="en-US" w:eastAsia="zh-CN"/>
        </w:rPr>
        <w:t xml:space="preserve">4 </w:t>
      </w:r>
      <w:r>
        <w:rPr>
          <w:rFonts w:hint="eastAsia" w:ascii="黑体" w:hAnsi="黑体" w:eastAsia="黑体"/>
          <w:color w:val="auto"/>
          <w:szCs w:val="21"/>
        </w:rPr>
        <w:t xml:space="preserve"> 播种</w:t>
      </w:r>
    </w:p>
    <w:p w14:paraId="7834EEA0">
      <w:pPr>
        <w:spacing w:before="158" w:beforeLines="50" w:after="158" w:afterLines="50"/>
        <w:ind w:firstLine="420" w:firstLineChars="200"/>
        <w:rPr>
          <w:rFonts w:hint="eastAsia" w:ascii="宋体" w:hAnsi="宋体" w:eastAsia="宋体" w:cs="宋体"/>
          <w:color w:val="auto"/>
          <w:szCs w:val="24"/>
        </w:rPr>
      </w:pPr>
      <w:r>
        <w:rPr>
          <w:rFonts w:hint="eastAsia" w:ascii="宋体" w:hAnsi="宋体" w:eastAsia="宋体" w:cs="宋体"/>
          <w:color w:val="auto"/>
          <w:szCs w:val="24"/>
        </w:rPr>
        <w:t>采用商品育苗基质或自配基质，基质质量应符合NY/T 2118。将预湿到相对含水量 60%</w:t>
      </w:r>
      <w:r>
        <w:rPr>
          <w:rFonts w:hint="eastAsia" w:ascii="华文仿宋" w:hAnsi="华文仿宋" w:eastAsia="华文仿宋" w:cs="华文仿宋"/>
          <w:color w:val="auto"/>
          <w:szCs w:val="24"/>
        </w:rPr>
        <w:t>~</w:t>
      </w:r>
      <w:r>
        <w:rPr>
          <w:rFonts w:hint="eastAsia" w:ascii="宋体" w:hAnsi="宋体" w:eastAsia="宋体" w:cs="宋体"/>
          <w:color w:val="auto"/>
          <w:szCs w:val="24"/>
        </w:rPr>
        <w:t xml:space="preserve"> 70%的基质装入穴盘或漂盘。采用机械或人工播种方式，每穴播种 1 粒，深度 1 cm</w:t>
      </w:r>
      <w:r>
        <w:rPr>
          <w:rFonts w:hint="eastAsia" w:ascii="华文仿宋" w:hAnsi="华文仿宋" w:eastAsia="华文仿宋" w:cs="华文仿宋"/>
          <w:color w:val="auto"/>
          <w:szCs w:val="24"/>
        </w:rPr>
        <w:t>~</w:t>
      </w:r>
      <w:r>
        <w:rPr>
          <w:rFonts w:hint="eastAsia" w:ascii="宋体" w:hAnsi="宋体" w:eastAsia="宋体" w:cs="宋体"/>
          <w:color w:val="auto"/>
          <w:szCs w:val="24"/>
        </w:rPr>
        <w:t>1.5 cm，播后再用基质覆盖播种穴。根据不同育苗方式进行苗床管理。</w:t>
      </w:r>
    </w:p>
    <w:p w14:paraId="5172CB7D">
      <w:pPr>
        <w:spacing w:before="158" w:beforeLines="50" w:after="158" w:afterLines="50"/>
        <w:rPr>
          <w:rFonts w:hint="eastAsia" w:ascii="黑体" w:hAnsi="黑体" w:eastAsia="黑体"/>
          <w:color w:val="auto"/>
          <w:szCs w:val="21"/>
        </w:rPr>
      </w:pPr>
      <w:r>
        <w:rPr>
          <w:rFonts w:hint="eastAsia" w:ascii="黑体" w:hAnsi="黑体" w:eastAsia="黑体"/>
          <w:color w:val="auto"/>
          <w:szCs w:val="21"/>
        </w:rPr>
        <w:t>6.</w:t>
      </w:r>
      <w:r>
        <w:rPr>
          <w:rFonts w:hint="eastAsia" w:ascii="黑体" w:hAnsi="黑体" w:eastAsia="黑体"/>
          <w:color w:val="auto"/>
          <w:szCs w:val="21"/>
          <w:lang w:val="en-US" w:eastAsia="zh-CN"/>
        </w:rPr>
        <w:t>5</w:t>
      </w:r>
      <w:r>
        <w:rPr>
          <w:rFonts w:hint="eastAsia" w:ascii="黑体" w:hAnsi="黑体" w:eastAsia="黑体"/>
          <w:color w:val="auto"/>
          <w:szCs w:val="21"/>
        </w:rPr>
        <w:t xml:space="preserve"> </w:t>
      </w:r>
      <w:r>
        <w:rPr>
          <w:rFonts w:hint="eastAsia" w:ascii="黑体" w:hAnsi="黑体" w:eastAsia="黑体"/>
          <w:color w:val="auto"/>
          <w:szCs w:val="21"/>
          <w:lang w:val="en-US" w:eastAsia="zh-CN"/>
        </w:rPr>
        <w:t xml:space="preserve"> </w:t>
      </w:r>
      <w:r>
        <w:rPr>
          <w:rFonts w:hint="eastAsia" w:ascii="黑体" w:hAnsi="黑体" w:eastAsia="黑体"/>
          <w:color w:val="auto"/>
          <w:szCs w:val="21"/>
        </w:rPr>
        <w:t>温湿</w:t>
      </w:r>
      <w:r>
        <w:rPr>
          <w:rFonts w:hint="eastAsia" w:ascii="黑体" w:hAnsi="黑体" w:eastAsia="黑体"/>
          <w:color w:val="auto"/>
          <w:szCs w:val="21"/>
          <w:lang w:eastAsia="zh-CN"/>
        </w:rPr>
        <w:t>度等</w:t>
      </w:r>
      <w:r>
        <w:rPr>
          <w:rFonts w:hint="eastAsia" w:ascii="黑体" w:hAnsi="黑体" w:eastAsia="黑体"/>
          <w:color w:val="auto"/>
          <w:szCs w:val="21"/>
        </w:rPr>
        <w:t>要求</w:t>
      </w:r>
    </w:p>
    <w:p w14:paraId="19155D40">
      <w:pPr>
        <w:spacing w:before="158" w:beforeLines="50" w:after="158" w:afterLines="50"/>
        <w:ind w:firstLine="420" w:firstLineChars="200"/>
        <w:rPr>
          <w:rFonts w:hint="eastAsia" w:ascii="宋体" w:hAnsi="宋体" w:eastAsia="宋体" w:cs="宋体"/>
          <w:color w:val="auto"/>
          <w:szCs w:val="24"/>
        </w:rPr>
      </w:pPr>
      <w:r>
        <w:rPr>
          <w:rFonts w:hint="eastAsia" w:ascii="宋体" w:hAnsi="宋体" w:eastAsia="宋体" w:cs="宋体"/>
          <w:color w:val="auto"/>
          <w:szCs w:val="24"/>
        </w:rPr>
        <w:t>幼苗期，白天温度宜20℃</w:t>
      </w:r>
      <w:r>
        <w:rPr>
          <w:rFonts w:hint="eastAsia" w:ascii="华文仿宋" w:hAnsi="华文仿宋" w:eastAsia="华文仿宋" w:cs="华文仿宋"/>
          <w:color w:val="auto"/>
          <w:szCs w:val="24"/>
        </w:rPr>
        <w:t>~</w:t>
      </w:r>
      <w:r>
        <w:rPr>
          <w:rFonts w:hint="eastAsia" w:ascii="宋体" w:hAnsi="宋体" w:eastAsia="宋体" w:cs="宋体"/>
          <w:color w:val="auto"/>
          <w:szCs w:val="24"/>
        </w:rPr>
        <w:t>25℃，夜间13℃</w:t>
      </w:r>
      <w:r>
        <w:rPr>
          <w:rFonts w:hint="eastAsia" w:ascii="华文仿宋" w:hAnsi="华文仿宋" w:eastAsia="华文仿宋" w:cs="华文仿宋"/>
          <w:color w:val="auto"/>
          <w:szCs w:val="24"/>
        </w:rPr>
        <w:t>~</w:t>
      </w:r>
      <w:r>
        <w:rPr>
          <w:rFonts w:hint="eastAsia" w:ascii="宋体" w:hAnsi="宋体" w:eastAsia="宋体" w:cs="宋体"/>
          <w:color w:val="auto"/>
          <w:szCs w:val="24"/>
        </w:rPr>
        <w:t>18℃，保持基质相对含水量70%</w:t>
      </w:r>
      <w:r>
        <w:rPr>
          <w:rFonts w:hint="eastAsia" w:ascii="华文仿宋" w:hAnsi="华文仿宋" w:eastAsia="华文仿宋" w:cs="华文仿宋"/>
          <w:color w:val="auto"/>
          <w:szCs w:val="24"/>
        </w:rPr>
        <w:t>~</w:t>
      </w:r>
      <w:r>
        <w:rPr>
          <w:rFonts w:hint="eastAsia" w:ascii="宋体" w:hAnsi="宋体" w:eastAsia="宋体" w:cs="宋体"/>
          <w:color w:val="auto"/>
          <w:szCs w:val="24"/>
        </w:rPr>
        <w:t>80%。利用育苗设施、通风、揭盖覆盖物等，调节</w:t>
      </w:r>
      <w:r>
        <w:rPr>
          <w:rFonts w:hint="eastAsia" w:ascii="宋体" w:hAnsi="宋体" w:cs="宋体"/>
          <w:color w:val="auto"/>
          <w:szCs w:val="24"/>
          <w:lang w:eastAsia="zh-CN"/>
        </w:rPr>
        <w:t>育苗设施内的</w:t>
      </w:r>
      <w:r>
        <w:rPr>
          <w:rFonts w:hint="eastAsia" w:ascii="宋体" w:hAnsi="宋体" w:eastAsia="宋体" w:cs="宋体"/>
          <w:color w:val="auto"/>
          <w:szCs w:val="24"/>
        </w:rPr>
        <w:t>温度、湿度、光照和气体。</w:t>
      </w:r>
    </w:p>
    <w:p w14:paraId="3D031FDB">
      <w:pPr>
        <w:spacing w:before="158" w:beforeLines="50" w:after="158" w:afterLines="50"/>
        <w:rPr>
          <w:rFonts w:hint="eastAsia" w:ascii="黑体" w:hAnsi="黑体" w:eastAsia="黑体"/>
          <w:color w:val="auto"/>
          <w:szCs w:val="21"/>
        </w:rPr>
      </w:pPr>
      <w:r>
        <w:rPr>
          <w:rFonts w:hint="eastAsia" w:ascii="黑体" w:hAnsi="黑体" w:eastAsia="黑体"/>
          <w:color w:val="auto"/>
          <w:szCs w:val="21"/>
        </w:rPr>
        <w:t>6.</w:t>
      </w:r>
      <w:r>
        <w:rPr>
          <w:rFonts w:hint="eastAsia" w:ascii="黑体" w:hAnsi="黑体" w:eastAsia="黑体"/>
          <w:color w:val="auto"/>
          <w:szCs w:val="21"/>
          <w:lang w:val="en-US" w:eastAsia="zh-CN"/>
        </w:rPr>
        <w:t>6</w:t>
      </w:r>
      <w:r>
        <w:rPr>
          <w:rFonts w:hint="eastAsia" w:ascii="黑体" w:hAnsi="黑体" w:eastAsia="黑体"/>
          <w:color w:val="auto"/>
          <w:szCs w:val="21"/>
        </w:rPr>
        <w:t xml:space="preserve">  苗床管理</w:t>
      </w:r>
    </w:p>
    <w:p w14:paraId="69D0F0AC">
      <w:pPr>
        <w:spacing w:before="158" w:beforeLines="50" w:after="158" w:afterLines="50"/>
        <w:rPr>
          <w:rFonts w:hint="eastAsia" w:ascii="黑体" w:hAnsi="黑体" w:eastAsia="黑体"/>
          <w:color w:val="auto"/>
          <w:szCs w:val="21"/>
        </w:rPr>
      </w:pPr>
      <w:r>
        <w:rPr>
          <w:rFonts w:hint="eastAsia" w:ascii="黑体" w:hAnsi="黑体" w:eastAsia="黑体"/>
          <w:color w:val="auto"/>
          <w:szCs w:val="21"/>
        </w:rPr>
        <w:t>6.</w:t>
      </w:r>
      <w:r>
        <w:rPr>
          <w:rFonts w:hint="eastAsia" w:ascii="黑体" w:hAnsi="黑体" w:eastAsia="黑体"/>
          <w:color w:val="auto"/>
          <w:szCs w:val="21"/>
          <w:lang w:val="en-US" w:eastAsia="zh-CN"/>
        </w:rPr>
        <w:t>6</w:t>
      </w:r>
      <w:r>
        <w:rPr>
          <w:rFonts w:hint="eastAsia" w:ascii="黑体" w:hAnsi="黑体" w:eastAsia="黑体"/>
          <w:color w:val="auto"/>
          <w:szCs w:val="21"/>
        </w:rPr>
        <w:t>.1  漂浮育苗</w:t>
      </w:r>
    </w:p>
    <w:p w14:paraId="2249DEEF">
      <w:pPr>
        <w:spacing w:before="158" w:beforeLines="50" w:after="158" w:afterLines="50"/>
        <w:ind w:firstLine="420" w:firstLineChars="200"/>
        <w:rPr>
          <w:rFonts w:hint="eastAsia" w:ascii="宋体" w:hAnsi="宋体" w:eastAsia="宋体" w:cs="宋体"/>
          <w:color w:val="auto"/>
          <w:szCs w:val="24"/>
        </w:rPr>
      </w:pPr>
      <w:r>
        <w:rPr>
          <w:rFonts w:hint="eastAsia" w:ascii="宋体" w:hAnsi="宋体" w:eastAsia="宋体" w:cs="宋体"/>
          <w:color w:val="auto"/>
          <w:szCs w:val="24"/>
        </w:rPr>
        <w:t>播种后将漂盘放入育苗池，育苗池为砖砌水泥池，一般长 15 m、宽 2.4 m、深 10</w:t>
      </w:r>
      <w:r>
        <w:rPr>
          <w:rFonts w:hint="eastAsia" w:ascii="宋体" w:hAnsi="宋体" w:cs="宋体"/>
          <w:color w:val="auto"/>
          <w:szCs w:val="24"/>
          <w:lang w:val="en-US" w:eastAsia="zh-CN"/>
        </w:rPr>
        <w:t xml:space="preserve"> c</w:t>
      </w:r>
      <w:r>
        <w:rPr>
          <w:rFonts w:hint="eastAsia" w:ascii="宋体" w:hAnsi="宋体" w:eastAsia="宋体" w:cs="宋体"/>
          <w:color w:val="auto"/>
          <w:szCs w:val="24"/>
        </w:rPr>
        <w:t>m</w:t>
      </w:r>
      <w:r>
        <w:rPr>
          <w:rFonts w:hint="eastAsia" w:ascii="华文仿宋" w:hAnsi="华文仿宋" w:eastAsia="华文仿宋" w:cs="华文仿宋"/>
          <w:color w:val="auto"/>
          <w:szCs w:val="24"/>
        </w:rPr>
        <w:t>~</w:t>
      </w:r>
      <w:r>
        <w:rPr>
          <w:rFonts w:hint="eastAsia" w:ascii="宋体" w:hAnsi="宋体" w:eastAsia="宋体" w:cs="宋体"/>
          <w:color w:val="auto"/>
          <w:szCs w:val="24"/>
        </w:rPr>
        <w:t>15 cm，放水 5 cm</w:t>
      </w:r>
      <w:r>
        <w:rPr>
          <w:rFonts w:hint="eastAsia" w:ascii="华文仿宋" w:hAnsi="华文仿宋" w:eastAsia="华文仿宋" w:cs="华文仿宋"/>
          <w:color w:val="auto"/>
          <w:szCs w:val="24"/>
        </w:rPr>
        <w:t>~</w:t>
      </w:r>
      <w:r>
        <w:rPr>
          <w:rFonts w:hint="eastAsia" w:ascii="宋体" w:hAnsi="宋体" w:eastAsia="宋体" w:cs="宋体"/>
          <w:color w:val="auto"/>
          <w:szCs w:val="24"/>
        </w:rPr>
        <w:t>7 ㎝深。播种 3 d把漂盘捞出控水一天，在每个育苗池中放入 4 kg复合肥（氮磷钾为15-15-15）混匀，再把漂盘放入池中，隔 2</w:t>
      </w:r>
      <w:r>
        <w:rPr>
          <w:rFonts w:hint="eastAsia" w:ascii="华文仿宋" w:hAnsi="华文仿宋" w:eastAsia="华文仿宋" w:cs="华文仿宋"/>
          <w:color w:val="auto"/>
          <w:szCs w:val="24"/>
        </w:rPr>
        <w:t>~</w:t>
      </w:r>
      <w:r>
        <w:rPr>
          <w:rFonts w:hint="eastAsia" w:ascii="宋体" w:hAnsi="宋体" w:eastAsia="宋体" w:cs="宋体"/>
          <w:color w:val="auto"/>
          <w:szCs w:val="24"/>
        </w:rPr>
        <w:t>3 天再次控水一天，然后在每个育苗池中放入复合肥 6 kg，池中水位深度保持在 4</w:t>
      </w:r>
      <w:r>
        <w:rPr>
          <w:rFonts w:hint="eastAsia" w:ascii="华文仿宋" w:hAnsi="华文仿宋" w:eastAsia="华文仿宋" w:cs="华文仿宋"/>
          <w:color w:val="auto"/>
          <w:szCs w:val="24"/>
        </w:rPr>
        <w:t>~</w:t>
      </w:r>
      <w:r>
        <w:rPr>
          <w:rFonts w:hint="eastAsia" w:ascii="宋体" w:hAnsi="宋体" w:eastAsia="宋体" w:cs="宋体"/>
          <w:color w:val="auto"/>
          <w:szCs w:val="24"/>
        </w:rPr>
        <w:t>5 ㎝。</w:t>
      </w:r>
    </w:p>
    <w:p w14:paraId="797DFE12">
      <w:pPr>
        <w:spacing w:before="158" w:beforeLines="50" w:after="158" w:afterLines="50"/>
        <w:rPr>
          <w:rFonts w:hint="eastAsia" w:ascii="黑体" w:hAnsi="黑体" w:eastAsia="黑体"/>
          <w:color w:val="auto"/>
          <w:szCs w:val="21"/>
        </w:rPr>
      </w:pPr>
      <w:r>
        <w:rPr>
          <w:rFonts w:hint="eastAsia" w:ascii="黑体" w:hAnsi="黑体" w:eastAsia="黑体"/>
          <w:color w:val="auto"/>
          <w:szCs w:val="21"/>
        </w:rPr>
        <w:t>6.</w:t>
      </w:r>
      <w:r>
        <w:rPr>
          <w:rFonts w:hint="eastAsia" w:ascii="黑体" w:hAnsi="黑体" w:eastAsia="黑体"/>
          <w:color w:val="auto"/>
          <w:szCs w:val="21"/>
          <w:lang w:val="en-US" w:eastAsia="zh-CN"/>
        </w:rPr>
        <w:t>6</w:t>
      </w:r>
      <w:r>
        <w:rPr>
          <w:rFonts w:hint="eastAsia" w:ascii="黑体" w:hAnsi="黑体" w:eastAsia="黑体"/>
          <w:color w:val="auto"/>
          <w:szCs w:val="21"/>
        </w:rPr>
        <w:t>.2  穴盘育苗</w:t>
      </w:r>
    </w:p>
    <w:p w14:paraId="5DA0CFF5">
      <w:pPr>
        <w:spacing w:before="158" w:beforeLines="50" w:after="158" w:afterLines="50"/>
        <w:ind w:firstLine="420" w:firstLineChars="200"/>
        <w:rPr>
          <w:rFonts w:hint="eastAsia" w:ascii="宋体" w:hAnsi="宋体" w:eastAsia="宋体" w:cs="宋体"/>
          <w:color w:val="auto"/>
          <w:szCs w:val="24"/>
        </w:rPr>
      </w:pPr>
      <w:r>
        <w:rPr>
          <w:rFonts w:hint="eastAsia" w:ascii="宋体" w:hAnsi="宋体" w:eastAsia="宋体" w:cs="宋体"/>
          <w:color w:val="auto"/>
          <w:szCs w:val="24"/>
        </w:rPr>
        <w:t>播种后</w:t>
      </w:r>
      <w:r>
        <w:rPr>
          <w:rFonts w:hint="eastAsia" w:ascii="宋体" w:hAnsi="宋体" w:cs="宋体"/>
          <w:color w:val="auto"/>
          <w:szCs w:val="24"/>
          <w:lang w:eastAsia="zh-CN"/>
        </w:rPr>
        <w:t>置于育苗设施内</w:t>
      </w:r>
      <w:r>
        <w:rPr>
          <w:rFonts w:hint="eastAsia" w:ascii="宋体" w:hAnsi="宋体" w:eastAsia="宋体" w:cs="宋体"/>
          <w:color w:val="auto"/>
          <w:szCs w:val="24"/>
        </w:rPr>
        <w:t>，</w:t>
      </w:r>
      <w:r>
        <w:rPr>
          <w:rFonts w:hint="eastAsia" w:ascii="宋体" w:hAnsi="宋体" w:cs="宋体"/>
          <w:color w:val="auto"/>
          <w:szCs w:val="24"/>
          <w:lang w:eastAsia="zh-CN"/>
        </w:rPr>
        <w:t>进行</w:t>
      </w:r>
      <w:r>
        <w:rPr>
          <w:rFonts w:hint="eastAsia" w:ascii="宋体" w:hAnsi="宋体" w:eastAsia="宋体" w:cs="宋体"/>
          <w:color w:val="auto"/>
          <w:szCs w:val="24"/>
        </w:rPr>
        <w:t>保温保湿。待幼苗长到三叶一心时，喷施0.1%～0.3%的磷酸二氢钾和0.1%～0.3%的尿素。</w:t>
      </w:r>
    </w:p>
    <w:p w14:paraId="485BDD7A">
      <w:pPr>
        <w:spacing w:before="158" w:beforeLines="50" w:after="158" w:afterLines="50"/>
        <w:rPr>
          <w:rFonts w:hint="eastAsia" w:ascii="黑体" w:hAnsi="黑体" w:eastAsia="黑体"/>
          <w:color w:val="auto"/>
          <w:szCs w:val="21"/>
        </w:rPr>
      </w:pPr>
      <w:r>
        <w:rPr>
          <w:rFonts w:hint="eastAsia" w:ascii="黑体" w:hAnsi="黑体" w:eastAsia="黑体"/>
          <w:color w:val="auto"/>
          <w:szCs w:val="21"/>
        </w:rPr>
        <w:t>6.</w:t>
      </w:r>
      <w:r>
        <w:rPr>
          <w:rFonts w:hint="eastAsia" w:ascii="黑体" w:hAnsi="黑体" w:eastAsia="黑体"/>
          <w:color w:val="auto"/>
          <w:szCs w:val="21"/>
          <w:lang w:val="en-US" w:eastAsia="zh-CN"/>
        </w:rPr>
        <w:t>7</w:t>
      </w:r>
      <w:r>
        <w:rPr>
          <w:rFonts w:hint="eastAsia" w:ascii="黑体" w:hAnsi="黑体" w:eastAsia="黑体"/>
          <w:color w:val="auto"/>
          <w:szCs w:val="21"/>
        </w:rPr>
        <w:t xml:space="preserve">  炼苗</w:t>
      </w:r>
    </w:p>
    <w:p w14:paraId="2CAC69A4">
      <w:pPr>
        <w:spacing w:before="158" w:beforeLines="50" w:after="158" w:afterLines="50"/>
        <w:ind w:firstLine="420" w:firstLineChars="200"/>
        <w:rPr>
          <w:rFonts w:hint="eastAsia" w:ascii="宋体" w:hAnsi="宋体" w:eastAsia="宋体" w:cs="宋体"/>
          <w:color w:val="auto"/>
          <w:szCs w:val="24"/>
        </w:rPr>
      </w:pPr>
      <w:r>
        <w:rPr>
          <w:rFonts w:hint="eastAsia" w:ascii="宋体" w:hAnsi="宋体" w:eastAsia="宋体" w:cs="宋体"/>
          <w:color w:val="auto"/>
          <w:szCs w:val="24"/>
        </w:rPr>
        <w:t>定植前 5 d</w:t>
      </w:r>
      <w:r>
        <w:rPr>
          <w:rFonts w:hint="eastAsia" w:ascii="华文仿宋" w:hAnsi="华文仿宋" w:eastAsia="华文仿宋" w:cs="华文仿宋"/>
          <w:color w:val="auto"/>
          <w:szCs w:val="24"/>
        </w:rPr>
        <w:t>~</w:t>
      </w:r>
      <w:r>
        <w:rPr>
          <w:rFonts w:hint="eastAsia" w:ascii="宋体" w:hAnsi="宋体" w:eastAsia="宋体" w:cs="宋体"/>
          <w:color w:val="auto"/>
          <w:szCs w:val="24"/>
        </w:rPr>
        <w:t>7 d进行控水控温炼苗，</w:t>
      </w:r>
      <w:r>
        <w:rPr>
          <w:rFonts w:hint="eastAsia" w:ascii="宋体" w:hAnsi="宋体" w:cs="宋体"/>
          <w:color w:val="auto"/>
          <w:szCs w:val="24"/>
          <w:lang w:eastAsia="zh-CN"/>
        </w:rPr>
        <w:t>以</w:t>
      </w:r>
      <w:r>
        <w:rPr>
          <w:rFonts w:hint="eastAsia" w:ascii="宋体" w:hAnsi="宋体" w:eastAsia="宋体" w:cs="宋体"/>
          <w:color w:val="auto"/>
          <w:szCs w:val="24"/>
        </w:rPr>
        <w:t>白天温度18℃</w:t>
      </w:r>
      <w:r>
        <w:rPr>
          <w:rFonts w:hint="eastAsia" w:ascii="华文仿宋" w:hAnsi="华文仿宋" w:eastAsia="华文仿宋" w:cs="华文仿宋"/>
          <w:color w:val="auto"/>
          <w:szCs w:val="24"/>
        </w:rPr>
        <w:t>~</w:t>
      </w:r>
      <w:r>
        <w:rPr>
          <w:rFonts w:hint="eastAsia" w:ascii="宋体" w:hAnsi="宋体" w:eastAsia="宋体" w:cs="宋体"/>
          <w:color w:val="auto"/>
          <w:szCs w:val="24"/>
        </w:rPr>
        <w:t>23℃，夜间10℃</w:t>
      </w:r>
      <w:r>
        <w:rPr>
          <w:rFonts w:hint="eastAsia" w:ascii="华文仿宋" w:hAnsi="华文仿宋" w:eastAsia="华文仿宋" w:cs="华文仿宋"/>
          <w:color w:val="auto"/>
          <w:szCs w:val="24"/>
        </w:rPr>
        <w:t>~</w:t>
      </w:r>
      <w:r>
        <w:rPr>
          <w:rFonts w:hint="eastAsia" w:ascii="宋体" w:hAnsi="宋体" w:eastAsia="宋体" w:cs="宋体"/>
          <w:color w:val="auto"/>
          <w:szCs w:val="24"/>
        </w:rPr>
        <w:t>13℃</w:t>
      </w:r>
      <w:r>
        <w:rPr>
          <w:rFonts w:hint="eastAsia" w:ascii="宋体" w:hAnsi="宋体" w:cs="宋体"/>
          <w:color w:val="auto"/>
          <w:szCs w:val="24"/>
          <w:lang w:eastAsia="zh-CN"/>
        </w:rPr>
        <w:t>为宜</w:t>
      </w:r>
      <w:r>
        <w:rPr>
          <w:rFonts w:hint="eastAsia" w:ascii="宋体" w:hAnsi="宋体" w:eastAsia="宋体" w:cs="宋体"/>
          <w:color w:val="auto"/>
          <w:szCs w:val="24"/>
        </w:rPr>
        <w:t>。基质相对含水量60%</w:t>
      </w:r>
      <w:r>
        <w:rPr>
          <w:rFonts w:hint="eastAsia" w:ascii="华文仿宋" w:hAnsi="华文仿宋" w:eastAsia="华文仿宋" w:cs="华文仿宋"/>
          <w:color w:val="auto"/>
          <w:szCs w:val="24"/>
        </w:rPr>
        <w:t>~</w:t>
      </w:r>
      <w:r>
        <w:rPr>
          <w:rFonts w:hint="eastAsia" w:ascii="宋体" w:hAnsi="宋体" w:eastAsia="宋体" w:cs="宋体"/>
          <w:color w:val="auto"/>
          <w:szCs w:val="24"/>
        </w:rPr>
        <w:t>65%。</w:t>
      </w:r>
    </w:p>
    <w:p w14:paraId="33E4B322">
      <w:pPr>
        <w:spacing w:before="158" w:beforeLines="50" w:after="158" w:afterLines="50"/>
        <w:rPr>
          <w:rFonts w:hint="eastAsia" w:ascii="黑体" w:hAnsi="黑体" w:eastAsia="黑体"/>
          <w:color w:val="auto"/>
          <w:szCs w:val="21"/>
        </w:rPr>
      </w:pPr>
      <w:r>
        <w:rPr>
          <w:rFonts w:hint="eastAsia" w:ascii="黑体" w:hAnsi="黑体" w:eastAsia="黑体"/>
          <w:color w:val="auto"/>
          <w:szCs w:val="21"/>
        </w:rPr>
        <w:t>6.</w:t>
      </w:r>
      <w:r>
        <w:rPr>
          <w:rFonts w:hint="eastAsia" w:ascii="黑体" w:hAnsi="黑体" w:eastAsia="黑体"/>
          <w:color w:val="auto"/>
          <w:szCs w:val="21"/>
          <w:lang w:val="en-US" w:eastAsia="zh-CN"/>
        </w:rPr>
        <w:t>8</w:t>
      </w:r>
      <w:r>
        <w:rPr>
          <w:rFonts w:hint="eastAsia" w:ascii="黑体" w:hAnsi="黑体" w:eastAsia="黑体"/>
          <w:color w:val="auto"/>
          <w:szCs w:val="21"/>
        </w:rPr>
        <w:t xml:space="preserve">  </w:t>
      </w:r>
      <w:r>
        <w:rPr>
          <w:rFonts w:hint="eastAsia" w:ascii="黑体" w:hAnsi="黑体" w:eastAsia="黑体"/>
          <w:color w:val="auto"/>
          <w:szCs w:val="21"/>
          <w:lang w:eastAsia="zh-CN"/>
        </w:rPr>
        <w:t>成苗标准</w:t>
      </w:r>
    </w:p>
    <w:p w14:paraId="795766DB">
      <w:pPr>
        <w:spacing w:before="158" w:beforeLines="50" w:after="158" w:afterLines="50"/>
        <w:ind w:firstLine="420" w:firstLineChars="200"/>
        <w:rPr>
          <w:rFonts w:hint="eastAsia" w:ascii="黑体" w:hAnsi="黑体" w:eastAsia="黑体"/>
          <w:color w:val="auto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szCs w:val="24"/>
          <w:lang w:eastAsia="zh-CN"/>
        </w:rPr>
        <w:t>加强苗床管理，培育</w:t>
      </w:r>
      <w:r>
        <w:rPr>
          <w:rFonts w:hint="eastAsia" w:ascii="宋体" w:hAnsi="宋体" w:eastAsia="宋体" w:cs="宋体"/>
          <w:color w:val="auto"/>
          <w:szCs w:val="24"/>
        </w:rPr>
        <w:t>植株矮壮，下胚轴节间短，叶色浓绿肥厚，根系发达，无病虫害</w:t>
      </w:r>
      <w:r>
        <w:rPr>
          <w:rFonts w:hint="eastAsia" w:ascii="宋体" w:hAnsi="宋体" w:cs="宋体"/>
          <w:color w:val="auto"/>
          <w:szCs w:val="24"/>
          <w:lang w:eastAsia="zh-CN"/>
        </w:rPr>
        <w:t>的壮苗</w:t>
      </w:r>
      <w:r>
        <w:rPr>
          <w:rFonts w:hint="eastAsia" w:ascii="宋体" w:hAnsi="宋体" w:eastAsia="宋体" w:cs="宋体"/>
          <w:color w:val="auto"/>
          <w:szCs w:val="24"/>
        </w:rPr>
        <w:t>。早熟品种苗龄 25 d</w:t>
      </w:r>
      <w:r>
        <w:rPr>
          <w:rFonts w:hint="eastAsia" w:ascii="华文仿宋" w:hAnsi="华文仿宋" w:eastAsia="华文仿宋" w:cs="华文仿宋"/>
          <w:color w:val="auto"/>
          <w:szCs w:val="24"/>
        </w:rPr>
        <w:t>~</w:t>
      </w:r>
      <w:r>
        <w:rPr>
          <w:rFonts w:hint="eastAsia" w:ascii="宋体" w:hAnsi="宋体" w:eastAsia="宋体" w:cs="宋体"/>
          <w:color w:val="auto"/>
          <w:szCs w:val="24"/>
        </w:rPr>
        <w:t>30 d，中晚熟品种苗龄 30 d</w:t>
      </w:r>
      <w:r>
        <w:rPr>
          <w:rFonts w:hint="eastAsia" w:ascii="华文仿宋" w:hAnsi="华文仿宋" w:eastAsia="华文仿宋" w:cs="华文仿宋"/>
          <w:color w:val="auto"/>
          <w:szCs w:val="24"/>
        </w:rPr>
        <w:t>~</w:t>
      </w:r>
      <w:r>
        <w:rPr>
          <w:rFonts w:hint="eastAsia" w:ascii="宋体" w:hAnsi="宋体" w:eastAsia="宋体" w:cs="宋体"/>
          <w:color w:val="auto"/>
          <w:szCs w:val="24"/>
        </w:rPr>
        <w:t>40 d。</w:t>
      </w:r>
    </w:p>
    <w:p w14:paraId="1953FEE5">
      <w:pPr>
        <w:spacing w:before="283" w:after="317" w:afterLines="100"/>
        <w:rPr>
          <w:rFonts w:hint="default" w:ascii="黑体" w:hAnsi="黑体" w:eastAsia="黑体"/>
          <w:color w:val="auto"/>
          <w:szCs w:val="21"/>
          <w:lang w:val="en-US" w:eastAsia="zh-CN"/>
        </w:rPr>
      </w:pPr>
      <w:r>
        <w:rPr>
          <w:rFonts w:hint="eastAsia" w:ascii="黑体" w:hAnsi="黑体" w:eastAsia="黑体"/>
          <w:color w:val="auto"/>
          <w:szCs w:val="21"/>
          <w:lang w:val="en-US" w:eastAsia="zh-CN"/>
        </w:rPr>
        <w:t>7  定植</w:t>
      </w:r>
    </w:p>
    <w:p w14:paraId="36823414">
      <w:pPr>
        <w:spacing w:before="158" w:beforeLines="50" w:after="158" w:afterLines="50"/>
        <w:rPr>
          <w:rFonts w:hint="default" w:ascii="黑体" w:hAnsi="黑体" w:eastAsia="黑体"/>
          <w:color w:val="auto"/>
          <w:szCs w:val="21"/>
          <w:lang w:val="en-US" w:eastAsia="zh-CN"/>
        </w:rPr>
      </w:pPr>
      <w:r>
        <w:rPr>
          <w:rFonts w:hint="eastAsia" w:ascii="黑体" w:hAnsi="黑体" w:eastAsia="黑体"/>
          <w:color w:val="auto"/>
          <w:szCs w:val="21"/>
          <w:lang w:val="en-US" w:eastAsia="zh-CN"/>
        </w:rPr>
        <w:t xml:space="preserve">7.1  </w:t>
      </w:r>
      <w:r>
        <w:rPr>
          <w:rFonts w:hint="default" w:ascii="黑体" w:hAnsi="黑体" w:eastAsia="黑体"/>
          <w:color w:val="auto"/>
          <w:szCs w:val="21"/>
          <w:lang w:val="en-US" w:eastAsia="zh-CN"/>
        </w:rPr>
        <w:t>整地</w:t>
      </w:r>
    </w:p>
    <w:p w14:paraId="7E5AA0C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rPr>
          <w:rFonts w:hint="default" w:ascii="宋体" w:hAnsi="宋体" w:cs="宋体"/>
          <w:b w:val="0"/>
          <w:bCs w:val="0"/>
          <w:color w:val="auto"/>
          <w:lang w:val="en-US" w:eastAsia="zh-CN"/>
        </w:rPr>
      </w:pPr>
      <w:r>
        <w:rPr>
          <w:rFonts w:hint="default" w:ascii="宋体" w:hAnsi="宋体" w:cs="宋体"/>
          <w:b w:val="0"/>
          <w:bCs w:val="0"/>
          <w:color w:val="auto"/>
          <w:lang w:val="en-US" w:eastAsia="zh-CN"/>
        </w:rPr>
        <w:t>实行轮作，前作收获后深翻晒垡，墒面平整土细，</w:t>
      </w:r>
      <w:r>
        <w:rPr>
          <w:rFonts w:hint="eastAsia" w:ascii="宋体" w:hAnsi="宋体" w:cs="宋体"/>
          <w:b w:val="0"/>
          <w:bCs w:val="0"/>
          <w:color w:val="auto"/>
          <w:lang w:val="en-US" w:eastAsia="zh-CN"/>
        </w:rPr>
        <w:t>施入优质</w:t>
      </w:r>
      <w:r>
        <w:rPr>
          <w:rFonts w:hint="default" w:ascii="宋体" w:hAnsi="宋体" w:cs="宋体"/>
          <w:b w:val="0"/>
          <w:bCs w:val="0"/>
          <w:color w:val="auto"/>
          <w:lang w:val="en-US" w:eastAsia="zh-CN"/>
        </w:rPr>
        <w:t>有机肥（</w:t>
      </w:r>
      <w:r>
        <w:rPr>
          <w:rFonts w:hint="eastAsia" w:ascii="宋体" w:hAnsi="宋体" w:cs="宋体"/>
          <w:b w:val="0"/>
          <w:bCs w:val="0"/>
          <w:color w:val="auto"/>
          <w:lang w:val="en-US" w:eastAsia="zh-CN"/>
        </w:rPr>
        <w:t>有机质含量&gt;25</w:t>
      </w:r>
      <w:r>
        <w:rPr>
          <w:rFonts w:hint="eastAsia" w:ascii="宋体" w:hAnsi="宋体" w:cs="宋体"/>
          <w:b w:val="0"/>
          <w:bCs w:val="0"/>
          <w:color w:val="auto"/>
          <w:highlight w:val="none"/>
          <w:lang w:val="en-US" w:eastAsia="zh-CN"/>
        </w:rPr>
        <w:t>%，质量</w:t>
      </w:r>
      <w:r>
        <w:rPr>
          <w:rFonts w:hint="default" w:ascii="宋体" w:hAnsi="宋体" w:cs="宋体"/>
          <w:color w:val="auto"/>
          <w:highlight w:val="none"/>
          <w:lang w:val="en-US" w:eastAsia="zh-CN"/>
        </w:rPr>
        <w:t>符合</w:t>
      </w:r>
      <w:r>
        <w:rPr>
          <w:rFonts w:hint="default" w:ascii="宋体" w:hAnsi="宋体" w:cs="宋体"/>
          <w:color w:val="auto"/>
          <w:lang w:val="en-US" w:eastAsia="zh-CN"/>
        </w:rPr>
        <w:t>NY/T 525</w:t>
      </w:r>
      <w:r>
        <w:rPr>
          <w:rFonts w:hint="default" w:ascii="宋体" w:hAnsi="宋体" w:cs="宋体"/>
          <w:b w:val="0"/>
          <w:bCs w:val="0"/>
          <w:color w:val="auto"/>
          <w:lang w:val="en-US" w:eastAsia="zh-CN"/>
        </w:rPr>
        <w:t>）</w:t>
      </w:r>
      <w:r>
        <w:rPr>
          <w:rFonts w:hint="eastAsia" w:ascii="宋体" w:hAnsi="宋体" w:cs="宋体"/>
          <w:b w:val="0"/>
          <w:bCs w:val="0"/>
          <w:color w:val="auto"/>
          <w:lang w:val="en-US" w:eastAsia="zh-CN"/>
        </w:rPr>
        <w:t>1000 kg</w:t>
      </w:r>
      <w:r>
        <w:rPr>
          <w:rFonts w:hint="eastAsia" w:ascii="华文仿宋" w:hAnsi="华文仿宋" w:eastAsia="华文仿宋" w:cs="华文仿宋"/>
          <w:b w:val="0"/>
          <w:bCs w:val="0"/>
          <w:color w:val="auto"/>
          <w:lang w:val="en-US" w:eastAsia="zh-CN"/>
        </w:rPr>
        <w:t>~</w:t>
      </w:r>
      <w:r>
        <w:rPr>
          <w:rFonts w:hint="eastAsia" w:ascii="宋体" w:hAnsi="宋体" w:cs="宋体"/>
          <w:b w:val="0"/>
          <w:bCs w:val="0"/>
          <w:color w:val="auto"/>
          <w:lang w:val="en-US" w:eastAsia="zh-CN"/>
        </w:rPr>
        <w:t>2</w:t>
      </w:r>
      <w:r>
        <w:rPr>
          <w:rFonts w:hint="default" w:ascii="宋体" w:hAnsi="宋体" w:cs="宋体"/>
          <w:b w:val="0"/>
          <w:bCs w:val="0"/>
          <w:color w:val="auto"/>
          <w:lang w:val="en-US" w:eastAsia="zh-CN"/>
        </w:rPr>
        <w:t>000</w:t>
      </w:r>
      <w:r>
        <w:rPr>
          <w:rFonts w:hint="eastAsia" w:ascii="宋体" w:hAnsi="宋体" w:cs="宋体"/>
          <w:b w:val="0"/>
          <w:bCs w:val="0"/>
          <w:color w:val="auto"/>
          <w:lang w:val="en-US" w:eastAsia="zh-CN"/>
        </w:rPr>
        <w:t xml:space="preserve"> </w:t>
      </w:r>
      <w:r>
        <w:rPr>
          <w:rFonts w:hint="default" w:ascii="宋体" w:hAnsi="宋体" w:cs="宋体"/>
          <w:b w:val="0"/>
          <w:bCs w:val="0"/>
          <w:color w:val="auto"/>
          <w:lang w:val="en-US" w:eastAsia="zh-CN"/>
        </w:rPr>
        <w:t>kg</w:t>
      </w:r>
      <w:r>
        <w:rPr>
          <w:rFonts w:hint="eastAsia" w:ascii="宋体" w:hAnsi="宋体" w:cs="宋体"/>
          <w:b w:val="0"/>
          <w:bCs w:val="0"/>
          <w:color w:val="auto"/>
          <w:lang w:val="en-US" w:eastAsia="zh-CN"/>
        </w:rPr>
        <w:t>，肥料用量视地块肥力而定。各地根据实际情况，选择合适的方式调节土壤酸碱度，使其达到西兰花种植最佳pH值。</w:t>
      </w:r>
      <w:r>
        <w:rPr>
          <w:rFonts w:hint="default" w:ascii="宋体" w:hAnsi="宋体" w:cs="宋体"/>
          <w:b w:val="0"/>
          <w:bCs w:val="0"/>
          <w:color w:val="auto"/>
          <w:lang w:val="en-US" w:eastAsia="zh-CN"/>
        </w:rPr>
        <w:t>翻耕入土</w:t>
      </w:r>
      <w:r>
        <w:rPr>
          <w:rFonts w:hint="eastAsia" w:ascii="宋体" w:hAnsi="宋体" w:cs="宋体"/>
          <w:b w:val="0"/>
          <w:bCs w:val="0"/>
          <w:color w:val="auto"/>
          <w:lang w:val="en-US" w:eastAsia="zh-CN"/>
        </w:rPr>
        <w:t>后</w:t>
      </w:r>
      <w:r>
        <w:rPr>
          <w:rFonts w:hint="default" w:ascii="宋体" w:hAnsi="宋体" w:cs="宋体"/>
          <w:b w:val="0"/>
          <w:bCs w:val="0"/>
          <w:color w:val="auto"/>
          <w:lang w:val="en-US" w:eastAsia="zh-CN"/>
        </w:rPr>
        <w:t>细耙，大棚</w:t>
      </w:r>
      <w:r>
        <w:rPr>
          <w:rFonts w:hint="eastAsia" w:ascii="宋体" w:hAnsi="宋体" w:cs="宋体"/>
          <w:b w:val="0"/>
          <w:bCs w:val="0"/>
          <w:color w:val="auto"/>
          <w:lang w:val="en-US" w:eastAsia="zh-CN"/>
        </w:rPr>
        <w:t>与</w:t>
      </w:r>
      <w:r>
        <w:rPr>
          <w:rFonts w:hint="default" w:ascii="宋体" w:hAnsi="宋体" w:cs="宋体"/>
          <w:b w:val="0"/>
          <w:bCs w:val="0"/>
          <w:color w:val="auto"/>
          <w:lang w:val="en-US" w:eastAsia="zh-CN"/>
        </w:rPr>
        <w:t>露地栽培均按</w:t>
      </w:r>
      <w:r>
        <w:rPr>
          <w:rFonts w:hint="eastAsia" w:ascii="宋体" w:hAnsi="宋体" w:cs="宋体"/>
          <w:b w:val="0"/>
          <w:bCs w:val="0"/>
          <w:color w:val="auto"/>
          <w:lang w:val="en-US" w:eastAsia="zh-CN"/>
        </w:rPr>
        <w:t xml:space="preserve"> </w:t>
      </w:r>
      <w:r>
        <w:rPr>
          <w:rFonts w:hint="default" w:ascii="宋体" w:hAnsi="宋体" w:cs="宋体"/>
          <w:b w:val="0"/>
          <w:bCs w:val="0"/>
          <w:color w:val="auto"/>
          <w:lang w:val="en-US" w:eastAsia="zh-CN"/>
        </w:rPr>
        <w:t>1.8</w:t>
      </w:r>
      <w:r>
        <w:rPr>
          <w:rFonts w:hint="eastAsia" w:ascii="宋体" w:hAnsi="宋体" w:cs="宋体"/>
          <w:b w:val="0"/>
          <w:bCs w:val="0"/>
          <w:color w:val="auto"/>
          <w:lang w:val="en-US" w:eastAsia="zh-CN"/>
        </w:rPr>
        <w:t xml:space="preserve"> </w:t>
      </w:r>
      <w:r>
        <w:rPr>
          <w:rFonts w:hint="default" w:ascii="宋体" w:hAnsi="宋体" w:cs="宋体"/>
          <w:b w:val="0"/>
          <w:bCs w:val="0"/>
          <w:color w:val="auto"/>
          <w:lang w:val="en-US" w:eastAsia="zh-CN"/>
        </w:rPr>
        <w:t>m开</w:t>
      </w:r>
      <w:r>
        <w:rPr>
          <w:rFonts w:hint="eastAsia" w:ascii="宋体" w:hAnsi="宋体" w:cs="宋体"/>
          <w:b w:val="0"/>
          <w:bCs w:val="0"/>
          <w:color w:val="auto"/>
          <w:lang w:val="en-US" w:eastAsia="zh-CN"/>
        </w:rPr>
        <w:t>沟起畦，畦</w:t>
      </w:r>
      <w:r>
        <w:rPr>
          <w:rFonts w:hint="default" w:ascii="宋体" w:hAnsi="宋体" w:cs="宋体"/>
          <w:b w:val="0"/>
          <w:bCs w:val="0"/>
          <w:color w:val="auto"/>
          <w:lang w:val="en-US" w:eastAsia="zh-CN"/>
        </w:rPr>
        <w:t>宽</w:t>
      </w:r>
      <w:r>
        <w:rPr>
          <w:rFonts w:hint="eastAsia" w:ascii="宋体" w:hAnsi="宋体" w:cs="宋体"/>
          <w:b w:val="0"/>
          <w:bCs w:val="0"/>
          <w:color w:val="auto"/>
          <w:lang w:val="en-US" w:eastAsia="zh-CN"/>
        </w:rPr>
        <w:t xml:space="preserve">1.5 </w:t>
      </w:r>
      <w:r>
        <w:rPr>
          <w:rFonts w:hint="default" w:ascii="宋体" w:hAnsi="宋体" w:cs="宋体"/>
          <w:b w:val="0"/>
          <w:bCs w:val="0"/>
          <w:color w:val="auto"/>
          <w:lang w:val="en-US" w:eastAsia="zh-CN"/>
        </w:rPr>
        <w:t>m，</w:t>
      </w:r>
      <w:r>
        <w:rPr>
          <w:rFonts w:hint="eastAsia" w:ascii="宋体" w:hAnsi="宋体" w:cs="宋体"/>
          <w:color w:val="auto"/>
          <w:lang w:val="en-US" w:eastAsia="zh-CN"/>
        </w:rPr>
        <w:t>畦</w:t>
      </w:r>
      <w:r>
        <w:rPr>
          <w:rFonts w:hint="default" w:ascii="宋体" w:hAnsi="宋体" w:cs="宋体"/>
          <w:color w:val="auto"/>
          <w:lang w:val="en-US" w:eastAsia="zh-CN"/>
        </w:rPr>
        <w:t>高</w:t>
      </w:r>
      <w:r>
        <w:rPr>
          <w:rFonts w:hint="eastAsia" w:ascii="宋体" w:hAnsi="宋体" w:cs="宋体"/>
          <w:color w:val="auto"/>
          <w:lang w:val="en-US" w:eastAsia="zh-CN"/>
        </w:rPr>
        <w:t xml:space="preserve"> </w:t>
      </w:r>
      <w:r>
        <w:rPr>
          <w:rFonts w:hint="default" w:ascii="宋体" w:hAnsi="宋体" w:cs="宋体"/>
          <w:color w:val="auto"/>
          <w:lang w:val="en-US" w:eastAsia="zh-CN"/>
        </w:rPr>
        <w:t>20 cm</w:t>
      </w:r>
      <w:r>
        <w:rPr>
          <w:rFonts w:hint="eastAsia" w:ascii="华文仿宋" w:hAnsi="华文仿宋" w:eastAsia="华文仿宋" w:cs="华文仿宋"/>
          <w:color w:val="auto"/>
          <w:lang w:val="en-US" w:eastAsia="zh-CN"/>
        </w:rPr>
        <w:t>~</w:t>
      </w:r>
      <w:r>
        <w:rPr>
          <w:rFonts w:hint="default" w:ascii="宋体" w:hAnsi="宋体" w:cs="宋体"/>
          <w:color w:val="auto"/>
          <w:lang w:val="en-US" w:eastAsia="zh-CN"/>
        </w:rPr>
        <w:t>25 cm</w:t>
      </w:r>
      <w:r>
        <w:rPr>
          <w:rFonts w:hint="default" w:ascii="宋体" w:hAnsi="宋体" w:cs="宋体"/>
          <w:b w:val="0"/>
          <w:bCs w:val="0"/>
          <w:color w:val="auto"/>
          <w:lang w:val="en-US" w:eastAsia="zh-CN"/>
        </w:rPr>
        <w:t>。露地栽培墒面平整后</w:t>
      </w:r>
      <w:r>
        <w:rPr>
          <w:rFonts w:hint="eastAsia" w:ascii="宋体" w:hAnsi="宋体" w:cs="宋体"/>
          <w:b w:val="0"/>
          <w:bCs w:val="0"/>
          <w:color w:val="auto"/>
          <w:lang w:val="en-US" w:eastAsia="zh-CN"/>
        </w:rPr>
        <w:t>可根据实际情况，</w:t>
      </w:r>
      <w:r>
        <w:rPr>
          <w:rFonts w:hint="default" w:ascii="宋体" w:hAnsi="宋体" w:cs="宋体"/>
          <w:b w:val="0"/>
          <w:bCs w:val="0"/>
          <w:color w:val="auto"/>
          <w:lang w:val="en-US" w:eastAsia="zh-CN"/>
        </w:rPr>
        <w:t>每</w:t>
      </w:r>
      <w:r>
        <w:rPr>
          <w:rFonts w:hint="eastAsia" w:ascii="宋体" w:hAnsi="宋体" w:cs="宋体"/>
          <w:b w:val="0"/>
          <w:bCs w:val="0"/>
          <w:color w:val="auto"/>
          <w:lang w:val="en-US" w:eastAsia="zh-CN"/>
        </w:rPr>
        <w:t>667 m</w:t>
      </w:r>
      <w:r>
        <w:rPr>
          <w:rFonts w:hint="eastAsia" w:ascii="宋体" w:hAnsi="宋体" w:cs="宋体"/>
          <w:b w:val="0"/>
          <w:bCs w:val="0"/>
          <w:color w:val="auto"/>
          <w:vertAlign w:val="superscript"/>
          <w:lang w:val="en-US" w:eastAsia="zh-CN"/>
        </w:rPr>
        <w:t>2</w:t>
      </w:r>
      <w:r>
        <w:rPr>
          <w:rFonts w:hint="eastAsia" w:ascii="宋体" w:hAnsi="宋体" w:cs="宋体"/>
          <w:b w:val="0"/>
          <w:bCs w:val="0"/>
          <w:color w:val="auto"/>
          <w:vertAlign w:val="baseline"/>
          <w:lang w:val="en-US" w:eastAsia="zh-CN"/>
        </w:rPr>
        <w:t>施入0.</w:t>
      </w:r>
      <w:r>
        <w:rPr>
          <w:rFonts w:hint="eastAsia" w:ascii="宋体" w:hAnsi="宋体" w:cs="宋体"/>
          <w:b w:val="0"/>
          <w:bCs w:val="0"/>
          <w:color w:val="auto"/>
          <w:lang w:val="en-US" w:eastAsia="zh-CN"/>
        </w:rPr>
        <w:t>2%联苯菊酯</w:t>
      </w:r>
      <w:r>
        <w:rPr>
          <w:rFonts w:hint="eastAsia" w:ascii="宋体" w:hAnsi="宋体" w:cs="宋体"/>
          <w:b w:val="0"/>
          <w:bCs w:val="0"/>
          <w:color w:val="auto"/>
          <w:vertAlign w:val="baseline"/>
          <w:lang w:val="en-US" w:eastAsia="zh-CN"/>
        </w:rPr>
        <w:t>3kg</w:t>
      </w:r>
      <w:r>
        <w:rPr>
          <w:rFonts w:hint="eastAsia" w:ascii="华文仿宋" w:hAnsi="华文仿宋" w:eastAsia="华文仿宋" w:cs="华文仿宋"/>
          <w:b w:val="0"/>
          <w:bCs w:val="0"/>
          <w:color w:val="auto"/>
          <w:lang w:val="en-US" w:eastAsia="zh-CN"/>
        </w:rPr>
        <w:t>~</w:t>
      </w:r>
      <w:r>
        <w:rPr>
          <w:rFonts w:hint="eastAsia" w:ascii="宋体" w:hAnsi="宋体" w:cs="宋体"/>
          <w:b w:val="0"/>
          <w:bCs w:val="0"/>
          <w:color w:val="auto"/>
          <w:vertAlign w:val="baseline"/>
          <w:lang w:val="en-US" w:eastAsia="zh-CN"/>
        </w:rPr>
        <w:t>5kg</w:t>
      </w:r>
      <w:r>
        <w:rPr>
          <w:rFonts w:hint="eastAsia" w:ascii="宋体" w:hAnsi="宋体" w:cs="宋体"/>
          <w:b w:val="0"/>
          <w:bCs w:val="0"/>
          <w:color w:val="auto"/>
          <w:lang w:val="en-US" w:eastAsia="zh-CN"/>
        </w:rPr>
        <w:t>防治地老虎</w:t>
      </w:r>
      <w:r>
        <w:rPr>
          <w:rFonts w:hint="default" w:ascii="宋体" w:hAnsi="宋体" w:cs="宋体"/>
          <w:b w:val="0"/>
          <w:bCs w:val="0"/>
          <w:color w:val="auto"/>
          <w:lang w:val="en-US" w:eastAsia="zh-CN"/>
        </w:rPr>
        <w:t>、蛴螬等地下害虫</w:t>
      </w:r>
      <w:r>
        <w:rPr>
          <w:rFonts w:hint="eastAsia" w:ascii="宋体" w:hAnsi="宋体" w:cs="宋体"/>
          <w:b w:val="0"/>
          <w:bCs w:val="0"/>
          <w:color w:val="auto"/>
          <w:lang w:val="en-US" w:eastAsia="zh-CN"/>
        </w:rPr>
        <w:t>，</w:t>
      </w:r>
      <w:r>
        <w:rPr>
          <w:rFonts w:hint="default" w:ascii="宋体" w:hAnsi="宋体" w:cs="宋体"/>
          <w:b w:val="0"/>
          <w:bCs w:val="0"/>
          <w:color w:val="auto"/>
          <w:lang w:val="en-US" w:eastAsia="zh-CN"/>
        </w:rPr>
        <w:t>再盖地膜；大棚栽培则施药后</w:t>
      </w:r>
      <w:r>
        <w:rPr>
          <w:rFonts w:hint="eastAsia" w:ascii="宋体" w:hAnsi="宋体" w:cs="宋体"/>
          <w:b w:val="0"/>
          <w:bCs w:val="0"/>
          <w:color w:val="auto"/>
          <w:lang w:val="en-US" w:eastAsia="zh-CN"/>
        </w:rPr>
        <w:t xml:space="preserve">封严棚门 </w:t>
      </w:r>
      <w:r>
        <w:rPr>
          <w:rFonts w:hint="default" w:ascii="宋体" w:hAnsi="宋体" w:cs="宋体"/>
          <w:b w:val="0"/>
          <w:bCs w:val="0"/>
          <w:color w:val="auto"/>
          <w:lang w:val="en-US" w:eastAsia="zh-CN"/>
        </w:rPr>
        <w:t>2</w:t>
      </w:r>
      <w:r>
        <w:rPr>
          <w:rFonts w:hint="eastAsia" w:ascii="宋体" w:hAnsi="宋体" w:cs="宋体"/>
          <w:b w:val="0"/>
          <w:bCs w:val="0"/>
          <w:color w:val="auto"/>
          <w:lang w:val="en-US" w:eastAsia="zh-CN"/>
        </w:rPr>
        <w:t xml:space="preserve"> d</w:t>
      </w:r>
      <w:r>
        <w:rPr>
          <w:rFonts w:hint="default" w:ascii="宋体" w:hAnsi="宋体" w:cs="宋体"/>
          <w:b w:val="0"/>
          <w:bCs w:val="0"/>
          <w:color w:val="auto"/>
          <w:lang w:val="en-US" w:eastAsia="zh-CN"/>
        </w:rPr>
        <w:t>，有效杀灭地上、地下害虫。</w:t>
      </w:r>
      <w:r>
        <w:rPr>
          <w:rFonts w:hint="eastAsia" w:ascii="宋体" w:hAnsi="宋体" w:cs="宋体"/>
          <w:b w:val="0"/>
          <w:bCs w:val="0"/>
          <w:color w:val="auto"/>
          <w:lang w:val="en-US" w:eastAsia="zh-CN"/>
        </w:rPr>
        <w:t>推荐覆盖地膜前，畦面安装滴灌带，滴灌带位置以离西兰花秧苗根部 15 cm为宜。</w:t>
      </w:r>
    </w:p>
    <w:p w14:paraId="2CAA5E6B">
      <w:pPr>
        <w:spacing w:before="158" w:beforeLines="50" w:after="158" w:afterLines="50"/>
        <w:rPr>
          <w:rFonts w:hint="eastAsia" w:ascii="黑体" w:hAnsi="黑体" w:eastAsia="黑体"/>
          <w:color w:val="auto"/>
          <w:szCs w:val="21"/>
          <w:lang w:val="en-US" w:eastAsia="zh-CN"/>
        </w:rPr>
      </w:pPr>
      <w:r>
        <w:rPr>
          <w:rFonts w:hint="eastAsia" w:ascii="黑体" w:hAnsi="黑体" w:eastAsia="黑体"/>
          <w:color w:val="auto"/>
          <w:szCs w:val="21"/>
          <w:lang w:val="en-US" w:eastAsia="zh-CN"/>
        </w:rPr>
        <w:t>7.2  定植时间</w:t>
      </w:r>
    </w:p>
    <w:p w14:paraId="3457CE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8" w:beforeLines="50" w:after="158" w:afterLines="50"/>
        <w:ind w:left="0" w:leftChars="0" w:firstLine="420" w:firstLineChars="200"/>
        <w:textAlignment w:val="auto"/>
        <w:rPr>
          <w:rFonts w:hint="default" w:ascii="宋体" w:hAnsi="宋体" w:cs="宋体"/>
          <w:b w:val="0"/>
          <w:bCs w:val="0"/>
          <w:color w:val="auto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auto"/>
          <w:lang w:val="en-US" w:eastAsia="zh-CN"/>
        </w:rPr>
        <w:t>莲座期生长最适温度18 ℃</w:t>
      </w:r>
      <w:r>
        <w:rPr>
          <w:rFonts w:hint="eastAsia" w:ascii="华文仿宋" w:hAnsi="华文仿宋" w:eastAsia="华文仿宋" w:cs="华文仿宋"/>
          <w:color w:val="auto"/>
          <w:lang w:val="en-US" w:eastAsia="zh-CN"/>
        </w:rPr>
        <w:t>~</w:t>
      </w:r>
      <w:r>
        <w:rPr>
          <w:rFonts w:hint="eastAsia" w:ascii="宋体" w:hAnsi="宋体" w:cs="宋体"/>
          <w:b w:val="0"/>
          <w:bCs w:val="0"/>
          <w:color w:val="auto"/>
          <w:lang w:val="en-US" w:eastAsia="zh-CN"/>
        </w:rPr>
        <w:t>22 ℃，花球形成期最适温度为 15 ℃</w:t>
      </w:r>
      <w:r>
        <w:rPr>
          <w:rFonts w:hint="eastAsia" w:ascii="华文仿宋" w:hAnsi="华文仿宋" w:eastAsia="华文仿宋" w:cs="华文仿宋"/>
          <w:color w:val="auto"/>
          <w:lang w:val="en-US" w:eastAsia="zh-CN"/>
        </w:rPr>
        <w:t>~</w:t>
      </w:r>
      <w:r>
        <w:rPr>
          <w:rFonts w:hint="eastAsia" w:ascii="宋体" w:hAnsi="宋体" w:cs="宋体"/>
          <w:b w:val="0"/>
          <w:bCs w:val="0"/>
          <w:color w:val="auto"/>
          <w:lang w:val="en-US" w:eastAsia="zh-CN"/>
        </w:rPr>
        <w:t>18 ℃。生产基地根据当地气候和栽培方式，选择适合西兰花最佳生长温度的定植时间。</w:t>
      </w:r>
    </w:p>
    <w:p w14:paraId="6E7F7EA5">
      <w:pPr>
        <w:spacing w:before="158" w:beforeLines="50" w:after="158" w:afterLines="50"/>
        <w:rPr>
          <w:rFonts w:hint="eastAsia" w:ascii="黑体" w:hAnsi="黑体" w:eastAsia="黑体"/>
          <w:color w:val="auto"/>
          <w:szCs w:val="21"/>
          <w:lang w:val="en-US" w:eastAsia="zh-CN"/>
        </w:rPr>
      </w:pPr>
      <w:r>
        <w:rPr>
          <w:rFonts w:hint="eastAsia" w:ascii="黑体" w:hAnsi="黑体" w:eastAsia="黑体"/>
          <w:color w:val="auto"/>
          <w:szCs w:val="21"/>
          <w:lang w:val="en-US" w:eastAsia="zh-CN"/>
        </w:rPr>
        <w:t>7.3  定植方法</w:t>
      </w:r>
    </w:p>
    <w:p w14:paraId="51480458">
      <w:pPr>
        <w:ind w:firstLine="420" w:firstLineChars="200"/>
        <w:rPr>
          <w:rFonts w:hint="eastAsia" w:ascii="宋体" w:hAnsi="宋体" w:cs="宋体"/>
          <w:color w:val="auto"/>
          <w:lang w:val="en-US" w:eastAsia="zh-CN"/>
        </w:rPr>
      </w:pPr>
      <w:r>
        <w:rPr>
          <w:rFonts w:hint="default" w:ascii="宋体" w:hAnsi="宋体" w:cs="宋体"/>
          <w:color w:val="auto"/>
          <w:lang w:val="en-US" w:eastAsia="zh-CN"/>
        </w:rPr>
        <w:t>根据</w:t>
      </w:r>
      <w:r>
        <w:rPr>
          <w:rFonts w:hint="eastAsia" w:ascii="宋体" w:hAnsi="宋体" w:cs="宋体"/>
          <w:color w:val="auto"/>
          <w:lang w:val="en-US" w:eastAsia="zh-CN"/>
        </w:rPr>
        <w:t>品种、肥力、花球大小等确定适宜的栽植</w:t>
      </w:r>
      <w:r>
        <w:rPr>
          <w:rFonts w:hint="eastAsia" w:ascii="宋体" w:hAnsi="宋体" w:eastAsia="宋体" w:cs="宋体"/>
          <w:color w:val="auto"/>
          <w:kern w:val="2"/>
          <w:sz w:val="21"/>
          <w:szCs w:val="24"/>
          <w:lang w:val="en-US" w:eastAsia="zh-CN" w:bidi="ar-SA"/>
        </w:rPr>
        <w:t>密度</w:t>
      </w:r>
      <w:r>
        <w:rPr>
          <w:rFonts w:hint="eastAsia" w:ascii="宋体" w:hAnsi="宋体" w:cs="宋体"/>
          <w:color w:val="auto"/>
          <w:kern w:val="2"/>
          <w:sz w:val="21"/>
          <w:szCs w:val="24"/>
          <w:lang w:val="en-US" w:eastAsia="zh-CN" w:bidi="ar-SA"/>
        </w:rPr>
        <w:t>。早熟品种一般40 cm×40 cm，</w:t>
      </w:r>
      <w:r>
        <w:rPr>
          <w:rFonts w:hint="default" w:ascii="宋体" w:hAnsi="宋体" w:eastAsia="宋体" w:cs="宋体"/>
          <w:color w:val="auto"/>
          <w:kern w:val="2"/>
          <w:sz w:val="21"/>
          <w:szCs w:val="24"/>
          <w:lang w:val="en-US" w:eastAsia="zh-CN" w:bidi="ar-SA"/>
        </w:rPr>
        <w:t>每</w:t>
      </w:r>
      <w:r>
        <w:rPr>
          <w:rFonts w:hint="eastAsia" w:ascii="宋体" w:hAnsi="宋体" w:cs="宋体"/>
          <w:color w:val="auto"/>
          <w:kern w:val="2"/>
          <w:sz w:val="21"/>
          <w:szCs w:val="24"/>
          <w:lang w:val="en-US" w:eastAsia="zh-CN" w:bidi="ar-SA"/>
        </w:rPr>
        <w:t xml:space="preserve"> </w:t>
      </w:r>
      <w:r>
        <w:rPr>
          <w:rFonts w:hint="default" w:ascii="宋体" w:hAnsi="宋体" w:eastAsia="宋体" w:cs="宋体"/>
          <w:color w:val="auto"/>
          <w:kern w:val="2"/>
          <w:sz w:val="21"/>
          <w:szCs w:val="24"/>
          <w:lang w:val="en-US" w:eastAsia="zh-CN" w:bidi="ar-SA"/>
        </w:rPr>
        <w:t>667 m</w:t>
      </w:r>
      <w:r>
        <w:rPr>
          <w:rFonts w:hint="default" w:ascii="宋体" w:hAnsi="宋体" w:eastAsia="宋体" w:cs="宋体"/>
          <w:color w:val="auto"/>
          <w:kern w:val="2"/>
          <w:sz w:val="21"/>
          <w:szCs w:val="24"/>
          <w:vertAlign w:val="superscript"/>
          <w:lang w:val="en-US" w:eastAsia="zh-CN" w:bidi="ar-SA"/>
        </w:rPr>
        <w:t>2</w:t>
      </w:r>
      <w:r>
        <w:rPr>
          <w:rFonts w:hint="eastAsia" w:ascii="宋体" w:hAnsi="宋体" w:cs="宋体"/>
          <w:color w:val="auto"/>
          <w:kern w:val="2"/>
          <w:sz w:val="21"/>
          <w:szCs w:val="24"/>
          <w:lang w:val="en-US" w:eastAsia="zh-CN" w:bidi="ar-SA"/>
        </w:rPr>
        <w:t>定植 2500</w:t>
      </w:r>
      <w:r>
        <w:rPr>
          <w:rFonts w:hint="eastAsia" w:ascii="华文仿宋" w:hAnsi="华文仿宋" w:eastAsia="华文仿宋" w:cs="华文仿宋"/>
          <w:color w:val="auto"/>
          <w:kern w:val="2"/>
          <w:sz w:val="21"/>
          <w:szCs w:val="24"/>
          <w:lang w:val="en-US" w:eastAsia="zh-CN" w:bidi="ar-SA"/>
        </w:rPr>
        <w:t>~</w:t>
      </w:r>
      <w:r>
        <w:rPr>
          <w:rFonts w:hint="eastAsia" w:ascii="宋体" w:hAnsi="宋体" w:cs="宋体"/>
          <w:color w:val="auto"/>
          <w:kern w:val="2"/>
          <w:sz w:val="21"/>
          <w:szCs w:val="24"/>
          <w:lang w:val="en-US" w:eastAsia="zh-CN" w:bidi="ar-SA"/>
        </w:rPr>
        <w:t>3000 株；中晚熟品种65cm×</w:t>
      </w:r>
      <w:r>
        <w:rPr>
          <w:rFonts w:hint="eastAsia" w:ascii="宋体" w:hAnsi="宋体" w:cs="宋体"/>
          <w:color w:val="auto"/>
          <w:lang w:val="en-US" w:eastAsia="zh-CN"/>
        </w:rPr>
        <w:t>55</w:t>
      </w:r>
      <w:r>
        <w:rPr>
          <w:rFonts w:hint="default" w:ascii="宋体" w:hAnsi="宋体" w:cs="宋体"/>
          <w:color w:val="auto"/>
          <w:lang w:val="en-US" w:eastAsia="zh-CN"/>
        </w:rPr>
        <w:t>cm,</w:t>
      </w:r>
      <w:r>
        <w:rPr>
          <w:rFonts w:hint="default" w:ascii="宋体" w:hAnsi="宋体" w:eastAsia="宋体" w:cs="宋体"/>
          <w:color w:val="auto"/>
          <w:kern w:val="2"/>
          <w:sz w:val="21"/>
          <w:szCs w:val="24"/>
          <w:lang w:val="en-US" w:eastAsia="zh-CN" w:bidi="ar-SA"/>
        </w:rPr>
        <w:t>每</w:t>
      </w:r>
      <w:r>
        <w:rPr>
          <w:rFonts w:hint="eastAsia" w:ascii="宋体" w:hAnsi="宋体" w:cs="宋体"/>
          <w:color w:val="auto"/>
          <w:kern w:val="2"/>
          <w:sz w:val="21"/>
          <w:szCs w:val="24"/>
          <w:lang w:val="en-US" w:eastAsia="zh-CN" w:bidi="ar-SA"/>
        </w:rPr>
        <w:t xml:space="preserve"> </w:t>
      </w:r>
      <w:r>
        <w:rPr>
          <w:rFonts w:hint="default" w:ascii="宋体" w:hAnsi="宋体" w:eastAsia="宋体" w:cs="宋体"/>
          <w:color w:val="auto"/>
          <w:kern w:val="2"/>
          <w:sz w:val="21"/>
          <w:szCs w:val="24"/>
          <w:lang w:val="en-US" w:eastAsia="zh-CN" w:bidi="ar-SA"/>
        </w:rPr>
        <w:t>667 m</w:t>
      </w:r>
      <w:r>
        <w:rPr>
          <w:rFonts w:hint="default" w:ascii="宋体" w:hAnsi="宋体" w:eastAsia="宋体" w:cs="宋体"/>
          <w:color w:val="auto"/>
          <w:kern w:val="2"/>
          <w:sz w:val="21"/>
          <w:szCs w:val="24"/>
          <w:vertAlign w:val="superscript"/>
          <w:lang w:val="en-US" w:eastAsia="zh-CN" w:bidi="ar-SA"/>
        </w:rPr>
        <w:t>2</w:t>
      </w:r>
      <w:r>
        <w:rPr>
          <w:rFonts w:hint="default" w:ascii="宋体" w:hAnsi="宋体" w:eastAsia="宋体" w:cs="宋体"/>
          <w:color w:val="auto"/>
          <w:kern w:val="2"/>
          <w:sz w:val="21"/>
          <w:szCs w:val="24"/>
          <w:lang w:val="en-US" w:eastAsia="zh-CN" w:bidi="ar-SA"/>
        </w:rPr>
        <w:t>定植</w:t>
      </w:r>
      <w:r>
        <w:rPr>
          <w:rFonts w:hint="eastAsia" w:ascii="宋体" w:hAnsi="宋体" w:cs="宋体"/>
          <w:color w:val="auto"/>
          <w:kern w:val="2"/>
          <w:sz w:val="21"/>
          <w:szCs w:val="24"/>
          <w:lang w:val="en-US" w:eastAsia="zh-CN" w:bidi="ar-SA"/>
        </w:rPr>
        <w:t xml:space="preserve"> 2000</w:t>
      </w:r>
      <w:r>
        <w:rPr>
          <w:rFonts w:hint="eastAsia" w:ascii="华文仿宋" w:hAnsi="华文仿宋" w:eastAsia="华文仿宋" w:cs="华文仿宋"/>
          <w:color w:val="auto"/>
          <w:kern w:val="2"/>
          <w:sz w:val="21"/>
          <w:szCs w:val="24"/>
          <w:lang w:val="en-US" w:eastAsia="zh-CN" w:bidi="ar-SA"/>
        </w:rPr>
        <w:t>~</w:t>
      </w:r>
      <w:r>
        <w:rPr>
          <w:rFonts w:hint="eastAsia" w:ascii="宋体" w:hAnsi="宋体" w:cs="宋体"/>
          <w:color w:val="auto"/>
          <w:kern w:val="2"/>
          <w:sz w:val="21"/>
          <w:szCs w:val="24"/>
          <w:lang w:val="en-US" w:eastAsia="zh-CN" w:bidi="ar-SA"/>
        </w:rPr>
        <w:t xml:space="preserve">2500 </w:t>
      </w:r>
      <w:r>
        <w:rPr>
          <w:rFonts w:hint="default" w:ascii="宋体" w:hAnsi="宋体" w:eastAsia="宋体" w:cs="宋体"/>
          <w:color w:val="auto"/>
          <w:kern w:val="2"/>
          <w:sz w:val="21"/>
          <w:szCs w:val="24"/>
          <w:lang w:val="en-US" w:eastAsia="zh-CN" w:bidi="ar-SA"/>
        </w:rPr>
        <w:t>株。</w:t>
      </w:r>
      <w:r>
        <w:rPr>
          <w:rFonts w:hint="eastAsia" w:ascii="宋体" w:hAnsi="宋体" w:cs="宋体"/>
          <w:color w:val="auto"/>
          <w:kern w:val="2"/>
          <w:sz w:val="21"/>
          <w:szCs w:val="24"/>
          <w:lang w:val="en-US" w:eastAsia="zh-CN" w:bidi="ar-SA"/>
        </w:rPr>
        <w:t>选择壮苗，</w:t>
      </w:r>
      <w:r>
        <w:rPr>
          <w:rFonts w:hint="eastAsia" w:ascii="宋体" w:hAnsi="宋体" w:eastAsia="宋体" w:cs="宋体"/>
          <w:color w:val="auto"/>
          <w:kern w:val="2"/>
          <w:sz w:val="21"/>
          <w:szCs w:val="24"/>
          <w:lang w:val="en-US" w:eastAsia="zh-CN" w:bidi="ar-SA"/>
        </w:rPr>
        <w:t>尽量带土移栽，</w:t>
      </w:r>
      <w:r>
        <w:rPr>
          <w:rFonts w:hint="eastAsia" w:ascii="宋体" w:hAnsi="宋体" w:cs="宋体"/>
          <w:color w:val="auto"/>
          <w:kern w:val="2"/>
          <w:sz w:val="21"/>
          <w:szCs w:val="24"/>
          <w:lang w:val="en-US" w:eastAsia="zh-CN" w:bidi="ar-SA"/>
        </w:rPr>
        <w:t>在晴天</w:t>
      </w:r>
      <w:r>
        <w:rPr>
          <w:rFonts w:hint="eastAsia" w:ascii="宋体" w:hAnsi="宋体" w:eastAsia="宋体" w:cs="宋体"/>
          <w:color w:val="auto"/>
          <w:kern w:val="2"/>
          <w:sz w:val="21"/>
          <w:szCs w:val="24"/>
          <w:lang w:val="en-US" w:eastAsia="zh-CN" w:bidi="ar-SA"/>
        </w:rPr>
        <w:t>傍晚或阴天移栽。</w:t>
      </w:r>
    </w:p>
    <w:p w14:paraId="5FCE20DF">
      <w:pPr>
        <w:spacing w:before="283" w:after="317" w:afterLines="100"/>
        <w:rPr>
          <w:rFonts w:hint="eastAsia" w:ascii="黑体" w:hAnsi="黑体" w:eastAsia="黑体"/>
          <w:color w:val="auto"/>
          <w:szCs w:val="21"/>
          <w:lang w:val="en-US" w:eastAsia="zh-CN"/>
        </w:rPr>
      </w:pPr>
      <w:r>
        <w:rPr>
          <w:rFonts w:hint="eastAsia" w:ascii="黑体" w:hAnsi="黑体" w:eastAsia="黑体"/>
          <w:color w:val="auto"/>
          <w:szCs w:val="21"/>
          <w:lang w:val="en-US" w:eastAsia="zh-CN"/>
        </w:rPr>
        <w:t>8  田间管理</w:t>
      </w:r>
    </w:p>
    <w:p w14:paraId="27202FD8">
      <w:pPr>
        <w:spacing w:before="158" w:beforeLines="50" w:after="158" w:afterLines="50"/>
        <w:rPr>
          <w:rFonts w:hint="eastAsia" w:ascii="黑体" w:hAnsi="黑体" w:eastAsia="黑体"/>
          <w:color w:val="auto"/>
          <w:szCs w:val="21"/>
          <w:lang w:val="en-US" w:eastAsia="zh-CN"/>
        </w:rPr>
      </w:pPr>
      <w:r>
        <w:rPr>
          <w:rFonts w:hint="eastAsia" w:ascii="黑体" w:hAnsi="黑体" w:eastAsia="黑体"/>
          <w:color w:val="auto"/>
          <w:szCs w:val="21"/>
          <w:lang w:val="en-US" w:eastAsia="zh-CN"/>
        </w:rPr>
        <w:t>8.1  水分管理</w:t>
      </w:r>
    </w:p>
    <w:p w14:paraId="11849942">
      <w:pPr>
        <w:pStyle w:val="127"/>
        <w:framePr w:hSpace="0" w:vSpace="0" w:wrap="auto" w:vAnchor="margin" w:hAnchor="text" w:xAlign="left" w:yAlign="inline"/>
        <w:ind w:firstLine="435"/>
        <w:rPr>
          <w:rFonts w:hint="default" w:ascii="宋体" w:hAnsi="宋体" w:cs="宋体"/>
          <w:color w:val="auto"/>
          <w:lang w:val="en-US" w:eastAsia="zh-CN"/>
        </w:rPr>
      </w:pPr>
      <w:r>
        <w:rPr>
          <w:rFonts w:hint="eastAsia" w:ascii="宋体" w:hAnsi="宋体" w:cs="宋体"/>
          <w:color w:val="auto"/>
          <w:lang w:val="en-US" w:eastAsia="zh-CN"/>
        </w:rPr>
        <w:t>定植后当天浇足定根水，莲座期，小水轻浇，保持土壤湿润。花球形成期，小水勤浇。采取前、中、后期分别采用湿润—干湿—湿润的水分管理方法，结合水肥一体化进行灌溉。春季栽培应保持65%～70%的土壤湿度，秋季栽培应保持75%～80%的土壤湿度。高温季节，宜于早晨或傍晚浇水。雨天及时排水，避免田间积水。</w:t>
      </w:r>
      <w:r>
        <w:rPr>
          <w:rFonts w:hint="eastAsia" w:ascii="宋体" w:hAnsi="宋体" w:cs="宋体"/>
          <w:color w:val="auto"/>
        </w:rPr>
        <w:t>采收前 10</w:t>
      </w:r>
      <w:r>
        <w:rPr>
          <w:rFonts w:hint="eastAsia" w:ascii="宋体" w:hAnsi="宋体" w:cs="宋体"/>
          <w:color w:val="auto"/>
          <w:lang w:val="en-US" w:eastAsia="zh-CN"/>
        </w:rPr>
        <w:t xml:space="preserve"> d</w:t>
      </w:r>
      <w:r>
        <w:rPr>
          <w:rFonts w:hint="eastAsia" w:ascii="华文仿宋" w:hAnsi="华文仿宋" w:eastAsia="华文仿宋" w:cs="华文仿宋"/>
          <w:color w:val="auto"/>
        </w:rPr>
        <w:t>~</w:t>
      </w:r>
      <w:r>
        <w:rPr>
          <w:rFonts w:hint="eastAsia" w:ascii="宋体" w:hAnsi="宋体" w:cs="宋体"/>
          <w:color w:val="auto"/>
        </w:rPr>
        <w:t>12 d 无雨，可浇 1 次水以提高产量和品质</w:t>
      </w:r>
      <w:r>
        <w:rPr>
          <w:rFonts w:hint="eastAsia" w:ascii="宋体" w:hAnsi="宋体" w:cs="宋体"/>
          <w:color w:val="auto"/>
          <w:lang w:eastAsia="zh-CN"/>
        </w:rPr>
        <w:t>；</w:t>
      </w:r>
      <w:r>
        <w:rPr>
          <w:rFonts w:hint="eastAsia" w:ascii="宋体" w:hAnsi="宋体" w:cs="宋体"/>
          <w:color w:val="auto"/>
          <w:lang w:val="en-US" w:eastAsia="zh-CN"/>
        </w:rPr>
        <w:t>采收前 7 d</w:t>
      </w:r>
      <w:r>
        <w:rPr>
          <w:rFonts w:hint="eastAsia" w:ascii="华文仿宋" w:hAnsi="华文仿宋" w:eastAsia="华文仿宋" w:cs="华文仿宋"/>
          <w:color w:val="auto"/>
          <w:lang w:val="en-US" w:eastAsia="zh-CN"/>
        </w:rPr>
        <w:t>~</w:t>
      </w:r>
      <w:r>
        <w:rPr>
          <w:rFonts w:hint="eastAsia" w:ascii="宋体" w:hAnsi="宋体" w:cs="宋体"/>
          <w:color w:val="auto"/>
          <w:lang w:val="en-US" w:eastAsia="zh-CN"/>
        </w:rPr>
        <w:t>10 d，停止浇水。</w:t>
      </w:r>
    </w:p>
    <w:p w14:paraId="41BD2D4D">
      <w:pPr>
        <w:spacing w:before="158" w:beforeLines="50" w:after="158" w:afterLines="50"/>
        <w:rPr>
          <w:rFonts w:hint="eastAsia" w:ascii="黑体" w:hAnsi="黑体" w:eastAsia="黑体"/>
          <w:color w:val="auto"/>
          <w:szCs w:val="21"/>
          <w:lang w:val="en-US" w:eastAsia="zh-CN"/>
        </w:rPr>
      </w:pPr>
      <w:r>
        <w:rPr>
          <w:rFonts w:hint="eastAsia" w:ascii="黑体" w:hAnsi="黑体" w:eastAsia="黑体"/>
          <w:color w:val="auto"/>
          <w:szCs w:val="21"/>
          <w:lang w:val="en-US" w:eastAsia="zh-CN"/>
        </w:rPr>
        <w:t>8.2  追肥</w:t>
      </w:r>
    </w:p>
    <w:p w14:paraId="3421CE6B">
      <w:pPr>
        <w:spacing w:before="158" w:beforeLines="50" w:after="158" w:afterLines="50"/>
        <w:rPr>
          <w:rFonts w:hint="default" w:ascii="黑体" w:hAnsi="黑体" w:eastAsia="黑体"/>
          <w:color w:val="auto"/>
          <w:szCs w:val="21"/>
          <w:lang w:val="en-US" w:eastAsia="zh-CN"/>
        </w:rPr>
      </w:pPr>
      <w:r>
        <w:rPr>
          <w:rFonts w:hint="eastAsia" w:ascii="黑体" w:hAnsi="黑体" w:eastAsia="黑体"/>
          <w:color w:val="auto"/>
          <w:szCs w:val="21"/>
          <w:lang w:val="en-US" w:eastAsia="zh-CN"/>
        </w:rPr>
        <w:t>8.2.1  追肥方法</w:t>
      </w:r>
    </w:p>
    <w:p w14:paraId="1EBFD15F">
      <w:pPr>
        <w:pStyle w:val="127"/>
        <w:framePr w:hSpace="0" w:vSpace="0" w:wrap="auto" w:vAnchor="margin" w:hAnchor="text" w:xAlign="left" w:yAlign="inline"/>
        <w:ind w:firstLine="435"/>
        <w:rPr>
          <w:rFonts w:hint="eastAsia" w:ascii="宋体" w:hAnsi="宋体" w:eastAsia="宋体" w:cs="宋体"/>
          <w:color w:val="auto"/>
          <w:u w:val="none"/>
          <w:lang w:eastAsia="zh-CN"/>
        </w:rPr>
      </w:pPr>
      <w:r>
        <w:rPr>
          <w:rFonts w:hint="eastAsia" w:ascii="宋体" w:hAnsi="宋体" w:cs="宋体"/>
          <w:color w:val="auto"/>
          <w:lang w:val="en-US" w:eastAsia="zh-CN"/>
        </w:rPr>
        <w:t>根据土壤肥力及基肥</w:t>
      </w:r>
      <w:r>
        <w:rPr>
          <w:rFonts w:hint="eastAsia" w:ascii="宋体" w:hAnsi="宋体" w:cs="宋体"/>
          <w:color w:val="auto"/>
          <w:u w:val="none"/>
          <w:lang w:val="en-US" w:eastAsia="zh-CN"/>
        </w:rPr>
        <w:t>施用量，选择下述其中一种方式进行追肥，肥料施用应符合</w:t>
      </w:r>
      <w:r>
        <w:rPr>
          <w:rFonts w:hint="eastAsia" w:ascii="宋体" w:hAnsi="宋体" w:cs="宋体"/>
          <w:color w:val="auto"/>
          <w:u w:val="none"/>
        </w:rPr>
        <w:t>NY/T 394</w:t>
      </w:r>
      <w:r>
        <w:rPr>
          <w:rFonts w:hint="eastAsia" w:ascii="宋体" w:hAnsi="宋体" w:cs="宋体"/>
          <w:color w:val="auto"/>
          <w:u w:val="none"/>
          <w:lang w:val="en-US" w:eastAsia="zh-CN"/>
        </w:rPr>
        <w:t>规定</w:t>
      </w:r>
      <w:r>
        <w:rPr>
          <w:rFonts w:hint="eastAsia" w:ascii="宋体" w:hAnsi="宋体" w:cs="宋体"/>
          <w:color w:val="auto"/>
          <w:u w:val="none"/>
          <w:lang w:eastAsia="zh-CN"/>
        </w:rPr>
        <w:t>。</w:t>
      </w:r>
    </w:p>
    <w:p w14:paraId="79A4E6B5">
      <w:pPr>
        <w:pStyle w:val="127"/>
        <w:framePr w:hSpace="0" w:vSpace="0" w:wrap="auto" w:vAnchor="margin" w:hAnchor="text" w:xAlign="left" w:yAlign="inline"/>
        <w:ind w:firstLine="435"/>
        <w:rPr>
          <w:rFonts w:hint="eastAsia" w:ascii="宋体" w:hAnsi="宋体" w:cs="宋体"/>
          <w:color w:val="auto"/>
          <w:u w:val="none"/>
          <w:lang w:val="en-US" w:eastAsia="zh-CN"/>
        </w:rPr>
      </w:pPr>
      <w:r>
        <w:rPr>
          <w:rFonts w:hint="eastAsia" w:ascii="宋体" w:hAnsi="宋体" w:cs="宋体"/>
          <w:color w:val="auto"/>
          <w:u w:val="none"/>
          <w:lang w:val="en-US" w:eastAsia="zh-CN"/>
        </w:rPr>
        <w:t>a）基肥施用不充足时，移栽成活后，每667 m</w:t>
      </w:r>
      <w:r>
        <w:rPr>
          <w:rFonts w:hint="eastAsia" w:ascii="宋体" w:hAnsi="宋体" w:cs="宋体"/>
          <w:color w:val="auto"/>
          <w:u w:val="none"/>
          <w:vertAlign w:val="superscript"/>
          <w:lang w:val="en-US" w:eastAsia="zh-CN"/>
        </w:rPr>
        <w:t>2</w:t>
      </w:r>
      <w:r>
        <w:rPr>
          <w:rFonts w:hint="eastAsia" w:ascii="宋体" w:hAnsi="宋体" w:cs="宋体"/>
          <w:color w:val="auto"/>
          <w:u w:val="none"/>
          <w:vertAlign w:val="baseline"/>
          <w:lang w:val="en-US" w:eastAsia="zh-CN"/>
        </w:rPr>
        <w:t>施</w:t>
      </w:r>
      <w:r>
        <w:rPr>
          <w:rFonts w:hint="eastAsia" w:ascii="宋体" w:hAnsi="宋体" w:cs="宋体"/>
          <w:color w:val="auto"/>
          <w:u w:val="none"/>
          <w:lang w:val="en-US" w:eastAsia="zh-CN"/>
        </w:rPr>
        <w:t>用碳酸氢铵 50 kg、过磷酸钙 25 kg，施后用清水喷洒叶面；7 d后每亩用复合肥 20 kg，中期再用 30 kg复合肥加硼砂 1 kg稀释浇施一次，后期根据作物生长情况，如补施肥料则每667 m</w:t>
      </w:r>
      <w:r>
        <w:rPr>
          <w:rFonts w:hint="eastAsia" w:ascii="宋体" w:hAnsi="宋体" w:cs="宋体"/>
          <w:color w:val="auto"/>
          <w:u w:val="none"/>
          <w:vertAlign w:val="superscript"/>
          <w:lang w:val="en-US" w:eastAsia="zh-CN"/>
        </w:rPr>
        <w:t>2</w:t>
      </w:r>
      <w:r>
        <w:rPr>
          <w:rFonts w:hint="eastAsia" w:ascii="宋体" w:hAnsi="宋体" w:cs="宋体"/>
          <w:color w:val="auto"/>
          <w:u w:val="none"/>
          <w:lang w:val="en-US" w:eastAsia="zh-CN"/>
        </w:rPr>
        <w:t>用秋壮复合肥 10 kg</w:t>
      </w:r>
      <w:r>
        <w:rPr>
          <w:rFonts w:hint="eastAsia" w:ascii="华文仿宋" w:hAnsi="华文仿宋" w:eastAsia="华文仿宋" w:cs="华文仿宋"/>
          <w:color w:val="auto"/>
          <w:u w:val="none"/>
          <w:lang w:val="en-US" w:eastAsia="zh-CN"/>
        </w:rPr>
        <w:t>~</w:t>
      </w:r>
      <w:r>
        <w:rPr>
          <w:rFonts w:hint="eastAsia" w:ascii="宋体" w:hAnsi="宋体" w:cs="宋体"/>
          <w:color w:val="auto"/>
          <w:u w:val="none"/>
          <w:lang w:val="en-US" w:eastAsia="zh-CN"/>
        </w:rPr>
        <w:t>15 kg，施肥方法以前重后轻为原则。</w:t>
      </w:r>
    </w:p>
    <w:p w14:paraId="00EDF3CC">
      <w:pPr>
        <w:pStyle w:val="127"/>
        <w:framePr w:hSpace="0" w:vSpace="0" w:wrap="auto" w:vAnchor="margin" w:hAnchor="text" w:xAlign="left" w:yAlign="inline"/>
        <w:ind w:firstLine="435"/>
        <w:rPr>
          <w:rFonts w:hint="eastAsia" w:ascii="宋体" w:hAnsi="宋体" w:cs="宋体"/>
          <w:color w:val="auto"/>
          <w:u w:val="none"/>
          <w:lang w:val="en-US" w:eastAsia="zh-CN"/>
        </w:rPr>
      </w:pPr>
      <w:r>
        <w:rPr>
          <w:rFonts w:hint="eastAsia" w:ascii="宋体" w:hAnsi="宋体" w:cs="宋体"/>
          <w:color w:val="auto"/>
          <w:u w:val="none"/>
          <w:lang w:val="en-US" w:eastAsia="zh-CN"/>
        </w:rPr>
        <w:t>b）基肥施用充足时，采用“前促发苗，中稳壮实，后攻花球”的施肥技术。活棵后，每667 m</w:t>
      </w:r>
      <w:r>
        <w:rPr>
          <w:rFonts w:hint="eastAsia" w:ascii="宋体" w:hAnsi="宋体" w:cs="宋体"/>
          <w:color w:val="auto"/>
          <w:u w:val="none"/>
          <w:vertAlign w:val="superscript"/>
          <w:lang w:val="en-US" w:eastAsia="zh-CN"/>
        </w:rPr>
        <w:t>2</w:t>
      </w:r>
      <w:r>
        <w:rPr>
          <w:rFonts w:hint="eastAsia" w:ascii="宋体" w:hAnsi="宋体" w:cs="宋体"/>
          <w:color w:val="auto"/>
          <w:u w:val="none"/>
          <w:vertAlign w:val="baseline"/>
          <w:lang w:val="en-US" w:eastAsia="zh-CN"/>
        </w:rPr>
        <w:t>施</w:t>
      </w:r>
      <w:r>
        <w:rPr>
          <w:rFonts w:hint="eastAsia" w:ascii="宋体" w:hAnsi="宋体" w:cs="宋体"/>
          <w:color w:val="auto"/>
          <w:u w:val="none"/>
        </w:rPr>
        <w:t>平衡型腐殖酸水溶肥6 kg，分两次施入，每次 3 kg，每隔 7 d施肥1次；</w:t>
      </w:r>
      <w:r>
        <w:rPr>
          <w:rFonts w:hint="eastAsia" w:ascii="宋体" w:hAnsi="宋体" w:cs="宋体"/>
          <w:color w:val="auto"/>
          <w:u w:val="none"/>
          <w:vertAlign w:val="baseline"/>
          <w:lang w:val="en-US" w:eastAsia="zh-CN"/>
        </w:rPr>
        <w:t>莲座后期至花球形成初期，</w:t>
      </w:r>
      <w:r>
        <w:rPr>
          <w:rFonts w:hint="eastAsia" w:ascii="宋体" w:hAnsi="宋体" w:cs="宋体"/>
          <w:color w:val="auto"/>
          <w:u w:val="none"/>
          <w:lang w:val="en-US" w:eastAsia="zh-CN"/>
        </w:rPr>
        <w:t>每667 m</w:t>
      </w:r>
      <w:r>
        <w:rPr>
          <w:rFonts w:hint="eastAsia" w:ascii="宋体" w:hAnsi="宋体" w:cs="宋体"/>
          <w:color w:val="auto"/>
          <w:u w:val="none"/>
          <w:vertAlign w:val="superscript"/>
          <w:lang w:val="en-US" w:eastAsia="zh-CN"/>
        </w:rPr>
        <w:t>2</w:t>
      </w:r>
      <w:r>
        <w:rPr>
          <w:rFonts w:hint="eastAsia" w:ascii="宋体" w:hAnsi="宋体" w:cs="宋体"/>
          <w:color w:val="auto"/>
          <w:u w:val="none"/>
          <w:vertAlign w:val="baseline"/>
          <w:lang w:val="en-US" w:eastAsia="zh-CN"/>
        </w:rPr>
        <w:t>施</w:t>
      </w:r>
      <w:r>
        <w:rPr>
          <w:rFonts w:hint="eastAsia" w:ascii="宋体" w:hAnsi="宋体" w:cs="宋体"/>
          <w:color w:val="auto"/>
          <w:u w:val="none"/>
          <w:lang w:val="en-US" w:eastAsia="zh-CN"/>
        </w:rPr>
        <w:t>高钾型腐殖酸水溶肥4 kg～5 kg，叶面喷施0.1%硼砂1次。花球形成中期，每亩追施高钾型腐殖酸水溶肥5 kg～7 kg，叶面喷施0.2%硼砂1次。</w:t>
      </w:r>
    </w:p>
    <w:p w14:paraId="11742B65">
      <w:pPr>
        <w:spacing w:before="158" w:beforeLines="50" w:after="158" w:afterLines="50"/>
        <w:rPr>
          <w:rFonts w:hint="default" w:ascii="黑体" w:hAnsi="黑体" w:eastAsia="黑体"/>
          <w:color w:val="auto"/>
          <w:szCs w:val="21"/>
          <w:lang w:val="en-US" w:eastAsia="zh-CN"/>
        </w:rPr>
      </w:pPr>
      <w:r>
        <w:rPr>
          <w:rFonts w:hint="eastAsia" w:ascii="黑体" w:hAnsi="黑体" w:eastAsia="黑体"/>
          <w:color w:val="auto"/>
          <w:szCs w:val="21"/>
          <w:lang w:val="en-US" w:eastAsia="zh-CN"/>
        </w:rPr>
        <w:t>8.2.2  采收前后追肥方式</w:t>
      </w:r>
    </w:p>
    <w:p w14:paraId="5E3E62C2">
      <w:pPr>
        <w:pStyle w:val="127"/>
        <w:framePr w:hSpace="0" w:vSpace="0" w:wrap="auto" w:vAnchor="margin" w:hAnchor="text" w:xAlign="left" w:yAlign="inline"/>
        <w:ind w:firstLine="420" w:firstLineChars="200"/>
        <w:rPr>
          <w:rFonts w:hint="eastAsia" w:ascii="宋体" w:hAnsi="宋体" w:cs="宋体"/>
          <w:color w:val="auto"/>
          <w:lang w:val="en-US" w:eastAsia="zh-CN"/>
        </w:rPr>
      </w:pPr>
      <w:r>
        <w:rPr>
          <w:rFonts w:hint="eastAsia" w:ascii="宋体" w:hAnsi="宋体" w:cs="宋体"/>
          <w:color w:val="auto"/>
          <w:lang w:val="en-US" w:eastAsia="zh-CN"/>
        </w:rPr>
        <w:t>采收前 15 d，停止追肥。主侧花球兼收时，每次采收花球后应及时追施，每 667 m</w:t>
      </w:r>
      <w:r>
        <w:rPr>
          <w:rFonts w:hint="eastAsia" w:ascii="宋体" w:hAnsi="宋体" w:cs="宋体"/>
          <w:color w:val="auto"/>
          <w:vertAlign w:val="superscript"/>
          <w:lang w:val="en-US" w:eastAsia="zh-CN"/>
        </w:rPr>
        <w:t>2</w:t>
      </w:r>
      <w:r>
        <w:rPr>
          <w:rFonts w:hint="eastAsia" w:ascii="宋体" w:hAnsi="宋体" w:cs="宋体"/>
          <w:color w:val="auto"/>
          <w:lang w:val="en-US" w:eastAsia="zh-CN"/>
        </w:rPr>
        <w:t>施入三元复合肥（15-15-15）3 kg～5 kg。</w:t>
      </w:r>
    </w:p>
    <w:p w14:paraId="57513906">
      <w:pPr>
        <w:spacing w:before="158" w:beforeLines="50" w:after="158" w:afterLines="50"/>
        <w:rPr>
          <w:rFonts w:hint="eastAsia" w:ascii="黑体" w:hAnsi="黑体" w:eastAsia="黑体"/>
          <w:color w:val="auto"/>
          <w:szCs w:val="21"/>
          <w:lang w:val="en-US" w:eastAsia="zh-CN"/>
        </w:rPr>
      </w:pPr>
      <w:r>
        <w:rPr>
          <w:rFonts w:hint="eastAsia" w:ascii="黑体" w:hAnsi="黑体" w:eastAsia="黑体"/>
          <w:color w:val="auto"/>
          <w:szCs w:val="21"/>
          <w:lang w:val="en-US" w:eastAsia="zh-CN"/>
        </w:rPr>
        <w:t>8.3  整枝</w:t>
      </w:r>
    </w:p>
    <w:p w14:paraId="451DA661">
      <w:pPr>
        <w:widowControl/>
        <w:spacing w:line="400" w:lineRule="exact"/>
        <w:ind w:firstLine="411" w:firstLineChars="196"/>
        <w:jc w:val="left"/>
        <w:rPr>
          <w:rFonts w:hint="eastAsia" w:ascii="宋体" w:hAnsi="宋体" w:cs="宋体"/>
          <w:color w:val="auto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kern w:val="0"/>
          <w:szCs w:val="21"/>
        </w:rPr>
        <w:t>仅采收主花球时，及时摘除腋芽。主侧花球兼收时，</w:t>
      </w:r>
      <w:r>
        <w:rPr>
          <w:rFonts w:hint="eastAsia" w:asciiTheme="majorEastAsia" w:hAnsiTheme="majorEastAsia" w:eastAsiaTheme="majorEastAsia" w:cstheme="majorEastAsia"/>
          <w:color w:val="auto"/>
        </w:rPr>
        <w:t>选留健壮侧枝</w:t>
      </w:r>
      <w:r>
        <w:rPr>
          <w:rFonts w:hint="eastAsia" w:asciiTheme="majorEastAsia" w:hAnsiTheme="majorEastAsia" w:eastAsiaTheme="majorEastAsia" w:cstheme="majorEastAsia"/>
          <w:color w:val="auto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auto"/>
        </w:rPr>
        <w:t>4～5</w:t>
      </w:r>
      <w:r>
        <w:rPr>
          <w:rFonts w:hint="eastAsia" w:asciiTheme="majorEastAsia" w:hAnsiTheme="majorEastAsia" w:eastAsiaTheme="majorEastAsia" w:cstheme="majorEastAsia"/>
          <w:color w:val="auto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auto"/>
        </w:rPr>
        <w:t>个，其余摘除</w:t>
      </w:r>
      <w:r>
        <w:rPr>
          <w:rFonts w:hint="eastAsia" w:asciiTheme="majorEastAsia" w:hAnsiTheme="majorEastAsia" w:eastAsiaTheme="majorEastAsia" w:cstheme="majorEastAsia"/>
          <w:color w:val="auto"/>
          <w:kern w:val="0"/>
          <w:szCs w:val="21"/>
        </w:rPr>
        <w:t>。及时摘除病叶、老叶。</w:t>
      </w:r>
    </w:p>
    <w:p w14:paraId="33148C7D">
      <w:pPr>
        <w:spacing w:before="158" w:beforeLines="50" w:after="158" w:afterLines="50"/>
        <w:rPr>
          <w:rFonts w:hint="eastAsia" w:ascii="黑体" w:hAnsi="黑体" w:eastAsia="黑体"/>
          <w:color w:val="auto"/>
          <w:szCs w:val="21"/>
          <w:lang w:val="en-US" w:eastAsia="zh-CN"/>
        </w:rPr>
      </w:pPr>
      <w:r>
        <w:rPr>
          <w:rFonts w:hint="eastAsia" w:ascii="黑体" w:hAnsi="黑体" w:eastAsia="黑体"/>
          <w:color w:val="auto"/>
          <w:szCs w:val="21"/>
          <w:lang w:val="en-US" w:eastAsia="zh-CN"/>
        </w:rPr>
        <w:t>8.4  中耕</w:t>
      </w:r>
    </w:p>
    <w:p w14:paraId="5738A67F">
      <w:pPr>
        <w:pStyle w:val="127"/>
        <w:framePr w:hSpace="0" w:vSpace="0" w:wrap="auto" w:vAnchor="margin" w:hAnchor="text" w:xAlign="left" w:yAlign="inline"/>
        <w:ind w:firstLine="435"/>
        <w:rPr>
          <w:rFonts w:hint="eastAsia" w:ascii="宋体" w:hAnsi="宋体" w:cs="宋体"/>
          <w:color w:val="auto"/>
          <w:lang w:val="en-US" w:eastAsia="zh-CN"/>
        </w:rPr>
      </w:pPr>
      <w:r>
        <w:rPr>
          <w:rFonts w:hint="eastAsia" w:ascii="宋体" w:hAnsi="宋体" w:cs="宋体"/>
          <w:color w:val="auto"/>
          <w:lang w:val="en-US" w:eastAsia="zh-CN"/>
        </w:rPr>
        <w:t>成株前期中耕、除草 2次</w:t>
      </w:r>
      <w:r>
        <w:rPr>
          <w:rFonts w:hint="eastAsia" w:ascii="华文仿宋" w:hAnsi="华文仿宋" w:eastAsia="华文仿宋" w:cs="华文仿宋"/>
          <w:color w:val="auto"/>
          <w:lang w:val="en-US" w:eastAsia="zh-CN"/>
        </w:rPr>
        <w:t>~</w:t>
      </w:r>
      <w:r>
        <w:rPr>
          <w:rFonts w:hint="eastAsia" w:ascii="宋体" w:hAnsi="宋体" w:cs="宋体"/>
          <w:color w:val="auto"/>
          <w:lang w:val="en-US" w:eastAsia="zh-CN"/>
        </w:rPr>
        <w:t>3 次,结合中耕进行培土、施肥等。</w:t>
      </w:r>
    </w:p>
    <w:p w14:paraId="3B0593C8">
      <w:pPr>
        <w:spacing w:before="283" w:after="317" w:afterLines="100"/>
        <w:rPr>
          <w:rFonts w:hint="eastAsia" w:ascii="黑体" w:hAnsi="黑体" w:eastAsia="黑体"/>
          <w:color w:val="auto"/>
          <w:szCs w:val="21"/>
          <w:lang w:val="en-US" w:eastAsia="zh-CN"/>
        </w:rPr>
      </w:pPr>
      <w:r>
        <w:rPr>
          <w:rFonts w:hint="eastAsia" w:ascii="黑体" w:hAnsi="黑体" w:eastAsia="黑体"/>
          <w:color w:val="auto"/>
          <w:szCs w:val="21"/>
          <w:lang w:val="en-US" w:eastAsia="zh-CN"/>
        </w:rPr>
        <w:t>9  病虫害防治</w:t>
      </w:r>
    </w:p>
    <w:p w14:paraId="39247488">
      <w:pPr>
        <w:spacing w:before="158" w:beforeLines="50" w:after="158" w:afterLines="50"/>
        <w:rPr>
          <w:rFonts w:hint="eastAsia" w:ascii="黑体" w:hAnsi="黑体" w:eastAsia="黑体"/>
          <w:color w:val="auto"/>
          <w:szCs w:val="21"/>
          <w:lang w:val="en-US" w:eastAsia="zh-CN"/>
        </w:rPr>
      </w:pPr>
      <w:r>
        <w:rPr>
          <w:rFonts w:hint="eastAsia" w:ascii="黑体" w:hAnsi="黑体" w:eastAsia="黑体"/>
          <w:color w:val="auto"/>
          <w:szCs w:val="21"/>
          <w:lang w:val="en-US" w:eastAsia="zh-CN"/>
        </w:rPr>
        <w:t>9.1  综合防治原则</w:t>
      </w:r>
    </w:p>
    <w:p w14:paraId="15EF0411">
      <w:pPr>
        <w:pStyle w:val="127"/>
        <w:framePr w:hSpace="0" w:vSpace="0" w:wrap="auto" w:vAnchor="margin" w:hAnchor="text" w:xAlign="left" w:yAlign="inline"/>
        <w:ind w:firstLine="435"/>
        <w:rPr>
          <w:rFonts w:hint="default" w:ascii="宋体" w:hAnsi="宋体" w:cs="宋体"/>
          <w:color w:val="auto"/>
          <w:lang w:val="en-US" w:eastAsia="zh-CN"/>
        </w:rPr>
      </w:pPr>
      <w:r>
        <w:rPr>
          <w:rFonts w:hint="eastAsia" w:ascii="宋体" w:hAnsi="宋体" w:cs="宋体"/>
          <w:color w:val="auto"/>
          <w:lang w:val="en-US" w:eastAsia="zh-CN"/>
        </w:rPr>
        <w:t>遵循“</w:t>
      </w:r>
      <w:r>
        <w:rPr>
          <w:rFonts w:hint="default" w:ascii="宋体" w:hAnsi="宋体" w:cs="宋体"/>
          <w:color w:val="auto"/>
          <w:lang w:val="en-US" w:eastAsia="zh-CN"/>
        </w:rPr>
        <w:t>预防为主，综合防治</w:t>
      </w:r>
      <w:r>
        <w:rPr>
          <w:rFonts w:hint="eastAsia" w:ascii="宋体" w:hAnsi="宋体" w:cs="宋体"/>
          <w:color w:val="auto"/>
          <w:lang w:val="en-US" w:eastAsia="zh-CN"/>
        </w:rPr>
        <w:t>”植保方针。</w:t>
      </w:r>
      <w:r>
        <w:rPr>
          <w:rFonts w:hint="default" w:ascii="宋体" w:hAnsi="宋体" w:cs="宋体"/>
          <w:color w:val="auto"/>
          <w:lang w:val="en-US" w:eastAsia="zh-CN"/>
        </w:rPr>
        <w:t>以农业防治</w:t>
      </w:r>
      <w:r>
        <w:rPr>
          <w:rFonts w:hint="eastAsia" w:ascii="宋体" w:hAnsi="宋体" w:cs="宋体"/>
          <w:color w:val="auto"/>
          <w:lang w:val="en-US" w:eastAsia="zh-CN"/>
        </w:rPr>
        <w:t>、</w:t>
      </w:r>
      <w:r>
        <w:rPr>
          <w:rFonts w:hint="default" w:ascii="宋体" w:hAnsi="宋体" w:cs="宋体"/>
          <w:color w:val="auto"/>
          <w:lang w:val="en-US" w:eastAsia="zh-CN"/>
        </w:rPr>
        <w:t>物理防治为基础，</w:t>
      </w:r>
      <w:r>
        <w:rPr>
          <w:rFonts w:hint="eastAsia" w:ascii="宋体" w:hAnsi="宋体" w:cs="宋体"/>
          <w:color w:val="auto"/>
          <w:lang w:val="en-US" w:eastAsia="zh-CN"/>
        </w:rPr>
        <w:t>优先采用</w:t>
      </w:r>
      <w:r>
        <w:rPr>
          <w:rFonts w:hint="default" w:ascii="宋体" w:hAnsi="宋体" w:cs="宋体"/>
          <w:color w:val="auto"/>
          <w:lang w:val="en-US" w:eastAsia="zh-CN"/>
        </w:rPr>
        <w:t>生物防治，</w:t>
      </w:r>
      <w:r>
        <w:rPr>
          <w:rFonts w:hint="eastAsia" w:ascii="宋体" w:hAnsi="宋体" w:cs="宋体"/>
          <w:color w:val="auto"/>
          <w:lang w:val="en-US" w:eastAsia="zh-CN"/>
        </w:rPr>
        <w:t>辅之化学防治</w:t>
      </w:r>
      <w:r>
        <w:rPr>
          <w:rFonts w:hint="default" w:ascii="宋体" w:hAnsi="宋体" w:cs="宋体"/>
          <w:color w:val="auto"/>
          <w:lang w:val="en-US" w:eastAsia="zh-CN"/>
        </w:rPr>
        <w:t>。</w:t>
      </w:r>
    </w:p>
    <w:p w14:paraId="2FB23C5B">
      <w:pPr>
        <w:spacing w:before="158" w:beforeLines="50" w:after="158" w:afterLines="50"/>
        <w:rPr>
          <w:rFonts w:hint="default" w:ascii="黑体" w:hAnsi="黑体" w:eastAsia="黑体"/>
          <w:color w:val="auto"/>
          <w:szCs w:val="21"/>
          <w:lang w:val="en-US" w:eastAsia="zh-CN"/>
        </w:rPr>
      </w:pPr>
      <w:r>
        <w:rPr>
          <w:rFonts w:hint="eastAsia" w:ascii="黑体" w:hAnsi="黑体" w:eastAsia="黑体"/>
          <w:color w:val="auto"/>
          <w:szCs w:val="21"/>
          <w:lang w:val="en-US" w:eastAsia="zh-CN"/>
        </w:rPr>
        <w:t xml:space="preserve">9.2  </w:t>
      </w:r>
      <w:r>
        <w:rPr>
          <w:rFonts w:hint="default" w:ascii="黑体" w:hAnsi="黑体" w:eastAsia="黑体"/>
          <w:color w:val="auto"/>
          <w:szCs w:val="21"/>
          <w:lang w:val="en-US" w:eastAsia="zh-CN"/>
        </w:rPr>
        <w:t>防治对象</w:t>
      </w:r>
    </w:p>
    <w:p w14:paraId="02291581">
      <w:pPr>
        <w:widowControl/>
        <w:spacing w:before="0" w:beforeLines="-2147483648" w:after="0" w:afterLines="-2147483648"/>
        <w:ind w:firstLine="420" w:firstLineChars="200"/>
        <w:jc w:val="left"/>
        <w:rPr>
          <w:rFonts w:hint="eastAsia" w:ascii="宋体" w:hAnsi="宋体" w:eastAsia="宋体" w:cs="宋体"/>
          <w:i w:val="0"/>
          <w:caps w:val="0"/>
          <w:color w:val="auto"/>
          <w:spacing w:val="0"/>
          <w:kern w:val="2"/>
          <w:sz w:val="21"/>
          <w:szCs w:val="24"/>
          <w:shd w:val="clear" w:fill="auto"/>
          <w:lang w:val="en-US" w:eastAsia="zh-CN" w:bidi="ar-SA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0"/>
          <w:kern w:val="2"/>
          <w:sz w:val="21"/>
          <w:szCs w:val="24"/>
          <w:shd w:val="clear" w:fill="auto"/>
          <w:lang w:val="en-US" w:eastAsia="zh-CN" w:bidi="ar-SA"/>
        </w:rPr>
        <w:t>主要病害</w:t>
      </w:r>
      <w:r>
        <w:rPr>
          <w:rFonts w:hint="eastAsia" w:ascii="宋体" w:hAnsi="宋体" w:cs="宋体"/>
          <w:i w:val="0"/>
          <w:caps w:val="0"/>
          <w:color w:val="auto"/>
          <w:spacing w:val="0"/>
          <w:kern w:val="2"/>
          <w:sz w:val="21"/>
          <w:szCs w:val="24"/>
          <w:shd w:val="clear" w:fill="auto"/>
          <w:lang w:val="en-US" w:eastAsia="zh-CN" w:bidi="ar-SA"/>
        </w:rPr>
        <w:t>有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kern w:val="2"/>
          <w:sz w:val="21"/>
          <w:szCs w:val="24"/>
          <w:shd w:val="clear" w:fill="auto"/>
          <w:lang w:val="en-US" w:eastAsia="zh-CN" w:bidi="ar-SA"/>
        </w:rPr>
        <w:t>猝倒病、立枯病、黑腐病、霜霉病</w:t>
      </w:r>
      <w:r>
        <w:rPr>
          <w:rFonts w:hint="eastAsia" w:ascii="宋体" w:hAnsi="宋体" w:cs="宋体"/>
          <w:i w:val="0"/>
          <w:caps w:val="0"/>
          <w:color w:val="auto"/>
          <w:spacing w:val="0"/>
          <w:kern w:val="2"/>
          <w:sz w:val="21"/>
          <w:szCs w:val="24"/>
          <w:shd w:val="clear" w:fill="auto"/>
          <w:lang w:val="en-US" w:eastAsia="zh-CN" w:bidi="ar-SA"/>
        </w:rPr>
        <w:t>、软腐病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kern w:val="2"/>
          <w:sz w:val="21"/>
          <w:szCs w:val="24"/>
          <w:shd w:val="clear" w:fill="auto"/>
          <w:lang w:val="en-US" w:eastAsia="zh-CN" w:bidi="ar-SA"/>
        </w:rPr>
        <w:t>等；主要虫害</w:t>
      </w:r>
      <w:r>
        <w:rPr>
          <w:rFonts w:hint="eastAsia" w:ascii="宋体" w:hAnsi="宋体" w:cs="宋体"/>
          <w:i w:val="0"/>
          <w:caps w:val="0"/>
          <w:color w:val="auto"/>
          <w:spacing w:val="0"/>
          <w:kern w:val="2"/>
          <w:sz w:val="21"/>
          <w:szCs w:val="24"/>
          <w:shd w:val="clear"/>
          <w:lang w:val="en-US" w:eastAsia="zh-CN" w:bidi="ar-SA"/>
        </w:rPr>
        <w:t>有潜叶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kern w:val="2"/>
          <w:sz w:val="21"/>
          <w:szCs w:val="24"/>
          <w:shd w:val="clear" w:fill="auto"/>
          <w:lang w:val="en-US" w:eastAsia="zh-CN" w:bidi="ar-SA"/>
        </w:rPr>
        <w:t>蝇、</w:t>
      </w:r>
      <w:r>
        <w:rPr>
          <w:rFonts w:hint="eastAsia" w:ascii="宋体" w:hAnsi="宋体" w:cs="宋体"/>
          <w:i w:val="0"/>
          <w:caps w:val="0"/>
          <w:color w:val="auto"/>
          <w:spacing w:val="0"/>
          <w:kern w:val="2"/>
          <w:sz w:val="21"/>
          <w:szCs w:val="24"/>
          <w:shd w:val="clear" w:fill="auto"/>
          <w:lang w:val="en-US" w:eastAsia="zh-CN" w:bidi="ar-SA"/>
        </w:rPr>
        <w:t>蚜虫、菜青虫、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kern w:val="2"/>
          <w:sz w:val="21"/>
          <w:szCs w:val="24"/>
          <w:shd w:val="clear" w:fill="auto"/>
          <w:lang w:val="en-US" w:eastAsia="zh-CN" w:bidi="ar-SA"/>
        </w:rPr>
        <w:t>小菜蛾、甜菜夜蛾、跳甲等。</w:t>
      </w:r>
    </w:p>
    <w:p w14:paraId="70BBA0AC">
      <w:pPr>
        <w:widowControl/>
        <w:spacing w:before="158" w:beforeLines="50" w:after="158" w:afterLines="50"/>
        <w:ind w:firstLine="0" w:firstLineChars="0"/>
        <w:jc w:val="left"/>
        <w:rPr>
          <w:rFonts w:hint="default" w:ascii="黑体" w:hAnsi="黑体" w:eastAsia="黑体"/>
          <w:color w:val="auto"/>
          <w:szCs w:val="21"/>
          <w:lang w:val="en-US" w:eastAsia="zh-CN"/>
        </w:rPr>
      </w:pPr>
      <w:r>
        <w:rPr>
          <w:rFonts w:hint="eastAsia" w:ascii="黑体" w:hAnsi="黑体" w:eastAsia="黑体"/>
          <w:color w:val="auto"/>
          <w:szCs w:val="21"/>
          <w:lang w:val="en-US" w:eastAsia="zh-CN"/>
        </w:rPr>
        <w:t>9.3  农业防治</w:t>
      </w:r>
    </w:p>
    <w:p w14:paraId="756AC3D4">
      <w:pPr>
        <w:pStyle w:val="127"/>
        <w:framePr w:hSpace="0" w:vSpace="0" w:wrap="auto" w:vAnchor="margin" w:hAnchor="text" w:xAlign="left" w:yAlign="inline"/>
        <w:ind w:firstLine="420" w:firstLineChars="200"/>
        <w:rPr>
          <w:rFonts w:hint="default" w:ascii="宋体" w:hAnsi="宋体" w:cs="宋体"/>
          <w:color w:val="auto"/>
          <w:lang w:val="en-US" w:eastAsia="zh-CN"/>
        </w:rPr>
      </w:pPr>
      <w:r>
        <w:rPr>
          <w:rFonts w:hint="default" w:ascii="宋体" w:hAnsi="宋体" w:cs="宋体"/>
          <w:color w:val="auto"/>
          <w:lang w:val="en-US" w:eastAsia="zh-CN"/>
        </w:rPr>
        <w:t>因地制宜选用抗</w:t>
      </w:r>
      <w:r>
        <w:rPr>
          <w:rFonts w:hint="eastAsia" w:ascii="宋体" w:hAnsi="宋体" w:cs="宋体"/>
          <w:color w:val="auto"/>
          <w:lang w:val="en-US" w:eastAsia="zh-CN"/>
        </w:rPr>
        <w:t>（</w:t>
      </w:r>
      <w:r>
        <w:rPr>
          <w:rFonts w:hint="default" w:ascii="宋体" w:hAnsi="宋体" w:cs="宋体"/>
          <w:color w:val="auto"/>
          <w:lang w:val="en-US" w:eastAsia="zh-CN"/>
        </w:rPr>
        <w:t>耐</w:t>
      </w:r>
      <w:r>
        <w:rPr>
          <w:rFonts w:hint="eastAsia" w:ascii="宋体" w:hAnsi="宋体" w:cs="宋体"/>
          <w:color w:val="auto"/>
          <w:lang w:val="en-US" w:eastAsia="zh-CN"/>
        </w:rPr>
        <w:t>）</w:t>
      </w:r>
      <w:r>
        <w:rPr>
          <w:rFonts w:hint="default" w:ascii="宋体" w:hAnsi="宋体" w:cs="宋体"/>
          <w:color w:val="auto"/>
          <w:lang w:val="en-US" w:eastAsia="zh-CN"/>
        </w:rPr>
        <w:t>病优良品种</w:t>
      </w:r>
      <w:r>
        <w:rPr>
          <w:rFonts w:hint="eastAsia" w:ascii="宋体" w:hAnsi="宋体" w:cs="宋体"/>
          <w:color w:val="auto"/>
          <w:lang w:val="en-US" w:eastAsia="zh-CN"/>
        </w:rPr>
        <w:t>，</w:t>
      </w:r>
      <w:r>
        <w:rPr>
          <w:rFonts w:hint="default" w:ascii="宋体" w:hAnsi="宋体" w:cs="宋体"/>
          <w:color w:val="auto"/>
          <w:lang w:val="en-US" w:eastAsia="zh-CN"/>
        </w:rPr>
        <w:t>培育无病虫害壮苗</w:t>
      </w:r>
      <w:r>
        <w:rPr>
          <w:rFonts w:hint="eastAsia" w:ascii="宋体" w:hAnsi="宋体" w:cs="宋体"/>
          <w:color w:val="auto"/>
          <w:lang w:val="en-US" w:eastAsia="zh-CN"/>
        </w:rPr>
        <w:t>，</w:t>
      </w:r>
      <w:r>
        <w:rPr>
          <w:rFonts w:hint="default" w:ascii="宋体" w:hAnsi="宋体" w:cs="宋体"/>
          <w:color w:val="auto"/>
          <w:lang w:val="en-US" w:eastAsia="zh-CN"/>
        </w:rPr>
        <w:t>播种前种子应进行消毒处理。合理布局</w:t>
      </w:r>
      <w:r>
        <w:rPr>
          <w:rFonts w:hint="eastAsia" w:ascii="宋体" w:hAnsi="宋体" w:cs="宋体"/>
          <w:color w:val="auto"/>
          <w:lang w:val="en-US" w:eastAsia="zh-CN"/>
        </w:rPr>
        <w:t>，</w:t>
      </w:r>
      <w:r>
        <w:rPr>
          <w:rFonts w:hint="default" w:ascii="宋体" w:hAnsi="宋体" w:cs="宋体"/>
          <w:color w:val="auto"/>
          <w:lang w:val="en-US" w:eastAsia="zh-CN"/>
        </w:rPr>
        <w:t>实行轮作倒茬</w:t>
      </w:r>
      <w:r>
        <w:rPr>
          <w:rFonts w:hint="eastAsia" w:ascii="宋体" w:hAnsi="宋体" w:cs="宋体"/>
          <w:color w:val="auto"/>
          <w:lang w:val="en-US" w:eastAsia="zh-CN"/>
        </w:rPr>
        <w:t>。</w:t>
      </w:r>
      <w:r>
        <w:rPr>
          <w:rFonts w:hint="default" w:ascii="宋体" w:hAnsi="宋体" w:cs="宋体"/>
          <w:color w:val="auto"/>
          <w:lang w:val="en-US" w:eastAsia="zh-CN"/>
        </w:rPr>
        <w:t>精耕细作、清洁田园</w:t>
      </w:r>
      <w:r>
        <w:rPr>
          <w:rFonts w:hint="eastAsia" w:ascii="宋体" w:hAnsi="宋体" w:cs="宋体"/>
          <w:color w:val="auto"/>
          <w:lang w:val="en-US" w:eastAsia="zh-CN"/>
        </w:rPr>
        <w:t>，</w:t>
      </w:r>
      <w:r>
        <w:rPr>
          <w:rFonts w:hint="default" w:ascii="宋体" w:hAnsi="宋体" w:cs="宋体"/>
          <w:color w:val="auto"/>
          <w:lang w:val="en-US" w:eastAsia="zh-CN"/>
        </w:rPr>
        <w:t>定植前 10</w:t>
      </w:r>
      <w:r>
        <w:rPr>
          <w:rFonts w:hint="eastAsia" w:ascii="宋体" w:hAnsi="宋体" w:cs="宋体"/>
          <w:color w:val="auto"/>
          <w:lang w:val="en-US" w:eastAsia="zh-CN"/>
        </w:rPr>
        <w:t xml:space="preserve"> </w:t>
      </w:r>
      <w:r>
        <w:rPr>
          <w:rFonts w:hint="default" w:ascii="宋体" w:hAnsi="宋体" w:cs="宋体"/>
          <w:color w:val="auto"/>
          <w:lang w:val="en-US" w:eastAsia="zh-CN"/>
        </w:rPr>
        <w:t>d</w:t>
      </w:r>
      <w:r>
        <w:rPr>
          <w:rFonts w:hint="eastAsia" w:ascii="华文仿宋" w:hAnsi="华文仿宋" w:eastAsia="华文仿宋" w:cs="华文仿宋"/>
          <w:color w:val="auto"/>
          <w:lang w:val="en-US" w:eastAsia="zh-CN"/>
        </w:rPr>
        <w:t>~</w:t>
      </w:r>
      <w:r>
        <w:rPr>
          <w:rFonts w:hint="default" w:ascii="宋体" w:hAnsi="宋体" w:cs="宋体"/>
          <w:color w:val="auto"/>
          <w:lang w:val="en-US" w:eastAsia="zh-CN"/>
        </w:rPr>
        <w:t>15</w:t>
      </w:r>
      <w:r>
        <w:rPr>
          <w:rFonts w:hint="eastAsia" w:ascii="宋体" w:hAnsi="宋体" w:cs="宋体"/>
          <w:color w:val="auto"/>
          <w:lang w:val="en-US" w:eastAsia="zh-CN"/>
        </w:rPr>
        <w:t xml:space="preserve"> </w:t>
      </w:r>
      <w:r>
        <w:rPr>
          <w:rFonts w:hint="default" w:ascii="宋体" w:hAnsi="宋体" w:cs="宋体"/>
          <w:color w:val="auto"/>
          <w:lang w:val="en-US" w:eastAsia="zh-CN"/>
        </w:rPr>
        <w:t>d 清理田间残茬并进行土壤深翻。及时做好中耕除草</w:t>
      </w:r>
      <w:r>
        <w:rPr>
          <w:rFonts w:hint="eastAsia" w:ascii="宋体" w:hAnsi="宋体" w:cs="宋体"/>
          <w:color w:val="auto"/>
          <w:lang w:val="en-US" w:eastAsia="zh-CN"/>
        </w:rPr>
        <w:t>，</w:t>
      </w:r>
      <w:r>
        <w:rPr>
          <w:rFonts w:hint="default" w:ascii="宋体" w:hAnsi="宋体" w:cs="宋体"/>
          <w:color w:val="auto"/>
          <w:lang w:val="en-US" w:eastAsia="zh-CN"/>
        </w:rPr>
        <w:t>培土和施肥。</w:t>
      </w:r>
    </w:p>
    <w:p w14:paraId="45299087">
      <w:pPr>
        <w:spacing w:before="158" w:beforeLines="50" w:after="158" w:afterLines="50"/>
        <w:rPr>
          <w:rFonts w:hint="eastAsia" w:ascii="黑体" w:hAnsi="黑体" w:eastAsia="黑体"/>
          <w:color w:val="auto"/>
          <w:szCs w:val="21"/>
          <w:lang w:val="en-US" w:eastAsia="zh-CN"/>
        </w:rPr>
      </w:pPr>
      <w:r>
        <w:rPr>
          <w:rFonts w:hint="eastAsia" w:ascii="黑体" w:hAnsi="黑体" w:eastAsia="黑体"/>
          <w:color w:val="auto"/>
          <w:szCs w:val="21"/>
          <w:lang w:val="en-US" w:eastAsia="zh-CN"/>
        </w:rPr>
        <w:t>9.4  物理防治</w:t>
      </w:r>
    </w:p>
    <w:p w14:paraId="156168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/>
        <w:textAlignment w:val="auto"/>
        <w:rPr>
          <w:rFonts w:hint="eastAsia" w:ascii="宋体" w:hAnsi="宋体" w:eastAsia="宋体" w:cs="宋体"/>
          <w:color w:val="auto"/>
          <w:kern w:val="2"/>
          <w:sz w:val="21"/>
          <w:szCs w:val="24"/>
          <w:lang w:val="en-US" w:eastAsia="zh-CN" w:bidi="ar-SA"/>
        </w:rPr>
      </w:pPr>
      <w:r>
        <w:rPr>
          <w:rFonts w:hint="eastAsia" w:ascii="黑体" w:hAnsi="黑体" w:eastAsia="黑体" w:cs="Times New Roman"/>
          <w:color w:val="auto"/>
          <w:kern w:val="2"/>
          <w:sz w:val="21"/>
          <w:szCs w:val="21"/>
          <w:lang w:val="en-US" w:eastAsia="zh-CN" w:bidi="ar-SA"/>
        </w:rPr>
        <w:t>9.4.1</w:t>
      </w:r>
      <w:r>
        <w:rPr>
          <w:rFonts w:hint="eastAsia" w:ascii="宋体" w:hAnsi="宋体" w:eastAsia="宋体" w:cs="宋体"/>
          <w:color w:val="auto"/>
          <w:kern w:val="2"/>
          <w:sz w:val="21"/>
          <w:szCs w:val="24"/>
          <w:lang w:val="en-US" w:eastAsia="zh-CN" w:bidi="ar-SA"/>
        </w:rPr>
        <w:t xml:space="preserve">  选择规格长</w:t>
      </w:r>
      <w:r>
        <w:rPr>
          <w:rFonts w:hint="eastAsia" w:ascii="宋体" w:hAnsi="宋体" w:cs="宋体"/>
          <w:color w:val="auto"/>
          <w:kern w:val="2"/>
          <w:sz w:val="21"/>
          <w:szCs w:val="24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color w:val="auto"/>
          <w:kern w:val="2"/>
          <w:sz w:val="21"/>
          <w:szCs w:val="24"/>
          <w:lang w:val="en-US" w:eastAsia="zh-CN" w:bidi="ar-SA"/>
        </w:rPr>
        <w:t>40</w:t>
      </w:r>
      <w:r>
        <w:rPr>
          <w:rFonts w:hint="eastAsia" w:ascii="宋体" w:hAnsi="宋体" w:cs="宋体"/>
          <w:color w:val="auto"/>
          <w:kern w:val="2"/>
          <w:sz w:val="21"/>
          <w:szCs w:val="24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color w:val="auto"/>
          <w:kern w:val="2"/>
          <w:sz w:val="21"/>
          <w:szCs w:val="24"/>
          <w:lang w:val="en-US" w:eastAsia="zh-CN" w:bidi="ar-SA"/>
        </w:rPr>
        <w:t>cm、宽</w:t>
      </w:r>
      <w:r>
        <w:rPr>
          <w:rFonts w:hint="eastAsia" w:ascii="宋体" w:hAnsi="宋体" w:cs="宋体"/>
          <w:color w:val="auto"/>
          <w:kern w:val="2"/>
          <w:sz w:val="21"/>
          <w:szCs w:val="24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color w:val="auto"/>
          <w:kern w:val="2"/>
          <w:sz w:val="21"/>
          <w:szCs w:val="24"/>
          <w:lang w:val="en-US" w:eastAsia="zh-CN" w:bidi="ar-SA"/>
        </w:rPr>
        <w:t>25</w:t>
      </w:r>
      <w:r>
        <w:rPr>
          <w:rFonts w:hint="eastAsia" w:ascii="宋体" w:hAnsi="宋体" w:cs="宋体"/>
          <w:color w:val="auto"/>
          <w:kern w:val="2"/>
          <w:sz w:val="21"/>
          <w:szCs w:val="24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color w:val="auto"/>
          <w:kern w:val="2"/>
          <w:sz w:val="21"/>
          <w:szCs w:val="24"/>
          <w:lang w:val="en-US" w:eastAsia="zh-CN" w:bidi="ar-SA"/>
        </w:rPr>
        <w:t>cm的黄色粘虫板，在田间高于植株顶部</w:t>
      </w:r>
      <w:r>
        <w:rPr>
          <w:rFonts w:hint="eastAsia" w:ascii="宋体" w:hAnsi="宋体" w:cs="宋体"/>
          <w:color w:val="auto"/>
          <w:kern w:val="2"/>
          <w:sz w:val="21"/>
          <w:szCs w:val="24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color w:val="auto"/>
          <w:kern w:val="2"/>
          <w:sz w:val="21"/>
          <w:szCs w:val="24"/>
          <w:lang w:val="en-US" w:eastAsia="zh-CN" w:bidi="ar-SA"/>
        </w:rPr>
        <w:t>15</w:t>
      </w:r>
      <w:r>
        <w:rPr>
          <w:rFonts w:hint="eastAsia" w:ascii="宋体" w:hAnsi="宋体" w:cs="宋体"/>
          <w:color w:val="auto"/>
          <w:kern w:val="2"/>
          <w:sz w:val="21"/>
          <w:szCs w:val="24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color w:val="auto"/>
          <w:kern w:val="2"/>
          <w:sz w:val="21"/>
          <w:szCs w:val="24"/>
          <w:lang w:val="en-US" w:eastAsia="zh-CN" w:bidi="ar-SA"/>
        </w:rPr>
        <w:t>cm</w:t>
      </w:r>
      <w:r>
        <w:rPr>
          <w:rFonts w:hint="eastAsia" w:ascii="华文仿宋" w:hAnsi="华文仿宋" w:eastAsia="华文仿宋" w:cs="华文仿宋"/>
          <w:color w:val="auto"/>
          <w:lang w:val="en-US" w:eastAsia="zh-CN"/>
        </w:rPr>
        <w:t>~</w:t>
      </w:r>
      <w:r>
        <w:rPr>
          <w:rFonts w:hint="eastAsia" w:ascii="宋体" w:hAnsi="宋体" w:eastAsia="宋体" w:cs="宋体"/>
          <w:color w:val="auto"/>
          <w:kern w:val="2"/>
          <w:sz w:val="21"/>
          <w:szCs w:val="24"/>
          <w:lang w:val="en-US" w:eastAsia="zh-CN" w:bidi="ar-SA"/>
        </w:rPr>
        <w:t>20</w:t>
      </w:r>
      <w:r>
        <w:rPr>
          <w:rFonts w:hint="eastAsia" w:ascii="宋体" w:hAnsi="宋体" w:cs="宋体"/>
          <w:color w:val="auto"/>
          <w:kern w:val="2"/>
          <w:sz w:val="21"/>
          <w:szCs w:val="24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color w:val="auto"/>
          <w:kern w:val="2"/>
          <w:sz w:val="21"/>
          <w:szCs w:val="24"/>
          <w:lang w:val="en-US" w:eastAsia="zh-CN" w:bidi="ar-SA"/>
        </w:rPr>
        <w:t>cm处，每</w:t>
      </w:r>
      <w:r>
        <w:rPr>
          <w:rFonts w:hint="eastAsia" w:ascii="宋体" w:hAnsi="宋体" w:cs="宋体"/>
          <w:color w:val="auto"/>
          <w:kern w:val="2"/>
          <w:sz w:val="21"/>
          <w:szCs w:val="24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color w:val="auto"/>
          <w:kern w:val="2"/>
          <w:sz w:val="21"/>
          <w:szCs w:val="24"/>
          <w:lang w:val="en-US" w:eastAsia="zh-CN" w:bidi="ar-SA"/>
        </w:rPr>
        <w:t>667</w:t>
      </w:r>
      <w:r>
        <w:rPr>
          <w:rFonts w:hint="eastAsia" w:ascii="宋体" w:hAnsi="宋体" w:cs="宋体"/>
          <w:color w:val="auto"/>
          <w:kern w:val="2"/>
          <w:sz w:val="21"/>
          <w:szCs w:val="24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color w:val="auto"/>
          <w:kern w:val="2"/>
          <w:sz w:val="21"/>
          <w:szCs w:val="24"/>
          <w:lang w:val="en-US" w:eastAsia="zh-CN" w:bidi="ar-SA"/>
        </w:rPr>
        <w:t>m</w:t>
      </w:r>
      <w:r>
        <w:rPr>
          <w:rFonts w:hint="eastAsia" w:ascii="宋体" w:hAnsi="宋体" w:eastAsia="宋体" w:cs="宋体"/>
          <w:color w:val="auto"/>
          <w:kern w:val="2"/>
          <w:sz w:val="21"/>
          <w:szCs w:val="24"/>
          <w:vertAlign w:val="superscript"/>
          <w:lang w:val="en-US" w:eastAsia="zh-CN" w:bidi="ar-SA"/>
        </w:rPr>
        <w:t>2</w:t>
      </w:r>
      <w:r>
        <w:rPr>
          <w:rFonts w:hint="eastAsia" w:ascii="宋体" w:hAnsi="宋体" w:eastAsia="宋体" w:cs="宋体"/>
          <w:color w:val="auto"/>
          <w:kern w:val="2"/>
          <w:sz w:val="21"/>
          <w:szCs w:val="24"/>
          <w:lang w:val="en-US" w:eastAsia="zh-CN" w:bidi="ar-SA"/>
        </w:rPr>
        <w:t>悬挂</w:t>
      </w:r>
      <w:r>
        <w:rPr>
          <w:rFonts w:hint="eastAsia" w:ascii="宋体" w:hAnsi="宋体" w:cs="宋体"/>
          <w:color w:val="auto"/>
          <w:kern w:val="2"/>
          <w:sz w:val="21"/>
          <w:szCs w:val="24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color w:val="auto"/>
          <w:kern w:val="2"/>
          <w:sz w:val="21"/>
          <w:szCs w:val="24"/>
          <w:lang w:val="en-US" w:eastAsia="zh-CN" w:bidi="ar-SA"/>
        </w:rPr>
        <w:t>45</w:t>
      </w:r>
      <w:r>
        <w:rPr>
          <w:rFonts w:hint="eastAsia" w:ascii="华文仿宋" w:hAnsi="华文仿宋" w:eastAsia="华文仿宋" w:cs="华文仿宋"/>
          <w:color w:val="auto"/>
          <w:lang w:val="en-US" w:eastAsia="zh-CN"/>
        </w:rPr>
        <w:t>~</w:t>
      </w:r>
      <w:r>
        <w:rPr>
          <w:rFonts w:hint="eastAsia" w:ascii="宋体" w:hAnsi="宋体" w:eastAsia="宋体" w:cs="宋体"/>
          <w:color w:val="auto"/>
          <w:kern w:val="2"/>
          <w:sz w:val="21"/>
          <w:szCs w:val="24"/>
          <w:lang w:val="en-US" w:eastAsia="zh-CN" w:bidi="ar-SA"/>
        </w:rPr>
        <w:t>90</w:t>
      </w:r>
      <w:r>
        <w:rPr>
          <w:rFonts w:hint="eastAsia" w:ascii="宋体" w:hAnsi="宋体" w:cs="宋体"/>
          <w:color w:val="auto"/>
          <w:kern w:val="2"/>
          <w:sz w:val="21"/>
          <w:szCs w:val="24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color w:val="auto"/>
          <w:kern w:val="2"/>
          <w:sz w:val="21"/>
          <w:szCs w:val="24"/>
          <w:lang w:val="en-US" w:eastAsia="zh-CN" w:bidi="ar-SA"/>
        </w:rPr>
        <w:t>块，诱杀斑潜蝇、白粉虱、蚜虫等害虫；每</w:t>
      </w:r>
      <w:r>
        <w:rPr>
          <w:rFonts w:hint="eastAsia" w:ascii="宋体" w:hAnsi="宋体" w:cs="宋体"/>
          <w:color w:val="auto"/>
          <w:kern w:val="2"/>
          <w:sz w:val="21"/>
          <w:szCs w:val="24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color w:val="auto"/>
          <w:kern w:val="2"/>
          <w:sz w:val="21"/>
          <w:szCs w:val="24"/>
          <w:lang w:val="en-US" w:eastAsia="zh-CN" w:bidi="ar-SA"/>
        </w:rPr>
        <w:t>2000</w:t>
      </w:r>
      <w:r>
        <w:rPr>
          <w:rFonts w:hint="eastAsia" w:ascii="宋体" w:hAnsi="宋体" w:cs="宋体"/>
          <w:b w:val="0"/>
          <w:bCs w:val="0"/>
          <w:color w:val="auto"/>
          <w:lang w:val="en-US" w:eastAsia="zh-CN"/>
        </w:rPr>
        <w:t>m</w:t>
      </w:r>
      <w:r>
        <w:rPr>
          <w:rFonts w:hint="eastAsia" w:ascii="宋体" w:hAnsi="宋体" w:cs="宋体"/>
          <w:b w:val="0"/>
          <w:bCs w:val="0"/>
          <w:color w:val="auto"/>
          <w:vertAlign w:val="superscript"/>
          <w:lang w:val="en-US" w:eastAsia="zh-CN"/>
        </w:rPr>
        <w:t>2</w:t>
      </w:r>
      <w:r>
        <w:rPr>
          <w:rFonts w:hint="eastAsia" w:ascii="华文仿宋" w:hAnsi="华文仿宋" w:eastAsia="华文仿宋" w:cs="华文仿宋"/>
          <w:color w:val="auto"/>
          <w:lang w:val="en-US" w:eastAsia="zh-CN"/>
        </w:rPr>
        <w:t>~</w:t>
      </w:r>
      <w:r>
        <w:rPr>
          <w:rFonts w:hint="eastAsia" w:ascii="宋体" w:hAnsi="宋体" w:eastAsia="宋体" w:cs="宋体"/>
          <w:color w:val="auto"/>
          <w:kern w:val="2"/>
          <w:sz w:val="21"/>
          <w:szCs w:val="24"/>
          <w:lang w:val="en-US" w:eastAsia="zh-CN" w:bidi="ar-SA"/>
        </w:rPr>
        <w:t>4000</w:t>
      </w:r>
      <w:r>
        <w:rPr>
          <w:rFonts w:hint="eastAsia" w:ascii="宋体" w:hAnsi="宋体" w:cs="宋体"/>
          <w:color w:val="auto"/>
          <w:kern w:val="2"/>
          <w:sz w:val="21"/>
          <w:szCs w:val="24"/>
          <w:lang w:val="en-US" w:eastAsia="zh-CN" w:bidi="ar-SA"/>
        </w:rPr>
        <w:t xml:space="preserve"> </w:t>
      </w:r>
      <w:r>
        <w:rPr>
          <w:rFonts w:hint="eastAsia" w:ascii="宋体" w:hAnsi="宋体" w:cs="宋体"/>
          <w:b w:val="0"/>
          <w:bCs w:val="0"/>
          <w:color w:val="auto"/>
          <w:lang w:val="en-US" w:eastAsia="zh-CN"/>
        </w:rPr>
        <w:t>m</w:t>
      </w:r>
      <w:r>
        <w:rPr>
          <w:rFonts w:hint="eastAsia" w:ascii="宋体" w:hAnsi="宋体" w:cs="宋体"/>
          <w:b w:val="0"/>
          <w:bCs w:val="0"/>
          <w:color w:val="auto"/>
          <w:vertAlign w:val="superscript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kern w:val="2"/>
          <w:sz w:val="21"/>
          <w:szCs w:val="24"/>
          <w:lang w:val="en-US" w:eastAsia="zh-CN" w:bidi="ar-SA"/>
        </w:rPr>
        <w:t>加装1台频振式杀虫灯、黑光灯、高压汞灯或双波灯诱杀小菜蛾、菜青虫、斜纹夜蛾、甜菜夜蛾等害虫。</w:t>
      </w:r>
    </w:p>
    <w:p w14:paraId="7F82FD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/>
        <w:textAlignment w:val="auto"/>
        <w:rPr>
          <w:rFonts w:hint="eastAsia" w:ascii="宋体" w:hAnsi="宋体" w:eastAsia="宋体" w:cs="宋体"/>
          <w:color w:val="auto"/>
          <w:kern w:val="2"/>
          <w:sz w:val="21"/>
          <w:szCs w:val="24"/>
          <w:lang w:val="en-US" w:eastAsia="zh-CN" w:bidi="ar-SA"/>
        </w:rPr>
      </w:pPr>
      <w:r>
        <w:rPr>
          <w:rFonts w:hint="eastAsia" w:ascii="黑体" w:hAnsi="黑体" w:eastAsia="黑体" w:cs="Times New Roman"/>
          <w:color w:val="auto"/>
          <w:kern w:val="2"/>
          <w:sz w:val="21"/>
          <w:szCs w:val="21"/>
          <w:lang w:val="en-US" w:eastAsia="zh-CN" w:bidi="ar-SA"/>
        </w:rPr>
        <w:t xml:space="preserve">9.4.2  </w:t>
      </w:r>
      <w:r>
        <w:rPr>
          <w:rFonts w:hint="eastAsia" w:ascii="宋体" w:hAnsi="宋体" w:eastAsia="宋体" w:cs="宋体"/>
          <w:color w:val="auto"/>
          <w:kern w:val="2"/>
          <w:sz w:val="21"/>
          <w:szCs w:val="24"/>
          <w:lang w:val="en-US" w:eastAsia="zh-CN" w:bidi="ar-SA"/>
        </w:rPr>
        <w:t>对发生较轻、为害中心明显及有假死性的害虫，</w:t>
      </w:r>
      <w:r>
        <w:rPr>
          <w:rFonts w:hint="eastAsia" w:ascii="宋体" w:hAnsi="宋体" w:cs="宋体"/>
          <w:color w:val="auto"/>
          <w:kern w:val="2"/>
          <w:sz w:val="21"/>
          <w:szCs w:val="24"/>
          <w:lang w:val="en-US" w:eastAsia="zh-CN" w:bidi="ar-SA"/>
        </w:rPr>
        <w:t>可</w:t>
      </w:r>
      <w:r>
        <w:rPr>
          <w:rFonts w:hint="eastAsia" w:ascii="宋体" w:hAnsi="宋体" w:eastAsia="宋体" w:cs="宋体"/>
          <w:color w:val="auto"/>
          <w:kern w:val="2"/>
          <w:sz w:val="21"/>
          <w:szCs w:val="24"/>
          <w:lang w:val="en-US" w:eastAsia="zh-CN" w:bidi="ar-SA"/>
        </w:rPr>
        <w:t>采用人工捕杀，减轻为害。</w:t>
      </w:r>
    </w:p>
    <w:p w14:paraId="026C4C21">
      <w:pPr>
        <w:pStyle w:val="127"/>
        <w:keepNext w:val="0"/>
        <w:keepLines w:val="0"/>
        <w:pageBreakBefore w:val="0"/>
        <w:framePr w:hSpace="0" w:vSpace="0" w:wrap="auto" w:vAnchor="margin" w:hAnchor="text" w:xAlign="left" w:yAlign="inline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/>
        <w:textAlignment w:val="auto"/>
        <w:rPr>
          <w:rFonts w:hint="default" w:ascii="宋体" w:hAnsi="宋体" w:eastAsia="宋体" w:cs="宋体"/>
          <w:color w:val="auto"/>
          <w:kern w:val="2"/>
          <w:sz w:val="21"/>
          <w:szCs w:val="24"/>
          <w:lang w:val="en-US" w:eastAsia="zh-CN" w:bidi="ar-SA"/>
        </w:rPr>
      </w:pPr>
      <w:r>
        <w:rPr>
          <w:rFonts w:hint="eastAsia" w:ascii="黑体" w:hAnsi="黑体" w:eastAsia="黑体" w:cs="Times New Roman"/>
          <w:color w:val="auto"/>
          <w:kern w:val="2"/>
          <w:sz w:val="21"/>
          <w:szCs w:val="21"/>
          <w:lang w:val="en-US" w:eastAsia="zh-CN" w:bidi="ar-SA"/>
        </w:rPr>
        <w:t xml:space="preserve">9.4.3  </w:t>
      </w:r>
      <w:r>
        <w:rPr>
          <w:rFonts w:hint="eastAsia" w:ascii="宋体" w:hAnsi="宋体" w:eastAsia="宋体" w:cs="宋体"/>
          <w:color w:val="auto"/>
          <w:kern w:val="2"/>
          <w:sz w:val="21"/>
          <w:szCs w:val="24"/>
          <w:lang w:val="en-US" w:eastAsia="zh-CN" w:bidi="ar-SA"/>
        </w:rPr>
        <w:t>用糖醋液诱杀地下害虫</w:t>
      </w:r>
      <w:r>
        <w:rPr>
          <w:rFonts w:hint="eastAsia" w:ascii="宋体" w:hAnsi="宋体" w:cs="宋体"/>
          <w:color w:val="auto"/>
          <w:kern w:val="2"/>
          <w:sz w:val="21"/>
          <w:szCs w:val="24"/>
          <w:lang w:val="en-US" w:eastAsia="zh-CN" w:bidi="ar-SA"/>
        </w:rPr>
        <w:t>和</w:t>
      </w:r>
      <w:r>
        <w:rPr>
          <w:rFonts w:hint="eastAsia" w:ascii="宋体" w:hAnsi="宋体" w:eastAsia="宋体" w:cs="宋体"/>
          <w:color w:val="auto"/>
          <w:kern w:val="2"/>
          <w:sz w:val="21"/>
          <w:szCs w:val="24"/>
          <w:lang w:val="en-US" w:eastAsia="zh-CN" w:bidi="ar-SA"/>
        </w:rPr>
        <w:t>斜纹夜蛾、甜菜夜蛾等。</w:t>
      </w:r>
    </w:p>
    <w:p w14:paraId="6A12C64B">
      <w:pPr>
        <w:spacing w:before="158" w:beforeLines="50" w:after="158" w:afterLines="50"/>
        <w:rPr>
          <w:rFonts w:hint="eastAsia" w:ascii="黑体" w:hAnsi="黑体" w:eastAsia="黑体"/>
          <w:color w:val="auto"/>
          <w:szCs w:val="21"/>
          <w:lang w:val="en-US" w:eastAsia="zh-CN"/>
        </w:rPr>
      </w:pPr>
      <w:r>
        <w:rPr>
          <w:rFonts w:hint="eastAsia" w:ascii="黑体" w:hAnsi="黑体" w:eastAsia="黑体"/>
          <w:color w:val="auto"/>
          <w:szCs w:val="21"/>
          <w:lang w:val="en-US" w:eastAsia="zh-CN"/>
        </w:rPr>
        <w:t>9.5  生物防治</w:t>
      </w:r>
    </w:p>
    <w:p w14:paraId="49213732">
      <w:pPr>
        <w:pStyle w:val="127"/>
        <w:framePr w:hSpace="0" w:vSpace="0" w:wrap="auto" w:vAnchor="margin" w:hAnchor="text" w:xAlign="left" w:yAlign="inline"/>
        <w:rPr>
          <w:rFonts w:hint="eastAsia" w:ascii="宋体" w:hAnsi="宋体" w:cs="宋体"/>
          <w:color w:val="auto"/>
          <w:lang w:val="en-US" w:eastAsia="zh-CN"/>
        </w:rPr>
      </w:pPr>
      <w:r>
        <w:rPr>
          <w:rFonts w:hint="eastAsia" w:ascii="黑体" w:hAnsi="黑体" w:eastAsia="黑体" w:cs="Times New Roman"/>
          <w:color w:val="auto"/>
          <w:szCs w:val="21"/>
          <w:lang w:val="en-US" w:eastAsia="zh-CN"/>
        </w:rPr>
        <w:t xml:space="preserve">9.5.1  </w:t>
      </w:r>
      <w:r>
        <w:rPr>
          <w:rFonts w:hint="eastAsia" w:ascii="宋体" w:hAnsi="宋体" w:cs="宋体"/>
          <w:color w:val="auto"/>
          <w:lang w:val="en-US" w:eastAsia="zh-CN"/>
        </w:rPr>
        <w:t>保护和利用天敌防治害虫，如利用瓢虫、草蛉、食蚜蝇等防治蚜虫，用赤眼蜂防治菜青虫，食螨小黑瓢虫防治叶螨等，用苏云金杆菌、绿僵菌、白僵菌等防治鳞翅目幼虫。</w:t>
      </w:r>
    </w:p>
    <w:p w14:paraId="2B7DEA3C">
      <w:pPr>
        <w:pStyle w:val="127"/>
        <w:framePr w:hSpace="0" w:vSpace="0" w:wrap="auto" w:vAnchor="margin" w:hAnchor="text" w:xAlign="left" w:yAlign="inline"/>
        <w:rPr>
          <w:rFonts w:hint="eastAsia" w:ascii="宋体" w:hAnsi="宋体" w:cs="宋体"/>
          <w:color w:val="auto"/>
          <w:lang w:val="en-US" w:eastAsia="zh-CN"/>
        </w:rPr>
      </w:pPr>
      <w:r>
        <w:rPr>
          <w:rFonts w:hint="eastAsia" w:ascii="黑体" w:hAnsi="黑体" w:eastAsia="黑体" w:cs="Times New Roman"/>
          <w:color w:val="auto"/>
          <w:szCs w:val="21"/>
          <w:lang w:val="en-US" w:eastAsia="zh-CN"/>
        </w:rPr>
        <w:t xml:space="preserve">9.5.2  </w:t>
      </w:r>
      <w:r>
        <w:rPr>
          <w:rFonts w:hint="eastAsia" w:ascii="宋体" w:hAnsi="宋体" w:cs="宋体"/>
          <w:color w:val="auto"/>
          <w:lang w:val="en-US" w:eastAsia="zh-CN"/>
        </w:rPr>
        <w:t>运用性诱剂防治鳞翅目害虫，如用性诱剂诱杀小菜蛾,每667 m</w:t>
      </w:r>
      <w:r>
        <w:rPr>
          <w:rFonts w:hint="eastAsia" w:ascii="宋体" w:hAnsi="宋体" w:cs="宋体"/>
          <w:color w:val="auto"/>
          <w:vertAlign w:val="superscript"/>
          <w:lang w:val="en-US" w:eastAsia="zh-CN"/>
        </w:rPr>
        <w:t>2</w:t>
      </w:r>
      <w:r>
        <w:rPr>
          <w:rFonts w:hint="eastAsia" w:ascii="宋体" w:hAnsi="宋体" w:cs="宋体"/>
          <w:color w:val="auto"/>
          <w:lang w:val="en-US" w:eastAsia="zh-CN"/>
        </w:rPr>
        <w:t>布放 5个</w:t>
      </w:r>
      <w:r>
        <w:rPr>
          <w:rFonts w:hint="eastAsia" w:ascii="华文仿宋" w:hAnsi="华文仿宋" w:eastAsia="华文仿宋" w:cs="华文仿宋"/>
          <w:color w:val="auto"/>
          <w:lang w:val="en-US" w:eastAsia="zh-CN"/>
        </w:rPr>
        <w:t>~</w:t>
      </w:r>
      <w:r>
        <w:rPr>
          <w:rFonts w:hint="eastAsia" w:ascii="宋体" w:hAnsi="宋体" w:cs="宋体"/>
          <w:color w:val="auto"/>
          <w:lang w:val="en-US" w:eastAsia="zh-CN"/>
        </w:rPr>
        <w:t>6 个诱芯；诱杀斜纹夜蛾、甜菜夜蛾，每667 m</w:t>
      </w:r>
      <w:r>
        <w:rPr>
          <w:rFonts w:hint="eastAsia" w:ascii="宋体" w:hAnsi="宋体" w:cs="宋体"/>
          <w:color w:val="auto"/>
          <w:vertAlign w:val="superscript"/>
          <w:lang w:val="en-US" w:eastAsia="zh-CN"/>
        </w:rPr>
        <w:t>2</w:t>
      </w:r>
      <w:r>
        <w:rPr>
          <w:rFonts w:hint="eastAsia" w:ascii="宋体" w:hAnsi="宋体" w:cs="宋体"/>
          <w:color w:val="auto"/>
          <w:lang w:val="en-US" w:eastAsia="zh-CN"/>
        </w:rPr>
        <w:t>布放 1 个诱芯。每次每个诱芯可持续诱杀 20d</w:t>
      </w:r>
      <w:r>
        <w:rPr>
          <w:rFonts w:hint="eastAsia" w:ascii="华文仿宋" w:hAnsi="华文仿宋" w:eastAsia="华文仿宋" w:cs="华文仿宋"/>
          <w:color w:val="auto"/>
          <w:lang w:val="en-US" w:eastAsia="zh-CN"/>
        </w:rPr>
        <w:t>~</w:t>
      </w:r>
      <w:r>
        <w:rPr>
          <w:rFonts w:hint="eastAsia" w:ascii="宋体" w:hAnsi="宋体" w:cs="宋体"/>
          <w:color w:val="auto"/>
          <w:lang w:val="en-US" w:eastAsia="zh-CN"/>
        </w:rPr>
        <w:t>30d。</w:t>
      </w:r>
    </w:p>
    <w:p w14:paraId="1A97F431">
      <w:pPr>
        <w:spacing w:before="158" w:beforeLines="50" w:after="158" w:afterLines="50"/>
        <w:rPr>
          <w:rFonts w:hint="eastAsia" w:ascii="黑体" w:hAnsi="黑体" w:eastAsia="黑体"/>
          <w:color w:val="auto"/>
          <w:szCs w:val="21"/>
          <w:lang w:val="en-US" w:eastAsia="zh-CN"/>
        </w:rPr>
      </w:pPr>
      <w:r>
        <w:rPr>
          <w:rFonts w:hint="eastAsia" w:ascii="黑体" w:hAnsi="黑体" w:eastAsia="黑体"/>
          <w:color w:val="auto"/>
          <w:szCs w:val="21"/>
          <w:lang w:val="en-US" w:eastAsia="zh-CN"/>
        </w:rPr>
        <w:t>9.6  农药防控</w:t>
      </w:r>
    </w:p>
    <w:p w14:paraId="44FBCC02">
      <w:pPr>
        <w:pStyle w:val="127"/>
        <w:framePr w:hSpace="0" w:vSpace="0" w:wrap="auto" w:vAnchor="margin" w:hAnchor="text" w:xAlign="left" w:yAlign="inline"/>
        <w:ind w:firstLine="435"/>
        <w:rPr>
          <w:rFonts w:hint="default" w:ascii="宋体" w:hAnsi="宋体" w:cs="宋体"/>
          <w:color w:val="auto"/>
          <w:lang w:val="en-US" w:eastAsia="zh-CN"/>
        </w:rPr>
      </w:pPr>
      <w:r>
        <w:rPr>
          <w:rFonts w:hint="eastAsia" w:ascii="宋体" w:hAnsi="宋体" w:cs="宋体"/>
          <w:color w:val="auto"/>
          <w:lang w:val="en-US" w:eastAsia="zh-CN"/>
        </w:rPr>
        <w:t>选用符合国家规定，高效、低毒、低残留、环境友好型农药，不同作用机理农药应轮换、交替使用，农药使用准则按GB/T 8321（所有部分）、NY/T 393的规定执行。主要病虫害用药措施见附录A。</w:t>
      </w:r>
    </w:p>
    <w:p w14:paraId="1749E819">
      <w:pPr>
        <w:spacing w:before="283" w:after="317" w:afterLines="100"/>
        <w:rPr>
          <w:rFonts w:hint="eastAsia" w:ascii="黑体" w:hAnsi="黑体" w:eastAsia="黑体"/>
          <w:color w:val="auto"/>
          <w:szCs w:val="21"/>
          <w:lang w:val="en-US" w:eastAsia="zh-CN"/>
        </w:rPr>
      </w:pPr>
      <w:r>
        <w:rPr>
          <w:rFonts w:hint="eastAsia" w:ascii="黑体" w:hAnsi="黑体" w:eastAsia="黑体"/>
          <w:color w:val="auto"/>
          <w:szCs w:val="21"/>
          <w:lang w:val="en-US" w:eastAsia="zh-CN"/>
        </w:rPr>
        <w:t>10  采收</w:t>
      </w:r>
    </w:p>
    <w:p w14:paraId="0A27BCF0">
      <w:pPr>
        <w:spacing w:before="158" w:beforeLines="50" w:after="158" w:afterLines="50"/>
        <w:rPr>
          <w:rFonts w:hint="default" w:ascii="黑体" w:hAnsi="黑体" w:eastAsia="黑体"/>
          <w:color w:val="auto"/>
          <w:szCs w:val="21"/>
          <w:lang w:val="en-US" w:eastAsia="zh-CN"/>
        </w:rPr>
      </w:pPr>
      <w:r>
        <w:rPr>
          <w:rFonts w:hint="eastAsia" w:ascii="黑体" w:hAnsi="黑体" w:eastAsia="黑体"/>
          <w:color w:val="auto"/>
          <w:szCs w:val="21"/>
          <w:lang w:val="en-US" w:eastAsia="zh-CN"/>
        </w:rPr>
        <w:t>10.1  采收标准</w:t>
      </w:r>
    </w:p>
    <w:p w14:paraId="1422FEC4">
      <w:pPr>
        <w:pStyle w:val="127"/>
        <w:framePr w:hSpace="0" w:vSpace="0" w:wrap="auto" w:vAnchor="margin" w:hAnchor="text" w:xAlign="left" w:yAlign="inline"/>
        <w:ind w:firstLine="435"/>
        <w:rPr>
          <w:rFonts w:hint="eastAsia" w:ascii="宋体" w:hAnsi="宋体" w:cs="宋体"/>
          <w:color w:val="auto"/>
          <w:lang w:val="en-US" w:eastAsia="zh-CN"/>
        </w:rPr>
      </w:pPr>
      <w:r>
        <w:rPr>
          <w:rFonts w:hint="eastAsia" w:ascii="宋体" w:hAnsi="宋体" w:cs="宋体"/>
          <w:color w:val="auto"/>
          <w:lang w:val="en-US" w:eastAsia="zh-CN"/>
        </w:rPr>
        <w:t>花球充分膨大、花蕾细致紧实、颜色浓绿，边缘尚未散开，</w:t>
      </w:r>
      <w:r>
        <w:rPr>
          <w:rFonts w:hint="eastAsia" w:ascii="宋体" w:hAnsi="宋体" w:cs="宋体"/>
          <w:color w:val="auto"/>
          <w:lang w:eastAsia="zh-CN"/>
        </w:rPr>
        <w:t>花球直径在</w:t>
      </w:r>
      <w:r>
        <w:rPr>
          <w:rFonts w:hint="eastAsia" w:ascii="宋体" w:hAnsi="宋体" w:cs="宋体"/>
          <w:color w:val="auto"/>
          <w:lang w:val="en-US" w:eastAsia="zh-CN"/>
        </w:rPr>
        <w:t>12 cm</w:t>
      </w:r>
      <w:r>
        <w:rPr>
          <w:rFonts w:hint="eastAsia" w:ascii="华文仿宋" w:hAnsi="华文仿宋" w:eastAsia="华文仿宋" w:cs="华文仿宋"/>
          <w:color w:val="auto"/>
          <w:lang w:val="en-US" w:eastAsia="zh-CN"/>
        </w:rPr>
        <w:t>~</w:t>
      </w:r>
      <w:r>
        <w:rPr>
          <w:rFonts w:hint="eastAsia" w:ascii="宋体" w:hAnsi="宋体" w:cs="宋体"/>
          <w:color w:val="auto"/>
          <w:lang w:val="en-US" w:eastAsia="zh-CN"/>
        </w:rPr>
        <w:t>16 cm，即达到采收条件，需及时采收。采收应确保所用农药已过安全间隔期。</w:t>
      </w:r>
    </w:p>
    <w:p w14:paraId="56C0B13A">
      <w:pPr>
        <w:spacing w:before="158" w:beforeLines="50" w:after="158" w:afterLines="50"/>
        <w:rPr>
          <w:rFonts w:hint="default" w:ascii="黑体" w:hAnsi="黑体" w:eastAsia="黑体"/>
          <w:color w:val="auto"/>
          <w:szCs w:val="21"/>
          <w:lang w:val="en-US" w:eastAsia="zh-CN"/>
        </w:rPr>
      </w:pPr>
      <w:r>
        <w:rPr>
          <w:rFonts w:hint="eastAsia" w:ascii="黑体" w:hAnsi="黑体" w:eastAsia="黑体"/>
          <w:color w:val="auto"/>
          <w:szCs w:val="21"/>
          <w:lang w:val="en-US" w:eastAsia="zh-CN"/>
        </w:rPr>
        <w:t>10.2  采收方式</w:t>
      </w:r>
    </w:p>
    <w:p w14:paraId="368D106B">
      <w:pPr>
        <w:pStyle w:val="127"/>
        <w:framePr w:hSpace="0" w:vSpace="0" w:wrap="auto" w:vAnchor="margin" w:hAnchor="text" w:xAlign="left" w:yAlign="inline"/>
        <w:ind w:firstLine="435"/>
        <w:rPr>
          <w:rFonts w:hint="eastAsia" w:ascii="宋体" w:hAnsi="宋体" w:cs="宋体"/>
          <w:b/>
          <w:bCs/>
          <w:color w:val="auto"/>
          <w:lang w:eastAsia="zh-CN"/>
        </w:rPr>
      </w:pPr>
      <w:r>
        <w:rPr>
          <w:rFonts w:hint="eastAsia" w:ascii="宋体" w:hAnsi="宋体" w:cs="宋体"/>
          <w:color w:val="auto"/>
          <w:lang w:val="en-US" w:eastAsia="zh-CN"/>
        </w:rPr>
        <w:t>采收前应取样进行农药残留快速检测。</w:t>
      </w:r>
      <w:r>
        <w:rPr>
          <w:rFonts w:hint="eastAsia" w:ascii="宋体" w:hAnsi="宋体" w:cs="宋体"/>
          <w:color w:val="auto"/>
          <w:lang w:eastAsia="zh-CN"/>
        </w:rPr>
        <w:t>选择晴朗天气的清晨或傍晚时分，</w:t>
      </w:r>
      <w:r>
        <w:rPr>
          <w:rFonts w:hint="eastAsia" w:ascii="宋体" w:hAnsi="宋体" w:cs="宋体"/>
          <w:color w:val="auto"/>
          <w:lang w:val="en-US" w:eastAsia="zh-CN"/>
        </w:rPr>
        <w:t>采收时从花球基部花茎 12 cm</w:t>
      </w:r>
      <w:r>
        <w:rPr>
          <w:rFonts w:hint="eastAsia" w:ascii="华文仿宋" w:hAnsi="华文仿宋" w:eastAsia="华文仿宋" w:cs="华文仿宋"/>
          <w:color w:val="auto"/>
          <w:lang w:val="en-US" w:eastAsia="zh-CN"/>
        </w:rPr>
        <w:t>~</w:t>
      </w:r>
      <w:r>
        <w:rPr>
          <w:rFonts w:hint="eastAsia" w:ascii="宋体" w:hAnsi="宋体" w:cs="宋体"/>
          <w:color w:val="auto"/>
          <w:lang w:val="en-US" w:eastAsia="zh-CN"/>
        </w:rPr>
        <w:t>13 cm左右处割下，去除大叶。</w:t>
      </w:r>
      <w:r>
        <w:rPr>
          <w:rFonts w:hint="eastAsia"/>
          <w:color w:val="auto"/>
        </w:rPr>
        <w:t>切割后将花球放置在专用的筐里，</w:t>
      </w:r>
      <w:r>
        <w:rPr>
          <w:rFonts w:hint="eastAsia" w:ascii="宋体" w:hAnsi="宋体" w:cs="宋体"/>
          <w:color w:val="auto"/>
        </w:rPr>
        <w:t>轻拿轻放</w:t>
      </w:r>
      <w:r>
        <w:rPr>
          <w:rFonts w:hint="eastAsia"/>
          <w:color w:val="auto"/>
        </w:rPr>
        <w:t>，减少挤压</w:t>
      </w:r>
      <w:r>
        <w:rPr>
          <w:rFonts w:hint="eastAsia"/>
          <w:color w:val="auto"/>
          <w:lang w:eastAsia="zh-CN"/>
        </w:rPr>
        <w:t>。</w:t>
      </w:r>
    </w:p>
    <w:p w14:paraId="36F5F65F">
      <w:pPr>
        <w:spacing w:before="158" w:beforeLines="50" w:after="158" w:afterLines="50"/>
        <w:rPr>
          <w:rFonts w:hint="eastAsia" w:ascii="黑体" w:hAnsi="黑体" w:eastAsia="黑体"/>
          <w:color w:val="auto"/>
          <w:szCs w:val="21"/>
          <w:lang w:val="en-US" w:eastAsia="zh-CN"/>
        </w:rPr>
      </w:pPr>
      <w:r>
        <w:rPr>
          <w:rFonts w:hint="eastAsia" w:ascii="黑体" w:hAnsi="黑体" w:eastAsia="黑体"/>
          <w:color w:val="auto"/>
          <w:szCs w:val="21"/>
          <w:lang w:val="en-US" w:eastAsia="zh-CN"/>
        </w:rPr>
        <w:t>10.3  采后处理</w:t>
      </w:r>
    </w:p>
    <w:p w14:paraId="373BC27D">
      <w:pPr>
        <w:pStyle w:val="127"/>
        <w:framePr w:hSpace="0" w:vSpace="0" w:wrap="auto" w:vAnchor="margin" w:hAnchor="text" w:xAlign="left" w:yAlign="inline"/>
        <w:ind w:firstLine="420" w:firstLineChars="200"/>
        <w:rPr>
          <w:rFonts w:hint="eastAsia" w:ascii="宋体" w:hAnsi="宋体" w:cs="宋体"/>
          <w:color w:val="auto"/>
          <w:lang w:eastAsia="zh-CN"/>
        </w:rPr>
      </w:pPr>
      <w:r>
        <w:rPr>
          <w:rFonts w:hint="eastAsia" w:ascii="宋体" w:hAnsi="宋体" w:cs="宋体"/>
          <w:color w:val="auto"/>
          <w:lang w:eastAsia="zh-CN"/>
        </w:rPr>
        <w:t>采收后应及时预冷、修整，</w:t>
      </w:r>
      <w:r>
        <w:rPr>
          <w:rFonts w:hint="eastAsia" w:ascii="宋体" w:hAnsi="宋体" w:cs="宋体"/>
          <w:color w:val="auto"/>
        </w:rPr>
        <w:t>剔除散花、病虫为害和机械损伤等缺陷产品。</w:t>
      </w:r>
      <w:r>
        <w:rPr>
          <w:rFonts w:hint="eastAsia" w:ascii="宋体" w:hAnsi="宋体" w:cs="宋体"/>
          <w:color w:val="auto"/>
          <w:lang w:eastAsia="zh-CN"/>
        </w:rPr>
        <w:t>西兰花的等级规格按照农产品分级标准进行划分。</w:t>
      </w:r>
    </w:p>
    <w:p w14:paraId="260CDFF5">
      <w:pPr>
        <w:spacing w:before="283" w:after="317" w:afterLines="100"/>
        <w:rPr>
          <w:rFonts w:hint="eastAsia" w:ascii="黑体" w:hAnsi="黑体" w:eastAsia="黑体"/>
          <w:color w:val="auto"/>
          <w:szCs w:val="21"/>
          <w:lang w:val="en-US" w:eastAsia="zh-CN"/>
        </w:rPr>
      </w:pPr>
      <w:r>
        <w:rPr>
          <w:rFonts w:hint="eastAsia" w:ascii="黑体" w:hAnsi="黑体" w:eastAsia="黑体"/>
          <w:color w:val="auto"/>
          <w:szCs w:val="21"/>
          <w:lang w:val="en-US" w:eastAsia="zh-CN"/>
        </w:rPr>
        <w:t>11  包装、贮藏与运输</w:t>
      </w:r>
    </w:p>
    <w:p w14:paraId="0B397F5A">
      <w:pPr>
        <w:spacing w:before="158" w:beforeLines="50" w:after="158" w:afterLines="50"/>
        <w:rPr>
          <w:rFonts w:hint="eastAsia" w:ascii="黑体" w:hAnsi="黑体" w:eastAsia="黑体"/>
          <w:color w:val="auto"/>
          <w:szCs w:val="21"/>
          <w:lang w:val="en-US" w:eastAsia="zh-CN"/>
        </w:rPr>
      </w:pPr>
      <w:r>
        <w:rPr>
          <w:rFonts w:hint="eastAsia" w:ascii="黑体" w:hAnsi="黑体" w:eastAsia="黑体"/>
          <w:color w:val="auto"/>
          <w:szCs w:val="21"/>
          <w:lang w:val="en-US" w:eastAsia="zh-CN"/>
        </w:rPr>
        <w:t>11.1  包装要求</w:t>
      </w:r>
    </w:p>
    <w:p w14:paraId="6833998C">
      <w:pPr>
        <w:pStyle w:val="127"/>
        <w:framePr w:hSpace="0" w:vSpace="0" w:wrap="auto" w:vAnchor="margin" w:hAnchor="text" w:xAlign="left" w:yAlign="inline"/>
        <w:ind w:firstLine="420" w:firstLineChars="200"/>
        <w:rPr>
          <w:rFonts w:hint="eastAsia" w:ascii="宋体" w:hAnsi="宋体" w:cs="宋体"/>
          <w:color w:val="auto"/>
          <w:lang w:val="en-US" w:eastAsia="zh-CN"/>
        </w:rPr>
      </w:pPr>
      <w:r>
        <w:rPr>
          <w:rFonts w:hint="eastAsia" w:ascii="宋体" w:hAnsi="宋体" w:cs="宋体"/>
          <w:color w:val="auto"/>
          <w:lang w:val="en-US" w:eastAsia="zh-CN"/>
        </w:rPr>
        <w:t>包装标识操作场地的内外环境应整洁、卫生，根据需要设置消毒、防尘、防虫、防鼠等设施和温湿度调节装置。</w:t>
      </w:r>
      <w:r>
        <w:rPr>
          <w:rFonts w:hint="eastAsia" w:ascii="宋体" w:hAnsi="宋体" w:cs="宋体"/>
          <w:color w:val="auto"/>
        </w:rPr>
        <w:t>包装容器应保持干燥、清洁、无污染。</w:t>
      </w:r>
      <w:r>
        <w:rPr>
          <w:rFonts w:hint="eastAsia" w:ascii="宋体" w:hAnsi="宋体" w:cs="宋体"/>
          <w:color w:val="auto"/>
          <w:lang w:val="en-US" w:eastAsia="zh-CN"/>
        </w:rPr>
        <w:t>其余包装要求按照NY/T 658的规定。</w:t>
      </w:r>
    </w:p>
    <w:p w14:paraId="1A78FCDA">
      <w:pPr>
        <w:spacing w:before="158" w:beforeLines="50" w:after="158" w:afterLines="50"/>
        <w:rPr>
          <w:rFonts w:hint="default" w:ascii="黑体" w:hAnsi="黑体" w:eastAsia="黑体"/>
          <w:color w:val="auto"/>
          <w:szCs w:val="21"/>
          <w:lang w:val="en-US" w:eastAsia="zh-CN"/>
        </w:rPr>
      </w:pPr>
      <w:r>
        <w:rPr>
          <w:rFonts w:hint="eastAsia" w:ascii="黑体" w:hAnsi="黑体" w:eastAsia="黑体"/>
          <w:color w:val="auto"/>
          <w:szCs w:val="21"/>
          <w:lang w:val="en-US" w:eastAsia="zh-CN"/>
        </w:rPr>
        <w:t>11.2  贮藏要求</w:t>
      </w:r>
    </w:p>
    <w:p w14:paraId="6B951333">
      <w:pPr>
        <w:pStyle w:val="127"/>
        <w:framePr w:hSpace="0" w:vSpace="0" w:wrap="auto" w:vAnchor="margin" w:hAnchor="text" w:xAlign="left" w:yAlign="inline"/>
        <w:ind w:firstLine="420" w:firstLineChars="200"/>
        <w:rPr>
          <w:rFonts w:hint="default" w:ascii="宋体" w:hAnsi="宋体" w:eastAsia="宋体" w:cs="宋体"/>
          <w:color w:val="auto"/>
          <w:lang w:val="en-US" w:eastAsia="zh-CN"/>
        </w:rPr>
      </w:pPr>
      <w:r>
        <w:rPr>
          <w:rFonts w:hint="eastAsia" w:ascii="宋体" w:hAnsi="宋体" w:cs="宋体"/>
          <w:color w:val="auto"/>
          <w:lang w:eastAsia="zh-CN"/>
        </w:rPr>
        <w:t>预冷包装后的西兰花，</w:t>
      </w:r>
      <w:r>
        <w:rPr>
          <w:rFonts w:hint="eastAsia" w:ascii="宋体" w:hAnsi="宋体" w:cs="宋体"/>
          <w:color w:val="auto"/>
        </w:rPr>
        <w:t>应贮存在阴凉、通风、清洁、卫生的条件下，</w:t>
      </w:r>
      <w:r>
        <w:rPr>
          <w:rFonts w:hint="eastAsia" w:ascii="宋体" w:hAnsi="宋体" w:cs="宋体"/>
          <w:color w:val="auto"/>
          <w:lang w:eastAsia="zh-CN"/>
        </w:rPr>
        <w:t>冷库储存温度以</w:t>
      </w:r>
      <w:r>
        <w:rPr>
          <w:rFonts w:hint="eastAsia" w:ascii="宋体" w:hAnsi="宋体" w:cs="宋体"/>
          <w:color w:val="auto"/>
          <w:lang w:val="en-US" w:eastAsia="zh-CN"/>
        </w:rPr>
        <w:t>2℃±1℃为宜，相对湿度90%</w:t>
      </w:r>
      <w:r>
        <w:rPr>
          <w:rFonts w:hint="eastAsia" w:ascii="华文仿宋" w:hAnsi="华文仿宋" w:eastAsia="华文仿宋" w:cs="华文仿宋"/>
          <w:color w:val="auto"/>
          <w:lang w:val="en-US" w:eastAsia="zh-CN"/>
        </w:rPr>
        <w:t>~</w:t>
      </w:r>
      <w:r>
        <w:rPr>
          <w:rFonts w:hint="eastAsia" w:ascii="宋体" w:hAnsi="宋体" w:cs="宋体"/>
          <w:color w:val="auto"/>
          <w:lang w:val="en-US" w:eastAsia="zh-CN"/>
        </w:rPr>
        <w:t>95%，</w:t>
      </w:r>
      <w:r>
        <w:rPr>
          <w:rFonts w:hint="eastAsia" w:ascii="宋体" w:hAnsi="宋体" w:cs="宋体"/>
          <w:color w:val="auto"/>
        </w:rPr>
        <w:t>按品种、等级、规格分别贮藏。库内堆码应保证空气流通。在入储前必须保证花球无游离水分，储藏过程中应避免凝结水落在花球上，防止花球霉烂。</w:t>
      </w:r>
    </w:p>
    <w:p w14:paraId="7FB8CD5E">
      <w:pPr>
        <w:spacing w:before="158" w:beforeLines="50" w:after="158" w:afterLines="50"/>
        <w:rPr>
          <w:rFonts w:hint="eastAsia" w:ascii="黑体" w:hAnsi="黑体" w:eastAsia="黑体"/>
          <w:color w:val="auto"/>
          <w:szCs w:val="21"/>
          <w:lang w:val="en-US" w:eastAsia="zh-CN"/>
        </w:rPr>
      </w:pPr>
      <w:r>
        <w:rPr>
          <w:rFonts w:hint="eastAsia" w:ascii="黑体" w:hAnsi="黑体" w:eastAsia="黑体"/>
          <w:color w:val="auto"/>
          <w:szCs w:val="21"/>
          <w:lang w:val="en-US" w:eastAsia="zh-CN"/>
        </w:rPr>
        <w:t>11.3  运输要求</w:t>
      </w:r>
    </w:p>
    <w:p w14:paraId="656BF9A1">
      <w:pPr>
        <w:pStyle w:val="127"/>
        <w:framePr w:hSpace="0" w:vSpace="0" w:wrap="auto" w:vAnchor="margin" w:hAnchor="text" w:xAlign="left" w:yAlign="inline"/>
        <w:ind w:firstLine="420" w:firstLineChars="200"/>
        <w:rPr>
          <w:rFonts w:hint="eastAsia" w:ascii="宋体" w:hAnsi="宋体" w:eastAsia="宋体" w:cs="宋体"/>
          <w:color w:val="auto"/>
          <w:lang w:eastAsia="zh-CN"/>
        </w:rPr>
      </w:pPr>
      <w:r>
        <w:rPr>
          <w:rFonts w:hint="eastAsia" w:ascii="宋体" w:hAnsi="宋体" w:cs="宋体"/>
          <w:color w:val="auto"/>
          <w:lang w:eastAsia="zh-CN"/>
        </w:rPr>
        <w:t>运输工具应清洁、无异味、</w:t>
      </w:r>
      <w:r>
        <w:rPr>
          <w:rFonts w:hint="eastAsia" w:ascii="宋体" w:hAnsi="宋体" w:cs="宋体"/>
          <w:color w:val="auto"/>
        </w:rPr>
        <w:t>无污染</w:t>
      </w:r>
      <w:r>
        <w:rPr>
          <w:rFonts w:hint="eastAsia" w:ascii="宋体" w:hAnsi="宋体" w:cs="宋体"/>
          <w:color w:val="auto"/>
          <w:lang w:eastAsia="zh-CN"/>
        </w:rPr>
        <w:t>，不应与有毒、有害、有异味或影响产品质量的物品混装运输，不应使用运输过肉制品、水产品的车辆运输。装卸过程应轻装、轻卸、快装、快卸。运输过程应防晒、防雨、防冻。冷藏运输以温度</w:t>
      </w:r>
      <w:r>
        <w:rPr>
          <w:rFonts w:hint="eastAsia" w:ascii="宋体" w:hAnsi="宋体" w:cs="宋体"/>
          <w:color w:val="auto"/>
          <w:lang w:val="en-US" w:eastAsia="zh-CN"/>
        </w:rPr>
        <w:t>2℃±1℃，相对湿度≥90%，运输时间不超过2 d为宜。</w:t>
      </w:r>
      <w:r>
        <w:rPr>
          <w:rFonts w:hint="eastAsia" w:ascii="宋体" w:hAnsi="宋体" w:cs="宋体"/>
          <w:color w:val="auto"/>
          <w:lang w:eastAsia="zh-CN"/>
        </w:rPr>
        <w:t>其余</w:t>
      </w:r>
      <w:r>
        <w:rPr>
          <w:rFonts w:hint="eastAsia" w:ascii="宋体" w:hAnsi="宋体" w:cs="宋体"/>
          <w:color w:val="auto"/>
        </w:rPr>
        <w:t>贮藏与运输</w:t>
      </w:r>
      <w:r>
        <w:rPr>
          <w:rFonts w:hint="eastAsia" w:ascii="宋体" w:hAnsi="宋体" w:cs="宋体"/>
          <w:color w:val="auto"/>
          <w:lang w:eastAsia="zh-CN"/>
        </w:rPr>
        <w:t>要求</w:t>
      </w:r>
      <w:r>
        <w:rPr>
          <w:rFonts w:hint="eastAsia" w:ascii="宋体" w:hAnsi="宋体" w:cs="宋体"/>
          <w:color w:val="auto"/>
        </w:rPr>
        <w:t>按照</w:t>
      </w:r>
      <w:r>
        <w:rPr>
          <w:rFonts w:hint="eastAsia" w:ascii="宋体" w:hAnsi="宋体" w:cs="宋体"/>
          <w:color w:val="auto"/>
          <w:lang w:val="en-US" w:eastAsia="zh-CN"/>
        </w:rPr>
        <w:t>NY/T 1056</w:t>
      </w:r>
      <w:r>
        <w:rPr>
          <w:rFonts w:hint="eastAsia" w:ascii="宋体" w:hAnsi="宋体" w:cs="宋体"/>
          <w:color w:val="auto"/>
        </w:rPr>
        <w:t>的规定执行。</w:t>
      </w:r>
    </w:p>
    <w:p w14:paraId="64D1FD75">
      <w:pPr>
        <w:spacing w:before="283" w:after="317" w:afterLines="100"/>
        <w:rPr>
          <w:rFonts w:hint="eastAsia" w:ascii="黑体" w:hAnsi="黑体" w:eastAsia="黑体"/>
          <w:color w:val="auto"/>
          <w:szCs w:val="21"/>
          <w:lang w:val="en-US" w:eastAsia="zh-CN"/>
        </w:rPr>
      </w:pPr>
      <w:r>
        <w:rPr>
          <w:rFonts w:hint="eastAsia" w:ascii="黑体" w:hAnsi="黑体" w:eastAsia="黑体"/>
          <w:color w:val="auto"/>
          <w:szCs w:val="21"/>
          <w:lang w:val="en-US" w:eastAsia="zh-CN"/>
        </w:rPr>
        <w:t>12  生产废弃物的处理</w:t>
      </w:r>
    </w:p>
    <w:p w14:paraId="0AF21E6B">
      <w:pPr>
        <w:pStyle w:val="127"/>
        <w:framePr w:hSpace="0" w:vSpace="0" w:wrap="auto" w:vAnchor="margin" w:hAnchor="text" w:xAlign="left" w:yAlign="inline"/>
        <w:ind w:firstLine="420" w:firstLineChars="200"/>
        <w:rPr>
          <w:rFonts w:hint="eastAsia" w:ascii="黑体" w:hAnsi="黑体" w:eastAsia="黑体"/>
          <w:color w:val="auto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lang w:eastAsia="zh-CN"/>
        </w:rPr>
        <w:t>地膜、农药、肥料包装袋等废弃物统一回收，集中定点处置。前茬收获后应及时将尾菜还田或进行高温发酵堆沤等无害化处理。</w:t>
      </w:r>
    </w:p>
    <w:p w14:paraId="47D1CE1A">
      <w:pPr>
        <w:spacing w:before="283" w:after="317" w:afterLines="100"/>
        <w:rPr>
          <w:rFonts w:hint="eastAsia" w:ascii="宋体" w:hAnsi="宋体" w:eastAsia="宋体" w:cs="宋体"/>
          <w:color w:val="auto"/>
          <w:lang w:eastAsia="zh-CN"/>
        </w:rPr>
      </w:pPr>
      <w:r>
        <w:rPr>
          <w:rFonts w:hint="eastAsia" w:ascii="黑体" w:hAnsi="黑体" w:eastAsia="黑体"/>
          <w:color w:val="auto"/>
          <w:szCs w:val="21"/>
          <w:lang w:val="en-US" w:eastAsia="zh-CN"/>
        </w:rPr>
        <w:t>13  生产档案</w:t>
      </w:r>
    </w:p>
    <w:p w14:paraId="06BFC342">
      <w:pPr>
        <w:spacing w:before="158" w:beforeLines="50" w:after="158" w:afterLines="50"/>
        <w:rPr>
          <w:rFonts w:hint="eastAsia" w:ascii="黑体" w:hAnsi="黑体" w:eastAsia="黑体"/>
          <w:color w:val="auto"/>
          <w:szCs w:val="21"/>
          <w:lang w:val="en-US" w:eastAsia="zh-CN"/>
        </w:rPr>
      </w:pPr>
      <w:r>
        <w:rPr>
          <w:rFonts w:hint="eastAsia" w:ascii="黑体" w:hAnsi="黑体" w:eastAsia="黑体"/>
          <w:color w:val="auto"/>
          <w:szCs w:val="21"/>
          <w:lang w:val="en-US" w:eastAsia="zh-CN"/>
        </w:rPr>
        <w:t>13.1  农业作业记录</w:t>
      </w:r>
    </w:p>
    <w:p w14:paraId="3EBA700C">
      <w:pPr>
        <w:pStyle w:val="127"/>
        <w:framePr w:hSpace="0" w:vSpace="0" w:wrap="auto" w:vAnchor="margin" w:hAnchor="text" w:xAlign="left" w:yAlign="inline"/>
        <w:ind w:firstLine="420" w:firstLineChars="200"/>
        <w:rPr>
          <w:rFonts w:hint="eastAsia" w:ascii="宋体" w:hAnsi="宋体" w:cs="宋体"/>
          <w:color w:val="auto"/>
        </w:rPr>
      </w:pPr>
      <w:r>
        <w:rPr>
          <w:rFonts w:hint="eastAsia" w:ascii="宋体" w:hAnsi="宋体" w:cs="宋体"/>
          <w:color w:val="auto"/>
          <w:lang w:eastAsia="zh-CN"/>
        </w:rPr>
        <w:t>生产</w:t>
      </w:r>
      <w:r>
        <w:rPr>
          <w:rFonts w:hint="eastAsia" w:ascii="宋体" w:hAnsi="宋体" w:cs="宋体"/>
          <w:color w:val="auto"/>
        </w:rPr>
        <w:t>记录</w:t>
      </w:r>
      <w:r>
        <w:rPr>
          <w:rFonts w:hint="eastAsia" w:ascii="宋体" w:hAnsi="宋体" w:cs="宋体"/>
          <w:color w:val="auto"/>
          <w:lang w:eastAsia="zh-CN"/>
        </w:rPr>
        <w:t>及农业投入品记录</w:t>
      </w:r>
      <w:r>
        <w:rPr>
          <w:rFonts w:hint="eastAsia" w:ascii="宋体" w:hAnsi="宋体" w:cs="宋体"/>
          <w:color w:val="auto"/>
        </w:rPr>
        <w:t>应包括育苗、定植、田间管理、病虫害防治等。施药</w:t>
      </w:r>
      <w:r>
        <w:rPr>
          <w:rFonts w:hint="eastAsia" w:ascii="宋体" w:hAnsi="宋体" w:cs="宋体"/>
          <w:color w:val="auto"/>
          <w:lang w:eastAsia="zh-CN"/>
        </w:rPr>
        <w:t>记录应记载农药名称、登记证号、防治对象、使用剂量、一个生产周期使用次数、末次施药到收获的间隔天数等，</w:t>
      </w:r>
      <w:r>
        <w:rPr>
          <w:rFonts w:hint="eastAsia" w:ascii="宋体" w:hAnsi="宋体" w:cs="宋体"/>
          <w:color w:val="auto"/>
        </w:rPr>
        <w:t>施肥记录应记载</w:t>
      </w:r>
      <w:r>
        <w:rPr>
          <w:rFonts w:hint="eastAsia" w:ascii="宋体" w:hAnsi="宋体" w:cs="宋体"/>
          <w:color w:val="auto"/>
          <w:lang w:eastAsia="zh-CN"/>
        </w:rPr>
        <w:t>肥料名称、登记证号、施肥方法、总施肥量、一个生产周期使用次数，每项记录均应记载</w:t>
      </w:r>
      <w:r>
        <w:rPr>
          <w:rFonts w:hint="eastAsia" w:ascii="宋体" w:hAnsi="宋体" w:cs="宋体"/>
          <w:color w:val="auto"/>
        </w:rPr>
        <w:t>时间、地点</w:t>
      </w:r>
      <w:r>
        <w:rPr>
          <w:rFonts w:hint="eastAsia" w:ascii="宋体" w:hAnsi="宋体" w:cs="宋体"/>
          <w:color w:val="auto"/>
          <w:lang w:eastAsia="zh-CN"/>
        </w:rPr>
        <w:t>和</w:t>
      </w:r>
      <w:r>
        <w:rPr>
          <w:rFonts w:hint="eastAsia" w:ascii="宋体" w:hAnsi="宋体" w:cs="宋体"/>
          <w:color w:val="auto"/>
        </w:rPr>
        <w:t>操作负责人信息。</w:t>
      </w:r>
    </w:p>
    <w:p w14:paraId="01D415E2">
      <w:pPr>
        <w:spacing w:before="158" w:beforeLines="50" w:after="158" w:afterLines="50"/>
        <w:rPr>
          <w:rFonts w:hint="eastAsia" w:ascii="黑体" w:hAnsi="黑体" w:eastAsia="黑体"/>
          <w:color w:val="auto"/>
          <w:szCs w:val="21"/>
          <w:lang w:val="en-US" w:eastAsia="zh-CN"/>
        </w:rPr>
      </w:pPr>
      <w:r>
        <w:rPr>
          <w:rFonts w:hint="eastAsia" w:ascii="黑体" w:hAnsi="黑体" w:eastAsia="黑体"/>
          <w:color w:val="auto"/>
          <w:szCs w:val="21"/>
          <w:lang w:val="en-US" w:eastAsia="zh-CN"/>
        </w:rPr>
        <w:t>13.2  收获记录</w:t>
      </w:r>
    </w:p>
    <w:p w14:paraId="4CF8267A">
      <w:pPr>
        <w:pStyle w:val="127"/>
        <w:framePr w:hSpace="0" w:vSpace="0" w:wrap="auto" w:vAnchor="margin" w:hAnchor="text" w:xAlign="left" w:yAlign="inline"/>
        <w:ind w:firstLine="420" w:firstLineChars="200"/>
        <w:rPr>
          <w:rFonts w:hint="eastAsia" w:ascii="宋体" w:hAnsi="宋体" w:cs="宋体"/>
          <w:color w:val="auto"/>
        </w:rPr>
      </w:pPr>
      <w:r>
        <w:rPr>
          <w:rFonts w:hint="eastAsia" w:ascii="宋体" w:hAnsi="宋体" w:cs="宋体"/>
          <w:color w:val="auto"/>
        </w:rPr>
        <w:t>收获负责人应填写每批</w:t>
      </w:r>
      <w:r>
        <w:rPr>
          <w:rFonts w:hint="eastAsia" w:ascii="宋体" w:hAnsi="宋体" w:cs="宋体"/>
          <w:color w:val="auto"/>
          <w:lang w:eastAsia="zh-CN"/>
        </w:rPr>
        <w:t>西兰花</w:t>
      </w:r>
      <w:r>
        <w:rPr>
          <w:rFonts w:hint="eastAsia" w:ascii="宋体" w:hAnsi="宋体" w:cs="宋体"/>
          <w:color w:val="auto"/>
        </w:rPr>
        <w:t>的收获记录,包括收获</w:t>
      </w:r>
      <w:r>
        <w:rPr>
          <w:rFonts w:hint="eastAsia" w:ascii="宋体" w:hAnsi="宋体" w:cs="宋体"/>
          <w:color w:val="auto"/>
          <w:lang w:eastAsia="zh-CN"/>
        </w:rPr>
        <w:t>西兰花</w:t>
      </w:r>
      <w:r>
        <w:rPr>
          <w:rFonts w:hint="eastAsia" w:ascii="宋体" w:hAnsi="宋体" w:cs="宋体"/>
          <w:color w:val="auto"/>
        </w:rPr>
        <w:t>的批次、地</w:t>
      </w:r>
      <w:r>
        <w:rPr>
          <w:rFonts w:hint="eastAsia" w:ascii="宋体" w:hAnsi="宋体" w:cs="宋体"/>
          <w:color w:val="auto"/>
          <w:lang w:val="en-US" w:eastAsia="zh-CN"/>
        </w:rPr>
        <w:t>块编号</w:t>
      </w:r>
      <w:r>
        <w:rPr>
          <w:rFonts w:hint="eastAsia" w:ascii="宋体" w:hAnsi="宋体" w:cs="宋体"/>
          <w:color w:val="auto"/>
        </w:rPr>
        <w:t>、时间、数量</w:t>
      </w:r>
      <w:r>
        <w:rPr>
          <w:rFonts w:hint="eastAsia" w:ascii="宋体" w:hAnsi="宋体" w:cs="宋体"/>
          <w:color w:val="auto"/>
          <w:lang w:eastAsia="zh-CN"/>
        </w:rPr>
        <w:t>或产量</w:t>
      </w:r>
      <w:r>
        <w:rPr>
          <w:rFonts w:hint="eastAsia" w:ascii="宋体" w:hAnsi="宋体" w:cs="宋体"/>
          <w:color w:val="auto"/>
        </w:rPr>
        <w:t>等信息。</w:t>
      </w:r>
    </w:p>
    <w:p w14:paraId="12AA9CAB">
      <w:pPr>
        <w:spacing w:before="158" w:beforeLines="50" w:after="158" w:afterLines="50"/>
        <w:rPr>
          <w:rFonts w:hint="eastAsia" w:ascii="黑体" w:hAnsi="黑体" w:eastAsia="黑体"/>
          <w:color w:val="auto"/>
          <w:szCs w:val="21"/>
          <w:lang w:val="en-US" w:eastAsia="zh-CN"/>
        </w:rPr>
      </w:pPr>
      <w:r>
        <w:rPr>
          <w:rFonts w:hint="eastAsia" w:ascii="黑体" w:hAnsi="黑体" w:eastAsia="黑体"/>
          <w:color w:val="auto"/>
          <w:szCs w:val="21"/>
          <w:lang w:val="en-US" w:eastAsia="zh-CN"/>
        </w:rPr>
        <w:t>13.3  检测记录</w:t>
      </w:r>
    </w:p>
    <w:p w14:paraId="46BAAEBC">
      <w:pPr>
        <w:pStyle w:val="127"/>
        <w:framePr w:hSpace="0" w:vSpace="0" w:wrap="auto" w:vAnchor="margin" w:hAnchor="text" w:xAlign="left" w:yAlign="inline"/>
        <w:ind w:firstLine="420" w:firstLineChars="200"/>
        <w:rPr>
          <w:rFonts w:hint="eastAsia" w:ascii="宋体" w:hAnsi="宋体" w:cs="宋体"/>
          <w:color w:val="auto"/>
        </w:rPr>
      </w:pPr>
      <w:r>
        <w:rPr>
          <w:rFonts w:hint="eastAsia" w:ascii="宋体" w:hAnsi="宋体" w:cs="宋体"/>
          <w:color w:val="auto"/>
        </w:rPr>
        <w:t>检测负责人应填写</w:t>
      </w:r>
      <w:r>
        <w:rPr>
          <w:rFonts w:hint="eastAsia" w:ascii="宋体" w:hAnsi="宋体" w:cs="宋体"/>
          <w:color w:val="auto"/>
          <w:lang w:eastAsia="zh-CN"/>
        </w:rPr>
        <w:t>西兰花</w:t>
      </w:r>
      <w:r>
        <w:rPr>
          <w:rFonts w:hint="eastAsia" w:ascii="宋体" w:hAnsi="宋体" w:cs="宋体"/>
          <w:color w:val="auto"/>
        </w:rPr>
        <w:t>农药残留快速检测记录,包括采样时间、地</w:t>
      </w:r>
      <w:r>
        <w:rPr>
          <w:rFonts w:hint="eastAsia" w:ascii="宋体" w:hAnsi="宋体" w:cs="宋体"/>
          <w:color w:val="auto"/>
          <w:lang w:val="en-US" w:eastAsia="zh-CN"/>
        </w:rPr>
        <w:t>块编号</w:t>
      </w:r>
      <w:r>
        <w:rPr>
          <w:rFonts w:hint="eastAsia" w:ascii="宋体" w:hAnsi="宋体" w:cs="宋体"/>
          <w:color w:val="auto"/>
        </w:rPr>
        <w:t>、批次、检测结果等信息。</w:t>
      </w:r>
    </w:p>
    <w:p w14:paraId="3156B2DF">
      <w:pPr>
        <w:spacing w:before="158" w:beforeLines="50" w:after="158" w:afterLines="50"/>
        <w:rPr>
          <w:rFonts w:hint="eastAsia" w:ascii="黑体" w:hAnsi="黑体" w:eastAsia="黑体"/>
          <w:color w:val="auto"/>
          <w:szCs w:val="21"/>
          <w:lang w:val="en-US" w:eastAsia="zh-CN"/>
        </w:rPr>
      </w:pPr>
      <w:r>
        <w:rPr>
          <w:rFonts w:hint="eastAsia" w:ascii="黑体" w:hAnsi="黑体" w:eastAsia="黑体"/>
          <w:color w:val="auto"/>
          <w:szCs w:val="21"/>
          <w:lang w:val="en-US" w:eastAsia="zh-CN"/>
        </w:rPr>
        <w:t>13.4  存储运输记录</w:t>
      </w:r>
    </w:p>
    <w:p w14:paraId="41CCF2BB">
      <w:pPr>
        <w:pStyle w:val="127"/>
        <w:framePr w:hSpace="0" w:vSpace="0" w:wrap="auto" w:vAnchor="margin" w:hAnchor="text" w:xAlign="left" w:yAlign="inline"/>
        <w:ind w:firstLine="420" w:firstLineChars="200"/>
        <w:rPr>
          <w:rFonts w:hint="eastAsia" w:ascii="宋体" w:hAnsi="宋体" w:cs="宋体"/>
          <w:color w:val="auto"/>
        </w:rPr>
      </w:pPr>
      <w:r>
        <w:rPr>
          <w:rFonts w:hint="eastAsia" w:ascii="宋体" w:hAnsi="宋体" w:cs="宋体"/>
          <w:color w:val="auto"/>
        </w:rPr>
        <w:t>仓储负责人应填写</w:t>
      </w:r>
      <w:r>
        <w:rPr>
          <w:rFonts w:hint="eastAsia" w:ascii="宋体" w:hAnsi="宋体" w:cs="宋体"/>
          <w:color w:val="auto"/>
          <w:lang w:eastAsia="zh-CN"/>
        </w:rPr>
        <w:t>西兰花</w:t>
      </w:r>
      <w:r>
        <w:rPr>
          <w:rFonts w:hint="eastAsia" w:ascii="宋体" w:hAnsi="宋体" w:cs="宋体"/>
          <w:color w:val="auto"/>
        </w:rPr>
        <w:t>的存储运输记录,包括存放地点和方式、入库出库时间和数量、运输时间和数量、车辆清洁记录等信息。</w:t>
      </w:r>
    </w:p>
    <w:p w14:paraId="03F0D958">
      <w:pPr>
        <w:spacing w:before="158" w:beforeLines="50" w:after="158" w:afterLines="50"/>
        <w:rPr>
          <w:rFonts w:hint="eastAsia" w:ascii="黑体" w:hAnsi="黑体" w:eastAsia="黑体"/>
          <w:color w:val="auto"/>
          <w:szCs w:val="21"/>
          <w:lang w:val="en-US" w:eastAsia="zh-CN"/>
        </w:rPr>
      </w:pPr>
      <w:r>
        <w:rPr>
          <w:rFonts w:hint="eastAsia" w:ascii="黑体" w:hAnsi="黑体" w:eastAsia="黑体"/>
          <w:color w:val="auto"/>
          <w:szCs w:val="21"/>
          <w:lang w:val="en-US" w:eastAsia="zh-CN"/>
        </w:rPr>
        <w:t>13.5  销售记录</w:t>
      </w:r>
    </w:p>
    <w:p w14:paraId="0DA8AC30">
      <w:pPr>
        <w:pStyle w:val="127"/>
        <w:framePr w:hSpace="0" w:vSpace="0" w:wrap="auto" w:vAnchor="margin" w:hAnchor="text" w:xAlign="left" w:yAlign="inline"/>
        <w:ind w:firstLine="420" w:firstLineChars="200"/>
        <w:rPr>
          <w:rFonts w:hint="eastAsia" w:ascii="宋体" w:hAnsi="宋体" w:cs="宋体"/>
          <w:color w:val="auto"/>
        </w:rPr>
      </w:pPr>
      <w:r>
        <w:rPr>
          <w:rFonts w:hint="eastAsia" w:ascii="宋体" w:hAnsi="宋体" w:cs="宋体"/>
          <w:color w:val="auto"/>
        </w:rPr>
        <w:t>销售负责人应填写</w:t>
      </w:r>
      <w:r>
        <w:rPr>
          <w:rFonts w:hint="eastAsia" w:ascii="宋体" w:hAnsi="宋体" w:cs="宋体"/>
          <w:color w:val="auto"/>
          <w:lang w:eastAsia="zh-CN"/>
        </w:rPr>
        <w:t>西兰花</w:t>
      </w:r>
      <w:r>
        <w:rPr>
          <w:rFonts w:hint="eastAsia" w:ascii="宋体" w:hAnsi="宋体" w:cs="宋体"/>
          <w:color w:val="auto"/>
        </w:rPr>
        <w:t>的销售记录,包括所售</w:t>
      </w:r>
      <w:r>
        <w:rPr>
          <w:rFonts w:hint="eastAsia" w:ascii="宋体" w:hAnsi="宋体" w:cs="宋体"/>
          <w:color w:val="auto"/>
          <w:lang w:eastAsia="zh-CN"/>
        </w:rPr>
        <w:t>西兰花</w:t>
      </w:r>
      <w:r>
        <w:rPr>
          <w:rFonts w:hint="eastAsia" w:ascii="宋体" w:hAnsi="宋体" w:cs="宋体"/>
          <w:color w:val="auto"/>
        </w:rPr>
        <w:t>的数量、等级、时间、交货地点、需方名称、损失等信息。</w:t>
      </w:r>
    </w:p>
    <w:p w14:paraId="27F0C490">
      <w:pPr>
        <w:spacing w:before="158" w:beforeLines="50" w:after="158" w:afterLines="50"/>
        <w:rPr>
          <w:rFonts w:hint="eastAsia" w:ascii="黑体" w:hAnsi="黑体" w:eastAsia="黑体"/>
          <w:color w:val="auto"/>
          <w:szCs w:val="21"/>
          <w:lang w:val="en-US" w:eastAsia="zh-CN"/>
        </w:rPr>
      </w:pPr>
      <w:r>
        <w:rPr>
          <w:rFonts w:hint="eastAsia" w:ascii="黑体" w:hAnsi="黑体" w:eastAsia="黑体"/>
          <w:color w:val="auto"/>
          <w:szCs w:val="21"/>
          <w:lang w:val="en-US" w:eastAsia="zh-CN"/>
        </w:rPr>
        <w:t>13.6  保存时间</w:t>
      </w:r>
    </w:p>
    <w:p w14:paraId="07A7B1EE">
      <w:pPr>
        <w:pStyle w:val="127"/>
        <w:framePr w:hSpace="0" w:vSpace="0" w:wrap="auto" w:vAnchor="margin" w:hAnchor="text" w:xAlign="left" w:yAlign="inline"/>
        <w:ind w:firstLine="420" w:firstLineChars="200"/>
        <w:rPr>
          <w:rFonts w:hint="eastAsia" w:ascii="宋体" w:hAnsi="宋体" w:cs="宋体"/>
          <w:color w:val="auto"/>
        </w:rPr>
      </w:pPr>
      <w:r>
        <w:rPr>
          <w:rFonts w:hint="eastAsia" w:ascii="宋体" w:hAnsi="宋体" w:cs="宋体"/>
          <w:color w:val="auto"/>
        </w:rPr>
        <w:t>上述记录应及时填写。填写人应保证填写内容真实准确,并对其负责。所有记录应以纸质或电子数据形式存档</w:t>
      </w:r>
      <w:r>
        <w:rPr>
          <w:rFonts w:hint="eastAsia" w:ascii="宋体" w:hAnsi="宋体" w:cs="宋体"/>
          <w:color w:val="auto"/>
          <w:lang w:eastAsia="zh-CN"/>
        </w:rPr>
        <w:t>，</w:t>
      </w:r>
      <w:r>
        <w:rPr>
          <w:rFonts w:hint="eastAsia" w:ascii="宋体" w:hAnsi="宋体" w:cs="宋体"/>
          <w:color w:val="auto"/>
        </w:rPr>
        <w:t>所有记录档案应保存3年以上</w:t>
      </w:r>
      <w:r>
        <w:rPr>
          <w:rFonts w:hint="eastAsia" w:ascii="宋体" w:hAnsi="宋体" w:cs="宋体"/>
          <w:color w:val="auto"/>
          <w:lang w:eastAsia="zh-CN"/>
        </w:rPr>
        <w:t>，</w:t>
      </w:r>
      <w:r>
        <w:rPr>
          <w:rFonts w:hint="eastAsia" w:ascii="宋体" w:hAnsi="宋体" w:cs="宋体"/>
          <w:color w:val="auto"/>
        </w:rPr>
        <w:t>并定期核查。</w:t>
      </w:r>
    </w:p>
    <w:p w14:paraId="748BF6F0">
      <w:pPr>
        <w:spacing w:before="317" w:beforeLines="100" w:after="317" w:afterLines="100"/>
        <w:rPr>
          <w:rFonts w:ascii="黑体" w:hAnsi="黑体" w:eastAsia="黑体"/>
          <w:color w:val="auto"/>
          <w:szCs w:val="21"/>
        </w:rPr>
      </w:pPr>
      <w:r>
        <w:rPr>
          <w:rFonts w:hint="eastAsia" w:ascii="黑体" w:hAnsi="黑体" w:eastAsia="黑体"/>
          <w:color w:val="auto"/>
          <w:szCs w:val="21"/>
          <w:lang w:val="en-US" w:eastAsia="zh-CN"/>
        </w:rPr>
        <w:t>14</w:t>
      </w:r>
      <w:r>
        <w:rPr>
          <w:rFonts w:hint="eastAsia" w:ascii="黑体" w:hAnsi="黑体" w:eastAsia="黑体"/>
          <w:color w:val="auto"/>
          <w:szCs w:val="21"/>
        </w:rPr>
        <w:t xml:space="preserve">  产品质量追溯</w:t>
      </w:r>
    </w:p>
    <w:p w14:paraId="77109513">
      <w:pPr>
        <w:pStyle w:val="127"/>
        <w:framePr w:hSpace="0" w:vSpace="0" w:wrap="auto" w:vAnchor="margin" w:hAnchor="text" w:xAlign="left" w:yAlign="inline"/>
        <w:rPr>
          <w:rFonts w:hint="default" w:ascii="黑体" w:hAnsi="黑体" w:eastAsia="黑体"/>
          <w:color w:val="auto"/>
          <w:szCs w:val="21"/>
          <w:lang w:val="en-US" w:eastAsia="zh-CN"/>
        </w:rPr>
      </w:pPr>
      <w:r>
        <w:rPr>
          <w:rFonts w:hint="eastAsia" w:ascii="黑体" w:hAnsi="黑体" w:eastAsia="黑体"/>
          <w:color w:val="auto"/>
          <w:szCs w:val="21"/>
          <w:lang w:val="en-US" w:eastAsia="zh-CN"/>
        </w:rPr>
        <w:t xml:space="preserve">14.1  </w:t>
      </w:r>
      <w:r>
        <w:rPr>
          <w:rFonts w:hint="eastAsia" w:ascii="宋体" w:hAnsi="宋体" w:cs="宋体"/>
          <w:color w:val="auto"/>
          <w:lang w:val="en-US" w:eastAsia="zh-CN"/>
        </w:rPr>
        <w:t>应建立</w:t>
      </w:r>
      <w:r>
        <w:rPr>
          <w:rFonts w:hint="eastAsia" w:ascii="宋体" w:hAnsi="宋体" w:cs="宋体"/>
          <w:color w:val="auto"/>
        </w:rPr>
        <w:t>产品质量</w:t>
      </w:r>
      <w:r>
        <w:rPr>
          <w:rFonts w:hint="eastAsia" w:ascii="宋体" w:hAnsi="宋体" w:cs="宋体"/>
          <w:color w:val="auto"/>
          <w:lang w:val="en-US" w:eastAsia="zh-CN"/>
        </w:rPr>
        <w:t>可追溯体系，制定生产批号，保留生产中涉及的各种物料原始凭证票据和记录文件，并建立内部自查制度和产品投诉处理等制度，对质量安全管控、基地内部制定执行等进行自查。</w:t>
      </w:r>
    </w:p>
    <w:p w14:paraId="2B485F2E">
      <w:pPr>
        <w:pStyle w:val="127"/>
        <w:framePr w:hSpace="0" w:vSpace="0" w:wrap="auto" w:vAnchor="margin" w:hAnchor="text" w:xAlign="left" w:yAlign="inline"/>
        <w:rPr>
          <w:rFonts w:hint="eastAsia" w:ascii="宋体" w:hAnsi="宋体" w:eastAsia="宋体" w:cs="宋体"/>
          <w:color w:val="auto"/>
          <w:lang w:eastAsia="zh-CN"/>
        </w:rPr>
      </w:pPr>
      <w:r>
        <w:rPr>
          <w:rFonts w:hint="eastAsia" w:ascii="黑体" w:hAnsi="黑体" w:eastAsia="黑体"/>
          <w:color w:val="auto"/>
          <w:szCs w:val="21"/>
        </w:rPr>
        <w:t>1</w:t>
      </w:r>
      <w:r>
        <w:rPr>
          <w:rFonts w:hint="eastAsia" w:ascii="黑体" w:hAnsi="黑体" w:eastAsia="黑体"/>
          <w:color w:val="auto"/>
          <w:szCs w:val="21"/>
          <w:lang w:val="en-US" w:eastAsia="zh-CN"/>
        </w:rPr>
        <w:t>4</w:t>
      </w:r>
      <w:r>
        <w:rPr>
          <w:rFonts w:hint="eastAsia" w:ascii="黑体" w:hAnsi="黑体" w:eastAsia="黑体"/>
          <w:color w:val="auto"/>
          <w:szCs w:val="21"/>
        </w:rPr>
        <w:t>.</w:t>
      </w:r>
      <w:r>
        <w:rPr>
          <w:rFonts w:hint="eastAsia" w:ascii="黑体" w:hAnsi="黑体" w:eastAsia="黑体"/>
          <w:color w:val="auto"/>
          <w:szCs w:val="21"/>
          <w:lang w:val="en-US" w:eastAsia="zh-CN"/>
        </w:rPr>
        <w:t>2</w:t>
      </w:r>
      <w:r>
        <w:rPr>
          <w:rFonts w:hint="eastAsia" w:ascii="黑体" w:hAnsi="黑体" w:eastAsia="黑体"/>
          <w:color w:val="auto"/>
          <w:szCs w:val="21"/>
        </w:rPr>
        <w:t xml:space="preserve">  </w:t>
      </w:r>
      <w:r>
        <w:rPr>
          <w:rFonts w:hint="eastAsia" w:ascii="宋体" w:hAnsi="宋体" w:cs="宋体"/>
          <w:color w:val="auto"/>
        </w:rPr>
        <w:t>生产主体</w:t>
      </w:r>
      <w:r>
        <w:rPr>
          <w:rFonts w:hint="eastAsia" w:ascii="宋体" w:hAnsi="宋体" w:cs="宋体"/>
          <w:color w:val="auto"/>
          <w:lang w:val="en-US" w:eastAsia="zh-CN"/>
        </w:rPr>
        <w:t>销售时应出具农</w:t>
      </w:r>
      <w:r>
        <w:rPr>
          <w:rFonts w:hint="eastAsia" w:ascii="宋体" w:hAnsi="宋体" w:cs="宋体"/>
          <w:color w:val="auto"/>
        </w:rPr>
        <w:t>产品</w:t>
      </w:r>
      <w:r>
        <w:rPr>
          <w:rFonts w:hint="eastAsia" w:ascii="宋体" w:hAnsi="宋体" w:cs="宋体"/>
          <w:color w:val="auto"/>
          <w:lang w:val="en-US" w:eastAsia="zh-CN"/>
        </w:rPr>
        <w:t>质量安全承诺达标</w:t>
      </w:r>
      <w:r>
        <w:rPr>
          <w:rFonts w:hint="eastAsia" w:ascii="宋体" w:hAnsi="宋体" w:cs="宋体"/>
          <w:color w:val="auto"/>
        </w:rPr>
        <w:t>合格</w:t>
      </w:r>
      <w:r>
        <w:rPr>
          <w:rFonts w:hint="eastAsia" w:ascii="宋体" w:hAnsi="宋体" w:cs="宋体"/>
          <w:color w:val="auto"/>
          <w:lang w:val="en-US" w:eastAsia="zh-CN"/>
        </w:rPr>
        <w:t>证</w:t>
      </w:r>
      <w:r>
        <w:rPr>
          <w:rFonts w:hint="eastAsia" w:ascii="宋体" w:hAnsi="宋体" w:cs="宋体"/>
          <w:color w:val="auto"/>
        </w:rPr>
        <w:t>。</w:t>
      </w:r>
    </w:p>
    <w:p w14:paraId="4B63A932">
      <w:pPr>
        <w:pStyle w:val="127"/>
        <w:framePr w:hSpace="0" w:vSpace="0" w:wrap="auto" w:vAnchor="margin" w:hAnchor="text" w:xAlign="left" w:yAlign="inline"/>
        <w:rPr>
          <w:rFonts w:hint="eastAsia" w:ascii="宋体" w:hAnsi="宋体" w:cs="宋体"/>
          <w:color w:val="auto"/>
        </w:rPr>
      </w:pPr>
      <w:r>
        <w:rPr>
          <w:rFonts w:hint="eastAsia" w:ascii="黑体" w:hAnsi="黑体" w:eastAsia="黑体"/>
          <w:color w:val="auto"/>
          <w:szCs w:val="21"/>
        </w:rPr>
        <w:t>1</w:t>
      </w:r>
      <w:r>
        <w:rPr>
          <w:rFonts w:hint="eastAsia" w:ascii="黑体" w:hAnsi="黑体" w:eastAsia="黑体"/>
          <w:color w:val="auto"/>
          <w:szCs w:val="21"/>
          <w:lang w:val="en-US" w:eastAsia="zh-CN"/>
        </w:rPr>
        <w:t>4</w:t>
      </w:r>
      <w:r>
        <w:rPr>
          <w:rFonts w:hint="eastAsia" w:ascii="黑体" w:hAnsi="黑体" w:eastAsia="黑体"/>
          <w:color w:val="auto"/>
          <w:szCs w:val="21"/>
        </w:rPr>
        <w:t>.</w:t>
      </w:r>
      <w:r>
        <w:rPr>
          <w:rFonts w:hint="eastAsia" w:ascii="黑体" w:hAnsi="黑体" w:eastAsia="黑体"/>
          <w:color w:val="auto"/>
          <w:szCs w:val="21"/>
          <w:lang w:val="en-US" w:eastAsia="zh-CN"/>
        </w:rPr>
        <w:t>3</w:t>
      </w:r>
      <w:r>
        <w:rPr>
          <w:rFonts w:hint="eastAsia" w:ascii="黑体" w:hAnsi="黑体" w:eastAsia="黑体"/>
          <w:color w:val="auto"/>
          <w:szCs w:val="21"/>
        </w:rPr>
        <w:t xml:space="preserve">  </w:t>
      </w:r>
      <w:r>
        <w:rPr>
          <w:rFonts w:hint="eastAsia" w:ascii="宋体" w:hAnsi="宋体" w:cs="宋体"/>
          <w:color w:val="auto"/>
        </w:rPr>
        <w:t>根据 GB/T 29373 的要求，推荐借助自动化物联网设备构建可追溯体系，具备产地追溯、产地农业四情信息记录查看、生产资料电子档案追溯、生产流程电子档案追溯等功能。</w:t>
      </w:r>
    </w:p>
    <w:p w14:paraId="73B8AE3A">
      <w:pPr>
        <w:pStyle w:val="127"/>
        <w:framePr w:hSpace="0" w:vSpace="0" w:wrap="auto" w:vAnchor="margin" w:hAnchor="text" w:xAlign="left" w:yAlign="inline"/>
        <w:rPr>
          <w:rFonts w:hint="eastAsia" w:ascii="宋体" w:hAnsi="宋体" w:cs="宋体"/>
          <w:color w:val="auto"/>
        </w:rPr>
        <w:sectPr>
          <w:headerReference r:id="rId10" w:type="default"/>
          <w:footerReference r:id="rId11" w:type="default"/>
          <w:footerReference r:id="rId12" w:type="even"/>
          <w:pgSz w:w="11906" w:h="16838"/>
          <w:pgMar w:top="1417" w:right="1134" w:bottom="1134" w:left="1417" w:header="1418" w:footer="1134" w:gutter="0"/>
          <w:pgNumType w:fmt="decimal" w:start="1"/>
          <w:cols w:space="720" w:num="1"/>
          <w:formProt w:val="0"/>
          <w:docGrid w:type="lines" w:linePitch="317" w:charSpace="0"/>
        </w:sectPr>
      </w:pPr>
    </w:p>
    <w:p w14:paraId="07B0A013">
      <w:pPr>
        <w:pStyle w:val="127"/>
        <w:framePr w:hSpace="0" w:vSpace="0" w:wrap="auto" w:vAnchor="margin" w:hAnchor="text" w:xAlign="left" w:yAlign="inline"/>
        <w:rPr>
          <w:rFonts w:hint="eastAsia" w:ascii="宋体" w:hAnsi="宋体" w:cs="宋体"/>
          <w:color w:val="auto"/>
        </w:rPr>
      </w:pPr>
    </w:p>
    <w:p w14:paraId="6D6BFE21">
      <w:pPr>
        <w:pStyle w:val="127"/>
        <w:framePr w:hSpace="0" w:vSpace="0" w:wrap="auto" w:vAnchor="margin" w:hAnchor="text" w:xAlign="left" w:yAlign="inline"/>
        <w:jc w:val="center"/>
        <w:rPr>
          <w:rFonts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Cs w:val="21"/>
        </w:rPr>
        <w:t>附 录 A</w:t>
      </w:r>
    </w:p>
    <w:p w14:paraId="63D79476">
      <w:pPr>
        <w:pStyle w:val="127"/>
        <w:framePr w:hSpace="0" w:vSpace="0" w:wrap="auto" w:vAnchor="margin" w:hAnchor="text" w:xAlign="left" w:yAlign="inline"/>
        <w:jc w:val="center"/>
        <w:rPr>
          <w:rFonts w:hint="eastAsia" w:ascii="黑体" w:hAnsi="黑体" w:eastAsia="黑体" w:cs="黑体"/>
          <w:color w:val="auto"/>
        </w:rPr>
      </w:pPr>
      <w:r>
        <w:rPr>
          <w:rFonts w:hint="eastAsia" w:ascii="黑体" w:hAnsi="黑体" w:eastAsia="黑体" w:cs="黑体"/>
          <w:color w:val="auto"/>
        </w:rPr>
        <w:t>（资料性）</w:t>
      </w:r>
    </w:p>
    <w:p w14:paraId="3564E901">
      <w:pPr>
        <w:pStyle w:val="127"/>
        <w:framePr w:hSpace="0" w:vSpace="0" w:wrap="auto" w:vAnchor="margin" w:hAnchor="text" w:xAlign="left" w:yAlign="inline"/>
        <w:spacing w:after="283"/>
        <w:jc w:val="center"/>
        <w:rPr>
          <w:rFonts w:hint="default" w:ascii="黑体" w:hAnsi="黑体" w:eastAsia="黑体" w:cs="黑体"/>
          <w:color w:val="auto"/>
          <w:lang w:val="en-US" w:eastAsia="zh-CN"/>
        </w:rPr>
      </w:pPr>
      <w:r>
        <w:rPr>
          <w:rFonts w:hint="eastAsia" w:ascii="黑体" w:hAnsi="黑体" w:eastAsia="黑体" w:cs="黑体"/>
          <w:color w:val="auto"/>
          <w:lang w:eastAsia="zh-CN"/>
        </w:rPr>
        <w:t>西兰花</w:t>
      </w:r>
      <w:r>
        <w:rPr>
          <w:rFonts w:hint="eastAsia" w:ascii="黑体" w:hAnsi="黑体" w:eastAsia="黑体" w:cs="黑体"/>
          <w:color w:val="auto"/>
        </w:rPr>
        <w:t>主要病虫害</w:t>
      </w:r>
      <w:r>
        <w:rPr>
          <w:rFonts w:hint="eastAsia" w:ascii="黑体" w:hAnsi="黑体" w:eastAsia="黑体" w:cs="黑体"/>
          <w:color w:val="auto"/>
          <w:lang w:val="en-US" w:eastAsia="zh-CN"/>
        </w:rPr>
        <w:t>农药防控推荐</w:t>
      </w:r>
    </w:p>
    <w:tbl>
      <w:tblPr>
        <w:tblStyle w:val="3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"/>
        <w:gridCol w:w="1701"/>
        <w:gridCol w:w="2665"/>
        <w:gridCol w:w="2381"/>
        <w:gridCol w:w="1367"/>
        <w:gridCol w:w="1367"/>
        <w:gridCol w:w="1368"/>
        <w:gridCol w:w="1368"/>
      </w:tblGrid>
      <w:tr w14:paraId="73D6E2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vAlign w:val="center"/>
          </w:tcPr>
          <w:p w14:paraId="0DA19BD6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eastAsia="zh-CN"/>
              </w:rPr>
              <w:t>防治对象</w:t>
            </w:r>
          </w:p>
        </w:tc>
        <w:tc>
          <w:tcPr>
            <w:tcW w:w="1701" w:type="dxa"/>
            <w:vAlign w:val="center"/>
          </w:tcPr>
          <w:p w14:paraId="00D428D9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eastAsia="zh-CN"/>
              </w:rPr>
              <w:t>防治适期</w:t>
            </w:r>
          </w:p>
        </w:tc>
        <w:tc>
          <w:tcPr>
            <w:tcW w:w="2665" w:type="dxa"/>
            <w:vAlign w:val="center"/>
          </w:tcPr>
          <w:p w14:paraId="46AB1469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eastAsia="zh-CN"/>
              </w:rPr>
              <w:t>药剂名称</w:t>
            </w:r>
          </w:p>
        </w:tc>
        <w:tc>
          <w:tcPr>
            <w:tcW w:w="2381" w:type="dxa"/>
            <w:vAlign w:val="center"/>
          </w:tcPr>
          <w:p w14:paraId="7E354F80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eastAsia="zh-CN"/>
              </w:rPr>
              <w:t>使用量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/66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 xml:space="preserve"> m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2</w:t>
            </w:r>
          </w:p>
        </w:tc>
        <w:tc>
          <w:tcPr>
            <w:tcW w:w="1367" w:type="dxa"/>
            <w:vAlign w:val="center"/>
          </w:tcPr>
          <w:p w14:paraId="0B530BBD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eastAsia="zh-CN"/>
              </w:rPr>
              <w:t>使用方法</w:t>
            </w:r>
          </w:p>
        </w:tc>
        <w:tc>
          <w:tcPr>
            <w:tcW w:w="1367" w:type="dxa"/>
            <w:vAlign w:val="center"/>
          </w:tcPr>
          <w:p w14:paraId="65398ECC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eastAsia="zh-CN"/>
              </w:rPr>
              <w:t>安全间隔期（天）</w:t>
            </w:r>
          </w:p>
        </w:tc>
        <w:tc>
          <w:tcPr>
            <w:tcW w:w="1368" w:type="dxa"/>
            <w:vAlign w:val="center"/>
          </w:tcPr>
          <w:p w14:paraId="3CAF2A27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eastAsia="zh-CN"/>
              </w:rPr>
              <w:t>每茬最多使用次数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vertAlign w:val="baseline"/>
                <w:lang w:eastAsia="zh-CN"/>
              </w:rPr>
              <w:t>（次）</w:t>
            </w:r>
          </w:p>
        </w:tc>
        <w:tc>
          <w:tcPr>
            <w:tcW w:w="1368" w:type="dxa"/>
            <w:vAlign w:val="center"/>
          </w:tcPr>
          <w:p w14:paraId="66C645D3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兼治</w:t>
            </w:r>
          </w:p>
        </w:tc>
      </w:tr>
      <w:tr w14:paraId="4AFB3F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vAlign w:val="center"/>
          </w:tcPr>
          <w:p w14:paraId="19F8444C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eastAsia="zh-CN"/>
              </w:rPr>
              <w:t>猝倒病</w:t>
            </w:r>
          </w:p>
        </w:tc>
        <w:tc>
          <w:tcPr>
            <w:tcW w:w="1701" w:type="dxa"/>
            <w:vAlign w:val="center"/>
          </w:tcPr>
          <w:p w14:paraId="2A0125D9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vertAlign w:val="baseline"/>
                <w:lang w:eastAsia="zh-CN"/>
              </w:rPr>
              <w:t>播种前</w:t>
            </w:r>
          </w:p>
        </w:tc>
        <w:tc>
          <w:tcPr>
            <w:tcW w:w="2665" w:type="dxa"/>
            <w:vAlign w:val="center"/>
          </w:tcPr>
          <w:p w14:paraId="374A20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kern w:val="0"/>
                <w:sz w:val="21"/>
                <w:szCs w:val="21"/>
                <w:highlight w:val="none"/>
                <w:shd w:val="clear" w:fill="auto"/>
                <w:lang w:val="en-US" w:eastAsia="zh-CN" w:bidi="ar-SA"/>
              </w:rPr>
              <w:t>62.5 g/L精甲·咯菌腈悬浮种衣剂</w:t>
            </w:r>
          </w:p>
        </w:tc>
        <w:tc>
          <w:tcPr>
            <w:tcW w:w="2381" w:type="dxa"/>
            <w:vAlign w:val="center"/>
          </w:tcPr>
          <w:p w14:paraId="495568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400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mL</w:t>
            </w:r>
            <w:r>
              <w:rPr>
                <w:rFonts w:hint="eastAsia" w:ascii="华文仿宋" w:hAnsi="华文仿宋" w:eastAsia="华文仿宋" w:cs="华文仿宋"/>
                <w:i w:val="0"/>
                <w:caps w:val="0"/>
                <w:color w:val="auto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~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800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mL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/100公斤种子</w:t>
            </w:r>
          </w:p>
        </w:tc>
        <w:tc>
          <w:tcPr>
            <w:tcW w:w="1367" w:type="dxa"/>
            <w:vAlign w:val="center"/>
          </w:tcPr>
          <w:p w14:paraId="199B68DA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vertAlign w:val="baseline"/>
                <w:lang w:eastAsia="zh-CN"/>
              </w:rPr>
              <w:t>包衣</w:t>
            </w:r>
          </w:p>
        </w:tc>
        <w:tc>
          <w:tcPr>
            <w:tcW w:w="1367" w:type="dxa"/>
            <w:vAlign w:val="center"/>
          </w:tcPr>
          <w:p w14:paraId="632B4F7B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/</w:t>
            </w:r>
          </w:p>
        </w:tc>
        <w:tc>
          <w:tcPr>
            <w:tcW w:w="1368" w:type="dxa"/>
            <w:vAlign w:val="center"/>
          </w:tcPr>
          <w:p w14:paraId="0BFE00A7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/</w:t>
            </w:r>
          </w:p>
        </w:tc>
        <w:tc>
          <w:tcPr>
            <w:tcW w:w="1368" w:type="dxa"/>
            <w:vAlign w:val="center"/>
          </w:tcPr>
          <w:p w14:paraId="67DC0DD5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  <w:t>立枯病</w:t>
            </w:r>
          </w:p>
        </w:tc>
      </w:tr>
      <w:tr w14:paraId="7F05C7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vAlign w:val="center"/>
          </w:tcPr>
          <w:p w14:paraId="6288680E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立枯病</w:t>
            </w:r>
          </w:p>
        </w:tc>
        <w:tc>
          <w:tcPr>
            <w:tcW w:w="1701" w:type="dxa"/>
            <w:vAlign w:val="center"/>
          </w:tcPr>
          <w:p w14:paraId="79AF2B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shd w:val="clear" w:fill="FFFFFF"/>
                <w:lang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shd w:val="clear" w:fill="FFFFFF"/>
                <w:lang w:eastAsia="zh-CN" w:bidi="ar"/>
              </w:rPr>
              <w:t>幼苗期，发病初期</w:t>
            </w:r>
          </w:p>
        </w:tc>
        <w:tc>
          <w:tcPr>
            <w:tcW w:w="2665" w:type="dxa"/>
            <w:vAlign w:val="center"/>
          </w:tcPr>
          <w:p w14:paraId="7E13EA12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eastAsia" w:ascii="宋体" w:hAnsi="宋体" w:cs="宋体"/>
                <w:i w:val="0"/>
                <w:caps w:val="0"/>
                <w:color w:val="auto"/>
                <w:spacing w:val="0"/>
                <w:kern w:val="0"/>
                <w:sz w:val="21"/>
                <w:szCs w:val="21"/>
                <w:highlight w:val="none"/>
                <w:shd w:val="clear" w:fill="auto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aps w:val="0"/>
                <w:color w:val="auto"/>
                <w:spacing w:val="0"/>
                <w:kern w:val="0"/>
                <w:sz w:val="21"/>
                <w:szCs w:val="21"/>
                <w:highlight w:val="none"/>
                <w:shd w:val="clear" w:fill="auto"/>
                <w:lang w:val="en-US" w:eastAsia="zh-CN" w:bidi="ar-SA"/>
              </w:rPr>
              <w:t>50%多菌灵可湿性粉剂</w:t>
            </w:r>
          </w:p>
        </w:tc>
        <w:tc>
          <w:tcPr>
            <w:tcW w:w="2381" w:type="dxa"/>
            <w:vAlign w:val="center"/>
          </w:tcPr>
          <w:p w14:paraId="4EAD59ED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500g</w:t>
            </w:r>
          </w:p>
        </w:tc>
        <w:tc>
          <w:tcPr>
            <w:tcW w:w="1367" w:type="dxa"/>
            <w:vAlign w:val="center"/>
          </w:tcPr>
          <w:p w14:paraId="1686E878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vertAlign w:val="baseline"/>
                <w:lang w:eastAsia="zh-CN"/>
              </w:rPr>
              <w:t>喷雾</w:t>
            </w:r>
          </w:p>
        </w:tc>
        <w:tc>
          <w:tcPr>
            <w:tcW w:w="1367" w:type="dxa"/>
            <w:vAlign w:val="center"/>
          </w:tcPr>
          <w:p w14:paraId="07422CD2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21</w:t>
            </w:r>
          </w:p>
        </w:tc>
        <w:tc>
          <w:tcPr>
            <w:tcW w:w="1368" w:type="dxa"/>
            <w:vAlign w:val="center"/>
          </w:tcPr>
          <w:p w14:paraId="2E16C822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368" w:type="dxa"/>
            <w:vAlign w:val="center"/>
          </w:tcPr>
          <w:p w14:paraId="098362CF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猝倒病</w:t>
            </w:r>
          </w:p>
        </w:tc>
      </w:tr>
      <w:tr w14:paraId="3D47F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vAlign w:val="center"/>
          </w:tcPr>
          <w:p w14:paraId="2656881D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黑腐病</w:t>
            </w:r>
          </w:p>
        </w:tc>
        <w:tc>
          <w:tcPr>
            <w:tcW w:w="1701" w:type="dxa"/>
            <w:vAlign w:val="center"/>
          </w:tcPr>
          <w:p w14:paraId="1D4DD5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shd w:val="clear" w:fill="FFFFFF"/>
                <w:lang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shd w:val="clear" w:fill="FFFFFF"/>
                <w:lang w:eastAsia="zh-CN" w:bidi="ar"/>
              </w:rPr>
              <w:t>发病初期</w:t>
            </w:r>
          </w:p>
        </w:tc>
        <w:tc>
          <w:tcPr>
            <w:tcW w:w="2665" w:type="dxa"/>
            <w:vAlign w:val="center"/>
          </w:tcPr>
          <w:p w14:paraId="421510EB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default" w:ascii="宋体" w:hAnsi="宋体" w:eastAsia="宋体" w:cs="宋体"/>
                <w:i w:val="0"/>
                <w:caps w:val="0"/>
                <w:color w:val="auto"/>
                <w:spacing w:val="0"/>
                <w:kern w:val="0"/>
                <w:sz w:val="21"/>
                <w:szCs w:val="21"/>
                <w:highlight w:val="none"/>
                <w:shd w:val="clear" w:fill="auto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shd w:val="clear" w:fill="FFFFFF"/>
                <w:lang w:val="en-US" w:eastAsia="zh-CN" w:bidi="ar"/>
              </w:rPr>
              <w:t>45%春雷·喹啉铜悬浮剂</w:t>
            </w:r>
          </w:p>
        </w:tc>
        <w:tc>
          <w:tcPr>
            <w:tcW w:w="2381" w:type="dxa"/>
            <w:vAlign w:val="center"/>
          </w:tcPr>
          <w:p w14:paraId="0479BB42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 xml:space="preserve">35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mL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  <w:t>～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 xml:space="preserve">55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mL</w:t>
            </w:r>
          </w:p>
        </w:tc>
        <w:tc>
          <w:tcPr>
            <w:tcW w:w="1367" w:type="dxa"/>
            <w:vAlign w:val="center"/>
          </w:tcPr>
          <w:p w14:paraId="02F8B169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vertAlign w:val="baseline"/>
                <w:lang w:eastAsia="zh-CN"/>
              </w:rPr>
              <w:t>喷雾</w:t>
            </w:r>
          </w:p>
        </w:tc>
        <w:tc>
          <w:tcPr>
            <w:tcW w:w="1367" w:type="dxa"/>
            <w:vAlign w:val="center"/>
          </w:tcPr>
          <w:p w14:paraId="781448A6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default" w:ascii="宋体" w:hAnsi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10</w:t>
            </w:r>
          </w:p>
        </w:tc>
        <w:tc>
          <w:tcPr>
            <w:tcW w:w="1368" w:type="dxa"/>
            <w:vAlign w:val="center"/>
          </w:tcPr>
          <w:p w14:paraId="5DF0910C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default" w:ascii="宋体" w:hAnsi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1368" w:type="dxa"/>
            <w:vAlign w:val="center"/>
          </w:tcPr>
          <w:p w14:paraId="3DED6CD0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软腐病</w:t>
            </w:r>
          </w:p>
        </w:tc>
      </w:tr>
      <w:tr w14:paraId="4BB07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vMerge w:val="restart"/>
            <w:vAlign w:val="center"/>
          </w:tcPr>
          <w:p w14:paraId="426783FC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  <w:t>霜霉病</w:t>
            </w:r>
          </w:p>
        </w:tc>
        <w:tc>
          <w:tcPr>
            <w:tcW w:w="1701" w:type="dxa"/>
            <w:vMerge w:val="restart"/>
            <w:vAlign w:val="center"/>
          </w:tcPr>
          <w:p w14:paraId="362931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shd w:val="clear" w:fill="FFFFFF"/>
                <w:lang w:bidi="ar"/>
              </w:rPr>
              <w:t>结球前期、发病初期</w:t>
            </w:r>
          </w:p>
        </w:tc>
        <w:tc>
          <w:tcPr>
            <w:tcW w:w="2665" w:type="dxa"/>
            <w:vAlign w:val="center"/>
          </w:tcPr>
          <w:p w14:paraId="55C2A889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kern w:val="0"/>
                <w:sz w:val="21"/>
                <w:szCs w:val="21"/>
                <w:highlight w:val="none"/>
                <w:shd w:val="clear" w:fill="auto"/>
                <w:lang w:val="en-US" w:eastAsia="zh-CN" w:bidi="ar-SA"/>
              </w:rPr>
              <w:t>250g/</w:t>
            </w:r>
            <w:r>
              <w:rPr>
                <w:rFonts w:hint="eastAsia" w:ascii="宋体" w:hAnsi="宋体" w:cs="宋体"/>
                <w:i w:val="0"/>
                <w:caps w:val="0"/>
                <w:color w:val="auto"/>
                <w:spacing w:val="0"/>
                <w:kern w:val="0"/>
                <w:sz w:val="21"/>
                <w:szCs w:val="21"/>
                <w:highlight w:val="none"/>
                <w:shd w:val="clear" w:fill="auto"/>
                <w:lang w:val="en-US" w:eastAsia="zh-CN" w:bidi="ar-SA"/>
              </w:rPr>
              <w:t>L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kern w:val="0"/>
                <w:sz w:val="21"/>
                <w:szCs w:val="21"/>
                <w:highlight w:val="none"/>
                <w:shd w:val="clear" w:fill="auto"/>
                <w:lang w:val="en-US" w:eastAsia="zh-CN" w:bidi="ar-SA"/>
              </w:rPr>
              <w:t>嘧菌酯</w:t>
            </w:r>
            <w:r>
              <w:rPr>
                <w:rFonts w:hint="eastAsia" w:ascii="宋体" w:hAnsi="宋体" w:cs="宋体"/>
                <w:i w:val="0"/>
                <w:caps w:val="0"/>
                <w:color w:val="auto"/>
                <w:spacing w:val="0"/>
                <w:kern w:val="0"/>
                <w:sz w:val="21"/>
                <w:szCs w:val="21"/>
                <w:highlight w:val="none"/>
                <w:shd w:val="clear" w:fill="auto"/>
                <w:lang w:val="en-US" w:eastAsia="zh-CN" w:bidi="ar-SA"/>
              </w:rPr>
              <w:t>悬浮剂</w:t>
            </w:r>
          </w:p>
        </w:tc>
        <w:tc>
          <w:tcPr>
            <w:tcW w:w="2381" w:type="dxa"/>
            <w:vAlign w:val="center"/>
          </w:tcPr>
          <w:p w14:paraId="7A228781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 xml:space="preserve">5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mL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  <w:t>～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7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 xml:space="preserve">5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mL</w:t>
            </w:r>
          </w:p>
        </w:tc>
        <w:tc>
          <w:tcPr>
            <w:tcW w:w="1367" w:type="dxa"/>
            <w:vAlign w:val="center"/>
          </w:tcPr>
          <w:p w14:paraId="5A6716C8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eastAsia="zh-CN"/>
              </w:rPr>
              <w:t>喷雾</w:t>
            </w:r>
          </w:p>
        </w:tc>
        <w:tc>
          <w:tcPr>
            <w:tcW w:w="1367" w:type="dxa"/>
            <w:vAlign w:val="center"/>
          </w:tcPr>
          <w:p w14:paraId="6D0AA7C2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14</w:t>
            </w:r>
          </w:p>
        </w:tc>
        <w:tc>
          <w:tcPr>
            <w:tcW w:w="1368" w:type="dxa"/>
            <w:vAlign w:val="center"/>
          </w:tcPr>
          <w:p w14:paraId="6B222AFC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368" w:type="dxa"/>
            <w:vMerge w:val="restart"/>
            <w:vAlign w:val="center"/>
          </w:tcPr>
          <w:p w14:paraId="3C26728C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黑腐病、软腐病</w:t>
            </w:r>
          </w:p>
        </w:tc>
      </w:tr>
      <w:tr w14:paraId="38156E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vMerge w:val="continue"/>
            <w:vAlign w:val="center"/>
          </w:tcPr>
          <w:p w14:paraId="4BE391EB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701" w:type="dxa"/>
            <w:vMerge w:val="continue"/>
            <w:vAlign w:val="center"/>
          </w:tcPr>
          <w:p w14:paraId="338D73A8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eastAsia="zh-CN"/>
              </w:rPr>
            </w:pPr>
          </w:p>
        </w:tc>
        <w:tc>
          <w:tcPr>
            <w:tcW w:w="2665" w:type="dxa"/>
            <w:vAlign w:val="center"/>
          </w:tcPr>
          <w:p w14:paraId="0FE606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30%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kern w:val="0"/>
                <w:sz w:val="21"/>
                <w:szCs w:val="21"/>
                <w:highlight w:val="none"/>
                <w:shd w:val="clear" w:fill="FFFFFF"/>
                <w:lang w:val="en-US" w:eastAsia="zh-CN" w:bidi="ar-SA"/>
              </w:rPr>
              <w:t>烯酰吗啉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可湿性粉剂</w:t>
            </w:r>
          </w:p>
        </w:tc>
        <w:tc>
          <w:tcPr>
            <w:tcW w:w="2381" w:type="dxa"/>
            <w:vAlign w:val="center"/>
          </w:tcPr>
          <w:p w14:paraId="593995ED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50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  <w:t>g～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83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  <w:t>g</w:t>
            </w:r>
          </w:p>
        </w:tc>
        <w:tc>
          <w:tcPr>
            <w:tcW w:w="1367" w:type="dxa"/>
            <w:vAlign w:val="center"/>
          </w:tcPr>
          <w:p w14:paraId="5064CFF8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eastAsia="zh-CN"/>
              </w:rPr>
              <w:t>喷雾</w:t>
            </w:r>
          </w:p>
        </w:tc>
        <w:tc>
          <w:tcPr>
            <w:tcW w:w="1367" w:type="dxa"/>
            <w:vAlign w:val="center"/>
          </w:tcPr>
          <w:p w14:paraId="2F767E8E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10</w:t>
            </w:r>
          </w:p>
        </w:tc>
        <w:tc>
          <w:tcPr>
            <w:tcW w:w="1368" w:type="dxa"/>
            <w:vAlign w:val="center"/>
          </w:tcPr>
          <w:p w14:paraId="49691F08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1368" w:type="dxa"/>
            <w:vMerge w:val="continue"/>
            <w:vAlign w:val="center"/>
          </w:tcPr>
          <w:p w14:paraId="482B80A6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</w:tr>
      <w:tr w14:paraId="37D0F1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1417" w:type="dxa"/>
            <w:vMerge w:val="continue"/>
            <w:vAlign w:val="center"/>
          </w:tcPr>
          <w:p w14:paraId="415FFD20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701" w:type="dxa"/>
            <w:vMerge w:val="continue"/>
            <w:vAlign w:val="center"/>
          </w:tcPr>
          <w:p w14:paraId="6AF870DC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2665" w:type="dxa"/>
            <w:vAlign w:val="center"/>
          </w:tcPr>
          <w:p w14:paraId="09B6A19F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  <w:t>40%三乙膦酸铝可湿性粉剂</w:t>
            </w:r>
          </w:p>
        </w:tc>
        <w:tc>
          <w:tcPr>
            <w:tcW w:w="2381" w:type="dxa"/>
            <w:vAlign w:val="center"/>
          </w:tcPr>
          <w:p w14:paraId="2879E6DD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  <w:t>235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  <w:t>g～470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  <w:t>g</w:t>
            </w:r>
          </w:p>
        </w:tc>
        <w:tc>
          <w:tcPr>
            <w:tcW w:w="1367" w:type="dxa"/>
            <w:vAlign w:val="center"/>
          </w:tcPr>
          <w:p w14:paraId="7F4870C5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eastAsia="zh-CN"/>
              </w:rPr>
              <w:t>喷雾</w:t>
            </w:r>
          </w:p>
        </w:tc>
        <w:tc>
          <w:tcPr>
            <w:tcW w:w="1367" w:type="dxa"/>
            <w:vAlign w:val="center"/>
          </w:tcPr>
          <w:p w14:paraId="4905578E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1368" w:type="dxa"/>
            <w:vAlign w:val="center"/>
          </w:tcPr>
          <w:p w14:paraId="57ED0D21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3</w:t>
            </w:r>
          </w:p>
        </w:tc>
        <w:tc>
          <w:tcPr>
            <w:tcW w:w="1368" w:type="dxa"/>
            <w:vMerge w:val="continue"/>
            <w:vAlign w:val="center"/>
          </w:tcPr>
          <w:p w14:paraId="7B07624C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1578FF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vMerge w:val="continue"/>
            <w:vAlign w:val="center"/>
          </w:tcPr>
          <w:p w14:paraId="7FEF915D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701" w:type="dxa"/>
            <w:vMerge w:val="continue"/>
            <w:vAlign w:val="center"/>
          </w:tcPr>
          <w:p w14:paraId="1F552446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2665" w:type="dxa"/>
            <w:vAlign w:val="center"/>
          </w:tcPr>
          <w:p w14:paraId="71571912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66.5%霜霉威盐酸盐水剂</w:t>
            </w:r>
          </w:p>
        </w:tc>
        <w:tc>
          <w:tcPr>
            <w:tcW w:w="2381" w:type="dxa"/>
            <w:vAlign w:val="center"/>
          </w:tcPr>
          <w:p w14:paraId="5628FCEC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 xml:space="preserve">7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mL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  <w:t>～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10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 xml:space="preserve">8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mL</w:t>
            </w:r>
          </w:p>
        </w:tc>
        <w:tc>
          <w:tcPr>
            <w:tcW w:w="1367" w:type="dxa"/>
            <w:vAlign w:val="center"/>
          </w:tcPr>
          <w:p w14:paraId="37F09BDC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喷雾</w:t>
            </w:r>
          </w:p>
        </w:tc>
        <w:tc>
          <w:tcPr>
            <w:tcW w:w="1367" w:type="dxa"/>
            <w:vAlign w:val="center"/>
          </w:tcPr>
          <w:p w14:paraId="6EC92C9D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10</w:t>
            </w:r>
          </w:p>
        </w:tc>
        <w:tc>
          <w:tcPr>
            <w:tcW w:w="1368" w:type="dxa"/>
            <w:vAlign w:val="center"/>
          </w:tcPr>
          <w:p w14:paraId="34AB2435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1368" w:type="dxa"/>
            <w:vMerge w:val="continue"/>
            <w:vAlign w:val="center"/>
          </w:tcPr>
          <w:p w14:paraId="2E1AC44D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76BE1E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vMerge w:val="restart"/>
            <w:vAlign w:val="center"/>
          </w:tcPr>
          <w:p w14:paraId="00A70A9E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软腐病</w:t>
            </w:r>
          </w:p>
        </w:tc>
        <w:tc>
          <w:tcPr>
            <w:tcW w:w="1701" w:type="dxa"/>
            <w:vMerge w:val="restart"/>
            <w:vAlign w:val="center"/>
          </w:tcPr>
          <w:p w14:paraId="217C30E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发病初期</w:t>
            </w:r>
          </w:p>
        </w:tc>
        <w:tc>
          <w:tcPr>
            <w:tcW w:w="2665" w:type="dxa"/>
            <w:vAlign w:val="center"/>
          </w:tcPr>
          <w:p w14:paraId="6D3C4AB7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5%大蒜素微乳剂</w:t>
            </w:r>
          </w:p>
        </w:tc>
        <w:tc>
          <w:tcPr>
            <w:tcW w:w="2381" w:type="dxa"/>
            <w:vAlign w:val="center"/>
          </w:tcPr>
          <w:p w14:paraId="36037198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60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g</w:t>
            </w:r>
            <w:r>
              <w:rPr>
                <w:rFonts w:hint="eastAsia" w:ascii="华文仿宋" w:hAnsi="华文仿宋" w:eastAsia="华文仿宋" w:cs="华文仿宋"/>
                <w:color w:val="auto"/>
                <w:highlight w:val="none"/>
                <w:lang w:val="en-US" w:eastAsia="zh-CN"/>
              </w:rPr>
              <w:t>~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80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g</w:t>
            </w:r>
          </w:p>
        </w:tc>
        <w:tc>
          <w:tcPr>
            <w:tcW w:w="1367" w:type="dxa"/>
            <w:vAlign w:val="center"/>
          </w:tcPr>
          <w:p w14:paraId="17A7F225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喷雾</w:t>
            </w:r>
          </w:p>
        </w:tc>
        <w:tc>
          <w:tcPr>
            <w:tcW w:w="1367" w:type="dxa"/>
            <w:vAlign w:val="center"/>
          </w:tcPr>
          <w:p w14:paraId="47951F6F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-</w:t>
            </w:r>
          </w:p>
        </w:tc>
        <w:tc>
          <w:tcPr>
            <w:tcW w:w="1368" w:type="dxa"/>
            <w:vAlign w:val="center"/>
          </w:tcPr>
          <w:p w14:paraId="174F313A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1368" w:type="dxa"/>
            <w:vMerge w:val="restart"/>
            <w:vAlign w:val="center"/>
          </w:tcPr>
          <w:p w14:paraId="4046CDCD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vertAlign w:val="baseline"/>
                <w:lang w:eastAsia="zh-CN"/>
              </w:rPr>
              <w:t>黑腐病</w:t>
            </w:r>
          </w:p>
        </w:tc>
      </w:tr>
      <w:tr w14:paraId="468440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vMerge w:val="continue"/>
            <w:vAlign w:val="center"/>
          </w:tcPr>
          <w:p w14:paraId="12DB4868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01" w:type="dxa"/>
            <w:vMerge w:val="continue"/>
            <w:vAlign w:val="center"/>
          </w:tcPr>
          <w:p w14:paraId="41F68986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eastAsia="zh-CN"/>
              </w:rPr>
            </w:pPr>
          </w:p>
        </w:tc>
        <w:tc>
          <w:tcPr>
            <w:tcW w:w="2665" w:type="dxa"/>
            <w:vAlign w:val="center"/>
          </w:tcPr>
          <w:p w14:paraId="52031B9A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47%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vertAlign w:val="baseline"/>
                <w:lang w:eastAsia="zh-CN"/>
              </w:rPr>
              <w:t>春雷·王铜</w:t>
            </w:r>
          </w:p>
        </w:tc>
        <w:tc>
          <w:tcPr>
            <w:tcW w:w="2381" w:type="dxa"/>
            <w:vAlign w:val="center"/>
          </w:tcPr>
          <w:p w14:paraId="11284AA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80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g</w:t>
            </w:r>
            <w:r>
              <w:rPr>
                <w:rFonts w:hint="eastAsia" w:ascii="华文仿宋" w:hAnsi="华文仿宋" w:eastAsia="华文仿宋" w:cs="华文仿宋"/>
                <w:color w:val="auto"/>
                <w:highlight w:val="none"/>
                <w:lang w:val="en-US" w:eastAsia="zh-CN"/>
              </w:rPr>
              <w:t>~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100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g</w:t>
            </w:r>
          </w:p>
        </w:tc>
        <w:tc>
          <w:tcPr>
            <w:tcW w:w="1367" w:type="dxa"/>
            <w:vAlign w:val="center"/>
          </w:tcPr>
          <w:p w14:paraId="435E1311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喷雾</w:t>
            </w:r>
          </w:p>
        </w:tc>
        <w:tc>
          <w:tcPr>
            <w:tcW w:w="1367" w:type="dxa"/>
            <w:vAlign w:val="center"/>
          </w:tcPr>
          <w:p w14:paraId="64EC75FD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1368" w:type="dxa"/>
            <w:vAlign w:val="center"/>
          </w:tcPr>
          <w:p w14:paraId="25D0F0FE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368" w:type="dxa"/>
            <w:vMerge w:val="continue"/>
            <w:vAlign w:val="center"/>
          </w:tcPr>
          <w:p w14:paraId="1FDA3FC3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eastAsia="zh-CN"/>
              </w:rPr>
            </w:pPr>
          </w:p>
        </w:tc>
      </w:tr>
      <w:tr w14:paraId="5FD33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vAlign w:val="center"/>
          </w:tcPr>
          <w:p w14:paraId="0F95F922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潜叶蝇</w:t>
            </w:r>
          </w:p>
        </w:tc>
        <w:tc>
          <w:tcPr>
            <w:tcW w:w="1701" w:type="dxa"/>
            <w:vAlign w:val="center"/>
          </w:tcPr>
          <w:p w14:paraId="0A8194B6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eastAsia="zh-CN"/>
              </w:rPr>
              <w:t>移栽前后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vertAlign w:val="baseline"/>
                <w:lang w:eastAsia="zh-CN"/>
              </w:rPr>
              <w:t>，幼虫孵化高峰期</w:t>
            </w:r>
          </w:p>
        </w:tc>
        <w:tc>
          <w:tcPr>
            <w:tcW w:w="2665" w:type="dxa"/>
            <w:vAlign w:val="center"/>
          </w:tcPr>
          <w:p w14:paraId="0B12746F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50%灭蝇胺可湿性粉剂</w:t>
            </w:r>
          </w:p>
        </w:tc>
        <w:tc>
          <w:tcPr>
            <w:tcW w:w="2381" w:type="dxa"/>
            <w:vAlign w:val="center"/>
          </w:tcPr>
          <w:p w14:paraId="0B992A1B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8g</w:t>
            </w:r>
            <w:r>
              <w:rPr>
                <w:rFonts w:hint="eastAsia" w:ascii="华文仿宋" w:hAnsi="华文仿宋" w:eastAsia="华文仿宋" w:cs="华文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~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12g</w:t>
            </w:r>
          </w:p>
        </w:tc>
        <w:tc>
          <w:tcPr>
            <w:tcW w:w="1367" w:type="dxa"/>
            <w:vAlign w:val="center"/>
          </w:tcPr>
          <w:p w14:paraId="6EA0755C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  <w:t>喷雾</w:t>
            </w:r>
          </w:p>
        </w:tc>
        <w:tc>
          <w:tcPr>
            <w:tcW w:w="1367" w:type="dxa"/>
            <w:vAlign w:val="center"/>
          </w:tcPr>
          <w:p w14:paraId="69F9DC7E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21</w:t>
            </w:r>
          </w:p>
        </w:tc>
        <w:tc>
          <w:tcPr>
            <w:tcW w:w="1368" w:type="dxa"/>
            <w:vAlign w:val="center"/>
          </w:tcPr>
          <w:p w14:paraId="1B4C8481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368" w:type="dxa"/>
            <w:vAlign w:val="center"/>
          </w:tcPr>
          <w:p w14:paraId="700843FB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eastAsia="zh-CN"/>
              </w:rPr>
              <w:t>缨蚊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vertAlign w:val="baseline"/>
                <w:lang w:eastAsia="zh-CN"/>
              </w:rPr>
              <w:t>、斑潜蝇</w:t>
            </w:r>
          </w:p>
        </w:tc>
      </w:tr>
      <w:tr w14:paraId="4E1C8E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vMerge w:val="restart"/>
            <w:vAlign w:val="center"/>
          </w:tcPr>
          <w:p w14:paraId="2C55A83A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  <w:t>蚜虫</w:t>
            </w:r>
          </w:p>
        </w:tc>
        <w:tc>
          <w:tcPr>
            <w:tcW w:w="1701" w:type="dxa"/>
            <w:vMerge w:val="restart"/>
            <w:vAlign w:val="center"/>
          </w:tcPr>
          <w:p w14:paraId="40F799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before="0" w:beforeLines="-2147483648" w:after="0" w:afterLines="-2147483648"/>
              <w:jc w:val="center"/>
              <w:textAlignment w:val="auto"/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低龄若蚜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kern w:val="0"/>
                <w:sz w:val="21"/>
                <w:szCs w:val="21"/>
                <w:highlight w:val="none"/>
                <w:shd w:val="clear" w:fill="FFFFFF"/>
                <w:lang w:val="en-US" w:eastAsia="zh-CN" w:bidi="ar"/>
              </w:rPr>
              <w:t>初盛期</w:t>
            </w:r>
          </w:p>
        </w:tc>
        <w:tc>
          <w:tcPr>
            <w:tcW w:w="2665" w:type="dxa"/>
            <w:vAlign w:val="center"/>
          </w:tcPr>
          <w:p w14:paraId="028AA5A7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3%啶虫脒微乳剂</w:t>
            </w:r>
          </w:p>
        </w:tc>
        <w:tc>
          <w:tcPr>
            <w:tcW w:w="2381" w:type="dxa"/>
            <w:vAlign w:val="center"/>
          </w:tcPr>
          <w:p w14:paraId="26F28D71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30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mL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  <w:t>～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50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mL</w:t>
            </w:r>
          </w:p>
        </w:tc>
        <w:tc>
          <w:tcPr>
            <w:tcW w:w="1367" w:type="dxa"/>
            <w:vAlign w:val="center"/>
          </w:tcPr>
          <w:p w14:paraId="4985D748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喷雾</w:t>
            </w:r>
          </w:p>
        </w:tc>
        <w:tc>
          <w:tcPr>
            <w:tcW w:w="1367" w:type="dxa"/>
            <w:vAlign w:val="center"/>
          </w:tcPr>
          <w:p w14:paraId="531864AF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7</w:t>
            </w:r>
          </w:p>
        </w:tc>
        <w:tc>
          <w:tcPr>
            <w:tcW w:w="1368" w:type="dxa"/>
            <w:vAlign w:val="center"/>
          </w:tcPr>
          <w:p w14:paraId="5C369320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368" w:type="dxa"/>
            <w:vMerge w:val="restart"/>
            <w:vAlign w:val="center"/>
          </w:tcPr>
          <w:p w14:paraId="4111ED64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蓟马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、菜青虫</w:t>
            </w:r>
          </w:p>
        </w:tc>
      </w:tr>
      <w:tr w14:paraId="105A41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vMerge w:val="continue"/>
            <w:vAlign w:val="center"/>
          </w:tcPr>
          <w:p w14:paraId="75AB49AC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701" w:type="dxa"/>
            <w:vMerge w:val="continue"/>
            <w:vAlign w:val="center"/>
          </w:tcPr>
          <w:p w14:paraId="1BE122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before="0" w:beforeLines="-2147483648" w:after="0" w:afterLines="-2147483648"/>
              <w:jc w:val="center"/>
              <w:textAlignment w:val="auto"/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2665" w:type="dxa"/>
            <w:vAlign w:val="center"/>
          </w:tcPr>
          <w:p w14:paraId="5DCDD7DE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  <w:t>0.3%苦参碱水剂</w:t>
            </w:r>
          </w:p>
        </w:tc>
        <w:tc>
          <w:tcPr>
            <w:tcW w:w="2381" w:type="dxa"/>
            <w:vAlign w:val="center"/>
          </w:tcPr>
          <w:p w14:paraId="763057C6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  <w:t>160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mL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  <w:t>～2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  <w:t>0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mL</w:t>
            </w:r>
          </w:p>
        </w:tc>
        <w:tc>
          <w:tcPr>
            <w:tcW w:w="1367" w:type="dxa"/>
            <w:vAlign w:val="center"/>
          </w:tcPr>
          <w:p w14:paraId="34B1F5F8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  <w:t>喷雾</w:t>
            </w:r>
          </w:p>
        </w:tc>
        <w:tc>
          <w:tcPr>
            <w:tcW w:w="1367" w:type="dxa"/>
            <w:vAlign w:val="center"/>
          </w:tcPr>
          <w:p w14:paraId="3C598E22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14</w:t>
            </w:r>
          </w:p>
        </w:tc>
        <w:tc>
          <w:tcPr>
            <w:tcW w:w="1368" w:type="dxa"/>
            <w:vAlign w:val="center"/>
          </w:tcPr>
          <w:p w14:paraId="639BD4A7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368" w:type="dxa"/>
            <w:vMerge w:val="continue"/>
            <w:vAlign w:val="center"/>
          </w:tcPr>
          <w:p w14:paraId="02B227E0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</w:tr>
      <w:tr w14:paraId="69FD79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vMerge w:val="continue"/>
            <w:vAlign w:val="center"/>
          </w:tcPr>
          <w:p w14:paraId="52006A1E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7D66104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始盛期</w:t>
            </w:r>
          </w:p>
        </w:tc>
        <w:tc>
          <w:tcPr>
            <w:tcW w:w="2665" w:type="dxa"/>
            <w:vAlign w:val="center"/>
          </w:tcPr>
          <w:p w14:paraId="55298955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5%桉油精可溶液剂</w:t>
            </w:r>
          </w:p>
        </w:tc>
        <w:tc>
          <w:tcPr>
            <w:tcW w:w="2381" w:type="dxa"/>
            <w:vAlign w:val="center"/>
          </w:tcPr>
          <w:p w14:paraId="692008BD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70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g-100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g</w:t>
            </w:r>
          </w:p>
        </w:tc>
        <w:tc>
          <w:tcPr>
            <w:tcW w:w="1367" w:type="dxa"/>
            <w:vAlign w:val="center"/>
          </w:tcPr>
          <w:p w14:paraId="57BB46DA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喷雾</w:t>
            </w:r>
          </w:p>
        </w:tc>
        <w:tc>
          <w:tcPr>
            <w:tcW w:w="1367" w:type="dxa"/>
            <w:vAlign w:val="center"/>
          </w:tcPr>
          <w:p w14:paraId="500FFBB4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7</w:t>
            </w:r>
          </w:p>
        </w:tc>
        <w:tc>
          <w:tcPr>
            <w:tcW w:w="1368" w:type="dxa"/>
            <w:vAlign w:val="center"/>
          </w:tcPr>
          <w:p w14:paraId="00BCFE5F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1368" w:type="dxa"/>
            <w:vMerge w:val="continue"/>
            <w:vAlign w:val="center"/>
          </w:tcPr>
          <w:p w14:paraId="0A193FA2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6A6BF3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vMerge w:val="continue"/>
            <w:vAlign w:val="center"/>
          </w:tcPr>
          <w:p w14:paraId="79B4A0D7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701" w:type="dxa"/>
            <w:vMerge w:val="continue"/>
            <w:vAlign w:val="center"/>
          </w:tcPr>
          <w:p w14:paraId="7840A5E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2665" w:type="dxa"/>
            <w:vAlign w:val="center"/>
          </w:tcPr>
          <w:p w14:paraId="31F1C50B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  <w:t>10%高效氯氰菊酯乳油</w:t>
            </w:r>
          </w:p>
        </w:tc>
        <w:tc>
          <w:tcPr>
            <w:tcW w:w="2381" w:type="dxa"/>
            <w:vAlign w:val="center"/>
          </w:tcPr>
          <w:p w14:paraId="78D9CEC8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  <w:t>6.7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mL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  <w:t xml:space="preserve">～10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mL</w:t>
            </w:r>
          </w:p>
        </w:tc>
        <w:tc>
          <w:tcPr>
            <w:tcW w:w="1367" w:type="dxa"/>
            <w:vAlign w:val="center"/>
          </w:tcPr>
          <w:p w14:paraId="138AFCCD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  <w:t>喷雾</w:t>
            </w:r>
          </w:p>
        </w:tc>
        <w:tc>
          <w:tcPr>
            <w:tcW w:w="1367" w:type="dxa"/>
            <w:vAlign w:val="center"/>
          </w:tcPr>
          <w:p w14:paraId="74DF5FDF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7</w:t>
            </w:r>
            <w:r>
              <w:rPr>
                <w:rFonts w:hint="eastAsia" w:ascii="华文仿宋" w:hAnsi="华文仿宋" w:eastAsia="华文仿宋" w:cs="华文仿宋"/>
                <w:color w:val="auto"/>
                <w:highlight w:val="none"/>
                <w:lang w:val="en-US" w:eastAsia="zh-CN"/>
              </w:rPr>
              <w:t>~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  <w:t>15</w:t>
            </w:r>
          </w:p>
        </w:tc>
        <w:tc>
          <w:tcPr>
            <w:tcW w:w="1368" w:type="dxa"/>
            <w:vAlign w:val="center"/>
          </w:tcPr>
          <w:p w14:paraId="2F8395D4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368" w:type="dxa"/>
            <w:vMerge w:val="continue"/>
            <w:vAlign w:val="center"/>
          </w:tcPr>
          <w:p w14:paraId="22856D1B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</w:tr>
      <w:tr w14:paraId="3C4833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vMerge w:val="continue"/>
            <w:vAlign w:val="center"/>
          </w:tcPr>
          <w:p w14:paraId="58DA2A32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701" w:type="dxa"/>
            <w:vMerge w:val="continue"/>
            <w:vAlign w:val="center"/>
          </w:tcPr>
          <w:p w14:paraId="0168919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2665" w:type="dxa"/>
            <w:vAlign w:val="center"/>
          </w:tcPr>
          <w:p w14:paraId="10342413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10%吡虫啉可湿性粉剂</w:t>
            </w:r>
          </w:p>
        </w:tc>
        <w:tc>
          <w:tcPr>
            <w:tcW w:w="2381" w:type="dxa"/>
            <w:vAlign w:val="center"/>
          </w:tcPr>
          <w:p w14:paraId="3A635C99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10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g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  <w:t>～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g</w:t>
            </w:r>
          </w:p>
        </w:tc>
        <w:tc>
          <w:tcPr>
            <w:tcW w:w="1367" w:type="dxa"/>
            <w:vAlign w:val="center"/>
          </w:tcPr>
          <w:p w14:paraId="778308B1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喷雾</w:t>
            </w:r>
          </w:p>
        </w:tc>
        <w:tc>
          <w:tcPr>
            <w:tcW w:w="1367" w:type="dxa"/>
            <w:vAlign w:val="center"/>
          </w:tcPr>
          <w:p w14:paraId="7DF1546D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14</w:t>
            </w:r>
          </w:p>
        </w:tc>
        <w:tc>
          <w:tcPr>
            <w:tcW w:w="1368" w:type="dxa"/>
            <w:vAlign w:val="center"/>
          </w:tcPr>
          <w:p w14:paraId="2550E391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368" w:type="dxa"/>
            <w:vMerge w:val="continue"/>
            <w:vAlign w:val="center"/>
          </w:tcPr>
          <w:p w14:paraId="39A2C288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</w:tr>
      <w:tr w14:paraId="6DD80F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vMerge w:val="restart"/>
            <w:vAlign w:val="center"/>
          </w:tcPr>
          <w:p w14:paraId="215E40C2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  <w:t>菜青虫</w:t>
            </w:r>
          </w:p>
        </w:tc>
        <w:tc>
          <w:tcPr>
            <w:tcW w:w="1701" w:type="dxa"/>
            <w:vMerge w:val="restart"/>
            <w:vAlign w:val="center"/>
          </w:tcPr>
          <w:p w14:paraId="6B7256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kern w:val="0"/>
                <w:sz w:val="21"/>
                <w:szCs w:val="21"/>
                <w:highlight w:val="none"/>
                <w:shd w:val="clear" w:fill="FFFFFF"/>
                <w:lang w:val="en-US" w:eastAsia="zh-CN" w:bidi="ar"/>
              </w:rPr>
              <w:t>低龄幼虫发生期</w:t>
            </w:r>
          </w:p>
        </w:tc>
        <w:tc>
          <w:tcPr>
            <w:tcW w:w="2665" w:type="dxa"/>
            <w:vAlign w:val="center"/>
          </w:tcPr>
          <w:p w14:paraId="3F302C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kern w:val="0"/>
                <w:sz w:val="21"/>
                <w:szCs w:val="21"/>
                <w:highlight w:val="none"/>
                <w:shd w:val="clear"/>
                <w:lang w:val="en-US" w:eastAsia="zh-CN" w:bidi="ar-SA"/>
              </w:rPr>
              <w:t>300g/l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kern w:val="0"/>
                <w:sz w:val="21"/>
                <w:szCs w:val="21"/>
                <w:highlight w:val="none"/>
                <w:shd w:val="clear" w:fill="FFFFFF"/>
                <w:lang w:val="en-US" w:eastAsia="zh-CN" w:bidi="ar-SA"/>
              </w:rPr>
              <w:t>呋虫胺·虱螨脲悬浮剂</w:t>
            </w:r>
          </w:p>
        </w:tc>
        <w:tc>
          <w:tcPr>
            <w:tcW w:w="2381" w:type="dxa"/>
            <w:vAlign w:val="center"/>
          </w:tcPr>
          <w:p w14:paraId="276190FB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  <w:t xml:space="preserve">0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mL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  <w:t>～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25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mL</w:t>
            </w:r>
          </w:p>
        </w:tc>
        <w:tc>
          <w:tcPr>
            <w:tcW w:w="1367" w:type="dxa"/>
            <w:vAlign w:val="center"/>
          </w:tcPr>
          <w:p w14:paraId="62000C25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  <w:t>喷雾</w:t>
            </w:r>
          </w:p>
        </w:tc>
        <w:tc>
          <w:tcPr>
            <w:tcW w:w="1367" w:type="dxa"/>
            <w:vAlign w:val="center"/>
          </w:tcPr>
          <w:p w14:paraId="7ACE438A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1368" w:type="dxa"/>
            <w:vAlign w:val="center"/>
          </w:tcPr>
          <w:p w14:paraId="6963D143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368" w:type="dxa"/>
            <w:vMerge w:val="restart"/>
            <w:vAlign w:val="center"/>
          </w:tcPr>
          <w:p w14:paraId="7C43C0E0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vertAlign w:val="baseline"/>
                <w:lang w:eastAsia="zh-CN"/>
              </w:rPr>
              <w:t>小菜蛾</w:t>
            </w:r>
          </w:p>
        </w:tc>
      </w:tr>
      <w:tr w14:paraId="18B87B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vMerge w:val="continue"/>
            <w:vAlign w:val="center"/>
          </w:tcPr>
          <w:p w14:paraId="5EF489D6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1701" w:type="dxa"/>
            <w:vMerge w:val="continue"/>
            <w:vAlign w:val="center"/>
          </w:tcPr>
          <w:p w14:paraId="3BC678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2665" w:type="dxa"/>
            <w:vAlign w:val="center"/>
          </w:tcPr>
          <w:p w14:paraId="458C3788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  <w:t>16000IU/mg苏云金杆菌可湿性粉剂</w:t>
            </w:r>
          </w:p>
        </w:tc>
        <w:tc>
          <w:tcPr>
            <w:tcW w:w="2381" w:type="dxa"/>
            <w:vAlign w:val="center"/>
          </w:tcPr>
          <w:p w14:paraId="5FCE8627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25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  <w:t xml:space="preserve"> g～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50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  <w:t>g</w:t>
            </w:r>
          </w:p>
        </w:tc>
        <w:tc>
          <w:tcPr>
            <w:tcW w:w="1367" w:type="dxa"/>
            <w:vAlign w:val="center"/>
          </w:tcPr>
          <w:p w14:paraId="61F0FE89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  <w:t>喷雾</w:t>
            </w:r>
          </w:p>
        </w:tc>
        <w:tc>
          <w:tcPr>
            <w:tcW w:w="1367" w:type="dxa"/>
            <w:vAlign w:val="center"/>
          </w:tcPr>
          <w:p w14:paraId="5B11EE89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1368" w:type="dxa"/>
            <w:vAlign w:val="center"/>
          </w:tcPr>
          <w:p w14:paraId="7BC8C655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1368" w:type="dxa"/>
            <w:vMerge w:val="continue"/>
            <w:vAlign w:val="center"/>
          </w:tcPr>
          <w:p w14:paraId="27A330C8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eastAsia="zh-CN"/>
              </w:rPr>
            </w:pPr>
          </w:p>
        </w:tc>
      </w:tr>
      <w:tr w14:paraId="1C1DCC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vMerge w:val="continue"/>
            <w:vAlign w:val="center"/>
          </w:tcPr>
          <w:p w14:paraId="0D95FF12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1701" w:type="dxa"/>
            <w:vAlign w:val="center"/>
          </w:tcPr>
          <w:p w14:paraId="41A0D2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kern w:val="0"/>
                <w:sz w:val="21"/>
                <w:szCs w:val="21"/>
                <w:highlight w:val="none"/>
                <w:shd w:val="clear" w:fill="FFFFFF"/>
                <w:lang w:val="en-US" w:eastAsia="zh-CN" w:bidi="ar"/>
              </w:rPr>
              <w:t>卵孵化始盛期</w:t>
            </w:r>
          </w:p>
        </w:tc>
        <w:tc>
          <w:tcPr>
            <w:tcW w:w="2665" w:type="dxa"/>
            <w:vAlign w:val="center"/>
          </w:tcPr>
          <w:p w14:paraId="3E8F7408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  <w:t>5%高氯·啶虫脒乳油</w:t>
            </w:r>
          </w:p>
        </w:tc>
        <w:tc>
          <w:tcPr>
            <w:tcW w:w="2381" w:type="dxa"/>
            <w:vAlign w:val="center"/>
          </w:tcPr>
          <w:p w14:paraId="73E625D4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  <w:t xml:space="preserve">40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mL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  <w:t>～50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mL</w:t>
            </w:r>
          </w:p>
        </w:tc>
        <w:tc>
          <w:tcPr>
            <w:tcW w:w="1367" w:type="dxa"/>
            <w:vAlign w:val="center"/>
          </w:tcPr>
          <w:p w14:paraId="02A03F0C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  <w:t>喷雾</w:t>
            </w:r>
          </w:p>
        </w:tc>
        <w:tc>
          <w:tcPr>
            <w:tcW w:w="1367" w:type="dxa"/>
            <w:vAlign w:val="center"/>
          </w:tcPr>
          <w:p w14:paraId="67ABA2FD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7</w:t>
            </w:r>
          </w:p>
        </w:tc>
        <w:tc>
          <w:tcPr>
            <w:tcW w:w="1368" w:type="dxa"/>
            <w:vAlign w:val="center"/>
          </w:tcPr>
          <w:p w14:paraId="0E6A4C56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368" w:type="dxa"/>
            <w:vAlign w:val="center"/>
          </w:tcPr>
          <w:p w14:paraId="0FA8CBBB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vertAlign w:val="baseline"/>
                <w:lang w:eastAsia="zh-CN"/>
              </w:rPr>
              <w:t>蚜虫</w:t>
            </w:r>
          </w:p>
        </w:tc>
      </w:tr>
      <w:tr w14:paraId="661B0C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417" w:type="dxa"/>
            <w:vMerge w:val="restart"/>
            <w:vAlign w:val="center"/>
          </w:tcPr>
          <w:p w14:paraId="3B8E4482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  <w:t>小菜蛾</w:t>
            </w:r>
          </w:p>
        </w:tc>
        <w:tc>
          <w:tcPr>
            <w:tcW w:w="1701" w:type="dxa"/>
            <w:vAlign w:val="center"/>
          </w:tcPr>
          <w:p w14:paraId="735EDC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kern w:val="0"/>
                <w:sz w:val="21"/>
                <w:szCs w:val="21"/>
                <w:highlight w:val="none"/>
                <w:shd w:val="clear" w:fill="FFFFFF"/>
                <w:lang w:val="en-US" w:eastAsia="zh-CN" w:bidi="ar"/>
              </w:rPr>
              <w:t>低龄幼虫期</w:t>
            </w:r>
          </w:p>
        </w:tc>
        <w:tc>
          <w:tcPr>
            <w:tcW w:w="2665" w:type="dxa"/>
            <w:vAlign w:val="center"/>
          </w:tcPr>
          <w:p w14:paraId="327B16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62" w:beforeLines="50" w:after="162" w:afterLines="50"/>
              <w:jc w:val="center"/>
              <w:textAlignment w:val="auto"/>
              <w:rPr>
                <w:rFonts w:hint="default" w:asciiTheme="majorEastAsia" w:hAnsiTheme="majorEastAsia" w:eastAsiaTheme="majorEastAsia" w:cstheme="majorEastAsia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  <w:t>5%多杀霉素悬浮剂</w:t>
            </w:r>
          </w:p>
        </w:tc>
        <w:tc>
          <w:tcPr>
            <w:tcW w:w="2381" w:type="dxa"/>
            <w:vAlign w:val="center"/>
          </w:tcPr>
          <w:p w14:paraId="23CEF9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62" w:beforeLines="50" w:after="162" w:afterLines="5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2"/>
                <w:sz w:val="21"/>
                <w:szCs w:val="21"/>
                <w:highlight w:val="none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Cs w:val="21"/>
                <w:highlight w:val="none"/>
                <w:shd w:val="clear" w:color="auto" w:fill="FFFFFF"/>
              </w:rPr>
              <w:t xml:space="preserve">20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mL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Cs w:val="21"/>
                <w:highlight w:val="none"/>
                <w:shd w:val="clear" w:color="auto" w:fill="FFFFFF"/>
              </w:rPr>
              <w:t xml:space="preserve">～30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mL</w:t>
            </w:r>
          </w:p>
        </w:tc>
        <w:tc>
          <w:tcPr>
            <w:tcW w:w="1367" w:type="dxa"/>
            <w:vAlign w:val="center"/>
          </w:tcPr>
          <w:p w14:paraId="5891AC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62" w:beforeLines="50" w:after="162" w:afterLines="5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  <w:t>喷雾</w:t>
            </w:r>
          </w:p>
        </w:tc>
        <w:tc>
          <w:tcPr>
            <w:tcW w:w="1367" w:type="dxa"/>
            <w:vAlign w:val="center"/>
          </w:tcPr>
          <w:p w14:paraId="5D1074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62" w:beforeLines="50" w:after="162" w:afterLines="5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  <w:t>5</w:t>
            </w:r>
          </w:p>
        </w:tc>
        <w:tc>
          <w:tcPr>
            <w:tcW w:w="1368" w:type="dxa"/>
            <w:vAlign w:val="center"/>
          </w:tcPr>
          <w:p w14:paraId="7A7C6D53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368" w:type="dxa"/>
            <w:vMerge w:val="restart"/>
            <w:vAlign w:val="center"/>
          </w:tcPr>
          <w:p w14:paraId="4138084E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eastAsia="zh-CN"/>
              </w:rPr>
              <w:t>菜青虫</w:t>
            </w:r>
          </w:p>
        </w:tc>
      </w:tr>
      <w:tr w14:paraId="31C286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vMerge w:val="continue"/>
            <w:vAlign w:val="center"/>
          </w:tcPr>
          <w:p w14:paraId="7A1E38CA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3FAAEA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62" w:beforeLines="50" w:after="162" w:afterLines="5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Cs w:val="21"/>
                <w:highlight w:val="none"/>
              </w:rPr>
              <w:t>卵孵化盛期或幼虫期</w:t>
            </w:r>
          </w:p>
        </w:tc>
        <w:tc>
          <w:tcPr>
            <w:tcW w:w="2665" w:type="dxa"/>
            <w:vAlign w:val="center"/>
          </w:tcPr>
          <w:p w14:paraId="20CC9D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62" w:beforeLines="50" w:after="162" w:afterLines="5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  <w:t>2%甲氨基阿维菌素苯甲酸盐乳油</w:t>
            </w:r>
          </w:p>
        </w:tc>
        <w:tc>
          <w:tcPr>
            <w:tcW w:w="2381" w:type="dxa"/>
            <w:vAlign w:val="center"/>
          </w:tcPr>
          <w:p w14:paraId="10FEE2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62" w:beforeLines="50" w:after="162" w:afterLines="5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2"/>
                <w:sz w:val="21"/>
                <w:szCs w:val="21"/>
                <w:highlight w:val="none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Cs w:val="21"/>
                <w:highlight w:val="none"/>
                <w:shd w:val="clear" w:color="auto" w:fill="FFFFFF"/>
              </w:rPr>
              <w:t>5 g～7 g</w:t>
            </w:r>
          </w:p>
        </w:tc>
        <w:tc>
          <w:tcPr>
            <w:tcW w:w="1367" w:type="dxa"/>
            <w:vAlign w:val="center"/>
          </w:tcPr>
          <w:p w14:paraId="28FF2D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62" w:beforeLines="50" w:after="162" w:afterLines="5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  <w:t>喷雾</w:t>
            </w:r>
          </w:p>
        </w:tc>
        <w:tc>
          <w:tcPr>
            <w:tcW w:w="1367" w:type="dxa"/>
            <w:vAlign w:val="center"/>
          </w:tcPr>
          <w:p w14:paraId="79ED6F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62" w:beforeLines="50" w:after="162" w:afterLines="5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  <w:t>3</w:t>
            </w:r>
          </w:p>
        </w:tc>
        <w:tc>
          <w:tcPr>
            <w:tcW w:w="1368" w:type="dxa"/>
            <w:vAlign w:val="center"/>
          </w:tcPr>
          <w:p w14:paraId="28E00C0C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368" w:type="dxa"/>
            <w:vMerge w:val="continue"/>
            <w:vAlign w:val="center"/>
          </w:tcPr>
          <w:p w14:paraId="541B1D24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039238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vMerge w:val="restart"/>
            <w:vAlign w:val="center"/>
          </w:tcPr>
          <w:p w14:paraId="74B1895B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甜菜夜蛾</w:t>
            </w:r>
          </w:p>
        </w:tc>
        <w:tc>
          <w:tcPr>
            <w:tcW w:w="1701" w:type="dxa"/>
            <w:vAlign w:val="center"/>
          </w:tcPr>
          <w:p w14:paraId="79301328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eastAsia="zh-CN"/>
              </w:rPr>
              <w:t>低龄幼虫盛发期</w:t>
            </w:r>
          </w:p>
        </w:tc>
        <w:tc>
          <w:tcPr>
            <w:tcW w:w="2665" w:type="dxa"/>
            <w:vAlign w:val="center"/>
          </w:tcPr>
          <w:p w14:paraId="0C39AE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62" w:beforeLines="50" w:after="162" w:afterLines="50"/>
              <w:jc w:val="center"/>
              <w:textAlignment w:val="auto"/>
              <w:rPr>
                <w:rFonts w:hint="default" w:asciiTheme="majorEastAsia" w:hAnsiTheme="majorEastAsia" w:eastAsiaTheme="majorEastAsia" w:cstheme="majorEastAsia"/>
                <w:color w:val="auto"/>
                <w:spacing w:val="-6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pacing w:val="-6"/>
                <w:szCs w:val="21"/>
                <w:highlight w:val="none"/>
              </w:rPr>
              <w:t>30亿PIB/mL甜菜夜蛾核型多角体病毒悬浮剂</w:t>
            </w:r>
          </w:p>
        </w:tc>
        <w:tc>
          <w:tcPr>
            <w:tcW w:w="2381" w:type="dxa"/>
            <w:vAlign w:val="center"/>
          </w:tcPr>
          <w:p w14:paraId="2A662D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62" w:beforeLines="50" w:after="162" w:afterLines="50"/>
              <w:jc w:val="center"/>
              <w:textAlignment w:val="auto"/>
              <w:rPr>
                <w:rFonts w:hint="default" w:asciiTheme="majorEastAsia" w:hAnsiTheme="majorEastAsia" w:eastAsiaTheme="majorEastAsia" w:cstheme="majorEastAsia"/>
                <w:color w:val="auto"/>
                <w:spacing w:val="-6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pacing w:val="-6"/>
                <w:szCs w:val="21"/>
                <w:highlight w:val="none"/>
              </w:rPr>
              <w:t>20 mL～30 mL</w:t>
            </w:r>
          </w:p>
        </w:tc>
        <w:tc>
          <w:tcPr>
            <w:tcW w:w="1367" w:type="dxa"/>
            <w:vAlign w:val="center"/>
          </w:tcPr>
          <w:p w14:paraId="6AEA8C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62" w:beforeLines="50" w:after="162" w:afterLines="5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spacing w:val="-6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pacing w:val="-6"/>
                <w:szCs w:val="21"/>
                <w:highlight w:val="none"/>
              </w:rPr>
              <w:t>喷雾</w:t>
            </w:r>
          </w:p>
        </w:tc>
        <w:tc>
          <w:tcPr>
            <w:tcW w:w="1367" w:type="dxa"/>
            <w:vAlign w:val="center"/>
          </w:tcPr>
          <w:p w14:paraId="48356F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62" w:beforeLines="50" w:after="162" w:afterLines="50"/>
              <w:jc w:val="center"/>
              <w:textAlignment w:val="auto"/>
              <w:rPr>
                <w:rFonts w:hint="default" w:asciiTheme="majorEastAsia" w:hAnsiTheme="majorEastAsia" w:eastAsiaTheme="majorEastAsia" w:cstheme="majorEastAsia"/>
                <w:color w:val="auto"/>
                <w:spacing w:val="-6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pacing w:val="-6"/>
                <w:kern w:val="2"/>
                <w:sz w:val="21"/>
                <w:szCs w:val="21"/>
                <w:highlight w:val="none"/>
                <w:lang w:val="en-US" w:eastAsia="zh-CN" w:bidi="ar-SA"/>
              </w:rPr>
              <w:t>3</w:t>
            </w:r>
          </w:p>
        </w:tc>
        <w:tc>
          <w:tcPr>
            <w:tcW w:w="1368" w:type="dxa"/>
            <w:vAlign w:val="center"/>
          </w:tcPr>
          <w:p w14:paraId="6E8086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62" w:beforeLines="50" w:after="162" w:afterLines="5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spacing w:val="-6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pacing w:val="-6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1368" w:type="dxa"/>
            <w:vMerge w:val="restart"/>
            <w:vAlign w:val="center"/>
          </w:tcPr>
          <w:p w14:paraId="5BC72061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eastAsia="zh-CN"/>
              </w:rPr>
              <w:t>斜纹夜蛾、菜螟</w:t>
            </w:r>
          </w:p>
        </w:tc>
      </w:tr>
      <w:tr w14:paraId="1A4202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vMerge w:val="continue"/>
            <w:vAlign w:val="center"/>
          </w:tcPr>
          <w:p w14:paraId="5691CA24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301EB200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Cs w:val="21"/>
                <w:highlight w:val="none"/>
              </w:rPr>
              <w:t>发生期</w:t>
            </w:r>
          </w:p>
        </w:tc>
        <w:tc>
          <w:tcPr>
            <w:tcW w:w="2665" w:type="dxa"/>
            <w:vAlign w:val="center"/>
          </w:tcPr>
          <w:p w14:paraId="1F8511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62" w:beforeLines="50" w:after="162" w:afterLines="5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  <w:t>150 g/L 茚虫威悬浮剂</w:t>
            </w:r>
          </w:p>
        </w:tc>
        <w:tc>
          <w:tcPr>
            <w:tcW w:w="2381" w:type="dxa"/>
            <w:vAlign w:val="center"/>
          </w:tcPr>
          <w:p w14:paraId="28A258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62" w:beforeLines="50" w:after="162" w:afterLines="5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2"/>
                <w:sz w:val="21"/>
                <w:szCs w:val="21"/>
                <w:highlight w:val="none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Cs w:val="21"/>
                <w:highlight w:val="none"/>
                <w:shd w:val="clear" w:color="auto" w:fill="FFFFFF"/>
              </w:rPr>
              <w:t>10 mL～18 mL</w:t>
            </w:r>
          </w:p>
        </w:tc>
        <w:tc>
          <w:tcPr>
            <w:tcW w:w="1367" w:type="dxa"/>
            <w:vAlign w:val="center"/>
          </w:tcPr>
          <w:p w14:paraId="021F3D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62" w:beforeLines="50" w:after="162" w:afterLines="5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  <w:t>喷雾</w:t>
            </w:r>
          </w:p>
        </w:tc>
        <w:tc>
          <w:tcPr>
            <w:tcW w:w="1367" w:type="dxa"/>
            <w:vAlign w:val="center"/>
          </w:tcPr>
          <w:p w14:paraId="32989B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62" w:beforeLines="50" w:after="162" w:afterLines="5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  <w:t>3</w:t>
            </w:r>
          </w:p>
        </w:tc>
        <w:tc>
          <w:tcPr>
            <w:tcW w:w="1368" w:type="dxa"/>
            <w:vAlign w:val="center"/>
          </w:tcPr>
          <w:p w14:paraId="35FD6B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62" w:beforeLines="50" w:after="162" w:afterLines="50"/>
              <w:jc w:val="center"/>
              <w:textAlignment w:val="auto"/>
              <w:rPr>
                <w:rFonts w:hint="default" w:asciiTheme="majorEastAsia" w:hAnsiTheme="majorEastAsia" w:eastAsiaTheme="majorEastAsia" w:cstheme="majorEastAsia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3</w:t>
            </w:r>
          </w:p>
        </w:tc>
        <w:tc>
          <w:tcPr>
            <w:tcW w:w="1368" w:type="dxa"/>
            <w:vMerge w:val="continue"/>
            <w:vAlign w:val="center"/>
          </w:tcPr>
          <w:p w14:paraId="5B9AE151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55998D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vMerge w:val="restart"/>
            <w:vAlign w:val="center"/>
          </w:tcPr>
          <w:p w14:paraId="4C4612A8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跳甲</w:t>
            </w:r>
          </w:p>
        </w:tc>
        <w:tc>
          <w:tcPr>
            <w:tcW w:w="1701" w:type="dxa"/>
            <w:vMerge w:val="restart"/>
            <w:vAlign w:val="center"/>
          </w:tcPr>
          <w:p w14:paraId="3EA99272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eastAsia="zh-CN"/>
              </w:rPr>
              <w:t>初盛期</w:t>
            </w:r>
          </w:p>
        </w:tc>
        <w:tc>
          <w:tcPr>
            <w:tcW w:w="2665" w:type="dxa"/>
            <w:vAlign w:val="center"/>
          </w:tcPr>
          <w:p w14:paraId="29D022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62" w:beforeLines="50" w:after="162" w:afterLines="5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Cs w:val="21"/>
                <w:highlight w:val="none"/>
              </w:rPr>
              <w:t>0.3% 苦皮藤素水乳剂</w:t>
            </w:r>
          </w:p>
        </w:tc>
        <w:tc>
          <w:tcPr>
            <w:tcW w:w="2381" w:type="dxa"/>
            <w:vAlign w:val="center"/>
          </w:tcPr>
          <w:p w14:paraId="1A1F32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62" w:beforeLines="50" w:after="162" w:afterLines="5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Cs w:val="21"/>
                <w:highlight w:val="none"/>
                <w:shd w:val="clear" w:color="auto" w:fill="FFFFFF"/>
              </w:rPr>
              <w:t>100 mL～120 mL</w:t>
            </w:r>
          </w:p>
        </w:tc>
        <w:tc>
          <w:tcPr>
            <w:tcW w:w="1367" w:type="dxa"/>
            <w:vAlign w:val="center"/>
          </w:tcPr>
          <w:p w14:paraId="51D308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62" w:beforeLines="50" w:after="162" w:afterLines="5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Cs w:val="21"/>
                <w:highlight w:val="none"/>
              </w:rPr>
              <w:t>喷雾</w:t>
            </w:r>
          </w:p>
        </w:tc>
        <w:tc>
          <w:tcPr>
            <w:tcW w:w="1367" w:type="dxa"/>
            <w:vAlign w:val="center"/>
          </w:tcPr>
          <w:p w14:paraId="63C65C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62" w:beforeLines="50" w:after="162" w:afterLines="50"/>
              <w:jc w:val="center"/>
              <w:textAlignment w:val="auto"/>
              <w:rPr>
                <w:rFonts w:hint="default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Cs w:val="21"/>
                <w:highlight w:val="none"/>
                <w:lang w:val="en-US" w:eastAsia="zh-CN"/>
              </w:rPr>
              <w:t>10</w:t>
            </w:r>
          </w:p>
        </w:tc>
        <w:tc>
          <w:tcPr>
            <w:tcW w:w="1368" w:type="dxa"/>
            <w:vAlign w:val="center"/>
          </w:tcPr>
          <w:p w14:paraId="48D03A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62" w:beforeLines="50" w:after="162" w:afterLines="50"/>
              <w:jc w:val="center"/>
              <w:textAlignment w:val="auto"/>
              <w:rPr>
                <w:rFonts w:hint="default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2</w:t>
            </w:r>
          </w:p>
        </w:tc>
        <w:tc>
          <w:tcPr>
            <w:tcW w:w="1368" w:type="dxa"/>
            <w:vMerge w:val="restart"/>
            <w:vAlign w:val="center"/>
          </w:tcPr>
          <w:p w14:paraId="435592A6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eastAsia="zh-CN"/>
              </w:rPr>
              <w:t>蚜虫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vertAlign w:val="baseline"/>
                <w:lang w:eastAsia="zh-CN"/>
              </w:rPr>
              <w:t>、甜菜夜蛾</w:t>
            </w:r>
          </w:p>
        </w:tc>
      </w:tr>
      <w:tr w14:paraId="53F770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vMerge w:val="continue"/>
            <w:vAlign w:val="center"/>
          </w:tcPr>
          <w:p w14:paraId="690C3DEF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01" w:type="dxa"/>
            <w:vMerge w:val="continue"/>
            <w:vAlign w:val="center"/>
          </w:tcPr>
          <w:p w14:paraId="24F10624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eastAsia="zh-CN"/>
              </w:rPr>
            </w:pPr>
          </w:p>
        </w:tc>
        <w:tc>
          <w:tcPr>
            <w:tcW w:w="2665" w:type="dxa"/>
            <w:vAlign w:val="center"/>
          </w:tcPr>
          <w:p w14:paraId="72CFA2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62" w:beforeLines="50" w:after="162" w:afterLines="5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Cs w:val="21"/>
                <w:highlight w:val="none"/>
              </w:rPr>
              <w:t>80亿孢子/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Cs w:val="21"/>
                <w:highlight w:val="none"/>
                <w:shd w:val="clear" w:color="auto" w:fill="FFFFFF"/>
                <w:lang w:val="en-US" w:eastAsia="zh-CN"/>
              </w:rPr>
              <w:t>mL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Cs w:val="21"/>
                <w:highlight w:val="none"/>
              </w:rPr>
              <w:t>金龟子绿僵菌CQMa42可分散油悬浮剂</w:t>
            </w:r>
          </w:p>
        </w:tc>
        <w:tc>
          <w:tcPr>
            <w:tcW w:w="2381" w:type="dxa"/>
            <w:vAlign w:val="center"/>
          </w:tcPr>
          <w:p w14:paraId="5FA05E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62" w:beforeLines="50" w:after="162" w:afterLines="50"/>
              <w:jc w:val="center"/>
              <w:textAlignment w:val="auto"/>
              <w:rPr>
                <w:rFonts w:hint="default" w:asciiTheme="majorEastAsia" w:hAnsiTheme="majorEastAsia" w:eastAsiaTheme="majorEastAsia" w:cstheme="majorEastAsia"/>
                <w:color w:val="auto"/>
                <w:kern w:val="2"/>
                <w:sz w:val="21"/>
                <w:szCs w:val="21"/>
                <w:highlight w:val="none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Cs w:val="21"/>
                <w:highlight w:val="none"/>
                <w:shd w:val="clear" w:color="auto" w:fill="FFFFFF"/>
                <w:lang w:val="en-US" w:eastAsia="zh-CN"/>
              </w:rPr>
              <w:t>6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Cs w:val="21"/>
                <w:highlight w:val="none"/>
                <w:shd w:val="clear" w:color="auto" w:fill="FFFFFF"/>
              </w:rPr>
              <w:t>0 mL～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Cs w:val="21"/>
                <w:highlight w:val="none"/>
                <w:shd w:val="clear" w:color="auto" w:fill="FFFFFF"/>
                <w:lang w:val="en-US" w:eastAsia="zh-CN"/>
              </w:rPr>
              <w:t>9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Cs w:val="21"/>
                <w:highlight w:val="none"/>
                <w:shd w:val="clear" w:color="auto" w:fill="FFFFFF"/>
              </w:rPr>
              <w:t xml:space="preserve">0 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Cs w:val="21"/>
                <w:highlight w:val="none"/>
                <w:shd w:val="clear" w:color="auto" w:fill="FFFFFF"/>
                <w:lang w:val="en-US" w:eastAsia="zh-CN"/>
              </w:rPr>
              <w:t>mL</w:t>
            </w:r>
          </w:p>
        </w:tc>
        <w:tc>
          <w:tcPr>
            <w:tcW w:w="1367" w:type="dxa"/>
            <w:vAlign w:val="center"/>
          </w:tcPr>
          <w:p w14:paraId="6B9055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62" w:beforeLines="50" w:after="162" w:afterLines="5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Cs w:val="21"/>
                <w:highlight w:val="none"/>
              </w:rPr>
              <w:t>喷雾</w:t>
            </w:r>
          </w:p>
        </w:tc>
        <w:tc>
          <w:tcPr>
            <w:tcW w:w="1367" w:type="dxa"/>
            <w:vAlign w:val="center"/>
          </w:tcPr>
          <w:p w14:paraId="50DCCB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62" w:beforeLines="50" w:after="162" w:afterLines="5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Cs w:val="21"/>
                <w:highlight w:val="none"/>
              </w:rPr>
              <w:t>5</w:t>
            </w:r>
          </w:p>
        </w:tc>
        <w:tc>
          <w:tcPr>
            <w:tcW w:w="1368" w:type="dxa"/>
            <w:vAlign w:val="center"/>
          </w:tcPr>
          <w:p w14:paraId="1636C6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62" w:beforeLines="50" w:after="162" w:afterLines="50"/>
              <w:jc w:val="center"/>
              <w:textAlignment w:val="auto"/>
              <w:rPr>
                <w:rFonts w:hint="default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3</w:t>
            </w:r>
          </w:p>
        </w:tc>
        <w:tc>
          <w:tcPr>
            <w:tcW w:w="1368" w:type="dxa"/>
            <w:vMerge w:val="continue"/>
            <w:vAlign w:val="center"/>
          </w:tcPr>
          <w:p w14:paraId="3F1F0BBC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23604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vMerge w:val="continue"/>
            <w:vAlign w:val="center"/>
          </w:tcPr>
          <w:p w14:paraId="0371C26D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01" w:type="dxa"/>
            <w:vMerge w:val="continue"/>
            <w:vAlign w:val="center"/>
          </w:tcPr>
          <w:p w14:paraId="64A9CC34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665" w:type="dxa"/>
            <w:vAlign w:val="center"/>
          </w:tcPr>
          <w:p w14:paraId="3DE8DF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62" w:beforeLines="50" w:after="162" w:afterLines="5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Cs w:val="21"/>
                <w:highlight w:val="none"/>
                <w:lang w:val="en-US" w:eastAsia="zh-CN"/>
              </w:rPr>
              <w:t>17.5%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Cs w:val="21"/>
                <w:highlight w:val="none"/>
              </w:rPr>
              <w:t>联苯·呋虫胺</w:t>
            </w:r>
          </w:p>
        </w:tc>
        <w:tc>
          <w:tcPr>
            <w:tcW w:w="2381" w:type="dxa"/>
            <w:vAlign w:val="center"/>
          </w:tcPr>
          <w:p w14:paraId="0FC5DD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62" w:beforeLines="50" w:after="162" w:afterLines="50"/>
              <w:jc w:val="center"/>
              <w:textAlignment w:val="auto"/>
              <w:rPr>
                <w:rFonts w:hint="default" w:asciiTheme="majorEastAsia" w:hAnsiTheme="majorEastAsia" w:eastAsiaTheme="majorEastAsia" w:cstheme="majorEastAsia"/>
                <w:color w:val="auto"/>
                <w:szCs w:val="21"/>
                <w:highlight w:val="none"/>
                <w:shd w:val="clear" w:color="auto" w:fill="FFFFFF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Cs w:val="21"/>
                <w:highlight w:val="none"/>
                <w:shd w:val="clear" w:color="auto" w:fill="FFFFFF"/>
                <w:lang w:val="en-US" w:eastAsia="zh-CN"/>
              </w:rPr>
              <w:t xml:space="preserve">24 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Cs w:val="21"/>
                <w:highlight w:val="none"/>
                <w:shd w:val="clear" w:color="auto" w:fill="FFFFFF"/>
              </w:rPr>
              <w:t>g～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Cs w:val="21"/>
                <w:highlight w:val="none"/>
                <w:shd w:val="clear" w:color="auto" w:fill="FFFFFF"/>
                <w:lang w:val="en-US" w:eastAsia="zh-CN"/>
              </w:rPr>
              <w:t>32 g</w:t>
            </w:r>
          </w:p>
        </w:tc>
        <w:tc>
          <w:tcPr>
            <w:tcW w:w="1367" w:type="dxa"/>
            <w:vAlign w:val="center"/>
          </w:tcPr>
          <w:p w14:paraId="7473D1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62" w:beforeLines="50" w:after="162" w:afterLines="5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Cs w:val="21"/>
                <w:highlight w:val="none"/>
                <w:lang w:eastAsia="zh-CN"/>
              </w:rPr>
              <w:t>喷雾</w:t>
            </w:r>
          </w:p>
        </w:tc>
        <w:tc>
          <w:tcPr>
            <w:tcW w:w="1367" w:type="dxa"/>
            <w:vAlign w:val="center"/>
          </w:tcPr>
          <w:p w14:paraId="12F575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62" w:beforeLines="50" w:after="162" w:afterLines="5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Cs w:val="21"/>
                <w:highlight w:val="none"/>
                <w:lang w:val="en-US" w:eastAsia="zh-CN"/>
              </w:rPr>
              <w:t>7</w:t>
            </w:r>
          </w:p>
        </w:tc>
        <w:tc>
          <w:tcPr>
            <w:tcW w:w="1368" w:type="dxa"/>
            <w:vAlign w:val="center"/>
          </w:tcPr>
          <w:p w14:paraId="27E13A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62" w:beforeLines="50" w:after="162" w:afterLines="50"/>
              <w:jc w:val="center"/>
              <w:textAlignment w:val="auto"/>
              <w:rPr>
                <w:rFonts w:hint="default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1</w:t>
            </w:r>
          </w:p>
        </w:tc>
        <w:tc>
          <w:tcPr>
            <w:tcW w:w="1368" w:type="dxa"/>
            <w:vMerge w:val="continue"/>
            <w:vAlign w:val="center"/>
          </w:tcPr>
          <w:p w14:paraId="34FC3C58">
            <w:pPr>
              <w:pStyle w:val="127"/>
              <w:keepNext w:val="0"/>
              <w:keepLines w:val="0"/>
              <w:pageBreakBefore w:val="0"/>
              <w:framePr w:hSpace="0" w:vSpace="0" w:wrap="auto" w:vAnchor="margin" w:hAnchor="text" w:xAlign="left" w:yAlign="inline"/>
              <w:kinsoku/>
              <w:wordWrap/>
              <w:overflowPunct/>
              <w:topLinePunct w:val="0"/>
              <w:autoSpaceDE/>
              <w:autoSpaceDN/>
              <w:bidi w:val="0"/>
              <w:spacing w:before="162" w:beforeLines="50" w:after="162" w:afterLine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</w:tbl>
    <w:p w14:paraId="6791CEFD">
      <w:pPr>
        <w:pStyle w:val="127"/>
        <w:framePr w:hSpace="0" w:vSpace="0" w:wrap="auto" w:vAnchor="margin" w:hAnchor="text" w:xAlign="left" w:yAlign="inline"/>
        <w:rPr>
          <w:rFonts w:hint="eastAsia"/>
          <w:color w:val="auto"/>
        </w:rPr>
      </w:pPr>
    </w:p>
    <w:p w14:paraId="6197F888">
      <w:pPr>
        <w:pStyle w:val="127"/>
        <w:framePr w:hSpace="0" w:vSpace="0" w:wrap="auto" w:vAnchor="margin" w:hAnchor="text" w:xAlign="left" w:yAlign="inline"/>
        <w:rPr>
          <w:rFonts w:hint="eastAsia"/>
          <w:color w:val="auto"/>
        </w:rPr>
      </w:pPr>
      <w:r>
        <w:rPr>
          <w:rFonts w:hint="eastAsia"/>
          <w:color w:val="auto"/>
        </w:rPr>
        <w:t>注：</w:t>
      </w:r>
      <w:r>
        <w:rPr>
          <w:rFonts w:hint="eastAsia"/>
          <w:color w:val="auto"/>
          <w:lang w:val="en-US" w:eastAsia="zh-CN"/>
        </w:rPr>
        <w:t>1.农药使用应以最新版本NY/T 393的规定执行</w:t>
      </w:r>
      <w:r>
        <w:rPr>
          <w:rFonts w:hint="eastAsia"/>
          <w:color w:val="auto"/>
        </w:rPr>
        <w:t>。</w:t>
      </w:r>
    </w:p>
    <w:p w14:paraId="47F3606E">
      <w:pPr>
        <w:pStyle w:val="127"/>
        <w:framePr w:hSpace="0" w:vSpace="0" w:wrap="auto" w:vAnchor="margin" w:hAnchor="text" w:xAlign="left" w:yAlign="inline"/>
        <w:ind w:firstLine="420" w:firstLineChars="200"/>
        <w:rPr>
          <w:rFonts w:hint="default" w:eastAsia="宋体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2.各地根据病虫害发生情况灵活调整用药，使用量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vertAlign w:val="baseline"/>
          <w:lang w:val="en-US" w:eastAsia="zh-CN"/>
        </w:rPr>
        <w:t>按照说明书稀释倍数配制</w:t>
      </w:r>
      <w:r>
        <w:rPr>
          <w:rFonts w:hint="eastAsia"/>
          <w:color w:val="auto"/>
          <w:lang w:val="en-US" w:eastAsia="zh-CN"/>
        </w:rPr>
        <w:t>。</w:t>
      </w:r>
    </w:p>
    <w:p w14:paraId="61FD341E">
      <w:pPr>
        <w:pStyle w:val="127"/>
        <w:framePr w:hSpace="0" w:vSpace="0" w:wrap="auto" w:vAnchor="margin" w:hAnchor="text" w:xAlign="left" w:yAlign="inline"/>
        <w:rPr>
          <w:color w:val="auto"/>
        </w:rPr>
      </w:pPr>
    </w:p>
    <w:p w14:paraId="0B2868BD">
      <w:pPr>
        <w:pStyle w:val="84"/>
        <w:numPr>
          <w:ilvl w:val="0"/>
          <w:numId w:val="0"/>
        </w:numPr>
        <w:jc w:val="both"/>
        <w:rPr>
          <w:color w:val="auto"/>
        </w:rPr>
      </w:pPr>
      <w:r>
        <w:rPr>
          <w:rFonts w:hint="eastAsia" w:ascii="宋体" w:hAnsi="宋体" w:cs="宋体"/>
          <w:color w:val="auto"/>
          <w:u w:val="thick"/>
        </w:rPr>
        <w:t>_____________________</w:t>
      </w:r>
    </w:p>
    <w:sectPr>
      <w:pgSz w:w="16838" w:h="11906" w:orient="landscape"/>
      <w:pgMar w:top="1417" w:right="1417" w:bottom="1134" w:left="1134" w:header="1418" w:footer="1134" w:gutter="0"/>
      <w:pgNumType w:fmt="decimal"/>
      <w:cols w:space="0" w:num="1"/>
      <w:formProt w:val="0"/>
      <w:rtlGutter w:val="0"/>
      <w:docGrid w:type="lines" w:linePitch="32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4AE968">
    <w:pPr>
      <w:pStyle w:val="16"/>
      <w:wordWrap w:val="0"/>
      <w:jc w:val="center"/>
      <w:rPr>
        <w:rFonts w:ascii="黑体" w:hAnsi="黑体" w:eastAsia="黑体" w:cs="黑体"/>
        <w:i/>
        <w:iCs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2A3457">
    <w:pPr>
      <w:pStyle w:val="16"/>
      <w:wordWrap w:val="0"/>
      <w:jc w:val="center"/>
      <w:rPr>
        <w:rFonts w:ascii="黑体" w:hAnsi="黑体" w:eastAsia="黑体" w:cs="黑体"/>
        <w:i/>
        <w:iCs/>
      </w:rPr>
    </w:pPr>
    <w:r>
      <w:rPr>
        <w:sz w:val="20"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472134A6">
                          <w:pPr>
                            <w:pStyle w:val="1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I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438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NIka7D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72134A6">
                    <w:pPr>
                      <w:pStyle w:val="1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I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CCFE3F">
    <w:pPr>
      <w:pStyle w:val="66"/>
    </w:pPr>
    <w: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12798B15">
                          <w:pPr>
                            <w:pStyle w:val="6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540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a+TjvD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2798B15">
                    <w:pPr>
                      <w:pStyle w:val="6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B6CC6E">
    <w:pPr>
      <w:pStyle w:val="16"/>
      <w:wordWrap w:val="0"/>
      <w:jc w:val="center"/>
      <w:rPr>
        <w:rFonts w:ascii="黑体" w:hAnsi="黑体" w:eastAsia="黑体" w:cs="黑体"/>
        <w:i/>
        <w:iCs/>
      </w:rPr>
    </w:pPr>
    <w:r>
      <w:rPr>
        <w:sz w:val="20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8" name="文本框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597E9A10">
                          <w:pPr>
                            <w:pStyle w:val="1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+xGDMxAgAAZQ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DvsRgzMQIAAGU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97E9A10">
                    <w:pPr>
                      <w:pStyle w:val="1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黑体" w:hAnsi="黑体" w:eastAsia="黑体" w:cs="黑体"/>
        <w:i/>
        <w:iCs/>
        <w:sz w:val="20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posOffset>2889250</wp:posOffset>
              </wp:positionH>
              <wp:positionV relativeFrom="paragraph">
                <wp:posOffset>17145</wp:posOffset>
              </wp:positionV>
              <wp:extent cx="38100" cy="131445"/>
              <wp:effectExtent l="0" t="0" r="0" b="0"/>
              <wp:wrapNone/>
              <wp:docPr id="17" name="文本框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6DBB27C5">
                          <w:pPr>
                            <w:snapToGrid w:val="0"/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27.5pt;margin-top:1.35pt;height:10.35pt;width:3pt;mso-position-horizontal-relative:margin;mso-wrap-style:none;z-index:251661312;mso-width-relative:page;mso-height-relative:page;" filled="f" stroked="f" coordsize="21600,21600" o:gfxdata="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Mx3dsHVAAAACAEAAA8AAAAAAAAAAQAgAAAA&#10;IgAAAGRycy9kb3ducmV2LnhtbFBLAQIUABQAAAAIAIdO4kBGpYHmDgIAABEEAAAOAAAAAAAAAAEA&#10;IAAAACQBAABkcnMvZTJvRG9jLnhtbFBLBQYAAAAABgAGAFkBAACk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DBB27C5">
                    <w:pPr>
                      <w:snapToGrid w:val="0"/>
                      <w:rPr>
                        <w:sz w:val="18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rFonts w:hint="eastAsia" w:ascii="黑体" w:hAnsi="黑体" w:eastAsia="黑体" w:cs="黑体"/>
        <w:i/>
        <w:iCs/>
      </w:rPr>
      <w:t xml:space="preserve">    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CAF820">
    <w:pPr>
      <w:pStyle w:val="66"/>
    </w:pPr>
    <w: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9" name="文本框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179BFD22">
                          <w:pPr>
                            <w:pStyle w:val="6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II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336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JVhaKTICAABl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79BFD22">
                    <w:pPr>
                      <w:pStyle w:val="6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II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F3EE34">
    <w:pPr>
      <w:pStyle w:val="41"/>
      <w:jc w:val="center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4AA0AE0">
                          <w:pPr>
                            <w:pStyle w:val="41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2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CzSVju0AAAAAUBAAAP&#10;AAAAAAAAAAEAIAAAACIAAABkcnMvZG93bnJldi54bWxQSwECFAAUAAAACACHTuJArKDw5OcBAADI&#10;AwAADgAAAAAAAAABACAAAAAfAQAAZHJzL2Uyb0RvYy54bWxQSwUGAAAAAAYABgBZAQAAeA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4AA0AE0">
                    <w:pPr>
                      <w:pStyle w:val="41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A70558">
    <w:pPr>
      <w:pStyle w:val="66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66E3494">
                          <w:pPr>
                            <w:pStyle w:val="6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3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s0lY7tAAAAAFAQAA&#10;DwAAAAAAAAABACAAAAAiAAAAZHJzL2Rvd25yZXYueG1sUEsBAhQAFAAAAAgAh07iQJClRhHoAQAA&#10;yAMAAA4AAAAAAAAAAQAgAAAAHwEAAGRycy9lMm9Eb2MueG1sUEsFBgAAAAAGAAYAWQEAAHkFAAAA&#10;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66E3494">
                    <w:pPr>
                      <w:pStyle w:val="6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DA71B0">
    <w:pPr>
      <w:pStyle w:val="42"/>
      <w:spacing w:after="0"/>
      <w:rPr>
        <w:rFonts w:hAnsi="黑体"/>
      </w:rPr>
    </w:pPr>
    <w:r>
      <w:rPr>
        <w:rFonts w:hint="eastAsia" w:hAnsi="黑体"/>
      </w:rPr>
      <w:t>T/SZNB XXX—XXXX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BBED7A">
    <w:pPr>
      <w:pStyle w:val="67"/>
      <w:spacing w:after="283"/>
      <w:jc w:val="both"/>
      <w:rPr>
        <w:rFonts w:hAnsi="黑体"/>
      </w:rPr>
    </w:pPr>
    <w:r>
      <w:rPr>
        <w:rFonts w:hint="eastAsia" w:hAnsi="黑体"/>
      </w:rPr>
      <w:t>T/SZNB XXX—XXXX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9A1245">
    <w:pPr>
      <w:pStyle w:val="42"/>
      <w:spacing w:after="283"/>
      <w:rPr>
        <w:rFonts w:hAnsi="黑体"/>
      </w:rPr>
    </w:pPr>
    <w:r>
      <w:rPr>
        <w:rFonts w:hAnsi="黑体"/>
      </w:rPr>
      <w:t>T</w:t>
    </w:r>
    <w:r>
      <w:rPr>
        <w:rFonts w:hint="eastAsia" w:hAnsi="黑体"/>
      </w:rPr>
      <w:t>/SZNB</w:t>
    </w:r>
    <w:r>
      <w:rPr>
        <w:rFonts w:hAnsi="黑体"/>
      </w:rPr>
      <w:t xml:space="preserve"> </w:t>
    </w:r>
    <w:r>
      <w:rPr>
        <w:rFonts w:hint="eastAsia" w:hAnsi="黑体"/>
      </w:rPr>
      <w:t>XXX</w:t>
    </w:r>
    <w:r>
      <w:rPr>
        <w:rFonts w:hAnsi="黑体"/>
      </w:rPr>
      <w:t>—</w:t>
    </w:r>
    <w:r>
      <w:rPr>
        <w:rFonts w:hint="eastAsia" w:hAnsi="黑体"/>
      </w:rPr>
      <w:t>XXXX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9102AD"/>
    <w:multiLevelType w:val="multilevel"/>
    <w:tmpl w:val="079102AD"/>
    <w:lvl w:ilvl="0" w:tentative="0">
      <w:start w:val="1"/>
      <w:numFmt w:val="decimal"/>
      <w:pStyle w:val="56"/>
      <w:suff w:val="nothing"/>
      <w:lvlText w:val="注%1："/>
      <w:lvlJc w:val="left"/>
      <w:pPr>
        <w:ind w:left="811" w:hanging="448"/>
      </w:pPr>
      <w:rPr>
        <w:rFonts w:hint="eastAsia" w:ascii="黑体" w:eastAsia="黑体"/>
        <w:b w:val="0"/>
        <w:i w:val="0"/>
        <w:sz w:val="18"/>
        <w:lang w:val="en-US"/>
      </w:rPr>
    </w:lvl>
    <w:lvl w:ilvl="1" w:tentative="0">
      <w:start w:val="1"/>
      <w:numFmt w:val="lowerLetter"/>
      <w:lvlText w:val="%2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</w:rPr>
    </w:lvl>
  </w:abstractNum>
  <w:abstractNum w:abstractNumId="1">
    <w:nsid w:val="093C6778"/>
    <w:multiLevelType w:val="multilevel"/>
    <w:tmpl w:val="093C6778"/>
    <w:lvl w:ilvl="0" w:tentative="0">
      <w:start w:val="1"/>
      <w:numFmt w:val="decimal"/>
      <w:pStyle w:val="114"/>
      <w:suff w:val="nothing"/>
      <w:lvlText w:val="示例%1："/>
      <w:lvlJc w:val="left"/>
      <w:pPr>
        <w:ind w:left="0" w:firstLine="397"/>
      </w:pPr>
      <w:rPr>
        <w:rFonts w:hint="eastAsia" w:ascii="黑体" w:eastAsia="黑体"/>
        <w:sz w:val="18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>
    <w:nsid w:val="0AE367E9"/>
    <w:multiLevelType w:val="multilevel"/>
    <w:tmpl w:val="0AE367E9"/>
    <w:lvl w:ilvl="0" w:tentative="0">
      <w:start w:val="1"/>
      <w:numFmt w:val="none"/>
      <w:pStyle w:val="50"/>
      <w:suff w:val="nothing"/>
      <w:lvlText w:val="%1示例："/>
      <w:lvlJc w:val="left"/>
      <w:pPr>
        <w:ind w:left="0" w:firstLine="363"/>
      </w:pPr>
      <w:rPr>
        <w:rFonts w:hint="eastAsia" w:ascii="黑体" w:eastAsia="黑体"/>
        <w:b w:val="0"/>
        <w:i w:val="0"/>
        <w:sz w:val="18"/>
        <w:szCs w:val="18"/>
      </w:rPr>
    </w:lvl>
    <w:lvl w:ilvl="1" w:tentative="0">
      <w:start w:val="1"/>
      <w:numFmt w:val="lowerLetter"/>
      <w:lvlText w:val="%2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363"/>
        </w:tabs>
        <w:ind w:left="0" w:firstLine="363"/>
      </w:pPr>
      <w:rPr>
        <w:rFonts w:hint="eastAsia"/>
      </w:rPr>
    </w:lvl>
  </w:abstractNum>
  <w:abstractNum w:abstractNumId="3">
    <w:nsid w:val="0DDE2B46"/>
    <w:multiLevelType w:val="multilevel"/>
    <w:tmpl w:val="0DDE2B46"/>
    <w:lvl w:ilvl="0" w:tentative="0">
      <w:start w:val="1"/>
      <w:numFmt w:val="lowerLetter"/>
      <w:pStyle w:val="119"/>
      <w:suff w:val="nothing"/>
      <w:lvlText w:val="%1   "/>
      <w:lvlJc w:val="left"/>
      <w:pPr>
        <w:ind w:left="544" w:hanging="181"/>
      </w:pPr>
      <w:rPr>
        <w:rFonts w:hint="eastAsia" w:ascii="宋体" w:eastAsia="宋体"/>
        <w:b w:val="0"/>
        <w:i w:val="0"/>
        <w:sz w:val="18"/>
        <w:vertAlign w:val="superscript"/>
      </w:rPr>
    </w:lvl>
    <w:lvl w:ilvl="1" w:tentative="0">
      <w:start w:val="1"/>
      <w:numFmt w:val="lowerLetter"/>
      <w:lvlText w:val="%2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57"/>
        </w:tabs>
        <w:ind w:left="363" w:hanging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57"/>
        </w:tabs>
        <w:ind w:left="363" w:hanging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57"/>
        </w:tabs>
        <w:ind w:left="363" w:hanging="363"/>
      </w:pPr>
      <w:rPr>
        <w:rFonts w:hint="eastAsia"/>
      </w:rPr>
    </w:lvl>
  </w:abstractNum>
  <w:abstractNum w:abstractNumId="4">
    <w:nsid w:val="1DBF583A"/>
    <w:multiLevelType w:val="multilevel"/>
    <w:tmpl w:val="1DBF583A"/>
    <w:lvl w:ilvl="0" w:tentative="0">
      <w:start w:val="1"/>
      <w:numFmt w:val="decimal"/>
      <w:pStyle w:val="63"/>
      <w:suff w:val="nothing"/>
      <w:lvlText w:val="注%1："/>
      <w:lvlJc w:val="left"/>
      <w:pPr>
        <w:ind w:left="811" w:hanging="448"/>
      </w:pPr>
      <w:rPr>
        <w:rFonts w:hint="eastAsia" w:ascii="黑体" w:eastAsia="黑体"/>
        <w:b w:val="0"/>
        <w:i w:val="0"/>
        <w:sz w:val="18"/>
        <w:szCs w:val="18"/>
        <w:vertAlign w:val="baseline"/>
      </w:rPr>
    </w:lvl>
    <w:lvl w:ilvl="1" w:tentative="0">
      <w:start w:val="1"/>
      <w:numFmt w:val="lowerLetter"/>
      <w:lvlText w:val="%2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2" w:tentative="0">
      <w:start w:val="1"/>
      <w:numFmt w:val="lowerRoman"/>
      <w:lvlText w:val="%3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3" w:tentative="0">
      <w:start w:val="1"/>
      <w:numFmt w:val="decimal"/>
      <w:lvlText w:val="%4.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4" w:tentative="0">
      <w:start w:val="1"/>
      <w:numFmt w:val="lowerLetter"/>
      <w:lvlText w:val="%5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5" w:tentative="0">
      <w:start w:val="1"/>
      <w:numFmt w:val="lowerRoman"/>
      <w:lvlText w:val="%6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6" w:tentative="0">
      <w:start w:val="1"/>
      <w:numFmt w:val="decimal"/>
      <w:lvlText w:val="%7.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7" w:tentative="0">
      <w:start w:val="1"/>
      <w:numFmt w:val="lowerLetter"/>
      <w:lvlText w:val="%8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8" w:tentative="0">
      <w:start w:val="1"/>
      <w:numFmt w:val="lowerRoman"/>
      <w:lvlText w:val="%9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</w:abstractNum>
  <w:abstractNum w:abstractNumId="5">
    <w:nsid w:val="1FC91163"/>
    <w:multiLevelType w:val="multilevel"/>
    <w:tmpl w:val="1FC91163"/>
    <w:lvl w:ilvl="0" w:tentative="0">
      <w:start w:val="1"/>
      <w:numFmt w:val="decimal"/>
      <w:pStyle w:val="43"/>
      <w:suff w:val="nothing"/>
      <w:lvlText w:val="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  <w:szCs w:val="21"/>
      </w:rPr>
    </w:lvl>
    <w:lvl w:ilvl="1" w:tentative="0">
      <w:start w:val="1"/>
      <w:numFmt w:val="decimal"/>
      <w:pStyle w:val="40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 w:tentative="0">
      <w:start w:val="1"/>
      <w:numFmt w:val="decimal"/>
      <w:pStyle w:val="44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pStyle w:val="49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pStyle w:val="53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pStyle w:val="54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6">
    <w:nsid w:val="2A8F7113"/>
    <w:multiLevelType w:val="multilevel"/>
    <w:tmpl w:val="2A8F7113"/>
    <w:lvl w:ilvl="0" w:tentative="0">
      <w:start w:val="1"/>
      <w:numFmt w:val="upperLetter"/>
      <w:pStyle w:val="96"/>
      <w:suff w:val="space"/>
      <w:lvlText w:val="%1"/>
      <w:lvlJc w:val="left"/>
      <w:pPr>
        <w:ind w:left="623" w:hanging="425"/>
      </w:pPr>
      <w:rPr>
        <w:rFonts w:hint="eastAsia"/>
      </w:rPr>
    </w:lvl>
    <w:lvl w:ilvl="1" w:tentative="0">
      <w:start w:val="1"/>
      <w:numFmt w:val="decimal"/>
      <w:pStyle w:val="97"/>
      <w:suff w:val="nothing"/>
      <w:lvlText w:val="图%1.%2　"/>
      <w:lvlJc w:val="left"/>
      <w:pPr>
        <w:ind w:left="1190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616"/>
        </w:tabs>
        <w:ind w:left="1616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2914"/>
        </w:tabs>
        <w:ind w:left="2182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699"/>
        </w:tabs>
        <w:ind w:left="2749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4484"/>
        </w:tabs>
        <w:ind w:left="345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5269"/>
        </w:tabs>
        <w:ind w:left="402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6054"/>
        </w:tabs>
        <w:ind w:left="459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840"/>
        </w:tabs>
        <w:ind w:left="5300" w:hanging="1700"/>
      </w:pPr>
      <w:rPr>
        <w:rFonts w:hint="eastAsia"/>
      </w:rPr>
    </w:lvl>
  </w:abstractNum>
  <w:abstractNum w:abstractNumId="7">
    <w:nsid w:val="2C5917C3"/>
    <w:multiLevelType w:val="multilevel"/>
    <w:tmpl w:val="2C5917C3"/>
    <w:lvl w:ilvl="0" w:tentative="0">
      <w:start w:val="1"/>
      <w:numFmt w:val="none"/>
      <w:pStyle w:val="46"/>
      <w:suff w:val="nothing"/>
      <w:lvlText w:val="%1——"/>
      <w:lvlJc w:val="left"/>
      <w:pPr>
        <w:ind w:left="833" w:hanging="408"/>
      </w:pPr>
      <w:rPr>
        <w:rFonts w:hint="eastAsia"/>
      </w:rPr>
    </w:lvl>
    <w:lvl w:ilvl="1" w:tentative="0">
      <w:start w:val="1"/>
      <w:numFmt w:val="bullet"/>
      <w:pStyle w:val="47"/>
      <w:lvlText w:val=""/>
      <w:lvlJc w:val="left"/>
      <w:pPr>
        <w:tabs>
          <w:tab w:val="left" w:pos="760"/>
        </w:tabs>
        <w:ind w:left="1264" w:hanging="413"/>
      </w:pPr>
      <w:rPr>
        <w:rFonts w:hint="default" w:ascii="Symbol" w:hAnsi="Symbol"/>
        <w:color w:val="auto"/>
      </w:rPr>
    </w:lvl>
    <w:lvl w:ilvl="2" w:tentative="0">
      <w:start w:val="1"/>
      <w:numFmt w:val="bullet"/>
      <w:pStyle w:val="58"/>
      <w:lvlText w:val=""/>
      <w:lvlJc w:val="left"/>
      <w:pPr>
        <w:tabs>
          <w:tab w:val="left" w:pos="1678"/>
        </w:tabs>
        <w:ind w:left="1678" w:hanging="414"/>
      </w:pPr>
      <w:rPr>
        <w:rFonts w:hint="default" w:ascii="Symbol" w:hAnsi="Symbol"/>
        <w:color w:val="auto"/>
      </w:rPr>
    </w:lvl>
    <w:lvl w:ilvl="3" w:tentative="0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  <w:rPr>
        <w:rFonts w:hint="eastAsia"/>
      </w:rPr>
    </w:lvl>
  </w:abstractNum>
  <w:abstractNum w:abstractNumId="8">
    <w:nsid w:val="3D733618"/>
    <w:multiLevelType w:val="multilevel"/>
    <w:tmpl w:val="3D733618"/>
    <w:lvl w:ilvl="0" w:tentative="0">
      <w:start w:val="1"/>
      <w:numFmt w:val="decimal"/>
      <w:pStyle w:val="23"/>
      <w:lvlText w:val="%1)"/>
      <w:lvlJc w:val="left"/>
      <w:pPr>
        <w:tabs>
          <w:tab w:val="left" w:pos="0"/>
        </w:tabs>
        <w:ind w:left="720" w:hanging="357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504"/>
        </w:tabs>
        <w:ind w:left="544" w:hanging="544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532"/>
        </w:tabs>
        <w:ind w:left="544" w:hanging="544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560"/>
        </w:tabs>
        <w:ind w:left="544" w:hanging="544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588"/>
        </w:tabs>
        <w:ind w:left="544" w:hanging="544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616"/>
        </w:tabs>
        <w:ind w:left="544" w:hanging="544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644"/>
        </w:tabs>
        <w:ind w:left="544" w:hanging="544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672"/>
        </w:tabs>
        <w:ind w:left="544" w:hanging="544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700"/>
        </w:tabs>
        <w:ind w:left="544" w:hanging="544"/>
      </w:pPr>
      <w:rPr>
        <w:rFonts w:hint="eastAsia"/>
      </w:rPr>
    </w:lvl>
  </w:abstractNum>
  <w:abstractNum w:abstractNumId="9">
    <w:nsid w:val="44C50F90"/>
    <w:multiLevelType w:val="multilevel"/>
    <w:tmpl w:val="44C50F90"/>
    <w:lvl w:ilvl="0" w:tentative="0">
      <w:start w:val="1"/>
      <w:numFmt w:val="lowerLetter"/>
      <w:pStyle w:val="57"/>
      <w:lvlText w:val="%1)"/>
      <w:lvlJc w:val="left"/>
      <w:pPr>
        <w:tabs>
          <w:tab w:val="left" w:pos="840"/>
        </w:tabs>
        <w:ind w:left="839" w:hanging="419"/>
      </w:pPr>
      <w:rPr>
        <w:rFonts w:hint="eastAsia" w:ascii="宋体" w:eastAsia="宋体"/>
        <w:b w:val="0"/>
        <w:i w:val="0"/>
        <w:sz w:val="21"/>
        <w:szCs w:val="21"/>
      </w:rPr>
    </w:lvl>
    <w:lvl w:ilvl="1" w:tentative="0">
      <w:start w:val="1"/>
      <w:numFmt w:val="decimal"/>
      <w:pStyle w:val="52"/>
      <w:lvlText w:val="%2)"/>
      <w:lvlJc w:val="left"/>
      <w:pPr>
        <w:tabs>
          <w:tab w:val="left" w:pos="1260"/>
        </w:tabs>
        <w:ind w:left="1259" w:hanging="419"/>
      </w:pPr>
      <w:rPr>
        <w:rFonts w:hint="eastAsia"/>
      </w:rPr>
    </w:lvl>
    <w:lvl w:ilvl="2" w:tentative="0">
      <w:start w:val="1"/>
      <w:numFmt w:val="decimal"/>
      <w:lvlText w:val="(%3)"/>
      <w:lvlJc w:val="left"/>
      <w:pPr>
        <w:tabs>
          <w:tab w:val="left" w:pos="0"/>
        </w:tabs>
        <w:ind w:left="1679" w:hanging="420"/>
      </w:pPr>
      <w:rPr>
        <w:rFonts w:hint="eastAsia" w:ascii="宋体" w:eastAsia="宋体"/>
        <w:b w:val="0"/>
        <w:i w:val="0"/>
        <w:sz w:val="21"/>
        <w:szCs w:val="21"/>
      </w:r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19" w:hanging="41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39" w:hanging="41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79" w:hanging="41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199" w:hanging="419"/>
      </w:pPr>
      <w:rPr>
        <w:rFonts w:hint="eastAsia"/>
      </w:rPr>
    </w:lvl>
  </w:abstractNum>
  <w:abstractNum w:abstractNumId="10">
    <w:nsid w:val="4B733A5F"/>
    <w:multiLevelType w:val="multilevel"/>
    <w:tmpl w:val="4B733A5F"/>
    <w:lvl w:ilvl="0" w:tentative="0">
      <w:start w:val="1"/>
      <w:numFmt w:val="decimal"/>
      <w:pStyle w:val="60"/>
      <w:suff w:val="nothing"/>
      <w:lvlText w:val="示例%1："/>
      <w:lvlJc w:val="left"/>
      <w:pPr>
        <w:ind w:left="0" w:firstLine="363"/>
      </w:pPr>
      <w:rPr>
        <w:rFonts w:hint="eastAsia" w:ascii="黑体" w:hAnsi="Times New Roman" w:eastAsia="黑体"/>
        <w:b w:val="0"/>
        <w:i w:val="0"/>
        <w:sz w:val="18"/>
        <w:szCs w:val="18"/>
        <w:vertAlign w:val="baseline"/>
      </w:rPr>
    </w:lvl>
    <w:lvl w:ilvl="1" w:tentative="0">
      <w:start w:val="1"/>
      <w:numFmt w:val="none"/>
      <w:suff w:val="space"/>
      <w:lvlText w:val=""/>
      <w:lvlJc w:val="left"/>
      <w:pPr>
        <w:ind w:left="0" w:firstLine="0"/>
      </w:pPr>
      <w:rPr>
        <w:rFonts w:hint="eastAsia"/>
        <w:vertAlign w:val="baseline"/>
      </w:rPr>
    </w:lvl>
    <w:lvl w:ilvl="2" w:tentative="0">
      <w:start w:val="1"/>
      <w:numFmt w:val="decimal"/>
      <w:suff w:val="space"/>
      <w:lvlText w:val="2.2.%3"/>
      <w:lvlJc w:val="left"/>
      <w:pPr>
        <w:ind w:left="0" w:firstLine="0"/>
      </w:pPr>
      <w:rPr>
        <w:rFonts w:hint="eastAsia"/>
        <w:vertAlign w:val="baseline"/>
      </w:r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4" w:tentative="0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7" w:tentative="0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  <w:vertAlign w:val="baseline"/>
      </w:rPr>
    </w:lvl>
  </w:abstractNum>
  <w:abstractNum w:abstractNumId="11">
    <w:nsid w:val="557C2AF5"/>
    <w:multiLevelType w:val="multilevel"/>
    <w:tmpl w:val="557C2AF5"/>
    <w:lvl w:ilvl="0" w:tentative="0">
      <w:start w:val="1"/>
      <w:numFmt w:val="decimal"/>
      <w:pStyle w:val="126"/>
      <w:suff w:val="nothing"/>
      <w:lvlText w:val="图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1" w:tentative="0">
      <w:start w:val="1"/>
      <w:numFmt w:val="decimal"/>
      <w:suff w:val="nothing"/>
      <w:lvlText w:val="%1%2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2">
    <w:nsid w:val="60B55DC2"/>
    <w:multiLevelType w:val="multilevel"/>
    <w:tmpl w:val="60B55DC2"/>
    <w:lvl w:ilvl="0" w:tentative="0">
      <w:start w:val="1"/>
      <w:numFmt w:val="upperLetter"/>
      <w:pStyle w:val="84"/>
      <w:lvlText w:val="%1"/>
      <w:lvlJc w:val="left"/>
      <w:pPr>
        <w:tabs>
          <w:tab w:val="left" w:pos="0"/>
        </w:tabs>
        <w:ind w:left="0" w:hanging="425"/>
      </w:pPr>
      <w:rPr>
        <w:rFonts w:hint="eastAsia"/>
      </w:rPr>
    </w:lvl>
    <w:lvl w:ilvl="1" w:tentative="0">
      <w:start w:val="1"/>
      <w:numFmt w:val="decimal"/>
      <w:pStyle w:val="85"/>
      <w:suff w:val="nothing"/>
      <w:lvlText w:val="表%1.%2　"/>
      <w:lvlJc w:val="left"/>
      <w:pPr>
        <w:ind w:left="567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993"/>
        </w:tabs>
        <w:ind w:left="993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hint="eastAsia"/>
      </w:rPr>
    </w:lvl>
  </w:abstractNum>
  <w:abstractNum w:abstractNumId="13">
    <w:nsid w:val="646260FA"/>
    <w:multiLevelType w:val="multilevel"/>
    <w:tmpl w:val="646260FA"/>
    <w:lvl w:ilvl="0" w:tentative="0">
      <w:start w:val="1"/>
      <w:numFmt w:val="decimal"/>
      <w:pStyle w:val="124"/>
      <w:suff w:val="nothing"/>
      <w:lvlText w:val="表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1" w:tentative="0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418"/>
        </w:tabs>
        <w:ind w:left="1418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4">
    <w:nsid w:val="657D3FBC"/>
    <w:multiLevelType w:val="multilevel"/>
    <w:tmpl w:val="657D3FBC"/>
    <w:lvl w:ilvl="0" w:tentative="0">
      <w:start w:val="1"/>
      <w:numFmt w:val="upperLetter"/>
      <w:pStyle w:val="82"/>
      <w:suff w:val="nothing"/>
      <w:lvlText w:val="附　录　%1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pacing w:val="0"/>
        <w:w w:val="100"/>
        <w:sz w:val="21"/>
      </w:rPr>
    </w:lvl>
    <w:lvl w:ilvl="1" w:tentative="0">
      <w:start w:val="1"/>
      <w:numFmt w:val="decimal"/>
      <w:pStyle w:val="100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napToGrid/>
        <w:spacing w:val="0"/>
        <w:w w:val="100"/>
        <w:kern w:val="21"/>
        <w:sz w:val="21"/>
      </w:rPr>
    </w:lvl>
    <w:lvl w:ilvl="2" w:tentative="0">
      <w:start w:val="1"/>
      <w:numFmt w:val="decimal"/>
      <w:pStyle w:val="101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pStyle w:val="86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pStyle w:val="91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pStyle w:val="94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pStyle w:val="98"/>
      <w:suff w:val="nothing"/>
      <w:lvlText w:val="%1.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5">
    <w:nsid w:val="6D6C07CD"/>
    <w:multiLevelType w:val="multilevel"/>
    <w:tmpl w:val="6D6C07CD"/>
    <w:lvl w:ilvl="0" w:tentative="0">
      <w:start w:val="1"/>
      <w:numFmt w:val="lowerLetter"/>
      <w:pStyle w:val="103"/>
      <w:lvlText w:val="%1)"/>
      <w:lvlJc w:val="left"/>
      <w:pPr>
        <w:tabs>
          <w:tab w:val="left" w:pos="839"/>
        </w:tabs>
        <w:ind w:left="839" w:hanging="419"/>
      </w:pPr>
      <w:rPr>
        <w:rFonts w:hint="eastAsia" w:ascii="宋体" w:eastAsia="宋体"/>
        <w:b w:val="0"/>
        <w:i w:val="0"/>
        <w:sz w:val="21"/>
      </w:rPr>
    </w:lvl>
    <w:lvl w:ilvl="1" w:tentative="0">
      <w:start w:val="1"/>
      <w:numFmt w:val="decimal"/>
      <w:pStyle w:val="93"/>
      <w:lvlText w:val="%2)"/>
      <w:lvlJc w:val="left"/>
      <w:pPr>
        <w:tabs>
          <w:tab w:val="left" w:pos="840"/>
        </w:tabs>
        <w:ind w:left="839" w:hanging="419"/>
      </w:pPr>
      <w:rPr>
        <w:rFonts w:hint="eastAsia" w:ascii="宋体" w:eastAsia="宋体"/>
        <w:b w:val="0"/>
        <w:i w:val="0"/>
        <w:sz w:val="21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59" w:hanging="419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79" w:hanging="41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19" w:hanging="41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39" w:hanging="41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79" w:hanging="419"/>
      </w:pPr>
      <w:rPr>
        <w:rFonts w:hint="eastAsia"/>
      </w:rPr>
    </w:lvl>
  </w:abstractNum>
  <w:abstractNum w:abstractNumId="16">
    <w:nsid w:val="6DBF04F4"/>
    <w:multiLevelType w:val="multilevel"/>
    <w:tmpl w:val="6DBF04F4"/>
    <w:lvl w:ilvl="0" w:tentative="0">
      <w:start w:val="1"/>
      <w:numFmt w:val="none"/>
      <w:pStyle w:val="55"/>
      <w:suff w:val="nothing"/>
      <w:lvlText w:val="%1注："/>
      <w:lvlJc w:val="left"/>
      <w:pPr>
        <w:ind w:left="726" w:hanging="363"/>
      </w:pPr>
      <w:rPr>
        <w:rFonts w:hint="eastAsia" w:ascii="黑体" w:hAnsi="Times New Roman" w:eastAsia="黑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1140"/>
        </w:tabs>
        <w:ind w:left="726" w:hanging="363"/>
      </w:pPr>
      <w:rPr>
        <w:rFonts w:hint="eastAsia"/>
      </w:rPr>
    </w:lvl>
  </w:abstractNum>
  <w:num w:numId="1">
    <w:abstractNumId w:val="8"/>
  </w:num>
  <w:num w:numId="2">
    <w:abstractNumId w:val="5"/>
  </w:num>
  <w:num w:numId="3">
    <w:abstractNumId w:val="7"/>
  </w:num>
  <w:num w:numId="4">
    <w:abstractNumId w:val="2"/>
  </w:num>
  <w:num w:numId="5">
    <w:abstractNumId w:val="9"/>
  </w:num>
  <w:num w:numId="6">
    <w:abstractNumId w:val="16"/>
  </w:num>
  <w:num w:numId="7">
    <w:abstractNumId w:val="0"/>
  </w:num>
  <w:num w:numId="8">
    <w:abstractNumId w:val="10"/>
  </w:num>
  <w:num w:numId="9">
    <w:abstractNumId w:val="4"/>
  </w:num>
  <w:num w:numId="10">
    <w:abstractNumId w:val="14"/>
  </w:num>
  <w:num w:numId="11">
    <w:abstractNumId w:val="12"/>
  </w:num>
  <w:num w:numId="12">
    <w:abstractNumId w:val="15"/>
  </w:num>
  <w:num w:numId="13">
    <w:abstractNumId w:val="6"/>
  </w:num>
  <w:num w:numId="14">
    <w:abstractNumId w:val="1"/>
  </w:num>
  <w:num w:numId="15">
    <w:abstractNumId w:val="3"/>
  </w:num>
  <w:num w:numId="16">
    <w:abstractNumId w:val="13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removePersonalInformation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evenAndOddHeaders w:val="1"/>
  <w:drawingGridHorizontalSpacing w:val="105"/>
  <w:drawingGridVerticalSpacing w:val="161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RmZGM5MGNkZmQ3MGY3NTU5NzcxZDM3YzFhN2JkZDkifQ=="/>
  </w:docVars>
  <w:rsids>
    <w:rsidRoot w:val="00035925"/>
    <w:rsid w:val="00000244"/>
    <w:rsid w:val="0000185F"/>
    <w:rsid w:val="0000586F"/>
    <w:rsid w:val="00013D86"/>
    <w:rsid w:val="00013E02"/>
    <w:rsid w:val="0002143C"/>
    <w:rsid w:val="00025A65"/>
    <w:rsid w:val="00026C31"/>
    <w:rsid w:val="00027280"/>
    <w:rsid w:val="00030165"/>
    <w:rsid w:val="000320A7"/>
    <w:rsid w:val="00035925"/>
    <w:rsid w:val="00067CDF"/>
    <w:rsid w:val="00074FBE"/>
    <w:rsid w:val="00076FEE"/>
    <w:rsid w:val="00083A09"/>
    <w:rsid w:val="00083D43"/>
    <w:rsid w:val="0009005E"/>
    <w:rsid w:val="00092857"/>
    <w:rsid w:val="000A20A9"/>
    <w:rsid w:val="000A48B1"/>
    <w:rsid w:val="000B3143"/>
    <w:rsid w:val="000C6B05"/>
    <w:rsid w:val="000C6DD6"/>
    <w:rsid w:val="000C73D4"/>
    <w:rsid w:val="000D3D4C"/>
    <w:rsid w:val="000D4F51"/>
    <w:rsid w:val="000D718B"/>
    <w:rsid w:val="000E0C46"/>
    <w:rsid w:val="000F030C"/>
    <w:rsid w:val="000F129C"/>
    <w:rsid w:val="001056DE"/>
    <w:rsid w:val="001064D8"/>
    <w:rsid w:val="001124C0"/>
    <w:rsid w:val="0013175F"/>
    <w:rsid w:val="00143ECC"/>
    <w:rsid w:val="001512B4"/>
    <w:rsid w:val="001620A5"/>
    <w:rsid w:val="00164E53"/>
    <w:rsid w:val="0016699D"/>
    <w:rsid w:val="00175159"/>
    <w:rsid w:val="00176208"/>
    <w:rsid w:val="0018211B"/>
    <w:rsid w:val="001840D3"/>
    <w:rsid w:val="001900F8"/>
    <w:rsid w:val="00191258"/>
    <w:rsid w:val="00192680"/>
    <w:rsid w:val="00193037"/>
    <w:rsid w:val="00193A2C"/>
    <w:rsid w:val="001A288E"/>
    <w:rsid w:val="001B6DC2"/>
    <w:rsid w:val="001C149C"/>
    <w:rsid w:val="001C21AC"/>
    <w:rsid w:val="001C47BA"/>
    <w:rsid w:val="001C59EA"/>
    <w:rsid w:val="001D406C"/>
    <w:rsid w:val="001D41EE"/>
    <w:rsid w:val="001E0380"/>
    <w:rsid w:val="001E13B1"/>
    <w:rsid w:val="001E6254"/>
    <w:rsid w:val="001F3A19"/>
    <w:rsid w:val="00234467"/>
    <w:rsid w:val="00237D8D"/>
    <w:rsid w:val="00241DA2"/>
    <w:rsid w:val="00247FEE"/>
    <w:rsid w:val="00250E7D"/>
    <w:rsid w:val="002565D5"/>
    <w:rsid w:val="002622C0"/>
    <w:rsid w:val="002778AE"/>
    <w:rsid w:val="00282614"/>
    <w:rsid w:val="0028269A"/>
    <w:rsid w:val="00283590"/>
    <w:rsid w:val="00286973"/>
    <w:rsid w:val="002945DB"/>
    <w:rsid w:val="00294E70"/>
    <w:rsid w:val="002A1924"/>
    <w:rsid w:val="002A7420"/>
    <w:rsid w:val="002B0F12"/>
    <w:rsid w:val="002B1308"/>
    <w:rsid w:val="002B4554"/>
    <w:rsid w:val="002C72D8"/>
    <w:rsid w:val="002D11FA"/>
    <w:rsid w:val="002E0DDF"/>
    <w:rsid w:val="002E262A"/>
    <w:rsid w:val="002E2906"/>
    <w:rsid w:val="002E5635"/>
    <w:rsid w:val="002E64C3"/>
    <w:rsid w:val="002E6A2C"/>
    <w:rsid w:val="002F1D8C"/>
    <w:rsid w:val="002F21DA"/>
    <w:rsid w:val="00301F39"/>
    <w:rsid w:val="00325926"/>
    <w:rsid w:val="00327A8A"/>
    <w:rsid w:val="00336610"/>
    <w:rsid w:val="00336FD8"/>
    <w:rsid w:val="00343F73"/>
    <w:rsid w:val="00345060"/>
    <w:rsid w:val="0035323B"/>
    <w:rsid w:val="003609D2"/>
    <w:rsid w:val="00363F22"/>
    <w:rsid w:val="00375564"/>
    <w:rsid w:val="00383191"/>
    <w:rsid w:val="00386DED"/>
    <w:rsid w:val="003912E7"/>
    <w:rsid w:val="00393947"/>
    <w:rsid w:val="003A2275"/>
    <w:rsid w:val="003A6A4F"/>
    <w:rsid w:val="003A7088"/>
    <w:rsid w:val="003B00DF"/>
    <w:rsid w:val="003B1275"/>
    <w:rsid w:val="003B1778"/>
    <w:rsid w:val="003C11CB"/>
    <w:rsid w:val="003C75F3"/>
    <w:rsid w:val="003C78A3"/>
    <w:rsid w:val="003E1867"/>
    <w:rsid w:val="003E4E78"/>
    <w:rsid w:val="003E5729"/>
    <w:rsid w:val="003F2F0A"/>
    <w:rsid w:val="003F4EE0"/>
    <w:rsid w:val="00402153"/>
    <w:rsid w:val="00402FC1"/>
    <w:rsid w:val="00425082"/>
    <w:rsid w:val="00431DEB"/>
    <w:rsid w:val="00446B29"/>
    <w:rsid w:val="00453F9A"/>
    <w:rsid w:val="00471E91"/>
    <w:rsid w:val="00474675"/>
    <w:rsid w:val="0047470C"/>
    <w:rsid w:val="004A35F9"/>
    <w:rsid w:val="004B24C1"/>
    <w:rsid w:val="004C292F"/>
    <w:rsid w:val="00510280"/>
    <w:rsid w:val="00513D73"/>
    <w:rsid w:val="00514A43"/>
    <w:rsid w:val="00515785"/>
    <w:rsid w:val="005174E5"/>
    <w:rsid w:val="00522393"/>
    <w:rsid w:val="00522620"/>
    <w:rsid w:val="00525656"/>
    <w:rsid w:val="00534C02"/>
    <w:rsid w:val="0054264B"/>
    <w:rsid w:val="00543786"/>
    <w:rsid w:val="0055085E"/>
    <w:rsid w:val="005533D7"/>
    <w:rsid w:val="00554506"/>
    <w:rsid w:val="00554B23"/>
    <w:rsid w:val="005703DE"/>
    <w:rsid w:val="0058464E"/>
    <w:rsid w:val="005A01CB"/>
    <w:rsid w:val="005A58FF"/>
    <w:rsid w:val="005A5EAF"/>
    <w:rsid w:val="005A64C0"/>
    <w:rsid w:val="005B3C11"/>
    <w:rsid w:val="005C1C28"/>
    <w:rsid w:val="005C6DB5"/>
    <w:rsid w:val="005E0CD9"/>
    <w:rsid w:val="005E19E7"/>
    <w:rsid w:val="005E3519"/>
    <w:rsid w:val="0061716C"/>
    <w:rsid w:val="006243A1"/>
    <w:rsid w:val="00632E56"/>
    <w:rsid w:val="00635CBA"/>
    <w:rsid w:val="0064338B"/>
    <w:rsid w:val="00646542"/>
    <w:rsid w:val="006504F4"/>
    <w:rsid w:val="00654BC9"/>
    <w:rsid w:val="006552FD"/>
    <w:rsid w:val="00663AF3"/>
    <w:rsid w:val="00666B6C"/>
    <w:rsid w:val="00682682"/>
    <w:rsid w:val="00682702"/>
    <w:rsid w:val="00692368"/>
    <w:rsid w:val="006A2EBC"/>
    <w:rsid w:val="006A5EA0"/>
    <w:rsid w:val="006A783B"/>
    <w:rsid w:val="006A7B33"/>
    <w:rsid w:val="006B4E13"/>
    <w:rsid w:val="006B75DD"/>
    <w:rsid w:val="006C67E0"/>
    <w:rsid w:val="006C7ABA"/>
    <w:rsid w:val="006D0D60"/>
    <w:rsid w:val="006D1122"/>
    <w:rsid w:val="006D3C00"/>
    <w:rsid w:val="006E3675"/>
    <w:rsid w:val="006E4A7F"/>
    <w:rsid w:val="00704DF6"/>
    <w:rsid w:val="0070651C"/>
    <w:rsid w:val="007132A3"/>
    <w:rsid w:val="00716421"/>
    <w:rsid w:val="00724EFB"/>
    <w:rsid w:val="007351B3"/>
    <w:rsid w:val="007419C3"/>
    <w:rsid w:val="007467A7"/>
    <w:rsid w:val="007469DD"/>
    <w:rsid w:val="0074741B"/>
    <w:rsid w:val="0074759E"/>
    <w:rsid w:val="007478EA"/>
    <w:rsid w:val="0075415C"/>
    <w:rsid w:val="00763502"/>
    <w:rsid w:val="007913AB"/>
    <w:rsid w:val="007914F7"/>
    <w:rsid w:val="00797774"/>
    <w:rsid w:val="007A2C6E"/>
    <w:rsid w:val="007A646F"/>
    <w:rsid w:val="007B1625"/>
    <w:rsid w:val="007B706E"/>
    <w:rsid w:val="007B71EB"/>
    <w:rsid w:val="007C4823"/>
    <w:rsid w:val="007C4E6A"/>
    <w:rsid w:val="007C6205"/>
    <w:rsid w:val="007C686A"/>
    <w:rsid w:val="007C728E"/>
    <w:rsid w:val="007D2C53"/>
    <w:rsid w:val="007D3D60"/>
    <w:rsid w:val="007E1980"/>
    <w:rsid w:val="007E4B76"/>
    <w:rsid w:val="007E5EA8"/>
    <w:rsid w:val="007F0439"/>
    <w:rsid w:val="007F0CF1"/>
    <w:rsid w:val="007F12A5"/>
    <w:rsid w:val="007F4CF1"/>
    <w:rsid w:val="007F758D"/>
    <w:rsid w:val="007F7D52"/>
    <w:rsid w:val="0080654C"/>
    <w:rsid w:val="008071C6"/>
    <w:rsid w:val="008116F8"/>
    <w:rsid w:val="00817A00"/>
    <w:rsid w:val="00835DB3"/>
    <w:rsid w:val="0083617B"/>
    <w:rsid w:val="008371BD"/>
    <w:rsid w:val="008504A8"/>
    <w:rsid w:val="0085282E"/>
    <w:rsid w:val="0087198C"/>
    <w:rsid w:val="00872C1F"/>
    <w:rsid w:val="00873B42"/>
    <w:rsid w:val="008856D8"/>
    <w:rsid w:val="008911D4"/>
    <w:rsid w:val="00892E82"/>
    <w:rsid w:val="008C1B58"/>
    <w:rsid w:val="008C39AE"/>
    <w:rsid w:val="008C590D"/>
    <w:rsid w:val="008E031B"/>
    <w:rsid w:val="008E129F"/>
    <w:rsid w:val="008E5383"/>
    <w:rsid w:val="008E7029"/>
    <w:rsid w:val="008E7EF6"/>
    <w:rsid w:val="008F1F98"/>
    <w:rsid w:val="008F2666"/>
    <w:rsid w:val="008F6758"/>
    <w:rsid w:val="009040DD"/>
    <w:rsid w:val="00905B47"/>
    <w:rsid w:val="0091331C"/>
    <w:rsid w:val="00917089"/>
    <w:rsid w:val="009279DE"/>
    <w:rsid w:val="00930116"/>
    <w:rsid w:val="0094212C"/>
    <w:rsid w:val="00954689"/>
    <w:rsid w:val="009617C9"/>
    <w:rsid w:val="00961C93"/>
    <w:rsid w:val="00965324"/>
    <w:rsid w:val="0097091E"/>
    <w:rsid w:val="009751A5"/>
    <w:rsid w:val="009760D3"/>
    <w:rsid w:val="00977132"/>
    <w:rsid w:val="00981A4B"/>
    <w:rsid w:val="00982501"/>
    <w:rsid w:val="009877D3"/>
    <w:rsid w:val="00994E8F"/>
    <w:rsid w:val="009951DC"/>
    <w:rsid w:val="009959BB"/>
    <w:rsid w:val="009967A9"/>
    <w:rsid w:val="00997158"/>
    <w:rsid w:val="009A1CF4"/>
    <w:rsid w:val="009A3A7C"/>
    <w:rsid w:val="009B2ADB"/>
    <w:rsid w:val="009B603A"/>
    <w:rsid w:val="009C2D0E"/>
    <w:rsid w:val="009C3DAC"/>
    <w:rsid w:val="009C42E0"/>
    <w:rsid w:val="009D4187"/>
    <w:rsid w:val="009D5362"/>
    <w:rsid w:val="009E1415"/>
    <w:rsid w:val="009E47EE"/>
    <w:rsid w:val="009E6116"/>
    <w:rsid w:val="00A02E43"/>
    <w:rsid w:val="00A065F9"/>
    <w:rsid w:val="00A07F34"/>
    <w:rsid w:val="00A1442E"/>
    <w:rsid w:val="00A22154"/>
    <w:rsid w:val="00A25C38"/>
    <w:rsid w:val="00A36BBE"/>
    <w:rsid w:val="00A418C2"/>
    <w:rsid w:val="00A4307A"/>
    <w:rsid w:val="00A47EBB"/>
    <w:rsid w:val="00A51CDD"/>
    <w:rsid w:val="00A6085C"/>
    <w:rsid w:val="00A6730D"/>
    <w:rsid w:val="00A71625"/>
    <w:rsid w:val="00A71B9B"/>
    <w:rsid w:val="00A751C7"/>
    <w:rsid w:val="00A87844"/>
    <w:rsid w:val="00A9718E"/>
    <w:rsid w:val="00AA038C"/>
    <w:rsid w:val="00AA7A09"/>
    <w:rsid w:val="00AB3B50"/>
    <w:rsid w:val="00AC05B1"/>
    <w:rsid w:val="00AD356C"/>
    <w:rsid w:val="00AE2914"/>
    <w:rsid w:val="00AE6D15"/>
    <w:rsid w:val="00B04182"/>
    <w:rsid w:val="00B07AE3"/>
    <w:rsid w:val="00B11430"/>
    <w:rsid w:val="00B231DA"/>
    <w:rsid w:val="00B353EB"/>
    <w:rsid w:val="00B439C4"/>
    <w:rsid w:val="00B4535E"/>
    <w:rsid w:val="00B52A8C"/>
    <w:rsid w:val="00B636A8"/>
    <w:rsid w:val="00B665C6"/>
    <w:rsid w:val="00B805AF"/>
    <w:rsid w:val="00B869EC"/>
    <w:rsid w:val="00B9397A"/>
    <w:rsid w:val="00B9633D"/>
    <w:rsid w:val="00BA2EBE"/>
    <w:rsid w:val="00BB0F28"/>
    <w:rsid w:val="00BB458A"/>
    <w:rsid w:val="00BD00D3"/>
    <w:rsid w:val="00BD1659"/>
    <w:rsid w:val="00BD3AA9"/>
    <w:rsid w:val="00BD4A18"/>
    <w:rsid w:val="00BD6DB2"/>
    <w:rsid w:val="00BE11CF"/>
    <w:rsid w:val="00BE21AB"/>
    <w:rsid w:val="00BE55CB"/>
    <w:rsid w:val="00BF15D6"/>
    <w:rsid w:val="00BF617A"/>
    <w:rsid w:val="00C0379D"/>
    <w:rsid w:val="00C03931"/>
    <w:rsid w:val="00C05FE3"/>
    <w:rsid w:val="00C074D4"/>
    <w:rsid w:val="00C2136D"/>
    <w:rsid w:val="00C214EE"/>
    <w:rsid w:val="00C2314B"/>
    <w:rsid w:val="00C24971"/>
    <w:rsid w:val="00C26BE5"/>
    <w:rsid w:val="00C26E4D"/>
    <w:rsid w:val="00C27909"/>
    <w:rsid w:val="00C27B03"/>
    <w:rsid w:val="00C314E1"/>
    <w:rsid w:val="00C34397"/>
    <w:rsid w:val="00C4095D"/>
    <w:rsid w:val="00C601D2"/>
    <w:rsid w:val="00C657AB"/>
    <w:rsid w:val="00C65BCC"/>
    <w:rsid w:val="00C66970"/>
    <w:rsid w:val="00C8691C"/>
    <w:rsid w:val="00CA168A"/>
    <w:rsid w:val="00CA357E"/>
    <w:rsid w:val="00CA44F9"/>
    <w:rsid w:val="00CA4A69"/>
    <w:rsid w:val="00CC3E0C"/>
    <w:rsid w:val="00CC58D3"/>
    <w:rsid w:val="00CC784D"/>
    <w:rsid w:val="00D0337B"/>
    <w:rsid w:val="00D079B2"/>
    <w:rsid w:val="00D114E9"/>
    <w:rsid w:val="00D429C6"/>
    <w:rsid w:val="00D47748"/>
    <w:rsid w:val="00D54CC3"/>
    <w:rsid w:val="00D6041A"/>
    <w:rsid w:val="00D633EB"/>
    <w:rsid w:val="00D82FF7"/>
    <w:rsid w:val="00D847FE"/>
    <w:rsid w:val="00D964EA"/>
    <w:rsid w:val="00D966D0"/>
    <w:rsid w:val="00DA0C59"/>
    <w:rsid w:val="00DA1940"/>
    <w:rsid w:val="00DA3991"/>
    <w:rsid w:val="00DA673F"/>
    <w:rsid w:val="00DB5CAD"/>
    <w:rsid w:val="00DB7E6C"/>
    <w:rsid w:val="00DD5A29"/>
    <w:rsid w:val="00DD5D9D"/>
    <w:rsid w:val="00DD5DC3"/>
    <w:rsid w:val="00DE35CB"/>
    <w:rsid w:val="00DF21E9"/>
    <w:rsid w:val="00E00F14"/>
    <w:rsid w:val="00E06386"/>
    <w:rsid w:val="00E133D0"/>
    <w:rsid w:val="00E24EB4"/>
    <w:rsid w:val="00E320ED"/>
    <w:rsid w:val="00E33AFB"/>
    <w:rsid w:val="00E34218"/>
    <w:rsid w:val="00E369F6"/>
    <w:rsid w:val="00E4253F"/>
    <w:rsid w:val="00E46282"/>
    <w:rsid w:val="00E5216E"/>
    <w:rsid w:val="00E6480C"/>
    <w:rsid w:val="00E82344"/>
    <w:rsid w:val="00E84C82"/>
    <w:rsid w:val="00E84D64"/>
    <w:rsid w:val="00E87408"/>
    <w:rsid w:val="00E914C4"/>
    <w:rsid w:val="00E934F5"/>
    <w:rsid w:val="00E96961"/>
    <w:rsid w:val="00EA72EC"/>
    <w:rsid w:val="00EB11CB"/>
    <w:rsid w:val="00EB275A"/>
    <w:rsid w:val="00EB355E"/>
    <w:rsid w:val="00EB786A"/>
    <w:rsid w:val="00EC1578"/>
    <w:rsid w:val="00EC1C72"/>
    <w:rsid w:val="00EC3CC9"/>
    <w:rsid w:val="00EC56B0"/>
    <w:rsid w:val="00EC680A"/>
    <w:rsid w:val="00ED5899"/>
    <w:rsid w:val="00ED7F43"/>
    <w:rsid w:val="00EE2BED"/>
    <w:rsid w:val="00EE374B"/>
    <w:rsid w:val="00F11BB5"/>
    <w:rsid w:val="00F1417B"/>
    <w:rsid w:val="00F34B99"/>
    <w:rsid w:val="00F52DAB"/>
    <w:rsid w:val="00F543F0"/>
    <w:rsid w:val="00F56BFF"/>
    <w:rsid w:val="00F62285"/>
    <w:rsid w:val="00F670FB"/>
    <w:rsid w:val="00F81D29"/>
    <w:rsid w:val="00F91C4D"/>
    <w:rsid w:val="00F92FD9"/>
    <w:rsid w:val="00FA4E02"/>
    <w:rsid w:val="00FA6684"/>
    <w:rsid w:val="00FA6D57"/>
    <w:rsid w:val="00FA731E"/>
    <w:rsid w:val="00FB2B38"/>
    <w:rsid w:val="00FB4E80"/>
    <w:rsid w:val="00FC6358"/>
    <w:rsid w:val="00FD320D"/>
    <w:rsid w:val="00FE23DE"/>
    <w:rsid w:val="05EA0D3B"/>
    <w:rsid w:val="0AE25E04"/>
    <w:rsid w:val="0BE97317"/>
    <w:rsid w:val="0C3D078D"/>
    <w:rsid w:val="0C755D2F"/>
    <w:rsid w:val="0D224C0A"/>
    <w:rsid w:val="181C3F08"/>
    <w:rsid w:val="1AB87E61"/>
    <w:rsid w:val="1DFF7242"/>
    <w:rsid w:val="1EFD77DD"/>
    <w:rsid w:val="1FFF409E"/>
    <w:rsid w:val="22866D47"/>
    <w:rsid w:val="24E76A0D"/>
    <w:rsid w:val="255A5366"/>
    <w:rsid w:val="277EEBEE"/>
    <w:rsid w:val="27BF6D6E"/>
    <w:rsid w:val="298E1702"/>
    <w:rsid w:val="2AF21C68"/>
    <w:rsid w:val="2BF0120E"/>
    <w:rsid w:val="2DADF9B8"/>
    <w:rsid w:val="2E7FB98D"/>
    <w:rsid w:val="2FAF16A0"/>
    <w:rsid w:val="334B03B0"/>
    <w:rsid w:val="337EC94E"/>
    <w:rsid w:val="34301672"/>
    <w:rsid w:val="37BB0EEC"/>
    <w:rsid w:val="37BF53A5"/>
    <w:rsid w:val="37D5CF20"/>
    <w:rsid w:val="39CF566F"/>
    <w:rsid w:val="3A97789E"/>
    <w:rsid w:val="3AEA11B4"/>
    <w:rsid w:val="3B7FA1B1"/>
    <w:rsid w:val="3B9A2CCF"/>
    <w:rsid w:val="3BDE2D8F"/>
    <w:rsid w:val="3BFE61F5"/>
    <w:rsid w:val="3BFFA4EE"/>
    <w:rsid w:val="3D3BE44D"/>
    <w:rsid w:val="3D7DF48F"/>
    <w:rsid w:val="3E1201FF"/>
    <w:rsid w:val="3EB82308"/>
    <w:rsid w:val="3F6FEB10"/>
    <w:rsid w:val="3F7ECC45"/>
    <w:rsid w:val="3FAE7E30"/>
    <w:rsid w:val="3FECC09B"/>
    <w:rsid w:val="3FEF9BC7"/>
    <w:rsid w:val="3FF587A5"/>
    <w:rsid w:val="3FFF4543"/>
    <w:rsid w:val="3FFFA865"/>
    <w:rsid w:val="43811983"/>
    <w:rsid w:val="43B41D58"/>
    <w:rsid w:val="43EF4709"/>
    <w:rsid w:val="46020B59"/>
    <w:rsid w:val="46E47955"/>
    <w:rsid w:val="4AE56665"/>
    <w:rsid w:val="4B1FE9B9"/>
    <w:rsid w:val="4DF7DECB"/>
    <w:rsid w:val="4EF712C1"/>
    <w:rsid w:val="4FF8CCCD"/>
    <w:rsid w:val="51434624"/>
    <w:rsid w:val="51FED7AB"/>
    <w:rsid w:val="53A7782A"/>
    <w:rsid w:val="53FF1FAF"/>
    <w:rsid w:val="540762B3"/>
    <w:rsid w:val="556F9A1E"/>
    <w:rsid w:val="55BE0A3E"/>
    <w:rsid w:val="56385014"/>
    <w:rsid w:val="567EEA6C"/>
    <w:rsid w:val="57C97AD8"/>
    <w:rsid w:val="57FC65F8"/>
    <w:rsid w:val="592D795C"/>
    <w:rsid w:val="59BF1A30"/>
    <w:rsid w:val="5B7BA75D"/>
    <w:rsid w:val="5BD462C2"/>
    <w:rsid w:val="5C79383F"/>
    <w:rsid w:val="5ECF380F"/>
    <w:rsid w:val="5EEA31C7"/>
    <w:rsid w:val="5EFA7CCD"/>
    <w:rsid w:val="5F5ED6C8"/>
    <w:rsid w:val="5FDF9EA8"/>
    <w:rsid w:val="611E57F6"/>
    <w:rsid w:val="63EDF224"/>
    <w:rsid w:val="64FF0119"/>
    <w:rsid w:val="653C3451"/>
    <w:rsid w:val="65DF6233"/>
    <w:rsid w:val="65DFB2DD"/>
    <w:rsid w:val="66FC2EEB"/>
    <w:rsid w:val="671FC819"/>
    <w:rsid w:val="68AC2C72"/>
    <w:rsid w:val="6AA35154"/>
    <w:rsid w:val="6BD1EF41"/>
    <w:rsid w:val="6BDB026B"/>
    <w:rsid w:val="6BEB8490"/>
    <w:rsid w:val="6CEE6C92"/>
    <w:rsid w:val="6E76E590"/>
    <w:rsid w:val="6FA37FAD"/>
    <w:rsid w:val="6FAD7CC0"/>
    <w:rsid w:val="6FAF7851"/>
    <w:rsid w:val="6FBB27F8"/>
    <w:rsid w:val="6FEC47E9"/>
    <w:rsid w:val="6FFCD4E4"/>
    <w:rsid w:val="6FFF438D"/>
    <w:rsid w:val="6FFF6D88"/>
    <w:rsid w:val="70FF52C9"/>
    <w:rsid w:val="719E5731"/>
    <w:rsid w:val="727B7327"/>
    <w:rsid w:val="72EE4E2A"/>
    <w:rsid w:val="73062F57"/>
    <w:rsid w:val="7399DFEB"/>
    <w:rsid w:val="739F7369"/>
    <w:rsid w:val="73CF71BC"/>
    <w:rsid w:val="73EF337D"/>
    <w:rsid w:val="753D5FC3"/>
    <w:rsid w:val="757DE146"/>
    <w:rsid w:val="75ED5D32"/>
    <w:rsid w:val="76BFC604"/>
    <w:rsid w:val="76FF95AC"/>
    <w:rsid w:val="773FB0C0"/>
    <w:rsid w:val="776770C2"/>
    <w:rsid w:val="779983E2"/>
    <w:rsid w:val="77BF579F"/>
    <w:rsid w:val="77FEAC6C"/>
    <w:rsid w:val="77FF5D71"/>
    <w:rsid w:val="79743AA6"/>
    <w:rsid w:val="797F3D4E"/>
    <w:rsid w:val="79FD1DDF"/>
    <w:rsid w:val="7AFB6D81"/>
    <w:rsid w:val="7B52D9B2"/>
    <w:rsid w:val="7B7F978F"/>
    <w:rsid w:val="7BC51CFF"/>
    <w:rsid w:val="7BEFDC79"/>
    <w:rsid w:val="7BFD10C1"/>
    <w:rsid w:val="7C7F5559"/>
    <w:rsid w:val="7C891FCA"/>
    <w:rsid w:val="7C893B2F"/>
    <w:rsid w:val="7D7211ED"/>
    <w:rsid w:val="7DA53F1A"/>
    <w:rsid w:val="7DA6FAB6"/>
    <w:rsid w:val="7DC59EBE"/>
    <w:rsid w:val="7DE75DC9"/>
    <w:rsid w:val="7DEFA8CE"/>
    <w:rsid w:val="7DF73237"/>
    <w:rsid w:val="7DFD5BA5"/>
    <w:rsid w:val="7DFF15AC"/>
    <w:rsid w:val="7E8F033A"/>
    <w:rsid w:val="7ED71D7D"/>
    <w:rsid w:val="7EDB57FC"/>
    <w:rsid w:val="7EDBF14A"/>
    <w:rsid w:val="7EFAF087"/>
    <w:rsid w:val="7F0D50B3"/>
    <w:rsid w:val="7F371FAB"/>
    <w:rsid w:val="7F5147CE"/>
    <w:rsid w:val="7F7D58EC"/>
    <w:rsid w:val="7FAF8767"/>
    <w:rsid w:val="7FBE2DE9"/>
    <w:rsid w:val="7FCF8B11"/>
    <w:rsid w:val="7FD328EB"/>
    <w:rsid w:val="7FEB2D01"/>
    <w:rsid w:val="7FEE801D"/>
    <w:rsid w:val="7FFB0AEB"/>
    <w:rsid w:val="7FFDC227"/>
    <w:rsid w:val="7FFE3897"/>
    <w:rsid w:val="897F5540"/>
    <w:rsid w:val="8F794836"/>
    <w:rsid w:val="8F92F5B9"/>
    <w:rsid w:val="97B3C8BB"/>
    <w:rsid w:val="9D4B5CFF"/>
    <w:rsid w:val="9DDFB7E1"/>
    <w:rsid w:val="A3FBB9F6"/>
    <w:rsid w:val="A5DF79A5"/>
    <w:rsid w:val="A7AA29B0"/>
    <w:rsid w:val="AA7543C9"/>
    <w:rsid w:val="ACBB70EF"/>
    <w:rsid w:val="AEA41AF6"/>
    <w:rsid w:val="AFDFF231"/>
    <w:rsid w:val="AFECD182"/>
    <w:rsid w:val="B5FD8BD2"/>
    <w:rsid w:val="B677C180"/>
    <w:rsid w:val="B72FAF2F"/>
    <w:rsid w:val="B8CBAD99"/>
    <w:rsid w:val="BA7B23C6"/>
    <w:rsid w:val="BC7DBA53"/>
    <w:rsid w:val="BCFED908"/>
    <w:rsid w:val="BD7758D5"/>
    <w:rsid w:val="BDFED2B2"/>
    <w:rsid w:val="BDFFE478"/>
    <w:rsid w:val="BE37AD2D"/>
    <w:rsid w:val="BF7D4767"/>
    <w:rsid w:val="BFAF0A49"/>
    <w:rsid w:val="BFBF3AF2"/>
    <w:rsid w:val="BFFF73CE"/>
    <w:rsid w:val="CBF7D154"/>
    <w:rsid w:val="CCF726A2"/>
    <w:rsid w:val="CDFB6C46"/>
    <w:rsid w:val="CEBFCEAD"/>
    <w:rsid w:val="CFF8B134"/>
    <w:rsid w:val="CFFF7263"/>
    <w:rsid w:val="D2DF6A05"/>
    <w:rsid w:val="D33D51C3"/>
    <w:rsid w:val="D4FE5127"/>
    <w:rsid w:val="D5E34E13"/>
    <w:rsid w:val="D6DF22C6"/>
    <w:rsid w:val="D73F290C"/>
    <w:rsid w:val="DBDF5B72"/>
    <w:rsid w:val="DDEFAE20"/>
    <w:rsid w:val="DEBE85F3"/>
    <w:rsid w:val="DEF72262"/>
    <w:rsid w:val="DEF7D19E"/>
    <w:rsid w:val="DFBF6FAA"/>
    <w:rsid w:val="DFC7DCE5"/>
    <w:rsid w:val="DFDF4EF3"/>
    <w:rsid w:val="DFEFD79F"/>
    <w:rsid w:val="DFF7E9E8"/>
    <w:rsid w:val="DFFCF168"/>
    <w:rsid w:val="DFFDF3B1"/>
    <w:rsid w:val="E2DB1217"/>
    <w:rsid w:val="E794C941"/>
    <w:rsid w:val="E7ED4566"/>
    <w:rsid w:val="E9F71EFB"/>
    <w:rsid w:val="EBAFDE00"/>
    <w:rsid w:val="EBFF64FF"/>
    <w:rsid w:val="ECF9E529"/>
    <w:rsid w:val="ED7F9557"/>
    <w:rsid w:val="EDB78849"/>
    <w:rsid w:val="EDF83485"/>
    <w:rsid w:val="EE5BAD7E"/>
    <w:rsid w:val="EE739664"/>
    <w:rsid w:val="EFACD822"/>
    <w:rsid w:val="EFF7914F"/>
    <w:rsid w:val="EFFBE43C"/>
    <w:rsid w:val="EFFE8273"/>
    <w:rsid w:val="EFFED7F1"/>
    <w:rsid w:val="EFFFF9A4"/>
    <w:rsid w:val="F0AF59DC"/>
    <w:rsid w:val="F1EC7BB0"/>
    <w:rsid w:val="F2EF05ED"/>
    <w:rsid w:val="F39FC45E"/>
    <w:rsid w:val="F3F39E3B"/>
    <w:rsid w:val="F5E97DFC"/>
    <w:rsid w:val="F67F9F20"/>
    <w:rsid w:val="F74F3FE6"/>
    <w:rsid w:val="F77DD813"/>
    <w:rsid w:val="F78DA3FF"/>
    <w:rsid w:val="F79E4BD4"/>
    <w:rsid w:val="F9F7D3F6"/>
    <w:rsid w:val="FA5DA317"/>
    <w:rsid w:val="FA7A06FB"/>
    <w:rsid w:val="FAD78102"/>
    <w:rsid w:val="FAEF50E0"/>
    <w:rsid w:val="FB3BD7B7"/>
    <w:rsid w:val="FB6E079A"/>
    <w:rsid w:val="FB7E255A"/>
    <w:rsid w:val="FBBD3B82"/>
    <w:rsid w:val="FBBFC185"/>
    <w:rsid w:val="FBD3B4F5"/>
    <w:rsid w:val="FBD6753E"/>
    <w:rsid w:val="FBDD6E88"/>
    <w:rsid w:val="FBDDC02D"/>
    <w:rsid w:val="FBFB2491"/>
    <w:rsid w:val="FBFB9039"/>
    <w:rsid w:val="FBFE4F84"/>
    <w:rsid w:val="FBFE6117"/>
    <w:rsid w:val="FBFE8316"/>
    <w:rsid w:val="FCBF2DD7"/>
    <w:rsid w:val="FCF27674"/>
    <w:rsid w:val="FCFD4858"/>
    <w:rsid w:val="FD3F0243"/>
    <w:rsid w:val="FDB4A899"/>
    <w:rsid w:val="FDBF2433"/>
    <w:rsid w:val="FDED4451"/>
    <w:rsid w:val="FE734873"/>
    <w:rsid w:val="FE7B7CB0"/>
    <w:rsid w:val="FEBEC59F"/>
    <w:rsid w:val="FEDD82F1"/>
    <w:rsid w:val="FF272A3B"/>
    <w:rsid w:val="FF3F0FD8"/>
    <w:rsid w:val="FF6F7889"/>
    <w:rsid w:val="FF76392E"/>
    <w:rsid w:val="FFCFA191"/>
    <w:rsid w:val="FFDD1B7E"/>
    <w:rsid w:val="FFFE0AEA"/>
    <w:rsid w:val="FFFE68C0"/>
    <w:rsid w:val="FFFF4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3">
    <w:name w:val="Default Paragraph Font"/>
    <w:semiHidden/>
    <w:unhideWhenUsed/>
    <w:qFormat/>
    <w:uiPriority w:val="1"/>
  </w:style>
  <w:style w:type="table" w:default="1" w:styleId="3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7"/>
    <w:basedOn w:val="1"/>
    <w:next w:val="1"/>
    <w:semiHidden/>
    <w:qFormat/>
    <w:uiPriority w:val="0"/>
    <w:pPr>
      <w:tabs>
        <w:tab w:val="right" w:leader="dot" w:pos="9241"/>
      </w:tabs>
      <w:ind w:firstLine="505" w:firstLineChars="500"/>
      <w:jc w:val="left"/>
    </w:pPr>
    <w:rPr>
      <w:rFonts w:ascii="宋体"/>
      <w:szCs w:val="21"/>
    </w:rPr>
  </w:style>
  <w:style w:type="paragraph" w:styleId="3">
    <w:name w:val="index 8"/>
    <w:basedOn w:val="1"/>
    <w:next w:val="1"/>
    <w:qFormat/>
    <w:uiPriority w:val="0"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4">
    <w:name w:val="caption"/>
    <w:basedOn w:val="1"/>
    <w:next w:val="1"/>
    <w:qFormat/>
    <w:uiPriority w:val="0"/>
    <w:pPr>
      <w:spacing w:before="152" w:after="160"/>
    </w:pPr>
    <w:rPr>
      <w:rFonts w:ascii="Arial" w:hAnsi="Arial" w:eastAsia="黑体" w:cs="Arial"/>
      <w:sz w:val="20"/>
      <w:szCs w:val="20"/>
    </w:rPr>
  </w:style>
  <w:style w:type="paragraph" w:styleId="5">
    <w:name w:val="index 5"/>
    <w:basedOn w:val="1"/>
    <w:next w:val="1"/>
    <w:qFormat/>
    <w:uiPriority w:val="0"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6">
    <w:name w:val="Document Map"/>
    <w:basedOn w:val="1"/>
    <w:semiHidden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index 6"/>
    <w:basedOn w:val="1"/>
    <w:next w:val="1"/>
    <w:qFormat/>
    <w:uiPriority w:val="0"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9">
    <w:name w:val="index 4"/>
    <w:basedOn w:val="1"/>
    <w:next w:val="1"/>
    <w:qFormat/>
    <w:uiPriority w:val="0"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10">
    <w:name w:val="toc 5"/>
    <w:basedOn w:val="1"/>
    <w:next w:val="1"/>
    <w:semiHidden/>
    <w:qFormat/>
    <w:uiPriority w:val="0"/>
    <w:pPr>
      <w:tabs>
        <w:tab w:val="right" w:leader="dot" w:pos="9241"/>
      </w:tabs>
      <w:ind w:firstLine="300" w:firstLineChars="300"/>
      <w:jc w:val="left"/>
    </w:pPr>
    <w:rPr>
      <w:rFonts w:ascii="宋体"/>
      <w:szCs w:val="21"/>
    </w:rPr>
  </w:style>
  <w:style w:type="paragraph" w:styleId="11">
    <w:name w:val="toc 3"/>
    <w:basedOn w:val="1"/>
    <w:next w:val="1"/>
    <w:semiHidden/>
    <w:qFormat/>
    <w:uiPriority w:val="0"/>
    <w:pPr>
      <w:tabs>
        <w:tab w:val="right" w:leader="dot" w:pos="9241"/>
      </w:tabs>
      <w:ind w:firstLine="102" w:firstLineChars="100"/>
      <w:jc w:val="left"/>
    </w:pPr>
    <w:rPr>
      <w:rFonts w:ascii="宋体"/>
      <w:szCs w:val="21"/>
    </w:rPr>
  </w:style>
  <w:style w:type="paragraph" w:styleId="12">
    <w:name w:val="toc 8"/>
    <w:basedOn w:val="1"/>
    <w:next w:val="1"/>
    <w:semiHidden/>
    <w:qFormat/>
    <w:uiPriority w:val="0"/>
    <w:pPr>
      <w:tabs>
        <w:tab w:val="right" w:leader="dot" w:pos="9241"/>
      </w:tabs>
      <w:ind w:firstLine="607" w:firstLineChars="600"/>
      <w:jc w:val="left"/>
    </w:pPr>
    <w:rPr>
      <w:rFonts w:ascii="宋体"/>
      <w:szCs w:val="21"/>
    </w:rPr>
  </w:style>
  <w:style w:type="paragraph" w:styleId="13">
    <w:name w:val="index 3"/>
    <w:basedOn w:val="1"/>
    <w:next w:val="1"/>
    <w:qFormat/>
    <w:uiPriority w:val="0"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14">
    <w:name w:val="endnote text"/>
    <w:basedOn w:val="1"/>
    <w:semiHidden/>
    <w:qFormat/>
    <w:uiPriority w:val="0"/>
    <w:pPr>
      <w:snapToGrid w:val="0"/>
      <w:jc w:val="left"/>
    </w:pPr>
  </w:style>
  <w:style w:type="paragraph" w:styleId="15">
    <w:name w:val="Balloon Text"/>
    <w:basedOn w:val="1"/>
    <w:link w:val="140"/>
    <w:qFormat/>
    <w:uiPriority w:val="0"/>
    <w:rPr>
      <w:sz w:val="18"/>
      <w:szCs w:val="18"/>
    </w:rPr>
  </w:style>
  <w:style w:type="paragraph" w:styleId="16">
    <w:name w:val="footer"/>
    <w:basedOn w:val="1"/>
    <w:qFormat/>
    <w:uiPriority w:val="0"/>
    <w:pPr>
      <w:snapToGrid w:val="0"/>
      <w:ind w:right="210" w:rightChars="100"/>
      <w:jc w:val="right"/>
    </w:pPr>
    <w:rPr>
      <w:sz w:val="18"/>
      <w:szCs w:val="18"/>
    </w:rPr>
  </w:style>
  <w:style w:type="paragraph" w:styleId="17">
    <w:name w:val="header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18">
    <w:name w:val="toc 1"/>
    <w:basedOn w:val="1"/>
    <w:next w:val="1"/>
    <w:qFormat/>
    <w:uiPriority w:val="39"/>
    <w:pPr>
      <w:tabs>
        <w:tab w:val="right" w:leader="dot" w:pos="9241"/>
      </w:tabs>
      <w:spacing w:before="25" w:beforeLines="25" w:after="25" w:afterLines="25"/>
      <w:jc w:val="left"/>
    </w:pPr>
    <w:rPr>
      <w:rFonts w:ascii="宋体"/>
      <w:szCs w:val="21"/>
    </w:rPr>
  </w:style>
  <w:style w:type="paragraph" w:styleId="19">
    <w:name w:val="toc 4"/>
    <w:basedOn w:val="1"/>
    <w:next w:val="1"/>
    <w:semiHidden/>
    <w:qFormat/>
    <w:uiPriority w:val="0"/>
    <w:pPr>
      <w:tabs>
        <w:tab w:val="right" w:leader="dot" w:pos="9241"/>
      </w:tabs>
      <w:ind w:firstLine="198" w:firstLineChars="200"/>
      <w:jc w:val="left"/>
    </w:pPr>
    <w:rPr>
      <w:rFonts w:ascii="宋体"/>
      <w:szCs w:val="21"/>
    </w:rPr>
  </w:style>
  <w:style w:type="paragraph" w:styleId="20">
    <w:name w:val="index heading"/>
    <w:basedOn w:val="1"/>
    <w:next w:val="21"/>
    <w:qFormat/>
    <w:uiPriority w:val="0"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21">
    <w:name w:val="index 1"/>
    <w:basedOn w:val="1"/>
    <w:next w:val="22"/>
    <w:qFormat/>
    <w:uiPriority w:val="0"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22">
    <w:name w:val="段"/>
    <w:link w:val="39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styleId="23">
    <w:name w:val="footnote text"/>
    <w:basedOn w:val="1"/>
    <w:qFormat/>
    <w:uiPriority w:val="0"/>
    <w:pPr>
      <w:numPr>
        <w:ilvl w:val="0"/>
        <w:numId w:val="1"/>
      </w:numPr>
      <w:snapToGrid w:val="0"/>
      <w:jc w:val="left"/>
    </w:pPr>
    <w:rPr>
      <w:rFonts w:ascii="宋体"/>
      <w:sz w:val="18"/>
      <w:szCs w:val="18"/>
    </w:rPr>
  </w:style>
  <w:style w:type="paragraph" w:styleId="24">
    <w:name w:val="toc 6"/>
    <w:basedOn w:val="1"/>
    <w:next w:val="1"/>
    <w:semiHidden/>
    <w:qFormat/>
    <w:uiPriority w:val="0"/>
    <w:pPr>
      <w:tabs>
        <w:tab w:val="right" w:leader="dot" w:pos="9241"/>
      </w:tabs>
      <w:ind w:firstLine="403" w:firstLineChars="400"/>
      <w:jc w:val="left"/>
    </w:pPr>
    <w:rPr>
      <w:rFonts w:ascii="宋体"/>
      <w:szCs w:val="21"/>
    </w:rPr>
  </w:style>
  <w:style w:type="paragraph" w:styleId="25">
    <w:name w:val="index 7"/>
    <w:basedOn w:val="1"/>
    <w:next w:val="1"/>
    <w:qFormat/>
    <w:uiPriority w:val="0"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26">
    <w:name w:val="index 9"/>
    <w:basedOn w:val="1"/>
    <w:next w:val="1"/>
    <w:qFormat/>
    <w:uiPriority w:val="0"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27">
    <w:name w:val="toc 2"/>
    <w:basedOn w:val="1"/>
    <w:next w:val="1"/>
    <w:semiHidden/>
    <w:qFormat/>
    <w:uiPriority w:val="0"/>
    <w:pPr>
      <w:tabs>
        <w:tab w:val="right" w:leader="dot" w:pos="9241"/>
      </w:tabs>
    </w:pPr>
    <w:rPr>
      <w:rFonts w:ascii="宋体"/>
      <w:szCs w:val="21"/>
    </w:rPr>
  </w:style>
  <w:style w:type="paragraph" w:styleId="28">
    <w:name w:val="toc 9"/>
    <w:basedOn w:val="1"/>
    <w:next w:val="1"/>
    <w:semiHidden/>
    <w:qFormat/>
    <w:uiPriority w:val="0"/>
    <w:pPr>
      <w:ind w:left="1470"/>
      <w:jc w:val="left"/>
    </w:pPr>
    <w:rPr>
      <w:sz w:val="20"/>
      <w:szCs w:val="20"/>
    </w:rPr>
  </w:style>
  <w:style w:type="paragraph" w:styleId="29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/>
      <w:kern w:val="0"/>
      <w:sz w:val="24"/>
    </w:rPr>
  </w:style>
  <w:style w:type="paragraph" w:styleId="30">
    <w:name w:val="index 2"/>
    <w:basedOn w:val="1"/>
    <w:next w:val="1"/>
    <w:qFormat/>
    <w:uiPriority w:val="0"/>
    <w:pPr>
      <w:ind w:left="420" w:hanging="210"/>
      <w:jc w:val="left"/>
    </w:pPr>
    <w:rPr>
      <w:rFonts w:ascii="Calibri" w:hAnsi="Calibri"/>
      <w:sz w:val="20"/>
      <w:szCs w:val="20"/>
    </w:rPr>
  </w:style>
  <w:style w:type="table" w:styleId="32">
    <w:name w:val="Table Grid"/>
    <w:basedOn w:val="31"/>
    <w:qFormat/>
    <w:uiPriority w:val="0"/>
    <w:rPr>
      <w:rFonts w:ascii="宋体"/>
      <w:sz w:val="18"/>
      <w:szCs w:val="18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34">
    <w:name w:val="endnote reference"/>
    <w:semiHidden/>
    <w:qFormat/>
    <w:uiPriority w:val="0"/>
    <w:rPr>
      <w:vertAlign w:val="superscript"/>
    </w:rPr>
  </w:style>
  <w:style w:type="character" w:styleId="35">
    <w:name w:val="page number"/>
    <w:qFormat/>
    <w:uiPriority w:val="0"/>
    <w:rPr>
      <w:rFonts w:ascii="Times New Roman" w:hAnsi="Times New Roman" w:eastAsia="宋体"/>
      <w:sz w:val="18"/>
    </w:rPr>
  </w:style>
  <w:style w:type="character" w:styleId="36">
    <w:name w:val="FollowedHyperlink"/>
    <w:qFormat/>
    <w:uiPriority w:val="0"/>
    <w:rPr>
      <w:color w:val="800080"/>
      <w:u w:val="single"/>
    </w:rPr>
  </w:style>
  <w:style w:type="character" w:styleId="37">
    <w:name w:val="Hyperlink"/>
    <w:qFormat/>
    <w:uiPriority w:val="99"/>
    <w:rPr>
      <w:color w:val="0000FF"/>
      <w:spacing w:val="0"/>
      <w:w w:val="100"/>
      <w:szCs w:val="21"/>
      <w:u w:val="single"/>
    </w:rPr>
  </w:style>
  <w:style w:type="character" w:styleId="38">
    <w:name w:val="footnote reference"/>
    <w:semiHidden/>
    <w:qFormat/>
    <w:uiPriority w:val="0"/>
    <w:rPr>
      <w:vertAlign w:val="superscript"/>
    </w:rPr>
  </w:style>
  <w:style w:type="character" w:customStyle="1" w:styleId="39">
    <w:name w:val="段 Char"/>
    <w:link w:val="22"/>
    <w:qFormat/>
    <w:uiPriority w:val="0"/>
    <w:rPr>
      <w:rFonts w:ascii="宋体"/>
      <w:sz w:val="21"/>
      <w:lang w:val="en-US" w:eastAsia="zh-CN" w:bidi="ar-SA"/>
    </w:rPr>
  </w:style>
  <w:style w:type="paragraph" w:customStyle="1" w:styleId="40">
    <w:name w:val="一级条标题"/>
    <w:next w:val="22"/>
    <w:qFormat/>
    <w:uiPriority w:val="0"/>
    <w:pPr>
      <w:numPr>
        <w:ilvl w:val="1"/>
        <w:numId w:val="2"/>
      </w:numPr>
      <w:spacing w:before="156" w:beforeLines="50" w:after="156" w:afterLines="50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41">
    <w:name w:val="标准书脚_奇数页"/>
    <w:qFormat/>
    <w:uiPriority w:val="0"/>
    <w:pPr>
      <w:spacing w:before="120"/>
      <w:ind w:right="198"/>
      <w:jc w:val="right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42">
    <w:name w:val="标准书眉_奇数页"/>
    <w:next w:val="1"/>
    <w:qFormat/>
    <w:uiPriority w:val="0"/>
    <w:pPr>
      <w:tabs>
        <w:tab w:val="center" w:pos="4154"/>
        <w:tab w:val="right" w:pos="8306"/>
      </w:tabs>
      <w:spacing w:after="220"/>
      <w:jc w:val="right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43">
    <w:name w:val="章标题"/>
    <w:next w:val="22"/>
    <w:qFormat/>
    <w:uiPriority w:val="0"/>
    <w:pPr>
      <w:numPr>
        <w:ilvl w:val="0"/>
        <w:numId w:val="2"/>
      </w:numPr>
      <w:spacing w:before="312" w:beforeLines="100" w:after="312" w:afterLines="10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44">
    <w:name w:val="二级条标题"/>
    <w:basedOn w:val="40"/>
    <w:next w:val="22"/>
    <w:qFormat/>
    <w:uiPriority w:val="0"/>
    <w:pPr>
      <w:numPr>
        <w:ilvl w:val="2"/>
      </w:numPr>
      <w:spacing w:before="50" w:after="50"/>
      <w:outlineLvl w:val="3"/>
    </w:pPr>
  </w:style>
  <w:style w:type="paragraph" w:customStyle="1" w:styleId="45">
    <w:name w:val="封面标准号2"/>
    <w:qFormat/>
    <w:uiPriority w:val="0"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hAnsi="Times New Roman" w:eastAsia="黑体" w:cs="Times New Roman"/>
      <w:sz w:val="28"/>
      <w:szCs w:val="28"/>
      <w:lang w:val="en-US" w:eastAsia="zh-CN" w:bidi="ar-SA"/>
    </w:rPr>
  </w:style>
  <w:style w:type="paragraph" w:customStyle="1" w:styleId="46">
    <w:name w:val="列项——（一级）"/>
    <w:qFormat/>
    <w:uiPriority w:val="0"/>
    <w:pPr>
      <w:widowControl w:val="0"/>
      <w:numPr>
        <w:ilvl w:val="0"/>
        <w:numId w:val="3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47">
    <w:name w:val="列项●（二级）"/>
    <w:qFormat/>
    <w:uiPriority w:val="0"/>
    <w:pPr>
      <w:numPr>
        <w:ilvl w:val="1"/>
        <w:numId w:val="3"/>
      </w:numPr>
      <w:tabs>
        <w:tab w:val="left" w:pos="840"/>
      </w:tabs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48">
    <w:name w:val="目次、标准名称标题"/>
    <w:basedOn w:val="1"/>
    <w:next w:val="22"/>
    <w:qFormat/>
    <w:uiPriority w:val="0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49">
    <w:name w:val="三级条标题"/>
    <w:basedOn w:val="44"/>
    <w:next w:val="22"/>
    <w:qFormat/>
    <w:uiPriority w:val="0"/>
    <w:pPr>
      <w:numPr>
        <w:ilvl w:val="3"/>
      </w:numPr>
      <w:outlineLvl w:val="4"/>
    </w:pPr>
  </w:style>
  <w:style w:type="paragraph" w:customStyle="1" w:styleId="50">
    <w:name w:val="示例"/>
    <w:next w:val="51"/>
    <w:qFormat/>
    <w:uiPriority w:val="0"/>
    <w:pPr>
      <w:widowControl w:val="0"/>
      <w:numPr>
        <w:ilvl w:val="0"/>
        <w:numId w:val="4"/>
      </w:numPr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51">
    <w:name w:val="示例内容"/>
    <w:qFormat/>
    <w:uiPriority w:val="0"/>
    <w:pPr>
      <w:ind w:firstLine="200" w:firstLineChars="200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52">
    <w:name w:val="数字编号列项（二级）"/>
    <w:qFormat/>
    <w:uiPriority w:val="0"/>
    <w:pPr>
      <w:numPr>
        <w:ilvl w:val="1"/>
        <w:numId w:val="5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53">
    <w:name w:val="四级条标题"/>
    <w:basedOn w:val="49"/>
    <w:next w:val="22"/>
    <w:qFormat/>
    <w:uiPriority w:val="0"/>
    <w:pPr>
      <w:numPr>
        <w:ilvl w:val="4"/>
      </w:numPr>
      <w:outlineLvl w:val="5"/>
    </w:pPr>
  </w:style>
  <w:style w:type="paragraph" w:customStyle="1" w:styleId="54">
    <w:name w:val="五级条标题"/>
    <w:basedOn w:val="53"/>
    <w:next w:val="22"/>
    <w:qFormat/>
    <w:uiPriority w:val="0"/>
    <w:pPr>
      <w:numPr>
        <w:ilvl w:val="5"/>
      </w:numPr>
      <w:outlineLvl w:val="6"/>
    </w:pPr>
  </w:style>
  <w:style w:type="paragraph" w:customStyle="1" w:styleId="55">
    <w:name w:val="注："/>
    <w:next w:val="22"/>
    <w:qFormat/>
    <w:uiPriority w:val="0"/>
    <w:pPr>
      <w:widowControl w:val="0"/>
      <w:numPr>
        <w:ilvl w:val="0"/>
        <w:numId w:val="6"/>
      </w:numPr>
      <w:autoSpaceDE w:val="0"/>
      <w:autoSpaceDN w:val="0"/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56">
    <w:name w:val="注×："/>
    <w:qFormat/>
    <w:uiPriority w:val="0"/>
    <w:pPr>
      <w:widowControl w:val="0"/>
      <w:numPr>
        <w:ilvl w:val="0"/>
        <w:numId w:val="7"/>
      </w:numPr>
      <w:autoSpaceDE w:val="0"/>
      <w:autoSpaceDN w:val="0"/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57">
    <w:name w:val="字母编号列项（一级）"/>
    <w:qFormat/>
    <w:uiPriority w:val="0"/>
    <w:pPr>
      <w:numPr>
        <w:ilvl w:val="0"/>
        <w:numId w:val="5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58">
    <w:name w:val="列项◆（三级）"/>
    <w:basedOn w:val="1"/>
    <w:qFormat/>
    <w:uiPriority w:val="0"/>
    <w:pPr>
      <w:numPr>
        <w:ilvl w:val="2"/>
        <w:numId w:val="3"/>
      </w:numPr>
    </w:pPr>
    <w:rPr>
      <w:rFonts w:ascii="宋体"/>
      <w:szCs w:val="21"/>
    </w:rPr>
  </w:style>
  <w:style w:type="paragraph" w:customStyle="1" w:styleId="59">
    <w:name w:val="编号列项（三级）"/>
    <w:qFormat/>
    <w:uiPriority w:val="0"/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60">
    <w:name w:val="示例×："/>
    <w:basedOn w:val="43"/>
    <w:qFormat/>
    <w:uiPriority w:val="0"/>
    <w:pPr>
      <w:numPr>
        <w:numId w:val="8"/>
      </w:numPr>
      <w:spacing w:before="0" w:beforeLines="0" w:after="0" w:afterLines="0"/>
      <w:outlineLvl w:val="9"/>
    </w:pPr>
    <w:rPr>
      <w:rFonts w:ascii="宋体" w:eastAsia="宋体"/>
      <w:sz w:val="18"/>
      <w:szCs w:val="18"/>
    </w:rPr>
  </w:style>
  <w:style w:type="paragraph" w:customStyle="1" w:styleId="61">
    <w:name w:val="二级无"/>
    <w:basedOn w:val="44"/>
    <w:qFormat/>
    <w:uiPriority w:val="0"/>
    <w:pPr>
      <w:spacing w:before="0" w:beforeLines="0" w:after="0" w:afterLines="0"/>
    </w:pPr>
    <w:rPr>
      <w:rFonts w:ascii="宋体" w:eastAsia="宋体"/>
    </w:rPr>
  </w:style>
  <w:style w:type="paragraph" w:customStyle="1" w:styleId="62">
    <w:name w:val="注：（正文）"/>
    <w:basedOn w:val="55"/>
    <w:next w:val="22"/>
    <w:qFormat/>
    <w:uiPriority w:val="0"/>
  </w:style>
  <w:style w:type="paragraph" w:customStyle="1" w:styleId="63">
    <w:name w:val="注×：（正文）"/>
    <w:qFormat/>
    <w:uiPriority w:val="0"/>
    <w:pPr>
      <w:numPr>
        <w:ilvl w:val="0"/>
        <w:numId w:val="9"/>
      </w:numPr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64">
    <w:name w:val="标准标志"/>
    <w:next w:val="1"/>
    <w:qFormat/>
    <w:uiPriority w:val="0"/>
    <w:pPr>
      <w:framePr w:w="2546" w:h="1389" w:hRule="exact" w:hSpace="181" w:vSpace="181" w:wrap="around" w:vAnchor="margin" w:hAnchor="margin" w:x="6522" w:y="398" w:anchorLock="1"/>
      <w:shd w:val="solid" w:color="FFFFFF" w:fill="FFFFFF"/>
      <w:spacing w:line="0" w:lineRule="atLeast"/>
      <w:jc w:val="right"/>
    </w:pPr>
    <w:rPr>
      <w:rFonts w:ascii="Times New Roman" w:hAnsi="Times New Roman" w:eastAsia="宋体" w:cs="Times New Roman"/>
      <w:b/>
      <w:w w:val="170"/>
      <w:sz w:val="96"/>
      <w:szCs w:val="96"/>
      <w:lang w:val="en-US" w:eastAsia="zh-CN" w:bidi="ar-SA"/>
    </w:rPr>
  </w:style>
  <w:style w:type="paragraph" w:customStyle="1" w:styleId="65">
    <w:name w:val="标准称谓"/>
    <w:next w:val="1"/>
    <w:qFormat/>
    <w:uiPriority w:val="0"/>
    <w:pPr>
      <w:framePr w:w="9639" w:h="624" w:hRule="exact" w:hSpace="181" w:vSpace="181" w:wrap="around" w:vAnchor="page" w:hAnchor="page" w:x="1419" w:y="2286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hAnsi="Times New Roman" w:eastAsia="宋体" w:cs="Times New Roman"/>
      <w:b/>
      <w:bCs/>
      <w:spacing w:val="20"/>
      <w:w w:val="148"/>
      <w:sz w:val="48"/>
      <w:lang w:val="en-US" w:eastAsia="zh-CN" w:bidi="ar-SA"/>
    </w:rPr>
  </w:style>
  <w:style w:type="paragraph" w:customStyle="1" w:styleId="66">
    <w:name w:val="标准书脚_偶数页"/>
    <w:qFormat/>
    <w:uiPriority w:val="0"/>
    <w:pPr>
      <w:spacing w:before="120"/>
      <w:ind w:left="221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67">
    <w:name w:val="标准书眉_偶数页"/>
    <w:basedOn w:val="42"/>
    <w:next w:val="1"/>
    <w:qFormat/>
    <w:uiPriority w:val="0"/>
    <w:pPr>
      <w:jc w:val="left"/>
    </w:pPr>
  </w:style>
  <w:style w:type="paragraph" w:customStyle="1" w:styleId="68">
    <w:name w:val="标准书眉一"/>
    <w:qFormat/>
    <w:uiPriority w:val="0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69">
    <w:name w:val="参考文献"/>
    <w:basedOn w:val="1"/>
    <w:next w:val="22"/>
    <w:qFormat/>
    <w:uiPriority w:val="0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70">
    <w:name w:val="参考文献、索引标题"/>
    <w:basedOn w:val="1"/>
    <w:next w:val="22"/>
    <w:qFormat/>
    <w:uiPriority w:val="0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character" w:customStyle="1" w:styleId="71">
    <w:name w:val="发布"/>
    <w:qFormat/>
    <w:uiPriority w:val="0"/>
    <w:rPr>
      <w:rFonts w:ascii="黑体" w:eastAsia="黑体"/>
      <w:spacing w:val="85"/>
      <w:w w:val="100"/>
      <w:position w:val="3"/>
      <w:sz w:val="28"/>
      <w:szCs w:val="28"/>
    </w:rPr>
  </w:style>
  <w:style w:type="paragraph" w:customStyle="1" w:styleId="72">
    <w:name w:val="发布部门"/>
    <w:next w:val="22"/>
    <w:qFormat/>
    <w:uiPriority w:val="0"/>
    <w:pPr>
      <w:framePr w:w="7938" w:h="1134" w:hRule="exact" w:hSpace="125" w:vSpace="181" w:wrap="around" w:vAnchor="page" w:hAnchor="page" w:x="2150" w:y="14630" w:anchorLock="1"/>
      <w:jc w:val="center"/>
    </w:pPr>
    <w:rPr>
      <w:rFonts w:ascii="宋体" w:hAnsi="Times New Roman" w:eastAsia="宋体" w:cs="Times New Roman"/>
      <w:b/>
      <w:spacing w:val="20"/>
      <w:w w:val="135"/>
      <w:sz w:val="28"/>
      <w:lang w:val="en-US" w:eastAsia="zh-CN" w:bidi="ar-SA"/>
    </w:rPr>
  </w:style>
  <w:style w:type="paragraph" w:customStyle="1" w:styleId="73">
    <w:name w:val="发布日期"/>
    <w:qFormat/>
    <w:uiPriority w:val="0"/>
    <w:pPr>
      <w:framePr w:w="3997" w:h="471" w:hRule="exact" w:vSpace="181" w:wrap="around" w:vAnchor="margin" w:hAnchor="page" w:x="7089" w:y="14097" w:anchorLock="1"/>
    </w:pPr>
    <w:rPr>
      <w:rFonts w:ascii="Times New Roman" w:hAnsi="Times New Roman" w:eastAsia="黑体" w:cs="Times New Roman"/>
      <w:sz w:val="28"/>
      <w:lang w:val="en-US" w:eastAsia="zh-CN" w:bidi="ar-SA"/>
    </w:rPr>
  </w:style>
  <w:style w:type="paragraph" w:customStyle="1" w:styleId="74">
    <w:name w:val="封面标准代替信息"/>
    <w:qFormat/>
    <w:uiPriority w:val="0"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 w:hAnsi="Times New Roman" w:eastAsia="宋体" w:cs="Times New Roman"/>
      <w:sz w:val="21"/>
      <w:szCs w:val="21"/>
      <w:lang w:val="en-US" w:eastAsia="zh-CN" w:bidi="ar-SA"/>
    </w:rPr>
  </w:style>
  <w:style w:type="paragraph" w:customStyle="1" w:styleId="75">
    <w:name w:val="封面标准号1"/>
    <w:qFormat/>
    <w:uiPriority w:val="0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Times New Roman" w:hAnsi="Times New Roman" w:eastAsia="宋体" w:cs="Times New Roman"/>
      <w:sz w:val="28"/>
      <w:lang w:val="en-US" w:eastAsia="zh-CN" w:bidi="ar-SA"/>
    </w:rPr>
  </w:style>
  <w:style w:type="paragraph" w:customStyle="1" w:styleId="76">
    <w:name w:val="封面标准名称"/>
    <w:qFormat/>
    <w:uiPriority w:val="0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sz w:val="52"/>
      <w:lang w:val="en-US" w:eastAsia="zh-CN" w:bidi="ar-SA"/>
    </w:rPr>
  </w:style>
  <w:style w:type="paragraph" w:customStyle="1" w:styleId="77">
    <w:name w:val="封面标准英文名称"/>
    <w:basedOn w:val="76"/>
    <w:qFormat/>
    <w:uiPriority w:val="0"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78">
    <w:name w:val="封面一致性程度标识"/>
    <w:basedOn w:val="77"/>
    <w:qFormat/>
    <w:uiPriority w:val="0"/>
    <w:pPr>
      <w:spacing w:before="440"/>
    </w:pPr>
    <w:rPr>
      <w:rFonts w:ascii="宋体" w:eastAsia="宋体"/>
    </w:rPr>
  </w:style>
  <w:style w:type="paragraph" w:customStyle="1" w:styleId="79">
    <w:name w:val="封面标准文稿类别"/>
    <w:basedOn w:val="78"/>
    <w:qFormat/>
    <w:uiPriority w:val="0"/>
    <w:pPr>
      <w:spacing w:after="160" w:line="240" w:lineRule="auto"/>
    </w:pPr>
    <w:rPr>
      <w:sz w:val="24"/>
    </w:rPr>
  </w:style>
  <w:style w:type="paragraph" w:customStyle="1" w:styleId="80">
    <w:name w:val="封面标准文稿编辑信息"/>
    <w:basedOn w:val="79"/>
    <w:qFormat/>
    <w:uiPriority w:val="0"/>
    <w:pPr>
      <w:spacing w:before="180" w:line="180" w:lineRule="exact"/>
    </w:pPr>
    <w:rPr>
      <w:sz w:val="21"/>
    </w:rPr>
  </w:style>
  <w:style w:type="paragraph" w:customStyle="1" w:styleId="81">
    <w:name w:val="封面正文"/>
    <w:qFormat/>
    <w:uiPriority w:val="0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82">
    <w:name w:val="附录标识"/>
    <w:basedOn w:val="1"/>
    <w:next w:val="22"/>
    <w:qFormat/>
    <w:uiPriority w:val="0"/>
    <w:pPr>
      <w:keepNext/>
      <w:widowControl/>
      <w:numPr>
        <w:ilvl w:val="0"/>
        <w:numId w:val="10"/>
      </w:numPr>
      <w:shd w:val="clear" w:color="FFFFFF" w:fill="FFFFFF"/>
      <w:tabs>
        <w:tab w:val="left" w:pos="360"/>
        <w:tab w:val="left" w:pos="6405"/>
      </w:tabs>
      <w:spacing w:before="640" w:after="28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83">
    <w:name w:val="附录标题"/>
    <w:basedOn w:val="22"/>
    <w:next w:val="22"/>
    <w:qFormat/>
    <w:uiPriority w:val="0"/>
    <w:pPr>
      <w:ind w:firstLine="0" w:firstLineChars="0"/>
      <w:jc w:val="center"/>
    </w:pPr>
    <w:rPr>
      <w:rFonts w:ascii="黑体" w:eastAsia="黑体"/>
    </w:rPr>
  </w:style>
  <w:style w:type="paragraph" w:customStyle="1" w:styleId="84">
    <w:name w:val="附录表标号"/>
    <w:basedOn w:val="1"/>
    <w:next w:val="22"/>
    <w:qFormat/>
    <w:uiPriority w:val="0"/>
    <w:pPr>
      <w:numPr>
        <w:ilvl w:val="0"/>
        <w:numId w:val="11"/>
      </w:numPr>
      <w:tabs>
        <w:tab w:val="clear" w:pos="0"/>
      </w:tabs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85">
    <w:name w:val="附录表标题"/>
    <w:basedOn w:val="1"/>
    <w:next w:val="22"/>
    <w:qFormat/>
    <w:uiPriority w:val="0"/>
    <w:pPr>
      <w:numPr>
        <w:ilvl w:val="1"/>
        <w:numId w:val="11"/>
      </w:numPr>
      <w:tabs>
        <w:tab w:val="left" w:pos="180"/>
      </w:tabs>
      <w:spacing w:before="50" w:beforeLines="50" w:after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86">
    <w:name w:val="附录二级条标题"/>
    <w:basedOn w:val="1"/>
    <w:next w:val="22"/>
    <w:qFormat/>
    <w:uiPriority w:val="0"/>
    <w:pPr>
      <w:widowControl/>
      <w:numPr>
        <w:ilvl w:val="3"/>
        <w:numId w:val="10"/>
      </w:numPr>
      <w:tabs>
        <w:tab w:val="left" w:pos="360"/>
      </w:tabs>
      <w:wordWrap w:val="0"/>
      <w:overflowPunct w:val="0"/>
      <w:autoSpaceDE w:val="0"/>
      <w:autoSpaceDN w:val="0"/>
      <w:spacing w:before="50" w:beforeLines="50" w:after="50" w:afterLines="50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87">
    <w:name w:val="附录二级无"/>
    <w:basedOn w:val="86"/>
    <w:qFormat/>
    <w:uiPriority w:val="0"/>
    <w:pPr>
      <w:tabs>
        <w:tab w:val="clear" w:pos="360"/>
      </w:tabs>
      <w:spacing w:before="0" w:beforeLines="0" w:after="0" w:afterLines="0"/>
    </w:pPr>
    <w:rPr>
      <w:rFonts w:ascii="宋体" w:eastAsia="宋体"/>
      <w:szCs w:val="21"/>
    </w:rPr>
  </w:style>
  <w:style w:type="paragraph" w:customStyle="1" w:styleId="88">
    <w:name w:val="附录公式"/>
    <w:basedOn w:val="22"/>
    <w:next w:val="22"/>
    <w:link w:val="89"/>
    <w:qFormat/>
    <w:uiPriority w:val="0"/>
  </w:style>
  <w:style w:type="character" w:customStyle="1" w:styleId="89">
    <w:name w:val="附录公式 Char"/>
    <w:basedOn w:val="39"/>
    <w:link w:val="88"/>
    <w:qFormat/>
    <w:uiPriority w:val="0"/>
    <w:rPr>
      <w:rFonts w:ascii="宋体"/>
      <w:sz w:val="21"/>
      <w:lang w:val="en-US" w:eastAsia="zh-CN" w:bidi="ar-SA"/>
    </w:rPr>
  </w:style>
  <w:style w:type="paragraph" w:customStyle="1" w:styleId="90">
    <w:name w:val="附录公式编号制表符"/>
    <w:basedOn w:val="1"/>
    <w:next w:val="22"/>
    <w:qFormat/>
    <w:uiPriority w:val="0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91">
    <w:name w:val="附录三级条标题"/>
    <w:basedOn w:val="86"/>
    <w:next w:val="22"/>
    <w:qFormat/>
    <w:uiPriority w:val="0"/>
    <w:pPr>
      <w:numPr>
        <w:ilvl w:val="4"/>
      </w:numPr>
      <w:outlineLvl w:val="4"/>
    </w:pPr>
  </w:style>
  <w:style w:type="paragraph" w:customStyle="1" w:styleId="92">
    <w:name w:val="附录三级无"/>
    <w:basedOn w:val="91"/>
    <w:qFormat/>
    <w:uiPriority w:val="0"/>
    <w:pPr>
      <w:tabs>
        <w:tab w:val="clear" w:pos="360"/>
      </w:tabs>
      <w:spacing w:before="0" w:beforeLines="0" w:after="0" w:afterLines="0"/>
    </w:pPr>
    <w:rPr>
      <w:rFonts w:ascii="宋体" w:eastAsia="宋体"/>
      <w:szCs w:val="21"/>
    </w:rPr>
  </w:style>
  <w:style w:type="paragraph" w:customStyle="1" w:styleId="93">
    <w:name w:val="附录数字编号列项（二级）"/>
    <w:qFormat/>
    <w:uiPriority w:val="0"/>
    <w:pPr>
      <w:numPr>
        <w:ilvl w:val="1"/>
        <w:numId w:val="12"/>
      </w:numPr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94">
    <w:name w:val="附录四级条标题"/>
    <w:basedOn w:val="91"/>
    <w:next w:val="22"/>
    <w:qFormat/>
    <w:uiPriority w:val="0"/>
    <w:pPr>
      <w:numPr>
        <w:ilvl w:val="5"/>
      </w:numPr>
      <w:outlineLvl w:val="5"/>
    </w:pPr>
  </w:style>
  <w:style w:type="paragraph" w:customStyle="1" w:styleId="95">
    <w:name w:val="附录四级无"/>
    <w:basedOn w:val="94"/>
    <w:qFormat/>
    <w:uiPriority w:val="0"/>
    <w:pPr>
      <w:tabs>
        <w:tab w:val="clear" w:pos="360"/>
      </w:tabs>
      <w:spacing w:before="0" w:beforeLines="0" w:after="0" w:afterLines="0"/>
    </w:pPr>
    <w:rPr>
      <w:rFonts w:ascii="宋体" w:eastAsia="宋体"/>
      <w:szCs w:val="21"/>
    </w:rPr>
  </w:style>
  <w:style w:type="paragraph" w:customStyle="1" w:styleId="96">
    <w:name w:val="附录图标号"/>
    <w:basedOn w:val="1"/>
    <w:qFormat/>
    <w:uiPriority w:val="0"/>
    <w:pPr>
      <w:keepNext/>
      <w:pageBreakBefore/>
      <w:widowControl/>
      <w:numPr>
        <w:ilvl w:val="0"/>
        <w:numId w:val="13"/>
      </w:numPr>
      <w:spacing w:line="14" w:lineRule="exact"/>
      <w:ind w:left="0" w:firstLine="363"/>
      <w:jc w:val="center"/>
      <w:outlineLvl w:val="0"/>
    </w:pPr>
    <w:rPr>
      <w:color w:val="FFFFFF"/>
    </w:rPr>
  </w:style>
  <w:style w:type="paragraph" w:customStyle="1" w:styleId="97">
    <w:name w:val="附录图标题"/>
    <w:basedOn w:val="1"/>
    <w:next w:val="22"/>
    <w:qFormat/>
    <w:uiPriority w:val="0"/>
    <w:pPr>
      <w:numPr>
        <w:ilvl w:val="1"/>
        <w:numId w:val="13"/>
      </w:numPr>
      <w:tabs>
        <w:tab w:val="left" w:pos="363"/>
      </w:tabs>
      <w:spacing w:before="50" w:beforeLines="50" w:after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98">
    <w:name w:val="附录五级条标题"/>
    <w:basedOn w:val="94"/>
    <w:next w:val="22"/>
    <w:qFormat/>
    <w:uiPriority w:val="0"/>
    <w:pPr>
      <w:numPr>
        <w:ilvl w:val="6"/>
      </w:numPr>
      <w:outlineLvl w:val="6"/>
    </w:pPr>
  </w:style>
  <w:style w:type="paragraph" w:customStyle="1" w:styleId="99">
    <w:name w:val="附录五级无"/>
    <w:basedOn w:val="98"/>
    <w:qFormat/>
    <w:uiPriority w:val="0"/>
    <w:pPr>
      <w:tabs>
        <w:tab w:val="clear" w:pos="360"/>
      </w:tabs>
      <w:spacing w:before="0" w:beforeLines="0" w:after="0" w:afterLines="0"/>
    </w:pPr>
    <w:rPr>
      <w:rFonts w:ascii="宋体" w:eastAsia="宋体"/>
      <w:szCs w:val="21"/>
    </w:rPr>
  </w:style>
  <w:style w:type="paragraph" w:customStyle="1" w:styleId="100">
    <w:name w:val="附录章标题"/>
    <w:next w:val="22"/>
    <w:qFormat/>
    <w:uiPriority w:val="0"/>
    <w:pPr>
      <w:numPr>
        <w:ilvl w:val="1"/>
        <w:numId w:val="10"/>
      </w:numPr>
      <w:tabs>
        <w:tab w:val="left" w:pos="360"/>
      </w:tabs>
      <w:wordWrap w:val="0"/>
      <w:overflowPunct w:val="0"/>
      <w:autoSpaceDE w:val="0"/>
      <w:spacing w:before="100" w:beforeLines="100" w:after="100" w:afterLines="100"/>
      <w:jc w:val="both"/>
      <w:textAlignment w:val="baseline"/>
      <w:outlineLvl w:val="1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101">
    <w:name w:val="附录一级条标题"/>
    <w:basedOn w:val="100"/>
    <w:next w:val="22"/>
    <w:qFormat/>
    <w:uiPriority w:val="0"/>
    <w:pPr>
      <w:numPr>
        <w:ilvl w:val="2"/>
      </w:numPr>
      <w:autoSpaceDN w:val="0"/>
      <w:spacing w:before="50" w:beforeLines="50" w:after="50" w:afterLines="50"/>
      <w:outlineLvl w:val="2"/>
    </w:pPr>
  </w:style>
  <w:style w:type="paragraph" w:customStyle="1" w:styleId="102">
    <w:name w:val="附录一级无"/>
    <w:basedOn w:val="101"/>
    <w:qFormat/>
    <w:uiPriority w:val="0"/>
    <w:pPr>
      <w:tabs>
        <w:tab w:val="clear" w:pos="360"/>
      </w:tabs>
      <w:spacing w:before="0" w:beforeLines="0" w:after="0" w:afterLines="0"/>
    </w:pPr>
    <w:rPr>
      <w:rFonts w:ascii="宋体" w:eastAsia="宋体"/>
      <w:szCs w:val="21"/>
    </w:rPr>
  </w:style>
  <w:style w:type="paragraph" w:customStyle="1" w:styleId="103">
    <w:name w:val="附录字母编号列项（一级）"/>
    <w:qFormat/>
    <w:uiPriority w:val="0"/>
    <w:pPr>
      <w:numPr>
        <w:ilvl w:val="0"/>
        <w:numId w:val="12"/>
      </w:numPr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04">
    <w:name w:val="列项说明"/>
    <w:basedOn w:val="1"/>
    <w:qFormat/>
    <w:uiPriority w:val="0"/>
    <w:pPr>
      <w:adjustRightInd w:val="0"/>
      <w:spacing w:line="320" w:lineRule="exact"/>
      <w:ind w:left="400" w:leftChars="200" w:hanging="200" w:hangingChars="200"/>
      <w:jc w:val="left"/>
      <w:textAlignment w:val="baseline"/>
    </w:pPr>
    <w:rPr>
      <w:rFonts w:ascii="宋体"/>
      <w:kern w:val="0"/>
      <w:szCs w:val="20"/>
    </w:rPr>
  </w:style>
  <w:style w:type="paragraph" w:customStyle="1" w:styleId="105">
    <w:name w:val="列项说明数字编号"/>
    <w:qFormat/>
    <w:uiPriority w:val="0"/>
    <w:pPr>
      <w:ind w:left="600" w:leftChars="400" w:hanging="200" w:hangingChars="200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06">
    <w:name w:val="目次、索引正文"/>
    <w:qFormat/>
    <w:uiPriority w:val="0"/>
    <w:pPr>
      <w:spacing w:line="320" w:lineRule="exact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07">
    <w:name w:val="其他标准标志"/>
    <w:basedOn w:val="64"/>
    <w:qFormat/>
    <w:uiPriority w:val="0"/>
    <w:pPr>
      <w:framePr w:w="6101" w:vAnchor="page" w:hAnchor="page" w:x="4673" w:y="942"/>
    </w:pPr>
    <w:rPr>
      <w:w w:val="130"/>
    </w:rPr>
  </w:style>
  <w:style w:type="paragraph" w:customStyle="1" w:styleId="108">
    <w:name w:val="其他标准称谓"/>
    <w:next w:val="1"/>
    <w:qFormat/>
    <w:uiPriority w:val="0"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hAnsi="宋体" w:eastAsia="黑体" w:cs="Times New Roman"/>
      <w:spacing w:val="-40"/>
      <w:sz w:val="48"/>
      <w:szCs w:val="52"/>
      <w:lang w:val="en-US" w:eastAsia="zh-CN" w:bidi="ar-SA"/>
    </w:rPr>
  </w:style>
  <w:style w:type="paragraph" w:customStyle="1" w:styleId="109">
    <w:name w:val="其他发布部门"/>
    <w:basedOn w:val="72"/>
    <w:qFormat/>
    <w:uiPriority w:val="0"/>
    <w:pPr>
      <w:framePr w:y="15310"/>
      <w:spacing w:line="0" w:lineRule="atLeast"/>
    </w:pPr>
    <w:rPr>
      <w:rFonts w:ascii="黑体" w:eastAsia="黑体"/>
      <w:b w:val="0"/>
    </w:rPr>
  </w:style>
  <w:style w:type="paragraph" w:customStyle="1" w:styleId="110">
    <w:name w:val="前言、引言标题"/>
    <w:next w:val="22"/>
    <w:qFormat/>
    <w:uiPriority w:val="0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111">
    <w:name w:val="三级无"/>
    <w:basedOn w:val="49"/>
    <w:qFormat/>
    <w:uiPriority w:val="0"/>
    <w:pPr>
      <w:spacing w:before="0" w:beforeLines="0" w:after="0" w:afterLines="0"/>
    </w:pPr>
    <w:rPr>
      <w:rFonts w:ascii="宋体" w:eastAsia="宋体"/>
    </w:rPr>
  </w:style>
  <w:style w:type="paragraph" w:customStyle="1" w:styleId="112">
    <w:name w:val="实施日期"/>
    <w:basedOn w:val="73"/>
    <w:qFormat/>
    <w:uiPriority w:val="0"/>
    <w:pPr>
      <w:framePr w:vAnchor="page" w:hAnchor="text"/>
      <w:jc w:val="right"/>
    </w:pPr>
  </w:style>
  <w:style w:type="paragraph" w:customStyle="1" w:styleId="113">
    <w:name w:val="示例后文字"/>
    <w:basedOn w:val="22"/>
    <w:next w:val="22"/>
    <w:qFormat/>
    <w:uiPriority w:val="0"/>
    <w:pPr>
      <w:ind w:firstLine="360"/>
    </w:pPr>
    <w:rPr>
      <w:sz w:val="18"/>
    </w:rPr>
  </w:style>
  <w:style w:type="paragraph" w:customStyle="1" w:styleId="114">
    <w:name w:val="首示例"/>
    <w:next w:val="22"/>
    <w:link w:val="115"/>
    <w:qFormat/>
    <w:uiPriority w:val="0"/>
    <w:pPr>
      <w:numPr>
        <w:ilvl w:val="0"/>
        <w:numId w:val="14"/>
      </w:numPr>
      <w:tabs>
        <w:tab w:val="left" w:pos="360"/>
      </w:tabs>
      <w:ind w:firstLine="0"/>
    </w:pPr>
    <w:rPr>
      <w:rFonts w:ascii="宋体" w:hAnsi="宋体" w:eastAsia="宋体" w:cs="Times New Roman"/>
      <w:kern w:val="2"/>
      <w:sz w:val="18"/>
      <w:szCs w:val="18"/>
      <w:lang w:val="en-US" w:eastAsia="zh-CN" w:bidi="ar-SA"/>
    </w:rPr>
  </w:style>
  <w:style w:type="character" w:customStyle="1" w:styleId="115">
    <w:name w:val="首示例 Char"/>
    <w:link w:val="114"/>
    <w:qFormat/>
    <w:uiPriority w:val="0"/>
    <w:rPr>
      <w:rFonts w:ascii="宋体" w:hAnsi="宋体"/>
      <w:kern w:val="2"/>
      <w:sz w:val="18"/>
      <w:szCs w:val="18"/>
      <w:lang w:val="en-US" w:eastAsia="zh-CN" w:bidi="ar-SA"/>
    </w:rPr>
  </w:style>
  <w:style w:type="paragraph" w:customStyle="1" w:styleId="116">
    <w:name w:val="四级无"/>
    <w:basedOn w:val="53"/>
    <w:qFormat/>
    <w:uiPriority w:val="0"/>
    <w:pPr>
      <w:spacing w:before="0" w:beforeLines="0" w:after="0" w:afterLines="0"/>
    </w:pPr>
    <w:rPr>
      <w:rFonts w:ascii="宋体" w:eastAsia="宋体"/>
    </w:rPr>
  </w:style>
  <w:style w:type="paragraph" w:customStyle="1" w:styleId="117">
    <w:name w:val="条文脚注"/>
    <w:basedOn w:val="23"/>
    <w:qFormat/>
    <w:uiPriority w:val="0"/>
    <w:pPr>
      <w:numPr>
        <w:numId w:val="0"/>
      </w:numPr>
      <w:tabs>
        <w:tab w:val="clear" w:pos="0"/>
      </w:tabs>
      <w:jc w:val="both"/>
    </w:pPr>
  </w:style>
  <w:style w:type="paragraph" w:customStyle="1" w:styleId="118">
    <w:name w:val="图标脚注说明"/>
    <w:basedOn w:val="22"/>
    <w:qFormat/>
    <w:uiPriority w:val="0"/>
    <w:pPr>
      <w:ind w:left="840" w:hanging="420" w:firstLineChars="0"/>
    </w:pPr>
    <w:rPr>
      <w:sz w:val="18"/>
      <w:szCs w:val="18"/>
    </w:rPr>
  </w:style>
  <w:style w:type="paragraph" w:customStyle="1" w:styleId="119">
    <w:name w:val="图表脚注说明"/>
    <w:basedOn w:val="1"/>
    <w:qFormat/>
    <w:uiPriority w:val="0"/>
    <w:pPr>
      <w:numPr>
        <w:ilvl w:val="0"/>
        <w:numId w:val="15"/>
      </w:numPr>
    </w:pPr>
    <w:rPr>
      <w:rFonts w:ascii="宋体"/>
      <w:sz w:val="18"/>
      <w:szCs w:val="18"/>
    </w:rPr>
  </w:style>
  <w:style w:type="paragraph" w:customStyle="1" w:styleId="120">
    <w:name w:val="图的脚注"/>
    <w:next w:val="22"/>
    <w:qFormat/>
    <w:uiPriority w:val="0"/>
    <w:pPr>
      <w:widowControl w:val="0"/>
      <w:ind w:left="840" w:leftChars="200" w:hanging="420" w:hangingChars="200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121">
    <w:name w:val="文献分类号"/>
    <w:qFormat/>
    <w:uiPriority w:val="0"/>
    <w:pPr>
      <w:framePr w:hSpace="180" w:vSpace="180" w:wrap="around" w:vAnchor="margin" w:hAnchor="margin" w:y="1" w:anchorLock="1"/>
      <w:widowControl w:val="0"/>
      <w:textAlignment w:val="center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22">
    <w:name w:val="五级无"/>
    <w:basedOn w:val="54"/>
    <w:qFormat/>
    <w:uiPriority w:val="0"/>
    <w:pPr>
      <w:spacing w:before="0" w:beforeLines="0" w:after="0" w:afterLines="0"/>
    </w:pPr>
    <w:rPr>
      <w:rFonts w:ascii="宋体" w:eastAsia="宋体"/>
    </w:rPr>
  </w:style>
  <w:style w:type="paragraph" w:customStyle="1" w:styleId="123">
    <w:name w:val="一级无"/>
    <w:basedOn w:val="40"/>
    <w:qFormat/>
    <w:uiPriority w:val="0"/>
    <w:pPr>
      <w:spacing w:before="0" w:beforeLines="0" w:after="0" w:afterLines="0"/>
    </w:pPr>
    <w:rPr>
      <w:rFonts w:ascii="宋体" w:eastAsia="宋体"/>
    </w:rPr>
  </w:style>
  <w:style w:type="paragraph" w:customStyle="1" w:styleId="124">
    <w:name w:val="正文表标题"/>
    <w:next w:val="22"/>
    <w:qFormat/>
    <w:uiPriority w:val="0"/>
    <w:pPr>
      <w:numPr>
        <w:ilvl w:val="0"/>
        <w:numId w:val="16"/>
      </w:numPr>
      <w:tabs>
        <w:tab w:val="left" w:pos="360"/>
      </w:tabs>
      <w:spacing w:before="156" w:beforeLines="50" w:after="156" w:afterLines="5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25">
    <w:name w:val="正文公式编号制表符"/>
    <w:basedOn w:val="22"/>
    <w:next w:val="22"/>
    <w:qFormat/>
    <w:uiPriority w:val="0"/>
    <w:pPr>
      <w:ind w:firstLine="0" w:firstLineChars="0"/>
    </w:pPr>
  </w:style>
  <w:style w:type="paragraph" w:customStyle="1" w:styleId="126">
    <w:name w:val="正文图标题"/>
    <w:next w:val="22"/>
    <w:qFormat/>
    <w:uiPriority w:val="0"/>
    <w:pPr>
      <w:numPr>
        <w:ilvl w:val="0"/>
        <w:numId w:val="17"/>
      </w:numPr>
      <w:tabs>
        <w:tab w:val="left" w:pos="360"/>
      </w:tabs>
      <w:spacing w:before="156" w:beforeLines="50" w:after="156" w:afterLines="5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27">
    <w:name w:val="终结线"/>
    <w:basedOn w:val="1"/>
    <w:qFormat/>
    <w:uiPriority w:val="0"/>
    <w:pPr>
      <w:framePr w:hSpace="181" w:vSpace="181" w:wrap="around" w:vAnchor="text" w:hAnchor="margin" w:xAlign="center" w:y="285"/>
    </w:pPr>
  </w:style>
  <w:style w:type="paragraph" w:customStyle="1" w:styleId="128">
    <w:name w:val="其他发布日期"/>
    <w:basedOn w:val="73"/>
    <w:qFormat/>
    <w:uiPriority w:val="0"/>
    <w:pPr>
      <w:framePr w:vAnchor="page" w:hAnchor="text" w:x="1419"/>
    </w:pPr>
  </w:style>
  <w:style w:type="paragraph" w:customStyle="1" w:styleId="129">
    <w:name w:val="其他实施日期"/>
    <w:basedOn w:val="112"/>
    <w:qFormat/>
    <w:uiPriority w:val="0"/>
  </w:style>
  <w:style w:type="paragraph" w:customStyle="1" w:styleId="130">
    <w:name w:val="封面标准名称2"/>
    <w:basedOn w:val="76"/>
    <w:qFormat/>
    <w:uiPriority w:val="0"/>
    <w:pPr>
      <w:framePr w:y="4469"/>
      <w:spacing w:before="630" w:beforeLines="630"/>
    </w:pPr>
  </w:style>
  <w:style w:type="paragraph" w:customStyle="1" w:styleId="131">
    <w:name w:val="封面标准英文名称2"/>
    <w:basedOn w:val="77"/>
    <w:qFormat/>
    <w:uiPriority w:val="0"/>
    <w:pPr>
      <w:framePr w:y="4469"/>
    </w:pPr>
  </w:style>
  <w:style w:type="paragraph" w:customStyle="1" w:styleId="132">
    <w:name w:val="封面一致性程度标识2"/>
    <w:basedOn w:val="78"/>
    <w:qFormat/>
    <w:uiPriority w:val="0"/>
    <w:pPr>
      <w:framePr w:y="4469"/>
    </w:pPr>
  </w:style>
  <w:style w:type="paragraph" w:customStyle="1" w:styleId="133">
    <w:name w:val="封面标准文稿类别2"/>
    <w:basedOn w:val="79"/>
    <w:qFormat/>
    <w:uiPriority w:val="0"/>
    <w:pPr>
      <w:framePr w:y="4469"/>
    </w:pPr>
  </w:style>
  <w:style w:type="paragraph" w:customStyle="1" w:styleId="134">
    <w:name w:val="封面标准文稿编辑信息2"/>
    <w:basedOn w:val="80"/>
    <w:qFormat/>
    <w:uiPriority w:val="0"/>
    <w:pPr>
      <w:framePr w:y="4469"/>
    </w:pPr>
  </w:style>
  <w:style w:type="paragraph" w:customStyle="1" w:styleId="135">
    <w:name w:val="标准文件_文件编号"/>
    <w:basedOn w:val="136"/>
    <w:qFormat/>
    <w:uiPriority w:val="0"/>
    <w:pPr>
      <w:framePr w:w="9356" w:h="624" w:hRule="exact" w:hSpace="181" w:vSpace="181" w:wrap="auto" w:vAnchor="page" w:hAnchor="page" w:x="1419" w:y="3284"/>
      <w:wordWrap w:val="0"/>
      <w:spacing w:line="280" w:lineRule="exact"/>
      <w:ind w:firstLine="0" w:firstLineChars="0"/>
      <w:jc w:val="right"/>
    </w:pPr>
    <w:rPr>
      <w:rFonts w:ascii="黑体" w:eastAsia="黑体"/>
      <w:bCs/>
      <w:sz w:val="28"/>
      <w:szCs w:val="28"/>
    </w:rPr>
  </w:style>
  <w:style w:type="paragraph" w:customStyle="1" w:styleId="136">
    <w:name w:val="标准文件_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37">
    <w:name w:val="标准文件_替换文件编号"/>
    <w:basedOn w:val="135"/>
    <w:qFormat/>
    <w:uiPriority w:val="0"/>
    <w:pPr>
      <w:spacing w:before="57"/>
    </w:pPr>
    <w:rPr>
      <w:sz w:val="21"/>
    </w:rPr>
  </w:style>
  <w:style w:type="paragraph" w:customStyle="1" w:styleId="138">
    <w:name w:val="WPSOffice手动目录 1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customStyle="1" w:styleId="139">
    <w:name w:val="Body text|1"/>
    <w:basedOn w:val="1"/>
    <w:qFormat/>
    <w:uiPriority w:val="0"/>
    <w:pPr>
      <w:shd w:val="clear" w:color="auto" w:fill="FFFFFF"/>
      <w:spacing w:after="600" w:line="329" w:lineRule="auto"/>
      <w:ind w:firstLine="400"/>
    </w:pPr>
    <w:rPr>
      <w:rFonts w:ascii="宋体" w:hAnsi="宋体" w:cs="宋体"/>
      <w:sz w:val="48"/>
      <w:szCs w:val="48"/>
      <w:lang w:val="zh-CN" w:bidi="zh-CN"/>
    </w:rPr>
  </w:style>
  <w:style w:type="character" w:customStyle="1" w:styleId="140">
    <w:name w:val="批注框文本 字符"/>
    <w:basedOn w:val="33"/>
    <w:link w:val="15"/>
    <w:qFormat/>
    <w:uiPriority w:val="0"/>
    <w:rPr>
      <w:kern w:val="2"/>
      <w:sz w:val="18"/>
      <w:szCs w:val="18"/>
    </w:rPr>
  </w:style>
  <w:style w:type="paragraph" w:customStyle="1" w:styleId="141">
    <w:name w:val="列出段落1"/>
    <w:basedOn w:val="1"/>
    <w:qFormat/>
    <w:uiPriority w:val="0"/>
    <w:pPr>
      <w:ind w:firstLine="420" w:firstLineChars="200"/>
    </w:pPr>
    <w:rPr>
      <w:rFonts w:ascii="Times New Roman" w:hAnsi="Times New Roman" w:eastAsia="宋体" w:cs="Times New Roman"/>
      <w:szCs w:val="21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microsoft.com/office/2006/relationships/keyMapCustomizations" Target="customizations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theme" Target="theme/theme1.xml"/><Relationship Id="rId12" Type="http://schemas.openxmlformats.org/officeDocument/2006/relationships/footer" Target="footer7.xml"/><Relationship Id="rId11" Type="http://schemas.openxmlformats.org/officeDocument/2006/relationships/footer" Target="footer6.xml"/><Relationship Id="rId10" Type="http://schemas.openxmlformats.org/officeDocument/2006/relationships/header" Target="head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14</Pages>
  <Words>5300</Words>
  <Characters>6110</Characters>
  <Lines>53</Lines>
  <Paragraphs>15</Paragraphs>
  <TotalTime>0</TotalTime>
  <ScaleCrop>false</ScaleCrop>
  <LinksUpToDate>false</LinksUpToDate>
  <CharactersWithSpaces>6640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2022-06-27T18:28:00Z</dcterms:created>
  <dcterms:modified xsi:type="dcterms:W3CDTF">2025-08-20T00:53:01Z</dcterms:modified>
  <dc:title>标准名称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40E9E679169C849532EC9A682E4CC922</vt:lpwstr>
  </property>
  <property fmtid="{D5CDD505-2E9C-101B-9397-08002B2CF9AE}" pid="4" name="KSOTemplateDocerSaveRecord">
    <vt:lpwstr>eyJoZGlkIjoiODViY2JkMjU3NGYzZTEwMzZmMGFkZWViYmNkYWU3NDIiLCJ1c2VySWQiOiIzMTc0MjkyOTkifQ==</vt:lpwstr>
  </property>
</Properties>
</file>