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FB28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5DC72A54">
            <w:pPr>
              <w:pStyle w:val="18"/>
              <w:framePr w:wrap="notBeside" w:vAnchor="page" w:hAnchor="page" w:x="1372" w:y="568"/>
              <w:tabs>
                <w:tab w:val="clear" w:pos="4153"/>
                <w:tab w:val="clear" w:pos="8306"/>
              </w:tabs>
              <w:spacing w:line="240" w:lineRule="auto"/>
              <w:jc w:val="left"/>
              <w:rPr>
                <w:rFonts w:hint="eastAsia" w:ascii="黑体" w:hAnsi="黑体" w:eastAsia="黑体"/>
                <w:color w:val="auto"/>
                <w:sz w:val="21"/>
                <w:szCs w:val="21"/>
              </w:rPr>
            </w:pPr>
            <w:r>
              <w:rPr>
                <w:rFonts w:ascii="Times New Roman" w:hAnsi="Times New Roman" w:eastAsia="黑体"/>
                <w:color w:val="auto"/>
                <w:sz w:val="21"/>
                <w:szCs w:val="21"/>
              </w:rPr>
              <w:t>ICS</w:t>
            </w:r>
            <w:r>
              <w:rPr>
                <w:rFonts w:ascii="黑体" w:hAnsi="黑体" w:eastAsia="黑体"/>
                <w:color w:val="auto"/>
                <w:sz w:val="21"/>
                <w:szCs w:val="21"/>
              </w:rPr>
              <w:t xml:space="preserve">  </w:t>
            </w:r>
          </w:p>
        </w:tc>
        <w:tc>
          <w:tcPr>
            <w:tcW w:w="8855" w:type="dxa"/>
          </w:tcPr>
          <w:p w14:paraId="3CAFCF5A">
            <w:pPr>
              <w:pStyle w:val="18"/>
              <w:framePr w:wrap="notBeside" w:vAnchor="page" w:hAnchor="page" w:x="1372" w:y="568"/>
              <w:tabs>
                <w:tab w:val="clear" w:pos="4153"/>
                <w:tab w:val="clear" w:pos="8306"/>
              </w:tabs>
              <w:spacing w:line="240" w:lineRule="auto"/>
              <w:jc w:val="both"/>
              <w:rPr>
                <w:rFonts w:hint="eastAsia" w:ascii="黑体" w:hAnsi="黑体" w:eastAsia="黑体"/>
                <w:color w:val="auto"/>
                <w:sz w:val="21"/>
                <w:szCs w:val="21"/>
              </w:rPr>
            </w:pPr>
            <w:r>
              <w:rPr>
                <w:rFonts w:ascii="黑体" w:hAnsi="黑体" w:eastAsia="黑体"/>
                <w:color w:val="auto"/>
                <w:sz w:val="21"/>
                <w:szCs w:val="21"/>
              </w:rPr>
              <w:fldChar w:fldCharType="begin">
                <w:ffData>
                  <w:name w:val="ICS"/>
                  <w:enabled/>
                  <w:calcOnExit w:val="0"/>
                  <w:textInput>
                    <w:default w:val="点击此处添加ICS号"/>
                  </w:textInput>
                </w:ffData>
              </w:fldChar>
            </w:r>
            <w:bookmarkStart w:id="0" w:name="ICS"/>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ascii="黑体" w:hAnsi="黑体" w:eastAsia="黑体"/>
                <w:color w:val="auto"/>
                <w:sz w:val="21"/>
                <w:szCs w:val="21"/>
              </w:rPr>
              <w:t xml:space="preserve"> </w:t>
            </w:r>
            <w:r>
              <w:rPr>
                <w:rFonts w:ascii="黑体" w:hAnsi="黑体" w:eastAsia="黑体"/>
                <w:color w:val="auto"/>
                <w:sz w:val="21"/>
                <w:szCs w:val="21"/>
              </w:rPr>
              <w:fldChar w:fldCharType="end"/>
            </w:r>
            <w:bookmarkEnd w:id="0"/>
          </w:p>
        </w:tc>
      </w:tr>
      <w:tr w14:paraId="628D1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FCBD903">
            <w:pPr>
              <w:pStyle w:val="18"/>
              <w:framePr w:wrap="notBeside" w:vAnchor="page" w:hAnchor="page" w:x="1372" w:y="568"/>
              <w:tabs>
                <w:tab w:val="clear" w:pos="4153"/>
                <w:tab w:val="clear" w:pos="8306"/>
              </w:tabs>
              <w:spacing w:before="40" w:line="240" w:lineRule="auto"/>
              <w:jc w:val="left"/>
              <w:rPr>
                <w:rFonts w:hint="eastAsia" w:ascii="黑体" w:hAnsi="黑体" w:eastAsia="黑体"/>
                <w:color w:val="auto"/>
                <w:sz w:val="21"/>
                <w:szCs w:val="21"/>
              </w:rPr>
            </w:pPr>
            <w:r>
              <w:rPr>
                <w:rFonts w:ascii="Times New Roman" w:hAnsi="Times New Roman" w:eastAsia="黑体"/>
                <w:color w:val="auto"/>
                <w:sz w:val="21"/>
                <w:szCs w:val="21"/>
              </w:rPr>
              <w:t xml:space="preserve">CCS </w:t>
            </w:r>
            <w:r>
              <w:rPr>
                <w:rFonts w:ascii="黑体" w:hAnsi="黑体" w:eastAsia="黑体"/>
                <w:color w:val="auto"/>
                <w:sz w:val="21"/>
                <w:szCs w:val="21"/>
              </w:rPr>
              <w:t xml:space="preserve"> </w:t>
            </w:r>
          </w:p>
        </w:tc>
        <w:tc>
          <w:tcPr>
            <w:tcW w:w="8855" w:type="dxa"/>
          </w:tcPr>
          <w:p w14:paraId="0A510DDA">
            <w:pPr>
              <w:pStyle w:val="18"/>
              <w:framePr w:wrap="notBeside" w:vAnchor="page" w:hAnchor="page" w:x="1372" w:y="568"/>
              <w:tabs>
                <w:tab w:val="clear" w:pos="4153"/>
                <w:tab w:val="clear" w:pos="8306"/>
              </w:tabs>
              <w:spacing w:before="40" w:line="240" w:lineRule="auto"/>
              <w:jc w:val="left"/>
              <w:rPr>
                <w:rFonts w:hint="eastAsia" w:ascii="黑体" w:hAnsi="黑体" w:eastAsia="黑体"/>
                <w:color w:val="auto"/>
                <w:sz w:val="21"/>
                <w:szCs w:val="21"/>
              </w:rPr>
            </w:pPr>
            <w:r>
              <w:rPr>
                <w:rFonts w:ascii="黑体" w:hAnsi="黑体" w:eastAsia="黑体"/>
                <w:color w:val="auto"/>
                <w:sz w:val="21"/>
                <w:szCs w:val="21"/>
              </w:rPr>
              <w:fldChar w:fldCharType="begin">
                <w:ffData>
                  <w:name w:val="CSDN"/>
                  <w:enabled/>
                  <w:calcOnExit w:val="0"/>
                  <w:textInput>
                    <w:default w:val="点击此处添加CCS号"/>
                  </w:textInput>
                </w:ffData>
              </w:fldChar>
            </w:r>
            <w:bookmarkStart w:id="1" w:name="CSDN"/>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ascii="黑体" w:hAnsi="黑体" w:eastAsia="黑体"/>
                <w:color w:val="auto"/>
                <w:sz w:val="21"/>
                <w:szCs w:val="21"/>
              </w:rPr>
              <w:t>点击此处添加CCS号</w:t>
            </w:r>
            <w:r>
              <w:rPr>
                <w:rFonts w:ascii="黑体" w:hAnsi="黑体" w:eastAsia="黑体"/>
                <w:color w:val="auto"/>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78ADEE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A700C0B">
            <w:pPr>
              <w:pStyle w:val="50"/>
              <w:framePr w:w="0" w:hRule="auto" w:wrap="auto" w:vAnchor="margin" w:hAnchor="text" w:xAlign="left" w:yAlign="inline"/>
              <w:rPr>
                <w:rFonts w:hint="eastAsia" w:ascii="宋体" w:hAnsi="宋体"/>
                <w:color w:val="auto"/>
                <w:sz w:val="28"/>
                <w:szCs w:val="28"/>
              </w:rPr>
            </w:pPr>
            <w:bookmarkStart w:id="2" w:name="_Hlk26473981"/>
            <w:r>
              <w:rPr>
                <w:color w:val="auto"/>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auto"/>
                <w:sz w:val="21"/>
                <w:szCs w:val="21"/>
              </w:rPr>
              <w:t xml:space="preserve"> </w:t>
            </w:r>
            <w:r>
              <w:rPr>
                <w:color w:val="auto"/>
              </w:rPr>
              <w:fldChar w:fldCharType="begin">
                <w:ffData>
                  <w:name w:val="c1"/>
                  <w:enabled/>
                  <w:calcOnExit w:val="0"/>
                  <w:textInput>
                    <w:maxLength w:val="8"/>
                  </w:textInput>
                </w:ffData>
              </w:fldChar>
            </w:r>
            <w:bookmarkStart w:id="3" w:name="c1"/>
            <w:r>
              <w:rPr>
                <w:color w:val="auto"/>
              </w:rPr>
              <w:instrText xml:space="preserve"> FORMTEXT </w:instrText>
            </w:r>
            <w:r>
              <w:rPr>
                <w:color w:val="auto"/>
              </w:rPr>
              <w:fldChar w:fldCharType="separate"/>
            </w:r>
            <w:r>
              <w:rPr>
                <w:color w:val="auto"/>
              </w:rPr>
              <w:t>43</w:t>
            </w:r>
            <w:r>
              <w:rPr>
                <w:color w:val="auto"/>
              </w:rPr>
              <w:fldChar w:fldCharType="end"/>
            </w:r>
            <w:bookmarkEnd w:id="3"/>
          </w:p>
        </w:tc>
      </w:tr>
    </w:tbl>
    <w:p w14:paraId="45964D1D">
      <w:pPr>
        <w:pStyle w:val="51"/>
        <w:framePr w:w="9639" w:h="624" w:hRule="exact" w:hSpace="181" w:vSpace="181" w:wrap="around" w:hAnchor="page" w:x="1305" w:y="2269"/>
        <w:rPr>
          <w:rFonts w:hint="eastAsia" w:ascii="黑体" w:hAnsi="黑体" w:eastAsia="黑体"/>
          <w:b w:val="0"/>
          <w:bCs w:val="0"/>
          <w:color w:val="auto"/>
          <w:w w:val="100"/>
          <w:sz w:val="48"/>
          <w:szCs w:val="48"/>
        </w:rPr>
      </w:pPr>
      <w:r>
        <w:rPr>
          <w:rFonts w:ascii="黑体" w:eastAsia="黑体"/>
          <w:b w:val="0"/>
          <w:color w:val="auto"/>
          <w:w w:val="100"/>
          <w:sz w:val="48"/>
        </w:rPr>
        <w:fldChar w:fldCharType="begin">
          <w:ffData>
            <w:name w:val="c2"/>
            <w:enabled/>
            <w:calcOnExit w:val="0"/>
            <w:textInput/>
          </w:ffData>
        </w:fldChar>
      </w:r>
      <w:bookmarkStart w:id="4" w:name="c2"/>
      <w:r>
        <w:rPr>
          <w:rFonts w:ascii="黑体" w:eastAsia="黑体"/>
          <w:b w:val="0"/>
          <w:color w:val="auto"/>
          <w:w w:val="100"/>
          <w:sz w:val="48"/>
        </w:rPr>
        <w:instrText xml:space="preserve"> FORMTEXT </w:instrText>
      </w:r>
      <w:r>
        <w:rPr>
          <w:rFonts w:ascii="黑体" w:eastAsia="黑体"/>
          <w:b w:val="0"/>
          <w:color w:val="auto"/>
          <w:w w:val="100"/>
          <w:sz w:val="48"/>
        </w:rPr>
        <w:fldChar w:fldCharType="separate"/>
      </w:r>
      <w:r>
        <w:rPr>
          <w:rFonts w:hint="eastAsia" w:ascii="黑体" w:eastAsia="黑体"/>
          <w:b w:val="0"/>
          <w:color w:val="auto"/>
          <w:w w:val="100"/>
          <w:sz w:val="48"/>
        </w:rPr>
        <w:t>湖南省</w:t>
      </w:r>
      <w:r>
        <w:rPr>
          <w:rFonts w:ascii="黑体" w:eastAsia="黑体"/>
          <w:b w:val="0"/>
          <w:color w:val="auto"/>
          <w:w w:val="100"/>
          <w:sz w:val="48"/>
        </w:rPr>
        <w:fldChar w:fldCharType="end"/>
      </w:r>
      <w:bookmarkEnd w:id="4"/>
      <w:r>
        <w:rPr>
          <w:rFonts w:hint="eastAsia" w:ascii="黑体" w:hAnsi="黑体" w:eastAsia="黑体"/>
          <w:b w:val="0"/>
          <w:bCs w:val="0"/>
          <w:color w:val="auto"/>
          <w:w w:val="100"/>
          <w:sz w:val="48"/>
          <w:szCs w:val="48"/>
        </w:rPr>
        <w:t>地方标准</w:t>
      </w:r>
    </w:p>
    <w:bookmarkEnd w:id="2"/>
    <w:p w14:paraId="32191B6A">
      <w:pPr>
        <w:pStyle w:val="196"/>
        <w:framePr w:wrap="around"/>
        <w:rPr>
          <w:color w:val="auto"/>
          <w:lang w:val="fr-FR"/>
        </w:rPr>
      </w:pPr>
      <w:r>
        <w:rPr>
          <w:color w:val="auto"/>
          <w:lang w:val="fr-FR"/>
        </w:rPr>
        <w:t>DB</w:t>
      </w:r>
      <w:r>
        <w:rPr>
          <w:color w:val="auto"/>
          <w:sz w:val="15"/>
          <w:szCs w:val="15"/>
          <w:lang w:val="fr-FR"/>
        </w:rPr>
        <w:t xml:space="preserve"> </w:t>
      </w:r>
      <w:r>
        <w:rPr>
          <w:color w:val="auto"/>
        </w:rPr>
        <w:fldChar w:fldCharType="begin">
          <w:ffData>
            <w:name w:val="文字1"/>
            <w:enabled/>
            <w:calcOnExit w:val="0"/>
            <w:textInput>
              <w:default w:val="43/T"/>
            </w:textInput>
          </w:ffData>
        </w:fldChar>
      </w:r>
      <w:bookmarkStart w:id="5" w:name="文字1"/>
      <w:r>
        <w:rPr>
          <w:color w:val="auto"/>
        </w:rPr>
        <w:instrText xml:space="preserve"> FORMTEXT </w:instrText>
      </w:r>
      <w:r>
        <w:rPr>
          <w:color w:val="auto"/>
        </w:rPr>
        <w:fldChar w:fldCharType="separate"/>
      </w:r>
      <w:r>
        <w:rPr>
          <w:color w:val="auto"/>
        </w:rPr>
        <w:t>43/T</w:t>
      </w:r>
      <w:r>
        <w:rPr>
          <w:color w:val="auto"/>
        </w:rPr>
        <w:fldChar w:fldCharType="end"/>
      </w:r>
      <w:bookmarkEnd w:id="5"/>
      <w:r>
        <w:rPr>
          <w:color w:val="auto"/>
          <w:lang w:val="fr-FR"/>
        </w:rPr>
        <w:t xml:space="preserve"> </w:t>
      </w:r>
      <w:r>
        <w:rPr>
          <w:color w:val="auto"/>
        </w:rPr>
        <w:fldChar w:fldCharType="begin">
          <w:ffData>
            <w:name w:val="NSTD_CODE_F"/>
            <w:enabled/>
            <w:calcOnExit w:val="0"/>
            <w:textInput>
              <w:default w:val="XXXX"/>
            </w:textInput>
          </w:ffData>
        </w:fldChar>
      </w:r>
      <w:bookmarkStart w:id="6" w:name="NSTD_CODE_F"/>
      <w:r>
        <w:rPr>
          <w:color w:val="auto"/>
          <w:lang w:val="fr-FR"/>
        </w:rPr>
        <w:instrText xml:space="preserve"> FORMTEXT </w:instrText>
      </w:r>
      <w:r>
        <w:rPr>
          <w:color w:val="auto"/>
        </w:rPr>
        <w:fldChar w:fldCharType="separate"/>
      </w:r>
      <w:r>
        <w:rPr>
          <w:color w:val="auto"/>
          <w:lang w:val="fr-FR"/>
        </w:rPr>
        <w:t>XXXX</w:t>
      </w:r>
      <w:r>
        <w:rPr>
          <w:color w:val="auto"/>
        </w:rPr>
        <w:fldChar w:fldCharType="end"/>
      </w:r>
      <w:bookmarkEnd w:id="6"/>
      <w:r>
        <w:rPr>
          <w:rFonts w:hAnsi="黑体"/>
          <w:color w:val="auto"/>
          <w:lang w:val="fr-FR"/>
        </w:rPr>
        <w:t>—</w:t>
      </w:r>
      <w:r>
        <w:rPr>
          <w:color w:val="auto"/>
        </w:rPr>
        <w:fldChar w:fldCharType="begin">
          <w:ffData>
            <w:name w:val="NSTD_CODE_B"/>
            <w:enabled/>
            <w:calcOnExit w:val="0"/>
            <w:textInput>
              <w:default w:val="2025"/>
            </w:textInput>
          </w:ffData>
        </w:fldChar>
      </w:r>
      <w:bookmarkStart w:id="7" w:name="NSTD_CODE_B"/>
      <w:r>
        <w:rPr>
          <w:color w:val="auto"/>
        </w:rPr>
        <w:instrText xml:space="preserve"> FORMTEXT </w:instrText>
      </w:r>
      <w:r>
        <w:rPr>
          <w:color w:val="auto"/>
        </w:rPr>
        <w:fldChar w:fldCharType="separate"/>
      </w:r>
      <w:r>
        <w:rPr>
          <w:color w:val="auto"/>
        </w:rPr>
        <w:t>2025</w:t>
      </w:r>
      <w:r>
        <w:rPr>
          <w:color w:val="auto"/>
        </w:rPr>
        <w:fldChar w:fldCharType="end"/>
      </w:r>
      <w:bookmarkEnd w:id="7"/>
    </w:p>
    <w:p w14:paraId="083D8F19">
      <w:pPr>
        <w:pStyle w:val="197"/>
        <w:framePr w:wrap="around"/>
        <w:rPr>
          <w:rFonts w:hint="eastAsia" w:hAnsi="黑体"/>
          <w:color w:val="auto"/>
        </w:rPr>
      </w:pPr>
      <w:r>
        <w:rPr>
          <w:rFonts w:hAnsi="黑体"/>
          <w:color w:val="auto"/>
        </w:rPr>
        <w:fldChar w:fldCharType="begin">
          <w:ffData>
            <w:name w:val="OSTD_CODE"/>
            <w:enabled/>
            <w:calcOnExit w:val="0"/>
            <w:textInput/>
          </w:ffData>
        </w:fldChar>
      </w:r>
      <w:bookmarkStart w:id="8" w:name="OSTD_CODE"/>
      <w:r>
        <w:rPr>
          <w:rFonts w:hAnsi="黑体"/>
          <w:color w:val="auto"/>
        </w:rPr>
        <w:instrText xml:space="preserve"> FORMTEXT </w:instrText>
      </w:r>
      <w:r>
        <w:rPr>
          <w:rFonts w:hAnsi="黑体"/>
          <w:color w:val="auto"/>
        </w:rPr>
        <w:fldChar w:fldCharType="separate"/>
      </w:r>
      <w:r>
        <w:rPr>
          <w:rFonts w:hAnsi="黑体"/>
          <w:color w:val="auto"/>
        </w:rPr>
        <w:t>     </w:t>
      </w:r>
      <w:r>
        <w:rPr>
          <w:rFonts w:hAnsi="黑体"/>
          <w:color w:val="auto"/>
        </w:rPr>
        <w:fldChar w:fldCharType="end"/>
      </w:r>
      <w:bookmarkEnd w:id="8"/>
    </w:p>
    <w:p w14:paraId="3CA7608A">
      <w:pPr>
        <w:spacing w:line="240" w:lineRule="auto"/>
        <w:rPr>
          <w:rFonts w:hint="eastAsia" w:ascii="黑体" w:hAnsi="黑体" w:eastAsia="黑体"/>
          <w:color w:val="auto"/>
          <w:kern w:val="0"/>
          <w:sz w:val="10"/>
          <w:szCs w:val="10"/>
        </w:rPr>
      </w:pPr>
      <w:r>
        <w:rPr>
          <w:rFonts w:ascii="黑体" w:hAnsi="黑体" w:eastAsia="黑体"/>
          <w:color w:val="auto"/>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F81267A">
      <w:pPr>
        <w:pStyle w:val="198"/>
        <w:framePr w:h="6974" w:hRule="exact" w:wrap="around" w:x="1419" w:anchorLock="1"/>
        <w:rPr>
          <w:rFonts w:hint="eastAsia"/>
          <w:color w:val="auto"/>
        </w:rPr>
      </w:pPr>
      <w:r>
        <w:rPr>
          <w:color w:val="auto"/>
        </w:rPr>
        <w:fldChar w:fldCharType="begin">
          <w:ffData>
            <w:name w:val="CSTD_NAME"/>
            <w:enabled/>
            <w:calcOnExit w:val="0"/>
            <w:textInput>
              <w:default w:val="点击此处添加标准名称"/>
            </w:textInput>
          </w:ffData>
        </w:fldChar>
      </w:r>
      <w:bookmarkStart w:id="9" w:name="CSTD_NAME"/>
      <w:r>
        <w:rPr>
          <w:color w:val="auto"/>
        </w:rPr>
        <w:instrText xml:space="preserve"> FORMTEXT </w:instrText>
      </w:r>
      <w:r>
        <w:rPr>
          <w:color w:val="auto"/>
        </w:rPr>
        <w:fldChar w:fldCharType="separate"/>
      </w:r>
      <w:r>
        <w:rPr>
          <w:color w:val="auto"/>
        </w:rPr>
        <w:t>城市轨道交通运营安全管理规范</w:t>
      </w:r>
      <w:r>
        <w:rPr>
          <w:color w:val="auto"/>
        </w:rPr>
        <w:fldChar w:fldCharType="end"/>
      </w:r>
      <w:bookmarkEnd w:id="9"/>
    </w:p>
    <w:p w14:paraId="58ADF1F5">
      <w:pPr>
        <w:framePr w:w="9639" w:h="6974" w:hRule="exact" w:wrap="around" w:vAnchor="page" w:hAnchor="page" w:x="1419" w:y="6408" w:anchorLock="1"/>
        <w:ind w:left="-1418"/>
        <w:rPr>
          <w:color w:val="auto"/>
        </w:rPr>
      </w:pPr>
    </w:p>
    <w:p w14:paraId="24282377">
      <w:pPr>
        <w:pStyle w:val="126"/>
        <w:framePr w:w="9639" w:h="6974" w:hRule="exact" w:wrap="around" w:vAnchor="page" w:hAnchor="page" w:x="1419" w:y="6408" w:anchorLock="1"/>
        <w:textAlignment w:val="bottom"/>
        <w:rPr>
          <w:rFonts w:hint="eastAsia" w:ascii="黑体" w:hAnsi="黑体" w:eastAsia="黑体"/>
          <w:color w:val="auto"/>
          <w:szCs w:val="28"/>
        </w:rPr>
      </w:pPr>
      <w:r>
        <w:rPr>
          <w:rFonts w:ascii="Times New Roman" w:hAnsi="Times New Roman" w:eastAsia="黑体"/>
          <w:color w:val="auto"/>
          <w:szCs w:val="28"/>
        </w:rPr>
        <w:fldChar w:fldCharType="begin">
          <w:ffData>
            <w:name w:val="ESTD_NAME"/>
            <w:enabled/>
            <w:calcOnExit w:val="0"/>
            <w:textInput>
              <w:default w:val="点击此处添加标准名称的英文译名"/>
            </w:textInput>
          </w:ffData>
        </w:fldChar>
      </w:r>
      <w:bookmarkStart w:id="10" w:name="ESTD_NAME"/>
      <w:r>
        <w:rPr>
          <w:rFonts w:ascii="Times New Roman" w:hAnsi="Times New Roman" w:eastAsia="黑体"/>
          <w:color w:val="auto"/>
          <w:szCs w:val="28"/>
        </w:rPr>
        <w:instrText xml:space="preserve"> FORMTEXT </w:instrText>
      </w:r>
      <w:r>
        <w:rPr>
          <w:rFonts w:ascii="Times New Roman" w:hAnsi="Times New Roman" w:eastAsia="黑体"/>
          <w:color w:val="auto"/>
          <w:szCs w:val="28"/>
        </w:rPr>
        <w:fldChar w:fldCharType="separate"/>
      </w:r>
      <w:r>
        <w:rPr>
          <w:rFonts w:ascii="Times New Roman" w:hAnsi="Times New Roman" w:eastAsia="黑体"/>
          <w:color w:val="auto"/>
          <w:szCs w:val="28"/>
        </w:rPr>
        <w:t>Specification for operation safety management of urban rail transit</w:t>
      </w:r>
      <w:r>
        <w:rPr>
          <w:rFonts w:ascii="Times New Roman" w:hAnsi="Times New Roman" w:eastAsia="黑体"/>
          <w:color w:val="auto"/>
          <w:szCs w:val="28"/>
        </w:rPr>
        <w:fldChar w:fldCharType="end"/>
      </w:r>
      <w:bookmarkEnd w:id="10"/>
    </w:p>
    <w:p w14:paraId="32E54F71">
      <w:pPr>
        <w:framePr w:w="9639" w:h="6974" w:hRule="exact" w:wrap="around" w:vAnchor="page" w:hAnchor="page" w:x="1419" w:y="6408" w:anchorLock="1"/>
        <w:spacing w:line="760" w:lineRule="exact"/>
        <w:ind w:left="-1418"/>
        <w:rPr>
          <w:color w:val="auto"/>
        </w:rPr>
      </w:pPr>
    </w:p>
    <w:p w14:paraId="22257945">
      <w:pPr>
        <w:pStyle w:val="126"/>
        <w:framePr w:w="9639" w:h="6974" w:hRule="exact" w:wrap="around" w:vAnchor="page" w:hAnchor="page" w:x="1419" w:y="6408" w:anchorLock="1"/>
        <w:textAlignment w:val="bottom"/>
        <w:rPr>
          <w:rFonts w:eastAsia="黑体"/>
          <w:color w:val="auto"/>
          <w:szCs w:val="28"/>
        </w:rPr>
      </w:pPr>
    </w:p>
    <w:p w14:paraId="12AA1008">
      <w:pPr>
        <w:pStyle w:val="126"/>
        <w:framePr w:w="9639" w:h="6974" w:hRule="exact" w:wrap="around" w:vAnchor="page" w:hAnchor="page" w:x="1419" w:y="6408" w:anchorLock="1"/>
        <w:spacing w:before="440" w:after="160"/>
        <w:textAlignment w:val="bottom"/>
        <w:rPr>
          <w:color w:val="auto"/>
          <w:sz w:val="24"/>
          <w:szCs w:val="28"/>
        </w:rPr>
      </w:pPr>
      <w:r>
        <w:rPr>
          <w:color w:val="auto"/>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color w:val="auto"/>
          <w:sz w:val="24"/>
          <w:szCs w:val="28"/>
        </w:rPr>
        <w:instrText xml:space="preserve"> FORMDROPDOWN </w:instrText>
      </w:r>
      <w:r>
        <w:rPr>
          <w:color w:val="auto"/>
          <w:sz w:val="24"/>
          <w:szCs w:val="28"/>
        </w:rPr>
        <w:fldChar w:fldCharType="separate"/>
      </w:r>
      <w:r>
        <w:rPr>
          <w:color w:val="auto"/>
          <w:sz w:val="24"/>
          <w:szCs w:val="28"/>
        </w:rPr>
        <w:fldChar w:fldCharType="end"/>
      </w:r>
      <w:bookmarkEnd w:id="11"/>
    </w:p>
    <w:p w14:paraId="2135ACB8">
      <w:pPr>
        <w:pStyle w:val="126"/>
        <w:framePr w:w="9639" w:h="6974" w:hRule="exact" w:wrap="around" w:vAnchor="page" w:hAnchor="page" w:x="1419" w:y="6408" w:anchorLock="1"/>
        <w:spacing w:before="180" w:line="240" w:lineRule="atLeast"/>
        <w:textAlignment w:val="bottom"/>
        <w:rPr>
          <w:color w:val="auto"/>
          <w:sz w:val="21"/>
          <w:szCs w:val="28"/>
        </w:rPr>
      </w:pPr>
      <w:r>
        <w:rPr>
          <w:color w:val="auto"/>
          <w:sz w:val="21"/>
          <w:szCs w:val="28"/>
        </w:rPr>
        <w:fldChar w:fldCharType="begin">
          <w:ffData>
            <w:name w:val="CMPLSH_DATE"/>
            <w:enabled/>
            <w:calcOnExit w:val="0"/>
            <w:textInput/>
          </w:ffData>
        </w:fldChar>
      </w:r>
      <w:bookmarkStart w:id="12" w:name="CMPLSH_DATE"/>
      <w:r>
        <w:rPr>
          <w:color w:val="auto"/>
          <w:sz w:val="21"/>
          <w:szCs w:val="28"/>
        </w:rPr>
        <w:instrText xml:space="preserve"> FORMTEXT </w:instrText>
      </w:r>
      <w:r>
        <w:rPr>
          <w:color w:val="auto"/>
          <w:sz w:val="21"/>
          <w:szCs w:val="28"/>
        </w:rPr>
        <w:fldChar w:fldCharType="separate"/>
      </w:r>
      <w:r>
        <w:rPr>
          <w:rFonts w:hint="eastAsia"/>
          <w:color w:val="auto"/>
          <w:sz w:val="21"/>
          <w:szCs w:val="28"/>
        </w:rPr>
        <w:t>（本草案完成时间：2</w:t>
      </w:r>
      <w:r>
        <w:rPr>
          <w:color w:val="auto"/>
          <w:sz w:val="21"/>
          <w:szCs w:val="28"/>
        </w:rPr>
        <w:t>02</w:t>
      </w:r>
      <w:r>
        <w:rPr>
          <w:rFonts w:hint="eastAsia"/>
          <w:color w:val="auto"/>
          <w:sz w:val="21"/>
          <w:szCs w:val="28"/>
        </w:rPr>
        <w:t>5.</w:t>
      </w:r>
      <w:r>
        <w:rPr>
          <w:rFonts w:hint="eastAsia"/>
          <w:color w:val="auto"/>
          <w:sz w:val="21"/>
          <w:szCs w:val="28"/>
          <w:lang w:val="en-US" w:eastAsia="zh-CN"/>
        </w:rPr>
        <w:t>8</w:t>
      </w:r>
      <w:r>
        <w:rPr>
          <w:rFonts w:hint="eastAsia"/>
          <w:color w:val="auto"/>
          <w:sz w:val="21"/>
          <w:szCs w:val="28"/>
        </w:rPr>
        <w:t>）</w:t>
      </w:r>
      <w:r>
        <w:rPr>
          <w:color w:val="auto"/>
          <w:sz w:val="21"/>
          <w:szCs w:val="28"/>
        </w:rPr>
        <w:fldChar w:fldCharType="end"/>
      </w:r>
      <w:bookmarkEnd w:id="12"/>
    </w:p>
    <w:p w14:paraId="232FCFF5">
      <w:pPr>
        <w:pStyle w:val="126"/>
        <w:framePr w:w="9639" w:h="6974" w:hRule="exact" w:wrap="around" w:vAnchor="page" w:hAnchor="page" w:x="1419" w:y="6408" w:anchorLock="1"/>
        <w:spacing w:before="720" w:beforeLines="300" w:after="72" w:afterLines="30" w:line="240" w:lineRule="auto"/>
        <w:textAlignment w:val="bottom"/>
        <w:rPr>
          <w:b/>
          <w:color w:val="auto"/>
          <w:sz w:val="21"/>
          <w:szCs w:val="28"/>
        </w:rPr>
      </w:pPr>
      <w:r>
        <w:rPr>
          <w:b/>
          <w:color w:val="auto"/>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color w:val="auto"/>
          <w:sz w:val="21"/>
          <w:szCs w:val="28"/>
        </w:rPr>
        <w:instrText xml:space="preserve"> FORMDROPDOWN </w:instrText>
      </w:r>
      <w:r>
        <w:rPr>
          <w:b/>
          <w:color w:val="auto"/>
          <w:sz w:val="21"/>
          <w:szCs w:val="28"/>
        </w:rPr>
        <w:fldChar w:fldCharType="separate"/>
      </w:r>
      <w:r>
        <w:rPr>
          <w:b/>
          <w:color w:val="auto"/>
          <w:sz w:val="21"/>
          <w:szCs w:val="28"/>
        </w:rPr>
        <w:fldChar w:fldCharType="end"/>
      </w:r>
      <w:bookmarkEnd w:id="13"/>
    </w:p>
    <w:p w14:paraId="7C49BDEC">
      <w:pPr>
        <w:pStyle w:val="194"/>
        <w:framePr w:wrap="around" w:y="14176"/>
        <w:rPr>
          <w:color w:val="auto"/>
        </w:rPr>
      </w:pPr>
      <w:r>
        <w:rPr>
          <w:rFonts w:ascii="黑体"/>
          <w:color w:val="auto"/>
        </w:rPr>
        <w:fldChar w:fldCharType="begin">
          <w:ffData>
            <w:name w:val="PLSH_DATE_Y"/>
            <w:enabled/>
            <w:calcOnExit w:val="0"/>
            <w:textInput>
              <w:default w:val="XXXX"/>
              <w:maxLength w:val="4"/>
            </w:textInput>
          </w:ffData>
        </w:fldChar>
      </w:r>
      <w:bookmarkStart w:id="14" w:name="PLSH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4"/>
      <w:r>
        <w:rPr>
          <w:color w:val="auto"/>
        </w:rPr>
        <w:t xml:space="preserve"> </w:t>
      </w:r>
      <w:r>
        <w:rPr>
          <w:rFonts w:ascii="黑体"/>
          <w:color w:val="auto"/>
        </w:rPr>
        <w:t>-</w:t>
      </w:r>
      <w:r>
        <w:rPr>
          <w:color w:val="auto"/>
        </w:rPr>
        <w:t xml:space="preserve"> </w:t>
      </w:r>
      <w:r>
        <w:rPr>
          <w:rFonts w:ascii="黑体"/>
          <w:color w:val="auto"/>
        </w:rPr>
        <w:fldChar w:fldCharType="begin">
          <w:ffData>
            <w:name w:val="PLSH_DATE_M"/>
            <w:enabled/>
            <w:calcOnExit w:val="0"/>
            <w:textInput>
              <w:default w:val="XX"/>
              <w:maxLength w:val="2"/>
            </w:textInput>
          </w:ffData>
        </w:fldChar>
      </w:r>
      <w:bookmarkStart w:id="15" w:name="PLSH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5"/>
      <w:r>
        <w:rPr>
          <w:color w:val="auto"/>
        </w:rPr>
        <w:t xml:space="preserve"> </w:t>
      </w:r>
      <w:r>
        <w:rPr>
          <w:rFonts w:ascii="黑体"/>
          <w:color w:val="auto"/>
        </w:rPr>
        <w:t>-</w:t>
      </w:r>
      <w:r>
        <w:rPr>
          <w:color w:val="auto"/>
        </w:rPr>
        <w:t xml:space="preserve"> </w:t>
      </w:r>
      <w:r>
        <w:rPr>
          <w:rFonts w:ascii="黑体"/>
          <w:color w:val="auto"/>
        </w:rPr>
        <w:fldChar w:fldCharType="begin">
          <w:ffData>
            <w:name w:val="PLSH_DATE_D"/>
            <w:enabled/>
            <w:calcOnExit w:val="0"/>
            <w:textInput>
              <w:default w:val="XX"/>
              <w:maxLength w:val="2"/>
            </w:textInput>
          </w:ffData>
        </w:fldChar>
      </w:r>
      <w:bookmarkStart w:id="16" w:name="PLSH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6"/>
      <w:r>
        <w:rPr>
          <w:rFonts w:hint="eastAsia"/>
          <w:color w:val="auto"/>
        </w:rPr>
        <w:t>发布</w:t>
      </w:r>
    </w:p>
    <w:p w14:paraId="3407F15C">
      <w:pPr>
        <w:pStyle w:val="195"/>
        <w:framePr w:wrap="around" w:y="14176"/>
        <w:rPr>
          <w:color w:val="auto"/>
        </w:rPr>
      </w:pPr>
      <w:r>
        <w:rPr>
          <w:rFonts w:ascii="黑体"/>
          <w:color w:val="auto"/>
        </w:rPr>
        <w:fldChar w:fldCharType="begin">
          <w:ffData>
            <w:name w:val="CROT_DATE_Y"/>
            <w:enabled/>
            <w:calcOnExit w:val="0"/>
            <w:textInput>
              <w:default w:val="XXXX"/>
              <w:maxLength w:val="4"/>
            </w:textInput>
          </w:ffData>
        </w:fldChar>
      </w:r>
      <w:bookmarkStart w:id="17" w:name="CROT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7"/>
      <w:r>
        <w:rPr>
          <w:color w:val="auto"/>
        </w:rPr>
        <w:t xml:space="preserve"> </w:t>
      </w:r>
      <w:r>
        <w:rPr>
          <w:rFonts w:ascii="黑体"/>
          <w:color w:val="auto"/>
        </w:rPr>
        <w:t>-</w:t>
      </w:r>
      <w:r>
        <w:rPr>
          <w:color w:val="auto"/>
        </w:rPr>
        <w:t xml:space="preserve"> </w:t>
      </w:r>
      <w:r>
        <w:rPr>
          <w:rFonts w:ascii="黑体"/>
          <w:color w:val="auto"/>
        </w:rPr>
        <w:fldChar w:fldCharType="begin">
          <w:ffData>
            <w:name w:val="CROT_DATE_M"/>
            <w:enabled/>
            <w:calcOnExit w:val="0"/>
            <w:textInput>
              <w:default w:val="XX"/>
              <w:maxLength w:val="2"/>
            </w:textInput>
          </w:ffData>
        </w:fldChar>
      </w:r>
      <w:bookmarkStart w:id="18" w:name="CROT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8"/>
      <w:r>
        <w:rPr>
          <w:color w:val="auto"/>
        </w:rPr>
        <w:t xml:space="preserve"> </w:t>
      </w:r>
      <w:r>
        <w:rPr>
          <w:rFonts w:ascii="黑体"/>
          <w:color w:val="auto"/>
        </w:rPr>
        <w:t>-</w:t>
      </w:r>
      <w:r>
        <w:rPr>
          <w:color w:val="auto"/>
        </w:rPr>
        <w:t xml:space="preserve"> </w:t>
      </w:r>
      <w:r>
        <w:rPr>
          <w:rFonts w:ascii="黑体"/>
          <w:color w:val="auto"/>
        </w:rPr>
        <w:fldChar w:fldCharType="begin">
          <w:ffData>
            <w:name w:val="CROT_DATE_D"/>
            <w:enabled/>
            <w:calcOnExit w:val="0"/>
            <w:textInput>
              <w:default w:val="XX"/>
              <w:maxLength w:val="2"/>
            </w:textInput>
          </w:ffData>
        </w:fldChar>
      </w:r>
      <w:bookmarkStart w:id="19" w:name="CROT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9"/>
      <w:r>
        <w:rPr>
          <w:rFonts w:hint="eastAsia"/>
          <w:color w:val="auto"/>
        </w:rPr>
        <w:t>实施</w:t>
      </w:r>
    </w:p>
    <w:p w14:paraId="2FC31C2E">
      <w:pPr>
        <w:pStyle w:val="152"/>
        <w:framePr w:h="584" w:hRule="exact" w:hSpace="181" w:vSpace="181" w:wrap="around" w:y="15027"/>
        <w:rPr>
          <w:rFonts w:hint="eastAsia" w:hAnsi="黑体"/>
          <w:color w:val="auto"/>
        </w:rPr>
      </w:pPr>
      <w:r>
        <w:rPr>
          <w:rFonts w:hAnsi="黑体"/>
          <w:color w:val="auto"/>
          <w:w w:val="100"/>
          <w:sz w:val="28"/>
        </w:rPr>
        <w:fldChar w:fldCharType="begin">
          <w:ffData>
            <w:name w:val="fm"/>
            <w:enabled/>
            <w:calcOnExit w:val="0"/>
            <w:textInput/>
          </w:ffData>
        </w:fldChar>
      </w:r>
      <w:bookmarkStart w:id="20" w:name="fm"/>
      <w:r>
        <w:rPr>
          <w:rFonts w:hAnsi="黑体"/>
          <w:color w:val="auto"/>
          <w:w w:val="100"/>
          <w:sz w:val="28"/>
        </w:rPr>
        <w:instrText xml:space="preserve"> FORMTEXT </w:instrText>
      </w:r>
      <w:r>
        <w:rPr>
          <w:rFonts w:hAnsi="黑体"/>
          <w:color w:val="auto"/>
          <w:w w:val="100"/>
          <w:sz w:val="28"/>
        </w:rPr>
        <w:fldChar w:fldCharType="separate"/>
      </w:r>
      <w:r>
        <w:rPr>
          <w:rFonts w:hint="eastAsia" w:hAnsi="黑体"/>
          <w:color w:val="auto"/>
          <w:w w:val="100"/>
          <w:sz w:val="28"/>
        </w:rPr>
        <w:t>湖南省市场监督管理局</w:t>
      </w:r>
      <w:r>
        <w:rPr>
          <w:rFonts w:hAnsi="黑体"/>
          <w:color w:val="auto"/>
          <w:w w:val="100"/>
          <w:sz w:val="28"/>
        </w:rPr>
        <w:fldChar w:fldCharType="end"/>
      </w:r>
      <w:bookmarkEnd w:id="20"/>
      <w:r>
        <w:rPr>
          <w:rFonts w:ascii="Times New Roman"/>
          <w:color w:val="auto"/>
          <w:w w:val="100"/>
          <w:sz w:val="28"/>
        </w:rPr>
        <w:t>  </w:t>
      </w:r>
      <w:r>
        <w:rPr>
          <w:rStyle w:val="230"/>
          <w:rFonts w:hint="eastAsia" w:hAnsi="黑体"/>
          <w:color w:val="auto"/>
          <w:position w:val="0"/>
        </w:rPr>
        <w:t>发</w:t>
      </w:r>
      <w:r>
        <w:rPr>
          <w:rStyle w:val="230"/>
          <w:rFonts w:hint="eastAsia" w:hAnsi="黑体"/>
          <w:color w:val="auto"/>
          <w:spacing w:val="0"/>
          <w:position w:val="0"/>
        </w:rPr>
        <w:t>布</w:t>
      </w:r>
    </w:p>
    <w:p w14:paraId="537A0FEF">
      <w:pPr>
        <w:rPr>
          <w:rFonts w:hint="eastAsia" w:ascii="宋体" w:hAnsi="宋体"/>
          <w:color w:val="auto"/>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color w:val="auto"/>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5CFF7DC">
      <w:pPr>
        <w:pStyle w:val="92"/>
        <w:spacing w:after="468"/>
        <w:rPr>
          <w:rFonts w:hint="eastAsia"/>
          <w:color w:val="auto"/>
        </w:rPr>
      </w:pPr>
      <w:bookmarkStart w:id="21" w:name="BookMark1"/>
      <w:bookmarkStart w:id="22" w:name="_Toc128428092"/>
      <w:bookmarkStart w:id="23" w:name="_Toc140004960"/>
      <w:bookmarkStart w:id="24" w:name="_Toc25126"/>
      <w:bookmarkStart w:id="25" w:name="_Toc128428040"/>
      <w:bookmarkStart w:id="26" w:name="_Toc138770553"/>
      <w:bookmarkStart w:id="27" w:name="_Toc199167022"/>
      <w:bookmarkStart w:id="28" w:name="_Toc138770605"/>
      <w:bookmarkStart w:id="29" w:name="_Toc135387836"/>
      <w:bookmarkStart w:id="30" w:name="_Toc135388012"/>
      <w:bookmarkStart w:id="31" w:name="_Toc195687466"/>
      <w:r>
        <w:rPr>
          <w:rFonts w:hint="eastAsia"/>
          <w:color w:val="auto"/>
          <w:spacing w:val="320"/>
        </w:rPr>
        <w:t>目</w:t>
      </w:r>
      <w:r>
        <w:rPr>
          <w:rFonts w:hint="eastAsia"/>
          <w:color w:val="auto"/>
        </w:rPr>
        <w:t>次</w:t>
      </w:r>
    </w:p>
    <w:p w14:paraId="485A3A0C">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TOC \o "1-1" \h </w:instrText>
      </w:r>
      <w:r>
        <w:rPr>
          <w:color w:val="auto"/>
        </w:rPr>
        <w:fldChar w:fldCharType="separate"/>
      </w:r>
      <w:r>
        <w:rPr>
          <w:color w:val="auto"/>
        </w:rPr>
        <w:fldChar w:fldCharType="begin"/>
      </w:r>
      <w:r>
        <w:rPr>
          <w:color w:val="auto"/>
        </w:rPr>
        <w:instrText xml:space="preserve"> HYPERLINK \l "_Toc204933478" </w:instrText>
      </w:r>
      <w:r>
        <w:rPr>
          <w:color w:val="auto"/>
        </w:rPr>
        <w:fldChar w:fldCharType="separate"/>
      </w:r>
      <w:r>
        <w:rPr>
          <w:rStyle w:val="33"/>
          <w:rFonts w:hint="eastAsia"/>
        </w:rPr>
        <w:t>前言</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_Toc204933478 \h</w:instrText>
      </w:r>
      <w:r>
        <w:rPr>
          <w:rFonts w:hint="eastAsia"/>
          <w:color w:val="auto"/>
        </w:rPr>
        <w:instrText xml:space="preserve"> </w:instrText>
      </w:r>
      <w:r>
        <w:rPr>
          <w:rFonts w:hint="eastAsia"/>
          <w:color w:val="auto"/>
        </w:rPr>
        <w:fldChar w:fldCharType="separate"/>
      </w:r>
      <w:r>
        <w:rPr>
          <w:color w:val="auto"/>
        </w:rPr>
        <w:t>II</w:t>
      </w:r>
      <w:r>
        <w:rPr>
          <w:rFonts w:hint="eastAsia"/>
          <w:color w:val="auto"/>
        </w:rPr>
        <w:fldChar w:fldCharType="end"/>
      </w:r>
      <w:r>
        <w:rPr>
          <w:rFonts w:hint="eastAsia"/>
          <w:color w:val="auto"/>
        </w:rPr>
        <w:fldChar w:fldCharType="end"/>
      </w:r>
    </w:p>
    <w:p w14:paraId="4871B114">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"_Toc204933479" </w:instrText>
      </w:r>
      <w:r>
        <w:rPr>
          <w:color w:val="auto"/>
        </w:rPr>
        <w:fldChar w:fldCharType="separate"/>
      </w:r>
      <w:r>
        <w:rPr>
          <w:rStyle w:val="33"/>
          <w:rFonts w:hint="eastAsia"/>
        </w:rPr>
        <w:t>1</w:t>
      </w:r>
      <w:r>
        <w:rPr>
          <w:rStyle w:val="33"/>
        </w:rPr>
        <w:t xml:space="preserve"> </w:t>
      </w:r>
      <w:r>
        <w:rPr>
          <w:rStyle w:val="33"/>
          <w:rFonts w:hint="eastAsia"/>
        </w:rPr>
        <w:t xml:space="preserve"> 范围</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_Toc204933479 \h</w:instrText>
      </w:r>
      <w:r>
        <w:rPr>
          <w:rFonts w:hint="eastAsia"/>
          <w:color w:val="auto"/>
        </w:rPr>
        <w:instrText xml:space="preserve"> </w:instrText>
      </w:r>
      <w:r>
        <w:rPr>
          <w:rFonts w:hint="eastAsia"/>
          <w:color w:val="auto"/>
        </w:rPr>
        <w:fldChar w:fldCharType="separate"/>
      </w:r>
      <w:r>
        <w:rPr>
          <w:color w:val="auto"/>
        </w:rPr>
        <w:t>1</w:t>
      </w:r>
      <w:r>
        <w:rPr>
          <w:rFonts w:hint="eastAsia"/>
          <w:color w:val="auto"/>
        </w:rPr>
        <w:fldChar w:fldCharType="end"/>
      </w:r>
      <w:r>
        <w:rPr>
          <w:rFonts w:hint="eastAsia"/>
          <w:color w:val="auto"/>
        </w:rPr>
        <w:fldChar w:fldCharType="end"/>
      </w:r>
    </w:p>
    <w:p w14:paraId="4CA33A7C">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"_Toc204933480" </w:instrText>
      </w:r>
      <w:r>
        <w:rPr>
          <w:color w:val="auto"/>
        </w:rPr>
        <w:fldChar w:fldCharType="separate"/>
      </w:r>
      <w:r>
        <w:rPr>
          <w:rStyle w:val="33"/>
          <w:rFonts w:hint="eastAsia"/>
        </w:rPr>
        <w:t>2</w:t>
      </w:r>
      <w:r>
        <w:rPr>
          <w:rStyle w:val="33"/>
        </w:rPr>
        <w:t xml:space="preserve"> </w:t>
      </w:r>
      <w:r>
        <w:rPr>
          <w:rStyle w:val="33"/>
          <w:rFonts w:hint="eastAsia"/>
        </w:rPr>
        <w:t xml:space="preserve"> 规范性引用文件</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_Toc204933480 \h</w:instrText>
      </w:r>
      <w:r>
        <w:rPr>
          <w:rFonts w:hint="eastAsia"/>
          <w:color w:val="auto"/>
        </w:rPr>
        <w:instrText xml:space="preserve"> </w:instrText>
      </w:r>
      <w:r>
        <w:rPr>
          <w:rFonts w:hint="eastAsia"/>
          <w:color w:val="auto"/>
        </w:rPr>
        <w:fldChar w:fldCharType="separate"/>
      </w:r>
      <w:r>
        <w:rPr>
          <w:color w:val="auto"/>
        </w:rPr>
        <w:t>1</w:t>
      </w:r>
      <w:r>
        <w:rPr>
          <w:rFonts w:hint="eastAsia"/>
          <w:color w:val="auto"/>
        </w:rPr>
        <w:fldChar w:fldCharType="end"/>
      </w:r>
      <w:r>
        <w:rPr>
          <w:rFonts w:hint="eastAsia"/>
          <w:color w:val="auto"/>
        </w:rPr>
        <w:fldChar w:fldCharType="end"/>
      </w:r>
    </w:p>
    <w:p w14:paraId="2D07884E">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"_Toc204933481" </w:instrText>
      </w:r>
      <w:r>
        <w:rPr>
          <w:color w:val="auto"/>
        </w:rPr>
        <w:fldChar w:fldCharType="separate"/>
      </w:r>
      <w:r>
        <w:rPr>
          <w:rStyle w:val="33"/>
          <w:rFonts w:hint="eastAsia"/>
        </w:rPr>
        <w:t>3</w:t>
      </w:r>
      <w:r>
        <w:rPr>
          <w:rStyle w:val="33"/>
        </w:rPr>
        <w:t xml:space="preserve"> </w:t>
      </w:r>
      <w:r>
        <w:rPr>
          <w:rStyle w:val="33"/>
          <w:rFonts w:hint="eastAsia"/>
        </w:rPr>
        <w:t xml:space="preserve"> 术语和定义</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_Toc204933481 \h</w:instrText>
      </w:r>
      <w:r>
        <w:rPr>
          <w:rFonts w:hint="eastAsia"/>
          <w:color w:val="auto"/>
        </w:rPr>
        <w:instrText xml:space="preserve"> </w:instrText>
      </w:r>
      <w:r>
        <w:rPr>
          <w:rFonts w:hint="eastAsia"/>
          <w:color w:val="auto"/>
        </w:rPr>
        <w:fldChar w:fldCharType="separate"/>
      </w:r>
      <w:r>
        <w:rPr>
          <w:color w:val="auto"/>
        </w:rPr>
        <w:t>1</w:t>
      </w:r>
      <w:r>
        <w:rPr>
          <w:rFonts w:hint="eastAsia"/>
          <w:color w:val="auto"/>
        </w:rPr>
        <w:fldChar w:fldCharType="end"/>
      </w:r>
      <w:r>
        <w:rPr>
          <w:rFonts w:hint="eastAsia"/>
          <w:color w:val="auto"/>
        </w:rPr>
        <w:fldChar w:fldCharType="end"/>
      </w:r>
    </w:p>
    <w:p w14:paraId="1504E956">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"_Toc204933482" </w:instrText>
      </w:r>
      <w:r>
        <w:rPr>
          <w:color w:val="auto"/>
        </w:rPr>
        <w:fldChar w:fldCharType="separate"/>
      </w:r>
      <w:r>
        <w:rPr>
          <w:rStyle w:val="33"/>
          <w:rFonts w:hint="eastAsia"/>
        </w:rPr>
        <w:t>4</w:t>
      </w:r>
      <w:r>
        <w:rPr>
          <w:rStyle w:val="33"/>
        </w:rPr>
        <w:t xml:space="preserve"> </w:t>
      </w:r>
      <w:r>
        <w:rPr>
          <w:rStyle w:val="33"/>
          <w:rFonts w:hint="eastAsia"/>
        </w:rPr>
        <w:t xml:space="preserve"> 基本要求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_Toc204933482 \h</w:instrText>
      </w:r>
      <w:r>
        <w:rPr>
          <w:rFonts w:hint="eastAsia"/>
          <w:color w:val="auto"/>
        </w:rPr>
        <w:instrText xml:space="preserve"> </w:instrText>
      </w:r>
      <w:r>
        <w:rPr>
          <w:rFonts w:hint="eastAsia"/>
          <w:color w:val="auto"/>
        </w:rPr>
        <w:fldChar w:fldCharType="separate"/>
      </w:r>
      <w:r>
        <w:rPr>
          <w:color w:val="auto"/>
        </w:rPr>
        <w:t>2</w:t>
      </w:r>
      <w:r>
        <w:rPr>
          <w:rFonts w:hint="eastAsia"/>
          <w:color w:val="auto"/>
        </w:rPr>
        <w:fldChar w:fldCharType="end"/>
      </w:r>
      <w:r>
        <w:rPr>
          <w:rFonts w:hint="eastAsia"/>
          <w:color w:val="auto"/>
        </w:rPr>
        <w:fldChar w:fldCharType="end"/>
      </w:r>
    </w:p>
    <w:p w14:paraId="78784947">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"_Toc204933483" </w:instrText>
      </w:r>
      <w:r>
        <w:rPr>
          <w:color w:val="auto"/>
        </w:rPr>
        <w:fldChar w:fldCharType="separate"/>
      </w:r>
      <w:r>
        <w:rPr>
          <w:rStyle w:val="33"/>
          <w:rFonts w:hint="eastAsia"/>
        </w:rPr>
        <w:t>5</w:t>
      </w:r>
      <w:r>
        <w:rPr>
          <w:rStyle w:val="33"/>
        </w:rPr>
        <w:t xml:space="preserve"> </w:t>
      </w:r>
      <w:r>
        <w:rPr>
          <w:rStyle w:val="33"/>
          <w:rFonts w:hint="eastAsia"/>
        </w:rPr>
        <w:t xml:space="preserve"> 安全管理制度</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_Toc204933483 \h</w:instrText>
      </w:r>
      <w:r>
        <w:rPr>
          <w:rFonts w:hint="eastAsia"/>
          <w:color w:val="auto"/>
        </w:rPr>
        <w:instrText xml:space="preserve"> </w:instrText>
      </w:r>
      <w:r>
        <w:rPr>
          <w:rFonts w:hint="eastAsia"/>
          <w:color w:val="auto"/>
        </w:rPr>
        <w:fldChar w:fldCharType="separate"/>
      </w:r>
      <w:r>
        <w:rPr>
          <w:color w:val="auto"/>
        </w:rPr>
        <w:t>3</w:t>
      </w:r>
      <w:r>
        <w:rPr>
          <w:rFonts w:hint="eastAsia"/>
          <w:color w:val="auto"/>
        </w:rPr>
        <w:fldChar w:fldCharType="end"/>
      </w:r>
      <w:r>
        <w:rPr>
          <w:rFonts w:hint="eastAsia"/>
          <w:color w:val="auto"/>
        </w:rPr>
        <w:fldChar w:fldCharType="end"/>
      </w:r>
    </w:p>
    <w:p w14:paraId="39A01C1C">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"_Toc204933484" </w:instrText>
      </w:r>
      <w:r>
        <w:rPr>
          <w:color w:val="auto"/>
        </w:rPr>
        <w:fldChar w:fldCharType="separate"/>
      </w:r>
      <w:r>
        <w:rPr>
          <w:rStyle w:val="33"/>
          <w:rFonts w:hint="eastAsia"/>
        </w:rPr>
        <w:t>6</w:t>
      </w:r>
      <w:r>
        <w:rPr>
          <w:rStyle w:val="33"/>
        </w:rPr>
        <w:t xml:space="preserve"> </w:t>
      </w:r>
      <w:r>
        <w:rPr>
          <w:rStyle w:val="33"/>
          <w:rFonts w:hint="eastAsia"/>
        </w:rPr>
        <w:t xml:space="preserve"> 安全培训管理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_Toc204933484 \h</w:instrText>
      </w:r>
      <w:r>
        <w:rPr>
          <w:rFonts w:hint="eastAsia"/>
          <w:color w:val="auto"/>
        </w:rPr>
        <w:instrText xml:space="preserve"> </w:instrText>
      </w:r>
      <w:r>
        <w:rPr>
          <w:rFonts w:hint="eastAsia"/>
          <w:color w:val="auto"/>
        </w:rPr>
        <w:fldChar w:fldCharType="separate"/>
      </w:r>
      <w:r>
        <w:rPr>
          <w:color w:val="auto"/>
        </w:rPr>
        <w:t>3</w:t>
      </w:r>
      <w:r>
        <w:rPr>
          <w:rFonts w:hint="eastAsia"/>
          <w:color w:val="auto"/>
        </w:rPr>
        <w:fldChar w:fldCharType="end"/>
      </w:r>
      <w:r>
        <w:rPr>
          <w:rFonts w:hint="eastAsia"/>
          <w:color w:val="auto"/>
        </w:rPr>
        <w:fldChar w:fldCharType="end"/>
      </w:r>
    </w:p>
    <w:p w14:paraId="4E6326A1">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"_Toc204933485" </w:instrText>
      </w:r>
      <w:r>
        <w:rPr>
          <w:color w:val="auto"/>
        </w:rPr>
        <w:fldChar w:fldCharType="separate"/>
      </w:r>
      <w:r>
        <w:rPr>
          <w:rStyle w:val="33"/>
          <w:rFonts w:hint="eastAsia"/>
        </w:rPr>
        <w:t>7</w:t>
      </w:r>
      <w:r>
        <w:rPr>
          <w:rStyle w:val="33"/>
        </w:rPr>
        <w:t xml:space="preserve"> </w:t>
      </w:r>
      <w:r>
        <w:rPr>
          <w:rStyle w:val="33"/>
          <w:rFonts w:hint="eastAsia"/>
        </w:rPr>
        <w:t xml:space="preserve"> 安全风险分级管控和隐患排查治理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_Toc204933485 \h</w:instrText>
      </w:r>
      <w:r>
        <w:rPr>
          <w:rFonts w:hint="eastAsia"/>
          <w:color w:val="auto"/>
        </w:rPr>
        <w:instrText xml:space="preserve"> </w:instrText>
      </w:r>
      <w:r>
        <w:rPr>
          <w:rFonts w:hint="eastAsia"/>
          <w:color w:val="auto"/>
        </w:rPr>
        <w:fldChar w:fldCharType="separate"/>
      </w:r>
      <w:r>
        <w:rPr>
          <w:color w:val="auto"/>
        </w:rPr>
        <w:t>4</w:t>
      </w:r>
      <w:r>
        <w:rPr>
          <w:rFonts w:hint="eastAsia"/>
          <w:color w:val="auto"/>
        </w:rPr>
        <w:fldChar w:fldCharType="end"/>
      </w:r>
      <w:r>
        <w:rPr>
          <w:rFonts w:hint="eastAsia"/>
          <w:color w:val="auto"/>
        </w:rPr>
        <w:fldChar w:fldCharType="end"/>
      </w:r>
    </w:p>
    <w:p w14:paraId="4CCDBAC4">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"_Toc204933486" </w:instrText>
      </w:r>
      <w:r>
        <w:rPr>
          <w:color w:val="auto"/>
        </w:rPr>
        <w:fldChar w:fldCharType="separate"/>
      </w:r>
      <w:r>
        <w:rPr>
          <w:rStyle w:val="33"/>
          <w:rFonts w:hint="eastAsia"/>
        </w:rPr>
        <w:t>8</w:t>
      </w:r>
      <w:r>
        <w:rPr>
          <w:rStyle w:val="33"/>
        </w:rPr>
        <w:t xml:space="preserve"> </w:t>
      </w:r>
      <w:r>
        <w:rPr>
          <w:rStyle w:val="33"/>
          <w:rFonts w:hint="eastAsia"/>
        </w:rPr>
        <w:t xml:space="preserve"> 行车组织安全管理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_Toc204933486 \h</w:instrText>
      </w:r>
      <w:r>
        <w:rPr>
          <w:rFonts w:hint="eastAsia"/>
          <w:color w:val="auto"/>
        </w:rPr>
        <w:instrText xml:space="preserve"> </w:instrText>
      </w:r>
      <w:r>
        <w:rPr>
          <w:rFonts w:hint="eastAsia"/>
          <w:color w:val="auto"/>
        </w:rPr>
        <w:fldChar w:fldCharType="separate"/>
      </w:r>
      <w:r>
        <w:rPr>
          <w:color w:val="auto"/>
        </w:rPr>
        <w:t>6</w:t>
      </w:r>
      <w:r>
        <w:rPr>
          <w:rFonts w:hint="eastAsia"/>
          <w:color w:val="auto"/>
        </w:rPr>
        <w:fldChar w:fldCharType="end"/>
      </w:r>
      <w:r>
        <w:rPr>
          <w:rFonts w:hint="eastAsia"/>
          <w:color w:val="auto"/>
        </w:rPr>
        <w:fldChar w:fldCharType="end"/>
      </w:r>
    </w:p>
    <w:p w14:paraId="0B82C799">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"_Toc204933487" </w:instrText>
      </w:r>
      <w:r>
        <w:rPr>
          <w:color w:val="auto"/>
        </w:rPr>
        <w:fldChar w:fldCharType="separate"/>
      </w:r>
      <w:r>
        <w:rPr>
          <w:rStyle w:val="33"/>
          <w:rFonts w:hint="eastAsia"/>
        </w:rPr>
        <w:t>9</w:t>
      </w:r>
      <w:r>
        <w:rPr>
          <w:rStyle w:val="33"/>
        </w:rPr>
        <w:t xml:space="preserve"> </w:t>
      </w:r>
      <w:r>
        <w:rPr>
          <w:rStyle w:val="33"/>
          <w:rFonts w:hint="eastAsia"/>
        </w:rPr>
        <w:t xml:space="preserve"> 客运组织安全管理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_Toc204933487 \h</w:instrText>
      </w:r>
      <w:r>
        <w:rPr>
          <w:rFonts w:hint="eastAsia"/>
          <w:color w:val="auto"/>
        </w:rPr>
        <w:instrText xml:space="preserve"> </w:instrText>
      </w:r>
      <w:r>
        <w:rPr>
          <w:rFonts w:hint="eastAsia"/>
          <w:color w:val="auto"/>
        </w:rPr>
        <w:fldChar w:fldCharType="separate"/>
      </w:r>
      <w:r>
        <w:rPr>
          <w:color w:val="auto"/>
        </w:rPr>
        <w:t>7</w:t>
      </w:r>
      <w:r>
        <w:rPr>
          <w:rFonts w:hint="eastAsia"/>
          <w:color w:val="auto"/>
        </w:rPr>
        <w:fldChar w:fldCharType="end"/>
      </w:r>
      <w:r>
        <w:rPr>
          <w:rFonts w:hint="eastAsia"/>
          <w:color w:val="auto"/>
        </w:rPr>
        <w:fldChar w:fldCharType="end"/>
      </w:r>
    </w:p>
    <w:p w14:paraId="332FFC9E">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"_Toc204933488" </w:instrText>
      </w:r>
      <w:r>
        <w:rPr>
          <w:color w:val="auto"/>
        </w:rPr>
        <w:fldChar w:fldCharType="separate"/>
      </w:r>
      <w:r>
        <w:rPr>
          <w:rStyle w:val="33"/>
          <w:rFonts w:hint="eastAsia"/>
        </w:rPr>
        <w:t>10</w:t>
      </w:r>
      <w:r>
        <w:rPr>
          <w:rStyle w:val="33"/>
        </w:rPr>
        <w:t xml:space="preserve"> </w:t>
      </w:r>
      <w:r>
        <w:rPr>
          <w:rStyle w:val="33"/>
          <w:rFonts w:hint="eastAsia"/>
        </w:rPr>
        <w:t xml:space="preserve"> 施工作业安全管理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_Toc204933488 \h</w:instrText>
      </w:r>
      <w:r>
        <w:rPr>
          <w:rFonts w:hint="eastAsia"/>
          <w:color w:val="auto"/>
        </w:rPr>
        <w:instrText xml:space="preserve"> </w:instrText>
      </w:r>
      <w:r>
        <w:rPr>
          <w:rFonts w:hint="eastAsia"/>
          <w:color w:val="auto"/>
        </w:rPr>
        <w:fldChar w:fldCharType="separate"/>
      </w:r>
      <w:r>
        <w:rPr>
          <w:color w:val="auto"/>
        </w:rPr>
        <w:t>7</w:t>
      </w:r>
      <w:r>
        <w:rPr>
          <w:rFonts w:hint="eastAsia"/>
          <w:color w:val="auto"/>
        </w:rPr>
        <w:fldChar w:fldCharType="end"/>
      </w:r>
      <w:r>
        <w:rPr>
          <w:rFonts w:hint="eastAsia"/>
          <w:color w:val="auto"/>
        </w:rPr>
        <w:fldChar w:fldCharType="end"/>
      </w:r>
    </w:p>
    <w:p w14:paraId="52FB108A">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"_Toc204933489" </w:instrText>
      </w:r>
      <w:r>
        <w:rPr>
          <w:color w:val="auto"/>
        </w:rPr>
        <w:fldChar w:fldCharType="separate"/>
      </w:r>
      <w:r>
        <w:rPr>
          <w:rStyle w:val="33"/>
          <w:rFonts w:hint="eastAsia"/>
        </w:rPr>
        <w:t>11</w:t>
      </w:r>
      <w:r>
        <w:rPr>
          <w:rStyle w:val="33"/>
        </w:rPr>
        <w:t xml:space="preserve"> </w:t>
      </w:r>
      <w:r>
        <w:rPr>
          <w:rStyle w:val="33"/>
          <w:rFonts w:hint="eastAsia"/>
        </w:rPr>
        <w:t xml:space="preserve"> 设备设施安全管理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_Toc204933489 \h</w:instrText>
      </w:r>
      <w:r>
        <w:rPr>
          <w:rFonts w:hint="eastAsia"/>
          <w:color w:val="auto"/>
        </w:rPr>
        <w:instrText xml:space="preserve"> </w:instrText>
      </w:r>
      <w:r>
        <w:rPr>
          <w:rFonts w:hint="eastAsia"/>
          <w:color w:val="auto"/>
        </w:rPr>
        <w:fldChar w:fldCharType="separate"/>
      </w:r>
      <w:r>
        <w:rPr>
          <w:color w:val="auto"/>
        </w:rPr>
        <w:t>8</w:t>
      </w:r>
      <w:r>
        <w:rPr>
          <w:rFonts w:hint="eastAsia"/>
          <w:color w:val="auto"/>
        </w:rPr>
        <w:fldChar w:fldCharType="end"/>
      </w:r>
      <w:r>
        <w:rPr>
          <w:rFonts w:hint="eastAsia"/>
          <w:color w:val="auto"/>
        </w:rPr>
        <w:fldChar w:fldCharType="end"/>
      </w:r>
    </w:p>
    <w:p w14:paraId="04B6617E">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"_Toc204933490" </w:instrText>
      </w:r>
      <w:r>
        <w:rPr>
          <w:color w:val="auto"/>
        </w:rPr>
        <w:fldChar w:fldCharType="separate"/>
      </w:r>
      <w:r>
        <w:rPr>
          <w:rStyle w:val="33"/>
          <w:rFonts w:hint="eastAsia"/>
        </w:rPr>
        <w:t>12</w:t>
      </w:r>
      <w:r>
        <w:rPr>
          <w:rStyle w:val="33"/>
        </w:rPr>
        <w:t xml:space="preserve"> </w:t>
      </w:r>
      <w:r>
        <w:rPr>
          <w:rStyle w:val="33"/>
          <w:rFonts w:hint="eastAsia"/>
        </w:rPr>
        <w:t xml:space="preserve"> 保护区安全管理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_Toc204933490 \h</w:instrText>
      </w:r>
      <w:r>
        <w:rPr>
          <w:rFonts w:hint="eastAsia"/>
          <w:color w:val="auto"/>
        </w:rPr>
        <w:instrText xml:space="preserve"> </w:instrText>
      </w:r>
      <w:r>
        <w:rPr>
          <w:rFonts w:hint="eastAsia"/>
          <w:color w:val="auto"/>
        </w:rPr>
        <w:fldChar w:fldCharType="separate"/>
      </w:r>
      <w:r>
        <w:rPr>
          <w:color w:val="auto"/>
        </w:rPr>
        <w:t>10</w:t>
      </w:r>
      <w:r>
        <w:rPr>
          <w:rFonts w:hint="eastAsia"/>
          <w:color w:val="auto"/>
        </w:rPr>
        <w:fldChar w:fldCharType="end"/>
      </w:r>
      <w:r>
        <w:rPr>
          <w:rFonts w:hint="eastAsia"/>
          <w:color w:val="auto"/>
        </w:rPr>
        <w:fldChar w:fldCharType="end"/>
      </w:r>
    </w:p>
    <w:p w14:paraId="63C6CCB4">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"_Toc204933491" </w:instrText>
      </w:r>
      <w:r>
        <w:rPr>
          <w:color w:val="auto"/>
        </w:rPr>
        <w:fldChar w:fldCharType="separate"/>
      </w:r>
      <w:r>
        <w:rPr>
          <w:rStyle w:val="33"/>
          <w:rFonts w:hint="eastAsia"/>
        </w:rPr>
        <w:t>13</w:t>
      </w:r>
      <w:r>
        <w:rPr>
          <w:rStyle w:val="33"/>
        </w:rPr>
        <w:t xml:space="preserve"> </w:t>
      </w:r>
      <w:r>
        <w:rPr>
          <w:rStyle w:val="33"/>
          <w:rFonts w:hint="eastAsia"/>
        </w:rPr>
        <w:t xml:space="preserve"> 应急管理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_Toc204933491 \h</w:instrText>
      </w:r>
      <w:r>
        <w:rPr>
          <w:rFonts w:hint="eastAsia"/>
          <w:color w:val="auto"/>
        </w:rPr>
        <w:instrText xml:space="preserve"> </w:instrText>
      </w:r>
      <w:r>
        <w:rPr>
          <w:rFonts w:hint="eastAsia"/>
          <w:color w:val="auto"/>
        </w:rPr>
        <w:fldChar w:fldCharType="separate"/>
      </w:r>
      <w:r>
        <w:rPr>
          <w:color w:val="auto"/>
        </w:rPr>
        <w:t>10</w:t>
      </w:r>
      <w:r>
        <w:rPr>
          <w:rFonts w:hint="eastAsia"/>
          <w:color w:val="auto"/>
        </w:rPr>
        <w:fldChar w:fldCharType="end"/>
      </w:r>
      <w:r>
        <w:rPr>
          <w:rFonts w:hint="eastAsia"/>
          <w:color w:val="auto"/>
        </w:rPr>
        <w:fldChar w:fldCharType="end"/>
      </w:r>
    </w:p>
    <w:p w14:paraId="5CA7FC7E">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"_Toc204933492" </w:instrText>
      </w:r>
      <w:r>
        <w:rPr>
          <w:color w:val="auto"/>
        </w:rPr>
        <w:fldChar w:fldCharType="separate"/>
      </w:r>
      <w:r>
        <w:rPr>
          <w:rStyle w:val="33"/>
          <w:rFonts w:hint="eastAsia"/>
        </w:rPr>
        <w:t>14</w:t>
      </w:r>
      <w:r>
        <w:rPr>
          <w:rStyle w:val="33"/>
        </w:rPr>
        <w:t xml:space="preserve"> </w:t>
      </w:r>
      <w:r>
        <w:rPr>
          <w:rStyle w:val="33"/>
          <w:rFonts w:hint="eastAsia"/>
        </w:rPr>
        <w:t xml:space="preserve"> 消防安全管理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_Toc204933492 \h</w:instrText>
      </w:r>
      <w:r>
        <w:rPr>
          <w:rFonts w:hint="eastAsia"/>
          <w:color w:val="auto"/>
        </w:rPr>
        <w:instrText xml:space="preserve"> </w:instrText>
      </w:r>
      <w:r>
        <w:rPr>
          <w:rFonts w:hint="eastAsia"/>
          <w:color w:val="auto"/>
        </w:rPr>
        <w:fldChar w:fldCharType="separate"/>
      </w:r>
      <w:r>
        <w:rPr>
          <w:color w:val="auto"/>
        </w:rPr>
        <w:t>11</w:t>
      </w:r>
      <w:r>
        <w:rPr>
          <w:rFonts w:hint="eastAsia"/>
          <w:color w:val="auto"/>
        </w:rPr>
        <w:fldChar w:fldCharType="end"/>
      </w:r>
      <w:r>
        <w:rPr>
          <w:rFonts w:hint="eastAsia"/>
          <w:color w:val="auto"/>
        </w:rPr>
        <w:fldChar w:fldCharType="end"/>
      </w:r>
    </w:p>
    <w:p w14:paraId="338E4537">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"_Toc204933493" </w:instrText>
      </w:r>
      <w:r>
        <w:rPr>
          <w:color w:val="auto"/>
        </w:rPr>
        <w:fldChar w:fldCharType="separate"/>
      </w:r>
      <w:r>
        <w:rPr>
          <w:rStyle w:val="33"/>
          <w:rFonts w:hint="eastAsia"/>
        </w:rPr>
        <w:t>15</w:t>
      </w:r>
      <w:r>
        <w:rPr>
          <w:rStyle w:val="33"/>
        </w:rPr>
        <w:t xml:space="preserve"> </w:t>
      </w:r>
      <w:r>
        <w:rPr>
          <w:rStyle w:val="33"/>
          <w:rFonts w:hint="eastAsia"/>
        </w:rPr>
        <w:t xml:space="preserve"> 公共安全管理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_Toc204933493 \h</w:instrText>
      </w:r>
      <w:r>
        <w:rPr>
          <w:rFonts w:hint="eastAsia"/>
          <w:color w:val="auto"/>
        </w:rPr>
        <w:instrText xml:space="preserve"> </w:instrText>
      </w:r>
      <w:r>
        <w:rPr>
          <w:rFonts w:hint="eastAsia"/>
          <w:color w:val="auto"/>
        </w:rPr>
        <w:fldChar w:fldCharType="separate"/>
      </w:r>
      <w:r>
        <w:rPr>
          <w:color w:val="auto"/>
        </w:rPr>
        <w:t>11</w:t>
      </w:r>
      <w:r>
        <w:rPr>
          <w:rFonts w:hint="eastAsia"/>
          <w:color w:val="auto"/>
        </w:rPr>
        <w:fldChar w:fldCharType="end"/>
      </w:r>
      <w:r>
        <w:rPr>
          <w:rFonts w:hint="eastAsia"/>
          <w:color w:val="auto"/>
        </w:rPr>
        <w:fldChar w:fldCharType="end"/>
      </w:r>
    </w:p>
    <w:p w14:paraId="740227D8">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"_Toc204933494" </w:instrText>
      </w:r>
      <w:r>
        <w:rPr>
          <w:color w:val="auto"/>
        </w:rPr>
        <w:fldChar w:fldCharType="separate"/>
      </w:r>
      <w:r>
        <w:rPr>
          <w:rStyle w:val="33"/>
          <w:rFonts w:hint="eastAsia"/>
        </w:rPr>
        <w:t>16</w:t>
      </w:r>
      <w:r>
        <w:rPr>
          <w:rStyle w:val="33"/>
        </w:rPr>
        <w:t xml:space="preserve"> </w:t>
      </w:r>
      <w:r>
        <w:rPr>
          <w:rStyle w:val="33"/>
          <w:rFonts w:hint="eastAsia"/>
        </w:rPr>
        <w:t xml:space="preserve"> 运营险性事件管理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_Toc204933494 \h</w:instrText>
      </w:r>
      <w:r>
        <w:rPr>
          <w:rFonts w:hint="eastAsia"/>
          <w:color w:val="auto"/>
        </w:rPr>
        <w:instrText xml:space="preserve"> </w:instrText>
      </w:r>
      <w:r>
        <w:rPr>
          <w:rFonts w:hint="eastAsia"/>
          <w:color w:val="auto"/>
        </w:rPr>
        <w:fldChar w:fldCharType="separate"/>
      </w:r>
      <w:r>
        <w:rPr>
          <w:color w:val="auto"/>
        </w:rPr>
        <w:t>12</w:t>
      </w:r>
      <w:r>
        <w:rPr>
          <w:rFonts w:hint="eastAsia"/>
          <w:color w:val="auto"/>
        </w:rPr>
        <w:fldChar w:fldCharType="end"/>
      </w:r>
      <w:r>
        <w:rPr>
          <w:rFonts w:hint="eastAsia"/>
          <w:color w:val="auto"/>
        </w:rPr>
        <w:fldChar w:fldCharType="end"/>
      </w:r>
    </w:p>
    <w:p w14:paraId="11BF73A5">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"_Toc204933495" </w:instrText>
      </w:r>
      <w:r>
        <w:rPr>
          <w:color w:val="auto"/>
        </w:rPr>
        <w:fldChar w:fldCharType="separate"/>
      </w:r>
      <w:r>
        <w:rPr>
          <w:rStyle w:val="33"/>
          <w:rFonts w:hint="eastAsia"/>
        </w:rPr>
        <w:t>附录A（资料性）</w:t>
      </w:r>
      <w:r>
        <w:rPr>
          <w:rStyle w:val="33"/>
        </w:rPr>
        <w:t xml:space="preserve"> </w:t>
      </w:r>
      <w:r>
        <w:rPr>
          <w:rStyle w:val="33"/>
          <w:rFonts w:hint="eastAsia"/>
        </w:rPr>
        <w:t xml:space="preserve"> 城市轨道交通主要运营安全风险类别</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_Toc204933495 \h</w:instrText>
      </w:r>
      <w:r>
        <w:rPr>
          <w:rFonts w:hint="eastAsia"/>
          <w:color w:val="auto"/>
        </w:rPr>
        <w:instrText xml:space="preserve"> </w:instrText>
      </w:r>
      <w:r>
        <w:rPr>
          <w:rFonts w:hint="eastAsia"/>
          <w:color w:val="auto"/>
        </w:rPr>
        <w:fldChar w:fldCharType="separate"/>
      </w:r>
      <w:r>
        <w:rPr>
          <w:color w:val="auto"/>
        </w:rPr>
        <w:t>14</w:t>
      </w:r>
      <w:r>
        <w:rPr>
          <w:rFonts w:hint="eastAsia"/>
          <w:color w:val="auto"/>
        </w:rPr>
        <w:fldChar w:fldCharType="end"/>
      </w:r>
      <w:r>
        <w:rPr>
          <w:rFonts w:hint="eastAsia"/>
          <w:color w:val="auto"/>
        </w:rPr>
        <w:fldChar w:fldCharType="end"/>
      </w:r>
    </w:p>
    <w:p w14:paraId="78C44340">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"_Toc204933496" </w:instrText>
      </w:r>
      <w:r>
        <w:rPr>
          <w:color w:val="auto"/>
        </w:rPr>
        <w:fldChar w:fldCharType="separate"/>
      </w:r>
      <w:r>
        <w:rPr>
          <w:rStyle w:val="33"/>
          <w:rFonts w:hint="eastAsia"/>
        </w:rPr>
        <w:t>附录B（资料性）</w:t>
      </w:r>
      <w:r>
        <w:rPr>
          <w:rStyle w:val="33"/>
        </w:rPr>
        <w:t xml:space="preserve"> </w:t>
      </w:r>
      <w:r>
        <w:rPr>
          <w:rStyle w:val="33"/>
          <w:rFonts w:hint="eastAsia"/>
        </w:rPr>
        <w:t xml:space="preserve"> 城市轨道交通主要险性事件清单</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_Toc204933496 \h</w:instrText>
      </w:r>
      <w:r>
        <w:rPr>
          <w:rFonts w:hint="eastAsia"/>
          <w:color w:val="auto"/>
        </w:rPr>
        <w:instrText xml:space="preserve"> </w:instrText>
      </w:r>
      <w:r>
        <w:rPr>
          <w:rFonts w:hint="eastAsia"/>
          <w:color w:val="auto"/>
        </w:rPr>
        <w:fldChar w:fldCharType="separate"/>
      </w:r>
      <w:r>
        <w:rPr>
          <w:color w:val="auto"/>
        </w:rPr>
        <w:t>15</w:t>
      </w:r>
      <w:r>
        <w:rPr>
          <w:rFonts w:hint="eastAsia"/>
          <w:color w:val="auto"/>
        </w:rPr>
        <w:fldChar w:fldCharType="end"/>
      </w:r>
      <w:r>
        <w:rPr>
          <w:rFonts w:hint="eastAsia"/>
          <w:color w:val="auto"/>
        </w:rPr>
        <w:fldChar w:fldCharType="end"/>
      </w:r>
    </w:p>
    <w:p w14:paraId="1C54E4F0">
      <w:pPr>
        <w:pStyle w:val="19"/>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"_Toc204933497" </w:instrText>
      </w:r>
      <w:r>
        <w:rPr>
          <w:color w:val="auto"/>
        </w:rPr>
        <w:fldChar w:fldCharType="separate"/>
      </w:r>
      <w:r>
        <w:rPr>
          <w:rStyle w:val="33"/>
          <w:rFonts w:hint="eastAsia"/>
        </w:rPr>
        <w:t>参考文献</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_Toc204933497 \h</w:instrText>
      </w:r>
      <w:r>
        <w:rPr>
          <w:rFonts w:hint="eastAsia"/>
          <w:color w:val="auto"/>
        </w:rPr>
        <w:instrText xml:space="preserve"> </w:instrText>
      </w:r>
      <w:r>
        <w:rPr>
          <w:rFonts w:hint="eastAsia"/>
          <w:color w:val="auto"/>
        </w:rPr>
        <w:fldChar w:fldCharType="separate"/>
      </w:r>
      <w:r>
        <w:rPr>
          <w:color w:val="auto"/>
        </w:rPr>
        <w:t>17</w:t>
      </w:r>
      <w:r>
        <w:rPr>
          <w:rFonts w:hint="eastAsia"/>
          <w:color w:val="auto"/>
        </w:rPr>
        <w:fldChar w:fldCharType="end"/>
      </w:r>
      <w:r>
        <w:rPr>
          <w:rFonts w:hint="eastAsia"/>
          <w:color w:val="auto"/>
        </w:rPr>
        <w:fldChar w:fldCharType="end"/>
      </w:r>
    </w:p>
    <w:p w14:paraId="6EAD2DF3">
      <w:pPr>
        <w:pStyle w:val="92"/>
        <w:spacing w:after="468"/>
        <w:rPr>
          <w:color w:val="auto"/>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rPr>
          <w:color w:val="auto"/>
        </w:rPr>
        <w:fldChar w:fldCharType="end"/>
      </w:r>
    </w:p>
    <w:bookmarkEnd w:id="21"/>
    <w:p w14:paraId="3A4E304A">
      <w:pPr>
        <w:pStyle w:val="90"/>
        <w:spacing w:before="900" w:after="468"/>
        <w:rPr>
          <w:color w:val="auto"/>
        </w:rPr>
      </w:pPr>
      <w:bookmarkStart w:id="500" w:name="_GoBack"/>
      <w:bookmarkEnd w:id="500"/>
      <w:bookmarkStart w:id="32" w:name="_Toc204933478"/>
      <w:bookmarkStart w:id="33" w:name="BookMark2"/>
      <w:r>
        <w:rPr>
          <w:color w:val="auto"/>
          <w:spacing w:val="320"/>
        </w:rPr>
        <w:t>前</w:t>
      </w:r>
      <w:r>
        <w:rPr>
          <w:color w:val="auto"/>
        </w:rPr>
        <w:t>言</w:t>
      </w:r>
      <w:bookmarkEnd w:id="22"/>
      <w:bookmarkEnd w:id="23"/>
      <w:bookmarkEnd w:id="24"/>
      <w:bookmarkEnd w:id="25"/>
      <w:bookmarkEnd w:id="26"/>
      <w:bookmarkEnd w:id="27"/>
      <w:bookmarkEnd w:id="28"/>
      <w:bookmarkEnd w:id="29"/>
      <w:bookmarkEnd w:id="30"/>
      <w:bookmarkEnd w:id="31"/>
      <w:bookmarkEnd w:id="32"/>
    </w:p>
    <w:p w14:paraId="649F600C">
      <w:pPr>
        <w:pStyle w:val="57"/>
        <w:ind w:firstLine="420"/>
        <w:rPr>
          <w:color w:val="auto"/>
        </w:rPr>
      </w:pPr>
      <w:r>
        <w:rPr>
          <w:rFonts w:hint="eastAsia"/>
          <w:color w:val="auto"/>
        </w:rPr>
        <w:t>本文件按照GB/T 1.1—2020《标准化工作导则  第1部分：标准化文件的结构和起草规则》的规定起草。</w:t>
      </w:r>
    </w:p>
    <w:p w14:paraId="51348C0B">
      <w:pPr>
        <w:ind w:firstLine="420" w:firstLineChars="200"/>
        <w:rPr>
          <w:color w:val="auto"/>
        </w:rPr>
      </w:pPr>
      <w:r>
        <w:rPr>
          <w:rFonts w:hint="eastAsia"/>
          <w:color w:val="auto"/>
        </w:rPr>
        <w:t>请注意本文件的某些内容可能涉及专利。本文件的发布机构不承担识别专利的责任。</w:t>
      </w:r>
    </w:p>
    <w:p w14:paraId="67ED5A1C">
      <w:pPr>
        <w:pStyle w:val="57"/>
        <w:ind w:firstLine="420"/>
        <w:rPr>
          <w:color w:val="auto"/>
        </w:rPr>
      </w:pPr>
      <w:r>
        <w:rPr>
          <w:rFonts w:hint="eastAsia"/>
          <w:color w:val="auto"/>
        </w:rPr>
        <w:t>本文件由湖南省交通运输厅提出并归口。</w:t>
      </w:r>
    </w:p>
    <w:p w14:paraId="17A6D564">
      <w:pPr>
        <w:pStyle w:val="57"/>
        <w:ind w:firstLine="420"/>
        <w:rPr>
          <w:rFonts w:hint="eastAsia" w:eastAsia="宋体"/>
          <w:color w:val="auto"/>
          <w:lang w:eastAsia="zh-CN"/>
        </w:rPr>
      </w:pPr>
      <w:r>
        <w:rPr>
          <w:rFonts w:hint="eastAsia"/>
          <w:color w:val="auto"/>
        </w:rPr>
        <w:t>本文件起草单位：</w:t>
      </w:r>
      <w:r>
        <w:rPr>
          <w:rFonts w:hint="eastAsia"/>
          <w:color w:val="auto"/>
        </w:rPr>
        <w:t>长沙市轨道交通运营有限公司</w:t>
      </w:r>
      <w:r>
        <w:rPr>
          <w:rFonts w:hint="eastAsia"/>
          <w:color w:val="auto"/>
          <w:lang w:eastAsia="zh-CN"/>
        </w:rPr>
        <w:t>、</w:t>
      </w:r>
      <w:r>
        <w:rPr>
          <w:rFonts w:hint="eastAsia"/>
          <w:color w:val="auto"/>
        </w:rPr>
        <w:t>中南大学</w:t>
      </w:r>
      <w:r>
        <w:rPr>
          <w:rFonts w:hint="eastAsia"/>
          <w:color w:val="auto"/>
          <w:lang w:eastAsia="zh-CN"/>
        </w:rPr>
        <w:t>、</w:t>
      </w:r>
      <w:r>
        <w:rPr>
          <w:rFonts w:hint="eastAsia"/>
          <w:color w:val="auto"/>
        </w:rPr>
        <w:t>广州地铁设计研究院股份有限公司、中铁第四勘察设计院集团有限公司、湖南大学中国轨道交通文化研究院</w:t>
      </w:r>
    </w:p>
    <w:p w14:paraId="4DD4C0BD">
      <w:pPr>
        <w:pStyle w:val="57"/>
        <w:ind w:firstLine="420"/>
        <w:rPr>
          <w:color w:val="auto"/>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r>
        <w:rPr>
          <w:rFonts w:hint="eastAsia"/>
          <w:color w:val="auto"/>
        </w:rPr>
        <w:t>本文件主要起草人：</w:t>
      </w:r>
    </w:p>
    <w:bookmarkEnd w:id="33"/>
    <w:p w14:paraId="3B16021E">
      <w:pPr>
        <w:spacing w:line="20" w:lineRule="exact"/>
        <w:jc w:val="center"/>
        <w:rPr>
          <w:rFonts w:hint="eastAsia" w:ascii="黑体" w:hAnsi="黑体" w:eastAsia="黑体"/>
          <w:color w:val="auto"/>
          <w:sz w:val="32"/>
          <w:szCs w:val="32"/>
        </w:rPr>
      </w:pPr>
      <w:bookmarkStart w:id="34" w:name="BookMark4"/>
    </w:p>
    <w:p w14:paraId="565C08FF">
      <w:pPr>
        <w:spacing w:line="20" w:lineRule="exact"/>
        <w:jc w:val="center"/>
        <w:rPr>
          <w:rFonts w:hint="eastAsia" w:ascii="黑体" w:hAnsi="黑体" w:eastAsia="黑体"/>
          <w:color w:val="auto"/>
          <w:sz w:val="32"/>
          <w:szCs w:val="32"/>
        </w:rPr>
      </w:pPr>
    </w:p>
    <w:sdt>
      <w:sdtPr>
        <w:rPr>
          <w:color w:val="auto"/>
        </w:rPr>
        <w:tag w:val="NEW_STAND_NAME"/>
        <w:id w:val="595910757"/>
        <w:lock w:val="sdtLocked"/>
        <w:placeholder>
          <w:docPart w:val="30205EBB1DD04DB88EC9DD31DC144A0F"/>
        </w:placeholder>
      </w:sdtPr>
      <w:sdtEndPr>
        <w:rPr>
          <w:color w:val="auto"/>
        </w:rPr>
      </w:sdtEndPr>
      <w:sdtContent>
        <w:p w14:paraId="23D1FF25">
          <w:pPr>
            <w:pStyle w:val="178"/>
            <w:spacing w:before="3" w:beforeLines="1" w:after="686" w:afterLines="220"/>
            <w:rPr>
              <w:rFonts w:hint="eastAsia"/>
              <w:color w:val="auto"/>
            </w:rPr>
          </w:pPr>
          <w:bookmarkStart w:id="35" w:name="NEW_STAND_NAME"/>
          <w:r>
            <w:rPr>
              <w:rFonts w:hint="eastAsia"/>
              <w:color w:val="auto"/>
            </w:rPr>
            <w:t>城市轨道交通运营安全管理规范</w:t>
          </w:r>
        </w:p>
      </w:sdtContent>
    </w:sdt>
    <w:bookmarkEnd w:id="35"/>
    <w:p w14:paraId="4A36067B">
      <w:pPr>
        <w:pStyle w:val="105"/>
        <w:spacing w:before="312" w:after="312"/>
        <w:rPr>
          <w:color w:val="auto"/>
        </w:rPr>
      </w:pPr>
      <w:bookmarkStart w:id="36" w:name="_Toc199167023"/>
      <w:bookmarkStart w:id="37" w:name="_Toc24884218"/>
      <w:bookmarkStart w:id="38" w:name="_Toc138770606"/>
      <w:bookmarkStart w:id="39" w:name="_Toc26648465"/>
      <w:bookmarkStart w:id="40" w:name="_Toc140004961"/>
      <w:bookmarkStart w:id="41" w:name="_Toc17233333"/>
      <w:bookmarkStart w:id="42" w:name="_Toc97191423"/>
      <w:bookmarkStart w:id="43" w:name="_Toc128428041"/>
      <w:bookmarkStart w:id="44" w:name="_Toc204933479"/>
      <w:bookmarkStart w:id="45" w:name="_Toc17216"/>
      <w:bookmarkStart w:id="46" w:name="_Toc128428093"/>
      <w:bookmarkStart w:id="47" w:name="_Toc138770554"/>
      <w:bookmarkStart w:id="48" w:name="_Toc26718930"/>
      <w:bookmarkStart w:id="49" w:name="_Toc135388013"/>
      <w:bookmarkStart w:id="50" w:name="_Toc24884211"/>
      <w:bookmarkStart w:id="51" w:name="_Toc135387837"/>
      <w:bookmarkStart w:id="52" w:name="_Toc17233325"/>
      <w:bookmarkStart w:id="53" w:name="_Toc26986771"/>
      <w:bookmarkStart w:id="54" w:name="_Toc195687467"/>
      <w:bookmarkStart w:id="55" w:name="_Toc26986530"/>
      <w:r>
        <w:rPr>
          <w:rFonts w:hint="eastAsia"/>
          <w:color w:val="auto"/>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5A386EF">
      <w:pPr>
        <w:pStyle w:val="57"/>
        <w:ind w:firstLine="420"/>
        <w:rPr>
          <w:color w:val="auto"/>
        </w:rPr>
      </w:pPr>
      <w:bookmarkStart w:id="56" w:name="_Toc24884212"/>
      <w:bookmarkStart w:id="57" w:name="_Toc26648466"/>
      <w:bookmarkStart w:id="58" w:name="_Toc17233326"/>
      <w:bookmarkStart w:id="59" w:name="_Toc17233334"/>
      <w:bookmarkStart w:id="60" w:name="_Toc24884219"/>
      <w:r>
        <w:rPr>
          <w:rFonts w:hint="eastAsia"/>
          <w:color w:val="auto"/>
        </w:rPr>
        <w:t>本文件规定了城市轨道交通运营安全管理的基本要求，以及安全管理制度、安全培训、安全风险分级管控和隐患排查治理、行车组织安全、客运组织安全、施工作业安全、设备设施安全、保护区安全、应急、消防安全、公共安全、运营险性事件等相关管理要求。</w:t>
      </w:r>
    </w:p>
    <w:p w14:paraId="3D7C4808">
      <w:pPr>
        <w:pStyle w:val="57"/>
        <w:ind w:firstLine="420"/>
        <w:rPr>
          <w:color w:val="auto"/>
        </w:rPr>
      </w:pPr>
      <w:r>
        <w:rPr>
          <w:rFonts w:hint="eastAsia"/>
          <w:color w:val="auto"/>
        </w:rPr>
        <w:t>本文件适用于城市轨道交通运营单位的安全管理。</w:t>
      </w:r>
    </w:p>
    <w:p w14:paraId="63E42023">
      <w:pPr>
        <w:pStyle w:val="105"/>
        <w:spacing w:before="312" w:after="312"/>
        <w:rPr>
          <w:color w:val="auto"/>
        </w:rPr>
      </w:pPr>
      <w:bookmarkStart w:id="61" w:name="_Toc26986531"/>
      <w:bookmarkStart w:id="62" w:name="_Toc18514"/>
      <w:bookmarkStart w:id="63" w:name="_Toc26718931"/>
      <w:bookmarkStart w:id="64" w:name="_Toc128428094"/>
      <w:bookmarkStart w:id="65" w:name="_Toc26986772"/>
      <w:bookmarkStart w:id="66" w:name="_Toc135387838"/>
      <w:bookmarkStart w:id="67" w:name="_Toc138770607"/>
      <w:bookmarkStart w:id="68" w:name="_Toc204933480"/>
      <w:bookmarkStart w:id="69" w:name="_Toc199167024"/>
      <w:bookmarkStart w:id="70" w:name="_Toc140004962"/>
      <w:bookmarkStart w:id="71" w:name="_Toc195687468"/>
      <w:bookmarkStart w:id="72" w:name="_Toc135388014"/>
      <w:bookmarkStart w:id="73" w:name="_Toc97191424"/>
      <w:bookmarkStart w:id="74" w:name="_Toc128428042"/>
      <w:bookmarkStart w:id="75" w:name="_Toc138770555"/>
      <w:r>
        <w:rPr>
          <w:rFonts w:hint="eastAsia"/>
          <w:color w:val="auto"/>
        </w:rPr>
        <w:t>规范性引用文件</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sdt>
      <w:sdtPr>
        <w:rPr>
          <w:rFonts w:hint="eastAsia"/>
          <w:color w:val="auto"/>
        </w:rPr>
        <w:id w:val="715848253"/>
        <w:placeholder>
          <w:docPart w:val="04CFEE32BCB8430889B1FC9B1902943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41B1D8A0">
          <w:pPr>
            <w:pStyle w:val="57"/>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54A5391">
      <w:pPr>
        <w:pStyle w:val="57"/>
        <w:ind w:firstLine="420"/>
        <w:rPr>
          <w:color w:val="auto"/>
        </w:rPr>
      </w:pPr>
      <w:r>
        <w:rPr>
          <w:rFonts w:hint="eastAsia"/>
          <w:color w:val="auto"/>
        </w:rPr>
        <w:t xml:space="preserve">GB/T 22239 信息安全技术网络安全等级保护基本要求 </w:t>
      </w:r>
    </w:p>
    <w:p w14:paraId="235B35B5">
      <w:pPr>
        <w:pStyle w:val="57"/>
        <w:ind w:firstLine="420"/>
        <w:rPr>
          <w:rFonts w:hint="eastAsia"/>
          <w:color w:val="auto"/>
        </w:rPr>
      </w:pPr>
      <w:r>
        <w:rPr>
          <w:rFonts w:hint="eastAsia"/>
          <w:color w:val="auto"/>
        </w:rPr>
        <w:t>GB/T 22240 信息安全技术网络安全等级保护定级指南</w:t>
      </w:r>
    </w:p>
    <w:p w14:paraId="7491924E">
      <w:pPr>
        <w:pStyle w:val="57"/>
        <w:ind w:firstLine="420"/>
        <w:rPr>
          <w:color w:val="auto"/>
        </w:rPr>
      </w:pPr>
      <w:r>
        <w:rPr>
          <w:rFonts w:hint="eastAsia"/>
          <w:color w:val="auto"/>
        </w:rPr>
        <w:t xml:space="preserve">GB/T 24001 环境管理体系要求及使用指南 </w:t>
      </w:r>
    </w:p>
    <w:p w14:paraId="01552E90">
      <w:pPr>
        <w:pStyle w:val="57"/>
        <w:ind w:firstLine="420"/>
        <w:rPr>
          <w:color w:val="auto"/>
        </w:rPr>
      </w:pPr>
      <w:r>
        <w:rPr>
          <w:rFonts w:hint="eastAsia"/>
          <w:color w:val="auto"/>
        </w:rPr>
        <w:t>GB/T 25058 信息安全技术网络安全等级保护实施指南</w:t>
      </w:r>
    </w:p>
    <w:p w14:paraId="3BE7F46C">
      <w:pPr>
        <w:pStyle w:val="57"/>
        <w:ind w:firstLine="420"/>
        <w:rPr>
          <w:color w:val="auto"/>
        </w:rPr>
      </w:pPr>
      <w:r>
        <w:rPr>
          <w:rFonts w:hint="eastAsia"/>
          <w:color w:val="auto"/>
        </w:rPr>
        <w:t>GB/T 30012 城市轨道交通运营管理规范</w:t>
      </w:r>
    </w:p>
    <w:p w14:paraId="4C98B039">
      <w:pPr>
        <w:pStyle w:val="57"/>
        <w:ind w:firstLine="420"/>
        <w:rPr>
          <w:color w:val="auto"/>
        </w:rPr>
      </w:pPr>
      <w:r>
        <w:rPr>
          <w:rFonts w:hint="eastAsia"/>
          <w:color w:val="auto"/>
        </w:rPr>
        <w:t>GB/T 33000 企业安全生产标准化基本规范</w:t>
      </w:r>
    </w:p>
    <w:p w14:paraId="18AD499C">
      <w:pPr>
        <w:pStyle w:val="57"/>
        <w:ind w:firstLine="420"/>
        <w:rPr>
          <w:color w:val="auto"/>
        </w:rPr>
      </w:pPr>
      <w:r>
        <w:rPr>
          <w:rFonts w:hint="eastAsia"/>
          <w:color w:val="auto"/>
        </w:rPr>
        <w:t>GB/T 38707 城市轨道交通运营技术规范</w:t>
      </w:r>
    </w:p>
    <w:p w14:paraId="4AEDA36A">
      <w:pPr>
        <w:pStyle w:val="57"/>
        <w:ind w:firstLine="420"/>
        <w:rPr>
          <w:color w:val="auto"/>
        </w:rPr>
      </w:pPr>
      <w:r>
        <w:rPr>
          <w:rFonts w:hint="eastAsia"/>
          <w:color w:val="auto"/>
        </w:rPr>
        <w:t>GB/T 40484 城市轨道交通消防安全管理</w:t>
      </w:r>
    </w:p>
    <w:p w14:paraId="19A2E6C3">
      <w:pPr>
        <w:pStyle w:val="57"/>
        <w:ind w:firstLine="420"/>
        <w:rPr>
          <w:color w:val="auto"/>
        </w:rPr>
      </w:pPr>
      <w:r>
        <w:rPr>
          <w:rFonts w:hint="eastAsia"/>
          <w:color w:val="auto"/>
        </w:rPr>
        <w:t>GB/T 44413 城市轨道交通分类</w:t>
      </w:r>
    </w:p>
    <w:p w14:paraId="197B84BC">
      <w:pPr>
        <w:pStyle w:val="57"/>
        <w:ind w:firstLine="420"/>
        <w:rPr>
          <w:color w:val="auto"/>
        </w:rPr>
      </w:pPr>
      <w:r>
        <w:rPr>
          <w:rFonts w:hint="eastAsia"/>
          <w:color w:val="auto"/>
        </w:rPr>
        <w:t>GB/T 45001 职业健康安全管理体系 要求及使用指南</w:t>
      </w:r>
    </w:p>
    <w:p w14:paraId="3B68E092">
      <w:pPr>
        <w:pStyle w:val="57"/>
        <w:ind w:firstLine="420"/>
        <w:rPr>
          <w:rFonts w:hint="eastAsia" w:hAnsi="宋体"/>
          <w:color w:val="auto"/>
          <w:szCs w:val="21"/>
        </w:rPr>
      </w:pPr>
      <w:r>
        <w:rPr>
          <w:rFonts w:hint="eastAsia" w:hAnsi="宋体"/>
          <w:color w:val="auto"/>
          <w:szCs w:val="21"/>
        </w:rPr>
        <w:t>JT/T 1002.1 城市轨道交通行车值班员技能和素质要求 第1部分：地铁、轻轨和单轨</w:t>
      </w:r>
    </w:p>
    <w:p w14:paraId="50D91E66">
      <w:pPr>
        <w:pStyle w:val="57"/>
        <w:ind w:firstLine="420"/>
        <w:rPr>
          <w:rFonts w:hint="eastAsia" w:hAnsi="宋体"/>
          <w:color w:val="auto"/>
          <w:szCs w:val="21"/>
        </w:rPr>
      </w:pPr>
      <w:r>
        <w:rPr>
          <w:rFonts w:hint="eastAsia" w:hAnsi="宋体"/>
          <w:color w:val="auto"/>
          <w:szCs w:val="21"/>
        </w:rPr>
        <w:t>JT/T 1003.1 城市轨道交通列车驾驶员技能和素质要求 第1部分：地铁、轻轨和单轨</w:t>
      </w:r>
    </w:p>
    <w:p w14:paraId="39ECFE3F">
      <w:pPr>
        <w:pStyle w:val="57"/>
        <w:ind w:firstLine="420"/>
        <w:rPr>
          <w:rFonts w:hint="eastAsia" w:hAnsi="宋体"/>
          <w:color w:val="auto"/>
          <w:szCs w:val="21"/>
        </w:rPr>
      </w:pPr>
      <w:r>
        <w:rPr>
          <w:rFonts w:hint="eastAsia" w:hAnsi="宋体"/>
          <w:color w:val="auto"/>
          <w:szCs w:val="21"/>
        </w:rPr>
        <w:t>JT/T 1004.1 城市轨道交通行车调度员技能和素质要求 第1部分：地铁、轻轨和单轨</w:t>
      </w:r>
    </w:p>
    <w:p w14:paraId="57ADCB31">
      <w:pPr>
        <w:pStyle w:val="57"/>
        <w:ind w:firstLine="420"/>
        <w:rPr>
          <w:rFonts w:hint="eastAsia" w:hAnsi="宋体"/>
          <w:color w:val="auto"/>
          <w:szCs w:val="21"/>
        </w:rPr>
      </w:pPr>
      <w:r>
        <w:rPr>
          <w:rFonts w:hAnsi="宋体"/>
          <w:color w:val="auto"/>
          <w:szCs w:val="21"/>
        </w:rPr>
        <w:t>JT/T 1456</w:t>
      </w:r>
      <w:r>
        <w:rPr>
          <w:rFonts w:hint="eastAsia" w:hAnsi="宋体"/>
          <w:color w:val="auto"/>
          <w:szCs w:val="21"/>
        </w:rPr>
        <w:t xml:space="preserve"> 城市轨道交通运营安全隐患排查规范</w:t>
      </w:r>
    </w:p>
    <w:p w14:paraId="38BFE246">
      <w:pPr>
        <w:pStyle w:val="105"/>
        <w:spacing w:before="312" w:after="312"/>
        <w:rPr>
          <w:color w:val="auto"/>
        </w:rPr>
      </w:pPr>
      <w:bookmarkStart w:id="76" w:name="_Toc128428043"/>
      <w:bookmarkStart w:id="77" w:name="_Toc195687469"/>
      <w:bookmarkStart w:id="78" w:name="_Toc204933481"/>
      <w:bookmarkStart w:id="79" w:name="_Toc138770556"/>
      <w:bookmarkStart w:id="80" w:name="_Toc97191425"/>
      <w:bookmarkStart w:id="81" w:name="_Toc128428095"/>
      <w:bookmarkStart w:id="82" w:name="_Toc199167025"/>
      <w:bookmarkStart w:id="83" w:name="_Toc135387839"/>
      <w:bookmarkStart w:id="84" w:name="_Toc138770608"/>
      <w:bookmarkStart w:id="85" w:name="_Toc140004963"/>
      <w:bookmarkStart w:id="86" w:name="_Toc27054"/>
      <w:bookmarkStart w:id="87" w:name="_Toc135388015"/>
      <w:r>
        <w:rPr>
          <w:rFonts w:hint="eastAsia"/>
          <w:color w:val="auto"/>
          <w:szCs w:val="21"/>
        </w:rPr>
        <w:t>术语和定义</w:t>
      </w:r>
      <w:bookmarkEnd w:id="76"/>
      <w:bookmarkEnd w:id="77"/>
      <w:bookmarkEnd w:id="78"/>
      <w:bookmarkEnd w:id="79"/>
      <w:bookmarkEnd w:id="80"/>
      <w:bookmarkEnd w:id="81"/>
      <w:bookmarkEnd w:id="82"/>
      <w:bookmarkEnd w:id="83"/>
      <w:bookmarkEnd w:id="84"/>
      <w:bookmarkEnd w:id="85"/>
      <w:bookmarkEnd w:id="86"/>
      <w:bookmarkEnd w:id="87"/>
    </w:p>
    <w:sdt>
      <w:sdtPr>
        <w:rPr>
          <w:color w:val="auto"/>
        </w:rPr>
        <w:id w:val="-1909835108"/>
        <w:placeholder>
          <w:docPart w:val="C723F9C17E264A67833D2654529F8C0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14:paraId="3458735E">
          <w:pPr>
            <w:pStyle w:val="57"/>
            <w:ind w:firstLine="420"/>
            <w:rPr>
              <w:color w:val="auto"/>
            </w:rPr>
          </w:pPr>
          <w:bookmarkStart w:id="88" w:name="_Toc26986532"/>
          <w:bookmarkEnd w:id="88"/>
          <w:r>
            <w:rPr>
              <w:color w:val="auto"/>
            </w:rPr>
            <w:t>下列术语和定义适用于本文件。</w:t>
          </w:r>
        </w:p>
      </w:sdtContent>
    </w:sdt>
    <w:p w14:paraId="404EB21E">
      <w:pPr>
        <w:pStyle w:val="224"/>
        <w:ind w:left="420" w:hanging="420" w:hangingChars="200"/>
        <w:rPr>
          <w:rFonts w:hint="eastAsia" w:ascii="黑体" w:hAnsi="黑体" w:eastAsia="黑体"/>
          <w:color w:val="auto"/>
        </w:rPr>
      </w:pPr>
    </w:p>
    <w:p w14:paraId="261401FD">
      <w:pPr>
        <w:pStyle w:val="231"/>
        <w:rPr>
          <w:rFonts w:ascii="黑体" w:hAnsi="黑体" w:eastAsia="黑体" w:cs="黑体"/>
          <w:b w:val="0"/>
          <w:bCs/>
          <w:color w:val="auto"/>
        </w:rPr>
      </w:pPr>
      <w:r>
        <w:rPr>
          <w:rFonts w:hint="eastAsia" w:ascii="黑体" w:hAnsi="黑体" w:eastAsia="黑体" w:cs="黑体"/>
          <w:b w:val="0"/>
          <w:bCs/>
          <w:color w:val="auto"/>
        </w:rPr>
        <w:t>城市轨道交通 urban rail transit</w:t>
      </w:r>
    </w:p>
    <w:p w14:paraId="689D1FA0">
      <w:pPr>
        <w:pStyle w:val="231"/>
        <w:rPr>
          <w:rFonts w:ascii="Times New Roman"/>
          <w:color w:val="auto"/>
          <w:kern w:val="2"/>
          <w:szCs w:val="24"/>
        </w:rPr>
      </w:pPr>
      <w:r>
        <w:rPr>
          <w:rFonts w:hint="eastAsia" w:ascii="Times New Roman"/>
          <w:color w:val="auto"/>
          <w:kern w:val="2"/>
          <w:szCs w:val="24"/>
        </w:rPr>
        <w:t>采用专用轨道导向运行以服务通勤为主要目标的城市公共客运交通系统。</w:t>
      </w:r>
    </w:p>
    <w:p w14:paraId="6ED3195C">
      <w:pPr>
        <w:pStyle w:val="231"/>
        <w:rPr>
          <w:rFonts w:hint="eastAsia" w:hAnsi="宋体" w:cs="宋体"/>
          <w:color w:val="auto"/>
          <w:szCs w:val="21"/>
          <w:lang w:val="zh-CN"/>
        </w:rPr>
      </w:pPr>
      <w:r>
        <w:rPr>
          <w:color w:val="auto"/>
        </w:rPr>
        <w:t>[来源：</w:t>
      </w:r>
      <w:r>
        <w:rPr>
          <w:rFonts w:hint="eastAsia" w:hAnsi="宋体" w:cs="宋体"/>
          <w:color w:val="auto"/>
          <w:szCs w:val="21"/>
          <w:lang w:val="zh-CN"/>
        </w:rPr>
        <w:t>GB</w:t>
      </w:r>
      <w:r>
        <w:rPr>
          <w:rFonts w:hAnsi="宋体" w:cs="宋体"/>
          <w:color w:val="auto"/>
          <w:szCs w:val="21"/>
          <w:lang w:val="zh-CN"/>
        </w:rPr>
        <w:t xml:space="preserve">/T </w:t>
      </w:r>
      <w:r>
        <w:rPr>
          <w:rFonts w:hint="eastAsia" w:hAnsi="宋体" w:cs="宋体"/>
          <w:color w:val="auto"/>
          <w:szCs w:val="21"/>
        </w:rPr>
        <w:t>44413</w:t>
      </w:r>
      <w:r>
        <w:rPr>
          <w:rFonts w:hAnsi="宋体" w:cs="宋体"/>
          <w:color w:val="auto"/>
          <w:szCs w:val="21"/>
          <w:lang w:val="zh-CN"/>
        </w:rPr>
        <w:t>-202</w:t>
      </w:r>
      <w:r>
        <w:rPr>
          <w:rFonts w:hint="eastAsia" w:hAnsi="宋体" w:cs="宋体"/>
          <w:color w:val="auto"/>
          <w:szCs w:val="21"/>
        </w:rPr>
        <w:t>4</w:t>
      </w:r>
      <w:r>
        <w:rPr>
          <w:rFonts w:hint="eastAsia" w:hAnsi="宋体" w:cs="宋体"/>
          <w:color w:val="auto"/>
          <w:szCs w:val="21"/>
          <w:lang w:val="zh-CN"/>
        </w:rPr>
        <w:t>，3</w:t>
      </w:r>
      <w:r>
        <w:rPr>
          <w:rFonts w:hAnsi="宋体" w:cs="宋体"/>
          <w:color w:val="auto"/>
          <w:szCs w:val="21"/>
          <w:lang w:val="zh-CN"/>
        </w:rPr>
        <w:t>.1</w:t>
      </w:r>
      <w:r>
        <w:rPr>
          <w:color w:val="auto"/>
        </w:rPr>
        <w:t>]</w:t>
      </w:r>
      <w:r>
        <w:rPr>
          <w:rFonts w:hint="eastAsia" w:hAnsi="宋体" w:cs="宋体"/>
          <w:color w:val="auto"/>
          <w:szCs w:val="21"/>
          <w:lang w:val="zh-CN"/>
        </w:rPr>
        <w:t xml:space="preserve"> </w:t>
      </w:r>
    </w:p>
    <w:p w14:paraId="3380CF44">
      <w:pPr>
        <w:pStyle w:val="224"/>
        <w:ind w:left="420" w:hanging="420" w:hangingChars="200"/>
        <w:rPr>
          <w:rFonts w:hint="eastAsia" w:ascii="黑体" w:hAnsi="黑体" w:eastAsia="黑体"/>
          <w:color w:val="auto"/>
        </w:rPr>
      </w:pPr>
    </w:p>
    <w:p w14:paraId="6F9C2C75">
      <w:pPr>
        <w:pStyle w:val="231"/>
        <w:rPr>
          <w:rFonts w:ascii="黑体" w:hAnsi="黑体" w:eastAsia="黑体" w:cs="黑体"/>
          <w:b w:val="0"/>
          <w:bCs/>
          <w:color w:val="auto"/>
        </w:rPr>
      </w:pPr>
      <w:r>
        <w:rPr>
          <w:rFonts w:hint="eastAsia" w:ascii="黑体" w:hAnsi="黑体" w:eastAsia="黑体" w:cs="黑体"/>
          <w:b w:val="0"/>
          <w:bCs/>
          <w:color w:val="auto"/>
        </w:rPr>
        <w:t>运营单位 operation company</w:t>
      </w:r>
    </w:p>
    <w:p w14:paraId="55626CA7">
      <w:pPr>
        <w:pStyle w:val="231"/>
        <w:rPr>
          <w:rFonts w:ascii="Times New Roman"/>
          <w:color w:val="auto"/>
          <w:kern w:val="2"/>
          <w:szCs w:val="24"/>
        </w:rPr>
      </w:pPr>
      <w:r>
        <w:rPr>
          <w:rFonts w:hint="eastAsia" w:ascii="Times New Roman"/>
          <w:color w:val="auto"/>
          <w:kern w:val="2"/>
          <w:szCs w:val="24"/>
        </w:rPr>
        <w:t>经营城市轨道交通运营业务的企业。</w:t>
      </w:r>
    </w:p>
    <w:p w14:paraId="3BEF2F17">
      <w:pPr>
        <w:pStyle w:val="231"/>
        <w:rPr>
          <w:rFonts w:hint="eastAsia"/>
          <w:color w:val="auto"/>
        </w:rPr>
      </w:pPr>
      <w:r>
        <w:rPr>
          <w:rFonts w:hint="eastAsia"/>
          <w:color w:val="auto"/>
        </w:rPr>
        <w:t>[来源：</w:t>
      </w:r>
      <w:r>
        <w:rPr>
          <w:rFonts w:hint="eastAsia" w:hAnsi="宋体" w:cs="宋体"/>
          <w:color w:val="auto"/>
          <w:szCs w:val="21"/>
          <w:lang w:val="zh-CN"/>
        </w:rPr>
        <w:t>GB/T 30012-2013,3.2</w:t>
      </w:r>
      <w:r>
        <w:rPr>
          <w:rFonts w:hint="eastAsia"/>
          <w:color w:val="auto"/>
        </w:rPr>
        <w:t>]</w:t>
      </w:r>
    </w:p>
    <w:p w14:paraId="1FEB6011">
      <w:pPr>
        <w:pStyle w:val="231"/>
        <w:rPr>
          <w:rFonts w:hint="eastAsia"/>
          <w:color w:val="auto"/>
        </w:rPr>
      </w:pPr>
    </w:p>
    <w:p w14:paraId="61EE58D3">
      <w:pPr>
        <w:pStyle w:val="224"/>
        <w:ind w:left="422" w:hanging="422" w:hangingChars="200"/>
        <w:rPr>
          <w:b/>
          <w:color w:val="auto"/>
        </w:rPr>
      </w:pPr>
    </w:p>
    <w:p w14:paraId="0FD27DD5">
      <w:pPr>
        <w:pStyle w:val="57"/>
        <w:ind w:firstLine="420"/>
        <w:rPr>
          <w:rFonts w:ascii="黑体" w:hAnsi="黑体" w:eastAsia="黑体" w:cs="黑体"/>
          <w:b w:val="0"/>
          <w:bCs/>
          <w:color w:val="auto"/>
        </w:rPr>
      </w:pPr>
      <w:r>
        <w:rPr>
          <w:rFonts w:hint="eastAsia" w:ascii="黑体" w:hAnsi="黑体" w:eastAsia="黑体" w:cs="黑体"/>
          <w:b w:val="0"/>
          <w:bCs/>
          <w:color w:val="auto"/>
        </w:rPr>
        <w:t>风险分级管控 r</w:t>
      </w:r>
      <w:r>
        <w:rPr>
          <w:rFonts w:ascii="黑体" w:hAnsi="黑体" w:eastAsia="黑体" w:cs="黑体"/>
          <w:b w:val="0"/>
          <w:bCs/>
          <w:color w:val="auto"/>
        </w:rPr>
        <w:t>isk classification control</w:t>
      </w:r>
    </w:p>
    <w:p w14:paraId="19320C6E">
      <w:pPr>
        <w:pStyle w:val="231"/>
        <w:rPr>
          <w:rFonts w:hint="eastAsia" w:hAnsi="宋体"/>
          <w:color w:val="auto"/>
          <w:szCs w:val="24"/>
        </w:rPr>
      </w:pPr>
      <w:r>
        <w:rPr>
          <w:rFonts w:hint="eastAsia" w:hAnsi="宋体"/>
          <w:color w:val="auto"/>
          <w:szCs w:val="24"/>
        </w:rPr>
        <w:t>运营单位对城市轨道交通运营过程中存在的安全生产风险点进行辨识，评估确定风险等级，采取相应管控措施，实施风险动态管理的活动。</w:t>
      </w:r>
    </w:p>
    <w:p w14:paraId="30138658">
      <w:pPr>
        <w:pStyle w:val="224"/>
        <w:ind w:left="422" w:hanging="422" w:hangingChars="200"/>
        <w:rPr>
          <w:b/>
          <w:color w:val="auto"/>
        </w:rPr>
      </w:pPr>
    </w:p>
    <w:p w14:paraId="7815A227">
      <w:pPr>
        <w:pStyle w:val="57"/>
        <w:ind w:firstLine="420"/>
        <w:rPr>
          <w:rFonts w:ascii="黑体" w:hAnsi="黑体" w:eastAsia="黑体" w:cs="黑体"/>
          <w:b w:val="0"/>
          <w:bCs/>
          <w:color w:val="auto"/>
        </w:rPr>
      </w:pPr>
      <w:r>
        <w:rPr>
          <w:rFonts w:hint="eastAsia" w:ascii="黑体" w:hAnsi="黑体" w:eastAsia="黑体" w:cs="黑体"/>
          <w:b w:val="0"/>
          <w:bCs/>
          <w:color w:val="auto"/>
        </w:rPr>
        <w:t xml:space="preserve">隐患排查治理 </w:t>
      </w:r>
      <w:r>
        <w:rPr>
          <w:rFonts w:ascii="黑体" w:hAnsi="黑体" w:eastAsia="黑体" w:cs="黑体"/>
          <w:b w:val="0"/>
          <w:bCs/>
          <w:color w:val="auto"/>
        </w:rPr>
        <w:t>troubleshooting and treatment of hidden dangers</w:t>
      </w:r>
    </w:p>
    <w:p w14:paraId="70FA973E">
      <w:pPr>
        <w:pStyle w:val="231"/>
        <w:rPr>
          <w:rFonts w:hint="eastAsia" w:hAnsi="宋体"/>
          <w:color w:val="auto"/>
          <w:szCs w:val="24"/>
        </w:rPr>
      </w:pPr>
      <w:r>
        <w:rPr>
          <w:rFonts w:hint="eastAsia" w:hAnsi="宋体"/>
          <w:color w:val="auto"/>
          <w:szCs w:val="24"/>
        </w:rPr>
        <w:t>运营单位对城市轨道交通运营过程中风险管控措施弱化、失效、缺失等，进行排查、评估、整改，消除人的不安全行为、物的不安全状态、环境的不安全因素、管理上的缺陷的闭环管理活动。</w:t>
      </w:r>
    </w:p>
    <w:p w14:paraId="58892713">
      <w:pPr>
        <w:pStyle w:val="224"/>
        <w:ind w:left="420" w:hanging="420" w:hangingChars="200"/>
        <w:rPr>
          <w:rFonts w:hint="eastAsia" w:ascii="黑体" w:hAnsi="黑体" w:eastAsia="黑体"/>
          <w:color w:val="auto"/>
          <w:szCs w:val="24"/>
        </w:rPr>
      </w:pPr>
    </w:p>
    <w:p w14:paraId="20ACDFFE">
      <w:pPr>
        <w:pStyle w:val="231"/>
        <w:rPr>
          <w:rFonts w:ascii="黑体" w:hAnsi="黑体" w:eastAsia="黑体" w:cs="黑体"/>
          <w:b w:val="0"/>
          <w:bCs/>
          <w:color w:val="auto"/>
        </w:rPr>
      </w:pPr>
      <w:r>
        <w:rPr>
          <w:rFonts w:hint="eastAsia" w:ascii="黑体" w:hAnsi="黑体" w:eastAsia="黑体" w:cs="黑体"/>
          <w:b w:val="0"/>
          <w:bCs/>
          <w:color w:val="auto"/>
        </w:rPr>
        <w:t xml:space="preserve">运营险性事件 operational incident </w:t>
      </w:r>
    </w:p>
    <w:p w14:paraId="2319CFD1">
      <w:pPr>
        <w:pStyle w:val="231"/>
        <w:rPr>
          <w:rFonts w:hint="eastAsia" w:hAnsi="宋体"/>
          <w:color w:val="auto"/>
          <w:szCs w:val="24"/>
        </w:rPr>
      </w:pPr>
      <w:r>
        <w:rPr>
          <w:rFonts w:hint="eastAsia" w:hAnsi="宋体"/>
          <w:color w:val="auto"/>
          <w:szCs w:val="24"/>
        </w:rPr>
        <w:t>在城市轨道交通运营过程中，对城市轨道交通运营安全和服务造成较大影响的事件。</w:t>
      </w:r>
    </w:p>
    <w:p w14:paraId="304655C6">
      <w:pPr>
        <w:pStyle w:val="224"/>
        <w:ind w:left="420" w:hanging="420" w:hangingChars="200"/>
        <w:rPr>
          <w:rFonts w:hint="eastAsia" w:ascii="黑体" w:hAnsi="黑体" w:eastAsia="黑体"/>
          <w:color w:val="auto"/>
          <w:szCs w:val="24"/>
        </w:rPr>
      </w:pPr>
    </w:p>
    <w:p w14:paraId="15556666">
      <w:pPr>
        <w:pStyle w:val="231"/>
        <w:rPr>
          <w:b/>
          <w:color w:val="auto"/>
        </w:rPr>
      </w:pPr>
      <w:r>
        <w:rPr>
          <w:rFonts w:hint="eastAsia" w:ascii="黑体" w:hAnsi="黑体" w:eastAsia="黑体" w:cs="黑体"/>
          <w:b w:val="0"/>
          <w:bCs/>
          <w:color w:val="auto"/>
        </w:rPr>
        <w:t>设备设施 equipment and facilities</w:t>
      </w:r>
      <w:r>
        <w:rPr>
          <w:rFonts w:hint="eastAsia"/>
          <w:b/>
          <w:color w:val="auto"/>
        </w:rPr>
        <w:t xml:space="preserve"> </w:t>
      </w:r>
    </w:p>
    <w:p w14:paraId="084605E3">
      <w:pPr>
        <w:pStyle w:val="231"/>
        <w:rPr>
          <w:rFonts w:hint="eastAsia" w:hAnsi="宋体"/>
          <w:color w:val="auto"/>
          <w:szCs w:val="24"/>
        </w:rPr>
      </w:pPr>
      <w:r>
        <w:rPr>
          <w:rFonts w:hint="eastAsia" w:hAnsi="宋体"/>
          <w:color w:val="auto"/>
          <w:szCs w:val="24"/>
        </w:rPr>
        <w:t>投入城市轨道交通运营的设备和设施。</w:t>
      </w:r>
    </w:p>
    <w:p w14:paraId="015C9D1A">
      <w:pPr>
        <w:pStyle w:val="181"/>
        <w:numPr>
          <w:ilvl w:val="0"/>
          <w:numId w:val="32"/>
        </w:numPr>
        <w:rPr>
          <w:color w:val="auto"/>
        </w:rPr>
      </w:pPr>
      <w:r>
        <w:rPr>
          <w:rFonts w:hint="eastAsia"/>
          <w:color w:val="auto"/>
        </w:rPr>
        <w:t>设备是指投入运营的各类机械、电气、自动化设备及软件系统，包括车辆、通风空调与供暖、给水与排水、供电、通信、信号、自动售检票、综合监控、环境与设备监控、乘客信息、门禁、站台门、车辆基地检修设备、工程车和相关检测监测设备等。</w:t>
      </w:r>
    </w:p>
    <w:p w14:paraId="5903946F">
      <w:pPr>
        <w:pStyle w:val="181"/>
        <w:rPr>
          <w:b/>
          <w:color w:val="auto"/>
        </w:rPr>
      </w:pPr>
      <w:r>
        <w:rPr>
          <w:rFonts w:hint="eastAsia"/>
          <w:color w:val="auto"/>
        </w:rPr>
        <w:t>设施是指投入运营的土建设施及附属软硬件监测设备，包括桥梁、隧道、轨道、路基、车站、控制中心和车辆基地等。</w:t>
      </w:r>
    </w:p>
    <w:p w14:paraId="796243AF">
      <w:pPr>
        <w:pStyle w:val="224"/>
        <w:ind w:left="422" w:hanging="422" w:hangingChars="200"/>
        <w:rPr>
          <w:b/>
          <w:color w:val="auto"/>
        </w:rPr>
      </w:pPr>
    </w:p>
    <w:p w14:paraId="49CB8251">
      <w:pPr>
        <w:pStyle w:val="231"/>
        <w:ind w:firstLine="422"/>
        <w:jc w:val="left"/>
        <w:rPr>
          <w:rFonts w:hint="eastAsia" w:ascii="黑体" w:hAnsi="黑体" w:eastAsia="黑体" w:cs="黑体"/>
          <w:b w:val="0"/>
          <w:bCs/>
          <w:color w:val="auto"/>
        </w:rPr>
      </w:pPr>
      <w:r>
        <w:rPr>
          <w:rFonts w:hint="eastAsia" w:ascii="黑体" w:hAnsi="黑体" w:eastAsia="黑体" w:cs="黑体"/>
          <w:b w:val="0"/>
          <w:bCs/>
          <w:color w:val="auto"/>
        </w:rPr>
        <w:t xml:space="preserve">保护区 </w:t>
      </w:r>
      <w:r>
        <w:rPr>
          <w:rFonts w:hint="eastAsia" w:ascii="黑体" w:hAnsi="黑体" w:eastAsia="黑体" w:cs="黑体"/>
          <w:b w:val="0"/>
          <w:bCs/>
          <w:color w:val="auto"/>
          <w:lang w:bidi="ar"/>
        </w:rPr>
        <w:t>protection area</w:t>
      </w:r>
    </w:p>
    <w:p w14:paraId="1F532D14">
      <w:pPr>
        <w:pStyle w:val="231"/>
        <w:rPr>
          <w:rFonts w:hint="eastAsia" w:hAnsi="宋体"/>
          <w:color w:val="auto"/>
          <w:szCs w:val="24"/>
        </w:rPr>
      </w:pPr>
      <w:r>
        <w:rPr>
          <w:rFonts w:hint="eastAsia" w:hAnsi="宋体"/>
          <w:color w:val="auto"/>
          <w:szCs w:val="24"/>
        </w:rPr>
        <w:t>为保护城市轨道交通结构的正常使用和安全，在其结构及周边特定范围内设置的控制和保护区域。</w:t>
      </w:r>
    </w:p>
    <w:p w14:paraId="54F50EF6">
      <w:pPr>
        <w:pStyle w:val="105"/>
        <w:spacing w:before="312" w:after="312"/>
        <w:rPr>
          <w:color w:val="auto"/>
        </w:rPr>
      </w:pPr>
      <w:bookmarkStart w:id="89" w:name="_Toc140004964"/>
      <w:bookmarkStart w:id="90" w:name="_Toc199167026"/>
      <w:bookmarkStart w:id="91" w:name="_Toc135388016"/>
      <w:bookmarkStart w:id="92" w:name="_Toc204933482"/>
      <w:bookmarkStart w:id="93" w:name="_Toc138770557"/>
      <w:bookmarkStart w:id="94" w:name="_Toc128428096"/>
      <w:bookmarkStart w:id="95" w:name="_Toc135387840"/>
      <w:bookmarkStart w:id="96" w:name="_Toc195687470"/>
      <w:bookmarkStart w:id="97" w:name="_Toc138770609"/>
      <w:bookmarkStart w:id="98" w:name="_Toc128428044"/>
      <w:bookmarkStart w:id="99" w:name="_Toc14031"/>
      <w:r>
        <w:rPr>
          <w:rFonts w:hint="eastAsia"/>
          <w:color w:val="auto"/>
        </w:rPr>
        <w:t>基本要求</w:t>
      </w:r>
      <w:bookmarkEnd w:id="89"/>
      <w:bookmarkEnd w:id="90"/>
      <w:bookmarkEnd w:id="91"/>
      <w:bookmarkEnd w:id="92"/>
      <w:bookmarkEnd w:id="93"/>
      <w:bookmarkEnd w:id="94"/>
      <w:bookmarkEnd w:id="95"/>
      <w:bookmarkEnd w:id="96"/>
      <w:bookmarkEnd w:id="97"/>
      <w:bookmarkEnd w:id="98"/>
      <w:bookmarkEnd w:id="99"/>
    </w:p>
    <w:p w14:paraId="584BE422">
      <w:pPr>
        <w:pStyle w:val="106"/>
        <w:spacing w:before="156" w:after="156"/>
        <w:rPr>
          <w:color w:val="auto"/>
        </w:rPr>
      </w:pPr>
      <w:bookmarkStart w:id="100" w:name="_Toc138770558"/>
      <w:bookmarkStart w:id="101" w:name="_Toc128428045"/>
      <w:r>
        <w:rPr>
          <w:rFonts w:hint="eastAsia"/>
          <w:color w:val="auto"/>
        </w:rPr>
        <w:t>建设要求</w:t>
      </w:r>
      <w:bookmarkEnd w:id="100"/>
      <w:bookmarkEnd w:id="101"/>
    </w:p>
    <w:p w14:paraId="727BD459">
      <w:pPr>
        <w:pStyle w:val="166"/>
        <w:rPr>
          <w:color w:val="auto"/>
        </w:rPr>
      </w:pPr>
      <w:r>
        <w:rPr>
          <w:rFonts w:hint="eastAsia"/>
          <w:color w:val="auto"/>
        </w:rPr>
        <w:t>城市轨道交通工程规划设计、建设施工应充分考虑运营安全服务需要，按照相关标准配置安全运营的设备设施。城市轨道交通工程规划设计、建设施工过程应有运营单位相关专业人员参与</w:t>
      </w:r>
      <w:r>
        <w:rPr>
          <w:color w:val="auto"/>
        </w:rPr>
        <w:t>,</w:t>
      </w:r>
      <w:r>
        <w:rPr>
          <w:rFonts w:hint="eastAsia"/>
          <w:color w:val="auto"/>
        </w:rPr>
        <w:t>包括但不限于参与工程前期可行性研究报告和初步设计文件的审查、设计阶段的设计审查和优化、施工阶段的施工图纸会审和施工过程监督、验收阶段的工程验收和设备调试。</w:t>
      </w:r>
    </w:p>
    <w:p w14:paraId="138E5F08">
      <w:pPr>
        <w:pStyle w:val="166"/>
        <w:rPr>
          <w:color w:val="auto"/>
        </w:rPr>
      </w:pPr>
      <w:r>
        <w:rPr>
          <w:rFonts w:hint="eastAsia"/>
          <w:color w:val="auto"/>
        </w:rPr>
        <w:t>城市轨道交通工程竣工后，应按规定进行</w:t>
      </w:r>
      <w:r>
        <w:rPr>
          <w:rFonts w:hint="eastAsia"/>
          <w:color w:val="auto"/>
          <w:lang w:val="en-US" w:eastAsia="zh-CN"/>
        </w:rPr>
        <w:t>竣工</w:t>
      </w:r>
      <w:r>
        <w:rPr>
          <w:rFonts w:hint="eastAsia"/>
          <w:color w:val="auto"/>
        </w:rPr>
        <w:t>验收</w:t>
      </w:r>
      <w:r>
        <w:rPr>
          <w:rFonts w:hint="eastAsia"/>
          <w:color w:val="auto"/>
          <w:lang w:eastAsia="zh-CN"/>
        </w:rPr>
        <w:t>，</w:t>
      </w:r>
      <w:r>
        <w:rPr>
          <w:rFonts w:hint="eastAsia"/>
          <w:color w:val="auto"/>
          <w:lang w:val="en-US" w:eastAsia="zh-CN"/>
        </w:rPr>
        <w:t>竣工验收合格并通过初期运营前安全评估的，</w:t>
      </w:r>
      <w:r>
        <w:rPr>
          <w:rFonts w:hint="eastAsia"/>
          <w:color w:val="auto"/>
        </w:rPr>
        <w:t>方可投入</w:t>
      </w:r>
      <w:r>
        <w:rPr>
          <w:rFonts w:hint="eastAsia"/>
          <w:color w:val="auto"/>
          <w:lang w:val="en-US" w:eastAsia="zh-CN"/>
        </w:rPr>
        <w:t>初期</w:t>
      </w:r>
      <w:r>
        <w:rPr>
          <w:rFonts w:hint="eastAsia"/>
          <w:color w:val="auto"/>
        </w:rPr>
        <w:t xml:space="preserve">运营。经正式运营前安全评估合格后，方可转入正式运营。   </w:t>
      </w:r>
    </w:p>
    <w:p w14:paraId="57E083C1">
      <w:pPr>
        <w:pStyle w:val="166"/>
        <w:rPr>
          <w:color w:val="auto"/>
        </w:rPr>
      </w:pPr>
      <w:r>
        <w:rPr>
          <w:rFonts w:hint="eastAsia"/>
          <w:color w:val="auto"/>
        </w:rPr>
        <w:t>新建、改建、扩建城市轨道交通工程的安全设施应与主体工程同步规划、同步设计、同步施工、同步验收、同步投入使用。</w:t>
      </w:r>
    </w:p>
    <w:p w14:paraId="5B2B78C0">
      <w:pPr>
        <w:pStyle w:val="166"/>
        <w:rPr>
          <w:color w:val="auto"/>
        </w:rPr>
      </w:pPr>
      <w:r>
        <w:rPr>
          <w:rFonts w:hint="eastAsia"/>
          <w:color w:val="auto"/>
        </w:rPr>
        <w:t>新建、改建、扩建线路投入运营前，</w:t>
      </w:r>
      <w:r>
        <w:rPr>
          <w:rFonts w:hint="eastAsia"/>
          <w:color w:val="auto"/>
          <w:lang w:val="en-US" w:eastAsia="zh-CN"/>
        </w:rPr>
        <w:t>运营单位应接收</w:t>
      </w:r>
      <w:r>
        <w:rPr>
          <w:rFonts w:hint="eastAsia"/>
          <w:color w:val="auto"/>
        </w:rPr>
        <w:t>土建工程有关竣工验收资料、设备系统技术规格说明书、操作手册、维修手册、各类软件、调试报告等</w:t>
      </w:r>
      <w:r>
        <w:rPr>
          <w:rFonts w:hint="eastAsia"/>
          <w:color w:val="auto"/>
          <w:lang w:val="en-US" w:eastAsia="zh-CN"/>
        </w:rPr>
        <w:t>资料</w:t>
      </w:r>
      <w:r>
        <w:rPr>
          <w:rFonts w:hint="eastAsia"/>
          <w:color w:val="auto"/>
        </w:rPr>
        <w:t>。</w:t>
      </w:r>
    </w:p>
    <w:p w14:paraId="2DC43E56">
      <w:pPr>
        <w:pStyle w:val="106"/>
        <w:spacing w:before="156" w:after="156"/>
        <w:rPr>
          <w:color w:val="auto"/>
        </w:rPr>
      </w:pPr>
      <w:bookmarkStart w:id="102" w:name="_Toc138770559"/>
      <w:bookmarkStart w:id="103" w:name="_Toc128428046"/>
      <w:r>
        <w:rPr>
          <w:rFonts w:hint="eastAsia"/>
          <w:color w:val="auto"/>
        </w:rPr>
        <w:t>运营要求</w:t>
      </w:r>
      <w:bookmarkEnd w:id="102"/>
      <w:bookmarkEnd w:id="103"/>
    </w:p>
    <w:p w14:paraId="5C9821E3">
      <w:pPr>
        <w:pStyle w:val="166"/>
        <w:rPr>
          <w:color w:val="auto"/>
        </w:rPr>
      </w:pPr>
      <w:r>
        <w:rPr>
          <w:rFonts w:hint="eastAsia"/>
          <w:color w:val="auto"/>
        </w:rPr>
        <w:t>运营单位应按照GB/T 33000、GB/T 24001、GB/T 45001要求建立安全生产、环境、职业健康管理体系。</w:t>
      </w:r>
    </w:p>
    <w:p w14:paraId="5358E797">
      <w:pPr>
        <w:pStyle w:val="166"/>
        <w:rPr>
          <w:color w:val="auto"/>
        </w:rPr>
      </w:pPr>
      <w:r>
        <w:rPr>
          <w:rFonts w:hint="eastAsia"/>
          <w:color w:val="auto"/>
        </w:rPr>
        <w:t>运营单位应</w:t>
      </w:r>
      <w:r>
        <w:rPr>
          <w:rFonts w:hint="eastAsia"/>
          <w:color w:val="auto"/>
          <w:lang w:val="en-US" w:eastAsia="zh-CN"/>
        </w:rPr>
        <w:t>全面</w:t>
      </w:r>
      <w:r>
        <w:rPr>
          <w:rFonts w:hint="eastAsia"/>
          <w:color w:val="auto"/>
        </w:rPr>
        <w:t>建立安全生产管理制度</w:t>
      </w:r>
      <w:r>
        <w:rPr>
          <w:rFonts w:hint="eastAsia"/>
          <w:color w:val="auto"/>
          <w:lang w:eastAsia="zh-CN"/>
        </w:rPr>
        <w:t>，</w:t>
      </w:r>
      <w:r>
        <w:rPr>
          <w:rFonts w:hint="eastAsia"/>
          <w:color w:val="auto"/>
          <w:lang w:val="en-US" w:eastAsia="zh-CN"/>
        </w:rPr>
        <w:t>落实全员安全生产责任制</w:t>
      </w:r>
      <w:r>
        <w:rPr>
          <w:rFonts w:hint="eastAsia"/>
          <w:color w:val="auto"/>
          <w:lang w:eastAsia="zh-CN"/>
        </w:rPr>
        <w:t>，</w:t>
      </w:r>
      <w:r>
        <w:rPr>
          <w:rFonts w:hint="eastAsia"/>
          <w:color w:val="auto"/>
        </w:rPr>
        <w:t>明确</w:t>
      </w:r>
      <w:r>
        <w:rPr>
          <w:rFonts w:hint="eastAsia"/>
          <w:color w:val="auto"/>
          <w:lang w:val="en-US" w:eastAsia="zh-CN"/>
        </w:rPr>
        <w:t>本单位内部各部门、各岗位人员</w:t>
      </w:r>
      <w:r>
        <w:rPr>
          <w:rFonts w:hint="eastAsia"/>
          <w:color w:val="auto"/>
        </w:rPr>
        <w:t>的安全生产</w:t>
      </w:r>
      <w:r>
        <w:rPr>
          <w:rFonts w:hint="eastAsia"/>
          <w:color w:val="auto"/>
          <w:lang w:val="en-US" w:eastAsia="zh-CN"/>
        </w:rPr>
        <w:t>职责</w:t>
      </w:r>
      <w:r>
        <w:rPr>
          <w:rFonts w:hint="eastAsia"/>
          <w:color w:val="auto"/>
        </w:rPr>
        <w:t>。</w:t>
      </w:r>
    </w:p>
    <w:p w14:paraId="14B97BCD">
      <w:pPr>
        <w:pStyle w:val="166"/>
        <w:rPr>
          <w:color w:val="auto"/>
        </w:rPr>
      </w:pPr>
      <w:r>
        <w:rPr>
          <w:rFonts w:hint="eastAsia"/>
          <w:color w:val="auto"/>
        </w:rPr>
        <w:t>运营单位应关注从业人员的身体、心理状况和行为习惯，加强对从业人员的心理疏导、精神慰藉，落实岗位安全生产责任，防范从业人员行为异常导致事故发生。 </w:t>
      </w:r>
    </w:p>
    <w:p w14:paraId="2ACF2930">
      <w:pPr>
        <w:pStyle w:val="166"/>
        <w:rPr>
          <w:color w:val="auto"/>
        </w:rPr>
      </w:pPr>
      <w:r>
        <w:rPr>
          <w:rFonts w:hint="eastAsia"/>
          <w:color w:val="auto"/>
        </w:rPr>
        <w:t>运营单位主要负责人和安全生产管理人员应具备与本单位所从事的生产经营活动相应的安全生产知识和管理能力。</w:t>
      </w:r>
    </w:p>
    <w:p w14:paraId="686BD560">
      <w:pPr>
        <w:pStyle w:val="166"/>
        <w:rPr>
          <w:color w:val="auto"/>
        </w:rPr>
      </w:pPr>
      <w:r>
        <w:rPr>
          <w:rFonts w:hint="eastAsia"/>
          <w:color w:val="auto"/>
        </w:rPr>
        <w:t>运营单位主要负责人应履行但不限于以下职责：</w:t>
      </w:r>
    </w:p>
    <w:p w14:paraId="0BE5B3E5">
      <w:pPr>
        <w:pStyle w:val="175"/>
        <w:numPr>
          <w:ilvl w:val="0"/>
          <w:numId w:val="33"/>
        </w:numPr>
        <w:rPr>
          <w:color w:val="auto"/>
        </w:rPr>
      </w:pPr>
      <w:r>
        <w:rPr>
          <w:rFonts w:hint="eastAsia"/>
          <w:color w:val="auto"/>
        </w:rPr>
        <w:t>建立</w:t>
      </w:r>
      <w:r>
        <w:rPr>
          <w:rFonts w:hint="eastAsia"/>
          <w:color w:val="auto"/>
          <w:lang w:val="en-US" w:eastAsia="zh-CN"/>
        </w:rPr>
        <w:t>健全</w:t>
      </w:r>
      <w:r>
        <w:rPr>
          <w:rFonts w:hint="eastAsia"/>
          <w:color w:val="auto"/>
        </w:rPr>
        <w:t>并落实本单位全员安全生产责任制，对其他负责人履行安全生产职责情况进行监督检查和考核；</w:t>
      </w:r>
    </w:p>
    <w:p w14:paraId="063320E0">
      <w:pPr>
        <w:pStyle w:val="175"/>
        <w:rPr>
          <w:color w:val="auto"/>
        </w:rPr>
      </w:pPr>
      <w:r>
        <w:rPr>
          <w:rFonts w:hint="eastAsia"/>
          <w:color w:val="auto"/>
        </w:rPr>
        <w:t>定期召开安全生产会议，分析安全生产形势，研究解决安全生产重大问题；</w:t>
      </w:r>
    </w:p>
    <w:p w14:paraId="7280EC31">
      <w:pPr>
        <w:pStyle w:val="175"/>
        <w:rPr>
          <w:color w:val="auto"/>
        </w:rPr>
      </w:pPr>
      <w:r>
        <w:rPr>
          <w:rFonts w:hint="eastAsia"/>
          <w:color w:val="auto"/>
        </w:rPr>
        <w:t>定期组织安全生产检查，及时排查、治理隐患，落实隐患防范措施；</w:t>
      </w:r>
    </w:p>
    <w:p w14:paraId="56F20431">
      <w:pPr>
        <w:pStyle w:val="175"/>
        <w:rPr>
          <w:color w:val="auto"/>
        </w:rPr>
      </w:pPr>
      <w:r>
        <w:rPr>
          <w:rFonts w:hint="eastAsia"/>
          <w:color w:val="auto"/>
        </w:rPr>
        <w:t>每年至少组织并参与1次本单位生产安全应急救援演练</w:t>
      </w:r>
      <w:r>
        <w:rPr>
          <w:rFonts w:hint="eastAsia"/>
          <w:color w:val="auto"/>
          <w:lang w:eastAsia="zh-CN"/>
        </w:rPr>
        <w:t>。</w:t>
      </w:r>
    </w:p>
    <w:p w14:paraId="6060B7BA">
      <w:pPr>
        <w:pStyle w:val="166"/>
        <w:rPr>
          <w:color w:val="auto"/>
        </w:rPr>
      </w:pPr>
      <w:r>
        <w:rPr>
          <w:rFonts w:hint="eastAsia"/>
          <w:color w:val="auto"/>
        </w:rPr>
        <w:t>运营单位应设置安全生产管理机构并按规定配备专职安全生产管理人员，安全生产管理机构应履行但不限于以下职责：</w:t>
      </w:r>
    </w:p>
    <w:p w14:paraId="79754CD5">
      <w:pPr>
        <w:pStyle w:val="175"/>
        <w:numPr>
          <w:ilvl w:val="0"/>
          <w:numId w:val="34"/>
        </w:numPr>
        <w:rPr>
          <w:color w:val="auto"/>
        </w:rPr>
      </w:pPr>
      <w:r>
        <w:rPr>
          <w:rFonts w:hint="eastAsia"/>
          <w:color w:val="auto"/>
        </w:rPr>
        <w:t>参与本单位涉及安全生产的经营决策，提出改进安全生产的建议，督促落实安全生产投入；</w:t>
      </w:r>
    </w:p>
    <w:p w14:paraId="241187A8">
      <w:pPr>
        <w:pStyle w:val="175"/>
        <w:numPr>
          <w:ilvl w:val="0"/>
          <w:numId w:val="34"/>
        </w:numPr>
        <w:rPr>
          <w:color w:val="auto"/>
        </w:rPr>
      </w:pPr>
      <w:r>
        <w:rPr>
          <w:rFonts w:hint="eastAsia"/>
          <w:color w:val="auto"/>
        </w:rPr>
        <w:t>组织全员安全生产责任制度的制定和考核；</w:t>
      </w:r>
    </w:p>
    <w:p w14:paraId="4F8E10AC">
      <w:pPr>
        <w:pStyle w:val="175"/>
        <w:numPr>
          <w:ilvl w:val="0"/>
          <w:numId w:val="34"/>
        </w:numPr>
        <w:rPr>
          <w:color w:val="auto"/>
        </w:rPr>
      </w:pPr>
      <w:r>
        <w:rPr>
          <w:rFonts w:hint="eastAsia"/>
          <w:color w:val="auto"/>
        </w:rPr>
        <w:t>组织落实本单位安全风险分级管控和隐患排查治理制度；</w:t>
      </w:r>
    </w:p>
    <w:p w14:paraId="18226BC1">
      <w:pPr>
        <w:pStyle w:val="175"/>
        <w:numPr>
          <w:ilvl w:val="0"/>
          <w:numId w:val="34"/>
        </w:numPr>
        <w:rPr>
          <w:color w:val="auto"/>
        </w:rPr>
      </w:pPr>
      <w:r>
        <w:rPr>
          <w:rFonts w:hint="eastAsia"/>
          <w:color w:val="auto"/>
        </w:rPr>
        <w:t>落实本单位劳动防护和职业健康安全相关规定；</w:t>
      </w:r>
    </w:p>
    <w:p w14:paraId="7B8C99B6">
      <w:pPr>
        <w:pStyle w:val="175"/>
        <w:numPr>
          <w:ilvl w:val="0"/>
          <w:numId w:val="34"/>
        </w:numPr>
        <w:rPr>
          <w:color w:val="auto"/>
        </w:rPr>
      </w:pPr>
      <w:r>
        <w:rPr>
          <w:rFonts w:hint="eastAsia"/>
          <w:color w:val="auto"/>
        </w:rPr>
        <w:t>参与本单位新建、改建、扩建工程项目的安全设施的设计审查、竣工验收；</w:t>
      </w:r>
    </w:p>
    <w:p w14:paraId="5BF1C9B6">
      <w:pPr>
        <w:pStyle w:val="175"/>
        <w:numPr>
          <w:ilvl w:val="0"/>
          <w:numId w:val="34"/>
        </w:numPr>
        <w:rPr>
          <w:color w:val="auto"/>
        </w:rPr>
      </w:pPr>
      <w:r>
        <w:rPr>
          <w:rFonts w:hint="eastAsia"/>
          <w:color w:val="auto"/>
        </w:rPr>
        <w:t>负责审核承包、承租单位的安全生产资质和条件，督促承包、承租单位履行安全生产职责</w:t>
      </w:r>
      <w:r>
        <w:rPr>
          <w:rFonts w:hint="eastAsia"/>
          <w:color w:val="auto"/>
          <w:lang w:eastAsia="zh-CN"/>
        </w:rPr>
        <w:t>。</w:t>
      </w:r>
    </w:p>
    <w:p w14:paraId="173015F4">
      <w:pPr>
        <w:pStyle w:val="166"/>
        <w:rPr>
          <w:color w:val="auto"/>
        </w:rPr>
      </w:pPr>
      <w:r>
        <w:rPr>
          <w:rFonts w:hint="eastAsia"/>
          <w:color w:val="auto"/>
        </w:rPr>
        <w:t>运营单位应建设综合信息管理</w:t>
      </w:r>
      <w:r>
        <w:rPr>
          <w:rFonts w:hint="eastAsia"/>
          <w:color w:val="auto"/>
          <w:lang w:val="en-US" w:eastAsia="zh-CN"/>
        </w:rPr>
        <w:t>系统</w:t>
      </w:r>
      <w:r>
        <w:rPr>
          <w:rFonts w:hint="eastAsia"/>
          <w:color w:val="auto"/>
          <w:lang w:eastAsia="zh-CN"/>
        </w:rPr>
        <w:t>，</w:t>
      </w:r>
      <w:r>
        <w:rPr>
          <w:rFonts w:hint="eastAsia"/>
          <w:color w:val="auto"/>
        </w:rPr>
        <w:t>综合信息管理</w:t>
      </w:r>
      <w:r>
        <w:rPr>
          <w:rFonts w:hint="eastAsia"/>
          <w:color w:val="auto"/>
          <w:lang w:val="en-US" w:eastAsia="zh-CN"/>
        </w:rPr>
        <w:t>系统应包含</w:t>
      </w:r>
      <w:r>
        <w:rPr>
          <w:rFonts w:hint="eastAsia"/>
          <w:color w:val="auto"/>
        </w:rPr>
        <w:t>安全生产台账管理、</w:t>
      </w:r>
      <w:r>
        <w:rPr>
          <w:rFonts w:hint="eastAsia"/>
          <w:color w:val="auto"/>
          <w:lang w:val="en-US" w:eastAsia="zh-CN"/>
        </w:rPr>
        <w:t>安全风险识别、</w:t>
      </w:r>
      <w:r>
        <w:rPr>
          <w:rFonts w:hint="eastAsia"/>
          <w:color w:val="auto"/>
        </w:rPr>
        <w:t>安全风险管控、隐患排查治理、</w:t>
      </w:r>
      <w:r>
        <w:rPr>
          <w:rFonts w:hint="eastAsia"/>
          <w:color w:val="auto"/>
          <w:lang w:val="en-US" w:eastAsia="zh-CN"/>
        </w:rPr>
        <w:t>应急管理</w:t>
      </w:r>
      <w:r>
        <w:rPr>
          <w:rFonts w:hint="eastAsia"/>
          <w:color w:val="auto"/>
        </w:rPr>
        <w:t>等信息。</w:t>
      </w:r>
    </w:p>
    <w:p w14:paraId="2AC6F48E">
      <w:pPr>
        <w:pStyle w:val="166"/>
        <w:rPr>
          <w:color w:val="auto"/>
        </w:rPr>
      </w:pPr>
      <w:r>
        <w:rPr>
          <w:rFonts w:hint="eastAsia"/>
          <w:color w:val="auto"/>
        </w:rPr>
        <w:t>运营单位应</w:t>
      </w:r>
      <w:r>
        <w:rPr>
          <w:rFonts w:hint="eastAsia"/>
          <w:color w:val="auto"/>
          <w:lang w:val="en-US" w:eastAsia="zh-CN"/>
        </w:rPr>
        <w:t>按规定投入安全生产必需的资金</w:t>
      </w:r>
      <w:r>
        <w:rPr>
          <w:rFonts w:hint="eastAsia"/>
          <w:color w:val="auto"/>
        </w:rPr>
        <w:t>。</w:t>
      </w:r>
    </w:p>
    <w:p w14:paraId="2DA0A6EE">
      <w:pPr>
        <w:pStyle w:val="166"/>
        <w:rPr>
          <w:color w:val="auto"/>
        </w:rPr>
      </w:pPr>
      <w:r>
        <w:rPr>
          <w:rFonts w:hint="eastAsia"/>
          <w:color w:val="auto"/>
        </w:rPr>
        <w:t>运营单位应创新安全管理理念，推进新工艺、新技术、新材料、新设备在安全管理中的应用。</w:t>
      </w:r>
    </w:p>
    <w:p w14:paraId="7631AEF4">
      <w:pPr>
        <w:pStyle w:val="166"/>
        <w:rPr>
          <w:color w:val="auto"/>
        </w:rPr>
      </w:pPr>
      <w:r>
        <w:rPr>
          <w:rFonts w:hint="eastAsia"/>
          <w:color w:val="auto"/>
        </w:rPr>
        <w:t>运营单位应加强安全文化建设，通过各类文化载体，形成为全体员工所认同、共同遵守、具有本单位特色的安全价值观。</w:t>
      </w:r>
    </w:p>
    <w:p w14:paraId="370CFD18">
      <w:pPr>
        <w:pStyle w:val="166"/>
        <w:rPr>
          <w:color w:val="auto"/>
        </w:rPr>
      </w:pPr>
      <w:r>
        <w:rPr>
          <w:rFonts w:hint="eastAsia"/>
          <w:color w:val="auto"/>
        </w:rPr>
        <w:t>采用政府和社会资本合作</w:t>
      </w:r>
      <w:r>
        <w:rPr>
          <w:rFonts w:hint="eastAsia"/>
          <w:color w:val="auto"/>
          <w:lang w:val="en-US" w:eastAsia="zh-CN"/>
        </w:rPr>
        <w:t>项目(</w:t>
      </w:r>
      <w:r>
        <w:rPr>
          <w:color w:val="auto"/>
        </w:rPr>
        <w:t>PPP</w:t>
      </w:r>
      <w:r>
        <w:rPr>
          <w:rFonts w:hint="eastAsia"/>
          <w:color w:val="auto"/>
          <w:lang w:val="en-US" w:eastAsia="zh-CN"/>
        </w:rPr>
        <w:t>项目)</w:t>
      </w:r>
      <w:r>
        <w:rPr>
          <w:rFonts w:hint="eastAsia"/>
          <w:color w:val="auto"/>
        </w:rPr>
        <w:t>等新型运营模式时，运营单位应根据国家相关规定，建立完善的运营安全管理体系，承担安全运营主体责任。</w:t>
      </w:r>
    </w:p>
    <w:p w14:paraId="6B11BC33">
      <w:pPr>
        <w:pStyle w:val="105"/>
        <w:spacing w:before="312" w:after="312"/>
        <w:rPr>
          <w:color w:val="auto"/>
        </w:rPr>
      </w:pPr>
      <w:bookmarkStart w:id="104" w:name="_Toc10823"/>
      <w:bookmarkStart w:id="105" w:name="_Toc27695"/>
      <w:bookmarkStart w:id="106" w:name="_Toc11981"/>
      <w:bookmarkStart w:id="107" w:name="_Toc7364"/>
      <w:bookmarkStart w:id="108" w:name="_Toc28124"/>
      <w:bookmarkStart w:id="109" w:name="_Toc4106"/>
      <w:bookmarkStart w:id="110" w:name="_Toc16647"/>
      <w:bookmarkStart w:id="111" w:name="_Toc12181"/>
      <w:bookmarkStart w:id="112" w:name="_Toc31404"/>
      <w:bookmarkStart w:id="113" w:name="_Toc3293"/>
      <w:bookmarkStart w:id="114" w:name="_Toc9360"/>
      <w:bookmarkStart w:id="115" w:name="_Toc25809"/>
      <w:bookmarkStart w:id="116" w:name="_Toc30156"/>
      <w:bookmarkStart w:id="117" w:name="_Toc10481"/>
      <w:bookmarkStart w:id="118" w:name="_Toc20437"/>
      <w:bookmarkStart w:id="119" w:name="_Toc30921"/>
      <w:bookmarkStart w:id="120" w:name="_Toc2543"/>
      <w:bookmarkStart w:id="121" w:name="_Toc16628"/>
      <w:bookmarkStart w:id="122" w:name="_Toc29573"/>
      <w:bookmarkStart w:id="123" w:name="_Toc11796"/>
      <w:bookmarkStart w:id="124" w:name="_Toc23031"/>
      <w:bookmarkStart w:id="125" w:name="_Toc20146"/>
      <w:bookmarkStart w:id="126" w:name="_Toc20313"/>
      <w:bookmarkStart w:id="127" w:name="_Toc13484"/>
      <w:bookmarkStart w:id="128" w:name="_Toc204933483"/>
      <w:bookmarkStart w:id="129" w:name="_Toc195687471"/>
      <w:bookmarkStart w:id="130" w:name="_Toc138770560"/>
      <w:bookmarkStart w:id="131" w:name="_Toc27283"/>
      <w:bookmarkStart w:id="132" w:name="_Toc135388017"/>
      <w:bookmarkStart w:id="133" w:name="_Toc24619"/>
      <w:bookmarkStart w:id="134" w:name="_Toc135387841"/>
      <w:bookmarkStart w:id="135" w:name="_Toc138770610"/>
      <w:bookmarkStart w:id="136" w:name="_Toc13990"/>
      <w:bookmarkStart w:id="137" w:name="_Toc199167027"/>
      <w:bookmarkStart w:id="138" w:name="_Toc140004965"/>
      <w:bookmarkStart w:id="139" w:name="_Toc13056"/>
      <w:bookmarkStart w:id="140" w:name="_Toc128428047"/>
      <w:bookmarkStart w:id="141" w:name="_Toc128428097"/>
      <w:r>
        <w:rPr>
          <w:rFonts w:hint="eastAsia"/>
          <w:color w:val="auto"/>
        </w:rPr>
        <w:t>安全</w:t>
      </w:r>
      <w:bookmarkEnd w:id="104"/>
      <w:bookmarkEnd w:id="105"/>
      <w:bookmarkEnd w:id="106"/>
      <w:bookmarkEnd w:id="107"/>
      <w:bookmarkEnd w:id="108"/>
      <w:bookmarkEnd w:id="109"/>
      <w:bookmarkEnd w:id="110"/>
      <w:bookmarkEnd w:id="111"/>
      <w:bookmarkEnd w:id="112"/>
      <w:bookmarkEnd w:id="113"/>
      <w:bookmarkEnd w:id="114"/>
      <w:bookmarkEnd w:id="115"/>
      <w:bookmarkEnd w:id="116"/>
      <w:r>
        <w:rPr>
          <w:rFonts w:hint="eastAsia"/>
          <w:color w:val="auto"/>
        </w:rPr>
        <w:t>管理</w:t>
      </w:r>
      <w:bookmarkEnd w:id="117"/>
      <w:bookmarkEnd w:id="118"/>
      <w:bookmarkEnd w:id="119"/>
      <w:bookmarkEnd w:id="120"/>
      <w:bookmarkEnd w:id="121"/>
      <w:bookmarkEnd w:id="122"/>
      <w:bookmarkEnd w:id="123"/>
      <w:bookmarkEnd w:id="124"/>
      <w:bookmarkEnd w:id="125"/>
      <w:bookmarkEnd w:id="126"/>
      <w:bookmarkEnd w:id="127"/>
      <w:r>
        <w:rPr>
          <w:rFonts w:hint="eastAsia"/>
          <w:color w:val="auto"/>
        </w:rPr>
        <w:t>制度</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26DF095">
      <w:pPr>
        <w:pStyle w:val="163"/>
        <w:rPr>
          <w:color w:val="auto"/>
        </w:rPr>
      </w:pPr>
      <w:bookmarkStart w:id="142" w:name="_Toc1042"/>
      <w:bookmarkStart w:id="143" w:name="_Toc22663"/>
      <w:r>
        <w:rPr>
          <w:rFonts w:hint="eastAsia"/>
          <w:color w:val="auto"/>
        </w:rPr>
        <w:t>运营单位应将安全生产法律法规、标准规范和本单位管理制度要求落实到本单位安全生产责任制度、操作规程、检修规程、作业标准、应急预案中。</w:t>
      </w:r>
    </w:p>
    <w:p w14:paraId="6EB347F0">
      <w:pPr>
        <w:pStyle w:val="163"/>
        <w:rPr>
          <w:color w:val="auto"/>
        </w:rPr>
      </w:pPr>
      <w:r>
        <w:rPr>
          <w:rFonts w:hint="eastAsia"/>
          <w:color w:val="auto"/>
        </w:rPr>
        <w:t>安全管理制度应包括安全生产生产责任制度、安全风险分级管控与隐患排查治理制度、安全生产教育培训制度</w:t>
      </w:r>
      <w:r>
        <w:rPr>
          <w:rFonts w:hint="eastAsia"/>
          <w:color w:val="auto"/>
          <w:lang w:eastAsia="zh-CN"/>
        </w:rPr>
        <w:t>、</w:t>
      </w:r>
      <w:r>
        <w:rPr>
          <w:rFonts w:hint="eastAsia"/>
          <w:color w:val="auto"/>
        </w:rPr>
        <w:t>安全生产会议制度、安全生产检查制度、安全生产情况报告制度、安全生产考核和奖惩制度、安全生产费用提取管理和使用制度等。</w:t>
      </w:r>
    </w:p>
    <w:bookmarkEnd w:id="142"/>
    <w:bookmarkEnd w:id="143"/>
    <w:p w14:paraId="6EDBAAC9">
      <w:pPr>
        <w:pStyle w:val="163"/>
        <w:rPr>
          <w:color w:val="auto"/>
        </w:rPr>
      </w:pPr>
      <w:bookmarkStart w:id="144" w:name="_Toc25854"/>
      <w:bookmarkStart w:id="145" w:name="_Toc23103"/>
      <w:r>
        <w:rPr>
          <w:rFonts w:hint="eastAsia"/>
          <w:color w:val="auto"/>
        </w:rPr>
        <w:t>运营单位应建立并规范安全生产班前会制度，向员工提示安全风险；应制作岗位风险提示卡、作业要点卡、应急处置卡，确保安全生产规章制度和操作规程等得到有效执行。</w:t>
      </w:r>
    </w:p>
    <w:p w14:paraId="7C33D0BC">
      <w:pPr>
        <w:pStyle w:val="163"/>
        <w:rPr>
          <w:color w:val="auto"/>
        </w:rPr>
      </w:pPr>
      <w:r>
        <w:rPr>
          <w:rFonts w:hint="eastAsia"/>
          <w:color w:val="auto"/>
        </w:rPr>
        <w:t>运营单位应对规章制度、操作规程、标准规范、应急预案等的合规性、适宜性和有效性每年进行1次评估和修订。</w:t>
      </w:r>
      <w:bookmarkEnd w:id="144"/>
      <w:bookmarkEnd w:id="145"/>
      <w:bookmarkStart w:id="146" w:name="_Toc16092"/>
      <w:bookmarkStart w:id="147" w:name="_Toc31132"/>
      <w:r>
        <w:rPr>
          <w:rFonts w:hint="eastAsia"/>
          <w:color w:val="auto"/>
        </w:rPr>
        <w:t>遇运营生产组织架构调整及人员、环境、设备设施、工艺的变化时，应及时修订。</w:t>
      </w:r>
      <w:bookmarkEnd w:id="146"/>
      <w:bookmarkEnd w:id="147"/>
    </w:p>
    <w:p w14:paraId="6ADBB5E7">
      <w:pPr>
        <w:pStyle w:val="163"/>
        <w:rPr>
          <w:color w:val="auto"/>
        </w:rPr>
      </w:pPr>
      <w:r>
        <w:rPr>
          <w:rFonts w:hint="eastAsia"/>
          <w:color w:val="auto"/>
        </w:rPr>
        <w:t>运营单位应对安全管理制度与台账保管要求按相关规定进行明确。</w:t>
      </w:r>
    </w:p>
    <w:p w14:paraId="09DE57A2">
      <w:pPr>
        <w:pStyle w:val="105"/>
        <w:spacing w:before="312" w:after="312"/>
        <w:rPr>
          <w:color w:val="auto"/>
        </w:rPr>
      </w:pPr>
      <w:bookmarkStart w:id="148" w:name="_Toc128428048"/>
      <w:bookmarkStart w:id="149" w:name="_Toc135387842"/>
      <w:bookmarkStart w:id="150" w:name="_Toc138770561"/>
      <w:bookmarkStart w:id="151" w:name="_Toc138770611"/>
      <w:bookmarkStart w:id="152" w:name="_Toc204933484"/>
      <w:bookmarkStart w:id="153" w:name="_Toc135388018"/>
      <w:bookmarkStart w:id="154" w:name="_Toc195687472"/>
      <w:bookmarkStart w:id="155" w:name="_Toc28192"/>
      <w:bookmarkStart w:id="156" w:name="_Toc199167028"/>
      <w:bookmarkStart w:id="157" w:name="_Toc128428098"/>
      <w:bookmarkStart w:id="158" w:name="_Toc140004966"/>
      <w:r>
        <w:rPr>
          <w:rFonts w:hint="eastAsia"/>
          <w:color w:val="auto"/>
        </w:rPr>
        <w:t>安全培训管理</w:t>
      </w:r>
      <w:bookmarkEnd w:id="148"/>
      <w:bookmarkEnd w:id="149"/>
      <w:bookmarkEnd w:id="150"/>
      <w:bookmarkEnd w:id="151"/>
      <w:bookmarkEnd w:id="152"/>
      <w:bookmarkEnd w:id="153"/>
      <w:bookmarkEnd w:id="154"/>
      <w:bookmarkEnd w:id="155"/>
      <w:bookmarkEnd w:id="156"/>
      <w:bookmarkEnd w:id="157"/>
      <w:bookmarkEnd w:id="158"/>
    </w:p>
    <w:p w14:paraId="31D486F1">
      <w:pPr>
        <w:pStyle w:val="163"/>
        <w:rPr>
          <w:color w:val="auto"/>
        </w:rPr>
      </w:pPr>
      <w:r>
        <w:rPr>
          <w:rFonts w:hint="eastAsia"/>
          <w:color w:val="auto"/>
        </w:rPr>
        <w:t>运营单位应制定年度培训计划并实施，组织员工开展城市轨道交通运营安全法律法规、理论知识和相关管理、技术专业知识的培训</w:t>
      </w:r>
      <w:r>
        <w:rPr>
          <w:rFonts w:hint="eastAsia"/>
          <w:color w:val="auto"/>
          <w:lang w:val="en-US" w:eastAsia="zh-CN"/>
        </w:rPr>
        <w:t>教育</w:t>
      </w:r>
      <w:r>
        <w:rPr>
          <w:rFonts w:hint="eastAsia"/>
          <w:color w:val="auto"/>
        </w:rPr>
        <w:t>。</w:t>
      </w:r>
    </w:p>
    <w:p w14:paraId="4149A205">
      <w:pPr>
        <w:pStyle w:val="163"/>
        <w:rPr>
          <w:color w:val="auto"/>
        </w:rPr>
      </w:pPr>
      <w:r>
        <w:rPr>
          <w:rFonts w:hint="eastAsia"/>
          <w:color w:val="auto"/>
        </w:rPr>
        <w:t>运营单位应如实记录安全培训的时间、内容、参加人员以及考核结果等情况</w:t>
      </w:r>
      <w:r>
        <w:rPr>
          <w:rFonts w:hint="eastAsia"/>
          <w:color w:val="auto"/>
          <w:lang w:eastAsia="zh-CN"/>
        </w:rPr>
        <w:t>，</w:t>
      </w:r>
      <w:r>
        <w:rPr>
          <w:rFonts w:hint="eastAsia"/>
          <w:color w:val="auto"/>
          <w:lang w:val="en-US" w:eastAsia="zh-CN"/>
        </w:rPr>
        <w:t>并</w:t>
      </w:r>
      <w:r>
        <w:rPr>
          <w:rFonts w:hint="eastAsia"/>
          <w:color w:val="auto"/>
        </w:rPr>
        <w:t>按照</w:t>
      </w:r>
      <w:r>
        <w:rPr>
          <w:rFonts w:hint="eastAsia"/>
          <w:color w:val="auto"/>
          <w:lang w:eastAsia="zh-CN"/>
        </w:rPr>
        <w:t>“</w:t>
      </w:r>
      <w:r>
        <w:rPr>
          <w:rFonts w:hint="eastAsia"/>
          <w:color w:val="auto"/>
        </w:rPr>
        <w:t>一人一档</w:t>
      </w:r>
      <w:r>
        <w:rPr>
          <w:rFonts w:hint="eastAsia"/>
          <w:color w:val="auto"/>
          <w:lang w:eastAsia="zh-CN"/>
        </w:rPr>
        <w:t>”</w:t>
      </w:r>
      <w:r>
        <w:rPr>
          <w:rFonts w:hint="eastAsia"/>
          <w:color w:val="auto"/>
          <w:lang w:val="en-US" w:eastAsia="zh-CN"/>
        </w:rPr>
        <w:t>要求</w:t>
      </w:r>
      <w:r>
        <w:rPr>
          <w:rFonts w:hint="eastAsia"/>
          <w:color w:val="auto"/>
        </w:rPr>
        <w:t>建立安全培训档案。</w:t>
      </w:r>
    </w:p>
    <w:p w14:paraId="40D964D2">
      <w:pPr>
        <w:pStyle w:val="163"/>
        <w:rPr>
          <w:color w:val="auto"/>
        </w:rPr>
      </w:pPr>
      <w:r>
        <w:rPr>
          <w:rFonts w:hint="eastAsia"/>
          <w:color w:val="auto"/>
        </w:rPr>
        <w:t>运营单位主要负责人和安全生产管理人员初次安全培训时间不少于32学时，并经考试合格；在岗期间，应按要求接受每年不少于16学时的安全培训，并经考试合格。其他员工初次安全培训时间不少于24学时，并经考试合格；在岗期间，应按要求接受每年不少于12学时的安全培训，并经考试合格。</w:t>
      </w:r>
    </w:p>
    <w:p w14:paraId="570333A6">
      <w:pPr>
        <w:pStyle w:val="163"/>
        <w:rPr>
          <w:color w:val="auto"/>
        </w:rPr>
      </w:pPr>
      <w:r>
        <w:rPr>
          <w:rFonts w:hint="eastAsia"/>
          <w:color w:val="auto"/>
        </w:rPr>
        <w:t>列车驾驶员、行车调度员、电力调度员</w:t>
      </w:r>
      <w:r>
        <w:rPr>
          <w:rFonts w:hint="eastAsia"/>
          <w:color w:val="auto"/>
          <w:lang w:eastAsia="zh-CN"/>
        </w:rPr>
        <w:t>、</w:t>
      </w:r>
      <w:r>
        <w:rPr>
          <w:rFonts w:hint="eastAsia"/>
          <w:color w:val="auto"/>
        </w:rPr>
        <w:t>环控调度员、行车值班员、</w:t>
      </w:r>
      <w:r>
        <w:rPr>
          <w:rFonts w:hint="eastAsia"/>
          <w:color w:val="auto"/>
          <w:lang w:val="en-US" w:eastAsia="zh-CN"/>
        </w:rPr>
        <w:t>设备</w:t>
      </w:r>
      <w:r>
        <w:rPr>
          <w:rFonts w:hint="eastAsia"/>
          <w:color w:val="auto"/>
        </w:rPr>
        <w:t>维修人员</w:t>
      </w:r>
      <w:r>
        <w:rPr>
          <w:rFonts w:hint="eastAsia"/>
          <w:color w:val="auto"/>
          <w:lang w:eastAsia="zh-CN"/>
        </w:rPr>
        <w:t>、</w:t>
      </w:r>
      <w:r>
        <w:rPr>
          <w:rFonts w:hint="eastAsia"/>
          <w:color w:val="auto"/>
          <w:lang w:val="en-US" w:eastAsia="zh-CN"/>
        </w:rPr>
        <w:t>控制中心值班主任、客运服务人员应持证上岗，并定期进行复审。</w:t>
      </w:r>
    </w:p>
    <w:p w14:paraId="3648B3FF">
      <w:pPr>
        <w:pStyle w:val="163"/>
        <w:rPr>
          <w:color w:val="auto"/>
        </w:rPr>
      </w:pPr>
      <w:r>
        <w:rPr>
          <w:rFonts w:hint="eastAsia"/>
          <w:color w:val="auto"/>
          <w:lang w:val="en-US" w:eastAsia="zh-CN"/>
        </w:rPr>
        <w:t>运营单位应对</w:t>
      </w:r>
      <w:r>
        <w:rPr>
          <w:rFonts w:hint="eastAsia"/>
          <w:color w:val="auto"/>
        </w:rPr>
        <w:t>列车驾驶员、</w:t>
      </w:r>
      <w:r>
        <w:rPr>
          <w:rFonts w:hint="eastAsia"/>
          <w:color w:val="auto"/>
          <w:lang w:val="en-US" w:eastAsia="zh-CN"/>
        </w:rPr>
        <w:t>行车</w:t>
      </w:r>
      <w:r>
        <w:rPr>
          <w:rFonts w:hint="eastAsia"/>
          <w:color w:val="auto"/>
        </w:rPr>
        <w:t>调度员、行车值班员、</w:t>
      </w:r>
      <w:r>
        <w:rPr>
          <w:rFonts w:hint="eastAsia"/>
          <w:color w:val="auto"/>
          <w:lang w:val="en-US" w:eastAsia="zh-CN"/>
        </w:rPr>
        <w:t>信号工、通信工</w:t>
      </w:r>
      <w:r>
        <w:rPr>
          <w:rFonts w:hint="eastAsia"/>
          <w:color w:val="auto"/>
        </w:rPr>
        <w:t>等</w:t>
      </w:r>
      <w:r>
        <w:rPr>
          <w:rFonts w:hint="eastAsia"/>
          <w:color w:val="auto"/>
          <w:lang w:val="en-US" w:eastAsia="zh-CN"/>
        </w:rPr>
        <w:t>关键</w:t>
      </w:r>
      <w:r>
        <w:rPr>
          <w:rFonts w:hint="eastAsia"/>
          <w:color w:val="auto"/>
        </w:rPr>
        <w:t>岗位人员</w:t>
      </w:r>
      <w:r>
        <w:rPr>
          <w:rFonts w:hint="eastAsia"/>
          <w:color w:val="auto"/>
          <w:lang w:val="en-US" w:eastAsia="zh-CN"/>
        </w:rPr>
        <w:t>开展安全背景审查，并</w:t>
      </w:r>
      <w:r>
        <w:rPr>
          <w:rFonts w:hint="eastAsia"/>
          <w:color w:val="auto"/>
        </w:rPr>
        <w:t>定期</w:t>
      </w:r>
      <w:r>
        <w:rPr>
          <w:rFonts w:hint="eastAsia"/>
          <w:color w:val="auto"/>
          <w:lang w:val="en-US" w:eastAsia="zh-CN"/>
        </w:rPr>
        <w:t>对列车驾驶员</w:t>
      </w:r>
      <w:r>
        <w:rPr>
          <w:rFonts w:hint="eastAsia"/>
          <w:color w:val="auto"/>
        </w:rPr>
        <w:t>开展心理测试，对</w:t>
      </w:r>
      <w:r>
        <w:rPr>
          <w:rFonts w:hint="eastAsia"/>
          <w:color w:val="auto"/>
          <w:lang w:val="en-US" w:eastAsia="zh-CN"/>
        </w:rPr>
        <w:t>测试结果</w:t>
      </w:r>
      <w:r>
        <w:rPr>
          <w:rFonts w:hint="eastAsia"/>
          <w:color w:val="auto"/>
        </w:rPr>
        <w:t>不符合的</w:t>
      </w:r>
      <w:r>
        <w:rPr>
          <w:rFonts w:hint="eastAsia"/>
          <w:color w:val="auto"/>
          <w:lang w:val="en-US" w:eastAsia="zh-CN"/>
        </w:rPr>
        <w:t>人员</w:t>
      </w:r>
      <w:r>
        <w:rPr>
          <w:rFonts w:hint="eastAsia"/>
          <w:color w:val="auto"/>
        </w:rPr>
        <w:t>，经辅导和测试后仍不符合要求的，应及时调整工作岗位</w:t>
      </w:r>
      <w:r>
        <w:rPr>
          <w:rFonts w:hint="eastAsia"/>
          <w:color w:val="auto"/>
          <w:lang w:eastAsia="zh-CN"/>
        </w:rPr>
        <w:t>。</w:t>
      </w:r>
    </w:p>
    <w:p w14:paraId="6EFD9F4F">
      <w:pPr>
        <w:pStyle w:val="163"/>
        <w:rPr>
          <w:color w:val="auto"/>
        </w:rPr>
      </w:pPr>
      <w:r>
        <w:rPr>
          <w:rFonts w:hint="eastAsia"/>
          <w:color w:val="auto"/>
          <w:lang w:val="en-US" w:eastAsia="zh-CN"/>
        </w:rPr>
        <w:t>列车驾驶员、行车调度员、行车值班员技能和素质要求如下：</w:t>
      </w:r>
    </w:p>
    <w:p w14:paraId="12D57D6F">
      <w:pPr>
        <w:pStyle w:val="175"/>
        <w:numPr>
          <w:ilvl w:val="0"/>
          <w:numId w:val="35"/>
        </w:numPr>
        <w:rPr>
          <w:color w:val="auto"/>
        </w:rPr>
      </w:pPr>
      <w:r>
        <w:rPr>
          <w:rFonts w:hint="eastAsia"/>
          <w:color w:val="auto"/>
        </w:rPr>
        <w:t>列车驾驶员</w:t>
      </w:r>
      <w:r>
        <w:rPr>
          <w:rFonts w:hint="eastAsia"/>
          <w:color w:val="auto"/>
          <w:lang w:val="en-US" w:eastAsia="zh-CN"/>
        </w:rPr>
        <w:t>岗位基本素质、理论知识、岗位技能、上岗要求、继续教育应符合JT/T 1002.1的规定</w:t>
      </w:r>
      <w:r>
        <w:rPr>
          <w:rFonts w:hint="eastAsia"/>
          <w:color w:val="auto"/>
        </w:rPr>
        <w:t>：</w:t>
      </w:r>
    </w:p>
    <w:p w14:paraId="7AFB7AA6">
      <w:pPr>
        <w:pStyle w:val="175"/>
        <w:numPr>
          <w:ilvl w:val="0"/>
          <w:numId w:val="35"/>
        </w:numPr>
        <w:rPr>
          <w:color w:val="auto"/>
        </w:rPr>
      </w:pPr>
      <w:r>
        <w:rPr>
          <w:rFonts w:hint="eastAsia"/>
          <w:color w:val="auto"/>
        </w:rPr>
        <w:t>行车调度员岗位基本素质、理论知识、岗位技能、上岗要求、继续教育应符合 JT/T 1004.1 的规定：</w:t>
      </w:r>
    </w:p>
    <w:p w14:paraId="4B826E15">
      <w:pPr>
        <w:pStyle w:val="175"/>
        <w:numPr>
          <w:ilvl w:val="0"/>
          <w:numId w:val="35"/>
        </w:numPr>
        <w:rPr>
          <w:color w:val="auto"/>
        </w:rPr>
      </w:pPr>
      <w:r>
        <w:rPr>
          <w:rFonts w:hint="eastAsia"/>
          <w:color w:val="auto"/>
        </w:rPr>
        <w:t>行车值班员岗位基本素质、理论知识、岗位技能、上岗要求、继续教育应符合 JT/T 1002.1 的规定：</w:t>
      </w:r>
    </w:p>
    <w:p w14:paraId="13C8B659">
      <w:pPr>
        <w:pStyle w:val="163"/>
        <w:rPr>
          <w:color w:val="auto"/>
        </w:rPr>
      </w:pPr>
      <w:r>
        <w:rPr>
          <w:rFonts w:hint="eastAsia"/>
          <w:color w:val="auto"/>
        </w:rPr>
        <w:t>从事特种作业、特种设备作业的人员应按照有关规定，经专门安全作业培训，考试合格，取得相应资格后，才准许上岗作业，并定期接受继续教育培训和复试复审。</w:t>
      </w:r>
    </w:p>
    <w:p w14:paraId="16082EB4">
      <w:pPr>
        <w:pStyle w:val="163"/>
        <w:rPr>
          <w:color w:val="auto"/>
        </w:rPr>
      </w:pPr>
      <w:r>
        <w:rPr>
          <w:rFonts w:hint="eastAsia"/>
          <w:color w:val="auto"/>
        </w:rPr>
        <w:t>调换工种、离岗6个月以上复工的，应进行复岗前的安全生产教育和培训，经考核合格后重新上岗。列车驾驶员、调度员、行车值班员从其他线路调入本线时，应经过本线路的学习考试，并在经验丰富的人员指导和监督下进行不少于15天的现场业务操作。</w:t>
      </w:r>
    </w:p>
    <w:p w14:paraId="52F475F9">
      <w:pPr>
        <w:pStyle w:val="163"/>
        <w:rPr>
          <w:color w:val="auto"/>
        </w:rPr>
      </w:pPr>
      <w:r>
        <w:rPr>
          <w:rFonts w:hint="eastAsia"/>
          <w:color w:val="auto"/>
          <w:lang w:val="en-US" w:eastAsia="zh-CN"/>
        </w:rPr>
        <w:t>运营单位</w:t>
      </w:r>
      <w:r>
        <w:rPr>
          <w:rFonts w:hint="eastAsia"/>
          <w:color w:val="auto"/>
        </w:rPr>
        <w:t>应将劳务派遣人员、</w:t>
      </w:r>
      <w:r>
        <w:rPr>
          <w:rFonts w:hint="eastAsia"/>
          <w:color w:val="auto"/>
          <w:lang w:val="en-US" w:eastAsia="zh-CN"/>
        </w:rPr>
        <w:t>劳务外包人员、</w:t>
      </w:r>
      <w:r>
        <w:rPr>
          <w:rFonts w:hint="eastAsia"/>
          <w:color w:val="auto"/>
        </w:rPr>
        <w:t>灵活用工人员纳入本单位从业人员安全生产统一管理，履行安全生产保障责任</w:t>
      </w:r>
      <w:r>
        <w:rPr>
          <w:rFonts w:hint="eastAsia"/>
          <w:color w:val="auto"/>
          <w:lang w:eastAsia="zh-CN"/>
        </w:rPr>
        <w:t>，</w:t>
      </w:r>
      <w:r>
        <w:rPr>
          <w:rFonts w:hint="eastAsia"/>
          <w:color w:val="auto"/>
          <w:lang w:val="en-US" w:eastAsia="zh-CN"/>
        </w:rPr>
        <w:t>并</w:t>
      </w:r>
      <w:r>
        <w:rPr>
          <w:rFonts w:hint="eastAsia"/>
          <w:color w:val="auto"/>
        </w:rPr>
        <w:t>对</w:t>
      </w:r>
      <w:r>
        <w:rPr>
          <w:rFonts w:hint="eastAsia"/>
          <w:color w:val="auto"/>
          <w:lang w:val="en-US" w:eastAsia="zh-CN"/>
        </w:rPr>
        <w:t>其</w:t>
      </w:r>
      <w:r>
        <w:rPr>
          <w:rFonts w:hint="eastAsia"/>
          <w:color w:val="auto"/>
        </w:rPr>
        <w:t>进行岗位安全操作规程和安全操作技能的教育和培训。</w:t>
      </w:r>
    </w:p>
    <w:p w14:paraId="075EAF59">
      <w:pPr>
        <w:pStyle w:val="163"/>
        <w:rPr>
          <w:color w:val="auto"/>
        </w:rPr>
      </w:pPr>
      <w:r>
        <w:rPr>
          <w:rFonts w:hint="eastAsia"/>
          <w:color w:val="auto"/>
        </w:rPr>
        <w:t>设备更换、迭代升级使用了新工艺、新技术、新材料、新设备的工种、岗位上的从业人员，应进行专门的安全生产教育和培训，经考核合格后才准许上岗。</w:t>
      </w:r>
    </w:p>
    <w:p w14:paraId="56798D4C">
      <w:pPr>
        <w:pStyle w:val="105"/>
        <w:spacing w:before="312" w:after="312"/>
        <w:rPr>
          <w:color w:val="auto"/>
        </w:rPr>
      </w:pPr>
      <w:bookmarkStart w:id="159" w:name="_Toc199167029"/>
      <w:bookmarkStart w:id="160" w:name="_Toc24148"/>
      <w:bookmarkStart w:id="161" w:name="_Toc135388019"/>
      <w:bookmarkStart w:id="162" w:name="_Toc138770562"/>
      <w:bookmarkStart w:id="163" w:name="_Toc195687473"/>
      <w:bookmarkStart w:id="164" w:name="_Toc140004967"/>
      <w:bookmarkStart w:id="165" w:name="_Toc135387843"/>
      <w:bookmarkStart w:id="166" w:name="_Toc128428049"/>
      <w:bookmarkStart w:id="167" w:name="_Toc128428099"/>
      <w:bookmarkStart w:id="168" w:name="_Toc204933485"/>
      <w:bookmarkStart w:id="169" w:name="_Toc138770612"/>
      <w:r>
        <w:rPr>
          <w:rFonts w:hint="eastAsia"/>
          <w:color w:val="auto"/>
        </w:rPr>
        <w:t>安全风险分级管控和隐患排查治理</w:t>
      </w:r>
      <w:bookmarkEnd w:id="159"/>
      <w:bookmarkEnd w:id="160"/>
      <w:bookmarkEnd w:id="161"/>
      <w:bookmarkEnd w:id="162"/>
      <w:bookmarkEnd w:id="163"/>
      <w:bookmarkEnd w:id="164"/>
      <w:bookmarkEnd w:id="165"/>
      <w:bookmarkEnd w:id="166"/>
      <w:bookmarkEnd w:id="167"/>
      <w:bookmarkEnd w:id="168"/>
      <w:bookmarkEnd w:id="169"/>
    </w:p>
    <w:p w14:paraId="102E7DA5">
      <w:pPr>
        <w:pStyle w:val="106"/>
        <w:spacing w:before="156" w:after="156"/>
        <w:rPr>
          <w:color w:val="auto"/>
        </w:rPr>
      </w:pPr>
      <w:bookmarkStart w:id="170" w:name="_Toc138770563"/>
      <w:bookmarkStart w:id="171" w:name="_Toc128428050"/>
      <w:r>
        <w:rPr>
          <w:rFonts w:hint="eastAsia"/>
          <w:color w:val="auto"/>
        </w:rPr>
        <w:t>风险分级管控</w:t>
      </w:r>
      <w:bookmarkEnd w:id="170"/>
      <w:bookmarkEnd w:id="171"/>
    </w:p>
    <w:p w14:paraId="6296DF08">
      <w:pPr>
        <w:pStyle w:val="166"/>
        <w:rPr>
          <w:color w:val="auto"/>
        </w:rPr>
      </w:pPr>
      <w:r>
        <w:rPr>
          <w:rFonts w:hint="eastAsia"/>
          <w:color w:val="auto"/>
        </w:rPr>
        <w:t>运营单位应依据安全风险分级管控和隐患排查治理管理制度，建立安全风险数据库，并对风险进行分级，运营安全风险等级从高到低分为重大、较大、一般、较小四个等级，并用红橙黄蓝四色标示，风险等级由风险点发生风险事件可能性和后果严重程度的组合决定，风险等级采用定性或定量的风险评估方法确定。</w:t>
      </w:r>
    </w:p>
    <w:p w14:paraId="50F729AB">
      <w:pPr>
        <w:pStyle w:val="166"/>
        <w:rPr>
          <w:color w:val="auto"/>
        </w:rPr>
      </w:pPr>
      <w:r>
        <w:rPr>
          <w:rFonts w:hint="eastAsia"/>
          <w:color w:val="auto"/>
        </w:rPr>
        <w:t>运营安全风险数据库内容应至少包括业务板块、划分单元、风险点描述</w:t>
      </w:r>
      <w:r>
        <w:rPr>
          <w:color w:val="auto"/>
        </w:rPr>
        <w:t>、风险</w:t>
      </w:r>
      <w:r>
        <w:rPr>
          <w:rFonts w:hint="eastAsia"/>
          <w:color w:val="auto"/>
        </w:rPr>
        <w:t>点位</w:t>
      </w:r>
      <w:r>
        <w:rPr>
          <w:color w:val="auto"/>
        </w:rPr>
        <w:t>、风险等级、</w:t>
      </w:r>
      <w:r>
        <w:rPr>
          <w:rFonts w:hint="eastAsia"/>
          <w:color w:val="auto"/>
        </w:rPr>
        <w:t>风险</w:t>
      </w:r>
      <w:r>
        <w:rPr>
          <w:color w:val="auto"/>
        </w:rPr>
        <w:t>管控措施、责任部门</w:t>
      </w:r>
      <w:r>
        <w:rPr>
          <w:rFonts w:hint="eastAsia"/>
          <w:color w:val="auto"/>
        </w:rPr>
        <w:t>、</w:t>
      </w:r>
      <w:r>
        <w:rPr>
          <w:color w:val="auto"/>
        </w:rPr>
        <w:t>责任岗位</w:t>
      </w:r>
      <w:r>
        <w:rPr>
          <w:rFonts w:hint="eastAsia"/>
          <w:color w:val="auto"/>
        </w:rPr>
        <w:t>及</w:t>
      </w:r>
      <w:r>
        <w:rPr>
          <w:color w:val="auto"/>
        </w:rPr>
        <w:t>责任人等</w:t>
      </w:r>
      <w:r>
        <w:rPr>
          <w:rFonts w:hint="eastAsia"/>
          <w:color w:val="auto"/>
        </w:rPr>
        <w:t>。</w:t>
      </w:r>
      <w:r>
        <w:rPr>
          <w:rFonts w:hint="eastAsia" w:hAnsi="宋体"/>
          <w:color w:val="auto"/>
          <w:szCs w:val="21"/>
        </w:rPr>
        <w:t>其中，风险点位应细化到具体场所、设备</w:t>
      </w:r>
      <w:r>
        <w:rPr>
          <w:rFonts w:hint="eastAsia" w:hAnsi="宋体"/>
          <w:color w:val="auto"/>
          <w:szCs w:val="21"/>
          <w:lang w:val="en-US" w:eastAsia="zh-CN"/>
        </w:rPr>
        <w:t>设施</w:t>
      </w:r>
      <w:r>
        <w:rPr>
          <w:rFonts w:hint="eastAsia" w:hAnsi="宋体"/>
          <w:color w:val="auto"/>
          <w:szCs w:val="21"/>
        </w:rPr>
        <w:t>部位、工作环节、操作步骤等。</w:t>
      </w:r>
    </w:p>
    <w:p w14:paraId="35067750">
      <w:pPr>
        <w:pStyle w:val="166"/>
        <w:rPr>
          <w:color w:val="auto"/>
        </w:rPr>
      </w:pPr>
      <w:r>
        <w:rPr>
          <w:rFonts w:hint="eastAsia"/>
          <w:color w:val="auto"/>
        </w:rPr>
        <w:t>运营安全风险按照业务板块分为设施监测养护类、设备运行维修类、行车组织类、客运组织类、运行环境类等，各类别主要风险见附录</w:t>
      </w:r>
      <w:r>
        <w:rPr>
          <w:color w:val="auto"/>
        </w:rPr>
        <w:t>B</w:t>
      </w:r>
      <w:r>
        <w:rPr>
          <w:rFonts w:hint="eastAsia"/>
          <w:color w:val="auto"/>
        </w:rPr>
        <w:t>。运营单位应根据所辖线路设备设施配置及运行环境、安全管理水平、运营险性事件及相关经验借鉴等情况，对附录</w:t>
      </w:r>
      <w:r>
        <w:rPr>
          <w:color w:val="auto"/>
        </w:rPr>
        <w:t>B</w:t>
      </w:r>
      <w:r>
        <w:rPr>
          <w:rFonts w:hint="eastAsia"/>
          <w:color w:val="auto"/>
        </w:rPr>
        <w:t>所列风险及可能产生的风险作进一步补充及细化。</w:t>
      </w:r>
    </w:p>
    <w:p w14:paraId="541C0B02">
      <w:pPr>
        <w:pStyle w:val="166"/>
        <w:rPr>
          <w:color w:val="auto"/>
        </w:rPr>
      </w:pPr>
      <w:r>
        <w:rPr>
          <w:rFonts w:hint="eastAsia"/>
          <w:color w:val="auto"/>
        </w:rPr>
        <w:t>运营单位应每年对所辖线路开展一次风险全面辨识。新线投入初期运营和正式运营时，应同步组织开展风险全面辨识，并及时更新风险数据库。</w:t>
      </w:r>
    </w:p>
    <w:p w14:paraId="52DF287D">
      <w:pPr>
        <w:pStyle w:val="166"/>
        <w:rPr>
          <w:color w:val="auto"/>
        </w:rPr>
      </w:pPr>
      <w:r>
        <w:rPr>
          <w:rFonts w:hint="eastAsia"/>
          <w:color w:val="auto"/>
        </w:rPr>
        <w:t>有以下情况之一的，应开展风险专项辨识：</w:t>
      </w:r>
    </w:p>
    <w:p w14:paraId="5621184E">
      <w:pPr>
        <w:pStyle w:val="175"/>
        <w:numPr>
          <w:ilvl w:val="0"/>
          <w:numId w:val="36"/>
        </w:numPr>
        <w:rPr>
          <w:color w:val="auto"/>
        </w:rPr>
      </w:pPr>
      <w:r>
        <w:rPr>
          <w:rFonts w:hint="eastAsia"/>
          <w:color w:val="auto"/>
        </w:rPr>
        <w:t>运行环境发生较大变化；</w:t>
      </w:r>
    </w:p>
    <w:p w14:paraId="4EAE3A75">
      <w:pPr>
        <w:pStyle w:val="175"/>
        <w:numPr>
          <w:ilvl w:val="0"/>
          <w:numId w:val="34"/>
        </w:numPr>
        <w:rPr>
          <w:color w:val="auto"/>
        </w:rPr>
      </w:pPr>
      <w:r>
        <w:rPr>
          <w:rFonts w:hint="eastAsia"/>
          <w:color w:val="auto"/>
        </w:rPr>
        <w:t>运营单位部门分工进行较大调整；</w:t>
      </w:r>
    </w:p>
    <w:p w14:paraId="0D057758">
      <w:pPr>
        <w:pStyle w:val="175"/>
        <w:numPr>
          <w:ilvl w:val="0"/>
          <w:numId w:val="34"/>
        </w:numPr>
        <w:rPr>
          <w:color w:val="auto"/>
        </w:rPr>
      </w:pPr>
      <w:r>
        <w:rPr>
          <w:rFonts w:hint="eastAsia"/>
          <w:color w:val="auto"/>
        </w:rPr>
        <w:t>发生运营险性事件；</w:t>
      </w:r>
    </w:p>
    <w:p w14:paraId="25C02078">
      <w:pPr>
        <w:pStyle w:val="175"/>
        <w:numPr>
          <w:ilvl w:val="0"/>
          <w:numId w:val="34"/>
        </w:numPr>
        <w:rPr>
          <w:color w:val="auto"/>
        </w:rPr>
      </w:pPr>
      <w:r>
        <w:rPr>
          <w:rFonts w:hint="eastAsia"/>
          <w:color w:val="auto"/>
        </w:rPr>
        <w:t>新设备、新技术、新工艺、新材料投用；</w:t>
      </w:r>
    </w:p>
    <w:p w14:paraId="56AA6998">
      <w:pPr>
        <w:pStyle w:val="175"/>
        <w:numPr>
          <w:ilvl w:val="0"/>
          <w:numId w:val="34"/>
        </w:numPr>
        <w:rPr>
          <w:color w:val="auto"/>
        </w:rPr>
      </w:pPr>
      <w:r>
        <w:rPr>
          <w:rFonts w:hint="eastAsia"/>
          <w:color w:val="auto"/>
        </w:rPr>
        <w:t>车辆、信号、通信、供电、站台门、自动售检票等关键系统，以及车站、轨道和路基、桥梁、隧道等设施大中修和更新改造后投入使用；</w:t>
      </w:r>
    </w:p>
    <w:p w14:paraId="62A1C96E">
      <w:pPr>
        <w:pStyle w:val="175"/>
        <w:numPr>
          <w:ilvl w:val="0"/>
          <w:numId w:val="34"/>
        </w:numPr>
        <w:rPr>
          <w:color w:val="auto"/>
        </w:rPr>
      </w:pPr>
      <w:r>
        <w:rPr>
          <w:rFonts w:hint="eastAsia"/>
          <w:color w:val="auto"/>
        </w:rPr>
        <w:t>法律法规、规章制度发生较大变化；</w:t>
      </w:r>
    </w:p>
    <w:p w14:paraId="73B9594C">
      <w:pPr>
        <w:pStyle w:val="175"/>
        <w:numPr>
          <w:ilvl w:val="0"/>
          <w:numId w:val="34"/>
        </w:numPr>
        <w:rPr>
          <w:color w:val="auto"/>
        </w:rPr>
      </w:pPr>
      <w:r>
        <w:rPr>
          <w:rFonts w:hint="eastAsia"/>
          <w:color w:val="auto"/>
        </w:rPr>
        <w:t>需开展风险专项辨识的其他情况。</w:t>
      </w:r>
    </w:p>
    <w:p w14:paraId="28A3BEBC">
      <w:pPr>
        <w:pStyle w:val="166"/>
        <w:rPr>
          <w:color w:val="auto"/>
        </w:rPr>
      </w:pPr>
      <w:r>
        <w:rPr>
          <w:rFonts w:hint="eastAsia"/>
          <w:color w:val="auto"/>
        </w:rPr>
        <w:t>运营单位应编制重大风险监控方案和专项应急措施实施方案，并组织重大风险影响区域的相关人员开展安全风险防范、应急逃生避险和应急处置等知识技能的宣传、培训和演练。风险管控措施弱化、失效、缺失发生运营险性事件的，应急处置和调查处理后，运营单位应及时对相关工作进行评估总结，对管控措施进行完善改进。</w:t>
      </w:r>
    </w:p>
    <w:p w14:paraId="2CD8EB2B">
      <w:pPr>
        <w:pStyle w:val="106"/>
        <w:spacing w:before="156" w:after="156"/>
        <w:rPr>
          <w:color w:val="auto"/>
        </w:rPr>
      </w:pPr>
      <w:bookmarkStart w:id="172" w:name="_Toc128428051"/>
      <w:bookmarkStart w:id="173" w:name="_Toc138770564"/>
      <w:r>
        <w:rPr>
          <w:rFonts w:hint="eastAsia"/>
          <w:color w:val="auto"/>
        </w:rPr>
        <w:t>隐患排查治理</w:t>
      </w:r>
      <w:bookmarkEnd w:id="172"/>
      <w:bookmarkEnd w:id="173"/>
    </w:p>
    <w:p w14:paraId="18C2A54B">
      <w:pPr>
        <w:pStyle w:val="166"/>
        <w:rPr>
          <w:color w:val="auto"/>
        </w:rPr>
      </w:pPr>
      <w:r>
        <w:rPr>
          <w:rFonts w:hint="eastAsia"/>
          <w:color w:val="auto"/>
        </w:rPr>
        <w:t>运营单位应对照运营安全风险数据库，逐项分析所列风险管控措施弱化、失效、缺失等带来的隐患，确定隐患等级，并按照“一岗一册”的原则分解到各岗位，形成各岗位的隐患排查手册，明确排查内容、排查方法、排查周期等内容，隐患排查工作应符合J</w:t>
      </w:r>
      <w:r>
        <w:rPr>
          <w:color w:val="auto"/>
        </w:rPr>
        <w:t>T</w:t>
      </w:r>
      <w:r>
        <w:rPr>
          <w:rFonts w:hint="eastAsia"/>
          <w:color w:val="auto"/>
        </w:rPr>
        <w:t>/</w:t>
      </w:r>
      <w:r>
        <w:rPr>
          <w:color w:val="auto"/>
        </w:rPr>
        <w:t>T 1456</w:t>
      </w:r>
      <w:r>
        <w:rPr>
          <w:rFonts w:hint="eastAsia"/>
          <w:color w:val="auto"/>
        </w:rPr>
        <w:t>的要求并根据实际细化。</w:t>
      </w:r>
    </w:p>
    <w:p w14:paraId="7E4BEB76">
      <w:pPr>
        <w:pStyle w:val="166"/>
        <w:rPr>
          <w:color w:val="auto"/>
        </w:rPr>
      </w:pPr>
      <w:r>
        <w:rPr>
          <w:rFonts w:hint="eastAsia"/>
          <w:color w:val="auto"/>
        </w:rPr>
        <w:t>隐患分为重大隐患和一般隐患两个等级，一般隐患可分为A级、B级，分级条件应符合JT/T 1456的要求。隐患排查主要采取日常排查、专项排查两种方式。日常排查是指结合班组、岗位日常工作组织开展的经常性隐患排查，班组负责人至少每周组织排查1次，专业部门负责人至少每月组织排查1次，排查范围应覆盖日常生产作业环节；专项排查是运营单位在一定范围、领域组织开展的针对特定隐患的排查，可与运营单位专项检查、安全评估、季节性和关键时期检查等工作结合开展。</w:t>
      </w:r>
    </w:p>
    <w:p w14:paraId="4194F711">
      <w:pPr>
        <w:pStyle w:val="166"/>
        <w:rPr>
          <w:color w:val="auto"/>
        </w:rPr>
      </w:pPr>
      <w:r>
        <w:rPr>
          <w:rFonts w:hint="eastAsia"/>
          <w:color w:val="auto"/>
        </w:rPr>
        <w:t>有以下情况的，应开展专项排查：</w:t>
      </w:r>
    </w:p>
    <w:p w14:paraId="0AD721EB">
      <w:pPr>
        <w:pStyle w:val="175"/>
        <w:numPr>
          <w:ilvl w:val="0"/>
          <w:numId w:val="37"/>
        </w:numPr>
        <w:rPr>
          <w:color w:val="auto"/>
        </w:rPr>
      </w:pPr>
      <w:r>
        <w:rPr>
          <w:rFonts w:hint="eastAsia"/>
          <w:color w:val="auto"/>
        </w:rPr>
        <w:t>桥梁、隧道、轨道和路基、车辆、信号、通信、供电、站台门、自动售检票等关键设备设施大中修和更新改造；</w:t>
      </w:r>
    </w:p>
    <w:p w14:paraId="7A3CE692">
      <w:pPr>
        <w:pStyle w:val="175"/>
        <w:numPr>
          <w:ilvl w:val="0"/>
          <w:numId w:val="34"/>
        </w:numPr>
        <w:rPr>
          <w:color w:val="auto"/>
        </w:rPr>
      </w:pPr>
      <w:r>
        <w:rPr>
          <w:rFonts w:hint="eastAsia"/>
          <w:color w:val="auto"/>
        </w:rPr>
        <w:t>以防汛、防台风、防火、防高温、防寒、防雷击等为重点的季节性隐患排查；</w:t>
      </w:r>
    </w:p>
    <w:p w14:paraId="0D6663B5">
      <w:pPr>
        <w:pStyle w:val="175"/>
        <w:numPr>
          <w:ilvl w:val="0"/>
          <w:numId w:val="34"/>
        </w:numPr>
        <w:rPr>
          <w:color w:val="auto"/>
        </w:rPr>
      </w:pPr>
      <w:r>
        <w:rPr>
          <w:rFonts w:hint="eastAsia"/>
          <w:color w:val="auto"/>
        </w:rPr>
        <w:t>重要节假日、重大活动等关键运输节点前；</w:t>
      </w:r>
    </w:p>
    <w:p w14:paraId="2C0BC330">
      <w:pPr>
        <w:pStyle w:val="175"/>
        <w:numPr>
          <w:ilvl w:val="0"/>
          <w:numId w:val="34"/>
        </w:numPr>
        <w:rPr>
          <w:color w:val="auto"/>
        </w:rPr>
      </w:pPr>
      <w:r>
        <w:rPr>
          <w:rFonts w:hint="eastAsia"/>
          <w:color w:val="auto"/>
        </w:rPr>
        <w:t>重点施工作业进行期间；</w:t>
      </w:r>
    </w:p>
    <w:p w14:paraId="5A4BD743">
      <w:pPr>
        <w:pStyle w:val="175"/>
        <w:numPr>
          <w:ilvl w:val="0"/>
          <w:numId w:val="34"/>
        </w:numPr>
        <w:rPr>
          <w:color w:val="auto"/>
        </w:rPr>
      </w:pPr>
      <w:r>
        <w:rPr>
          <w:rFonts w:hint="eastAsia"/>
          <w:color w:val="auto"/>
        </w:rPr>
        <w:t>发生重大故障或运营险性事件；</w:t>
      </w:r>
    </w:p>
    <w:p w14:paraId="2A8E027A">
      <w:pPr>
        <w:pStyle w:val="175"/>
        <w:numPr>
          <w:ilvl w:val="0"/>
          <w:numId w:val="34"/>
        </w:numPr>
        <w:rPr>
          <w:color w:val="auto"/>
        </w:rPr>
      </w:pPr>
      <w:r>
        <w:rPr>
          <w:rFonts w:hint="eastAsia"/>
          <w:color w:val="auto"/>
        </w:rPr>
        <w:t>根据政府或有关管理部门安全部署；</w:t>
      </w:r>
    </w:p>
    <w:p w14:paraId="2501D3B2">
      <w:pPr>
        <w:pStyle w:val="175"/>
        <w:numPr>
          <w:ilvl w:val="0"/>
          <w:numId w:val="34"/>
        </w:numPr>
        <w:rPr>
          <w:color w:val="auto"/>
        </w:rPr>
      </w:pPr>
      <w:r>
        <w:rPr>
          <w:rFonts w:hint="eastAsia"/>
          <w:color w:val="auto"/>
        </w:rPr>
        <w:t>需开展专项排查的其他情况。</w:t>
      </w:r>
    </w:p>
    <w:p w14:paraId="5223112E">
      <w:pPr>
        <w:pStyle w:val="166"/>
        <w:rPr>
          <w:color w:val="auto"/>
        </w:rPr>
      </w:pPr>
      <w:r>
        <w:rPr>
          <w:rFonts w:hint="eastAsia"/>
          <w:color w:val="auto"/>
        </w:rPr>
        <w:t>隐患排查过程中，发现情况较为紧急的，运营单位应立即采取划定隔离区域、工作人员现场盯控等防范措施，并及时告知相关人员，防范事态扩大；情况特别紧急的，应视情采取人员疏散、停止作业或停用有关设备</w:t>
      </w:r>
      <w:r>
        <w:rPr>
          <w:rFonts w:hint="eastAsia"/>
          <w:color w:val="auto"/>
          <w:lang w:val="en-US" w:eastAsia="zh-CN"/>
        </w:rPr>
        <w:t>设施</w:t>
      </w:r>
      <w:r>
        <w:rPr>
          <w:rFonts w:hint="eastAsia"/>
          <w:color w:val="auto"/>
        </w:rPr>
        <w:t>、封锁线路或关闭车站等安全控制措施，确保运营安全。</w:t>
      </w:r>
    </w:p>
    <w:p w14:paraId="2656F06C">
      <w:pPr>
        <w:pStyle w:val="166"/>
        <w:rPr>
          <w:color w:val="auto"/>
        </w:rPr>
      </w:pPr>
      <w:r>
        <w:rPr>
          <w:rFonts w:hint="eastAsia"/>
          <w:color w:val="auto"/>
        </w:rPr>
        <w:t>运营单位排查出的安全隐患应落实隐患治理责任人、整改措施、整改期限、</w:t>
      </w:r>
      <w:r>
        <w:rPr>
          <w:rFonts w:hint="eastAsia" w:hAnsi="宋体"/>
          <w:color w:val="auto"/>
          <w:szCs w:val="21"/>
        </w:rPr>
        <w:t>整改资金、验收责任人</w:t>
      </w:r>
      <w:r>
        <w:rPr>
          <w:rFonts w:hint="eastAsia"/>
          <w:color w:val="auto"/>
        </w:rPr>
        <w:t>。排查出的一般隐患，运营单位应立即组织消除；排查出的重大隐患，运营单位应立即上报城市轨道交通运营主管部门，并制定专项治理方案。隐患未整改完毕前应制定可靠的安全控制和防范措施，隐患治理完毕后，应及时组织验收销号。</w:t>
      </w:r>
    </w:p>
    <w:p w14:paraId="7052297C">
      <w:pPr>
        <w:pStyle w:val="166"/>
        <w:rPr>
          <w:color w:val="auto"/>
        </w:rPr>
      </w:pPr>
      <w:r>
        <w:rPr>
          <w:rFonts w:hint="eastAsia"/>
          <w:color w:val="auto"/>
        </w:rPr>
        <w:t>运营单位应建立隐患排查治理工作台账，记录隐患排查治理情况，内容至少包括隐患内容与影响范围、排查人员、排查时间、报告时间、隐患等级、主要治理措施、责任人、治理期限、治理结果、未能立即消除时采取的临时措施及处置效果等。隐患排查治理情况应定期向各级管理人员及相关工作人员通报。</w:t>
      </w:r>
    </w:p>
    <w:p w14:paraId="1B0E7A7A">
      <w:pPr>
        <w:pStyle w:val="105"/>
        <w:spacing w:before="312" w:after="312"/>
        <w:rPr>
          <w:color w:val="auto"/>
        </w:rPr>
      </w:pPr>
      <w:bookmarkStart w:id="174" w:name="_Toc195687474"/>
      <w:bookmarkStart w:id="175" w:name="_Toc204933486"/>
      <w:bookmarkStart w:id="176" w:name="_Toc199167030"/>
      <w:bookmarkStart w:id="177" w:name="_Toc140004968"/>
      <w:bookmarkStart w:id="178" w:name="_Toc128428052"/>
      <w:bookmarkStart w:id="179" w:name="_Toc14081"/>
      <w:bookmarkStart w:id="180" w:name="_Toc128428100"/>
      <w:bookmarkStart w:id="181" w:name="_Toc138770565"/>
      <w:bookmarkStart w:id="182" w:name="_Toc25184"/>
      <w:bookmarkStart w:id="183" w:name="_Toc22255"/>
      <w:bookmarkStart w:id="184" w:name="_Toc135387844"/>
      <w:bookmarkStart w:id="185" w:name="_Toc138770613"/>
      <w:bookmarkStart w:id="186" w:name="_Toc135388020"/>
      <w:bookmarkStart w:id="187" w:name="_Toc22348"/>
      <w:r>
        <w:rPr>
          <w:rFonts w:hint="eastAsia"/>
          <w:color w:val="auto"/>
        </w:rPr>
        <w:t>行车组织安全管理</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57D5AB0">
      <w:pPr>
        <w:pStyle w:val="106"/>
        <w:spacing w:before="156" w:after="156"/>
        <w:rPr>
          <w:color w:val="auto"/>
        </w:rPr>
      </w:pPr>
      <w:bookmarkStart w:id="188" w:name="_Toc128428053"/>
      <w:bookmarkStart w:id="189" w:name="_Toc138770566"/>
      <w:r>
        <w:rPr>
          <w:rFonts w:hint="eastAsia"/>
          <w:color w:val="auto"/>
        </w:rPr>
        <w:t>一般要求</w:t>
      </w:r>
      <w:bookmarkEnd w:id="188"/>
      <w:bookmarkEnd w:id="189"/>
    </w:p>
    <w:p w14:paraId="050CC68B">
      <w:pPr>
        <w:pStyle w:val="166"/>
        <w:rPr>
          <w:color w:val="auto"/>
        </w:rPr>
      </w:pPr>
      <w:r>
        <w:rPr>
          <w:rFonts w:hint="eastAsia"/>
          <w:color w:val="auto"/>
        </w:rPr>
        <w:t>行车组织工作应</w:t>
      </w:r>
      <w:r>
        <w:rPr>
          <w:rFonts w:hint="eastAsia"/>
          <w:color w:val="auto"/>
          <w:lang w:eastAsia="zh-CN"/>
        </w:rPr>
        <w:t>以</w:t>
      </w:r>
      <w:r>
        <w:rPr>
          <w:rFonts w:hint="eastAsia"/>
          <w:color w:val="auto"/>
        </w:rPr>
        <w:t>安全</w:t>
      </w:r>
      <w:r>
        <w:rPr>
          <w:rFonts w:hint="eastAsia"/>
          <w:color w:val="auto"/>
          <w:lang w:val="en-US" w:eastAsia="zh-CN"/>
        </w:rPr>
        <w:t>为核心</w:t>
      </w:r>
      <w:r>
        <w:rPr>
          <w:rFonts w:hint="eastAsia"/>
          <w:color w:val="auto"/>
        </w:rPr>
        <w:t>，</w:t>
      </w:r>
      <w:r>
        <w:rPr>
          <w:rFonts w:hint="eastAsia"/>
          <w:color w:val="auto"/>
          <w:lang w:val="en-US" w:eastAsia="zh-CN"/>
        </w:rPr>
        <w:t>坚持</w:t>
      </w:r>
      <w:r>
        <w:rPr>
          <w:rFonts w:hint="eastAsia"/>
          <w:color w:val="auto"/>
        </w:rPr>
        <w:t>统一指挥、分级管理、协同联动的原则。</w:t>
      </w:r>
    </w:p>
    <w:p w14:paraId="5629633D">
      <w:pPr>
        <w:pStyle w:val="166"/>
        <w:rPr>
          <w:color w:val="auto"/>
        </w:rPr>
      </w:pPr>
      <w:r>
        <w:rPr>
          <w:rFonts w:hint="eastAsia"/>
          <w:color w:val="auto"/>
        </w:rPr>
        <w:t>运营单位应健全线网控制中心指挥功能、合理匹配换乘站客流、完善线网应急保障体系。</w:t>
      </w:r>
    </w:p>
    <w:p w14:paraId="3F86E98E">
      <w:pPr>
        <w:pStyle w:val="166"/>
        <w:rPr>
          <w:color w:val="auto"/>
        </w:rPr>
      </w:pPr>
      <w:r>
        <w:rPr>
          <w:rFonts w:hint="eastAsia"/>
          <w:color w:val="auto"/>
        </w:rPr>
        <w:t>运营单位应结合本单位运营管理实际需要，制定各线路行车组织规则。</w:t>
      </w:r>
    </w:p>
    <w:p w14:paraId="0CD10377">
      <w:pPr>
        <w:pStyle w:val="166"/>
        <w:rPr>
          <w:color w:val="auto"/>
        </w:rPr>
      </w:pPr>
      <w:r>
        <w:rPr>
          <w:rFonts w:hint="eastAsia"/>
          <w:color w:val="auto"/>
        </w:rPr>
        <w:t>运营单位应合理制定行车计划</w:t>
      </w:r>
      <w:r>
        <w:rPr>
          <w:rFonts w:hint="eastAsia"/>
          <w:color w:val="auto"/>
          <w:lang w:eastAsia="zh-CN"/>
        </w:rPr>
        <w:t>，</w:t>
      </w:r>
      <w:r>
        <w:rPr>
          <w:rFonts w:hint="eastAsia"/>
          <w:color w:val="auto"/>
        </w:rPr>
        <w:t>内容</w:t>
      </w:r>
      <w:r>
        <w:rPr>
          <w:rFonts w:hint="eastAsia"/>
          <w:color w:val="auto"/>
          <w:lang w:val="en-US" w:eastAsia="zh-CN"/>
        </w:rPr>
        <w:t>应</w:t>
      </w:r>
      <w:r>
        <w:rPr>
          <w:rFonts w:hint="eastAsia"/>
          <w:color w:val="auto"/>
        </w:rPr>
        <w:t>包括列车运行图、车辆运用计划、施工作业计划、乘务计划等。</w:t>
      </w:r>
    </w:p>
    <w:p w14:paraId="38095545">
      <w:pPr>
        <w:pStyle w:val="166"/>
        <w:rPr>
          <w:color w:val="auto"/>
        </w:rPr>
      </w:pPr>
      <w:r>
        <w:rPr>
          <w:rFonts w:hint="eastAsia"/>
          <w:color w:val="auto"/>
          <w:lang w:val="en-US" w:eastAsia="zh-CN"/>
        </w:rPr>
        <w:t>运营单位行车指挥层级应分为线网级、区域级和线路级。</w:t>
      </w:r>
      <w:r>
        <w:rPr>
          <w:rFonts w:hint="eastAsia"/>
          <w:color w:val="auto"/>
        </w:rPr>
        <w:t>线网级负责监视线网运行状态、统筹线网运营生产、组织应急情况下线网列车运行调整，以及对外联络协调</w:t>
      </w:r>
      <w:r>
        <w:rPr>
          <w:rFonts w:hint="eastAsia"/>
          <w:color w:val="auto"/>
          <w:lang w:eastAsia="zh-CN"/>
        </w:rPr>
        <w:t>；</w:t>
      </w:r>
      <w:r>
        <w:rPr>
          <w:rFonts w:hint="eastAsia"/>
          <w:color w:val="auto"/>
        </w:rPr>
        <w:t>区域级负责监视所辖线路运行状态、统筹所辖线路运营生产，以及组织应急情况下所辖线路列车运行调整</w:t>
      </w:r>
      <w:r>
        <w:rPr>
          <w:rFonts w:hint="eastAsia"/>
          <w:color w:val="auto"/>
          <w:lang w:eastAsia="zh-CN"/>
        </w:rPr>
        <w:t>；</w:t>
      </w:r>
      <w:r>
        <w:rPr>
          <w:rFonts w:hint="eastAsia"/>
          <w:color w:val="auto"/>
        </w:rPr>
        <w:t>线路级负责本线路运行计划执行和调整、应急指挥和处置。</w:t>
      </w:r>
    </w:p>
    <w:p w14:paraId="18DBBEC6">
      <w:pPr>
        <w:pStyle w:val="166"/>
        <w:rPr>
          <w:color w:val="auto"/>
        </w:rPr>
      </w:pPr>
      <w:r>
        <w:rPr>
          <w:rFonts w:hint="eastAsia"/>
          <w:color w:val="auto"/>
        </w:rPr>
        <w:t>运营单位应落实调度命令的发布、执行规定，调度命令的内容和传达应准确、简明、规范。对于已发布的行车调度命令，受令人发现有错、漏或现场情况发生变化执行存在安全风险时，应立即停止执行并报告发令人；发令人接报或发现有错、漏或现场情况发生变化执行存在安全风险时应立即取消前发命令，重新发布全部内容的行车调度命令。</w:t>
      </w:r>
    </w:p>
    <w:p w14:paraId="41327BBC">
      <w:pPr>
        <w:pStyle w:val="166"/>
        <w:rPr>
          <w:color w:val="auto"/>
        </w:rPr>
      </w:pPr>
      <w:r>
        <w:rPr>
          <w:rFonts w:hint="eastAsia"/>
          <w:color w:val="auto"/>
        </w:rPr>
        <w:t>运营单位应落实调车作业限速、安全防护、调试作业等安全规定，保证调车作业安全；运营单位应落实试车线限速、安全防护、停送电、调试作业等安全规定，保证试车线作业安全。</w:t>
      </w:r>
    </w:p>
    <w:p w14:paraId="48C1B1EA">
      <w:pPr>
        <w:pStyle w:val="106"/>
        <w:spacing w:before="156" w:after="156"/>
        <w:rPr>
          <w:color w:val="auto"/>
        </w:rPr>
      </w:pPr>
      <w:bookmarkStart w:id="190" w:name="_Toc128428054"/>
      <w:bookmarkStart w:id="191" w:name="_Toc138770567"/>
      <w:r>
        <w:rPr>
          <w:rFonts w:hint="eastAsia"/>
          <w:color w:val="auto"/>
        </w:rPr>
        <w:t>正常情况下的行车组织</w:t>
      </w:r>
      <w:bookmarkEnd w:id="190"/>
      <w:bookmarkEnd w:id="191"/>
    </w:p>
    <w:p w14:paraId="49D336F3">
      <w:pPr>
        <w:pStyle w:val="166"/>
        <w:rPr>
          <w:color w:val="auto"/>
        </w:rPr>
      </w:pPr>
      <w:r>
        <w:rPr>
          <w:rFonts w:hint="eastAsia"/>
          <w:color w:val="auto"/>
        </w:rPr>
        <w:t>行车相关岗位应按列车运行计划开展正常情况下的行车组织工作，最大限度地确保列车运行计划的兑现。</w:t>
      </w:r>
    </w:p>
    <w:p w14:paraId="46EFD30E">
      <w:pPr>
        <w:pStyle w:val="166"/>
        <w:rPr>
          <w:color w:val="auto"/>
        </w:rPr>
      </w:pPr>
      <w:r>
        <w:rPr>
          <w:rFonts w:hint="eastAsia"/>
          <w:color w:val="auto"/>
        </w:rPr>
        <w:t>行车相关岗位应按规章制度、岗位流程等要求操作，保障行车安全、准点。</w:t>
      </w:r>
    </w:p>
    <w:p w14:paraId="7980A490">
      <w:pPr>
        <w:pStyle w:val="166"/>
        <w:rPr>
          <w:color w:val="auto"/>
        </w:rPr>
      </w:pPr>
      <w:r>
        <w:rPr>
          <w:rFonts w:hint="eastAsia"/>
          <w:color w:val="auto"/>
        </w:rPr>
        <w:t>运营单位应做好行车组织与客运组织的有效衔接，各行车相关部门做好联动配合。</w:t>
      </w:r>
    </w:p>
    <w:p w14:paraId="51531D6E">
      <w:pPr>
        <w:pStyle w:val="106"/>
        <w:spacing w:before="156" w:after="156"/>
        <w:rPr>
          <w:color w:val="auto"/>
        </w:rPr>
      </w:pPr>
      <w:bookmarkStart w:id="192" w:name="_Toc138770568"/>
      <w:bookmarkStart w:id="193" w:name="_Toc128428055"/>
      <w:r>
        <w:rPr>
          <w:rFonts w:hint="eastAsia"/>
          <w:color w:val="auto"/>
        </w:rPr>
        <w:t>非正常情况和应急情况下的行车组织</w:t>
      </w:r>
      <w:bookmarkEnd w:id="192"/>
      <w:bookmarkEnd w:id="193"/>
    </w:p>
    <w:p w14:paraId="7C9CE205">
      <w:pPr>
        <w:pStyle w:val="166"/>
        <w:rPr>
          <w:color w:val="auto"/>
        </w:rPr>
      </w:pPr>
      <w:r>
        <w:rPr>
          <w:rFonts w:hint="eastAsia"/>
          <w:color w:val="auto"/>
        </w:rPr>
        <w:t>运营单位应制定非正常情况下的行车组织方案，明确相关岗位的操作流程和行车安全注意事项。</w:t>
      </w:r>
    </w:p>
    <w:p w14:paraId="2997CA96">
      <w:pPr>
        <w:pStyle w:val="166"/>
        <w:rPr>
          <w:color w:val="auto"/>
        </w:rPr>
      </w:pPr>
      <w:r>
        <w:rPr>
          <w:rFonts w:hint="eastAsia"/>
          <w:color w:val="auto"/>
        </w:rPr>
        <w:t>运营单位应针对设备设施可能出现的故障类型、影响程度和突发事件编制行车应急预案。</w:t>
      </w:r>
    </w:p>
    <w:p w14:paraId="3F439E34">
      <w:pPr>
        <w:pStyle w:val="166"/>
        <w:rPr>
          <w:color w:val="auto"/>
        </w:rPr>
      </w:pPr>
      <w:r>
        <w:rPr>
          <w:rFonts w:hint="eastAsia"/>
          <w:color w:val="auto"/>
        </w:rPr>
        <w:t>行车相关人员发现可能危及行车安全或运营秩序的情况时，应及时向行车调度人员报告；遇突发危及人身安全、行车安全的情况，可先行采取紧急安全防护措施，再报告行车调度人员。</w:t>
      </w:r>
    </w:p>
    <w:p w14:paraId="20191632">
      <w:pPr>
        <w:pStyle w:val="166"/>
        <w:rPr>
          <w:color w:val="auto"/>
        </w:rPr>
      </w:pPr>
      <w:r>
        <w:rPr>
          <w:rFonts w:hint="eastAsia"/>
          <w:color w:val="auto"/>
        </w:rPr>
        <w:t>遇</w:t>
      </w:r>
      <w:r>
        <w:rPr>
          <w:rFonts w:hint="eastAsia"/>
          <w:color w:val="auto"/>
          <w:lang w:val="en-US" w:eastAsia="zh-CN"/>
        </w:rPr>
        <w:t>恶劣</w:t>
      </w:r>
      <w:r>
        <w:rPr>
          <w:rFonts w:hint="eastAsia"/>
          <w:color w:val="auto"/>
        </w:rPr>
        <w:t>天气时，</w:t>
      </w:r>
      <w:r>
        <w:rPr>
          <w:rFonts w:hint="eastAsia"/>
          <w:color w:val="auto"/>
          <w:lang w:val="en-US" w:eastAsia="zh-CN"/>
        </w:rPr>
        <w:t>运营单位应采取加强瞭望、限速、停运、封站等措施，按规定组织行车调整。</w:t>
      </w:r>
    </w:p>
    <w:p w14:paraId="7D7545D1">
      <w:pPr>
        <w:pStyle w:val="166"/>
        <w:rPr>
          <w:color w:val="auto"/>
        </w:rPr>
      </w:pPr>
      <w:r>
        <w:rPr>
          <w:rFonts w:hint="eastAsia"/>
          <w:color w:val="auto"/>
        </w:rPr>
        <w:t>正线突发事件导致行车中断或行车大间隔时，运营单位应组织运营列车在中间站折返调整行车间隔或在相关区段执行小交路运行，最大限度减少对客服带来的影响。执行小交路除充分考虑折返能力外，还应考虑执行小交路后全线列车分布均衡情况。</w:t>
      </w:r>
    </w:p>
    <w:p w14:paraId="170451F9">
      <w:pPr>
        <w:pStyle w:val="105"/>
        <w:spacing w:before="312" w:after="312"/>
        <w:rPr>
          <w:color w:val="auto"/>
        </w:rPr>
      </w:pPr>
      <w:bookmarkStart w:id="194" w:name="_Toc138770614"/>
      <w:bookmarkStart w:id="195" w:name="_Toc135387845"/>
      <w:bookmarkStart w:id="196" w:name="_Toc135388021"/>
      <w:bookmarkStart w:id="197" w:name="_Toc850"/>
      <w:bookmarkStart w:id="198" w:name="_Toc195687475"/>
      <w:bookmarkStart w:id="199" w:name="_Toc204933487"/>
      <w:bookmarkStart w:id="200" w:name="_Toc199167032"/>
      <w:bookmarkStart w:id="201" w:name="_Toc128428056"/>
      <w:bookmarkStart w:id="202" w:name="_Toc140004969"/>
      <w:bookmarkStart w:id="203" w:name="_Toc138770569"/>
      <w:bookmarkStart w:id="204" w:name="_Toc128428101"/>
      <w:r>
        <w:rPr>
          <w:rFonts w:hint="eastAsia"/>
          <w:color w:val="auto"/>
        </w:rPr>
        <w:t>客运组织安全管理</w:t>
      </w:r>
      <w:bookmarkEnd w:id="194"/>
      <w:bookmarkEnd w:id="195"/>
      <w:bookmarkEnd w:id="196"/>
      <w:bookmarkEnd w:id="197"/>
      <w:bookmarkEnd w:id="198"/>
      <w:bookmarkEnd w:id="199"/>
      <w:bookmarkEnd w:id="200"/>
      <w:bookmarkEnd w:id="201"/>
      <w:bookmarkEnd w:id="202"/>
      <w:bookmarkEnd w:id="203"/>
      <w:bookmarkEnd w:id="204"/>
    </w:p>
    <w:p w14:paraId="1BC9786E">
      <w:pPr>
        <w:pStyle w:val="163"/>
        <w:rPr>
          <w:color w:val="auto"/>
        </w:rPr>
      </w:pPr>
      <w:r>
        <w:rPr>
          <w:rFonts w:hint="eastAsia"/>
          <w:color w:val="auto"/>
        </w:rPr>
        <w:t>各线路应制定保证列车计划运行完成的客运组织方案。</w:t>
      </w:r>
    </w:p>
    <w:p w14:paraId="1B1DC591">
      <w:pPr>
        <w:pStyle w:val="163"/>
        <w:rPr>
          <w:color w:val="auto"/>
        </w:rPr>
      </w:pPr>
      <w:r>
        <w:rPr>
          <w:rFonts w:hint="eastAsia"/>
          <w:color w:val="auto"/>
        </w:rPr>
        <w:t>运营单位应建立客流监测机制，明确大客流控制预警值、管控措施启动及解除条件。</w:t>
      </w:r>
    </w:p>
    <w:p w14:paraId="60310897">
      <w:pPr>
        <w:pStyle w:val="163"/>
        <w:rPr>
          <w:color w:val="auto"/>
          <w:shd w:val="clear" w:color="auto" w:fill="FFFF00"/>
        </w:rPr>
      </w:pPr>
      <w:r>
        <w:rPr>
          <w:rFonts w:hint="eastAsia"/>
          <w:color w:val="auto"/>
        </w:rPr>
        <w:t>车站内设置的广告设施和商业网点应符合相关技术标准规范，不应影响轨道交通运营安全及服务质</w:t>
      </w:r>
      <w:r>
        <w:rPr>
          <w:rFonts w:hint="eastAsia"/>
          <w:color w:val="auto"/>
          <w:shd w:val="clear" w:color="auto" w:fill="FFFFFF" w:themeFill="background1"/>
        </w:rPr>
        <w:t>量。运营单位应对商业主体进行监管。</w:t>
      </w:r>
    </w:p>
    <w:p w14:paraId="54237C8B">
      <w:pPr>
        <w:pStyle w:val="163"/>
        <w:rPr>
          <w:color w:val="auto"/>
        </w:rPr>
      </w:pPr>
      <w:r>
        <w:rPr>
          <w:rFonts w:hint="eastAsia"/>
          <w:color w:val="auto"/>
        </w:rPr>
        <w:t>车站应根据本站客流流线组织乘客进出站、换乘。因新线开通、车站客流变化、车站设备设施布局改变、枢纽站衔接等，需要对客流流线进行调整的，应对车站整体客流流线、人员疏散进行统筹论证，必要时可组织专家进行风险评估。</w:t>
      </w:r>
    </w:p>
    <w:p w14:paraId="706DCBB7">
      <w:pPr>
        <w:pStyle w:val="163"/>
        <w:rPr>
          <w:color w:val="auto"/>
        </w:rPr>
      </w:pPr>
      <w:r>
        <w:rPr>
          <w:rFonts w:hint="eastAsia"/>
          <w:color w:val="auto"/>
        </w:rPr>
        <w:t>车站应制定本站客运组织方案和现场处置方案，并组织实施。</w:t>
      </w:r>
    </w:p>
    <w:p w14:paraId="3F2D28E9">
      <w:pPr>
        <w:pStyle w:val="163"/>
        <w:rPr>
          <w:color w:val="auto"/>
        </w:rPr>
      </w:pPr>
      <w:r>
        <w:rPr>
          <w:rFonts w:hint="eastAsia"/>
          <w:color w:val="auto"/>
        </w:rPr>
        <w:t>关闭车站出入口或换乘通道、暂停车站使用、缩短运营时间，运营单位应提前报告城市轨道交通运营主管部门并向社会公告。</w:t>
      </w:r>
    </w:p>
    <w:p w14:paraId="42874F2E">
      <w:pPr>
        <w:pStyle w:val="163"/>
        <w:rPr>
          <w:color w:val="auto"/>
        </w:rPr>
      </w:pPr>
      <w:r>
        <w:rPr>
          <w:rFonts w:hint="eastAsia"/>
          <w:color w:val="auto"/>
        </w:rPr>
        <w:t>车站工作人员应履行下列安全管理职责：</w:t>
      </w:r>
    </w:p>
    <w:p w14:paraId="5BF57E10">
      <w:pPr>
        <w:pStyle w:val="175"/>
        <w:numPr>
          <w:ilvl w:val="0"/>
          <w:numId w:val="38"/>
        </w:numPr>
        <w:rPr>
          <w:color w:val="auto"/>
        </w:rPr>
      </w:pPr>
      <w:r>
        <w:rPr>
          <w:rFonts w:hint="eastAsia"/>
          <w:color w:val="auto"/>
        </w:rPr>
        <w:t>维护站内秩序，引导乘客有序乘降，发生险情时，及时组织乘客疏散；</w:t>
      </w:r>
    </w:p>
    <w:p w14:paraId="73F20A4B">
      <w:pPr>
        <w:pStyle w:val="175"/>
        <w:numPr>
          <w:ilvl w:val="0"/>
          <w:numId w:val="34"/>
        </w:numPr>
        <w:rPr>
          <w:color w:val="auto"/>
        </w:rPr>
      </w:pPr>
      <w:r>
        <w:rPr>
          <w:rFonts w:hint="eastAsia"/>
          <w:color w:val="auto"/>
        </w:rPr>
        <w:t>做好乘客咨询服务，提醒乘客安全注意事项；</w:t>
      </w:r>
    </w:p>
    <w:p w14:paraId="2781E153">
      <w:pPr>
        <w:pStyle w:val="175"/>
        <w:numPr>
          <w:ilvl w:val="0"/>
          <w:numId w:val="34"/>
        </w:numPr>
        <w:rPr>
          <w:color w:val="auto"/>
        </w:rPr>
      </w:pPr>
      <w:r>
        <w:rPr>
          <w:rFonts w:hint="eastAsia"/>
          <w:color w:val="auto"/>
        </w:rPr>
        <w:t xml:space="preserve">巡视检查车站公共区域，运营期间两次巡视时间间隔不超过3小时，特殊情况下应按相关要求增加巡视频次。及时劝导、制止可能导致危险发生的行为，必要时应报告公安机关处置； </w:t>
      </w:r>
    </w:p>
    <w:p w14:paraId="3CADED37">
      <w:pPr>
        <w:pStyle w:val="175"/>
        <w:numPr>
          <w:ilvl w:val="0"/>
          <w:numId w:val="34"/>
        </w:numPr>
        <w:rPr>
          <w:color w:val="auto"/>
        </w:rPr>
      </w:pPr>
      <w:r>
        <w:rPr>
          <w:rFonts w:hint="eastAsia"/>
          <w:color w:val="auto"/>
        </w:rPr>
        <w:t>发现风险隐患，应及时采取措施并报告。</w:t>
      </w:r>
    </w:p>
    <w:p w14:paraId="77723C6E">
      <w:pPr>
        <w:pStyle w:val="163"/>
        <w:rPr>
          <w:color w:val="auto"/>
        </w:rPr>
      </w:pPr>
      <w:r>
        <w:rPr>
          <w:rFonts w:hint="eastAsia"/>
          <w:color w:val="auto"/>
        </w:rPr>
        <w:t>运营单位应在车站站台、站厅、出入口、疏散通道、区间、列车车厢及其他运营场所按规定设置安全警示标志和导向标识。</w:t>
      </w:r>
    </w:p>
    <w:p w14:paraId="748545EA">
      <w:pPr>
        <w:pStyle w:val="163"/>
        <w:rPr>
          <w:color w:val="auto"/>
        </w:rPr>
      </w:pPr>
      <w:r>
        <w:rPr>
          <w:rFonts w:hint="eastAsia"/>
          <w:color w:val="auto"/>
        </w:rPr>
        <w:t>遇危及乘客安全的情况时，车站应及时启动应急预案，通过广播、乘客信息系统、互联网信息系统等方式告知乘客，并组织疏散。</w:t>
      </w:r>
    </w:p>
    <w:p w14:paraId="37D808E3">
      <w:pPr>
        <w:pStyle w:val="163"/>
        <w:rPr>
          <w:color w:val="auto"/>
        </w:rPr>
      </w:pPr>
      <w:r>
        <w:rPr>
          <w:rFonts w:hint="eastAsia"/>
          <w:color w:val="auto"/>
        </w:rPr>
        <w:t>运营单位应与车站出入口属地，连通的物业、商铺，客运枢纽等相关单位明确车站管辖界线和安全管理责任，并建立协调联动机制。</w:t>
      </w:r>
    </w:p>
    <w:p w14:paraId="75D9AF13">
      <w:pPr>
        <w:pStyle w:val="163"/>
        <w:rPr>
          <w:color w:val="auto"/>
        </w:rPr>
      </w:pPr>
      <w:r>
        <w:rPr>
          <w:rFonts w:hint="eastAsia"/>
          <w:color w:val="auto"/>
        </w:rPr>
        <w:t>共管换乘车站由不同单位管理的，应签订相关管理协议，明确双方管理界面、客流流线、</w:t>
      </w:r>
      <w:r>
        <w:rPr>
          <w:rFonts w:hint="eastAsia"/>
          <w:color w:val="auto"/>
          <w:lang w:val="en-US" w:eastAsia="zh-CN"/>
        </w:rPr>
        <w:t>应急联动机制</w:t>
      </w:r>
      <w:r>
        <w:rPr>
          <w:rFonts w:hint="eastAsia"/>
          <w:color w:val="auto"/>
        </w:rPr>
        <w:t>等。</w:t>
      </w:r>
    </w:p>
    <w:p w14:paraId="3B1E5819">
      <w:pPr>
        <w:pStyle w:val="163"/>
        <w:rPr>
          <w:color w:val="auto"/>
        </w:rPr>
      </w:pPr>
      <w:r>
        <w:rPr>
          <w:rFonts w:hint="eastAsia"/>
          <w:color w:val="auto"/>
        </w:rPr>
        <w:t>车站票务管理和客服中心功能用房应时刻保持离人即锁闭状态，配置视频监控装置，对出入人员进行监控。</w:t>
      </w:r>
    </w:p>
    <w:p w14:paraId="16269C03">
      <w:pPr>
        <w:pStyle w:val="163"/>
        <w:rPr>
          <w:color w:val="auto"/>
        </w:rPr>
      </w:pPr>
      <w:r>
        <w:rPr>
          <w:rFonts w:hint="eastAsia"/>
          <w:color w:val="auto"/>
        </w:rPr>
        <w:t>现金管理应符合以下要求：</w:t>
      </w:r>
    </w:p>
    <w:p w14:paraId="623BEC44">
      <w:pPr>
        <w:pStyle w:val="175"/>
        <w:numPr>
          <w:ilvl w:val="0"/>
          <w:numId w:val="39"/>
        </w:numPr>
        <w:rPr>
          <w:color w:val="auto"/>
        </w:rPr>
      </w:pPr>
      <w:r>
        <w:rPr>
          <w:rFonts w:hint="eastAsia"/>
          <w:color w:val="auto"/>
        </w:rPr>
        <w:t>车站现金应存放在现金安全区域，包括票务管理室、客服中心、自动售票机。现金安全区域监控设备应全天24小时开启；</w:t>
      </w:r>
    </w:p>
    <w:p w14:paraId="2FE3C9FD">
      <w:pPr>
        <w:pStyle w:val="175"/>
        <w:numPr>
          <w:ilvl w:val="0"/>
          <w:numId w:val="34"/>
        </w:numPr>
        <w:rPr>
          <w:color w:val="auto"/>
        </w:rPr>
      </w:pPr>
      <w:r>
        <w:rPr>
          <w:rFonts w:hint="eastAsia"/>
          <w:color w:val="auto"/>
        </w:rPr>
        <w:t>应按规定做好现金的使用、交接、票款解行等工作。</w:t>
      </w:r>
    </w:p>
    <w:p w14:paraId="50C8CE38">
      <w:pPr>
        <w:pStyle w:val="105"/>
        <w:spacing w:before="312" w:after="312"/>
        <w:rPr>
          <w:color w:val="auto"/>
        </w:rPr>
      </w:pPr>
      <w:bookmarkStart w:id="205" w:name="_Toc199167031"/>
      <w:bookmarkStart w:id="206" w:name="_Toc204933488"/>
      <w:bookmarkStart w:id="207" w:name="_Toc18344"/>
      <w:bookmarkStart w:id="208" w:name="_Toc135388023"/>
      <w:bookmarkStart w:id="209" w:name="_Toc195687477"/>
      <w:bookmarkStart w:id="210" w:name="_Toc140004971"/>
      <w:bookmarkStart w:id="211" w:name="_Toc128428062"/>
      <w:bookmarkStart w:id="212" w:name="_Toc128428103"/>
      <w:bookmarkStart w:id="213" w:name="_Toc138770616"/>
      <w:bookmarkStart w:id="214" w:name="_Toc199167033"/>
      <w:bookmarkStart w:id="215" w:name="_Toc135387847"/>
      <w:bookmarkStart w:id="216" w:name="_Toc3713"/>
      <w:bookmarkStart w:id="217" w:name="_Toc138770575"/>
      <w:r>
        <w:rPr>
          <w:rFonts w:hint="eastAsia"/>
          <w:color w:val="auto"/>
        </w:rPr>
        <w:t>施工作业安全管理</w:t>
      </w:r>
      <w:bookmarkEnd w:id="205"/>
      <w:bookmarkEnd w:id="206"/>
      <w:bookmarkEnd w:id="207"/>
    </w:p>
    <w:p w14:paraId="429C15FB">
      <w:pPr>
        <w:pStyle w:val="106"/>
        <w:spacing w:before="156" w:after="156"/>
        <w:rPr>
          <w:color w:val="auto"/>
        </w:rPr>
      </w:pPr>
      <w:r>
        <w:rPr>
          <w:rFonts w:hint="eastAsia"/>
          <w:color w:val="auto"/>
        </w:rPr>
        <w:t>一般要求</w:t>
      </w:r>
    </w:p>
    <w:p w14:paraId="79041DA4">
      <w:pPr>
        <w:pStyle w:val="166"/>
        <w:rPr>
          <w:color w:val="auto"/>
        </w:rPr>
      </w:pPr>
      <w:r>
        <w:rPr>
          <w:rFonts w:hint="eastAsia"/>
          <w:color w:val="auto"/>
        </w:rPr>
        <w:t>运营单位应合理安排施工作业计划，落实请销点制度，做好施工作业安全防护。</w:t>
      </w:r>
    </w:p>
    <w:p w14:paraId="4457E2F2">
      <w:pPr>
        <w:pStyle w:val="166"/>
        <w:rPr>
          <w:color w:val="auto"/>
        </w:rPr>
      </w:pPr>
      <w:r>
        <w:rPr>
          <w:rFonts w:hint="eastAsia"/>
          <w:color w:val="auto"/>
          <w:lang w:val="en-US" w:eastAsia="zh-CN"/>
        </w:rPr>
        <w:t>运营单位应根据作业影响范围、作业内容复杂程度，对施工作业进行分级分类管理。</w:t>
      </w:r>
      <w:r>
        <w:rPr>
          <w:rFonts w:hint="eastAsia"/>
          <w:color w:val="auto"/>
        </w:rPr>
        <w:t>动火、高处、临时用电、有限空间、起重吊装等危险作业前应制定详细的作业方案，通过审批后方可作业。</w:t>
      </w:r>
    </w:p>
    <w:p w14:paraId="2DF20627">
      <w:pPr>
        <w:pStyle w:val="166"/>
        <w:rPr>
          <w:color w:val="auto"/>
        </w:rPr>
      </w:pPr>
      <w:r>
        <w:rPr>
          <w:rFonts w:hint="eastAsia"/>
          <w:color w:val="auto"/>
        </w:rPr>
        <w:t>进入正线、配线及其他影响行车安全的施工作业前应得到当值行车调度员审批同意；进入车辆基地线路及影响车辆基地行车的设备施工应得到车辆基地调度员审批同意。</w:t>
      </w:r>
    </w:p>
    <w:p w14:paraId="38E2DD76">
      <w:pPr>
        <w:pStyle w:val="166"/>
        <w:rPr>
          <w:color w:val="auto"/>
        </w:rPr>
      </w:pPr>
      <w:r>
        <w:rPr>
          <w:rFonts w:hint="eastAsia"/>
          <w:color w:val="auto"/>
        </w:rPr>
        <w:t>车站公共区域施工作业应安排在非运营时间进行。确需在运营时间进行的，运营单位应采取划定隔离区域、围蔽、工作人员现场盯控等安全防护措施，加强客流疏导，对乘客做好解释说明。</w:t>
      </w:r>
    </w:p>
    <w:p w14:paraId="7256C2CB">
      <w:pPr>
        <w:pStyle w:val="166"/>
        <w:rPr>
          <w:color w:val="auto"/>
        </w:rPr>
      </w:pPr>
      <w:r>
        <w:rPr>
          <w:rFonts w:hint="eastAsia"/>
          <w:color w:val="auto"/>
        </w:rPr>
        <w:t>运营单位应做好设备设施维护施工管理，施工过程中应严格落实施工区域管理、请销点登记、动火作业及临时用电等制度，加强安全防护和质量监控。由外单位进行施工作业的，运营单位应组织签订安全协议，明确安全责任，在轨行区等重点区域施工的，运营单位应安排专人旁站监督。</w:t>
      </w:r>
    </w:p>
    <w:p w14:paraId="057BD82A">
      <w:pPr>
        <w:pStyle w:val="106"/>
        <w:spacing w:before="156" w:after="156"/>
        <w:rPr>
          <w:color w:val="auto"/>
        </w:rPr>
      </w:pPr>
      <w:r>
        <w:rPr>
          <w:rFonts w:hint="eastAsia"/>
          <w:color w:val="auto"/>
        </w:rPr>
        <w:t>运营期间的抢修</w:t>
      </w:r>
    </w:p>
    <w:p w14:paraId="7B2084D1">
      <w:pPr>
        <w:pStyle w:val="166"/>
        <w:rPr>
          <w:color w:val="auto"/>
        </w:rPr>
      </w:pPr>
      <w:r>
        <w:rPr>
          <w:rFonts w:hint="eastAsia"/>
          <w:color w:val="auto"/>
        </w:rPr>
        <w:t>设备设施故障抢修应优先采取措施</w:t>
      </w:r>
      <w:r>
        <w:rPr>
          <w:rFonts w:hint="eastAsia"/>
          <w:color w:val="auto"/>
          <w:lang w:val="en-US" w:eastAsia="zh-CN"/>
        </w:rPr>
        <w:t>确保乘客安全和行车安全</w:t>
      </w:r>
      <w:r>
        <w:rPr>
          <w:rFonts w:hint="eastAsia"/>
          <w:color w:val="auto"/>
        </w:rPr>
        <w:t>。</w:t>
      </w:r>
    </w:p>
    <w:p w14:paraId="299443A8">
      <w:pPr>
        <w:pStyle w:val="166"/>
        <w:rPr>
          <w:color w:val="auto"/>
        </w:rPr>
      </w:pPr>
      <w:r>
        <w:rPr>
          <w:rFonts w:hint="eastAsia"/>
          <w:color w:val="auto"/>
        </w:rPr>
        <w:t>抢修人员应在获得行车调度员批准并落实安全防护措施后，才准许进入轨行区抢修。</w:t>
      </w:r>
    </w:p>
    <w:p w14:paraId="61B76F89">
      <w:pPr>
        <w:pStyle w:val="166"/>
        <w:rPr>
          <w:color w:val="auto"/>
        </w:rPr>
      </w:pPr>
      <w:r>
        <w:rPr>
          <w:rFonts w:hint="eastAsia"/>
          <w:color w:val="auto"/>
          <w:lang w:val="en-US" w:eastAsia="zh-CN"/>
        </w:rPr>
        <w:t>抢修期间应全程做好安全监护，经确认满足运营条件后，方可申请销点恢复运营。</w:t>
      </w:r>
    </w:p>
    <w:p w14:paraId="37F45614">
      <w:pPr>
        <w:pStyle w:val="106"/>
        <w:spacing w:before="156" w:after="156"/>
        <w:rPr>
          <w:color w:val="auto"/>
        </w:rPr>
      </w:pPr>
      <w:r>
        <w:rPr>
          <w:rFonts w:hint="eastAsia"/>
          <w:color w:val="auto"/>
        </w:rPr>
        <w:t>非运营期间的施工作业</w:t>
      </w:r>
    </w:p>
    <w:p w14:paraId="33971322">
      <w:pPr>
        <w:pStyle w:val="166"/>
        <w:rPr>
          <w:color w:val="auto"/>
        </w:rPr>
      </w:pPr>
      <w:r>
        <w:rPr>
          <w:rFonts w:hint="eastAsia"/>
          <w:color w:val="auto"/>
        </w:rPr>
        <w:t>非运营期间，应按施工作业计划对各设备设施进行施工作业。</w:t>
      </w:r>
    </w:p>
    <w:p w14:paraId="45C5DF56">
      <w:pPr>
        <w:pStyle w:val="166"/>
        <w:rPr>
          <w:color w:val="auto"/>
        </w:rPr>
      </w:pPr>
      <w:r>
        <w:rPr>
          <w:rFonts w:hint="eastAsia"/>
          <w:color w:val="auto"/>
        </w:rPr>
        <w:t>开展各类施工作业时，应执行请销点制度和流程，并对检修的设备设施技术参数和功能进行测试，保证符合检修技术规程标准和要求。施工结束后，应确保现场人员、工器具、材料等已全部撤离施工现场。</w:t>
      </w:r>
    </w:p>
    <w:p w14:paraId="5315B3DE">
      <w:pPr>
        <w:pStyle w:val="106"/>
        <w:spacing w:before="156" w:after="156"/>
        <w:rPr>
          <w:color w:val="auto"/>
        </w:rPr>
      </w:pPr>
      <w:r>
        <w:rPr>
          <w:rFonts w:hint="eastAsia"/>
          <w:color w:val="auto"/>
        </w:rPr>
        <w:t>工程车施工作业</w:t>
      </w:r>
    </w:p>
    <w:p w14:paraId="02A22C63">
      <w:pPr>
        <w:pStyle w:val="166"/>
        <w:rPr>
          <w:color w:val="auto"/>
        </w:rPr>
      </w:pPr>
      <w:r>
        <w:rPr>
          <w:color w:val="auto"/>
        </w:rPr>
        <w:t>工程车编组及作业应满足以下要求：</w:t>
      </w:r>
    </w:p>
    <w:p w14:paraId="228D7230">
      <w:pPr>
        <w:pStyle w:val="175"/>
        <w:numPr>
          <w:ilvl w:val="0"/>
          <w:numId w:val="40"/>
        </w:numPr>
        <w:rPr>
          <w:color w:val="auto"/>
        </w:rPr>
      </w:pPr>
      <w:r>
        <w:rPr>
          <w:rFonts w:hint="eastAsia"/>
          <w:color w:val="auto"/>
        </w:rPr>
        <w:t>工程车中车辆编挂条件由工程车驾驶员与施工负责人共同进行检查确认。</w:t>
      </w:r>
      <w:r>
        <w:rPr>
          <w:color w:val="auto"/>
        </w:rPr>
        <w:t>载有超过接触网/轨安全距离的货物时，</w:t>
      </w:r>
      <w:r>
        <w:rPr>
          <w:rFonts w:hint="eastAsia"/>
          <w:color w:val="auto"/>
        </w:rPr>
        <w:t>应</w:t>
      </w:r>
      <w:r>
        <w:rPr>
          <w:rFonts w:hint="eastAsia"/>
          <w:color w:val="auto"/>
          <w:lang w:val="en-US" w:eastAsia="zh-CN"/>
        </w:rPr>
        <w:t>按</w:t>
      </w:r>
      <w:r>
        <w:rPr>
          <w:rFonts w:hint="eastAsia"/>
          <w:color w:val="auto"/>
        </w:rPr>
        <w:t>接触网/轨停电流程</w:t>
      </w:r>
      <w:r>
        <w:rPr>
          <w:rFonts w:hint="eastAsia"/>
          <w:color w:val="auto"/>
          <w:lang w:val="en-US" w:eastAsia="zh-CN"/>
        </w:rPr>
        <w:t>执行</w:t>
      </w:r>
      <w:r>
        <w:rPr>
          <w:rFonts w:hint="eastAsia"/>
          <w:color w:val="auto"/>
        </w:rPr>
        <w:t>停电</w:t>
      </w:r>
      <w:r>
        <w:rPr>
          <w:color w:val="auto"/>
        </w:rPr>
        <w:t>；</w:t>
      </w:r>
    </w:p>
    <w:p w14:paraId="276252F7">
      <w:pPr>
        <w:pStyle w:val="175"/>
        <w:numPr>
          <w:ilvl w:val="0"/>
          <w:numId w:val="34"/>
        </w:numPr>
        <w:rPr>
          <w:color w:val="auto"/>
        </w:rPr>
      </w:pPr>
      <w:r>
        <w:rPr>
          <w:color w:val="auto"/>
        </w:rPr>
        <w:t>施工或装卸货物时做好安全防护及防溜安全措施。</w:t>
      </w:r>
    </w:p>
    <w:p w14:paraId="021588B4">
      <w:pPr>
        <w:pStyle w:val="166"/>
        <w:rPr>
          <w:color w:val="auto"/>
        </w:rPr>
      </w:pPr>
      <w:r>
        <w:rPr>
          <w:color w:val="auto"/>
        </w:rPr>
        <w:t>工程车运行应满足以下要求：</w:t>
      </w:r>
    </w:p>
    <w:p w14:paraId="0F2A12FF">
      <w:pPr>
        <w:pStyle w:val="175"/>
        <w:numPr>
          <w:ilvl w:val="0"/>
          <w:numId w:val="41"/>
        </w:numPr>
        <w:rPr>
          <w:color w:val="auto"/>
        </w:rPr>
      </w:pPr>
      <w:r>
        <w:rPr>
          <w:color w:val="auto"/>
        </w:rPr>
        <w:t>工程车在正线运行时，按行车调度员命令行车，运行过程中不得解编；</w:t>
      </w:r>
    </w:p>
    <w:p w14:paraId="5C277D8E">
      <w:pPr>
        <w:pStyle w:val="175"/>
        <w:numPr>
          <w:ilvl w:val="0"/>
          <w:numId w:val="41"/>
        </w:numPr>
        <w:rPr>
          <w:color w:val="auto"/>
        </w:rPr>
      </w:pPr>
      <w:r>
        <w:rPr>
          <w:color w:val="auto"/>
        </w:rPr>
        <w:t>工程车驾驶员与行车调度员联系，掌握运行计划，确认运行进路；</w:t>
      </w:r>
    </w:p>
    <w:p w14:paraId="720894EA">
      <w:pPr>
        <w:pStyle w:val="175"/>
        <w:numPr>
          <w:ilvl w:val="0"/>
          <w:numId w:val="41"/>
        </w:numPr>
        <w:rPr>
          <w:color w:val="auto"/>
        </w:rPr>
      </w:pPr>
      <w:r>
        <w:rPr>
          <w:color w:val="auto"/>
        </w:rPr>
        <w:t>工程车到达指定的施工作业区域作业时，需要封锁区间进行作业，由行车调度员发布调度命令封锁该作业区；</w:t>
      </w:r>
    </w:p>
    <w:p w14:paraId="4E45B72A">
      <w:pPr>
        <w:pStyle w:val="175"/>
        <w:numPr>
          <w:ilvl w:val="0"/>
          <w:numId w:val="41"/>
        </w:numPr>
        <w:rPr>
          <w:color w:val="auto"/>
        </w:rPr>
      </w:pPr>
      <w:r>
        <w:rPr>
          <w:color w:val="auto"/>
        </w:rPr>
        <w:t>工程车驾驶员在运行中按规定速度运行，不间断瞭望</w:t>
      </w:r>
      <w:r>
        <w:rPr>
          <w:rFonts w:hint="eastAsia"/>
          <w:color w:val="auto"/>
        </w:rPr>
        <w:t>；</w:t>
      </w:r>
    </w:p>
    <w:p w14:paraId="63909E4C">
      <w:pPr>
        <w:pStyle w:val="175"/>
        <w:numPr>
          <w:ilvl w:val="0"/>
          <w:numId w:val="41"/>
        </w:numPr>
        <w:rPr>
          <w:color w:val="auto"/>
        </w:rPr>
      </w:pPr>
      <w:r>
        <w:rPr>
          <w:rFonts w:hint="eastAsia"/>
          <w:color w:val="auto"/>
        </w:rPr>
        <w:t>工程车</w:t>
      </w:r>
      <w:r>
        <w:rPr>
          <w:color w:val="auto"/>
        </w:rPr>
        <w:t>装卸货物时做好安全防护及防溜安全措施</w:t>
      </w:r>
      <w:r>
        <w:rPr>
          <w:rFonts w:hint="eastAsia"/>
          <w:color w:val="auto"/>
        </w:rPr>
        <w:t>，作业人员应在工程车运行方向后方。</w:t>
      </w:r>
    </w:p>
    <w:p w14:paraId="3E15B3DC">
      <w:pPr>
        <w:pStyle w:val="105"/>
        <w:spacing w:before="312" w:after="312"/>
        <w:rPr>
          <w:color w:val="auto"/>
        </w:rPr>
      </w:pPr>
      <w:bookmarkStart w:id="218" w:name="_Toc204933489"/>
      <w:r>
        <w:rPr>
          <w:rFonts w:hint="eastAsia"/>
          <w:color w:val="auto"/>
        </w:rPr>
        <w:t>设备设施安全管理</w:t>
      </w:r>
      <w:bookmarkEnd w:id="208"/>
      <w:bookmarkEnd w:id="209"/>
      <w:bookmarkEnd w:id="210"/>
      <w:bookmarkEnd w:id="211"/>
      <w:bookmarkEnd w:id="212"/>
      <w:bookmarkEnd w:id="213"/>
      <w:bookmarkEnd w:id="214"/>
      <w:bookmarkEnd w:id="215"/>
      <w:bookmarkEnd w:id="216"/>
      <w:bookmarkEnd w:id="217"/>
      <w:bookmarkEnd w:id="218"/>
    </w:p>
    <w:p w14:paraId="61A1C820">
      <w:pPr>
        <w:pStyle w:val="106"/>
        <w:spacing w:before="156" w:after="156"/>
        <w:rPr>
          <w:color w:val="auto"/>
        </w:rPr>
      </w:pPr>
      <w:bookmarkStart w:id="219" w:name="_Toc138770576"/>
      <w:bookmarkStart w:id="220" w:name="_Toc128428063"/>
      <w:r>
        <w:rPr>
          <w:rFonts w:hint="eastAsia"/>
          <w:color w:val="auto"/>
        </w:rPr>
        <w:t>一般要求</w:t>
      </w:r>
      <w:bookmarkEnd w:id="219"/>
      <w:bookmarkEnd w:id="220"/>
    </w:p>
    <w:p w14:paraId="16875F3A">
      <w:pPr>
        <w:pStyle w:val="166"/>
        <w:rPr>
          <w:color w:val="auto"/>
        </w:rPr>
      </w:pPr>
      <w:r>
        <w:rPr>
          <w:rFonts w:hint="eastAsia"/>
          <w:color w:val="auto"/>
        </w:rPr>
        <w:t>设备设施运行维护应贯穿城市轨道交通运营全生命周期，遵循安全第一、动态监测、规范管理、标准作业的原则。</w:t>
      </w:r>
    </w:p>
    <w:p w14:paraId="625CE140">
      <w:pPr>
        <w:pStyle w:val="166"/>
        <w:rPr>
          <w:color w:val="auto"/>
        </w:rPr>
      </w:pPr>
      <w:r>
        <w:rPr>
          <w:rFonts w:hint="eastAsia"/>
          <w:color w:val="auto"/>
        </w:rPr>
        <w:t>设备设施运营技术需求和运营管理技术要求应符合GB/T 38707的要求。</w:t>
      </w:r>
    </w:p>
    <w:p w14:paraId="203A4266">
      <w:pPr>
        <w:pStyle w:val="166"/>
        <w:rPr>
          <w:color w:val="auto"/>
        </w:rPr>
      </w:pPr>
      <w:r>
        <w:rPr>
          <w:rFonts w:hint="eastAsia"/>
          <w:color w:val="auto"/>
        </w:rPr>
        <w:t>运营单位应组织编制各类设备设施的操作手册、维护规程和维护作业工艺文件。操作手册、维护规程和维护作业工艺文件的发布、修订及废止应经充分技术论证后才准许实施。</w:t>
      </w:r>
    </w:p>
    <w:p w14:paraId="7611F6FA">
      <w:pPr>
        <w:pStyle w:val="166"/>
        <w:rPr>
          <w:color w:val="auto"/>
        </w:rPr>
      </w:pPr>
      <w:r>
        <w:rPr>
          <w:rFonts w:hint="eastAsia"/>
          <w:color w:val="auto"/>
        </w:rPr>
        <w:t>委托管理项目、场所、设备设施时，接受委托的实施单位应具备相应的安全生产条件、管理能力和资格资质。运营单位应与实施单位签订安全管理协议，明确安全职责及安全管理要求，协调、监督实施单位的安全生产工作，并应对实施单位建立评价体系，综合评价管理工作质量。</w:t>
      </w:r>
    </w:p>
    <w:p w14:paraId="2A3CD04E">
      <w:pPr>
        <w:pStyle w:val="106"/>
        <w:spacing w:before="156" w:after="156"/>
        <w:rPr>
          <w:color w:val="auto"/>
        </w:rPr>
      </w:pPr>
      <w:r>
        <w:rPr>
          <w:rFonts w:hint="eastAsia"/>
          <w:color w:val="auto"/>
        </w:rPr>
        <w:t>运行监测</w:t>
      </w:r>
    </w:p>
    <w:p w14:paraId="7A1000FF">
      <w:pPr>
        <w:pStyle w:val="166"/>
        <w:rPr>
          <w:color w:val="auto"/>
        </w:rPr>
      </w:pPr>
      <w:r>
        <w:rPr>
          <w:rFonts w:hint="eastAsia"/>
          <w:color w:val="auto"/>
        </w:rPr>
        <w:t>运营单位应根据运营实际，合理制定设备运行计划。每日运营前，应对轨行区行车环境，车辆、供电、通信、信号、自动售检票、乘客信息、站台门等直接影响行车安全和客运服务的设备，以及其他重新开机启用的设备进行检查，确认正常后方可投入运营。</w:t>
      </w:r>
    </w:p>
    <w:p w14:paraId="53032D79">
      <w:pPr>
        <w:pStyle w:val="166"/>
        <w:rPr>
          <w:color w:val="auto"/>
        </w:rPr>
      </w:pPr>
      <w:r>
        <w:rPr>
          <w:rFonts w:hint="eastAsia"/>
          <w:color w:val="auto"/>
        </w:rPr>
        <w:t>运营单位应密切监控设备设施运行状态，对于异常情况报警，应进行分级分类，及时检查确认并处理。</w:t>
      </w:r>
    </w:p>
    <w:p w14:paraId="3BF45818">
      <w:pPr>
        <w:pStyle w:val="166"/>
        <w:rPr>
          <w:color w:val="auto"/>
        </w:rPr>
      </w:pPr>
      <w:r>
        <w:rPr>
          <w:rFonts w:hint="eastAsia"/>
          <w:color w:val="auto"/>
        </w:rPr>
        <w:t>运营单位应定期对桥梁、隧道、轨道、路基等设施进行巡查和监测工作。设施存在病害、遇</w:t>
      </w:r>
    </w:p>
    <w:p w14:paraId="27E46218">
      <w:pPr>
        <w:pStyle w:val="166"/>
        <w:numPr>
          <w:ilvl w:val="255"/>
          <w:numId w:val="0"/>
        </w:numPr>
        <w:rPr>
          <w:color w:val="auto"/>
        </w:rPr>
      </w:pPr>
      <w:r>
        <w:rPr>
          <w:rFonts w:hint="eastAsia"/>
          <w:color w:val="auto"/>
        </w:rPr>
        <w:t>不良地质地段，以及发现变形、沉降、地下水位变化较大地段和其他需要重点关注的地段，应根据实际情况加密监测点和监测频率。</w:t>
      </w:r>
    </w:p>
    <w:p w14:paraId="7F93F03B">
      <w:pPr>
        <w:pStyle w:val="166"/>
        <w:rPr>
          <w:color w:val="auto"/>
        </w:rPr>
      </w:pPr>
      <w:r>
        <w:rPr>
          <w:rFonts w:hint="eastAsia"/>
          <w:color w:val="auto"/>
        </w:rPr>
        <w:t>运营单位应做好设备设施的运行测试、管理和安全防护，包括但不限于以下内容：</w:t>
      </w:r>
    </w:p>
    <w:p w14:paraId="69740C81">
      <w:pPr>
        <w:pStyle w:val="175"/>
        <w:numPr>
          <w:ilvl w:val="0"/>
          <w:numId w:val="42"/>
        </w:numPr>
        <w:rPr>
          <w:color w:val="auto"/>
        </w:rPr>
      </w:pPr>
      <w:r>
        <w:rPr>
          <w:rFonts w:hint="eastAsia"/>
          <w:color w:val="auto"/>
        </w:rPr>
        <w:t>对区间应急照明、区间联络通道、区间疏散平台、车站、区间重点水泵和防淹门等设备</w:t>
      </w:r>
      <w:r>
        <w:rPr>
          <w:rFonts w:hint="eastAsia"/>
          <w:color w:val="auto"/>
          <w:lang w:val="en-US" w:eastAsia="zh-CN"/>
        </w:rPr>
        <w:t>设施</w:t>
      </w:r>
      <w:r>
        <w:rPr>
          <w:rFonts w:hint="eastAsia"/>
          <w:color w:val="auto"/>
        </w:rPr>
        <w:t>，至少每年进行一次检查和功能测试；</w:t>
      </w:r>
    </w:p>
    <w:p w14:paraId="2410A17C">
      <w:pPr>
        <w:pStyle w:val="175"/>
        <w:numPr>
          <w:ilvl w:val="0"/>
          <w:numId w:val="42"/>
        </w:numPr>
        <w:rPr>
          <w:color w:val="auto"/>
        </w:rPr>
      </w:pPr>
      <w:r>
        <w:rPr>
          <w:rFonts w:hint="eastAsia"/>
          <w:color w:val="auto"/>
        </w:rPr>
        <w:t>对通信传输核心设备、信号联锁设备和区域控制器、列车自动监视（ATS）服务器、电力监控等具备主备冗余功能的设备，至少每年进行一次切换测试；对信号系统降级功能、接触网（轨）单边供电和大双边供电、主变电所支援供电功能至少每年进行一次测试；</w:t>
      </w:r>
    </w:p>
    <w:p w14:paraId="2D0FC5C0">
      <w:pPr>
        <w:pStyle w:val="175"/>
        <w:numPr>
          <w:ilvl w:val="0"/>
          <w:numId w:val="42"/>
        </w:numPr>
        <w:rPr>
          <w:color w:val="auto"/>
        </w:rPr>
      </w:pPr>
      <w:r>
        <w:rPr>
          <w:rFonts w:hint="eastAsia"/>
          <w:color w:val="auto"/>
        </w:rPr>
        <w:t>设有备用控制中心的，应定期检查相关设备</w:t>
      </w:r>
      <w:r>
        <w:rPr>
          <w:rFonts w:hint="eastAsia"/>
          <w:color w:val="auto"/>
          <w:lang w:val="en-US" w:eastAsia="zh-CN"/>
        </w:rPr>
        <w:t>设施</w:t>
      </w:r>
      <w:r>
        <w:rPr>
          <w:rFonts w:hint="eastAsia"/>
          <w:color w:val="auto"/>
        </w:rPr>
        <w:t>的完好性，至少每年进行一次倒切测试；</w:t>
      </w:r>
    </w:p>
    <w:p w14:paraId="512216F6">
      <w:pPr>
        <w:pStyle w:val="175"/>
        <w:numPr>
          <w:ilvl w:val="0"/>
          <w:numId w:val="42"/>
        </w:numPr>
        <w:rPr>
          <w:color w:val="auto"/>
        </w:rPr>
      </w:pPr>
      <w:r>
        <w:rPr>
          <w:rFonts w:hint="eastAsia"/>
          <w:color w:val="auto"/>
        </w:rPr>
        <w:t>对列车门紧急解锁装置、站台紧急关闭按钮、站台门应急解锁装置以及电扶梯紧急停梯按钮等紧急操作设备，以及站台门间隙探测、车门和站台门防夹等安全保护功能，至少每半年进行一次测试，并通过粘贴警示标签、视频监控、安排巡查等方式加强防护；</w:t>
      </w:r>
    </w:p>
    <w:p w14:paraId="23D7CEC2">
      <w:pPr>
        <w:pStyle w:val="175"/>
        <w:numPr>
          <w:ilvl w:val="0"/>
          <w:numId w:val="42"/>
        </w:numPr>
        <w:rPr>
          <w:color w:val="auto"/>
        </w:rPr>
      </w:pPr>
      <w:r>
        <w:rPr>
          <w:rFonts w:hint="eastAsia"/>
          <w:color w:val="auto"/>
        </w:rPr>
        <w:t>根据系统运行状态开展轨道动态状态、车辆动力学响应等轮轨关系测试和弓网动态接触力、弓网燃弧、受电弓垂向加速度（硬点）等弓网关系测试。</w:t>
      </w:r>
    </w:p>
    <w:p w14:paraId="2923B7D4">
      <w:pPr>
        <w:pStyle w:val="106"/>
        <w:spacing w:before="156" w:after="156"/>
        <w:rPr>
          <w:color w:val="auto"/>
        </w:rPr>
      </w:pPr>
      <w:bookmarkStart w:id="221" w:name="_Toc128428065"/>
      <w:bookmarkStart w:id="222" w:name="_Toc138770578"/>
      <w:r>
        <w:rPr>
          <w:rFonts w:hint="eastAsia"/>
          <w:color w:val="auto"/>
        </w:rPr>
        <w:t>运行维护</w:t>
      </w:r>
    </w:p>
    <w:p w14:paraId="5A500134">
      <w:pPr>
        <w:pStyle w:val="166"/>
        <w:rPr>
          <w:color w:val="auto"/>
        </w:rPr>
      </w:pPr>
      <w:r>
        <w:rPr>
          <w:rFonts w:hint="eastAsia"/>
          <w:color w:val="auto"/>
        </w:rPr>
        <w:t>运营单位应合理制定运营计划，保障设备</w:t>
      </w:r>
      <w:r>
        <w:rPr>
          <w:rFonts w:hint="eastAsia"/>
          <w:color w:val="auto"/>
          <w:lang w:val="en-US" w:eastAsia="zh-CN"/>
        </w:rPr>
        <w:t>设施</w:t>
      </w:r>
      <w:r>
        <w:rPr>
          <w:rFonts w:hint="eastAsia"/>
          <w:color w:val="auto"/>
        </w:rPr>
        <w:t>维护工作时间，运营线路每天非运营时间内的设备</w:t>
      </w:r>
      <w:r>
        <w:rPr>
          <w:rFonts w:hint="eastAsia"/>
          <w:color w:val="auto"/>
          <w:lang w:val="en-US" w:eastAsia="zh-CN"/>
        </w:rPr>
        <w:t>设施</w:t>
      </w:r>
      <w:r>
        <w:rPr>
          <w:rFonts w:hint="eastAsia"/>
          <w:color w:val="auto"/>
        </w:rPr>
        <w:t>检修施工预留时间宜</w:t>
      </w:r>
      <w:r>
        <w:rPr>
          <w:rFonts w:hint="eastAsia"/>
          <w:color w:val="auto"/>
          <w:lang w:val="en-US" w:eastAsia="zh-CN"/>
        </w:rPr>
        <w:t>不</w:t>
      </w:r>
      <w:r>
        <w:rPr>
          <w:rFonts w:hint="eastAsia"/>
          <w:color w:val="auto"/>
        </w:rPr>
        <w:t>少于4小时。</w:t>
      </w:r>
    </w:p>
    <w:p w14:paraId="4A4B02C7">
      <w:pPr>
        <w:pStyle w:val="166"/>
        <w:rPr>
          <w:color w:val="auto"/>
        </w:rPr>
      </w:pPr>
      <w:r>
        <w:rPr>
          <w:rFonts w:hint="eastAsia"/>
          <w:color w:val="auto"/>
        </w:rPr>
        <w:t>车辆基地应实施封闭管理，安全警示标志配置齐全。视频监控系统应覆盖车辆基地控制中心、运用与检修库等重点区域、重点部位。</w:t>
      </w:r>
    </w:p>
    <w:p w14:paraId="34AEFAF0">
      <w:pPr>
        <w:pStyle w:val="166"/>
        <w:numPr>
          <w:ilvl w:val="3"/>
          <w:numId w:val="2"/>
        </w:numPr>
        <w:rPr>
          <w:color w:val="auto"/>
        </w:rPr>
      </w:pPr>
      <w:r>
        <w:rPr>
          <w:rFonts w:hint="eastAsia"/>
          <w:color w:val="auto"/>
        </w:rPr>
        <w:t>运营单位应制定备品备件及周转件管理制度，配备必要的备品备件及维护、抢修和应急救援器材，并做好日常管理和定期检测。设备应性能良好可用。</w:t>
      </w:r>
    </w:p>
    <w:p w14:paraId="424BBF17">
      <w:pPr>
        <w:pStyle w:val="166"/>
        <w:rPr>
          <w:color w:val="auto"/>
        </w:rPr>
      </w:pPr>
      <w:r>
        <w:rPr>
          <w:rFonts w:hint="eastAsia"/>
          <w:color w:val="auto"/>
        </w:rPr>
        <w:t>自动扶梯、电梯、锅炉、压力容器、起重设备、叉车等特种设备及消防、人防设备设施的使用、维护和检测应按国家标准和规定执行。</w:t>
      </w:r>
    </w:p>
    <w:p w14:paraId="6EEEBC87">
      <w:pPr>
        <w:pStyle w:val="166"/>
        <w:rPr>
          <w:color w:val="auto"/>
        </w:rPr>
      </w:pPr>
      <w:r>
        <w:rPr>
          <w:rFonts w:hint="eastAsia"/>
          <w:color w:val="auto"/>
        </w:rPr>
        <w:t>特种设备操作人员与维护人员应持证上岗，认真执行特种设备操作与维护规程及各项安全规章制度，发现隐患和问题应立即停止使用。</w:t>
      </w:r>
    </w:p>
    <w:p w14:paraId="57C38BD1">
      <w:pPr>
        <w:pStyle w:val="166"/>
        <w:rPr>
          <w:color w:val="auto"/>
        </w:rPr>
      </w:pPr>
      <w:r>
        <w:rPr>
          <w:rFonts w:hint="eastAsia"/>
          <w:color w:val="auto"/>
        </w:rPr>
        <w:t>运营单位应按照GB/T 22240的要求，确定信息系统的安全保护等级；应按照GB/T 22239、GB/T 25058的要求对已确定安全保护等级的信息系统进行等级保护。</w:t>
      </w:r>
    </w:p>
    <w:p w14:paraId="03D7A5AC">
      <w:pPr>
        <w:pStyle w:val="166"/>
        <w:rPr>
          <w:color w:val="auto"/>
        </w:rPr>
      </w:pPr>
      <w:r>
        <w:rPr>
          <w:rFonts w:hint="eastAsia"/>
          <w:color w:val="auto"/>
        </w:rPr>
        <w:t>运营单位应通过技术或管理措施对乘客信息系统（PIS）明确篡改、黑屏、非法信息注入等场景处置流程。</w:t>
      </w:r>
    </w:p>
    <w:p w14:paraId="02FB7BAC">
      <w:pPr>
        <w:pStyle w:val="106"/>
        <w:spacing w:before="156" w:after="156"/>
        <w:rPr>
          <w:color w:val="auto"/>
        </w:rPr>
      </w:pPr>
      <w:r>
        <w:rPr>
          <w:rFonts w:hint="eastAsia"/>
          <w:color w:val="auto"/>
        </w:rPr>
        <w:t>更新改造</w:t>
      </w:r>
    </w:p>
    <w:p w14:paraId="04C43434">
      <w:pPr>
        <w:pStyle w:val="166"/>
        <w:rPr>
          <w:color w:val="auto"/>
        </w:rPr>
      </w:pPr>
      <w:r>
        <w:rPr>
          <w:rFonts w:hint="eastAsia"/>
          <w:color w:val="auto"/>
        </w:rPr>
        <w:t>运营单位应组织编制设备设施更新改造制度，明确更新改造流程、实施条件、质量控制等要求，并报城市轨道交通运营主管部门备案。</w:t>
      </w:r>
    </w:p>
    <w:p w14:paraId="761363A4">
      <w:pPr>
        <w:pStyle w:val="166"/>
        <w:rPr>
          <w:color w:val="auto"/>
        </w:rPr>
      </w:pPr>
      <w:r>
        <w:rPr>
          <w:rFonts w:hint="eastAsia"/>
          <w:color w:val="auto"/>
        </w:rPr>
        <w:t>设备更新改造应选择技术成熟、安全可靠、便于维修监测、绿色环保、符合将来技术发展趋势的设备。</w:t>
      </w:r>
    </w:p>
    <w:p w14:paraId="60E2769D">
      <w:pPr>
        <w:pStyle w:val="166"/>
        <w:rPr>
          <w:color w:val="auto"/>
        </w:rPr>
      </w:pPr>
      <w:r>
        <w:rPr>
          <w:rFonts w:hint="eastAsia"/>
          <w:color w:val="auto"/>
        </w:rPr>
        <w:t>实施更新改造工程时，运营单位应制定并组织执行安全防护方案；作业单位应严格执行安全防护方案，单个天窗时间无法完成的，应在天窗时间内完成设备设施倒切工作，不应影响次日正常运营。</w:t>
      </w:r>
    </w:p>
    <w:p w14:paraId="6AED5341">
      <w:pPr>
        <w:pStyle w:val="166"/>
        <w:rPr>
          <w:color w:val="auto"/>
        </w:rPr>
      </w:pPr>
      <w:r>
        <w:rPr>
          <w:rFonts w:hint="eastAsia"/>
          <w:color w:val="auto"/>
        </w:rPr>
        <w:t>轨道、车辆、供电、通信、信号等关键设备设施的主要部件批量采用新技术、新材料或新产品的，运营单位应在更新改造前评估其安全性、可靠性、可维护性，</w:t>
      </w:r>
      <w:r>
        <w:rPr>
          <w:rFonts w:hint="eastAsia"/>
          <w:color w:val="auto"/>
          <w:lang w:val="en-US" w:eastAsia="zh-CN"/>
        </w:rPr>
        <w:t>且一定范围内</w:t>
      </w:r>
      <w:r>
        <w:rPr>
          <w:rFonts w:hint="eastAsia"/>
          <w:color w:val="auto"/>
        </w:rPr>
        <w:t>试用不少于3个月，</w:t>
      </w:r>
      <w:r>
        <w:rPr>
          <w:rFonts w:hint="default" w:ascii="Times New Roman" w:hAnsi="Times New Roman" w:eastAsia="宋体" w:cs="Times New Roman"/>
          <w:color w:val="auto"/>
          <w:lang w:val="en-US" w:eastAsia="zh-CN"/>
        </w:rPr>
        <w:t>试用</w:t>
      </w:r>
      <w:r>
        <w:rPr>
          <w:rFonts w:hint="eastAsia" w:ascii="Times New Roman" w:hAnsi="Times New Roman" w:eastAsia="宋体" w:cs="Times New Roman"/>
          <w:color w:val="auto"/>
          <w:lang w:val="en-US" w:eastAsia="zh-CN"/>
        </w:rPr>
        <w:t>结束后</w:t>
      </w:r>
      <w:r>
        <w:rPr>
          <w:rFonts w:hint="default" w:ascii="Times New Roman" w:hAnsi="Times New Roman" w:eastAsia="宋体" w:cs="Times New Roman"/>
          <w:color w:val="auto"/>
          <w:lang w:val="en-US" w:eastAsia="zh-CN"/>
        </w:rPr>
        <w:t>开展评估</w:t>
      </w:r>
      <w:r>
        <w:rPr>
          <w:rFonts w:hint="eastAsia" w:ascii="Times New Roman" w:hAnsi="Times New Roman" w:eastAsia="宋体" w:cs="Times New Roman"/>
          <w:color w:val="auto"/>
          <w:lang w:val="en-US" w:eastAsia="zh-CN"/>
        </w:rPr>
        <w:t>（必要时委托第三方机构或专家评估）</w:t>
      </w:r>
      <w:r>
        <w:rPr>
          <w:rFonts w:hint="default" w:ascii="Times New Roman" w:hAnsi="Times New Roman" w:eastAsia="宋体" w:cs="Times New Roman"/>
          <w:color w:val="auto"/>
          <w:lang w:val="en-US" w:eastAsia="zh-CN"/>
        </w:rPr>
        <w:t>，</w:t>
      </w:r>
      <w:r>
        <w:rPr>
          <w:rFonts w:hint="eastAsia" w:ascii="Times New Roman" w:hAnsi="Times New Roman" w:eastAsia="宋体" w:cs="Times New Roman"/>
          <w:color w:val="auto"/>
          <w:lang w:val="en-US" w:eastAsia="zh-CN"/>
        </w:rPr>
        <w:t>评估</w:t>
      </w:r>
      <w:r>
        <w:rPr>
          <w:rFonts w:hint="default" w:ascii="Times New Roman" w:hAnsi="Times New Roman" w:eastAsia="宋体" w:cs="Times New Roman"/>
          <w:color w:val="auto"/>
          <w:lang w:val="en-US" w:eastAsia="zh-CN"/>
        </w:rPr>
        <w:t>通过</w:t>
      </w:r>
      <w:r>
        <w:rPr>
          <w:rFonts w:hint="eastAsia" w:ascii="宋体" w:hAnsi="宋体" w:eastAsia="宋体" w:cs="宋体"/>
          <w:b w:val="0"/>
          <w:bCs w:val="0"/>
          <w:color w:val="auto"/>
          <w:szCs w:val="21"/>
          <w:lang w:val="en-US" w:eastAsia="zh-CN"/>
        </w:rPr>
        <w:t>后方可推广应用。</w:t>
      </w:r>
    </w:p>
    <w:bookmarkEnd w:id="221"/>
    <w:bookmarkEnd w:id="222"/>
    <w:p w14:paraId="2D9FC5DF">
      <w:pPr>
        <w:pStyle w:val="105"/>
        <w:spacing w:before="312" w:after="312"/>
        <w:rPr>
          <w:color w:val="auto"/>
        </w:rPr>
      </w:pPr>
      <w:bookmarkStart w:id="223" w:name="_Toc140004972"/>
      <w:bookmarkStart w:id="224" w:name="_Toc204933490"/>
      <w:bookmarkStart w:id="225" w:name="_Toc138770617"/>
      <w:bookmarkStart w:id="226" w:name="_Toc135388024"/>
      <w:bookmarkStart w:id="227" w:name="_Toc17231"/>
      <w:bookmarkStart w:id="228" w:name="_Toc138770581"/>
      <w:bookmarkStart w:id="229" w:name="_Toc2683"/>
      <w:bookmarkStart w:id="230" w:name="_Toc11396"/>
      <w:bookmarkStart w:id="231" w:name="_Toc135387848"/>
      <w:bookmarkStart w:id="232" w:name="_Toc128428104"/>
      <w:bookmarkStart w:id="233" w:name="_Toc199167034"/>
      <w:bookmarkStart w:id="234" w:name="_Toc128428068"/>
      <w:bookmarkStart w:id="235" w:name="_Toc15197"/>
      <w:bookmarkStart w:id="236" w:name="_Toc195687478"/>
      <w:r>
        <w:rPr>
          <w:rFonts w:hint="eastAsia"/>
          <w:color w:val="auto"/>
        </w:rPr>
        <w:t>保护区安全管理</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Start w:id="237" w:name="_Toc30462"/>
    </w:p>
    <w:p w14:paraId="6576CD28">
      <w:pPr>
        <w:pStyle w:val="106"/>
        <w:spacing w:before="156" w:after="156"/>
        <w:rPr>
          <w:color w:val="auto"/>
        </w:rPr>
      </w:pPr>
      <w:bookmarkStart w:id="238" w:name="_Toc128428069"/>
      <w:bookmarkStart w:id="239" w:name="_Toc138770582"/>
      <w:bookmarkStart w:id="240" w:name="_Toc12358"/>
      <w:bookmarkStart w:id="241" w:name="_Toc12707"/>
      <w:r>
        <w:rPr>
          <w:rFonts w:hint="eastAsia"/>
          <w:color w:val="auto"/>
        </w:rPr>
        <w:t>一般要求</w:t>
      </w:r>
      <w:bookmarkEnd w:id="238"/>
      <w:bookmarkEnd w:id="239"/>
    </w:p>
    <w:p w14:paraId="19A96CDF">
      <w:pPr>
        <w:pStyle w:val="166"/>
        <w:rPr>
          <w:color w:val="auto"/>
        </w:rPr>
      </w:pPr>
      <w:r>
        <w:rPr>
          <w:rFonts w:hint="eastAsia"/>
          <w:color w:val="auto"/>
        </w:rPr>
        <w:t>城市轨道交通工程项目应按规定划定保护区，并设置保护区标志标识。</w:t>
      </w:r>
    </w:p>
    <w:p w14:paraId="13C26BB9">
      <w:pPr>
        <w:pStyle w:val="166"/>
        <w:rPr>
          <w:color w:val="auto"/>
        </w:rPr>
      </w:pPr>
      <w:r>
        <w:rPr>
          <w:rFonts w:hint="eastAsia"/>
          <w:color w:val="auto"/>
        </w:rPr>
        <w:t>保护区包括但不限于以下范围：</w:t>
      </w:r>
    </w:p>
    <w:p w14:paraId="24AB6157">
      <w:pPr>
        <w:pStyle w:val="175"/>
        <w:numPr>
          <w:ilvl w:val="0"/>
          <w:numId w:val="43"/>
        </w:numPr>
        <w:rPr>
          <w:color w:val="auto"/>
        </w:rPr>
      </w:pPr>
      <w:r>
        <w:rPr>
          <w:rFonts w:hint="eastAsia"/>
          <w:color w:val="auto"/>
        </w:rPr>
        <w:t>地下车站与隧道结构外边线外侧5</w:t>
      </w:r>
      <w:r>
        <w:rPr>
          <w:color w:val="auto"/>
        </w:rPr>
        <w:t>0</w:t>
      </w:r>
      <w:r>
        <w:rPr>
          <w:rFonts w:hint="eastAsia"/>
          <w:color w:val="auto"/>
        </w:rPr>
        <w:t>米内；</w:t>
      </w:r>
    </w:p>
    <w:p w14:paraId="5DC204DF">
      <w:pPr>
        <w:pStyle w:val="175"/>
        <w:numPr>
          <w:ilvl w:val="0"/>
          <w:numId w:val="34"/>
        </w:numPr>
        <w:rPr>
          <w:color w:val="auto"/>
        </w:rPr>
      </w:pPr>
      <w:r>
        <w:rPr>
          <w:rFonts w:hint="eastAsia"/>
          <w:color w:val="auto"/>
        </w:rPr>
        <w:t>地面车站和高架车站以及线路轨道结构外边线外侧3</w:t>
      </w:r>
      <w:r>
        <w:rPr>
          <w:color w:val="auto"/>
        </w:rPr>
        <w:t>0</w:t>
      </w:r>
      <w:r>
        <w:rPr>
          <w:rFonts w:hint="eastAsia"/>
          <w:color w:val="auto"/>
        </w:rPr>
        <w:t>米内；</w:t>
      </w:r>
    </w:p>
    <w:p w14:paraId="7741B6AD">
      <w:pPr>
        <w:pStyle w:val="175"/>
        <w:numPr>
          <w:ilvl w:val="0"/>
          <w:numId w:val="34"/>
        </w:numPr>
        <w:rPr>
          <w:color w:val="auto"/>
        </w:rPr>
      </w:pPr>
      <w:r>
        <w:rPr>
          <w:rFonts w:hint="eastAsia"/>
          <w:color w:val="auto"/>
        </w:rPr>
        <w:t>轨道交通出入口、通风亭、冷却塔、变电站、垂直电梯等建（构）筑物外边线和控制中心、车辆基地用地范围外侧1</w:t>
      </w:r>
      <w:r>
        <w:rPr>
          <w:color w:val="auto"/>
        </w:rPr>
        <w:t>0</w:t>
      </w:r>
      <w:r>
        <w:rPr>
          <w:rFonts w:hint="eastAsia"/>
          <w:color w:val="auto"/>
        </w:rPr>
        <w:t>米内；</w:t>
      </w:r>
    </w:p>
    <w:p w14:paraId="2F09F89E">
      <w:pPr>
        <w:pStyle w:val="175"/>
        <w:numPr>
          <w:ilvl w:val="0"/>
          <w:numId w:val="34"/>
        </w:numPr>
        <w:rPr>
          <w:color w:val="auto"/>
        </w:rPr>
      </w:pPr>
      <w:r>
        <w:rPr>
          <w:rFonts w:hint="eastAsia"/>
          <w:color w:val="auto"/>
        </w:rPr>
        <w:t>轨道交通过江、过河隧道结构外边线外侧1</w:t>
      </w:r>
      <w:r>
        <w:rPr>
          <w:color w:val="auto"/>
        </w:rPr>
        <w:t>50</w:t>
      </w:r>
      <w:r>
        <w:rPr>
          <w:rFonts w:hint="eastAsia"/>
          <w:color w:val="auto"/>
        </w:rPr>
        <w:t>米内。</w:t>
      </w:r>
    </w:p>
    <w:p w14:paraId="2C93A349">
      <w:pPr>
        <w:pStyle w:val="166"/>
        <w:rPr>
          <w:color w:val="auto"/>
        </w:rPr>
      </w:pPr>
      <w:bookmarkStart w:id="242" w:name="_Toc24600"/>
      <w:bookmarkStart w:id="243" w:name="_Toc2803"/>
      <w:r>
        <w:rPr>
          <w:rFonts w:hint="eastAsia"/>
          <w:color w:val="auto"/>
        </w:rPr>
        <w:t>运营单位宜设立专门的管理机构负责轨道交通全线保护区安全管理工作。</w:t>
      </w:r>
    </w:p>
    <w:p w14:paraId="36EBF1D9">
      <w:pPr>
        <w:pStyle w:val="166"/>
        <w:rPr>
          <w:color w:val="auto"/>
        </w:rPr>
      </w:pPr>
      <w:r>
        <w:rPr>
          <w:rFonts w:hint="eastAsia"/>
          <w:color w:val="auto"/>
        </w:rPr>
        <w:t>保护区安全管理工作包括但不限于保护区界线测设及维护、安全隐患评估与动态更新、外部作业安全管理、保护区巡检、保护区监测、保护区应急管理、保护区信息系统建设及维护。</w:t>
      </w:r>
    </w:p>
    <w:bookmarkEnd w:id="242"/>
    <w:bookmarkEnd w:id="243"/>
    <w:p w14:paraId="14A9F2DE">
      <w:pPr>
        <w:pStyle w:val="106"/>
        <w:spacing w:before="156" w:after="156"/>
        <w:rPr>
          <w:color w:val="auto"/>
        </w:rPr>
      </w:pPr>
      <w:bookmarkStart w:id="244" w:name="_Toc138770583"/>
      <w:bookmarkStart w:id="245" w:name="_Toc128428070"/>
      <w:r>
        <w:rPr>
          <w:rFonts w:hint="eastAsia"/>
          <w:color w:val="auto"/>
        </w:rPr>
        <w:t>作业管理</w:t>
      </w:r>
      <w:bookmarkEnd w:id="244"/>
      <w:bookmarkEnd w:id="245"/>
    </w:p>
    <w:p w14:paraId="56D6EABD">
      <w:pPr>
        <w:pStyle w:val="166"/>
        <w:rPr>
          <w:color w:val="auto"/>
        </w:rPr>
      </w:pPr>
      <w:bookmarkStart w:id="246" w:name="_Toc21522"/>
      <w:bookmarkStart w:id="247" w:name="_Toc6371"/>
      <w:bookmarkStart w:id="248" w:name="_Toc16367"/>
      <w:bookmarkStart w:id="249" w:name="_Toc9957"/>
      <w:bookmarkStart w:id="250" w:name="_Toc10544"/>
      <w:bookmarkStart w:id="251" w:name="_Toc32469"/>
      <w:bookmarkStart w:id="252" w:name="_Toc20171"/>
      <w:bookmarkStart w:id="253" w:name="_Toc23204"/>
      <w:r>
        <w:rPr>
          <w:rFonts w:hint="eastAsia"/>
          <w:color w:val="auto"/>
        </w:rPr>
        <w:t>保护区作业项目应按规定开展作业项目方案审查。在城市轨道交通保护区内进行作业的，作业单位应按规定制定和落实轨道交通运营安全影响评估报告、安全防护方案、应急预案，经运营单位同意后，依法办理相关手续，并对作业影响区域进行动态监测。</w:t>
      </w:r>
    </w:p>
    <w:bookmarkEnd w:id="246"/>
    <w:bookmarkEnd w:id="247"/>
    <w:p w14:paraId="0DF8486E">
      <w:pPr>
        <w:pStyle w:val="166"/>
        <w:rPr>
          <w:color w:val="auto"/>
        </w:rPr>
      </w:pPr>
      <w:r>
        <w:rPr>
          <w:rFonts w:hint="eastAsia"/>
          <w:color w:val="auto"/>
        </w:rPr>
        <w:t>运营单位应根据保护区内作业对城市轨道交通的影响程度，对作业项目进行分类分级管理，并实施动态管控。</w:t>
      </w:r>
      <w:bookmarkEnd w:id="248"/>
      <w:bookmarkEnd w:id="249"/>
    </w:p>
    <w:bookmarkEnd w:id="250"/>
    <w:bookmarkEnd w:id="251"/>
    <w:bookmarkEnd w:id="252"/>
    <w:bookmarkEnd w:id="253"/>
    <w:p w14:paraId="08FF496E">
      <w:pPr>
        <w:pStyle w:val="106"/>
        <w:spacing w:before="156" w:after="156"/>
        <w:rPr>
          <w:color w:val="auto"/>
        </w:rPr>
      </w:pPr>
      <w:bookmarkStart w:id="254" w:name="_Toc138770584"/>
      <w:bookmarkStart w:id="255" w:name="_Toc128428071"/>
      <w:r>
        <w:rPr>
          <w:rFonts w:hint="eastAsia"/>
          <w:color w:val="auto"/>
        </w:rPr>
        <w:t>巡查</w:t>
      </w:r>
      <w:bookmarkEnd w:id="254"/>
      <w:bookmarkEnd w:id="255"/>
    </w:p>
    <w:p w14:paraId="44B0AD8B">
      <w:pPr>
        <w:pStyle w:val="166"/>
        <w:rPr>
          <w:color w:val="auto"/>
        </w:rPr>
      </w:pPr>
      <w:bookmarkStart w:id="256" w:name="_Toc6197"/>
      <w:bookmarkStart w:id="257" w:name="_Toc156"/>
      <w:r>
        <w:rPr>
          <w:rFonts w:hint="eastAsia"/>
          <w:color w:val="auto"/>
        </w:rPr>
        <w:t>运营单位应建立保护区巡查制度，配备专门巡查队伍和设备，定期对轨道交通运营线路进行巡查，及时发现并制止影响轨道运营安全的外部施工作业，并向城市轨道交通相关主管部门报告和处置。</w:t>
      </w:r>
      <w:bookmarkEnd w:id="256"/>
      <w:bookmarkEnd w:id="257"/>
    </w:p>
    <w:p w14:paraId="48FE8A42">
      <w:pPr>
        <w:pStyle w:val="166"/>
        <w:rPr>
          <w:color w:val="auto"/>
        </w:rPr>
      </w:pPr>
      <w:r>
        <w:rPr>
          <w:rFonts w:hint="eastAsia"/>
          <w:color w:val="auto"/>
        </w:rPr>
        <w:t>巡查人员应做好日常巡检记录，填写轨道交通巡检记录表，同时留好影像、图片记录做好存档工作。</w:t>
      </w:r>
    </w:p>
    <w:bookmarkEnd w:id="237"/>
    <w:bookmarkEnd w:id="240"/>
    <w:bookmarkEnd w:id="241"/>
    <w:p w14:paraId="680ADADE">
      <w:pPr>
        <w:pStyle w:val="105"/>
        <w:spacing w:before="312" w:after="312"/>
        <w:rPr>
          <w:color w:val="auto"/>
        </w:rPr>
      </w:pPr>
      <w:bookmarkStart w:id="258" w:name="_Toc7062"/>
      <w:bookmarkStart w:id="259" w:name="_Toc32321"/>
      <w:bookmarkStart w:id="260" w:name="_Toc16608"/>
      <w:bookmarkStart w:id="261" w:name="_Toc32695"/>
      <w:bookmarkStart w:id="262" w:name="_Toc29484"/>
      <w:bookmarkStart w:id="263" w:name="_Toc27498"/>
      <w:bookmarkStart w:id="264" w:name="_Toc28412"/>
      <w:bookmarkStart w:id="265" w:name="_Toc128428105"/>
      <w:bookmarkStart w:id="266" w:name="_Toc28451"/>
      <w:bookmarkStart w:id="267" w:name="_Toc29593"/>
      <w:bookmarkStart w:id="268" w:name="_Toc13364"/>
      <w:bookmarkStart w:id="269" w:name="_Toc195687479"/>
      <w:bookmarkStart w:id="270" w:name="_Toc28354"/>
      <w:bookmarkStart w:id="271" w:name="_Toc128428072"/>
      <w:bookmarkStart w:id="272" w:name="_Toc135387849"/>
      <w:bookmarkStart w:id="273" w:name="_Toc27625"/>
      <w:bookmarkStart w:id="274" w:name="_Toc1400"/>
      <w:bookmarkStart w:id="275" w:name="_Toc20202"/>
      <w:bookmarkStart w:id="276" w:name="_Toc7626"/>
      <w:bookmarkStart w:id="277" w:name="_Toc10549"/>
      <w:bookmarkStart w:id="278" w:name="_Toc15359"/>
      <w:bookmarkStart w:id="279" w:name="_Toc10503"/>
      <w:bookmarkStart w:id="280" w:name="_Toc138770585"/>
      <w:bookmarkStart w:id="281" w:name="_Toc21520"/>
      <w:bookmarkStart w:id="282" w:name="_Toc19989"/>
      <w:bookmarkStart w:id="283" w:name="_Toc13804"/>
      <w:bookmarkStart w:id="284" w:name="_Toc5266"/>
      <w:bookmarkStart w:id="285" w:name="_Toc135388025"/>
      <w:bookmarkStart w:id="286" w:name="_Toc6103"/>
      <w:bookmarkStart w:id="287" w:name="_Toc18284"/>
      <w:bookmarkStart w:id="288" w:name="_Toc204933491"/>
      <w:bookmarkStart w:id="289" w:name="_Toc138770618"/>
      <w:bookmarkStart w:id="290" w:name="_Toc27307"/>
      <w:bookmarkStart w:id="291" w:name="_Toc1310"/>
      <w:bookmarkStart w:id="292" w:name="_Toc28029"/>
      <w:bookmarkStart w:id="293" w:name="_Toc140004973"/>
      <w:bookmarkStart w:id="294" w:name="_Toc1292"/>
      <w:bookmarkStart w:id="295" w:name="_Toc22396"/>
      <w:bookmarkStart w:id="296" w:name="_Toc199167035"/>
      <w:bookmarkStart w:id="297" w:name="_Toc9697"/>
      <w:r>
        <w:rPr>
          <w:rFonts w:hint="eastAsia"/>
          <w:color w:val="auto"/>
        </w:rPr>
        <w:t>应急管理</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37B6F23">
      <w:pPr>
        <w:pStyle w:val="106"/>
        <w:spacing w:before="156" w:after="156"/>
        <w:rPr>
          <w:color w:val="auto"/>
        </w:rPr>
      </w:pPr>
      <w:bookmarkStart w:id="298" w:name="_Toc138770586"/>
      <w:bookmarkStart w:id="299" w:name="_Toc128428073"/>
      <w:bookmarkStart w:id="300" w:name="_Toc10308"/>
      <w:bookmarkStart w:id="301" w:name="_Toc10581"/>
      <w:r>
        <w:rPr>
          <w:rFonts w:hint="eastAsia"/>
          <w:color w:val="auto"/>
        </w:rPr>
        <w:t>一般要求</w:t>
      </w:r>
      <w:bookmarkEnd w:id="298"/>
      <w:bookmarkEnd w:id="299"/>
    </w:p>
    <w:p w14:paraId="31634830">
      <w:pPr>
        <w:pStyle w:val="166"/>
        <w:rPr>
          <w:color w:val="auto"/>
        </w:rPr>
      </w:pPr>
      <w:r>
        <w:rPr>
          <w:rFonts w:hint="eastAsia"/>
          <w:color w:val="auto"/>
        </w:rPr>
        <w:t>运营单位应建立运营应急管理体系，编制应急预案。设立应急管理机构、组建专职或兼职应急救援队伍，配备应急人员、抢险救灾装备，安排应急管理经费。</w:t>
      </w:r>
    </w:p>
    <w:p w14:paraId="48D5354D">
      <w:pPr>
        <w:pStyle w:val="166"/>
        <w:rPr>
          <w:color w:val="auto"/>
        </w:rPr>
      </w:pPr>
      <w:r>
        <w:rPr>
          <w:rFonts w:hint="eastAsia"/>
          <w:color w:val="auto"/>
        </w:rPr>
        <w:t>运营单位应与属地政府（社区、街道）、公安、交通运输、消防、应急、水利、气象、供电、通信、医疗机构、社会专职救援机构等有关单位建立信息沟通和协调联动机制。</w:t>
      </w:r>
    </w:p>
    <w:p w14:paraId="366A98F9">
      <w:pPr>
        <w:pStyle w:val="106"/>
        <w:spacing w:before="156" w:after="156"/>
        <w:rPr>
          <w:color w:val="auto"/>
        </w:rPr>
      </w:pPr>
      <w:bookmarkStart w:id="302" w:name="_Toc128428074"/>
      <w:bookmarkStart w:id="303" w:name="_Toc138770587"/>
      <w:r>
        <w:rPr>
          <w:rFonts w:hint="eastAsia"/>
          <w:color w:val="auto"/>
        </w:rPr>
        <w:t>应急预案和演练</w:t>
      </w:r>
      <w:bookmarkEnd w:id="302"/>
      <w:bookmarkEnd w:id="303"/>
    </w:p>
    <w:p w14:paraId="327B65AB">
      <w:pPr>
        <w:pStyle w:val="166"/>
        <w:rPr>
          <w:color w:val="auto"/>
        </w:rPr>
      </w:pPr>
      <w:bookmarkStart w:id="304" w:name="_Toc31239"/>
      <w:bookmarkStart w:id="305" w:name="_Toc31219"/>
      <w:r>
        <w:rPr>
          <w:rFonts w:hint="eastAsia"/>
          <w:color w:val="auto"/>
        </w:rPr>
        <w:t>运营单位应制定运营突发事件综合应急预案、专项应急预案和现场处置方案。综合应急预案、专项应急预案和现场处置方案应报</w:t>
      </w:r>
      <w:r>
        <w:rPr>
          <w:color w:val="auto"/>
        </w:rPr>
        <w:t>城市轨道交通运营主管部门备案</w:t>
      </w:r>
      <w:r>
        <w:rPr>
          <w:rFonts w:hint="eastAsia"/>
          <w:color w:val="auto"/>
        </w:rPr>
        <w:t>。</w:t>
      </w:r>
      <w:bookmarkEnd w:id="304"/>
      <w:bookmarkEnd w:id="305"/>
    </w:p>
    <w:p w14:paraId="42F82976">
      <w:pPr>
        <w:pStyle w:val="166"/>
        <w:rPr>
          <w:color w:val="auto"/>
        </w:rPr>
      </w:pPr>
      <w:bookmarkStart w:id="306" w:name="_Toc18307"/>
      <w:bookmarkStart w:id="307" w:name="_Toc19049"/>
      <w:r>
        <w:rPr>
          <w:rFonts w:hint="eastAsia"/>
          <w:color w:val="auto"/>
        </w:rPr>
        <w:t>运营单位应每年制定应急预案演练计划，并按要求进行演练。</w:t>
      </w:r>
      <w:bookmarkEnd w:id="306"/>
      <w:bookmarkEnd w:id="307"/>
    </w:p>
    <w:p w14:paraId="455B73A0">
      <w:pPr>
        <w:pStyle w:val="166"/>
        <w:rPr>
          <w:color w:val="auto"/>
        </w:rPr>
      </w:pPr>
      <w:bookmarkStart w:id="308" w:name="_Toc17191"/>
      <w:bookmarkStart w:id="309" w:name="_Toc25957"/>
      <w:r>
        <w:rPr>
          <w:rFonts w:hint="eastAsia"/>
          <w:color w:val="auto"/>
        </w:rPr>
        <w:t>城市内有多家运营单位的，存在换乘线路的运营单位之间应每年至少组织一次联合应急预案演练。</w:t>
      </w:r>
      <w:bookmarkEnd w:id="308"/>
      <w:bookmarkEnd w:id="309"/>
    </w:p>
    <w:p w14:paraId="606FA035">
      <w:pPr>
        <w:pStyle w:val="106"/>
        <w:spacing w:before="156" w:after="156"/>
        <w:rPr>
          <w:color w:val="auto"/>
        </w:rPr>
      </w:pPr>
      <w:bookmarkStart w:id="310" w:name="_Toc128428075"/>
      <w:bookmarkStart w:id="311" w:name="_Toc138770588"/>
      <w:r>
        <w:rPr>
          <w:rFonts w:hint="eastAsia"/>
          <w:color w:val="auto"/>
        </w:rPr>
        <w:t>应急处置</w:t>
      </w:r>
      <w:bookmarkEnd w:id="310"/>
      <w:bookmarkEnd w:id="311"/>
    </w:p>
    <w:bookmarkEnd w:id="300"/>
    <w:bookmarkEnd w:id="301"/>
    <w:p w14:paraId="3561FE5A">
      <w:pPr>
        <w:pStyle w:val="166"/>
        <w:rPr>
          <w:color w:val="auto"/>
        </w:rPr>
      </w:pPr>
      <w:bookmarkStart w:id="312" w:name="_Toc7229"/>
      <w:bookmarkStart w:id="313" w:name="_Toc16931"/>
      <w:r>
        <w:rPr>
          <w:rFonts w:hint="eastAsia"/>
          <w:color w:val="auto"/>
        </w:rPr>
        <w:t>遇运营突发事件、自然灾害、社会安全事件以及其他原因危及运营安全时，运营单位可暂停部分区段或全线网的运营，及时启动相应应急预案，并报告城市轨道交通运营主管部门。</w:t>
      </w:r>
    </w:p>
    <w:p w14:paraId="0B678828">
      <w:pPr>
        <w:pStyle w:val="166"/>
        <w:rPr>
          <w:color w:val="auto"/>
        </w:rPr>
      </w:pPr>
      <w:r>
        <w:rPr>
          <w:rFonts w:hint="eastAsia"/>
          <w:color w:val="auto"/>
        </w:rPr>
        <w:t>运营单位采取限流、甩站、封站、暂停运营措施应及时告知公众，其中封站、暂停运营措施还应当向城市轨道交通运营主管部门报告。</w:t>
      </w:r>
    </w:p>
    <w:bookmarkEnd w:id="312"/>
    <w:bookmarkEnd w:id="313"/>
    <w:p w14:paraId="1DDF289F">
      <w:pPr>
        <w:pStyle w:val="166"/>
        <w:rPr>
          <w:color w:val="auto"/>
        </w:rPr>
      </w:pPr>
      <w:bookmarkStart w:id="314" w:name="_Toc2208"/>
      <w:bookmarkStart w:id="315" w:name="_Toc23349"/>
      <w:r>
        <w:rPr>
          <w:rFonts w:hint="eastAsia"/>
          <w:color w:val="auto"/>
        </w:rPr>
        <w:t>运营单位应配合政府部门做好应急信息发布、交通管制、医疗卫生救助、社会力量参与抢险等工作。</w:t>
      </w:r>
      <w:bookmarkEnd w:id="314"/>
      <w:bookmarkEnd w:id="315"/>
    </w:p>
    <w:p w14:paraId="1526172F">
      <w:pPr>
        <w:pStyle w:val="166"/>
        <w:rPr>
          <w:color w:val="auto"/>
        </w:rPr>
      </w:pPr>
      <w:bookmarkStart w:id="316" w:name="_Toc19911"/>
      <w:bookmarkStart w:id="317" w:name="_Toc7236"/>
      <w:r>
        <w:rPr>
          <w:rFonts w:hint="eastAsia"/>
          <w:color w:val="auto"/>
        </w:rPr>
        <w:t>突发事件应急处置完毕，经组织研判、评估，确认具备安全运营条件后，才准许恢复运营。</w:t>
      </w:r>
      <w:bookmarkEnd w:id="316"/>
      <w:bookmarkEnd w:id="317"/>
    </w:p>
    <w:p w14:paraId="71541B1F">
      <w:pPr>
        <w:pStyle w:val="105"/>
        <w:spacing w:before="312" w:after="312"/>
        <w:rPr>
          <w:color w:val="auto"/>
        </w:rPr>
      </w:pPr>
      <w:bookmarkStart w:id="318" w:name="_Toc140004974"/>
      <w:bookmarkStart w:id="319" w:name="_Toc29151"/>
      <w:bookmarkStart w:id="320" w:name="_Toc199167036"/>
      <w:bookmarkStart w:id="321" w:name="_Toc4522"/>
      <w:bookmarkStart w:id="322" w:name="_Toc18291"/>
      <w:bookmarkStart w:id="323" w:name="_Toc28829"/>
      <w:bookmarkStart w:id="324" w:name="_Toc204933492"/>
      <w:bookmarkStart w:id="325" w:name="_Toc24614"/>
      <w:bookmarkStart w:id="326" w:name="_Toc24693"/>
      <w:bookmarkStart w:id="327" w:name="_Toc21181"/>
      <w:bookmarkStart w:id="328" w:name="_Toc128428106"/>
      <w:bookmarkStart w:id="329" w:name="_Toc30722"/>
      <w:bookmarkStart w:id="330" w:name="_Toc32575"/>
      <w:bookmarkStart w:id="331" w:name="_Toc21812"/>
      <w:bookmarkStart w:id="332" w:name="_Toc23045"/>
      <w:bookmarkStart w:id="333" w:name="_Toc16260"/>
      <w:bookmarkStart w:id="334" w:name="_Toc128428076"/>
      <w:bookmarkStart w:id="335" w:name="_Toc135387850"/>
      <w:bookmarkStart w:id="336" w:name="_Toc19272"/>
      <w:bookmarkStart w:id="337" w:name="_Toc138770619"/>
      <w:bookmarkStart w:id="338" w:name="_Toc195687480"/>
      <w:bookmarkStart w:id="339" w:name="_Toc138770589"/>
      <w:bookmarkStart w:id="340" w:name="_Toc1152"/>
      <w:bookmarkStart w:id="341" w:name="_Toc19194"/>
      <w:bookmarkStart w:id="342" w:name="_Toc16212"/>
      <w:bookmarkStart w:id="343" w:name="_Toc1709"/>
      <w:bookmarkStart w:id="344" w:name="_Toc32677"/>
      <w:bookmarkStart w:id="345" w:name="_Toc30487"/>
      <w:bookmarkStart w:id="346" w:name="_Toc135388026"/>
      <w:bookmarkStart w:id="347" w:name="_Toc31706"/>
      <w:bookmarkStart w:id="348" w:name="_Toc20027"/>
      <w:bookmarkStart w:id="349" w:name="_Toc2312"/>
      <w:bookmarkStart w:id="350" w:name="_Toc10756"/>
      <w:bookmarkStart w:id="351" w:name="_Toc24134"/>
      <w:bookmarkStart w:id="352" w:name="_Toc17620"/>
      <w:bookmarkStart w:id="353" w:name="_Toc27689"/>
      <w:bookmarkStart w:id="354" w:name="_Toc27641"/>
      <w:bookmarkStart w:id="355" w:name="_Toc16116"/>
      <w:bookmarkStart w:id="356" w:name="_Toc30852"/>
      <w:r>
        <w:rPr>
          <w:rFonts w:hint="eastAsia"/>
          <w:color w:val="auto"/>
        </w:rPr>
        <w:t>消防安全管理</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42A1652E">
      <w:pPr>
        <w:pStyle w:val="163"/>
        <w:rPr>
          <w:color w:val="auto"/>
        </w:rPr>
      </w:pPr>
      <w:bookmarkStart w:id="357" w:name="_Toc994"/>
      <w:bookmarkStart w:id="358" w:name="_Toc30530"/>
      <w:r>
        <w:rPr>
          <w:color w:val="auto"/>
        </w:rPr>
        <w:t>运营单位应</w:t>
      </w:r>
      <w:r>
        <w:rPr>
          <w:rFonts w:hint="eastAsia"/>
          <w:color w:val="auto"/>
          <w:lang w:val="en-US" w:eastAsia="zh-CN"/>
        </w:rPr>
        <w:t>坚持</w:t>
      </w:r>
      <w:r>
        <w:rPr>
          <w:color w:val="auto"/>
        </w:rPr>
        <w:t>预防为主、防消结合的消防工作方针，</w:t>
      </w:r>
      <w:r>
        <w:rPr>
          <w:rFonts w:hint="eastAsia"/>
          <w:color w:val="auto"/>
        </w:rPr>
        <w:t>履行消防安全职责，保障消防安全</w:t>
      </w:r>
      <w:r>
        <w:rPr>
          <w:color w:val="auto"/>
        </w:rPr>
        <w:t>。</w:t>
      </w:r>
    </w:p>
    <w:p w14:paraId="44B3655C">
      <w:pPr>
        <w:pStyle w:val="163"/>
        <w:rPr>
          <w:color w:val="auto"/>
        </w:rPr>
      </w:pPr>
      <w:r>
        <w:rPr>
          <w:rFonts w:hint="eastAsia"/>
          <w:color w:val="auto"/>
        </w:rPr>
        <w:t>运营过程中的消防安全组织和职责、日常防火管理、消防设施管理、消防应急预案与演练、消防宣传教育培训和消防档案管理应符合GB/T 40484的规定。</w:t>
      </w:r>
    </w:p>
    <w:p w14:paraId="3144577C">
      <w:pPr>
        <w:pStyle w:val="163"/>
        <w:rPr>
          <w:color w:val="auto"/>
        </w:rPr>
      </w:pPr>
      <w:r>
        <w:rPr>
          <w:color w:val="auto"/>
        </w:rPr>
        <w:t>运营单位应依托志愿消防队，在车站、车辆基地建立微型消防站，配备必要的消防器材，积极开展防火巡查和初起火灾扑救等火灾防控工作。</w:t>
      </w:r>
    </w:p>
    <w:p w14:paraId="25DCFA74">
      <w:pPr>
        <w:pStyle w:val="163"/>
        <w:rPr>
          <w:color w:val="auto"/>
        </w:rPr>
      </w:pPr>
      <w:r>
        <w:rPr>
          <w:color w:val="auto"/>
        </w:rPr>
        <w:t>运营单位应将容易发生火灾、一旦发生火灾可能严重危及人身和财产安全以及对消防安全有重大影响的部位、场所确定为消防安全重点部位或火灾高危场所。</w:t>
      </w:r>
    </w:p>
    <w:bookmarkEnd w:id="357"/>
    <w:bookmarkEnd w:id="358"/>
    <w:p w14:paraId="2980F5C8">
      <w:pPr>
        <w:pStyle w:val="163"/>
        <w:rPr>
          <w:color w:val="auto"/>
        </w:rPr>
      </w:pPr>
      <w:bookmarkStart w:id="359" w:name="_Toc27597"/>
      <w:bookmarkStart w:id="360" w:name="_Toc29384"/>
      <w:r>
        <w:rPr>
          <w:rFonts w:hint="eastAsia"/>
          <w:color w:val="auto"/>
        </w:rPr>
        <w:t>应鼓励运用消防远程监控、电气火灾监控、物联网技术等技防物防措施。</w:t>
      </w:r>
      <w:bookmarkEnd w:id="359"/>
      <w:bookmarkEnd w:id="360"/>
    </w:p>
    <w:p w14:paraId="5361B1A0">
      <w:pPr>
        <w:pStyle w:val="163"/>
        <w:rPr>
          <w:color w:val="auto"/>
        </w:rPr>
      </w:pPr>
      <w:bookmarkStart w:id="361" w:name="_Toc26518"/>
      <w:bookmarkStart w:id="362" w:name="_Toc17011"/>
      <w:r>
        <w:rPr>
          <w:rFonts w:hint="eastAsia"/>
          <w:color w:val="auto"/>
        </w:rPr>
        <w:t>运营单位应自行或委托消防技术服务机构，按照国家法律法规和有关消防技术规范要求，对消防安全重点部位、火灾高危场所定期开展消防安全评估，并出具评估和检测报告，整改消防问题。</w:t>
      </w:r>
      <w:bookmarkEnd w:id="361"/>
      <w:bookmarkEnd w:id="362"/>
    </w:p>
    <w:p w14:paraId="65E83B43">
      <w:pPr>
        <w:pStyle w:val="105"/>
        <w:spacing w:before="312" w:after="312"/>
        <w:rPr>
          <w:color w:val="auto"/>
        </w:rPr>
      </w:pPr>
      <w:bookmarkStart w:id="363" w:name="_Toc31642"/>
      <w:bookmarkStart w:id="364" w:name="_Toc16033"/>
      <w:bookmarkStart w:id="365" w:name="_Toc12008"/>
      <w:bookmarkStart w:id="366" w:name="_Toc17725"/>
      <w:bookmarkStart w:id="367" w:name="_Toc8009"/>
      <w:bookmarkStart w:id="368" w:name="_Toc195687481"/>
      <w:bookmarkStart w:id="369" w:name="_Toc204933493"/>
      <w:bookmarkStart w:id="370" w:name="_Toc135387851"/>
      <w:bookmarkStart w:id="371" w:name="_Toc14555"/>
      <w:bookmarkStart w:id="372" w:name="_Toc1769"/>
      <w:bookmarkStart w:id="373" w:name="_Toc10873"/>
      <w:bookmarkStart w:id="374" w:name="_Toc23773"/>
      <w:bookmarkStart w:id="375" w:name="_Toc10746"/>
      <w:bookmarkStart w:id="376" w:name="_Toc10863"/>
      <w:bookmarkStart w:id="377" w:name="_Toc25761"/>
      <w:bookmarkStart w:id="378" w:name="_Toc15032"/>
      <w:bookmarkStart w:id="379" w:name="_Toc128428107"/>
      <w:bookmarkStart w:id="380" w:name="_Toc138770620"/>
      <w:bookmarkStart w:id="381" w:name="_Toc10137"/>
      <w:bookmarkStart w:id="382" w:name="_Toc29774"/>
      <w:bookmarkStart w:id="383" w:name="_Toc21331"/>
      <w:bookmarkStart w:id="384" w:name="_Toc24646"/>
      <w:bookmarkStart w:id="385" w:name="_Toc9891"/>
      <w:bookmarkStart w:id="386" w:name="_Toc30434"/>
      <w:bookmarkStart w:id="387" w:name="_Toc12149"/>
      <w:bookmarkStart w:id="388" w:name="_Toc26277"/>
      <w:bookmarkStart w:id="389" w:name="_Toc4760"/>
      <w:bookmarkStart w:id="390" w:name="_Toc1780"/>
      <w:bookmarkStart w:id="391" w:name="_Toc135388027"/>
      <w:bookmarkStart w:id="392" w:name="_Toc138770590"/>
      <w:bookmarkStart w:id="393" w:name="_Toc140004975"/>
      <w:bookmarkStart w:id="394" w:name="_Toc128428077"/>
      <w:bookmarkStart w:id="395" w:name="_Toc11814"/>
      <w:bookmarkStart w:id="396" w:name="_Toc19780"/>
      <w:bookmarkStart w:id="397" w:name="_Toc18237"/>
      <w:bookmarkStart w:id="398" w:name="_Toc5919"/>
      <w:bookmarkStart w:id="399" w:name="_Toc199167037"/>
      <w:bookmarkStart w:id="400" w:name="_Toc15060"/>
      <w:bookmarkStart w:id="401" w:name="_Toc25287"/>
      <w:r>
        <w:rPr>
          <w:rFonts w:hint="eastAsia"/>
          <w:color w:val="auto"/>
        </w:rPr>
        <w:t>公共安全管理</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9366803">
      <w:pPr>
        <w:pStyle w:val="163"/>
        <w:rPr>
          <w:color w:val="auto"/>
        </w:rPr>
      </w:pPr>
      <w:r>
        <w:rPr>
          <w:rFonts w:hint="eastAsia"/>
          <w:color w:val="auto"/>
        </w:rPr>
        <w:t>运营单位应根据公共安全事件类型制定相应的防范准则和防范措施，综合运用人力防范、实体防范、技术防范等手段，落实各项公共安全风险防范措施。</w:t>
      </w:r>
    </w:p>
    <w:p w14:paraId="5740F96E">
      <w:pPr>
        <w:pStyle w:val="163"/>
        <w:rPr>
          <w:color w:val="auto"/>
        </w:rPr>
      </w:pPr>
      <w:bookmarkStart w:id="402" w:name="_Toc16006"/>
      <w:bookmarkStart w:id="403" w:name="_Toc31478"/>
      <w:r>
        <w:rPr>
          <w:rFonts w:hint="eastAsia"/>
          <w:color w:val="auto"/>
        </w:rPr>
        <w:t>运营单位应设立治安反恐工作领导机构及安全保卫部门，配备专职安全保卫人员，建立包括值守巡逻、教育培训、检查考核、安全防范系统运行维护与保养等制度。</w:t>
      </w:r>
    </w:p>
    <w:p w14:paraId="72ADCF98">
      <w:pPr>
        <w:pStyle w:val="163"/>
        <w:rPr>
          <w:color w:val="auto"/>
        </w:rPr>
      </w:pPr>
      <w:r>
        <w:rPr>
          <w:rFonts w:hint="eastAsia"/>
          <w:color w:val="auto"/>
        </w:rPr>
        <w:t>运营单位应建立公共安全风险防范等级制度。按规定提升公共安全风险防范等级，增加专业人员和专用设备，扩大巡查监控范围、增加巡查监测点位、提高巡查频次，有效管控公共安全风险。</w:t>
      </w:r>
    </w:p>
    <w:p w14:paraId="1101E3DF">
      <w:pPr>
        <w:pStyle w:val="163"/>
        <w:rPr>
          <w:color w:val="auto"/>
        </w:rPr>
      </w:pPr>
      <w:r>
        <w:rPr>
          <w:rFonts w:hint="eastAsia"/>
          <w:color w:val="auto"/>
        </w:rPr>
        <w:t>应对列车驾驶员、行车调度员、行车值班员、信号工、通信工等重要岗位人员进行安全背景审查。对有不适合情形的人员，应调整工作岗位。</w:t>
      </w:r>
    </w:p>
    <w:p w14:paraId="108F99FD">
      <w:pPr>
        <w:pStyle w:val="163"/>
        <w:rPr>
          <w:color w:val="auto"/>
        </w:rPr>
      </w:pPr>
      <w:r>
        <w:rPr>
          <w:rFonts w:hint="eastAsia"/>
          <w:color w:val="auto"/>
        </w:rPr>
        <w:t>应在车站设置安检区，对所有进入车站的人员及其随身携带的物品实施安检。安检区宜设置在车站出入口外或站厅非付费区内。位于机场航站楼、国铁车站等交通枢纽内的城市轨道交通车站，应统筹考虑安检互信。</w:t>
      </w:r>
    </w:p>
    <w:p w14:paraId="70132652">
      <w:pPr>
        <w:pStyle w:val="163"/>
        <w:rPr>
          <w:color w:val="auto"/>
        </w:rPr>
      </w:pPr>
      <w:r>
        <w:rPr>
          <w:rFonts w:hint="eastAsia"/>
          <w:color w:val="auto"/>
        </w:rPr>
        <w:t>运营单位应与当地公安机关、行业主管部门和反恐怖工作领导机构建立联防、联动、联治工作机制。</w:t>
      </w:r>
    </w:p>
    <w:p w14:paraId="29B20676">
      <w:pPr>
        <w:pStyle w:val="163"/>
        <w:rPr>
          <w:color w:val="auto"/>
        </w:rPr>
      </w:pPr>
      <w:r>
        <w:rPr>
          <w:rFonts w:hint="eastAsia"/>
          <w:color w:val="auto"/>
        </w:rPr>
        <w:t>运营单位应采取网络防入侵、防阻断、防病毒等信息安全防护措施。</w:t>
      </w:r>
    </w:p>
    <w:p w14:paraId="2DAE9B49">
      <w:pPr>
        <w:pStyle w:val="163"/>
        <w:rPr>
          <w:color w:val="auto"/>
        </w:rPr>
      </w:pPr>
      <w:r>
        <w:rPr>
          <w:rFonts w:hint="eastAsia"/>
          <w:color w:val="auto"/>
        </w:rPr>
        <w:t>应在车站通道、站台、乘客车厢内设置公共安全宣传专栏，在运营设施范围内采用多媒体、电信基站传播等形式，向乘客发送安全警示、提醒信息，宣传相关安全知识。</w:t>
      </w:r>
    </w:p>
    <w:p w14:paraId="1E87FEC3">
      <w:pPr>
        <w:pStyle w:val="163"/>
        <w:rPr>
          <w:color w:val="auto"/>
        </w:rPr>
      </w:pPr>
      <w:r>
        <w:rPr>
          <w:rFonts w:hint="eastAsia"/>
          <w:color w:val="auto"/>
        </w:rPr>
        <w:t>运营单位应做好网络舆情监控，通过现场宣传引导、服务热线、网络媒体等方式回应乘客问询。</w:t>
      </w:r>
    </w:p>
    <w:bookmarkEnd w:id="402"/>
    <w:bookmarkEnd w:id="403"/>
    <w:p w14:paraId="62453E01">
      <w:pPr>
        <w:pStyle w:val="105"/>
        <w:spacing w:before="312" w:after="312"/>
        <w:rPr>
          <w:color w:val="auto"/>
        </w:rPr>
      </w:pPr>
      <w:bookmarkStart w:id="404" w:name="_Toc20178"/>
      <w:bookmarkStart w:id="405" w:name="_Toc7504"/>
      <w:bookmarkStart w:id="406" w:name="_Toc14142"/>
      <w:bookmarkStart w:id="407" w:name="_Toc204933494"/>
      <w:bookmarkStart w:id="408" w:name="_Toc1581"/>
      <w:bookmarkStart w:id="409" w:name="_Toc12281"/>
      <w:bookmarkStart w:id="410" w:name="_Toc26242"/>
      <w:bookmarkStart w:id="411" w:name="_Toc29191"/>
      <w:bookmarkStart w:id="412" w:name="_Toc29618"/>
      <w:bookmarkStart w:id="413" w:name="_Toc8460"/>
      <w:bookmarkStart w:id="414" w:name="_Toc138770591"/>
      <w:bookmarkStart w:id="415" w:name="_Toc13155"/>
      <w:bookmarkStart w:id="416" w:name="_Toc128428078"/>
      <w:bookmarkStart w:id="417" w:name="_Toc22866"/>
      <w:bookmarkStart w:id="418" w:name="_Toc140004976"/>
      <w:bookmarkStart w:id="419" w:name="_Toc5437"/>
      <w:bookmarkStart w:id="420" w:name="_Toc2054"/>
      <w:bookmarkStart w:id="421" w:name="_Toc6569"/>
      <w:bookmarkStart w:id="422" w:name="_Toc128428108"/>
      <w:bookmarkStart w:id="423" w:name="_Toc22198"/>
      <w:bookmarkStart w:id="424" w:name="_Toc7223"/>
      <w:bookmarkStart w:id="425" w:name="_Toc13004"/>
      <w:bookmarkStart w:id="426" w:name="_Toc22520"/>
      <w:bookmarkStart w:id="427" w:name="_Toc29995"/>
      <w:bookmarkStart w:id="428" w:name="_Toc19608"/>
      <w:bookmarkStart w:id="429" w:name="_Toc199167038"/>
      <w:bookmarkStart w:id="430" w:name="_Toc21368"/>
      <w:bookmarkStart w:id="431" w:name="_Toc31053"/>
      <w:bookmarkStart w:id="432" w:name="_Toc135387852"/>
      <w:bookmarkStart w:id="433" w:name="_Toc27387"/>
      <w:bookmarkStart w:id="434" w:name="_Toc5843"/>
      <w:bookmarkStart w:id="435" w:name="_Toc15467"/>
      <w:bookmarkStart w:id="436" w:name="_Toc701"/>
      <w:bookmarkStart w:id="437" w:name="_Toc22500"/>
      <w:bookmarkStart w:id="438" w:name="_Toc138770621"/>
      <w:bookmarkStart w:id="439" w:name="_Toc31544"/>
      <w:bookmarkStart w:id="440" w:name="_Toc195687482"/>
      <w:bookmarkStart w:id="441" w:name="_Toc135388028"/>
      <w:bookmarkStart w:id="442" w:name="_Toc17478"/>
      <w:bookmarkStart w:id="443" w:name="_Toc1831"/>
      <w:r>
        <w:rPr>
          <w:rFonts w:hint="eastAsia"/>
          <w:color w:val="auto"/>
        </w:rPr>
        <w:t>运营险性事件管理</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5688AED">
      <w:pPr>
        <w:pStyle w:val="106"/>
        <w:spacing w:before="156" w:after="156"/>
        <w:rPr>
          <w:color w:val="auto"/>
        </w:rPr>
      </w:pPr>
      <w:bookmarkStart w:id="444" w:name="_Toc138770592"/>
      <w:bookmarkStart w:id="445" w:name="_Toc14203"/>
      <w:bookmarkStart w:id="446" w:name="_Toc128428079"/>
      <w:bookmarkStart w:id="447" w:name="_Toc16420"/>
      <w:r>
        <w:rPr>
          <w:rFonts w:hint="eastAsia"/>
          <w:color w:val="auto"/>
        </w:rPr>
        <w:t>一般要求</w:t>
      </w:r>
      <w:bookmarkEnd w:id="444"/>
      <w:bookmarkEnd w:id="445"/>
      <w:bookmarkEnd w:id="446"/>
      <w:bookmarkEnd w:id="447"/>
    </w:p>
    <w:p w14:paraId="66A6626A">
      <w:pPr>
        <w:pStyle w:val="166"/>
        <w:rPr>
          <w:color w:val="auto"/>
        </w:rPr>
      </w:pPr>
      <w:r>
        <w:rPr>
          <w:rFonts w:hint="eastAsia"/>
          <w:color w:val="auto"/>
        </w:rPr>
        <w:t>运营单位应根据运营实际情况，结合附录B所列城市轨道交通主要运营</w:t>
      </w:r>
      <w:r>
        <w:rPr>
          <w:color w:val="auto"/>
        </w:rPr>
        <w:t>险性事件</w:t>
      </w:r>
      <w:r>
        <w:rPr>
          <w:rFonts w:hint="eastAsia"/>
          <w:color w:val="auto"/>
        </w:rPr>
        <w:t>清单细化本单位</w:t>
      </w:r>
      <w:r>
        <w:rPr>
          <w:color w:val="auto"/>
        </w:rPr>
        <w:t>运营险性事件</w:t>
      </w:r>
      <w:r>
        <w:rPr>
          <w:rFonts w:hint="eastAsia"/>
          <w:color w:val="auto"/>
        </w:rPr>
        <w:t>清单。</w:t>
      </w:r>
    </w:p>
    <w:p w14:paraId="181A5ED1">
      <w:pPr>
        <w:pStyle w:val="166"/>
        <w:rPr>
          <w:color w:val="auto"/>
        </w:rPr>
      </w:pPr>
      <w:r>
        <w:rPr>
          <w:rFonts w:hint="eastAsia"/>
          <w:color w:val="auto"/>
        </w:rPr>
        <w:t>运营险性事件造成的人员伤亡、直接经济损失达到国务院规定的生产安全事故等级的，应按国务院《生产安全事故报告和调查处理条例》规定执行信息报告与分析管理等工作。</w:t>
      </w:r>
    </w:p>
    <w:p w14:paraId="46B43764">
      <w:pPr>
        <w:pStyle w:val="106"/>
        <w:spacing w:before="156" w:after="156"/>
        <w:rPr>
          <w:color w:val="auto"/>
        </w:rPr>
      </w:pPr>
      <w:bookmarkStart w:id="448" w:name="_Toc32213"/>
      <w:bookmarkStart w:id="449" w:name="_Toc21980"/>
      <w:bookmarkStart w:id="450" w:name="_Toc128428080"/>
      <w:bookmarkStart w:id="451" w:name="_Toc138770593"/>
      <w:r>
        <w:rPr>
          <w:rFonts w:hint="eastAsia"/>
          <w:color w:val="auto"/>
        </w:rPr>
        <w:t>信息报告</w:t>
      </w:r>
      <w:bookmarkEnd w:id="448"/>
      <w:bookmarkEnd w:id="449"/>
      <w:bookmarkEnd w:id="450"/>
      <w:bookmarkEnd w:id="451"/>
    </w:p>
    <w:p w14:paraId="0ABDCB67">
      <w:pPr>
        <w:pStyle w:val="166"/>
        <w:rPr>
          <w:color w:val="auto"/>
        </w:rPr>
      </w:pPr>
      <w:r>
        <w:rPr>
          <w:rFonts w:hint="eastAsia"/>
          <w:color w:val="auto"/>
        </w:rPr>
        <w:t>发生运营险性事件时，运营单位应立即向城市轨道交通运营主管部门报告事件初步情况，并在事发1小时内进</w:t>
      </w:r>
      <w:r>
        <w:rPr>
          <w:rFonts w:hint="eastAsia"/>
          <w:color w:val="auto"/>
          <w:shd w:val="clear" w:color="auto" w:fill="FFFFFF" w:themeFill="background1"/>
        </w:rPr>
        <w:t>行书面快报，不得瞒报、谎报、迟报。</w:t>
      </w:r>
    </w:p>
    <w:p w14:paraId="2E30DA41">
      <w:pPr>
        <w:pStyle w:val="166"/>
        <w:rPr>
          <w:color w:val="auto"/>
        </w:rPr>
      </w:pPr>
      <w:r>
        <w:rPr>
          <w:rFonts w:hint="eastAsia"/>
          <w:color w:val="auto"/>
        </w:rPr>
        <w:t>运营险性事件书面快报应至少包括以下内容：</w:t>
      </w:r>
    </w:p>
    <w:p w14:paraId="2331AD0E">
      <w:pPr>
        <w:pStyle w:val="175"/>
        <w:numPr>
          <w:ilvl w:val="0"/>
          <w:numId w:val="44"/>
        </w:numPr>
        <w:rPr>
          <w:color w:val="auto"/>
        </w:rPr>
      </w:pPr>
      <w:r>
        <w:rPr>
          <w:rFonts w:hint="eastAsia"/>
          <w:color w:val="auto"/>
        </w:rPr>
        <w:t>发生单位；</w:t>
      </w:r>
    </w:p>
    <w:p w14:paraId="43C8C9D4">
      <w:pPr>
        <w:pStyle w:val="175"/>
        <w:numPr>
          <w:ilvl w:val="0"/>
          <w:numId w:val="34"/>
        </w:numPr>
        <w:rPr>
          <w:color w:val="auto"/>
        </w:rPr>
      </w:pPr>
      <w:r>
        <w:rPr>
          <w:rFonts w:hint="eastAsia"/>
          <w:color w:val="auto"/>
        </w:rPr>
        <w:t>发生的时间、地点、现场情况及简要经过；</w:t>
      </w:r>
    </w:p>
    <w:p w14:paraId="08F39865">
      <w:pPr>
        <w:pStyle w:val="175"/>
        <w:numPr>
          <w:ilvl w:val="0"/>
          <w:numId w:val="34"/>
        </w:numPr>
        <w:rPr>
          <w:color w:val="auto"/>
        </w:rPr>
      </w:pPr>
      <w:r>
        <w:rPr>
          <w:rFonts w:hint="eastAsia"/>
          <w:color w:val="auto"/>
        </w:rPr>
        <w:t>已经造成或者可能造成的伤亡人数（包括下落不明的人数）；</w:t>
      </w:r>
    </w:p>
    <w:p w14:paraId="042A0E05">
      <w:pPr>
        <w:pStyle w:val="175"/>
        <w:numPr>
          <w:ilvl w:val="0"/>
          <w:numId w:val="34"/>
        </w:numPr>
        <w:rPr>
          <w:color w:val="auto"/>
        </w:rPr>
      </w:pPr>
      <w:r>
        <w:rPr>
          <w:rFonts w:hint="eastAsia"/>
          <w:color w:val="auto"/>
        </w:rPr>
        <w:t>已经采取的措施；</w:t>
      </w:r>
    </w:p>
    <w:p w14:paraId="5C68998D">
      <w:pPr>
        <w:pStyle w:val="175"/>
        <w:numPr>
          <w:ilvl w:val="0"/>
          <w:numId w:val="34"/>
        </w:numPr>
        <w:rPr>
          <w:color w:val="auto"/>
        </w:rPr>
      </w:pPr>
      <w:r>
        <w:rPr>
          <w:rFonts w:hint="eastAsia"/>
          <w:color w:val="auto"/>
        </w:rPr>
        <w:t>对运营造成的影响；</w:t>
      </w:r>
    </w:p>
    <w:p w14:paraId="33D797DB">
      <w:pPr>
        <w:pStyle w:val="175"/>
        <w:numPr>
          <w:ilvl w:val="0"/>
          <w:numId w:val="34"/>
        </w:numPr>
        <w:rPr>
          <w:color w:val="auto"/>
        </w:rPr>
      </w:pPr>
      <w:r>
        <w:rPr>
          <w:rFonts w:hint="eastAsia"/>
          <w:color w:val="auto"/>
        </w:rPr>
        <w:t>初步原因分析；</w:t>
      </w:r>
    </w:p>
    <w:p w14:paraId="70E97A08">
      <w:pPr>
        <w:pStyle w:val="175"/>
        <w:numPr>
          <w:ilvl w:val="0"/>
          <w:numId w:val="34"/>
        </w:numPr>
        <w:rPr>
          <w:color w:val="auto"/>
        </w:rPr>
      </w:pPr>
      <w:r>
        <w:rPr>
          <w:rFonts w:hint="eastAsia"/>
          <w:color w:val="auto"/>
        </w:rPr>
        <w:t>下一步措施和需要协调事项；</w:t>
      </w:r>
    </w:p>
    <w:p w14:paraId="47FB7E11">
      <w:pPr>
        <w:pStyle w:val="175"/>
        <w:numPr>
          <w:ilvl w:val="0"/>
          <w:numId w:val="34"/>
        </w:numPr>
        <w:rPr>
          <w:color w:val="auto"/>
        </w:rPr>
      </w:pPr>
      <w:r>
        <w:rPr>
          <w:rFonts w:hint="eastAsia"/>
          <w:color w:val="auto"/>
        </w:rPr>
        <w:t>其他应报告的情况</w:t>
      </w:r>
      <w:r>
        <w:rPr>
          <w:rFonts w:hint="eastAsia"/>
          <w:color w:val="auto"/>
          <w:lang w:eastAsia="zh-CN"/>
        </w:rPr>
        <w:t>。</w:t>
      </w:r>
    </w:p>
    <w:p w14:paraId="16202114">
      <w:pPr>
        <w:pStyle w:val="175"/>
        <w:numPr>
          <w:ilvl w:val="255"/>
          <w:numId w:val="0"/>
        </w:numPr>
        <w:ind w:left="425"/>
        <w:rPr>
          <w:color w:val="auto"/>
        </w:rPr>
      </w:pPr>
      <w:r>
        <w:rPr>
          <w:rFonts w:hint="eastAsia"/>
          <w:color w:val="auto"/>
        </w:rPr>
        <w:t>对运营险性事件处置的新进展、新情况应及时续报。</w:t>
      </w:r>
    </w:p>
    <w:p w14:paraId="69A1BA01">
      <w:pPr>
        <w:pStyle w:val="166"/>
        <w:rPr>
          <w:color w:val="auto"/>
        </w:rPr>
      </w:pPr>
      <w:r>
        <w:rPr>
          <w:rFonts w:hint="eastAsia"/>
          <w:color w:val="auto"/>
        </w:rPr>
        <w:t>在报告运营险性事件时，运营单位应检查和确认现场情况，及时提供信息并按规定报告。对短时间内难以判断清楚的现场情况，可先简报而后继续了解确认，随时续报。如发现内容有误，应立即更正报告内容。</w:t>
      </w:r>
    </w:p>
    <w:p w14:paraId="7C69ABF9">
      <w:pPr>
        <w:pStyle w:val="166"/>
        <w:rPr>
          <w:color w:val="auto"/>
        </w:rPr>
      </w:pPr>
      <w:r>
        <w:rPr>
          <w:rFonts w:hint="eastAsia"/>
          <w:color w:val="auto"/>
        </w:rPr>
        <w:t>运营险性事件处置完毕后，运营单位应在续报的基础上，形成全面反应运营险性事件的综合性报告。</w:t>
      </w:r>
    </w:p>
    <w:p w14:paraId="7CF77A12">
      <w:pPr>
        <w:pStyle w:val="106"/>
        <w:spacing w:before="156" w:after="156"/>
        <w:rPr>
          <w:color w:val="auto"/>
        </w:rPr>
      </w:pPr>
      <w:bookmarkStart w:id="452" w:name="_Toc128428081"/>
      <w:bookmarkStart w:id="453" w:name="_Toc138770594"/>
      <w:bookmarkStart w:id="454" w:name="_Toc7862"/>
      <w:bookmarkStart w:id="455" w:name="_Toc2512"/>
      <w:r>
        <w:rPr>
          <w:rFonts w:hint="eastAsia"/>
          <w:color w:val="auto"/>
        </w:rPr>
        <w:t>事件分析</w:t>
      </w:r>
      <w:bookmarkEnd w:id="452"/>
      <w:bookmarkEnd w:id="453"/>
      <w:bookmarkEnd w:id="454"/>
      <w:bookmarkEnd w:id="455"/>
    </w:p>
    <w:p w14:paraId="3D13063E">
      <w:pPr>
        <w:pStyle w:val="166"/>
        <w:rPr>
          <w:color w:val="auto"/>
          <w:lang w:val="zh-CN"/>
        </w:rPr>
      </w:pPr>
      <w:r>
        <w:rPr>
          <w:rFonts w:hint="eastAsia"/>
          <w:color w:val="auto"/>
          <w:lang w:val="zh-CN"/>
        </w:rPr>
        <w:t>运营单位应及时对事发现场关键信息进行记录，重要岗位和重要区域的录音、录像和操作日志，关键设备系统运行日志、维护记录等资料应进行封存并保存完好，相关资料保存时间不少于90日。</w:t>
      </w:r>
    </w:p>
    <w:p w14:paraId="1DE33C30">
      <w:pPr>
        <w:pStyle w:val="166"/>
        <w:rPr>
          <w:color w:val="auto"/>
          <w:lang w:val="zh-CN"/>
        </w:rPr>
      </w:pPr>
      <w:r>
        <w:rPr>
          <w:rFonts w:hint="eastAsia"/>
          <w:color w:val="auto"/>
          <w:lang w:val="zh-CN"/>
        </w:rPr>
        <w:t>运营单位应组织设备供应商以及相关责任单位对运营险性事件开展技术分析，并在运营险性事件发生之日起30个工作日内形成分析报告，事件复杂、技术分析难度大的</w:t>
      </w:r>
      <w:r>
        <w:rPr>
          <w:rFonts w:hint="eastAsia"/>
          <w:color w:val="auto"/>
        </w:rPr>
        <w:t>可适当延长</w:t>
      </w:r>
      <w:r>
        <w:rPr>
          <w:rFonts w:hint="eastAsia"/>
          <w:color w:val="auto"/>
          <w:lang w:val="zh-CN"/>
        </w:rPr>
        <w:t>，</w:t>
      </w:r>
      <w:r>
        <w:rPr>
          <w:rFonts w:hint="eastAsia"/>
          <w:color w:val="auto"/>
        </w:rPr>
        <w:t>但不应</w:t>
      </w:r>
      <w:r>
        <w:rPr>
          <w:rFonts w:hint="eastAsia"/>
          <w:color w:val="auto"/>
          <w:lang w:val="zh-CN"/>
        </w:rPr>
        <w:t>超过30个工作日。</w:t>
      </w:r>
      <w:r>
        <w:rPr>
          <w:rFonts w:hint="eastAsia"/>
          <w:color w:val="auto"/>
        </w:rPr>
        <w:t>相关单位和个人应配合开展运营险性事件技术分析工作，可邀请专家或第三方专业机构共同参与。</w:t>
      </w:r>
    </w:p>
    <w:p w14:paraId="3188B1BD">
      <w:pPr>
        <w:pStyle w:val="166"/>
        <w:rPr>
          <w:color w:val="auto"/>
          <w:lang w:val="zh-CN"/>
        </w:rPr>
      </w:pPr>
      <w:r>
        <w:rPr>
          <w:rFonts w:hint="eastAsia"/>
          <w:color w:val="auto"/>
        </w:rPr>
        <w:t>运营险性事件技术分析工作应形成运营险性事件技术分析报告，并在形成报告后5个工作日内，报送至城市轨道交通运营主管部门。</w:t>
      </w:r>
    </w:p>
    <w:p w14:paraId="64177141">
      <w:pPr>
        <w:pStyle w:val="166"/>
        <w:rPr>
          <w:color w:val="auto"/>
        </w:rPr>
      </w:pPr>
      <w:r>
        <w:rPr>
          <w:rFonts w:hint="eastAsia"/>
          <w:color w:val="auto"/>
        </w:rPr>
        <w:t>运营单位应按年度对本单位已完成技术分析的城市轨道交通运营险性事件的发生情况、发生原因、发展趋势、变化规律，以及既往运营险性事件整改及防范措施实施效果等进行总结评估，形成书面报告并及时报送至城市轨道交通运营主管部门。</w:t>
      </w:r>
    </w:p>
    <w:p w14:paraId="7260C365">
      <w:pPr>
        <w:pStyle w:val="106"/>
        <w:spacing w:before="156" w:after="156"/>
        <w:rPr>
          <w:color w:val="auto"/>
        </w:rPr>
      </w:pPr>
      <w:bookmarkStart w:id="456" w:name="_Toc31757"/>
      <w:bookmarkStart w:id="457" w:name="_Toc12917"/>
      <w:bookmarkStart w:id="458" w:name="_Toc128428082"/>
      <w:bookmarkStart w:id="459" w:name="_Toc138770595"/>
      <w:r>
        <w:rPr>
          <w:rFonts w:hint="eastAsia"/>
          <w:color w:val="auto"/>
        </w:rPr>
        <w:t>调查处理</w:t>
      </w:r>
      <w:bookmarkEnd w:id="456"/>
      <w:bookmarkEnd w:id="457"/>
      <w:bookmarkEnd w:id="458"/>
      <w:bookmarkEnd w:id="459"/>
    </w:p>
    <w:p w14:paraId="0534F268">
      <w:pPr>
        <w:pStyle w:val="166"/>
        <w:ind w:firstLine="0" w:firstLineChars="0"/>
        <w:rPr>
          <w:rFonts w:hint="eastAsia"/>
          <w:color w:val="auto"/>
        </w:rPr>
      </w:pPr>
      <w:r>
        <w:rPr>
          <w:rFonts w:hint="eastAsia"/>
          <w:color w:val="auto"/>
        </w:rPr>
        <w:t>运营单位应坚持以事实为依据，按有关规定调查（或配合）处理运营险性事件。</w:t>
      </w:r>
    </w:p>
    <w:p w14:paraId="5B4424DF">
      <w:pPr>
        <w:pStyle w:val="166"/>
        <w:ind w:firstLine="0" w:firstLineChars="0"/>
        <w:rPr>
          <w:rFonts w:hint="eastAsia"/>
          <w:color w:val="auto"/>
          <w:lang w:val="zh-CN"/>
        </w:rPr>
      </w:pPr>
      <w:r>
        <w:rPr>
          <w:rFonts w:hint="eastAsia"/>
          <w:color w:val="auto"/>
        </w:rPr>
        <w:t>运营险性事件责任单位应落实整改措施。</w:t>
      </w:r>
    </w:p>
    <w:p w14:paraId="6047557A">
      <w:pPr>
        <w:pStyle w:val="236"/>
        <w:numPr>
          <w:ilvl w:val="0"/>
          <w:numId w:val="0"/>
        </w:numPr>
        <w:ind w:firstLine="420" w:firstLineChars="200"/>
        <w:rPr>
          <w:color w:val="auto"/>
        </w:rPr>
      </w:pPr>
    </w:p>
    <w:p w14:paraId="2BA71AB0">
      <w:pPr>
        <w:pStyle w:val="166"/>
        <w:numPr>
          <w:ilvl w:val="0"/>
          <w:numId w:val="0"/>
        </w:numPr>
        <w:rPr>
          <w:color w:val="auto"/>
        </w:rPr>
      </w:pPr>
    </w:p>
    <w:p w14:paraId="44B7A4F5">
      <w:pPr>
        <w:pStyle w:val="166"/>
        <w:numPr>
          <w:ilvl w:val="0"/>
          <w:numId w:val="0"/>
        </w:numPr>
        <w:rPr>
          <w:color w:val="auto"/>
        </w:rPr>
      </w:pPr>
    </w:p>
    <w:p w14:paraId="54402EBC">
      <w:pPr>
        <w:pStyle w:val="166"/>
        <w:numPr>
          <w:ilvl w:val="0"/>
          <w:numId w:val="0"/>
        </w:numPr>
        <w:rPr>
          <w:color w:val="auto"/>
        </w:rPr>
      </w:pPr>
    </w:p>
    <w:p w14:paraId="3E7706E2">
      <w:pPr>
        <w:pStyle w:val="166"/>
        <w:numPr>
          <w:ilvl w:val="0"/>
          <w:numId w:val="0"/>
        </w:numPr>
        <w:rPr>
          <w:color w:val="auto"/>
        </w:r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34"/>
    <w:p w14:paraId="68DB8C08">
      <w:pPr>
        <w:pStyle w:val="199"/>
        <w:rPr>
          <w:rFonts w:hint="eastAsia"/>
          <w:color w:val="auto"/>
        </w:rPr>
      </w:pPr>
      <w:bookmarkStart w:id="460" w:name="BookMark5"/>
    </w:p>
    <w:p w14:paraId="49980E95">
      <w:pPr>
        <w:pStyle w:val="200"/>
        <w:rPr>
          <w:color w:val="auto"/>
        </w:rPr>
      </w:pPr>
    </w:p>
    <w:p w14:paraId="697457BF">
      <w:pPr>
        <w:pStyle w:val="199"/>
        <w:rPr>
          <w:rFonts w:hint="eastAsia"/>
          <w:color w:val="auto"/>
        </w:rPr>
      </w:pPr>
    </w:p>
    <w:p w14:paraId="2F5730A0">
      <w:pPr>
        <w:pStyle w:val="200"/>
        <w:rPr>
          <w:color w:val="auto"/>
        </w:rPr>
      </w:pPr>
    </w:p>
    <w:p w14:paraId="3EF135BA">
      <w:pPr>
        <w:pStyle w:val="77"/>
        <w:spacing w:after="156"/>
        <w:rPr>
          <w:color w:val="auto"/>
        </w:rPr>
      </w:pPr>
      <w:bookmarkStart w:id="461" w:name="_Toc17858"/>
      <w:r>
        <w:rPr>
          <w:color w:val="auto"/>
        </w:rPr>
        <w:br w:type="textWrapping"/>
      </w:r>
      <w:bookmarkStart w:id="462" w:name="_Toc195687484"/>
      <w:bookmarkStart w:id="463" w:name="_Toc204933495"/>
      <w:bookmarkStart w:id="464" w:name="_Toc199167039"/>
      <w:bookmarkStart w:id="465" w:name="_Toc140004978"/>
      <w:r>
        <w:rPr>
          <w:rFonts w:hint="eastAsia"/>
          <w:color w:val="auto"/>
        </w:rPr>
        <w:t>（资料性）</w:t>
      </w:r>
      <w:r>
        <w:rPr>
          <w:color w:val="auto"/>
        </w:rPr>
        <w:br w:type="textWrapping"/>
      </w:r>
      <w:r>
        <w:rPr>
          <w:rFonts w:hint="eastAsia"/>
          <w:color w:val="auto"/>
        </w:rPr>
        <w:t>城市轨道交通主要运营安全风险类别</w:t>
      </w:r>
      <w:bookmarkEnd w:id="461"/>
      <w:bookmarkEnd w:id="462"/>
      <w:bookmarkEnd w:id="463"/>
      <w:bookmarkEnd w:id="464"/>
      <w:bookmarkEnd w:id="465"/>
    </w:p>
    <w:p w14:paraId="46A704F9">
      <w:pPr>
        <w:pStyle w:val="79"/>
        <w:spacing w:before="156" w:after="156"/>
        <w:rPr>
          <w:color w:val="auto"/>
        </w:rPr>
      </w:pPr>
      <w:bookmarkStart w:id="466" w:name="_Toc138770598"/>
      <w:bookmarkStart w:id="467" w:name="_Toc128428084"/>
      <w:r>
        <w:rPr>
          <w:rFonts w:hint="eastAsia"/>
          <w:color w:val="auto"/>
        </w:rPr>
        <w:t>设施监测养护类风险</w:t>
      </w:r>
      <w:bookmarkEnd w:id="466"/>
      <w:bookmarkEnd w:id="467"/>
    </w:p>
    <w:p w14:paraId="1076AD96">
      <w:pPr>
        <w:pStyle w:val="57"/>
        <w:ind w:firstLine="420"/>
        <w:rPr>
          <w:color w:val="auto"/>
        </w:rPr>
      </w:pPr>
      <w:r>
        <w:rPr>
          <w:rFonts w:hint="eastAsia"/>
          <w:color w:val="auto"/>
        </w:rPr>
        <w:t>桥梁、隧道、轨道、路基、车站、控制中心和车辆基地等方面的风险。</w:t>
      </w:r>
    </w:p>
    <w:p w14:paraId="33EE00E6">
      <w:pPr>
        <w:pStyle w:val="79"/>
        <w:spacing w:before="156" w:after="156"/>
        <w:rPr>
          <w:color w:val="auto"/>
        </w:rPr>
      </w:pPr>
      <w:bookmarkStart w:id="468" w:name="_Toc128428085"/>
      <w:bookmarkStart w:id="469" w:name="_Toc138770599"/>
      <w:r>
        <w:rPr>
          <w:rFonts w:hint="eastAsia"/>
          <w:color w:val="auto"/>
        </w:rPr>
        <w:t>设备运行维修类风险</w:t>
      </w:r>
      <w:bookmarkEnd w:id="468"/>
      <w:bookmarkEnd w:id="469"/>
    </w:p>
    <w:p w14:paraId="4CA5543E">
      <w:pPr>
        <w:pStyle w:val="57"/>
        <w:ind w:firstLine="420"/>
        <w:rPr>
          <w:color w:val="auto"/>
        </w:rPr>
      </w:pPr>
      <w:r>
        <w:rPr>
          <w:rFonts w:hint="eastAsia"/>
          <w:color w:val="auto"/>
        </w:rPr>
        <w:t>车辆、供电、通信、信号、机电等方面的风险。</w:t>
      </w:r>
    </w:p>
    <w:p w14:paraId="7D9D9C72">
      <w:pPr>
        <w:pStyle w:val="79"/>
        <w:spacing w:before="156" w:after="156"/>
        <w:rPr>
          <w:color w:val="auto"/>
        </w:rPr>
      </w:pPr>
      <w:bookmarkStart w:id="470" w:name="_Toc128428086"/>
      <w:bookmarkStart w:id="471" w:name="_Toc138770600"/>
      <w:r>
        <w:rPr>
          <w:rFonts w:hint="eastAsia"/>
          <w:color w:val="auto"/>
        </w:rPr>
        <w:t>行车组织类风险</w:t>
      </w:r>
      <w:bookmarkEnd w:id="470"/>
      <w:bookmarkEnd w:id="471"/>
    </w:p>
    <w:p w14:paraId="2287BE06">
      <w:pPr>
        <w:pStyle w:val="57"/>
        <w:ind w:firstLine="420"/>
        <w:rPr>
          <w:color w:val="auto"/>
        </w:rPr>
      </w:pPr>
      <w:r>
        <w:rPr>
          <w:rFonts w:hint="eastAsia"/>
          <w:color w:val="auto"/>
        </w:rPr>
        <w:t>调度指挥、列车运行、行车作业、施工管理等方面的风险。</w:t>
      </w:r>
    </w:p>
    <w:p w14:paraId="4C91A25A">
      <w:pPr>
        <w:pStyle w:val="79"/>
        <w:spacing w:before="156" w:after="156"/>
        <w:rPr>
          <w:color w:val="auto"/>
        </w:rPr>
      </w:pPr>
      <w:bookmarkStart w:id="472" w:name="_Toc138770601"/>
      <w:bookmarkStart w:id="473" w:name="_Toc128428087"/>
      <w:r>
        <w:rPr>
          <w:rFonts w:hint="eastAsia"/>
          <w:color w:val="auto"/>
        </w:rPr>
        <w:t>客运组织类风险</w:t>
      </w:r>
      <w:bookmarkEnd w:id="472"/>
      <w:bookmarkEnd w:id="473"/>
      <w:r>
        <w:rPr>
          <w:color w:val="auto"/>
        </w:rPr>
        <w:tab/>
      </w:r>
      <w:r>
        <w:rPr>
          <w:color w:val="auto"/>
        </w:rPr>
        <w:tab/>
      </w:r>
    </w:p>
    <w:p w14:paraId="0A0E3D0D">
      <w:pPr>
        <w:pStyle w:val="57"/>
        <w:ind w:firstLine="420"/>
        <w:rPr>
          <w:color w:val="auto"/>
        </w:rPr>
      </w:pPr>
      <w:r>
        <w:rPr>
          <w:rFonts w:hint="eastAsia"/>
          <w:color w:val="auto"/>
        </w:rPr>
        <w:t>车站作业、客流疏导、乘客行为等方面的风险。</w:t>
      </w:r>
    </w:p>
    <w:p w14:paraId="5F48D3D8">
      <w:pPr>
        <w:pStyle w:val="79"/>
        <w:spacing w:before="156" w:after="156"/>
        <w:rPr>
          <w:color w:val="auto"/>
        </w:rPr>
      </w:pPr>
      <w:bookmarkStart w:id="474" w:name="_Toc128428088"/>
      <w:bookmarkStart w:id="475" w:name="_Toc138770602"/>
      <w:r>
        <w:rPr>
          <w:rFonts w:hint="eastAsia"/>
          <w:color w:val="auto"/>
        </w:rPr>
        <w:t>运行环境类风险</w:t>
      </w:r>
      <w:bookmarkEnd w:id="474"/>
      <w:bookmarkEnd w:id="475"/>
    </w:p>
    <w:p w14:paraId="07F3E12F">
      <w:pPr>
        <w:pStyle w:val="57"/>
        <w:ind w:firstLine="420"/>
        <w:rPr>
          <w:color w:val="auto"/>
        </w:rPr>
      </w:pPr>
      <w:r>
        <w:rPr>
          <w:rFonts w:hint="eastAsia"/>
          <w:color w:val="auto"/>
        </w:rPr>
        <w:t>生产环境、自然环境、保护区环境、社会环境等方面的风险。</w:t>
      </w:r>
    </w:p>
    <w:p w14:paraId="32128824">
      <w:pPr>
        <w:pStyle w:val="57"/>
        <w:ind w:firstLine="420"/>
        <w:rPr>
          <w:color w:val="auto"/>
        </w:rPr>
      </w:pPr>
    </w:p>
    <w:p w14:paraId="0BFD8C2C">
      <w:pPr>
        <w:pStyle w:val="57"/>
        <w:ind w:firstLine="420"/>
        <w:rPr>
          <w:color w:val="auto"/>
        </w:rPr>
      </w:pPr>
    </w:p>
    <w:p w14:paraId="18F72537">
      <w:pPr>
        <w:pStyle w:val="57"/>
        <w:ind w:firstLine="420"/>
        <w:rPr>
          <w:color w:val="auto"/>
        </w:rPr>
      </w:pPr>
    </w:p>
    <w:p w14:paraId="0D48DCC1">
      <w:pPr>
        <w:pStyle w:val="166"/>
        <w:numPr>
          <w:ilvl w:val="0"/>
          <w:numId w:val="0"/>
        </w:numPr>
        <w:rPr>
          <w:color w:val="auto"/>
        </w:rPr>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pPr>
    </w:p>
    <w:p w14:paraId="3ACE3DCE">
      <w:pPr>
        <w:pStyle w:val="199"/>
        <w:rPr>
          <w:rFonts w:hint="eastAsia"/>
          <w:vanish w:val="0"/>
          <w:color w:val="auto"/>
        </w:rPr>
      </w:pPr>
    </w:p>
    <w:p w14:paraId="1525CAD3">
      <w:pPr>
        <w:pStyle w:val="200"/>
        <w:numPr>
          <w:ilvl w:val="0"/>
          <w:numId w:val="0"/>
        </w:numPr>
        <w:ind w:left="425"/>
        <w:jc w:val="both"/>
        <w:rPr>
          <w:vanish w:val="0"/>
          <w:color w:val="auto"/>
        </w:rPr>
      </w:pPr>
    </w:p>
    <w:p w14:paraId="65E2C2F6">
      <w:pPr>
        <w:pStyle w:val="199"/>
        <w:rPr>
          <w:rFonts w:hint="eastAsia"/>
          <w:vanish w:val="0"/>
          <w:color w:val="auto"/>
        </w:rPr>
      </w:pPr>
    </w:p>
    <w:p w14:paraId="475E4E0E">
      <w:pPr>
        <w:pStyle w:val="200"/>
        <w:rPr>
          <w:vanish w:val="0"/>
          <w:color w:val="auto"/>
        </w:rPr>
      </w:pPr>
    </w:p>
    <w:p w14:paraId="07E53E24">
      <w:pPr>
        <w:pStyle w:val="77"/>
        <w:spacing w:after="156"/>
        <w:rPr>
          <w:color w:val="auto"/>
        </w:rPr>
      </w:pPr>
      <w:bookmarkStart w:id="476" w:name="_Toc6625"/>
      <w:r>
        <w:rPr>
          <w:color w:val="auto"/>
        </w:rPr>
        <w:br w:type="textWrapping"/>
      </w:r>
      <w:bookmarkStart w:id="477" w:name="_Toc199167040"/>
      <w:bookmarkStart w:id="478" w:name="_Toc128428110"/>
      <w:bookmarkStart w:id="479" w:name="_Toc135387854"/>
      <w:bookmarkStart w:id="480" w:name="_Toc138770603"/>
      <w:bookmarkStart w:id="481" w:name="_Toc195687485"/>
      <w:bookmarkStart w:id="482" w:name="_Toc138770624"/>
      <w:bookmarkStart w:id="483" w:name="_Toc128428089"/>
      <w:bookmarkStart w:id="484" w:name="_Toc140004979"/>
      <w:bookmarkStart w:id="485" w:name="_Toc135388030"/>
      <w:bookmarkStart w:id="486" w:name="_Toc204933496"/>
      <w:r>
        <w:rPr>
          <w:rFonts w:hint="eastAsia"/>
          <w:color w:val="auto"/>
        </w:rPr>
        <w:t>（资料性）</w:t>
      </w:r>
      <w:r>
        <w:rPr>
          <w:color w:val="auto"/>
        </w:rPr>
        <w:br w:type="textWrapping"/>
      </w:r>
      <w:r>
        <w:rPr>
          <w:rFonts w:hint="eastAsia"/>
          <w:color w:val="auto"/>
        </w:rPr>
        <w:t>城市轨道交通主要险性事件清单</w:t>
      </w:r>
      <w:bookmarkEnd w:id="476"/>
      <w:bookmarkEnd w:id="477"/>
      <w:bookmarkEnd w:id="478"/>
      <w:bookmarkEnd w:id="479"/>
      <w:bookmarkEnd w:id="480"/>
      <w:bookmarkEnd w:id="481"/>
      <w:bookmarkEnd w:id="482"/>
      <w:bookmarkEnd w:id="483"/>
      <w:bookmarkEnd w:id="484"/>
      <w:bookmarkEnd w:id="485"/>
      <w:bookmarkEnd w:id="486"/>
    </w:p>
    <w:p w14:paraId="008D9066">
      <w:pPr>
        <w:pStyle w:val="57"/>
        <w:ind w:firstLine="420"/>
        <w:rPr>
          <w:color w:val="auto"/>
        </w:rPr>
      </w:pPr>
      <w:r>
        <w:rPr>
          <w:rFonts w:hint="eastAsia"/>
          <w:color w:val="auto"/>
        </w:rPr>
        <w:t>表B</w:t>
      </w:r>
      <w:r>
        <w:rPr>
          <w:color w:val="auto"/>
        </w:rPr>
        <w:t>.1</w:t>
      </w:r>
      <w:r>
        <w:rPr>
          <w:rFonts w:hint="eastAsia"/>
          <w:color w:val="auto"/>
        </w:rPr>
        <w:t>给出了城市轨道交通主要运营险性事件及说明。</w:t>
      </w:r>
    </w:p>
    <w:p w14:paraId="51E937B3">
      <w:pPr>
        <w:pStyle w:val="78"/>
        <w:numPr>
          <w:ilvl w:val="0"/>
          <w:numId w:val="0"/>
        </w:numPr>
        <w:spacing w:before="156" w:after="156"/>
        <w:rPr>
          <w:color w:val="auto"/>
        </w:rPr>
      </w:pPr>
      <w:r>
        <w:rPr>
          <w:rFonts w:hint="eastAsia"/>
          <w:color w:val="auto"/>
        </w:rPr>
        <w:t>表B.1 城市轨道交通主要险性事件清单</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2835"/>
        <w:gridCol w:w="5658"/>
      </w:tblGrid>
      <w:tr w14:paraId="2801EA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41" w:type="dxa"/>
            <w:tcBorders>
              <w:top w:val="single" w:color="auto" w:sz="8" w:space="0"/>
              <w:bottom w:val="single" w:color="auto" w:sz="8" w:space="0"/>
            </w:tcBorders>
            <w:shd w:val="clear" w:color="auto" w:fill="auto"/>
            <w:vAlign w:val="center"/>
          </w:tcPr>
          <w:p w14:paraId="7B0AB307">
            <w:pPr>
              <w:pStyle w:val="179"/>
              <w:rPr>
                <w:b/>
                <w:bCs/>
                <w:color w:val="auto"/>
              </w:rPr>
            </w:pPr>
            <w:r>
              <w:rPr>
                <w:rFonts w:hint="eastAsia"/>
                <w:b/>
                <w:bCs/>
                <w:color w:val="auto"/>
              </w:rPr>
              <w:t>序号</w:t>
            </w:r>
          </w:p>
        </w:tc>
        <w:tc>
          <w:tcPr>
            <w:tcW w:w="2835" w:type="dxa"/>
            <w:tcBorders>
              <w:top w:val="single" w:color="auto" w:sz="8" w:space="0"/>
              <w:bottom w:val="single" w:color="auto" w:sz="8" w:space="0"/>
            </w:tcBorders>
            <w:shd w:val="clear" w:color="auto" w:fill="auto"/>
            <w:vAlign w:val="center"/>
          </w:tcPr>
          <w:p w14:paraId="64831983">
            <w:pPr>
              <w:pStyle w:val="179"/>
              <w:rPr>
                <w:b/>
                <w:bCs/>
                <w:color w:val="auto"/>
              </w:rPr>
            </w:pPr>
            <w:r>
              <w:rPr>
                <w:rFonts w:hint="eastAsia"/>
                <w:b/>
                <w:bCs/>
                <w:color w:val="auto"/>
              </w:rPr>
              <w:t>主要运营险性事件</w:t>
            </w:r>
          </w:p>
        </w:tc>
        <w:tc>
          <w:tcPr>
            <w:tcW w:w="5658" w:type="dxa"/>
            <w:tcBorders>
              <w:top w:val="single" w:color="auto" w:sz="8" w:space="0"/>
              <w:bottom w:val="single" w:color="auto" w:sz="8" w:space="0"/>
            </w:tcBorders>
            <w:shd w:val="clear" w:color="auto" w:fill="auto"/>
            <w:vAlign w:val="center"/>
          </w:tcPr>
          <w:p w14:paraId="1476AE1A">
            <w:pPr>
              <w:pStyle w:val="179"/>
              <w:rPr>
                <w:b/>
                <w:bCs/>
                <w:color w:val="auto"/>
              </w:rPr>
            </w:pPr>
            <w:r>
              <w:rPr>
                <w:rFonts w:hint="eastAsia"/>
                <w:b/>
                <w:bCs/>
                <w:color w:val="auto"/>
              </w:rPr>
              <w:t>说明</w:t>
            </w:r>
          </w:p>
        </w:tc>
      </w:tr>
      <w:tr w14:paraId="7823F1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41" w:type="dxa"/>
            <w:tcBorders>
              <w:top w:val="single" w:color="auto" w:sz="8" w:space="0"/>
            </w:tcBorders>
            <w:shd w:val="clear" w:color="auto" w:fill="auto"/>
            <w:vAlign w:val="center"/>
          </w:tcPr>
          <w:p w14:paraId="6C8AF5F1">
            <w:pPr>
              <w:pStyle w:val="179"/>
              <w:rPr>
                <w:color w:val="auto"/>
              </w:rPr>
            </w:pPr>
            <w:r>
              <w:rPr>
                <w:rFonts w:hint="eastAsia"/>
                <w:color w:val="auto"/>
              </w:rPr>
              <w:t>1</w:t>
            </w:r>
          </w:p>
        </w:tc>
        <w:tc>
          <w:tcPr>
            <w:tcW w:w="2835" w:type="dxa"/>
            <w:tcBorders>
              <w:top w:val="single" w:color="auto" w:sz="8" w:space="0"/>
            </w:tcBorders>
            <w:shd w:val="clear" w:color="auto" w:fill="auto"/>
            <w:vAlign w:val="center"/>
          </w:tcPr>
          <w:p w14:paraId="2A0A0E0C">
            <w:pPr>
              <w:pStyle w:val="179"/>
              <w:rPr>
                <w:color w:val="auto"/>
              </w:rPr>
            </w:pPr>
            <w:r>
              <w:rPr>
                <w:rFonts w:hint="eastAsia"/>
                <w:color w:val="auto"/>
              </w:rPr>
              <w:t>列车脱轨</w:t>
            </w:r>
          </w:p>
        </w:tc>
        <w:tc>
          <w:tcPr>
            <w:tcW w:w="5658" w:type="dxa"/>
            <w:tcBorders>
              <w:top w:val="single" w:color="auto" w:sz="8" w:space="0"/>
            </w:tcBorders>
            <w:shd w:val="clear" w:color="auto" w:fill="auto"/>
            <w:vAlign w:val="center"/>
          </w:tcPr>
          <w:p w14:paraId="5EC9A0A0">
            <w:pPr>
              <w:pStyle w:val="179"/>
              <w:jc w:val="left"/>
              <w:rPr>
                <w:color w:val="auto"/>
              </w:rPr>
            </w:pPr>
            <w:r>
              <w:rPr>
                <w:rFonts w:hint="eastAsia"/>
                <w:color w:val="auto"/>
              </w:rPr>
              <w:t>脱轨是指车辆在正线、配线、车场线等线路运行时，车轮落下轨面（包括脱轨后又自行复轨）或车轮轮缘顶部高于轨面（因作业需要的除外）而脱离轨道。</w:t>
            </w:r>
          </w:p>
        </w:tc>
      </w:tr>
      <w:tr w14:paraId="7D44E0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15FFC028">
            <w:pPr>
              <w:pStyle w:val="179"/>
              <w:rPr>
                <w:color w:val="auto"/>
              </w:rPr>
            </w:pPr>
            <w:r>
              <w:rPr>
                <w:rFonts w:hint="eastAsia"/>
                <w:color w:val="auto"/>
              </w:rPr>
              <w:t>2</w:t>
            </w:r>
          </w:p>
        </w:tc>
        <w:tc>
          <w:tcPr>
            <w:tcW w:w="2835" w:type="dxa"/>
            <w:shd w:val="clear" w:color="auto" w:fill="auto"/>
            <w:vAlign w:val="center"/>
          </w:tcPr>
          <w:p w14:paraId="0F7B760E">
            <w:pPr>
              <w:pStyle w:val="179"/>
              <w:rPr>
                <w:color w:val="auto"/>
              </w:rPr>
            </w:pPr>
            <w:r>
              <w:rPr>
                <w:rFonts w:hint="eastAsia"/>
                <w:color w:val="auto"/>
              </w:rPr>
              <w:t>列车冲突</w:t>
            </w:r>
          </w:p>
        </w:tc>
        <w:tc>
          <w:tcPr>
            <w:tcW w:w="5658" w:type="dxa"/>
            <w:shd w:val="clear" w:color="auto" w:fill="auto"/>
            <w:vAlign w:val="center"/>
          </w:tcPr>
          <w:p w14:paraId="0E6CC16B">
            <w:pPr>
              <w:pStyle w:val="179"/>
              <w:jc w:val="left"/>
              <w:rPr>
                <w:color w:val="auto"/>
              </w:rPr>
            </w:pPr>
            <w:r>
              <w:rPr>
                <w:rFonts w:hint="eastAsia"/>
                <w:color w:val="auto"/>
              </w:rPr>
              <w:t>冲突是指在正线、配线、车场线等线路，列车相互间或列车与机车、工程车、轨检车等车辆之间发生冲撞。冲突按照发生时车辆位置关系，分为正面冲撞、侧面冲撞和追尾等。</w:t>
            </w:r>
          </w:p>
        </w:tc>
      </w:tr>
      <w:tr w14:paraId="217A26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5666F096">
            <w:pPr>
              <w:pStyle w:val="179"/>
              <w:rPr>
                <w:color w:val="auto"/>
              </w:rPr>
            </w:pPr>
            <w:r>
              <w:rPr>
                <w:rFonts w:hint="eastAsia"/>
                <w:color w:val="auto"/>
              </w:rPr>
              <w:t>3</w:t>
            </w:r>
          </w:p>
        </w:tc>
        <w:tc>
          <w:tcPr>
            <w:tcW w:w="2835" w:type="dxa"/>
            <w:shd w:val="clear" w:color="auto" w:fill="auto"/>
            <w:vAlign w:val="center"/>
          </w:tcPr>
          <w:p w14:paraId="46289E68">
            <w:pPr>
              <w:pStyle w:val="179"/>
              <w:rPr>
                <w:color w:val="auto"/>
              </w:rPr>
            </w:pPr>
            <w:r>
              <w:rPr>
                <w:rFonts w:hint="eastAsia"/>
                <w:color w:val="auto"/>
              </w:rPr>
              <w:t>列车撞击</w:t>
            </w:r>
          </w:p>
        </w:tc>
        <w:tc>
          <w:tcPr>
            <w:tcW w:w="5658" w:type="dxa"/>
            <w:shd w:val="clear" w:color="auto" w:fill="auto"/>
            <w:vAlign w:val="center"/>
          </w:tcPr>
          <w:p w14:paraId="1F51D58C">
            <w:pPr>
              <w:pStyle w:val="179"/>
              <w:jc w:val="left"/>
              <w:rPr>
                <w:color w:val="auto"/>
              </w:rPr>
            </w:pPr>
            <w:r>
              <w:rPr>
                <w:rFonts w:hint="eastAsia"/>
                <w:color w:val="auto"/>
              </w:rPr>
              <w:t>撞击是指在正线、配线、车场线等线路，列车在运行过程中与行人、机动车、非机动车、其他障碍物及车库、站台、车挡等设备设施发生碰、撞、轧。其他障碍物是指声屏障、防火门、人防门、防淹门等构筑物及射流风机、电缆、管线等吊挂构件或其他设备脱落侵入限界。</w:t>
            </w:r>
          </w:p>
        </w:tc>
      </w:tr>
      <w:tr w14:paraId="3DAB3A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66263FD2">
            <w:pPr>
              <w:pStyle w:val="179"/>
              <w:rPr>
                <w:color w:val="auto"/>
              </w:rPr>
            </w:pPr>
            <w:r>
              <w:rPr>
                <w:rFonts w:hint="eastAsia"/>
                <w:color w:val="auto"/>
              </w:rPr>
              <w:t>4</w:t>
            </w:r>
          </w:p>
        </w:tc>
        <w:tc>
          <w:tcPr>
            <w:tcW w:w="2835" w:type="dxa"/>
            <w:shd w:val="clear" w:color="auto" w:fill="auto"/>
            <w:vAlign w:val="center"/>
          </w:tcPr>
          <w:p w14:paraId="646B4F80">
            <w:pPr>
              <w:pStyle w:val="179"/>
              <w:rPr>
                <w:color w:val="auto"/>
              </w:rPr>
            </w:pPr>
            <w:r>
              <w:rPr>
                <w:rFonts w:hint="eastAsia"/>
                <w:color w:val="auto"/>
              </w:rPr>
              <w:t>列车挤岔</w:t>
            </w:r>
          </w:p>
        </w:tc>
        <w:tc>
          <w:tcPr>
            <w:tcW w:w="5658" w:type="dxa"/>
            <w:shd w:val="clear" w:color="auto" w:fill="auto"/>
            <w:vAlign w:val="center"/>
          </w:tcPr>
          <w:p w14:paraId="03D5D724">
            <w:pPr>
              <w:pStyle w:val="179"/>
              <w:jc w:val="left"/>
              <w:rPr>
                <w:color w:val="auto"/>
              </w:rPr>
            </w:pPr>
            <w:r>
              <w:rPr>
                <w:rFonts w:hint="eastAsia"/>
                <w:color w:val="auto"/>
              </w:rPr>
              <w:t>挤岔是指在正线、配线、车场线等线路，由于道岔位置不正确、尖轨未能与基本轨密贴，导致列车通过道岔时将尖轨与基本轨挤开或挤坏过程，造成尖轨弯曲变形、转辙机损坏。</w:t>
            </w:r>
          </w:p>
        </w:tc>
      </w:tr>
      <w:tr w14:paraId="38261E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6CE8549E">
            <w:pPr>
              <w:pStyle w:val="179"/>
              <w:rPr>
                <w:color w:val="auto"/>
              </w:rPr>
            </w:pPr>
            <w:r>
              <w:rPr>
                <w:rFonts w:hint="eastAsia"/>
                <w:color w:val="auto"/>
              </w:rPr>
              <w:t>5</w:t>
            </w:r>
          </w:p>
        </w:tc>
        <w:tc>
          <w:tcPr>
            <w:tcW w:w="2835" w:type="dxa"/>
            <w:shd w:val="clear" w:color="auto" w:fill="auto"/>
            <w:vAlign w:val="center"/>
          </w:tcPr>
          <w:p w14:paraId="28031787">
            <w:pPr>
              <w:pStyle w:val="179"/>
              <w:rPr>
                <w:color w:val="auto"/>
              </w:rPr>
            </w:pPr>
            <w:r>
              <w:rPr>
                <w:rFonts w:hint="eastAsia"/>
                <w:color w:val="auto"/>
              </w:rPr>
              <w:t>重点区域火灾</w:t>
            </w:r>
          </w:p>
        </w:tc>
        <w:tc>
          <w:tcPr>
            <w:tcW w:w="5658" w:type="dxa"/>
            <w:shd w:val="clear" w:color="auto" w:fill="auto"/>
            <w:vAlign w:val="center"/>
          </w:tcPr>
          <w:p w14:paraId="19AA5FB3">
            <w:pPr>
              <w:pStyle w:val="179"/>
              <w:jc w:val="left"/>
              <w:rPr>
                <w:color w:val="auto"/>
              </w:rPr>
            </w:pPr>
            <w:r>
              <w:rPr>
                <w:rFonts w:hint="eastAsia"/>
                <w:color w:val="auto"/>
              </w:rPr>
              <w:t>重点区域火灾是指列车、车站公共区、区间、主要设备房、控制中心、主变电所、车辆基地等发生火灾。</w:t>
            </w:r>
          </w:p>
        </w:tc>
      </w:tr>
      <w:tr w14:paraId="21A30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41" w:type="dxa"/>
            <w:shd w:val="clear" w:color="auto" w:fill="auto"/>
            <w:vAlign w:val="center"/>
          </w:tcPr>
          <w:p w14:paraId="2974E6F0">
            <w:pPr>
              <w:pStyle w:val="179"/>
              <w:rPr>
                <w:color w:val="auto"/>
              </w:rPr>
            </w:pPr>
            <w:r>
              <w:rPr>
                <w:rFonts w:hint="eastAsia"/>
                <w:color w:val="auto"/>
              </w:rPr>
              <w:t>6</w:t>
            </w:r>
          </w:p>
        </w:tc>
        <w:tc>
          <w:tcPr>
            <w:tcW w:w="2835" w:type="dxa"/>
            <w:shd w:val="clear" w:color="auto" w:fill="auto"/>
            <w:vAlign w:val="center"/>
          </w:tcPr>
          <w:p w14:paraId="04CC4F38">
            <w:pPr>
              <w:pStyle w:val="179"/>
              <w:rPr>
                <w:color w:val="auto"/>
              </w:rPr>
            </w:pPr>
            <w:r>
              <w:rPr>
                <w:rFonts w:hint="eastAsia"/>
                <w:color w:val="auto"/>
              </w:rPr>
              <w:t>乘客踩踏</w:t>
            </w:r>
          </w:p>
        </w:tc>
        <w:tc>
          <w:tcPr>
            <w:tcW w:w="5658" w:type="dxa"/>
            <w:shd w:val="clear" w:color="auto" w:fill="auto"/>
            <w:vAlign w:val="center"/>
          </w:tcPr>
          <w:p w14:paraId="2D07DC81">
            <w:pPr>
              <w:pStyle w:val="179"/>
              <w:rPr>
                <w:color w:val="auto"/>
              </w:rPr>
            </w:pPr>
            <w:r>
              <w:rPr>
                <w:rFonts w:hint="eastAsia"/>
                <w:color w:val="auto"/>
              </w:rPr>
              <w:t>/</w:t>
            </w:r>
          </w:p>
        </w:tc>
      </w:tr>
      <w:tr w14:paraId="31869F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074773F5">
            <w:pPr>
              <w:pStyle w:val="179"/>
              <w:rPr>
                <w:color w:val="auto"/>
              </w:rPr>
            </w:pPr>
            <w:r>
              <w:rPr>
                <w:rFonts w:hint="eastAsia"/>
                <w:color w:val="auto"/>
              </w:rPr>
              <w:t>7</w:t>
            </w:r>
          </w:p>
        </w:tc>
        <w:tc>
          <w:tcPr>
            <w:tcW w:w="2835" w:type="dxa"/>
            <w:shd w:val="clear" w:color="auto" w:fill="auto"/>
            <w:vAlign w:val="center"/>
          </w:tcPr>
          <w:p w14:paraId="5B38318E">
            <w:pPr>
              <w:pStyle w:val="179"/>
              <w:rPr>
                <w:color w:val="auto"/>
              </w:rPr>
            </w:pPr>
            <w:r>
              <w:rPr>
                <w:rFonts w:hint="eastAsia"/>
                <w:color w:val="auto"/>
              </w:rPr>
              <w:t>车站、轨行区淹水倒灌</w:t>
            </w:r>
          </w:p>
        </w:tc>
        <w:tc>
          <w:tcPr>
            <w:tcW w:w="5658" w:type="dxa"/>
            <w:shd w:val="clear" w:color="auto" w:fill="auto"/>
            <w:vAlign w:val="center"/>
          </w:tcPr>
          <w:p w14:paraId="15D1ED3B">
            <w:pPr>
              <w:pStyle w:val="179"/>
              <w:jc w:val="left"/>
              <w:rPr>
                <w:color w:val="auto"/>
              </w:rPr>
            </w:pPr>
            <w:r>
              <w:rPr>
                <w:rFonts w:hint="eastAsia"/>
                <w:color w:val="auto"/>
              </w:rPr>
              <w:t>车站、轨行区淹水倒灌是指雨水等通过出入口、风亭、过渡段洞口等倒灌车站和轨行区，导致车站公共区积水浸泡或漫过钢轨轨面。</w:t>
            </w:r>
          </w:p>
        </w:tc>
      </w:tr>
      <w:tr w14:paraId="707F8D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149B9B35">
            <w:pPr>
              <w:pStyle w:val="179"/>
              <w:rPr>
                <w:color w:val="auto"/>
              </w:rPr>
            </w:pPr>
            <w:r>
              <w:rPr>
                <w:rFonts w:hint="eastAsia"/>
                <w:color w:val="auto"/>
              </w:rPr>
              <w:t>8</w:t>
            </w:r>
          </w:p>
        </w:tc>
        <w:tc>
          <w:tcPr>
            <w:tcW w:w="2835" w:type="dxa"/>
            <w:shd w:val="clear" w:color="auto" w:fill="auto"/>
            <w:vAlign w:val="center"/>
          </w:tcPr>
          <w:p w14:paraId="309E087C">
            <w:pPr>
              <w:pStyle w:val="179"/>
              <w:rPr>
                <w:color w:val="auto"/>
              </w:rPr>
            </w:pPr>
            <w:r>
              <w:rPr>
                <w:rFonts w:hint="eastAsia"/>
                <w:color w:val="auto"/>
              </w:rPr>
              <w:t>土建结构和基础严重病害</w:t>
            </w:r>
          </w:p>
        </w:tc>
        <w:tc>
          <w:tcPr>
            <w:tcW w:w="5658" w:type="dxa"/>
            <w:shd w:val="clear" w:color="auto" w:fill="auto"/>
            <w:vAlign w:val="center"/>
          </w:tcPr>
          <w:p w14:paraId="39B85AC8">
            <w:pPr>
              <w:pStyle w:val="179"/>
              <w:jc w:val="left"/>
              <w:rPr>
                <w:color w:val="auto"/>
              </w:rPr>
            </w:pPr>
            <w:r>
              <w:rPr>
                <w:rFonts w:hint="eastAsia"/>
                <w:color w:val="auto"/>
              </w:rPr>
              <w:t>土建结构和基础严重病害是指桥隧结构发生严重变形、坍塌，路基塌陷、道床严重起拱、隧道结构涌水涌砂。</w:t>
            </w:r>
          </w:p>
        </w:tc>
      </w:tr>
      <w:tr w14:paraId="01291A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6860DE6B">
            <w:pPr>
              <w:pStyle w:val="179"/>
              <w:rPr>
                <w:color w:val="auto"/>
              </w:rPr>
            </w:pPr>
            <w:r>
              <w:rPr>
                <w:rFonts w:hint="eastAsia"/>
                <w:color w:val="auto"/>
              </w:rPr>
              <w:t>9</w:t>
            </w:r>
          </w:p>
        </w:tc>
        <w:tc>
          <w:tcPr>
            <w:tcW w:w="2835" w:type="dxa"/>
            <w:shd w:val="clear" w:color="auto" w:fill="auto"/>
            <w:vAlign w:val="center"/>
          </w:tcPr>
          <w:p w14:paraId="674190A7">
            <w:pPr>
              <w:pStyle w:val="179"/>
              <w:rPr>
                <w:color w:val="auto"/>
              </w:rPr>
            </w:pPr>
            <w:r>
              <w:rPr>
                <w:rFonts w:hint="eastAsia"/>
                <w:color w:val="auto"/>
              </w:rPr>
              <w:t>大面积停电</w:t>
            </w:r>
          </w:p>
        </w:tc>
        <w:tc>
          <w:tcPr>
            <w:tcW w:w="5658" w:type="dxa"/>
            <w:shd w:val="clear" w:color="auto" w:fill="auto"/>
            <w:vAlign w:val="center"/>
          </w:tcPr>
          <w:p w14:paraId="59573214">
            <w:pPr>
              <w:pStyle w:val="179"/>
              <w:jc w:val="left"/>
              <w:rPr>
                <w:color w:val="auto"/>
              </w:rPr>
            </w:pPr>
            <w:r>
              <w:rPr>
                <w:rFonts w:hint="eastAsia"/>
                <w:color w:val="auto"/>
              </w:rPr>
              <w:t>大面积停电是指单个及以上车站、控制中心或车辆基地范围全部停电。</w:t>
            </w:r>
          </w:p>
        </w:tc>
      </w:tr>
      <w:tr w14:paraId="072C0E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20DE4CA6">
            <w:pPr>
              <w:pStyle w:val="179"/>
              <w:rPr>
                <w:color w:val="auto"/>
              </w:rPr>
            </w:pPr>
            <w:r>
              <w:rPr>
                <w:rFonts w:hint="eastAsia"/>
                <w:color w:val="auto"/>
              </w:rPr>
              <w:t>10</w:t>
            </w:r>
          </w:p>
        </w:tc>
        <w:tc>
          <w:tcPr>
            <w:tcW w:w="2835" w:type="dxa"/>
            <w:shd w:val="clear" w:color="auto" w:fill="auto"/>
            <w:vAlign w:val="center"/>
          </w:tcPr>
          <w:p w14:paraId="0B2F5267">
            <w:pPr>
              <w:pStyle w:val="179"/>
              <w:rPr>
                <w:color w:val="auto"/>
              </w:rPr>
            </w:pPr>
            <w:r>
              <w:rPr>
                <w:rFonts w:hint="eastAsia"/>
                <w:color w:val="auto"/>
              </w:rPr>
              <w:t>通讯网络瘫痪</w:t>
            </w:r>
          </w:p>
        </w:tc>
        <w:tc>
          <w:tcPr>
            <w:tcW w:w="5658" w:type="dxa"/>
            <w:shd w:val="clear" w:color="auto" w:fill="auto"/>
            <w:vAlign w:val="center"/>
          </w:tcPr>
          <w:p w14:paraId="3178ED15">
            <w:pPr>
              <w:pStyle w:val="179"/>
              <w:jc w:val="left"/>
              <w:rPr>
                <w:color w:val="auto"/>
              </w:rPr>
            </w:pPr>
            <w:r>
              <w:rPr>
                <w:rFonts w:hint="eastAsia"/>
                <w:color w:val="auto"/>
              </w:rPr>
              <w:t>通讯网络瘫痪是指行车调度指挥通讯、车地无线通信、通信网络传输系统等中断30分钟（含）以上。</w:t>
            </w:r>
          </w:p>
        </w:tc>
      </w:tr>
      <w:tr w14:paraId="55EE88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4036A667">
            <w:pPr>
              <w:pStyle w:val="179"/>
              <w:rPr>
                <w:color w:val="auto"/>
              </w:rPr>
            </w:pPr>
            <w:r>
              <w:rPr>
                <w:rFonts w:hint="eastAsia"/>
                <w:color w:val="auto"/>
              </w:rPr>
              <w:t>11</w:t>
            </w:r>
          </w:p>
        </w:tc>
        <w:tc>
          <w:tcPr>
            <w:tcW w:w="2835" w:type="dxa"/>
            <w:shd w:val="clear" w:color="auto" w:fill="auto"/>
            <w:vAlign w:val="center"/>
          </w:tcPr>
          <w:p w14:paraId="0B9A8C95">
            <w:pPr>
              <w:pStyle w:val="179"/>
              <w:rPr>
                <w:color w:val="auto"/>
              </w:rPr>
            </w:pPr>
            <w:r>
              <w:rPr>
                <w:rFonts w:hint="eastAsia"/>
                <w:color w:val="auto"/>
              </w:rPr>
              <w:t>信号系统重大故障</w:t>
            </w:r>
          </w:p>
        </w:tc>
        <w:tc>
          <w:tcPr>
            <w:tcW w:w="5658" w:type="dxa"/>
            <w:shd w:val="clear" w:color="auto" w:fill="auto"/>
            <w:vAlign w:val="center"/>
          </w:tcPr>
          <w:p w14:paraId="430FF31D">
            <w:pPr>
              <w:pStyle w:val="179"/>
              <w:jc w:val="left"/>
              <w:rPr>
                <w:color w:val="auto"/>
              </w:rPr>
            </w:pPr>
            <w:r>
              <w:rPr>
                <w:rFonts w:hint="eastAsia"/>
                <w:color w:val="auto"/>
              </w:rPr>
              <w:t>信号系统重大故障是指中央和本地自动监控系统（ATS）均无法监控列车运行或联锁故障错误持续60分钟（含）以上。</w:t>
            </w:r>
          </w:p>
        </w:tc>
      </w:tr>
      <w:tr w14:paraId="374199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3AEC4FF1">
            <w:pPr>
              <w:pStyle w:val="179"/>
              <w:rPr>
                <w:color w:val="auto"/>
              </w:rPr>
            </w:pPr>
            <w:r>
              <w:rPr>
                <w:rFonts w:hint="eastAsia"/>
                <w:color w:val="auto"/>
              </w:rPr>
              <w:t>12</w:t>
            </w:r>
          </w:p>
        </w:tc>
        <w:tc>
          <w:tcPr>
            <w:tcW w:w="2835" w:type="dxa"/>
            <w:shd w:val="clear" w:color="auto" w:fill="auto"/>
            <w:vAlign w:val="center"/>
          </w:tcPr>
          <w:p w14:paraId="16C39F9A">
            <w:pPr>
              <w:pStyle w:val="179"/>
              <w:rPr>
                <w:color w:val="auto"/>
              </w:rPr>
            </w:pPr>
            <w:r>
              <w:rPr>
                <w:rFonts w:hint="eastAsia"/>
                <w:color w:val="auto"/>
              </w:rPr>
              <w:t>车辆重大故障</w:t>
            </w:r>
          </w:p>
        </w:tc>
        <w:tc>
          <w:tcPr>
            <w:tcW w:w="5658" w:type="dxa"/>
            <w:shd w:val="clear" w:color="auto" w:fill="auto"/>
            <w:vAlign w:val="center"/>
          </w:tcPr>
          <w:p w14:paraId="69CEA29F">
            <w:pPr>
              <w:pStyle w:val="179"/>
              <w:jc w:val="left"/>
              <w:rPr>
                <w:color w:val="auto"/>
              </w:rPr>
            </w:pPr>
            <w:r>
              <w:rPr>
                <w:rFonts w:hint="eastAsia"/>
                <w:color w:val="auto"/>
              </w:rPr>
              <w:t>车辆重大故障是指制动失效（含溜车）、车厢分离、受电弓断裂、车门意外打开、车辆关键零部件脱落等危及行车安全情况。</w:t>
            </w:r>
          </w:p>
        </w:tc>
      </w:tr>
      <w:tr w14:paraId="59A7D5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6A9C925A">
            <w:pPr>
              <w:pStyle w:val="179"/>
              <w:rPr>
                <w:color w:val="auto"/>
              </w:rPr>
            </w:pPr>
            <w:r>
              <w:rPr>
                <w:rFonts w:hint="eastAsia"/>
                <w:color w:val="auto"/>
              </w:rPr>
              <w:t>13</w:t>
            </w:r>
          </w:p>
        </w:tc>
        <w:tc>
          <w:tcPr>
            <w:tcW w:w="2835" w:type="dxa"/>
            <w:shd w:val="clear" w:color="auto" w:fill="auto"/>
            <w:vAlign w:val="center"/>
          </w:tcPr>
          <w:p w14:paraId="13A78135">
            <w:pPr>
              <w:pStyle w:val="179"/>
              <w:rPr>
                <w:color w:val="auto"/>
              </w:rPr>
            </w:pPr>
            <w:r>
              <w:rPr>
                <w:rFonts w:hint="eastAsia"/>
                <w:color w:val="auto"/>
              </w:rPr>
              <w:t>接触网断裂或塌网</w:t>
            </w:r>
          </w:p>
        </w:tc>
        <w:tc>
          <w:tcPr>
            <w:tcW w:w="5658" w:type="dxa"/>
            <w:shd w:val="clear" w:color="auto" w:fill="auto"/>
            <w:vAlign w:val="center"/>
          </w:tcPr>
          <w:p w14:paraId="1C14810F">
            <w:pPr>
              <w:pStyle w:val="179"/>
              <w:rPr>
                <w:color w:val="auto"/>
              </w:rPr>
            </w:pPr>
            <w:r>
              <w:rPr>
                <w:rFonts w:hint="eastAsia"/>
                <w:color w:val="auto"/>
              </w:rPr>
              <w:t>/</w:t>
            </w:r>
          </w:p>
        </w:tc>
      </w:tr>
      <w:tr w14:paraId="081F09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16C0BEAF">
            <w:pPr>
              <w:pStyle w:val="179"/>
              <w:rPr>
                <w:color w:val="auto"/>
              </w:rPr>
            </w:pPr>
            <w:r>
              <w:rPr>
                <w:rFonts w:hint="eastAsia"/>
                <w:color w:val="auto"/>
              </w:rPr>
              <w:t>14</w:t>
            </w:r>
          </w:p>
        </w:tc>
        <w:tc>
          <w:tcPr>
            <w:tcW w:w="2835" w:type="dxa"/>
            <w:shd w:val="clear" w:color="auto" w:fill="auto"/>
            <w:vAlign w:val="center"/>
          </w:tcPr>
          <w:p w14:paraId="7B600A6D">
            <w:pPr>
              <w:pStyle w:val="179"/>
              <w:rPr>
                <w:color w:val="auto"/>
              </w:rPr>
            </w:pPr>
            <w:r>
              <w:rPr>
                <w:rFonts w:hint="eastAsia"/>
                <w:color w:val="auto"/>
              </w:rPr>
              <w:t>电梯和自动扶梯重大故障</w:t>
            </w:r>
          </w:p>
        </w:tc>
        <w:tc>
          <w:tcPr>
            <w:tcW w:w="5658" w:type="dxa"/>
            <w:shd w:val="clear" w:color="auto" w:fill="auto"/>
            <w:vAlign w:val="center"/>
          </w:tcPr>
          <w:p w14:paraId="2E7CE30C">
            <w:pPr>
              <w:pStyle w:val="179"/>
              <w:jc w:val="left"/>
              <w:rPr>
                <w:color w:val="auto"/>
              </w:rPr>
            </w:pPr>
            <w:r>
              <w:rPr>
                <w:rFonts w:hint="eastAsia"/>
                <w:color w:val="auto"/>
              </w:rPr>
              <w:t>电梯和自动扶梯重大故障是指载客电梯运行中发生冲顶、坠落，或电梯轿厢滞留人员90分钟（含）以上，自动扶梯发生逆行、溜梯、梯级断裂。</w:t>
            </w:r>
          </w:p>
        </w:tc>
      </w:tr>
      <w:tr w14:paraId="5DF933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29ADA1DC">
            <w:pPr>
              <w:pStyle w:val="179"/>
              <w:rPr>
                <w:color w:val="auto"/>
              </w:rPr>
            </w:pPr>
            <w:r>
              <w:rPr>
                <w:rFonts w:hint="eastAsia"/>
                <w:color w:val="auto"/>
              </w:rPr>
              <w:t>15</w:t>
            </w:r>
          </w:p>
        </w:tc>
        <w:tc>
          <w:tcPr>
            <w:tcW w:w="2835" w:type="dxa"/>
            <w:shd w:val="clear" w:color="auto" w:fill="auto"/>
            <w:vAlign w:val="center"/>
          </w:tcPr>
          <w:p w14:paraId="05274639">
            <w:pPr>
              <w:pStyle w:val="179"/>
              <w:rPr>
                <w:color w:val="auto"/>
              </w:rPr>
            </w:pPr>
            <w:r>
              <w:rPr>
                <w:rFonts w:hint="eastAsia"/>
                <w:color w:val="auto"/>
              </w:rPr>
              <w:t>夹人夹物动车造成乘客伤亡</w:t>
            </w:r>
          </w:p>
        </w:tc>
        <w:tc>
          <w:tcPr>
            <w:tcW w:w="5658" w:type="dxa"/>
            <w:shd w:val="clear" w:color="auto" w:fill="auto"/>
            <w:vAlign w:val="center"/>
          </w:tcPr>
          <w:p w14:paraId="4EBDAF41">
            <w:pPr>
              <w:pStyle w:val="179"/>
              <w:jc w:val="left"/>
              <w:rPr>
                <w:color w:val="auto"/>
              </w:rPr>
            </w:pPr>
            <w:r>
              <w:rPr>
                <w:rFonts w:hint="eastAsia"/>
                <w:color w:val="auto"/>
              </w:rPr>
              <w:t>夹人夹物动车是指乘客或物品夹在列车车门或站台门时动车，含乘客或物品夹在列车和站台门之间时动车。</w:t>
            </w:r>
          </w:p>
        </w:tc>
      </w:tr>
      <w:tr w14:paraId="1CB997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3C37664B">
            <w:pPr>
              <w:pStyle w:val="179"/>
              <w:rPr>
                <w:color w:val="auto"/>
              </w:rPr>
            </w:pPr>
            <w:r>
              <w:rPr>
                <w:rFonts w:hint="eastAsia"/>
                <w:color w:val="auto"/>
              </w:rPr>
              <w:t>16</w:t>
            </w:r>
          </w:p>
        </w:tc>
        <w:tc>
          <w:tcPr>
            <w:tcW w:w="2835" w:type="dxa"/>
            <w:shd w:val="clear" w:color="auto" w:fill="auto"/>
            <w:vAlign w:val="center"/>
          </w:tcPr>
          <w:p w14:paraId="345C28D5">
            <w:pPr>
              <w:pStyle w:val="179"/>
              <w:rPr>
                <w:color w:val="auto"/>
              </w:rPr>
            </w:pPr>
            <w:r>
              <w:rPr>
                <w:rFonts w:hint="eastAsia"/>
                <w:color w:val="auto"/>
              </w:rPr>
              <w:t>网络安全事件</w:t>
            </w:r>
          </w:p>
        </w:tc>
        <w:tc>
          <w:tcPr>
            <w:tcW w:w="5658" w:type="dxa"/>
            <w:shd w:val="clear" w:color="auto" w:fill="auto"/>
            <w:vAlign w:val="center"/>
          </w:tcPr>
          <w:p w14:paraId="4E974832">
            <w:pPr>
              <w:pStyle w:val="179"/>
              <w:jc w:val="left"/>
              <w:rPr>
                <w:color w:val="auto"/>
              </w:rPr>
            </w:pPr>
            <w:r>
              <w:rPr>
                <w:rFonts w:hint="eastAsia"/>
                <w:color w:val="auto"/>
              </w:rPr>
              <w:t>网络安全事件是指因系统漏洞、计算机病毒、网络攻击、网络侵入等对运营安全造成严重影响的事件。</w:t>
            </w:r>
          </w:p>
        </w:tc>
      </w:tr>
      <w:tr w14:paraId="7D700F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Borders>
              <w:bottom w:val="single" w:color="auto" w:sz="8" w:space="0"/>
            </w:tcBorders>
            <w:shd w:val="clear" w:color="auto" w:fill="auto"/>
            <w:vAlign w:val="center"/>
          </w:tcPr>
          <w:p w14:paraId="16FCCF2C">
            <w:pPr>
              <w:pStyle w:val="179"/>
              <w:rPr>
                <w:color w:val="auto"/>
              </w:rPr>
            </w:pPr>
            <w:r>
              <w:rPr>
                <w:rFonts w:hint="eastAsia"/>
                <w:color w:val="auto"/>
              </w:rPr>
              <w:t>17</w:t>
            </w:r>
          </w:p>
        </w:tc>
        <w:tc>
          <w:tcPr>
            <w:tcW w:w="2835" w:type="dxa"/>
            <w:tcBorders>
              <w:bottom w:val="single" w:color="auto" w:sz="8" w:space="0"/>
            </w:tcBorders>
            <w:shd w:val="clear" w:color="auto" w:fill="auto"/>
            <w:vAlign w:val="center"/>
          </w:tcPr>
          <w:p w14:paraId="7BA4801B">
            <w:pPr>
              <w:pStyle w:val="179"/>
              <w:rPr>
                <w:color w:val="auto"/>
              </w:rPr>
            </w:pPr>
            <w:r>
              <w:rPr>
                <w:rFonts w:hint="eastAsia"/>
                <w:color w:val="auto"/>
              </w:rPr>
              <w:t>其他</w:t>
            </w:r>
          </w:p>
        </w:tc>
        <w:tc>
          <w:tcPr>
            <w:tcW w:w="5658" w:type="dxa"/>
            <w:tcBorders>
              <w:bottom w:val="single" w:color="auto" w:sz="8" w:space="0"/>
            </w:tcBorders>
            <w:shd w:val="clear" w:color="auto" w:fill="auto"/>
            <w:vAlign w:val="center"/>
          </w:tcPr>
          <w:p w14:paraId="70D383B1">
            <w:pPr>
              <w:pStyle w:val="179"/>
              <w:jc w:val="left"/>
              <w:rPr>
                <w:color w:val="auto"/>
              </w:rPr>
            </w:pPr>
            <w:r>
              <w:rPr>
                <w:rFonts w:hint="eastAsia"/>
                <w:color w:val="auto"/>
              </w:rPr>
              <w:t>造成人员死亡、重伤、3人（含）以上轻伤，或正线连续中断行车1小时（含）以上，或产生较大社会影响以及城市轨道交通运营主管部门要求报告和分析的其他运营事件。其中，中断行车是指正线运营时段上行或下行单个及以上区间发生行车中断，中断时间从事件发生时起至事发区间实际恢复行车条件时止。</w:t>
            </w:r>
          </w:p>
        </w:tc>
      </w:tr>
    </w:tbl>
    <w:p w14:paraId="4F00C871">
      <w:pPr>
        <w:pStyle w:val="84"/>
        <w:numPr>
          <w:ilvl w:val="0"/>
          <w:numId w:val="0"/>
        </w:numPr>
        <w:spacing w:before="156" w:after="156"/>
        <w:jc w:val="both"/>
        <w:rPr>
          <w:color w:val="auto"/>
        </w:rPr>
      </w:pPr>
    </w:p>
    <w:p w14:paraId="2E692682">
      <w:pPr>
        <w:tabs>
          <w:tab w:val="left" w:pos="550"/>
        </w:tabs>
        <w:rPr>
          <w:color w:val="auto"/>
        </w:rPr>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pPr>
      <w:r>
        <w:rPr>
          <w:color w:val="auto"/>
        </w:rPr>
        <w:tab/>
      </w:r>
    </w:p>
    <w:bookmarkEnd w:id="460"/>
    <w:p w14:paraId="32CAB9F3">
      <w:pPr>
        <w:pStyle w:val="64"/>
        <w:spacing w:after="156"/>
        <w:rPr>
          <w:color w:val="auto"/>
        </w:rPr>
      </w:pPr>
      <w:bookmarkStart w:id="487" w:name="_Toc138770625"/>
      <w:bookmarkStart w:id="488" w:name="_Toc128428091"/>
      <w:bookmarkStart w:id="489" w:name="_Toc199167041"/>
      <w:bookmarkStart w:id="490" w:name="_Toc135387856"/>
      <w:bookmarkStart w:id="491" w:name="_Toc195687486"/>
      <w:bookmarkStart w:id="492" w:name="_Toc22204"/>
      <w:bookmarkStart w:id="493" w:name="_Toc138770604"/>
      <w:bookmarkStart w:id="494" w:name="_Toc135388032"/>
      <w:bookmarkStart w:id="495" w:name="_Toc204933497"/>
      <w:bookmarkStart w:id="496" w:name="_Toc128428112"/>
      <w:bookmarkStart w:id="497" w:name="_Toc140004980"/>
      <w:bookmarkStart w:id="498" w:name="BookMark6"/>
      <w:r>
        <w:rPr>
          <w:rFonts w:hint="eastAsia"/>
          <w:color w:val="auto"/>
          <w:spacing w:val="105"/>
        </w:rPr>
        <w:t>参考文</w:t>
      </w:r>
      <w:r>
        <w:rPr>
          <w:rFonts w:hint="eastAsia"/>
          <w:color w:val="auto"/>
        </w:rPr>
        <w:t>献</w:t>
      </w:r>
      <w:bookmarkEnd w:id="487"/>
      <w:bookmarkEnd w:id="488"/>
      <w:bookmarkEnd w:id="489"/>
      <w:bookmarkEnd w:id="490"/>
      <w:bookmarkEnd w:id="491"/>
      <w:bookmarkEnd w:id="492"/>
      <w:bookmarkEnd w:id="493"/>
      <w:bookmarkEnd w:id="494"/>
      <w:bookmarkEnd w:id="495"/>
      <w:bookmarkEnd w:id="496"/>
      <w:bookmarkEnd w:id="497"/>
    </w:p>
    <w:p w14:paraId="264C7F6A">
      <w:pPr>
        <w:ind w:firstLine="480"/>
        <w:rPr>
          <w:rFonts w:hint="eastAsia" w:ascii="宋体" w:hAnsi="宋体" w:cs="宋体"/>
          <w:color w:val="auto"/>
          <w:lang w:val="zh-CN"/>
        </w:rPr>
      </w:pPr>
      <w:r>
        <w:rPr>
          <w:rFonts w:hint="eastAsia" w:ascii="宋体" w:hAnsi="宋体" w:cs="宋体"/>
          <w:color w:val="auto"/>
          <w:lang w:val="zh-CN"/>
        </w:rPr>
        <w:t>[1]  中华人民共和国安全生产法（中华人民共和国主席令第88号）</w:t>
      </w:r>
    </w:p>
    <w:p w14:paraId="5FC0BAB5">
      <w:pPr>
        <w:ind w:firstLine="480"/>
        <w:rPr>
          <w:rFonts w:hint="eastAsia" w:ascii="宋体" w:hAnsi="宋体" w:cs="宋体"/>
          <w:color w:val="auto"/>
          <w:lang w:val="zh-CN"/>
        </w:rPr>
      </w:pPr>
      <w:r>
        <w:rPr>
          <w:rFonts w:hint="eastAsia" w:ascii="宋体" w:hAnsi="宋体" w:cs="宋体"/>
          <w:color w:val="auto"/>
          <w:lang w:val="zh-CN"/>
        </w:rPr>
        <w:t xml:space="preserve">[2]  中共中央国务院关于推进安全生产领域改革发展的意见 (中发〔2016〕32号) </w:t>
      </w:r>
    </w:p>
    <w:p w14:paraId="7FC78A3E">
      <w:pPr>
        <w:ind w:firstLine="480"/>
        <w:rPr>
          <w:rFonts w:hint="eastAsia" w:ascii="宋体" w:hAnsi="宋体" w:cs="宋体"/>
          <w:color w:val="auto"/>
          <w:lang w:val="zh-CN"/>
        </w:rPr>
      </w:pPr>
      <w:r>
        <w:rPr>
          <w:rFonts w:hint="eastAsia" w:ascii="宋体" w:hAnsi="宋体" w:cs="宋体"/>
          <w:color w:val="auto"/>
          <w:lang w:val="zh-CN"/>
        </w:rPr>
        <w:t>[3]  生产安全事故报告和调查处理条例（国务院令第493号）</w:t>
      </w:r>
    </w:p>
    <w:p w14:paraId="250F5A38">
      <w:pPr>
        <w:ind w:firstLine="480"/>
        <w:rPr>
          <w:rFonts w:hint="eastAsia" w:ascii="宋体" w:hAnsi="宋体" w:cs="宋体"/>
          <w:color w:val="auto"/>
          <w:lang w:val="zh-CN"/>
        </w:rPr>
      </w:pPr>
      <w:r>
        <w:rPr>
          <w:rFonts w:hint="eastAsia" w:ascii="宋体" w:hAnsi="宋体" w:cs="宋体"/>
          <w:color w:val="auto"/>
          <w:lang w:val="zh-CN"/>
        </w:rPr>
        <w:t xml:space="preserve">[4] </w:t>
      </w:r>
      <w:r>
        <w:rPr>
          <w:rFonts w:hint="eastAsia" w:ascii="宋体" w:hAnsi="宋体" w:cs="宋体"/>
          <w:color w:val="auto"/>
        </w:rPr>
        <w:t xml:space="preserve"> </w:t>
      </w:r>
      <w:r>
        <w:rPr>
          <w:rFonts w:hint="eastAsia" w:ascii="宋体" w:hAnsi="宋体" w:cs="宋体"/>
          <w:color w:val="auto"/>
          <w:lang w:val="zh-CN"/>
        </w:rPr>
        <w:t>城市公共交通条例（</w:t>
      </w:r>
      <w:r>
        <w:rPr>
          <w:rFonts w:hint="eastAsia" w:ascii="宋体" w:hAnsi="宋体" w:cs="宋体"/>
          <w:color w:val="auto"/>
        </w:rPr>
        <w:t>中华人民共和国国务院令第793号</w:t>
      </w:r>
      <w:r>
        <w:rPr>
          <w:rFonts w:hint="eastAsia" w:ascii="宋体" w:hAnsi="宋体" w:cs="宋体"/>
          <w:color w:val="auto"/>
          <w:lang w:val="zh-CN"/>
        </w:rPr>
        <w:t>）</w:t>
      </w:r>
    </w:p>
    <w:p w14:paraId="5904ED2F">
      <w:pPr>
        <w:ind w:firstLine="480"/>
        <w:rPr>
          <w:rFonts w:hint="eastAsia" w:ascii="宋体" w:hAnsi="宋体" w:cs="宋体"/>
          <w:color w:val="auto"/>
          <w:lang w:val="zh-CN"/>
        </w:rPr>
      </w:pPr>
      <w:r>
        <w:rPr>
          <w:rFonts w:hint="eastAsia" w:ascii="宋体" w:hAnsi="宋体" w:cs="宋体"/>
          <w:color w:val="auto"/>
          <w:lang w:val="zh-CN"/>
        </w:rPr>
        <w:t>[</w:t>
      </w:r>
      <w:r>
        <w:rPr>
          <w:rFonts w:hint="eastAsia" w:ascii="宋体" w:hAnsi="宋体" w:cs="宋体"/>
          <w:color w:val="auto"/>
        </w:rPr>
        <w:t>5</w:t>
      </w:r>
      <w:r>
        <w:rPr>
          <w:rFonts w:hint="eastAsia" w:ascii="宋体" w:hAnsi="宋体" w:cs="宋体"/>
          <w:color w:val="auto"/>
          <w:lang w:val="zh-CN"/>
        </w:rPr>
        <w:t xml:space="preserve">] </w:t>
      </w:r>
      <w:r>
        <w:rPr>
          <w:rFonts w:hint="eastAsia" w:ascii="宋体" w:hAnsi="宋体" w:cs="宋体"/>
          <w:color w:val="auto"/>
        </w:rPr>
        <w:t xml:space="preserve"> </w:t>
      </w:r>
      <w:r>
        <w:rPr>
          <w:rFonts w:hint="eastAsia" w:ascii="宋体" w:hAnsi="宋体" w:cs="宋体"/>
          <w:color w:val="auto"/>
          <w:lang w:val="zh-CN"/>
        </w:rPr>
        <w:t>生产安全事故应急预案管理办法（中华人民共和国应急管理部令第2号）</w:t>
      </w:r>
    </w:p>
    <w:p w14:paraId="2D0C11EC">
      <w:pPr>
        <w:ind w:firstLine="480"/>
        <w:rPr>
          <w:rFonts w:hint="eastAsia" w:ascii="宋体" w:hAnsi="宋体" w:cs="宋体"/>
          <w:color w:val="auto"/>
          <w:lang w:val="zh-CN"/>
        </w:rPr>
      </w:pPr>
      <w:r>
        <w:rPr>
          <w:rFonts w:hint="eastAsia" w:ascii="宋体" w:hAnsi="宋体" w:cs="宋体"/>
          <w:color w:val="auto"/>
          <w:lang w:val="zh-CN"/>
        </w:rPr>
        <w:t>[</w:t>
      </w:r>
      <w:r>
        <w:rPr>
          <w:rFonts w:hint="eastAsia" w:ascii="宋体" w:hAnsi="宋体" w:cs="宋体"/>
          <w:color w:val="auto"/>
        </w:rPr>
        <w:t>6</w:t>
      </w:r>
      <w:r>
        <w:rPr>
          <w:rFonts w:hint="eastAsia" w:ascii="宋体" w:hAnsi="宋体" w:cs="宋体"/>
          <w:color w:val="auto"/>
          <w:lang w:val="zh-CN"/>
        </w:rPr>
        <w:t xml:space="preserve">] </w:t>
      </w:r>
      <w:r>
        <w:rPr>
          <w:rFonts w:hint="eastAsia" w:ascii="宋体" w:hAnsi="宋体" w:cs="宋体"/>
          <w:color w:val="auto"/>
        </w:rPr>
        <w:t xml:space="preserve"> </w:t>
      </w:r>
      <w:r>
        <w:rPr>
          <w:rFonts w:hint="eastAsia" w:ascii="宋体" w:hAnsi="宋体" w:cs="宋体"/>
          <w:color w:val="auto"/>
          <w:lang w:val="zh-CN"/>
        </w:rPr>
        <w:t>GB/T 42334.1 城市轨道交通运营安全评估规范 第1部分：地铁和轻轨</w:t>
      </w:r>
    </w:p>
    <w:p w14:paraId="43184926">
      <w:pPr>
        <w:ind w:firstLine="480"/>
        <w:rPr>
          <w:rFonts w:hint="eastAsia" w:ascii="宋体" w:hAnsi="宋体" w:cs="宋体"/>
          <w:color w:val="auto"/>
          <w:lang w:val="zh-CN"/>
        </w:rPr>
      </w:pPr>
      <w:r>
        <w:rPr>
          <w:rFonts w:hint="eastAsia" w:ascii="宋体" w:hAnsi="宋体" w:cs="宋体"/>
          <w:color w:val="auto"/>
          <w:lang w:val="zh-CN"/>
        </w:rPr>
        <w:t>[</w:t>
      </w:r>
      <w:r>
        <w:rPr>
          <w:rFonts w:hint="eastAsia" w:ascii="宋体" w:hAnsi="宋体" w:cs="宋体"/>
          <w:color w:val="auto"/>
        </w:rPr>
        <w:t>7</w:t>
      </w:r>
      <w:r>
        <w:rPr>
          <w:rFonts w:hint="eastAsia" w:ascii="宋体" w:hAnsi="宋体" w:cs="宋体"/>
          <w:color w:val="auto"/>
          <w:lang w:val="zh-CN"/>
        </w:rPr>
        <w:t>]</w:t>
      </w:r>
      <w:r>
        <w:rPr>
          <w:rFonts w:hint="eastAsia" w:ascii="宋体" w:hAnsi="宋体" w:cs="宋体"/>
          <w:color w:val="auto"/>
        </w:rPr>
        <w:t xml:space="preserve">  </w:t>
      </w:r>
      <w:r>
        <w:rPr>
          <w:rFonts w:hint="eastAsia" w:ascii="宋体" w:hAnsi="宋体" w:cs="宋体"/>
          <w:color w:val="auto"/>
          <w:lang w:val="zh-CN"/>
        </w:rPr>
        <w:t>JT/T 1409-2022 城市轨道交通运营应急能力建设基本要求</w:t>
      </w:r>
    </w:p>
    <w:p w14:paraId="15BB1C69">
      <w:pPr>
        <w:ind w:firstLine="480"/>
        <w:rPr>
          <w:rFonts w:hint="eastAsia" w:ascii="宋体" w:hAnsi="宋体" w:cs="宋体"/>
          <w:color w:val="auto"/>
          <w:lang w:val="zh-CN"/>
        </w:rPr>
      </w:pPr>
      <w:r>
        <w:rPr>
          <w:rFonts w:hint="eastAsia" w:ascii="宋体" w:hAnsi="宋体" w:cs="宋体"/>
          <w:color w:val="auto"/>
          <w:lang w:val="zh-CN"/>
        </w:rPr>
        <w:t>[</w:t>
      </w:r>
      <w:r>
        <w:rPr>
          <w:rFonts w:hint="eastAsia" w:ascii="宋体" w:hAnsi="宋体" w:cs="宋体"/>
          <w:color w:val="auto"/>
        </w:rPr>
        <w:t>8</w:t>
      </w:r>
      <w:r>
        <w:rPr>
          <w:rFonts w:hint="eastAsia" w:ascii="宋体" w:hAnsi="宋体" w:cs="宋体"/>
          <w:color w:val="auto"/>
          <w:lang w:val="zh-CN"/>
        </w:rPr>
        <w:t>]  JT/T 1185-2018 城市轨道交通行车组织规则</w:t>
      </w:r>
    </w:p>
    <w:p w14:paraId="463DA74F">
      <w:pPr>
        <w:ind w:firstLine="480"/>
        <w:rPr>
          <w:rFonts w:hint="eastAsia" w:ascii="宋体" w:hAnsi="宋体" w:cs="宋体"/>
          <w:color w:val="auto"/>
          <w:lang w:val="zh-CN"/>
        </w:rPr>
      </w:pPr>
      <w:r>
        <w:rPr>
          <w:rFonts w:hint="eastAsia" w:ascii="宋体" w:hAnsi="宋体" w:cs="宋体"/>
          <w:color w:val="auto"/>
          <w:lang w:val="zh-CN"/>
        </w:rPr>
        <w:t>[</w:t>
      </w:r>
      <w:r>
        <w:rPr>
          <w:rFonts w:hint="eastAsia" w:ascii="宋体" w:hAnsi="宋体" w:cs="宋体"/>
          <w:color w:val="auto"/>
        </w:rPr>
        <w:t>9</w:t>
      </w:r>
      <w:r>
        <w:rPr>
          <w:rFonts w:hint="eastAsia" w:ascii="宋体" w:hAnsi="宋体" w:cs="宋体"/>
          <w:color w:val="auto"/>
          <w:lang w:val="zh-CN"/>
        </w:rPr>
        <w:t>]  国务院办公厅关于保障城市轨道交通安全运行的意见（国办发〔2018〕13号）</w:t>
      </w:r>
    </w:p>
    <w:p w14:paraId="46486042">
      <w:pPr>
        <w:ind w:firstLine="480"/>
        <w:rPr>
          <w:rFonts w:hint="eastAsia" w:ascii="宋体" w:hAnsi="宋体" w:cs="宋体"/>
          <w:color w:val="auto"/>
          <w:lang w:val="zh-CN"/>
        </w:rPr>
      </w:pPr>
      <w:r>
        <w:rPr>
          <w:rFonts w:hint="eastAsia" w:ascii="宋体" w:hAnsi="宋体" w:cs="宋体"/>
          <w:color w:val="auto"/>
          <w:lang w:val="zh-CN"/>
        </w:rPr>
        <w:t>[</w:t>
      </w:r>
      <w:r>
        <w:rPr>
          <w:rFonts w:hint="eastAsia" w:ascii="宋体" w:hAnsi="宋体" w:cs="宋体"/>
          <w:color w:val="auto"/>
        </w:rPr>
        <w:t>10</w:t>
      </w:r>
      <w:r>
        <w:rPr>
          <w:rFonts w:hint="eastAsia" w:ascii="宋体" w:hAnsi="宋体" w:cs="宋体"/>
          <w:color w:val="auto"/>
          <w:lang w:val="zh-CN"/>
        </w:rPr>
        <w:t>]  城市轨道交通运营管理规定（交通运输部令2018年第8号）</w:t>
      </w:r>
    </w:p>
    <w:p w14:paraId="61A1A6A8">
      <w:pPr>
        <w:ind w:firstLine="480"/>
        <w:rPr>
          <w:rFonts w:hint="eastAsia" w:ascii="宋体" w:hAnsi="宋体" w:cs="宋体"/>
          <w:color w:val="auto"/>
          <w:lang w:val="zh-CN"/>
        </w:rPr>
      </w:pPr>
      <w:r>
        <w:rPr>
          <w:rFonts w:hint="eastAsia" w:ascii="宋体" w:hAnsi="宋体" w:cs="宋体"/>
          <w:color w:val="auto"/>
          <w:lang w:val="zh-CN"/>
        </w:rPr>
        <w:t>[</w:t>
      </w:r>
      <w:r>
        <w:rPr>
          <w:rFonts w:hint="eastAsia" w:ascii="宋体" w:hAnsi="宋体" w:cs="宋体"/>
          <w:color w:val="auto"/>
        </w:rPr>
        <w:t>11</w:t>
      </w:r>
      <w:r>
        <w:rPr>
          <w:rFonts w:hint="eastAsia" w:ascii="宋体" w:hAnsi="宋体" w:cs="宋体"/>
          <w:color w:val="auto"/>
          <w:lang w:val="zh-CN"/>
        </w:rPr>
        <w:t>]  城市轨道交通正式运营前安全评估规范（交办运〔2023〕57号 ）</w:t>
      </w:r>
    </w:p>
    <w:p w14:paraId="11835D57">
      <w:pPr>
        <w:ind w:firstLine="480"/>
        <w:rPr>
          <w:rFonts w:hint="eastAsia" w:ascii="宋体" w:hAnsi="宋体" w:cs="宋体"/>
          <w:color w:val="auto"/>
          <w:lang w:val="zh-CN"/>
        </w:rPr>
      </w:pPr>
      <w:r>
        <w:rPr>
          <w:rFonts w:hint="eastAsia" w:ascii="宋体" w:hAnsi="宋体" w:cs="宋体"/>
          <w:color w:val="auto"/>
          <w:lang w:val="zh-CN"/>
        </w:rPr>
        <w:t>[</w:t>
      </w:r>
      <w:r>
        <w:rPr>
          <w:rFonts w:hint="eastAsia" w:ascii="宋体" w:hAnsi="宋体" w:cs="宋体"/>
          <w:color w:val="auto"/>
        </w:rPr>
        <w:t>12</w:t>
      </w:r>
      <w:r>
        <w:rPr>
          <w:rFonts w:hint="eastAsia" w:ascii="宋体" w:hAnsi="宋体" w:cs="宋体"/>
          <w:color w:val="auto"/>
          <w:lang w:val="zh-CN"/>
        </w:rPr>
        <w:t>]</w:t>
      </w:r>
      <w:r>
        <w:rPr>
          <w:rFonts w:hint="eastAsia" w:ascii="宋体" w:hAnsi="宋体" w:cs="宋体"/>
          <w:color w:val="auto"/>
        </w:rPr>
        <w:t xml:space="preserve">  </w:t>
      </w:r>
      <w:r>
        <w:rPr>
          <w:rFonts w:hint="eastAsia" w:ascii="宋体" w:hAnsi="宋体" w:cs="宋体"/>
          <w:color w:val="auto"/>
          <w:lang w:val="zh-CN"/>
        </w:rPr>
        <w:t>城市轨道交通运营安全风险分级管控和隐患排查治理管理办法（交运规〔2024〕10号）</w:t>
      </w:r>
    </w:p>
    <w:p w14:paraId="77A09211">
      <w:pPr>
        <w:tabs>
          <w:tab w:val="left" w:pos="779"/>
        </w:tabs>
        <w:ind w:firstLine="480"/>
        <w:rPr>
          <w:rFonts w:hint="eastAsia" w:ascii="宋体" w:hAnsi="宋体" w:cs="宋体"/>
          <w:color w:val="auto"/>
          <w:lang w:val="zh-CN"/>
        </w:rPr>
      </w:pPr>
      <w:r>
        <w:rPr>
          <w:rFonts w:hint="eastAsia" w:ascii="宋体" w:hAnsi="宋体" w:cs="宋体"/>
          <w:color w:val="auto"/>
          <w:lang w:val="zh-CN"/>
        </w:rPr>
        <w:t>[1</w:t>
      </w:r>
      <w:r>
        <w:rPr>
          <w:rFonts w:hint="eastAsia" w:ascii="宋体" w:hAnsi="宋体" w:cs="宋体"/>
          <w:color w:val="auto"/>
        </w:rPr>
        <w:t>3</w:t>
      </w:r>
      <w:r>
        <w:rPr>
          <w:rFonts w:hint="eastAsia" w:ascii="宋体" w:hAnsi="宋体" w:cs="宋体"/>
          <w:color w:val="auto"/>
          <w:lang w:val="zh-CN"/>
        </w:rPr>
        <w:t>]  城市轨道交通设施设备运行维护管理办法（交运规〔2024〕9号）</w:t>
      </w:r>
    </w:p>
    <w:p w14:paraId="6610909B">
      <w:pPr>
        <w:ind w:firstLine="480"/>
        <w:rPr>
          <w:rFonts w:hint="eastAsia" w:ascii="宋体" w:hAnsi="宋体" w:cs="宋体"/>
          <w:color w:val="auto"/>
          <w:lang w:val="zh-CN"/>
        </w:rPr>
      </w:pPr>
      <w:r>
        <w:rPr>
          <w:rFonts w:hint="eastAsia" w:ascii="宋体" w:hAnsi="宋体" w:cs="宋体"/>
          <w:color w:val="auto"/>
          <w:lang w:val="zh-CN"/>
        </w:rPr>
        <w:t>[1</w:t>
      </w:r>
      <w:r>
        <w:rPr>
          <w:rFonts w:hint="eastAsia" w:ascii="宋体" w:hAnsi="宋体" w:cs="宋体"/>
          <w:color w:val="auto"/>
        </w:rPr>
        <w:t>4</w:t>
      </w:r>
      <w:r>
        <w:rPr>
          <w:rFonts w:hint="eastAsia" w:ascii="宋体" w:hAnsi="宋体" w:cs="宋体"/>
          <w:color w:val="auto"/>
          <w:lang w:val="zh-CN"/>
        </w:rPr>
        <w:t>]  城市轨道交通运营突发事件应急演练管理办法（交运规〔2024〕5号）</w:t>
      </w:r>
    </w:p>
    <w:p w14:paraId="24888305">
      <w:pPr>
        <w:ind w:firstLine="480"/>
        <w:rPr>
          <w:rFonts w:hint="eastAsia" w:ascii="宋体" w:hAnsi="宋体" w:cs="宋体"/>
          <w:color w:val="auto"/>
          <w:lang w:val="zh-CN"/>
        </w:rPr>
      </w:pPr>
      <w:r>
        <w:rPr>
          <w:rFonts w:hint="eastAsia" w:ascii="宋体" w:hAnsi="宋体" w:cs="宋体"/>
          <w:color w:val="auto"/>
          <w:lang w:val="zh-CN"/>
        </w:rPr>
        <w:t>[1</w:t>
      </w:r>
      <w:r>
        <w:rPr>
          <w:rFonts w:hint="eastAsia" w:ascii="宋体" w:hAnsi="宋体" w:cs="宋体"/>
          <w:color w:val="auto"/>
        </w:rPr>
        <w:t>5</w:t>
      </w:r>
      <w:r>
        <w:rPr>
          <w:rFonts w:hint="eastAsia" w:ascii="宋体" w:hAnsi="宋体" w:cs="宋体"/>
          <w:color w:val="auto"/>
          <w:lang w:val="zh-CN"/>
        </w:rPr>
        <w:t>]  城市轨道交通运营险性事件信息报告与分析管理办法（交运规〔2024〕6号）</w:t>
      </w:r>
    </w:p>
    <w:p w14:paraId="24172232">
      <w:pPr>
        <w:ind w:firstLine="480"/>
        <w:rPr>
          <w:rFonts w:hint="eastAsia" w:ascii="宋体" w:hAnsi="宋体" w:cs="宋体"/>
          <w:color w:val="auto"/>
          <w:lang w:val="zh-CN"/>
        </w:rPr>
      </w:pPr>
      <w:r>
        <w:rPr>
          <w:rFonts w:hint="eastAsia" w:ascii="宋体" w:hAnsi="宋体" w:cs="宋体"/>
          <w:color w:val="auto"/>
          <w:lang w:val="zh-CN"/>
        </w:rPr>
        <w:t>[1</w:t>
      </w:r>
      <w:r>
        <w:rPr>
          <w:rFonts w:hint="eastAsia" w:ascii="宋体" w:hAnsi="宋体" w:cs="宋体"/>
          <w:color w:val="auto"/>
        </w:rPr>
        <w:t>6</w:t>
      </w:r>
      <w:r>
        <w:rPr>
          <w:rFonts w:hint="eastAsia" w:ascii="宋体" w:hAnsi="宋体" w:cs="宋体"/>
          <w:color w:val="auto"/>
          <w:lang w:val="zh-CN"/>
        </w:rPr>
        <w:t>]  城市轨道交通行车组织管理办法（交运规〔2025〕2号）</w:t>
      </w:r>
    </w:p>
    <w:p w14:paraId="2687A7AA">
      <w:pPr>
        <w:ind w:firstLine="480"/>
        <w:rPr>
          <w:rFonts w:hint="eastAsia" w:ascii="宋体" w:hAnsi="宋体" w:cs="宋体"/>
          <w:color w:val="auto"/>
          <w:lang w:val="zh-CN"/>
        </w:rPr>
      </w:pPr>
      <w:r>
        <w:rPr>
          <w:rFonts w:hint="eastAsia" w:ascii="宋体" w:hAnsi="宋体" w:cs="宋体"/>
          <w:color w:val="auto"/>
          <w:lang w:val="zh-CN"/>
        </w:rPr>
        <w:t>[1</w:t>
      </w:r>
      <w:r>
        <w:rPr>
          <w:rFonts w:hint="eastAsia" w:ascii="宋体" w:hAnsi="宋体" w:cs="宋体"/>
          <w:color w:val="auto"/>
        </w:rPr>
        <w:t>7</w:t>
      </w:r>
      <w:r>
        <w:rPr>
          <w:rFonts w:hint="eastAsia" w:ascii="宋体" w:hAnsi="宋体" w:cs="宋体"/>
          <w:color w:val="auto"/>
          <w:lang w:val="zh-CN"/>
        </w:rPr>
        <w:t>]  城市轨道交通客运组织与服务管理办法（交运规〔2025〕3号）</w:t>
      </w:r>
    </w:p>
    <w:p w14:paraId="3D37F3E2">
      <w:pPr>
        <w:ind w:firstLine="480"/>
        <w:rPr>
          <w:rFonts w:hint="eastAsia" w:ascii="宋体" w:hAnsi="宋体" w:cs="宋体"/>
          <w:color w:val="auto"/>
          <w:lang w:val="zh-CN"/>
        </w:rPr>
      </w:pPr>
      <w:r>
        <w:rPr>
          <w:rFonts w:hint="eastAsia" w:ascii="宋体" w:hAnsi="宋体" w:cs="宋体"/>
          <w:color w:val="auto"/>
          <w:lang w:val="zh-CN"/>
        </w:rPr>
        <w:t>[1</w:t>
      </w:r>
      <w:r>
        <w:rPr>
          <w:rFonts w:hint="eastAsia" w:ascii="宋体" w:hAnsi="宋体" w:cs="宋体"/>
          <w:color w:val="auto"/>
        </w:rPr>
        <w:t>8</w:t>
      </w:r>
      <w:r>
        <w:rPr>
          <w:rFonts w:hint="eastAsia" w:ascii="宋体" w:hAnsi="宋体" w:cs="宋体"/>
          <w:color w:val="auto"/>
          <w:lang w:val="zh-CN"/>
        </w:rPr>
        <w:t>]  湖南省安全生产条例（湖南省第十三届人民代表大会常务委员会公告第97号）</w:t>
      </w:r>
    </w:p>
    <w:p w14:paraId="2693F7C0">
      <w:pPr>
        <w:ind w:firstLine="480"/>
        <w:rPr>
          <w:rFonts w:hint="eastAsia" w:ascii="宋体" w:hAnsi="宋体" w:cs="宋体"/>
          <w:color w:val="auto"/>
          <w:lang w:val="zh-CN"/>
        </w:rPr>
      </w:pPr>
      <w:r>
        <w:rPr>
          <w:rFonts w:hint="eastAsia" w:ascii="宋体" w:hAnsi="宋体" w:cs="宋体"/>
          <w:color w:val="auto"/>
          <w:lang w:val="zh-CN"/>
        </w:rPr>
        <w:t>[</w:t>
      </w:r>
      <w:r>
        <w:rPr>
          <w:rFonts w:hint="eastAsia" w:ascii="宋体" w:hAnsi="宋体" w:cs="宋体"/>
          <w:color w:val="auto"/>
        </w:rPr>
        <w:t>19</w:t>
      </w:r>
      <w:r>
        <w:rPr>
          <w:rFonts w:hint="eastAsia" w:ascii="宋体" w:hAnsi="宋体" w:cs="宋体"/>
          <w:color w:val="auto"/>
          <w:lang w:val="zh-CN"/>
        </w:rPr>
        <w:t>]  长沙市轨道交通条例（长沙市人民代表大会常务委员会公告2022年第6号）</w:t>
      </w:r>
    </w:p>
    <w:p w14:paraId="159441A4">
      <w:pPr>
        <w:ind w:firstLine="480"/>
        <w:rPr>
          <w:rFonts w:hint="eastAsia" w:ascii="宋体" w:hAnsi="宋体" w:cs="宋体"/>
          <w:color w:val="auto"/>
          <w:lang w:val="zh-CN"/>
        </w:rPr>
      </w:pPr>
      <w:r>
        <w:rPr>
          <w:rFonts w:hint="eastAsia" w:ascii="宋体" w:hAnsi="宋体" w:cs="宋体"/>
          <w:color w:val="auto"/>
          <w:lang w:val="zh-CN"/>
        </w:rPr>
        <w:t>[</w:t>
      </w:r>
      <w:r>
        <w:rPr>
          <w:rFonts w:hint="eastAsia" w:ascii="宋体" w:hAnsi="宋体" w:cs="宋体"/>
          <w:color w:val="auto"/>
        </w:rPr>
        <w:t>20</w:t>
      </w:r>
      <w:r>
        <w:rPr>
          <w:rFonts w:hint="eastAsia" w:ascii="宋体" w:hAnsi="宋体" w:cs="宋体"/>
          <w:color w:val="auto"/>
          <w:lang w:val="zh-CN"/>
        </w:rPr>
        <w:t>]</w:t>
      </w:r>
      <w:r>
        <w:rPr>
          <w:rFonts w:hint="eastAsia" w:ascii="宋体" w:hAnsi="宋体" w:cs="宋体"/>
          <w:color w:val="auto"/>
        </w:rPr>
        <w:t xml:space="preserve">  </w:t>
      </w:r>
      <w:r>
        <w:rPr>
          <w:rFonts w:hint="eastAsia" w:ascii="宋体" w:hAnsi="宋体" w:cs="宋体"/>
          <w:color w:val="auto"/>
          <w:lang w:val="zh-CN"/>
        </w:rPr>
        <w:t>DB43/T2000-2021</w:t>
      </w:r>
      <w:r>
        <w:rPr>
          <w:rFonts w:hint="eastAsia" w:ascii="宋体" w:hAnsi="宋体" w:cs="宋体"/>
          <w:color w:val="auto"/>
        </w:rPr>
        <w:t xml:space="preserve"> </w:t>
      </w:r>
      <w:r>
        <w:rPr>
          <w:rFonts w:hint="eastAsia" w:ascii="宋体" w:hAnsi="宋体" w:cs="宋体"/>
          <w:color w:val="auto"/>
          <w:lang w:val="zh-CN"/>
        </w:rPr>
        <w:t>城市轨道交通治安反恐防范要求</w:t>
      </w:r>
    </w:p>
    <w:p w14:paraId="73A6EF97">
      <w:pPr>
        <w:ind w:firstLine="480"/>
        <w:rPr>
          <w:rFonts w:hint="eastAsia" w:ascii="宋体" w:hAnsi="宋体" w:cs="宋体"/>
          <w:color w:val="auto"/>
        </w:rPr>
      </w:pPr>
    </w:p>
    <w:bookmarkEnd w:id="498"/>
    <w:p w14:paraId="66426AD7">
      <w:pPr>
        <w:pStyle w:val="57"/>
        <w:ind w:firstLine="0" w:firstLineChars="0"/>
        <w:jc w:val="center"/>
        <w:rPr>
          <w:color w:val="auto"/>
        </w:rPr>
      </w:pPr>
      <w:bookmarkStart w:id="499" w:name="BookMark8"/>
      <w:r>
        <w:rPr>
          <w:color w:val="auto"/>
        </w:rPr>
        <w:drawing>
          <wp:inline distT="0" distB="0" distL="0" distR="0">
            <wp:extent cx="1485900" cy="317500"/>
            <wp:effectExtent l="0" t="0" r="0" b="6350"/>
            <wp:docPr id="27492043" name="图片 1"/>
            <wp:cNvGraphicFramePr/>
            <a:graphic xmlns:a="http://schemas.openxmlformats.org/drawingml/2006/main">
              <a:graphicData uri="http://schemas.openxmlformats.org/drawingml/2006/picture">
                <pic:pic xmlns:pic="http://schemas.openxmlformats.org/drawingml/2006/picture">
                  <pic:nvPicPr>
                    <pic:cNvPr id="27492043" name="图片 1"/>
                    <pic:cNvPicPr/>
                  </pic:nvPicPr>
                  <pic:blipFill>
                    <a:blip r:embed="rId3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9"/>
    </w:p>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71E20">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A3052">
    <w:pPr>
      <w:pStyle w:val="53"/>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A84BF">
    <w:pPr>
      <w:pStyle w:val="52"/>
    </w:pPr>
    <w:r>
      <w:fldChar w:fldCharType="begin"/>
    </w:r>
    <w:r>
      <w:instrText xml:space="preserve"> PAGE   \* MERGEFORMAT \* MERGEFORMAT </w:instrText>
    </w:r>
    <w:r>
      <w:fldChar w:fldCharType="separate"/>
    </w:r>
    <w:r>
      <w:t>14</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52C78">
    <w:pPr>
      <w:pStyle w:val="53"/>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44ADC">
    <w:pPr>
      <w:pStyle w:val="52"/>
    </w:pPr>
    <w:r>
      <w:fldChar w:fldCharType="begin"/>
    </w:r>
    <w:r>
      <w:instrText xml:space="preserve"> PAGE   \* MERGEFORMAT \* MERGEFORMAT </w:instrText>
    </w:r>
    <w:r>
      <w:fldChar w:fldCharType="separate"/>
    </w:r>
    <w:r>
      <w:t>16</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7096F">
    <w:pPr>
      <w:pStyle w:val="53"/>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37168">
    <w:pPr>
      <w:pStyle w:val="52"/>
    </w:pPr>
    <w:r>
      <w:fldChar w:fldCharType="begin"/>
    </w:r>
    <w:r>
      <w:instrText xml:space="preserve"> PAGE   \* MERGEFORMAT \* MERGEFORMAT </w:instrText>
    </w:r>
    <w:r>
      <w:fldChar w:fldCharType="separate"/>
    </w:r>
    <w:r>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476E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801F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0AD2B">
    <w:pPr>
      <w:pStyle w:val="53"/>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4F92A">
    <w:pPr>
      <w:pStyle w:val="52"/>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57960">
    <w:pPr>
      <w:pStyle w:val="53"/>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7DDB9">
    <w:pPr>
      <w:pStyle w:val="52"/>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9F2E7">
    <w:pPr>
      <w:pStyle w:val="53"/>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52154">
    <w:pPr>
      <w:pStyle w:val="52"/>
    </w:pPr>
    <w:r>
      <w:fldChar w:fldCharType="begin"/>
    </w:r>
    <w:r>
      <w:instrText xml:space="preserve"> PAGE   \* MERGEFORMAT \* MERGEFORMAT </w:instrText>
    </w:r>
    <w:r>
      <w:fldChar w:fldCharType="separate"/>
    </w:r>
    <w: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48A23">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CFEF0">
    <w:pPr>
      <w:pStyle w:val="62"/>
      <w:rPr>
        <w:rFonts w:hint="eastAsia"/>
      </w:rPr>
    </w:pPr>
    <w:r>
      <w:fldChar w:fldCharType="begin"/>
    </w:r>
    <w:r>
      <w:instrText xml:space="preserve"> STYLEREF  标准文件_文件编号  \* MERGEFORMAT </w:instrText>
    </w:r>
    <w:r>
      <w:fldChar w:fldCharType="separate"/>
    </w:r>
    <w:r>
      <w:t>DB 43/T XXXX—2025</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09A6D">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XXXX—2025</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E4FB6">
    <w:pPr>
      <w:pStyle w:val="62"/>
      <w:rPr>
        <w:rFonts w:hint="eastAsia"/>
      </w:rPr>
    </w:pPr>
    <w:r>
      <w:fldChar w:fldCharType="begin"/>
    </w:r>
    <w:r>
      <w:instrText xml:space="preserve"> STYLEREF  标准文件_文件编号  \* MERGEFORMAT </w:instrText>
    </w:r>
    <w:r>
      <w:fldChar w:fldCharType="separate"/>
    </w:r>
    <w:r>
      <w:t>DB 43/T XXXX—2025</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4B05E">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XXXX—2025</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BC5E3">
    <w:pPr>
      <w:pStyle w:val="62"/>
      <w:rPr>
        <w:rFonts w:hint="eastAsia"/>
      </w:rPr>
    </w:pPr>
    <w:r>
      <w:fldChar w:fldCharType="begin"/>
    </w:r>
    <w:r>
      <w:instrText xml:space="preserve"> STYLEREF  标准文件_文件编号  \* MERGEFORMAT </w:instrText>
    </w:r>
    <w:r>
      <w:fldChar w:fldCharType="separate"/>
    </w:r>
    <w:r>
      <w:t>DB 43/T XXXX—2025</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24E51">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XXXX—2025</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D63B1">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6ECE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DB327">
    <w:pPr>
      <w:pStyle w:val="62"/>
      <w:rPr>
        <w:rFonts w:hint="eastAsia"/>
      </w:rPr>
    </w:pPr>
    <w:r>
      <w:fldChar w:fldCharType="begin"/>
    </w:r>
    <w:r>
      <w:instrText xml:space="preserve"> STYLEREF  标准文件_文件编号  \* MERGEFORMAT </w:instrText>
    </w:r>
    <w:r>
      <w:fldChar w:fldCharType="separate"/>
    </w:r>
    <w:r>
      <w:t>DB 43/T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4BC5D">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XXXX—2025</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5AADE">
    <w:pPr>
      <w:pStyle w:val="62"/>
      <w:rPr>
        <w:rFonts w:hint="eastAsia"/>
      </w:rPr>
    </w:pPr>
    <w:r>
      <w:fldChar w:fldCharType="begin"/>
    </w:r>
    <w:r>
      <w:instrText xml:space="preserve"> STYLEREF  标准文件_文件编号  \* MERGEFORMAT </w:instrText>
    </w:r>
    <w:r>
      <w:fldChar w:fldCharType="separate"/>
    </w:r>
    <w:r>
      <w:t>DB 43/T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8CE26">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XXXX—2025</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18A98">
    <w:pPr>
      <w:pStyle w:val="62"/>
      <w:rPr>
        <w:rFonts w:hint="eastAsia"/>
      </w:rPr>
    </w:pPr>
    <w:r>
      <w:fldChar w:fldCharType="begin"/>
    </w:r>
    <w:r>
      <w:instrText xml:space="preserve"> STYLEREF  标准文件_文件编号  \* MERGEFORMAT </w:instrText>
    </w:r>
    <w:r>
      <w:fldChar w:fldCharType="separate"/>
    </w:r>
    <w:r>
      <w:t>DB 43/T XXXX—2025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B03A9">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XXXX—2025</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pStyle w:val="233"/>
      <w:lvlText w:val="%2)"/>
      <w:lvlJc w:val="left"/>
      <w:pPr>
        <w:tabs>
          <w:tab w:val="left" w:pos="840"/>
        </w:tabs>
        <w:ind w:left="840" w:hanging="420"/>
      </w:pPr>
    </w:lvl>
    <w:lvl w:ilvl="2" w:tentative="0">
      <w:start w:val="1"/>
      <w:numFmt w:val="lowerRoman"/>
      <w:pStyle w:val="236"/>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default" w:ascii="黑体" w:eastAsia="黑体"/>
        <w:color w:val="auto"/>
        <w:sz w:val="21"/>
        <w:highlight w:val="yellow"/>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attachedTemplate r:id="rId1"/>
  <w:revisionView w:markup="0"/>
  <w:trackRevisions w:val="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FjOWRkZDE0Mjk5YzM0ZjljYmY5MWY3ZjA2ZWQ4ODAifQ=="/>
  </w:docVars>
  <w:rsids>
    <w:rsidRoot w:val="00617340"/>
    <w:rsid w:val="0000040A"/>
    <w:rsid w:val="00000A94"/>
    <w:rsid w:val="00001972"/>
    <w:rsid w:val="00001D9A"/>
    <w:rsid w:val="00007B3A"/>
    <w:rsid w:val="000107E0"/>
    <w:rsid w:val="00011FDE"/>
    <w:rsid w:val="00012FFD"/>
    <w:rsid w:val="00014162"/>
    <w:rsid w:val="00014340"/>
    <w:rsid w:val="00016A9C"/>
    <w:rsid w:val="00017977"/>
    <w:rsid w:val="00021681"/>
    <w:rsid w:val="00022184"/>
    <w:rsid w:val="000221A2"/>
    <w:rsid w:val="00022762"/>
    <w:rsid w:val="000238E0"/>
    <w:rsid w:val="000249DB"/>
    <w:rsid w:val="0002595E"/>
    <w:rsid w:val="000303C3"/>
    <w:rsid w:val="000331D3"/>
    <w:rsid w:val="0003365F"/>
    <w:rsid w:val="000346A5"/>
    <w:rsid w:val="000359C3"/>
    <w:rsid w:val="00035A7D"/>
    <w:rsid w:val="000365ED"/>
    <w:rsid w:val="0004249A"/>
    <w:rsid w:val="00043282"/>
    <w:rsid w:val="00044286"/>
    <w:rsid w:val="00045E68"/>
    <w:rsid w:val="00047F28"/>
    <w:rsid w:val="000503AA"/>
    <w:rsid w:val="000506A1"/>
    <w:rsid w:val="000515DD"/>
    <w:rsid w:val="0005265A"/>
    <w:rsid w:val="000539DD"/>
    <w:rsid w:val="00053BD3"/>
    <w:rsid w:val="000553DA"/>
    <w:rsid w:val="00055426"/>
    <w:rsid w:val="000556ED"/>
    <w:rsid w:val="00055F8C"/>
    <w:rsid w:val="00055FE2"/>
    <w:rsid w:val="0005616F"/>
    <w:rsid w:val="00060A99"/>
    <w:rsid w:val="00060C2E"/>
    <w:rsid w:val="00061033"/>
    <w:rsid w:val="000619E9"/>
    <w:rsid w:val="000622D4"/>
    <w:rsid w:val="0006357D"/>
    <w:rsid w:val="00063B6C"/>
    <w:rsid w:val="00067F1E"/>
    <w:rsid w:val="00071CC0"/>
    <w:rsid w:val="000726E6"/>
    <w:rsid w:val="00073940"/>
    <w:rsid w:val="00073C8C"/>
    <w:rsid w:val="00075766"/>
    <w:rsid w:val="00077B64"/>
    <w:rsid w:val="00080A1C"/>
    <w:rsid w:val="00082317"/>
    <w:rsid w:val="00083D2C"/>
    <w:rsid w:val="00085AD1"/>
    <w:rsid w:val="00086AA1"/>
    <w:rsid w:val="00087A77"/>
    <w:rsid w:val="00090CA6"/>
    <w:rsid w:val="00092B8A"/>
    <w:rsid w:val="00092FB0"/>
    <w:rsid w:val="000934C5"/>
    <w:rsid w:val="00093D25"/>
    <w:rsid w:val="00093DAB"/>
    <w:rsid w:val="0009494C"/>
    <w:rsid w:val="00094D73"/>
    <w:rsid w:val="00096D63"/>
    <w:rsid w:val="000A0B60"/>
    <w:rsid w:val="000A0EB8"/>
    <w:rsid w:val="000A19FC"/>
    <w:rsid w:val="000A296B"/>
    <w:rsid w:val="000A4224"/>
    <w:rsid w:val="000A7311"/>
    <w:rsid w:val="000B0477"/>
    <w:rsid w:val="000B060F"/>
    <w:rsid w:val="000B1283"/>
    <w:rsid w:val="000B1592"/>
    <w:rsid w:val="000B1FF2"/>
    <w:rsid w:val="000B3CB1"/>
    <w:rsid w:val="000B3CDA"/>
    <w:rsid w:val="000B5340"/>
    <w:rsid w:val="000B6A0B"/>
    <w:rsid w:val="000C0F6C"/>
    <w:rsid w:val="000C11DB"/>
    <w:rsid w:val="000C1492"/>
    <w:rsid w:val="000C2FBD"/>
    <w:rsid w:val="000C46F4"/>
    <w:rsid w:val="000C4B41"/>
    <w:rsid w:val="000C57D6"/>
    <w:rsid w:val="000C6362"/>
    <w:rsid w:val="000C7666"/>
    <w:rsid w:val="000D0A9C"/>
    <w:rsid w:val="000D1795"/>
    <w:rsid w:val="000D267D"/>
    <w:rsid w:val="000D329A"/>
    <w:rsid w:val="000D4B9C"/>
    <w:rsid w:val="000D4EB6"/>
    <w:rsid w:val="000D753B"/>
    <w:rsid w:val="000E4C9E"/>
    <w:rsid w:val="000E6FD7"/>
    <w:rsid w:val="000E75A2"/>
    <w:rsid w:val="000F06E1"/>
    <w:rsid w:val="000F0E3C"/>
    <w:rsid w:val="000F19D5"/>
    <w:rsid w:val="000F4AEA"/>
    <w:rsid w:val="000F633F"/>
    <w:rsid w:val="000F67E9"/>
    <w:rsid w:val="001032E3"/>
    <w:rsid w:val="001044F8"/>
    <w:rsid w:val="001047D6"/>
    <w:rsid w:val="00104926"/>
    <w:rsid w:val="0010738F"/>
    <w:rsid w:val="00113B1E"/>
    <w:rsid w:val="001154CC"/>
    <w:rsid w:val="0011711C"/>
    <w:rsid w:val="0012059C"/>
    <w:rsid w:val="00124E4F"/>
    <w:rsid w:val="001260B7"/>
    <w:rsid w:val="001265CB"/>
    <w:rsid w:val="001321C6"/>
    <w:rsid w:val="001325C4"/>
    <w:rsid w:val="00133010"/>
    <w:rsid w:val="001338EE"/>
    <w:rsid w:val="00133AAE"/>
    <w:rsid w:val="00134225"/>
    <w:rsid w:val="00135323"/>
    <w:rsid w:val="001356C4"/>
    <w:rsid w:val="00141114"/>
    <w:rsid w:val="00142948"/>
    <w:rsid w:val="00142969"/>
    <w:rsid w:val="0014465F"/>
    <w:rsid w:val="001446C2"/>
    <w:rsid w:val="001457E7"/>
    <w:rsid w:val="00145D9D"/>
    <w:rsid w:val="00146388"/>
    <w:rsid w:val="0015090A"/>
    <w:rsid w:val="0015215B"/>
    <w:rsid w:val="00152821"/>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9B0"/>
    <w:rsid w:val="00176DFD"/>
    <w:rsid w:val="001852C9"/>
    <w:rsid w:val="00190087"/>
    <w:rsid w:val="001913C4"/>
    <w:rsid w:val="0019348F"/>
    <w:rsid w:val="00193A07"/>
    <w:rsid w:val="00194C95"/>
    <w:rsid w:val="00195C34"/>
    <w:rsid w:val="00196EF5"/>
    <w:rsid w:val="00196F8A"/>
    <w:rsid w:val="001A1A53"/>
    <w:rsid w:val="001A234A"/>
    <w:rsid w:val="001A3308"/>
    <w:rsid w:val="001A4CF3"/>
    <w:rsid w:val="001A565B"/>
    <w:rsid w:val="001B06E8"/>
    <w:rsid w:val="001B37A0"/>
    <w:rsid w:val="001B3A15"/>
    <w:rsid w:val="001B6217"/>
    <w:rsid w:val="001B6323"/>
    <w:rsid w:val="001B67D7"/>
    <w:rsid w:val="001B71D0"/>
    <w:rsid w:val="001B71EE"/>
    <w:rsid w:val="001B7FD2"/>
    <w:rsid w:val="001C04A8"/>
    <w:rsid w:val="001C2C03"/>
    <w:rsid w:val="001C42F7"/>
    <w:rsid w:val="001C49E5"/>
    <w:rsid w:val="001C5DFD"/>
    <w:rsid w:val="001C680C"/>
    <w:rsid w:val="001C7FEA"/>
    <w:rsid w:val="001D0499"/>
    <w:rsid w:val="001D0BBE"/>
    <w:rsid w:val="001D0ED4"/>
    <w:rsid w:val="001D0F77"/>
    <w:rsid w:val="001D212F"/>
    <w:rsid w:val="001D29D7"/>
    <w:rsid w:val="001D2DE7"/>
    <w:rsid w:val="001D411C"/>
    <w:rsid w:val="001D79D6"/>
    <w:rsid w:val="001E1B6A"/>
    <w:rsid w:val="001E2484"/>
    <w:rsid w:val="001E2A83"/>
    <w:rsid w:val="001E2D7D"/>
    <w:rsid w:val="001E3CC4"/>
    <w:rsid w:val="001E4882"/>
    <w:rsid w:val="001E73AB"/>
    <w:rsid w:val="001F092D"/>
    <w:rsid w:val="001F143A"/>
    <w:rsid w:val="001F1605"/>
    <w:rsid w:val="001F2508"/>
    <w:rsid w:val="001F4816"/>
    <w:rsid w:val="001F4C26"/>
    <w:rsid w:val="001F4EE9"/>
    <w:rsid w:val="001F69B4"/>
    <w:rsid w:val="001F77C7"/>
    <w:rsid w:val="00200183"/>
    <w:rsid w:val="00200333"/>
    <w:rsid w:val="0020085D"/>
    <w:rsid w:val="0020107D"/>
    <w:rsid w:val="00202AA4"/>
    <w:rsid w:val="002031F7"/>
    <w:rsid w:val="00203BA1"/>
    <w:rsid w:val="002040E6"/>
    <w:rsid w:val="0020527B"/>
    <w:rsid w:val="00205F2C"/>
    <w:rsid w:val="002061CD"/>
    <w:rsid w:val="00207192"/>
    <w:rsid w:val="00210B15"/>
    <w:rsid w:val="002110FF"/>
    <w:rsid w:val="00213E72"/>
    <w:rsid w:val="002142EA"/>
    <w:rsid w:val="002204BB"/>
    <w:rsid w:val="002205B4"/>
    <w:rsid w:val="00221B79"/>
    <w:rsid w:val="00221C6B"/>
    <w:rsid w:val="00221E32"/>
    <w:rsid w:val="00222F48"/>
    <w:rsid w:val="00225378"/>
    <w:rsid w:val="002253A1"/>
    <w:rsid w:val="00225CF8"/>
    <w:rsid w:val="0022794E"/>
    <w:rsid w:val="002306D8"/>
    <w:rsid w:val="00231F3D"/>
    <w:rsid w:val="00233D64"/>
    <w:rsid w:val="0023482A"/>
    <w:rsid w:val="002359CB"/>
    <w:rsid w:val="002424B3"/>
    <w:rsid w:val="00243540"/>
    <w:rsid w:val="0024497B"/>
    <w:rsid w:val="0024515B"/>
    <w:rsid w:val="00246021"/>
    <w:rsid w:val="0024666E"/>
    <w:rsid w:val="00247F52"/>
    <w:rsid w:val="00250B25"/>
    <w:rsid w:val="00250BBE"/>
    <w:rsid w:val="002515B2"/>
    <w:rsid w:val="002515C2"/>
    <w:rsid w:val="0025194F"/>
    <w:rsid w:val="00252A78"/>
    <w:rsid w:val="002556E4"/>
    <w:rsid w:val="00257901"/>
    <w:rsid w:val="0026148A"/>
    <w:rsid w:val="00262696"/>
    <w:rsid w:val="00263D25"/>
    <w:rsid w:val="002643C3"/>
    <w:rsid w:val="00264A0C"/>
    <w:rsid w:val="00264AE7"/>
    <w:rsid w:val="00266EEB"/>
    <w:rsid w:val="00267EF4"/>
    <w:rsid w:val="002706F8"/>
    <w:rsid w:val="00270CB8"/>
    <w:rsid w:val="00272B08"/>
    <w:rsid w:val="00273A02"/>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CEB"/>
    <w:rsid w:val="002A25DC"/>
    <w:rsid w:val="002A3AAB"/>
    <w:rsid w:val="002A4CEA"/>
    <w:rsid w:val="002A5977"/>
    <w:rsid w:val="002A5A13"/>
    <w:rsid w:val="002A757F"/>
    <w:rsid w:val="002A7F44"/>
    <w:rsid w:val="002B0C40"/>
    <w:rsid w:val="002B1966"/>
    <w:rsid w:val="002B4328"/>
    <w:rsid w:val="002B4508"/>
    <w:rsid w:val="002B5779"/>
    <w:rsid w:val="002B7332"/>
    <w:rsid w:val="002B7F51"/>
    <w:rsid w:val="002C09E7"/>
    <w:rsid w:val="002C1E06"/>
    <w:rsid w:val="002C1E1C"/>
    <w:rsid w:val="002C3F07"/>
    <w:rsid w:val="002C5278"/>
    <w:rsid w:val="002C6FFB"/>
    <w:rsid w:val="002C7EBB"/>
    <w:rsid w:val="002D06C1"/>
    <w:rsid w:val="002D12CF"/>
    <w:rsid w:val="002D324A"/>
    <w:rsid w:val="002D42B5"/>
    <w:rsid w:val="002D4F1A"/>
    <w:rsid w:val="002D6EC6"/>
    <w:rsid w:val="002D79AC"/>
    <w:rsid w:val="002E039D"/>
    <w:rsid w:val="002E24A8"/>
    <w:rsid w:val="002E3294"/>
    <w:rsid w:val="002E3CCF"/>
    <w:rsid w:val="002E4D5A"/>
    <w:rsid w:val="002E6326"/>
    <w:rsid w:val="002F30E0"/>
    <w:rsid w:val="002F351C"/>
    <w:rsid w:val="002F35E4"/>
    <w:rsid w:val="002F3730"/>
    <w:rsid w:val="002F38E1"/>
    <w:rsid w:val="002F480C"/>
    <w:rsid w:val="002F7AF6"/>
    <w:rsid w:val="00300E63"/>
    <w:rsid w:val="00302F5F"/>
    <w:rsid w:val="0030441D"/>
    <w:rsid w:val="003058A1"/>
    <w:rsid w:val="00306063"/>
    <w:rsid w:val="0030628C"/>
    <w:rsid w:val="00307E68"/>
    <w:rsid w:val="00313B85"/>
    <w:rsid w:val="00316C70"/>
    <w:rsid w:val="00317988"/>
    <w:rsid w:val="003221B4"/>
    <w:rsid w:val="0032258D"/>
    <w:rsid w:val="00322935"/>
    <w:rsid w:val="00322E62"/>
    <w:rsid w:val="00324D13"/>
    <w:rsid w:val="00324D2A"/>
    <w:rsid w:val="00324EDD"/>
    <w:rsid w:val="003331E4"/>
    <w:rsid w:val="00336C64"/>
    <w:rsid w:val="00337162"/>
    <w:rsid w:val="0034194F"/>
    <w:rsid w:val="00341E6E"/>
    <w:rsid w:val="00344605"/>
    <w:rsid w:val="003474AA"/>
    <w:rsid w:val="00347E85"/>
    <w:rsid w:val="00350D1D"/>
    <w:rsid w:val="00352C83"/>
    <w:rsid w:val="003604F0"/>
    <w:rsid w:val="003615D2"/>
    <w:rsid w:val="0036429C"/>
    <w:rsid w:val="00364A53"/>
    <w:rsid w:val="003654CB"/>
    <w:rsid w:val="00365AA9"/>
    <w:rsid w:val="00365F86"/>
    <w:rsid w:val="00365F87"/>
    <w:rsid w:val="00366E89"/>
    <w:rsid w:val="003705F4"/>
    <w:rsid w:val="00370D58"/>
    <w:rsid w:val="00371316"/>
    <w:rsid w:val="003752D6"/>
    <w:rsid w:val="00376713"/>
    <w:rsid w:val="00381815"/>
    <w:rsid w:val="003819AF"/>
    <w:rsid w:val="003820E9"/>
    <w:rsid w:val="00382DE7"/>
    <w:rsid w:val="003840B8"/>
    <w:rsid w:val="003843F1"/>
    <w:rsid w:val="00384FFC"/>
    <w:rsid w:val="00386F65"/>
    <w:rsid w:val="003872FC"/>
    <w:rsid w:val="00387ADC"/>
    <w:rsid w:val="00390020"/>
    <w:rsid w:val="003903D6"/>
    <w:rsid w:val="00390EE6"/>
    <w:rsid w:val="0039118F"/>
    <w:rsid w:val="00392AD7"/>
    <w:rsid w:val="0039342A"/>
    <w:rsid w:val="003938D9"/>
    <w:rsid w:val="00394376"/>
    <w:rsid w:val="00394396"/>
    <w:rsid w:val="003943FF"/>
    <w:rsid w:val="00395700"/>
    <w:rsid w:val="003974EB"/>
    <w:rsid w:val="00397CC5"/>
    <w:rsid w:val="003A1582"/>
    <w:rsid w:val="003A4077"/>
    <w:rsid w:val="003A7507"/>
    <w:rsid w:val="003B09AD"/>
    <w:rsid w:val="003B1943"/>
    <w:rsid w:val="003B1F18"/>
    <w:rsid w:val="003B5BF0"/>
    <w:rsid w:val="003B5C56"/>
    <w:rsid w:val="003B60BF"/>
    <w:rsid w:val="003B6BE3"/>
    <w:rsid w:val="003C010C"/>
    <w:rsid w:val="003C0A6C"/>
    <w:rsid w:val="003C14F8"/>
    <w:rsid w:val="003C468C"/>
    <w:rsid w:val="003C5A43"/>
    <w:rsid w:val="003D0350"/>
    <w:rsid w:val="003D0519"/>
    <w:rsid w:val="003D0FF6"/>
    <w:rsid w:val="003D262C"/>
    <w:rsid w:val="003D6D61"/>
    <w:rsid w:val="003D79C6"/>
    <w:rsid w:val="003E091D"/>
    <w:rsid w:val="003E1C53"/>
    <w:rsid w:val="003E2A69"/>
    <w:rsid w:val="003E2D49"/>
    <w:rsid w:val="003E2FD4"/>
    <w:rsid w:val="003E49F6"/>
    <w:rsid w:val="003E660F"/>
    <w:rsid w:val="003E77AF"/>
    <w:rsid w:val="003F0841"/>
    <w:rsid w:val="003F23D3"/>
    <w:rsid w:val="003F3F08"/>
    <w:rsid w:val="003F49F1"/>
    <w:rsid w:val="003F6272"/>
    <w:rsid w:val="00400E72"/>
    <w:rsid w:val="00401400"/>
    <w:rsid w:val="004041BD"/>
    <w:rsid w:val="00404869"/>
    <w:rsid w:val="00405884"/>
    <w:rsid w:val="00406B05"/>
    <w:rsid w:val="00407D39"/>
    <w:rsid w:val="00407E04"/>
    <w:rsid w:val="004143E1"/>
    <w:rsid w:val="0041477A"/>
    <w:rsid w:val="004167A3"/>
    <w:rsid w:val="00416D3C"/>
    <w:rsid w:val="00431FB5"/>
    <w:rsid w:val="00432DAA"/>
    <w:rsid w:val="00433360"/>
    <w:rsid w:val="00434305"/>
    <w:rsid w:val="00435DF7"/>
    <w:rsid w:val="0044083F"/>
    <w:rsid w:val="00441AE7"/>
    <w:rsid w:val="00442BFA"/>
    <w:rsid w:val="00445574"/>
    <w:rsid w:val="00446696"/>
    <w:rsid w:val="004467FB"/>
    <w:rsid w:val="004475AD"/>
    <w:rsid w:val="00452D6B"/>
    <w:rsid w:val="00454484"/>
    <w:rsid w:val="0045517B"/>
    <w:rsid w:val="00463B77"/>
    <w:rsid w:val="00463C7B"/>
    <w:rsid w:val="004644A6"/>
    <w:rsid w:val="004659BD"/>
    <w:rsid w:val="004679A5"/>
    <w:rsid w:val="00470775"/>
    <w:rsid w:val="00471CC2"/>
    <w:rsid w:val="004746B1"/>
    <w:rsid w:val="00474B4F"/>
    <w:rsid w:val="00474FC2"/>
    <w:rsid w:val="0047583F"/>
    <w:rsid w:val="00475DE8"/>
    <w:rsid w:val="0048058D"/>
    <w:rsid w:val="00481C44"/>
    <w:rsid w:val="00484568"/>
    <w:rsid w:val="00484936"/>
    <w:rsid w:val="00485C89"/>
    <w:rsid w:val="00486A06"/>
    <w:rsid w:val="00486BE3"/>
    <w:rsid w:val="004905E4"/>
    <w:rsid w:val="00490A89"/>
    <w:rsid w:val="00490AB4"/>
    <w:rsid w:val="00492F02"/>
    <w:rsid w:val="004939AE"/>
    <w:rsid w:val="004A12DF"/>
    <w:rsid w:val="004A17E6"/>
    <w:rsid w:val="004A1BA8"/>
    <w:rsid w:val="004A1BC4"/>
    <w:rsid w:val="004A4B57"/>
    <w:rsid w:val="004A63FA"/>
    <w:rsid w:val="004A79E4"/>
    <w:rsid w:val="004B019D"/>
    <w:rsid w:val="004B0272"/>
    <w:rsid w:val="004B24FB"/>
    <w:rsid w:val="004B2701"/>
    <w:rsid w:val="004B2E1B"/>
    <w:rsid w:val="004B33AD"/>
    <w:rsid w:val="004B3AA8"/>
    <w:rsid w:val="004B3E93"/>
    <w:rsid w:val="004B555C"/>
    <w:rsid w:val="004C1FBC"/>
    <w:rsid w:val="004C3F1D"/>
    <w:rsid w:val="004C458D"/>
    <w:rsid w:val="004C7556"/>
    <w:rsid w:val="004C7E8B"/>
    <w:rsid w:val="004C7E9D"/>
    <w:rsid w:val="004C7F67"/>
    <w:rsid w:val="004D076D"/>
    <w:rsid w:val="004D0EF1"/>
    <w:rsid w:val="004D2253"/>
    <w:rsid w:val="004D2D08"/>
    <w:rsid w:val="004D4406"/>
    <w:rsid w:val="004D7C42"/>
    <w:rsid w:val="004E0465"/>
    <w:rsid w:val="004E127B"/>
    <w:rsid w:val="004E1C0A"/>
    <w:rsid w:val="004E2B06"/>
    <w:rsid w:val="004E30C5"/>
    <w:rsid w:val="004E48AA"/>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11D"/>
    <w:rsid w:val="00512F6E"/>
    <w:rsid w:val="00513038"/>
    <w:rsid w:val="00514174"/>
    <w:rsid w:val="00516088"/>
    <w:rsid w:val="00516B0B"/>
    <w:rsid w:val="0052086A"/>
    <w:rsid w:val="005220EC"/>
    <w:rsid w:val="005227E0"/>
    <w:rsid w:val="005231B7"/>
    <w:rsid w:val="00523EB0"/>
    <w:rsid w:val="00523F95"/>
    <w:rsid w:val="00524D65"/>
    <w:rsid w:val="00525B16"/>
    <w:rsid w:val="005275E1"/>
    <w:rsid w:val="0053002E"/>
    <w:rsid w:val="00530F73"/>
    <w:rsid w:val="00533D04"/>
    <w:rsid w:val="00534804"/>
    <w:rsid w:val="00534BDF"/>
    <w:rsid w:val="005354EA"/>
    <w:rsid w:val="0053585F"/>
    <w:rsid w:val="00535D1E"/>
    <w:rsid w:val="00535EC4"/>
    <w:rsid w:val="00535ED9"/>
    <w:rsid w:val="0053692B"/>
    <w:rsid w:val="00540088"/>
    <w:rsid w:val="00541853"/>
    <w:rsid w:val="0054312C"/>
    <w:rsid w:val="00543BDA"/>
    <w:rsid w:val="00543C4B"/>
    <w:rsid w:val="005441CC"/>
    <w:rsid w:val="005479DA"/>
    <w:rsid w:val="00547BCC"/>
    <w:rsid w:val="0055013B"/>
    <w:rsid w:val="00551F6F"/>
    <w:rsid w:val="0055291E"/>
    <w:rsid w:val="00554ABE"/>
    <w:rsid w:val="00555044"/>
    <w:rsid w:val="00557829"/>
    <w:rsid w:val="00561475"/>
    <w:rsid w:val="0056487B"/>
    <w:rsid w:val="00564FB9"/>
    <w:rsid w:val="00573D9E"/>
    <w:rsid w:val="00580185"/>
    <w:rsid w:val="005801E3"/>
    <w:rsid w:val="00580AAB"/>
    <w:rsid w:val="00581802"/>
    <w:rsid w:val="005836A8"/>
    <w:rsid w:val="0058409C"/>
    <w:rsid w:val="00584262"/>
    <w:rsid w:val="00585C76"/>
    <w:rsid w:val="00586630"/>
    <w:rsid w:val="00586FEC"/>
    <w:rsid w:val="00587ADD"/>
    <w:rsid w:val="00591E27"/>
    <w:rsid w:val="00594810"/>
    <w:rsid w:val="00596160"/>
    <w:rsid w:val="005966E2"/>
    <w:rsid w:val="00597007"/>
    <w:rsid w:val="005A0966"/>
    <w:rsid w:val="005A11B7"/>
    <w:rsid w:val="005A260B"/>
    <w:rsid w:val="005A4A1B"/>
    <w:rsid w:val="005A7830"/>
    <w:rsid w:val="005A7FCE"/>
    <w:rsid w:val="005B0F3F"/>
    <w:rsid w:val="005B1769"/>
    <w:rsid w:val="005B3DE1"/>
    <w:rsid w:val="005B4903"/>
    <w:rsid w:val="005B51CE"/>
    <w:rsid w:val="005B5885"/>
    <w:rsid w:val="005B5CD7"/>
    <w:rsid w:val="005B6CF6"/>
    <w:rsid w:val="005B7422"/>
    <w:rsid w:val="005C29B8"/>
    <w:rsid w:val="005C4F2C"/>
    <w:rsid w:val="005C5F21"/>
    <w:rsid w:val="005C7156"/>
    <w:rsid w:val="005D0C75"/>
    <w:rsid w:val="005D4171"/>
    <w:rsid w:val="005D6A95"/>
    <w:rsid w:val="005D6B2C"/>
    <w:rsid w:val="005D6D9C"/>
    <w:rsid w:val="005E0A37"/>
    <w:rsid w:val="005E2335"/>
    <w:rsid w:val="005E325F"/>
    <w:rsid w:val="005E34CA"/>
    <w:rsid w:val="005E3C18"/>
    <w:rsid w:val="005E6812"/>
    <w:rsid w:val="005E75E8"/>
    <w:rsid w:val="005E7881"/>
    <w:rsid w:val="005E78E0"/>
    <w:rsid w:val="005F0D9C"/>
    <w:rsid w:val="005F284E"/>
    <w:rsid w:val="005F4712"/>
    <w:rsid w:val="005F513C"/>
    <w:rsid w:val="005F7474"/>
    <w:rsid w:val="006015CE"/>
    <w:rsid w:val="00603782"/>
    <w:rsid w:val="00604784"/>
    <w:rsid w:val="00606419"/>
    <w:rsid w:val="00607D29"/>
    <w:rsid w:val="00610626"/>
    <w:rsid w:val="00612952"/>
    <w:rsid w:val="00614CC1"/>
    <w:rsid w:val="00615A9D"/>
    <w:rsid w:val="00617340"/>
    <w:rsid w:val="00617387"/>
    <w:rsid w:val="006205D6"/>
    <w:rsid w:val="006252D8"/>
    <w:rsid w:val="006259BC"/>
    <w:rsid w:val="0062636B"/>
    <w:rsid w:val="00632182"/>
    <w:rsid w:val="00632AE0"/>
    <w:rsid w:val="006334FC"/>
    <w:rsid w:val="00633C17"/>
    <w:rsid w:val="00634D9E"/>
    <w:rsid w:val="00636E3E"/>
    <w:rsid w:val="006379F7"/>
    <w:rsid w:val="00637E4D"/>
    <w:rsid w:val="00640620"/>
    <w:rsid w:val="00641A1F"/>
    <w:rsid w:val="00641D37"/>
    <w:rsid w:val="00642E43"/>
    <w:rsid w:val="006437F8"/>
    <w:rsid w:val="00645904"/>
    <w:rsid w:val="00647E3A"/>
    <w:rsid w:val="00651966"/>
    <w:rsid w:val="00651ACB"/>
    <w:rsid w:val="00651C47"/>
    <w:rsid w:val="00652AB2"/>
    <w:rsid w:val="00653FED"/>
    <w:rsid w:val="00654EC0"/>
    <w:rsid w:val="0065525B"/>
    <w:rsid w:val="00655D4F"/>
    <w:rsid w:val="0065616C"/>
    <w:rsid w:val="00656216"/>
    <w:rsid w:val="00656D29"/>
    <w:rsid w:val="00663DDA"/>
    <w:rsid w:val="006640E5"/>
    <w:rsid w:val="006646F1"/>
    <w:rsid w:val="00664929"/>
    <w:rsid w:val="00664F62"/>
    <w:rsid w:val="006655E1"/>
    <w:rsid w:val="00667A2A"/>
    <w:rsid w:val="00672060"/>
    <w:rsid w:val="00672BFD"/>
    <w:rsid w:val="006770F4"/>
    <w:rsid w:val="00677A84"/>
    <w:rsid w:val="0068026D"/>
    <w:rsid w:val="00680A27"/>
    <w:rsid w:val="006816A4"/>
    <w:rsid w:val="006819B8"/>
    <w:rsid w:val="006840A6"/>
    <w:rsid w:val="006850CD"/>
    <w:rsid w:val="00685AAB"/>
    <w:rsid w:val="00693250"/>
    <w:rsid w:val="00695D22"/>
    <w:rsid w:val="00696170"/>
    <w:rsid w:val="006965A9"/>
    <w:rsid w:val="006A07AA"/>
    <w:rsid w:val="006A146C"/>
    <w:rsid w:val="006A25E5"/>
    <w:rsid w:val="006A2B46"/>
    <w:rsid w:val="006A336D"/>
    <w:rsid w:val="006A37B9"/>
    <w:rsid w:val="006A3D22"/>
    <w:rsid w:val="006B2672"/>
    <w:rsid w:val="006B3527"/>
    <w:rsid w:val="006B54BF"/>
    <w:rsid w:val="006B5F44"/>
    <w:rsid w:val="006B5F90"/>
    <w:rsid w:val="006B62E4"/>
    <w:rsid w:val="006C1BBA"/>
    <w:rsid w:val="006C2079"/>
    <w:rsid w:val="006C5A62"/>
    <w:rsid w:val="006C5D68"/>
    <w:rsid w:val="006C6976"/>
    <w:rsid w:val="006C6A2C"/>
    <w:rsid w:val="006C6DD0"/>
    <w:rsid w:val="006C744E"/>
    <w:rsid w:val="006D04EA"/>
    <w:rsid w:val="006D061E"/>
    <w:rsid w:val="006D0AB7"/>
    <w:rsid w:val="006D16C4"/>
    <w:rsid w:val="006D3456"/>
    <w:rsid w:val="006D3E96"/>
    <w:rsid w:val="006D4515"/>
    <w:rsid w:val="006D4BB1"/>
    <w:rsid w:val="006D4E38"/>
    <w:rsid w:val="006D6593"/>
    <w:rsid w:val="006E23EA"/>
    <w:rsid w:val="006E2892"/>
    <w:rsid w:val="006F03A8"/>
    <w:rsid w:val="006F2ACA"/>
    <w:rsid w:val="006F2ADC"/>
    <w:rsid w:val="006F2BFE"/>
    <w:rsid w:val="006F31E9"/>
    <w:rsid w:val="006F597B"/>
    <w:rsid w:val="006F6284"/>
    <w:rsid w:val="006F6E65"/>
    <w:rsid w:val="007002C5"/>
    <w:rsid w:val="00704387"/>
    <w:rsid w:val="00707669"/>
    <w:rsid w:val="00711CBA"/>
    <w:rsid w:val="00711FB5"/>
    <w:rsid w:val="00712A01"/>
    <w:rsid w:val="00714F58"/>
    <w:rsid w:val="0072122E"/>
    <w:rsid w:val="00722A30"/>
    <w:rsid w:val="00722FBF"/>
    <w:rsid w:val="00722FC2"/>
    <w:rsid w:val="00724879"/>
    <w:rsid w:val="00724E1B"/>
    <w:rsid w:val="00725949"/>
    <w:rsid w:val="00727FA2"/>
    <w:rsid w:val="0073073E"/>
    <w:rsid w:val="007322D9"/>
    <w:rsid w:val="00732BC0"/>
    <w:rsid w:val="00733542"/>
    <w:rsid w:val="007344E0"/>
    <w:rsid w:val="00735AAE"/>
    <w:rsid w:val="0073720F"/>
    <w:rsid w:val="00737796"/>
    <w:rsid w:val="0074165C"/>
    <w:rsid w:val="00742C35"/>
    <w:rsid w:val="007432CA"/>
    <w:rsid w:val="007439EB"/>
    <w:rsid w:val="00743CB4"/>
    <w:rsid w:val="00743F0A"/>
    <w:rsid w:val="007444E8"/>
    <w:rsid w:val="0074548E"/>
    <w:rsid w:val="00745773"/>
    <w:rsid w:val="00746800"/>
    <w:rsid w:val="007501A8"/>
    <w:rsid w:val="007506D5"/>
    <w:rsid w:val="00750D61"/>
    <w:rsid w:val="00750EE1"/>
    <w:rsid w:val="00752B4D"/>
    <w:rsid w:val="00754B16"/>
    <w:rsid w:val="00755402"/>
    <w:rsid w:val="00756B26"/>
    <w:rsid w:val="00756EDF"/>
    <w:rsid w:val="007600E3"/>
    <w:rsid w:val="00765C43"/>
    <w:rsid w:val="00765EFB"/>
    <w:rsid w:val="007661B1"/>
    <w:rsid w:val="007671CA"/>
    <w:rsid w:val="00767C61"/>
    <w:rsid w:val="0077008A"/>
    <w:rsid w:val="00773C1F"/>
    <w:rsid w:val="0077435B"/>
    <w:rsid w:val="0077451E"/>
    <w:rsid w:val="00774DA4"/>
    <w:rsid w:val="00775B3D"/>
    <w:rsid w:val="00776599"/>
    <w:rsid w:val="00777004"/>
    <w:rsid w:val="00777620"/>
    <w:rsid w:val="0078114B"/>
    <w:rsid w:val="00781DD2"/>
    <w:rsid w:val="00783ECF"/>
    <w:rsid w:val="0078413A"/>
    <w:rsid w:val="007904BD"/>
    <w:rsid w:val="00790750"/>
    <w:rsid w:val="00791DC4"/>
    <w:rsid w:val="00793DE2"/>
    <w:rsid w:val="007959E8"/>
    <w:rsid w:val="00795E9C"/>
    <w:rsid w:val="007A0521"/>
    <w:rsid w:val="007A2E12"/>
    <w:rsid w:val="007A3475"/>
    <w:rsid w:val="007A41C8"/>
    <w:rsid w:val="007A54CE"/>
    <w:rsid w:val="007A6FD9"/>
    <w:rsid w:val="007A7FFA"/>
    <w:rsid w:val="007B04EB"/>
    <w:rsid w:val="007B07B4"/>
    <w:rsid w:val="007B0D4F"/>
    <w:rsid w:val="007B5A3D"/>
    <w:rsid w:val="007B5B95"/>
    <w:rsid w:val="007B68EA"/>
    <w:rsid w:val="007B7453"/>
    <w:rsid w:val="007C1E8B"/>
    <w:rsid w:val="007C2D89"/>
    <w:rsid w:val="007C4593"/>
    <w:rsid w:val="007C5309"/>
    <w:rsid w:val="007C6069"/>
    <w:rsid w:val="007C6F06"/>
    <w:rsid w:val="007D06C4"/>
    <w:rsid w:val="007D1352"/>
    <w:rsid w:val="007D2508"/>
    <w:rsid w:val="007D346A"/>
    <w:rsid w:val="007D6518"/>
    <w:rsid w:val="007D6A53"/>
    <w:rsid w:val="007D76BD"/>
    <w:rsid w:val="007E0BF1"/>
    <w:rsid w:val="007F0ED8"/>
    <w:rsid w:val="007F0F63"/>
    <w:rsid w:val="007F3497"/>
    <w:rsid w:val="007F53A8"/>
    <w:rsid w:val="007F67B3"/>
    <w:rsid w:val="007F75CE"/>
    <w:rsid w:val="008013A4"/>
    <w:rsid w:val="008027CE"/>
    <w:rsid w:val="00802F42"/>
    <w:rsid w:val="00803910"/>
    <w:rsid w:val="00804383"/>
    <w:rsid w:val="00804BB7"/>
    <w:rsid w:val="00804D41"/>
    <w:rsid w:val="00810257"/>
    <w:rsid w:val="008104F5"/>
    <w:rsid w:val="00811072"/>
    <w:rsid w:val="00811369"/>
    <w:rsid w:val="00813F5C"/>
    <w:rsid w:val="00815419"/>
    <w:rsid w:val="008163C8"/>
    <w:rsid w:val="008164A1"/>
    <w:rsid w:val="00817325"/>
    <w:rsid w:val="00820222"/>
    <w:rsid w:val="008209E6"/>
    <w:rsid w:val="00823303"/>
    <w:rsid w:val="008233B2"/>
    <w:rsid w:val="00823683"/>
    <w:rsid w:val="00823935"/>
    <w:rsid w:val="00823A9F"/>
    <w:rsid w:val="00823C85"/>
    <w:rsid w:val="0082431F"/>
    <w:rsid w:val="00825138"/>
    <w:rsid w:val="00825593"/>
    <w:rsid w:val="00826133"/>
    <w:rsid w:val="008269DD"/>
    <w:rsid w:val="00830621"/>
    <w:rsid w:val="0083348C"/>
    <w:rsid w:val="008346D9"/>
    <w:rsid w:val="00836418"/>
    <w:rsid w:val="008373D3"/>
    <w:rsid w:val="00837BC7"/>
    <w:rsid w:val="00840617"/>
    <w:rsid w:val="00840F84"/>
    <w:rsid w:val="00842A47"/>
    <w:rsid w:val="00843C13"/>
    <w:rsid w:val="00844B16"/>
    <w:rsid w:val="008454F8"/>
    <w:rsid w:val="0085173A"/>
    <w:rsid w:val="008555ED"/>
    <w:rsid w:val="00855C14"/>
    <w:rsid w:val="00856316"/>
    <w:rsid w:val="008603CE"/>
    <w:rsid w:val="00861ADF"/>
    <w:rsid w:val="008620FC"/>
    <w:rsid w:val="008627A5"/>
    <w:rsid w:val="00863E05"/>
    <w:rsid w:val="00865ACA"/>
    <w:rsid w:val="00865D28"/>
    <w:rsid w:val="00865F85"/>
    <w:rsid w:val="00867C10"/>
    <w:rsid w:val="00870439"/>
    <w:rsid w:val="00870DA1"/>
    <w:rsid w:val="008762FF"/>
    <w:rsid w:val="00877168"/>
    <w:rsid w:val="00880610"/>
    <w:rsid w:val="00883F93"/>
    <w:rsid w:val="00884708"/>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C2A"/>
    <w:rsid w:val="008A57E6"/>
    <w:rsid w:val="008A6F81"/>
    <w:rsid w:val="008A769A"/>
    <w:rsid w:val="008B0C9C"/>
    <w:rsid w:val="008B166D"/>
    <w:rsid w:val="008B17F4"/>
    <w:rsid w:val="008B3615"/>
    <w:rsid w:val="008B4AC4"/>
    <w:rsid w:val="008B50C8"/>
    <w:rsid w:val="008B5281"/>
    <w:rsid w:val="008B7E05"/>
    <w:rsid w:val="008C04AA"/>
    <w:rsid w:val="008C0BC4"/>
    <w:rsid w:val="008C1797"/>
    <w:rsid w:val="008C219C"/>
    <w:rsid w:val="008C4347"/>
    <w:rsid w:val="008C475E"/>
    <w:rsid w:val="008C619A"/>
    <w:rsid w:val="008D0CE8"/>
    <w:rsid w:val="008D2D1D"/>
    <w:rsid w:val="008D453D"/>
    <w:rsid w:val="008D53AD"/>
    <w:rsid w:val="008D562B"/>
    <w:rsid w:val="008D5733"/>
    <w:rsid w:val="008D622B"/>
    <w:rsid w:val="008D666C"/>
    <w:rsid w:val="008D7B54"/>
    <w:rsid w:val="008E0029"/>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0CA"/>
    <w:rsid w:val="00917127"/>
    <w:rsid w:val="009245F5"/>
    <w:rsid w:val="009249EC"/>
    <w:rsid w:val="00925F6E"/>
    <w:rsid w:val="009273B3"/>
    <w:rsid w:val="009305B5"/>
    <w:rsid w:val="00930783"/>
    <w:rsid w:val="00937202"/>
    <w:rsid w:val="009429D5"/>
    <w:rsid w:val="00942BF1"/>
    <w:rsid w:val="00945180"/>
    <w:rsid w:val="00945428"/>
    <w:rsid w:val="0094607B"/>
    <w:rsid w:val="00953604"/>
    <w:rsid w:val="0095496B"/>
    <w:rsid w:val="009551AE"/>
    <w:rsid w:val="009610DC"/>
    <w:rsid w:val="00961490"/>
    <w:rsid w:val="0096381A"/>
    <w:rsid w:val="00965E04"/>
    <w:rsid w:val="009674AD"/>
    <w:rsid w:val="00970CDC"/>
    <w:rsid w:val="00971BB4"/>
    <w:rsid w:val="009733A3"/>
    <w:rsid w:val="00977010"/>
    <w:rsid w:val="00977D02"/>
    <w:rsid w:val="009809BB"/>
    <w:rsid w:val="0098294D"/>
    <w:rsid w:val="0098364B"/>
    <w:rsid w:val="00985F3D"/>
    <w:rsid w:val="009911AF"/>
    <w:rsid w:val="00991875"/>
    <w:rsid w:val="00991F92"/>
    <w:rsid w:val="00992985"/>
    <w:rsid w:val="00993889"/>
    <w:rsid w:val="0099551B"/>
    <w:rsid w:val="00997BF1"/>
    <w:rsid w:val="00997FA2"/>
    <w:rsid w:val="009A089C"/>
    <w:rsid w:val="009A118E"/>
    <w:rsid w:val="009A21CD"/>
    <w:rsid w:val="009A278C"/>
    <w:rsid w:val="009A2BC2"/>
    <w:rsid w:val="009A42C1"/>
    <w:rsid w:val="009A5429"/>
    <w:rsid w:val="009A6456"/>
    <w:rsid w:val="009A72AD"/>
    <w:rsid w:val="009B09E0"/>
    <w:rsid w:val="009B0BC5"/>
    <w:rsid w:val="009B1247"/>
    <w:rsid w:val="009B1FAF"/>
    <w:rsid w:val="009B2D40"/>
    <w:rsid w:val="009B332D"/>
    <w:rsid w:val="009B3EE6"/>
    <w:rsid w:val="009B46F9"/>
    <w:rsid w:val="009B6029"/>
    <w:rsid w:val="009B6971"/>
    <w:rsid w:val="009C27F1"/>
    <w:rsid w:val="009C3152"/>
    <w:rsid w:val="009C4CFA"/>
    <w:rsid w:val="009C5070"/>
    <w:rsid w:val="009C7BCC"/>
    <w:rsid w:val="009D112C"/>
    <w:rsid w:val="009D3BC4"/>
    <w:rsid w:val="009D47FA"/>
    <w:rsid w:val="009D4C5B"/>
    <w:rsid w:val="009D50D2"/>
    <w:rsid w:val="009D6BCA"/>
    <w:rsid w:val="009E0F62"/>
    <w:rsid w:val="009E4A58"/>
    <w:rsid w:val="009E5A2D"/>
    <w:rsid w:val="009E5AB2"/>
    <w:rsid w:val="009E6219"/>
    <w:rsid w:val="009E6EA4"/>
    <w:rsid w:val="009F03B3"/>
    <w:rsid w:val="00A0096C"/>
    <w:rsid w:val="00A01757"/>
    <w:rsid w:val="00A01F99"/>
    <w:rsid w:val="00A028C0"/>
    <w:rsid w:val="00A02BAE"/>
    <w:rsid w:val="00A06A6B"/>
    <w:rsid w:val="00A07E47"/>
    <w:rsid w:val="00A10993"/>
    <w:rsid w:val="00A109BF"/>
    <w:rsid w:val="00A129D0"/>
    <w:rsid w:val="00A12C33"/>
    <w:rsid w:val="00A138BA"/>
    <w:rsid w:val="00A140FC"/>
    <w:rsid w:val="00A14C8E"/>
    <w:rsid w:val="00A153D9"/>
    <w:rsid w:val="00A15F09"/>
    <w:rsid w:val="00A169B6"/>
    <w:rsid w:val="00A201D1"/>
    <w:rsid w:val="00A20CBE"/>
    <w:rsid w:val="00A2271D"/>
    <w:rsid w:val="00A237D5"/>
    <w:rsid w:val="00A24428"/>
    <w:rsid w:val="00A30EFC"/>
    <w:rsid w:val="00A31984"/>
    <w:rsid w:val="00A32D73"/>
    <w:rsid w:val="00A3367B"/>
    <w:rsid w:val="00A357D0"/>
    <w:rsid w:val="00A3597D"/>
    <w:rsid w:val="00A36DD1"/>
    <w:rsid w:val="00A4006C"/>
    <w:rsid w:val="00A40091"/>
    <w:rsid w:val="00A4030F"/>
    <w:rsid w:val="00A41C79"/>
    <w:rsid w:val="00A41CB5"/>
    <w:rsid w:val="00A42CDF"/>
    <w:rsid w:val="00A4452E"/>
    <w:rsid w:val="00A4472C"/>
    <w:rsid w:val="00A44E69"/>
    <w:rsid w:val="00A45C25"/>
    <w:rsid w:val="00A4661E"/>
    <w:rsid w:val="00A510A1"/>
    <w:rsid w:val="00A53437"/>
    <w:rsid w:val="00A53506"/>
    <w:rsid w:val="00A55BD6"/>
    <w:rsid w:val="00A55D50"/>
    <w:rsid w:val="00A57142"/>
    <w:rsid w:val="00A616CA"/>
    <w:rsid w:val="00A648CD"/>
    <w:rsid w:val="00A6537A"/>
    <w:rsid w:val="00A66C41"/>
    <w:rsid w:val="00A67866"/>
    <w:rsid w:val="00A70B07"/>
    <w:rsid w:val="00A723F8"/>
    <w:rsid w:val="00A77CCB"/>
    <w:rsid w:val="00A83D8D"/>
    <w:rsid w:val="00A8446B"/>
    <w:rsid w:val="00A8473F"/>
    <w:rsid w:val="00A862D6"/>
    <w:rsid w:val="00A8715E"/>
    <w:rsid w:val="00A9249C"/>
    <w:rsid w:val="00A9295B"/>
    <w:rsid w:val="00A938FD"/>
    <w:rsid w:val="00A93B09"/>
    <w:rsid w:val="00A94247"/>
    <w:rsid w:val="00A952D7"/>
    <w:rsid w:val="00A963F7"/>
    <w:rsid w:val="00A96AD8"/>
    <w:rsid w:val="00AA052C"/>
    <w:rsid w:val="00AA1E45"/>
    <w:rsid w:val="00AA4286"/>
    <w:rsid w:val="00AA456B"/>
    <w:rsid w:val="00AA57F5"/>
    <w:rsid w:val="00AA672E"/>
    <w:rsid w:val="00AA6EC9"/>
    <w:rsid w:val="00AB118C"/>
    <w:rsid w:val="00AB41D5"/>
    <w:rsid w:val="00AB5F8F"/>
    <w:rsid w:val="00AB6309"/>
    <w:rsid w:val="00AB6C5F"/>
    <w:rsid w:val="00AB7129"/>
    <w:rsid w:val="00AC0D27"/>
    <w:rsid w:val="00AC27A6"/>
    <w:rsid w:val="00AC30F7"/>
    <w:rsid w:val="00AC3A5A"/>
    <w:rsid w:val="00AC4909"/>
    <w:rsid w:val="00AC4D95"/>
    <w:rsid w:val="00AC5DF4"/>
    <w:rsid w:val="00AD0AEF"/>
    <w:rsid w:val="00AD11B7"/>
    <w:rsid w:val="00AD1A94"/>
    <w:rsid w:val="00AD1C05"/>
    <w:rsid w:val="00AD4126"/>
    <w:rsid w:val="00AD421C"/>
    <w:rsid w:val="00AD4228"/>
    <w:rsid w:val="00AD44FA"/>
    <w:rsid w:val="00AD7637"/>
    <w:rsid w:val="00AE070A"/>
    <w:rsid w:val="00AE101C"/>
    <w:rsid w:val="00AE37E5"/>
    <w:rsid w:val="00AE5EB4"/>
    <w:rsid w:val="00AF0C18"/>
    <w:rsid w:val="00AF47C5"/>
    <w:rsid w:val="00AF5398"/>
    <w:rsid w:val="00B02642"/>
    <w:rsid w:val="00B049AF"/>
    <w:rsid w:val="00B07242"/>
    <w:rsid w:val="00B10534"/>
    <w:rsid w:val="00B113DB"/>
    <w:rsid w:val="00B11D8A"/>
    <w:rsid w:val="00B12981"/>
    <w:rsid w:val="00B13383"/>
    <w:rsid w:val="00B147DD"/>
    <w:rsid w:val="00B156FD"/>
    <w:rsid w:val="00B16BD8"/>
    <w:rsid w:val="00B21F61"/>
    <w:rsid w:val="00B261F1"/>
    <w:rsid w:val="00B265BC"/>
    <w:rsid w:val="00B31FB1"/>
    <w:rsid w:val="00B33952"/>
    <w:rsid w:val="00B33C5E"/>
    <w:rsid w:val="00B342F4"/>
    <w:rsid w:val="00B34369"/>
    <w:rsid w:val="00B34900"/>
    <w:rsid w:val="00B34DC2"/>
    <w:rsid w:val="00B359A6"/>
    <w:rsid w:val="00B378E5"/>
    <w:rsid w:val="00B4212F"/>
    <w:rsid w:val="00B4346D"/>
    <w:rsid w:val="00B440F4"/>
    <w:rsid w:val="00B447A5"/>
    <w:rsid w:val="00B4654C"/>
    <w:rsid w:val="00B46AF0"/>
    <w:rsid w:val="00B47293"/>
    <w:rsid w:val="00B50E50"/>
    <w:rsid w:val="00B52120"/>
    <w:rsid w:val="00B54ABC"/>
    <w:rsid w:val="00B54DDE"/>
    <w:rsid w:val="00B56A01"/>
    <w:rsid w:val="00B56FBE"/>
    <w:rsid w:val="00B60ACF"/>
    <w:rsid w:val="00B62B58"/>
    <w:rsid w:val="00B65149"/>
    <w:rsid w:val="00B66567"/>
    <w:rsid w:val="00B66F52"/>
    <w:rsid w:val="00B66FE5"/>
    <w:rsid w:val="00B72880"/>
    <w:rsid w:val="00B737BE"/>
    <w:rsid w:val="00B758BF"/>
    <w:rsid w:val="00B77EC8"/>
    <w:rsid w:val="00B805EE"/>
    <w:rsid w:val="00B82155"/>
    <w:rsid w:val="00B827A6"/>
    <w:rsid w:val="00B831CE"/>
    <w:rsid w:val="00B832B2"/>
    <w:rsid w:val="00B83E12"/>
    <w:rsid w:val="00B86677"/>
    <w:rsid w:val="00B87131"/>
    <w:rsid w:val="00B939B1"/>
    <w:rsid w:val="00B95367"/>
    <w:rsid w:val="00B96D40"/>
    <w:rsid w:val="00B97386"/>
    <w:rsid w:val="00BA000D"/>
    <w:rsid w:val="00BA263B"/>
    <w:rsid w:val="00BA42B2"/>
    <w:rsid w:val="00BA58D4"/>
    <w:rsid w:val="00BA5B9E"/>
    <w:rsid w:val="00BA7C9A"/>
    <w:rsid w:val="00BA7E8A"/>
    <w:rsid w:val="00BB203B"/>
    <w:rsid w:val="00BB5F8F"/>
    <w:rsid w:val="00BB657A"/>
    <w:rsid w:val="00BB6ABE"/>
    <w:rsid w:val="00BC1A4E"/>
    <w:rsid w:val="00BC2A63"/>
    <w:rsid w:val="00BC4790"/>
    <w:rsid w:val="00BC4EF4"/>
    <w:rsid w:val="00BC584B"/>
    <w:rsid w:val="00BC5DC7"/>
    <w:rsid w:val="00BC6B8B"/>
    <w:rsid w:val="00BC73D8"/>
    <w:rsid w:val="00BD2251"/>
    <w:rsid w:val="00BD276D"/>
    <w:rsid w:val="00BD52D7"/>
    <w:rsid w:val="00BD5AD2"/>
    <w:rsid w:val="00BD6425"/>
    <w:rsid w:val="00BE22F3"/>
    <w:rsid w:val="00BE5B52"/>
    <w:rsid w:val="00BE7B8D"/>
    <w:rsid w:val="00BF0993"/>
    <w:rsid w:val="00BF10A9"/>
    <w:rsid w:val="00BF1703"/>
    <w:rsid w:val="00BF231C"/>
    <w:rsid w:val="00BF51E5"/>
    <w:rsid w:val="00BF74A6"/>
    <w:rsid w:val="00C013AD"/>
    <w:rsid w:val="00C01B3B"/>
    <w:rsid w:val="00C04279"/>
    <w:rsid w:val="00C04904"/>
    <w:rsid w:val="00C056B3"/>
    <w:rsid w:val="00C072B2"/>
    <w:rsid w:val="00C103E5"/>
    <w:rsid w:val="00C10AAE"/>
    <w:rsid w:val="00C123B8"/>
    <w:rsid w:val="00C13319"/>
    <w:rsid w:val="00C13EE9"/>
    <w:rsid w:val="00C21540"/>
    <w:rsid w:val="00C21906"/>
    <w:rsid w:val="00C21BFA"/>
    <w:rsid w:val="00C22148"/>
    <w:rsid w:val="00C23B2E"/>
    <w:rsid w:val="00C24053"/>
    <w:rsid w:val="00C24C8D"/>
    <w:rsid w:val="00C25DE4"/>
    <w:rsid w:val="00C25FE2"/>
    <w:rsid w:val="00C26B53"/>
    <w:rsid w:val="00C279B2"/>
    <w:rsid w:val="00C30F3E"/>
    <w:rsid w:val="00C31931"/>
    <w:rsid w:val="00C33E50"/>
    <w:rsid w:val="00C34C20"/>
    <w:rsid w:val="00C35A3E"/>
    <w:rsid w:val="00C37EB6"/>
    <w:rsid w:val="00C42130"/>
    <w:rsid w:val="00C423A4"/>
    <w:rsid w:val="00C42BDC"/>
    <w:rsid w:val="00C44BF5"/>
    <w:rsid w:val="00C521D6"/>
    <w:rsid w:val="00C532E6"/>
    <w:rsid w:val="00C545A6"/>
    <w:rsid w:val="00C55232"/>
    <w:rsid w:val="00C553A4"/>
    <w:rsid w:val="00C55A06"/>
    <w:rsid w:val="00C55D03"/>
    <w:rsid w:val="00C5618F"/>
    <w:rsid w:val="00C601BC"/>
    <w:rsid w:val="00C61312"/>
    <w:rsid w:val="00C6329F"/>
    <w:rsid w:val="00C63340"/>
    <w:rsid w:val="00C643F9"/>
    <w:rsid w:val="00C64E95"/>
    <w:rsid w:val="00C67405"/>
    <w:rsid w:val="00C71372"/>
    <w:rsid w:val="00C72410"/>
    <w:rsid w:val="00C7287F"/>
    <w:rsid w:val="00C732D2"/>
    <w:rsid w:val="00C755D2"/>
    <w:rsid w:val="00C76369"/>
    <w:rsid w:val="00C80982"/>
    <w:rsid w:val="00C80CB8"/>
    <w:rsid w:val="00C81716"/>
    <w:rsid w:val="00C819F8"/>
    <w:rsid w:val="00C8248C"/>
    <w:rsid w:val="00C84E33"/>
    <w:rsid w:val="00C86D6F"/>
    <w:rsid w:val="00C905FC"/>
    <w:rsid w:val="00C92D03"/>
    <w:rsid w:val="00C9319C"/>
    <w:rsid w:val="00C9435D"/>
    <w:rsid w:val="00C94DF2"/>
    <w:rsid w:val="00C957EF"/>
    <w:rsid w:val="00C96741"/>
    <w:rsid w:val="00CA1F24"/>
    <w:rsid w:val="00CA2889"/>
    <w:rsid w:val="00CA2D1B"/>
    <w:rsid w:val="00CA322F"/>
    <w:rsid w:val="00CA375D"/>
    <w:rsid w:val="00CA662A"/>
    <w:rsid w:val="00CA7AFD"/>
    <w:rsid w:val="00CA7C3C"/>
    <w:rsid w:val="00CB0189"/>
    <w:rsid w:val="00CB0BA2"/>
    <w:rsid w:val="00CB1578"/>
    <w:rsid w:val="00CB1A42"/>
    <w:rsid w:val="00CB1B0C"/>
    <w:rsid w:val="00CB2C0B"/>
    <w:rsid w:val="00CB4018"/>
    <w:rsid w:val="00CB517D"/>
    <w:rsid w:val="00CB7211"/>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933"/>
    <w:rsid w:val="00CE0C4F"/>
    <w:rsid w:val="00CE30EA"/>
    <w:rsid w:val="00CE4ACE"/>
    <w:rsid w:val="00CF048A"/>
    <w:rsid w:val="00CF155A"/>
    <w:rsid w:val="00CF2947"/>
    <w:rsid w:val="00CF686F"/>
    <w:rsid w:val="00CF6B68"/>
    <w:rsid w:val="00CF6E60"/>
    <w:rsid w:val="00CF7BCA"/>
    <w:rsid w:val="00D008FD"/>
    <w:rsid w:val="00D01278"/>
    <w:rsid w:val="00D0321C"/>
    <w:rsid w:val="00D033FE"/>
    <w:rsid w:val="00D035EC"/>
    <w:rsid w:val="00D03FB0"/>
    <w:rsid w:val="00D04CC8"/>
    <w:rsid w:val="00D06AB1"/>
    <w:rsid w:val="00D072ED"/>
    <w:rsid w:val="00D07A16"/>
    <w:rsid w:val="00D07BE3"/>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0B71"/>
    <w:rsid w:val="00D4162B"/>
    <w:rsid w:val="00D4514F"/>
    <w:rsid w:val="00D451E2"/>
    <w:rsid w:val="00D45E89"/>
    <w:rsid w:val="00D45E8D"/>
    <w:rsid w:val="00D466AE"/>
    <w:rsid w:val="00D4734F"/>
    <w:rsid w:val="00D51BF3"/>
    <w:rsid w:val="00D5688F"/>
    <w:rsid w:val="00D60E60"/>
    <w:rsid w:val="00D66846"/>
    <w:rsid w:val="00D66C28"/>
    <w:rsid w:val="00D675FB"/>
    <w:rsid w:val="00D71F25"/>
    <w:rsid w:val="00D72A9C"/>
    <w:rsid w:val="00D77031"/>
    <w:rsid w:val="00D8098D"/>
    <w:rsid w:val="00D84941"/>
    <w:rsid w:val="00D84FA1"/>
    <w:rsid w:val="00D851F0"/>
    <w:rsid w:val="00D86DB7"/>
    <w:rsid w:val="00D926D0"/>
    <w:rsid w:val="00D927A9"/>
    <w:rsid w:val="00D93030"/>
    <w:rsid w:val="00D950E1"/>
    <w:rsid w:val="00D952A6"/>
    <w:rsid w:val="00D97F99"/>
    <w:rsid w:val="00DA00C1"/>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19CB"/>
    <w:rsid w:val="00DC3067"/>
    <w:rsid w:val="00DC370B"/>
    <w:rsid w:val="00DC5B90"/>
    <w:rsid w:val="00DD00FF"/>
    <w:rsid w:val="00DD0619"/>
    <w:rsid w:val="00DD07FB"/>
    <w:rsid w:val="00DD25C6"/>
    <w:rsid w:val="00DD4FE5"/>
    <w:rsid w:val="00DD54B0"/>
    <w:rsid w:val="00DD57EE"/>
    <w:rsid w:val="00DD5A4B"/>
    <w:rsid w:val="00DD6BCC"/>
    <w:rsid w:val="00DE0A4B"/>
    <w:rsid w:val="00DE2410"/>
    <w:rsid w:val="00DE2939"/>
    <w:rsid w:val="00DE6E81"/>
    <w:rsid w:val="00DE703F"/>
    <w:rsid w:val="00DE7595"/>
    <w:rsid w:val="00DF1961"/>
    <w:rsid w:val="00DF44DE"/>
    <w:rsid w:val="00DF523A"/>
    <w:rsid w:val="00DF5F11"/>
    <w:rsid w:val="00E01138"/>
    <w:rsid w:val="00E01225"/>
    <w:rsid w:val="00E02DFB"/>
    <w:rsid w:val="00E030F9"/>
    <w:rsid w:val="00E0311A"/>
    <w:rsid w:val="00E03138"/>
    <w:rsid w:val="00E06404"/>
    <w:rsid w:val="00E065D2"/>
    <w:rsid w:val="00E06C80"/>
    <w:rsid w:val="00E06D71"/>
    <w:rsid w:val="00E11A85"/>
    <w:rsid w:val="00E12495"/>
    <w:rsid w:val="00E15CCD"/>
    <w:rsid w:val="00E202EF"/>
    <w:rsid w:val="00E210B5"/>
    <w:rsid w:val="00E21129"/>
    <w:rsid w:val="00E23D99"/>
    <w:rsid w:val="00E2552F"/>
    <w:rsid w:val="00E3137A"/>
    <w:rsid w:val="00E32CCF"/>
    <w:rsid w:val="00E34A98"/>
    <w:rsid w:val="00E35D1E"/>
    <w:rsid w:val="00E364F9"/>
    <w:rsid w:val="00E365FA"/>
    <w:rsid w:val="00E36789"/>
    <w:rsid w:val="00E36858"/>
    <w:rsid w:val="00E36B57"/>
    <w:rsid w:val="00E44A83"/>
    <w:rsid w:val="00E4504F"/>
    <w:rsid w:val="00E502C1"/>
    <w:rsid w:val="00E502DD"/>
    <w:rsid w:val="00E503E4"/>
    <w:rsid w:val="00E50D3A"/>
    <w:rsid w:val="00E51387"/>
    <w:rsid w:val="00E51E68"/>
    <w:rsid w:val="00E528DF"/>
    <w:rsid w:val="00E52EFD"/>
    <w:rsid w:val="00E53F1B"/>
    <w:rsid w:val="00E5408A"/>
    <w:rsid w:val="00E54BCD"/>
    <w:rsid w:val="00E56800"/>
    <w:rsid w:val="00E60770"/>
    <w:rsid w:val="00E60C63"/>
    <w:rsid w:val="00E61231"/>
    <w:rsid w:val="00E62FF9"/>
    <w:rsid w:val="00E635D6"/>
    <w:rsid w:val="00E639BC"/>
    <w:rsid w:val="00E63BB8"/>
    <w:rsid w:val="00E64958"/>
    <w:rsid w:val="00E664CC"/>
    <w:rsid w:val="00E70388"/>
    <w:rsid w:val="00E70F92"/>
    <w:rsid w:val="00E71419"/>
    <w:rsid w:val="00E71A7B"/>
    <w:rsid w:val="00E74C54"/>
    <w:rsid w:val="00E76E17"/>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361"/>
    <w:rsid w:val="00E969D5"/>
    <w:rsid w:val="00EA50F4"/>
    <w:rsid w:val="00EA58D1"/>
    <w:rsid w:val="00EA61BC"/>
    <w:rsid w:val="00EA681A"/>
    <w:rsid w:val="00EA735B"/>
    <w:rsid w:val="00EB17DE"/>
    <w:rsid w:val="00EB1E69"/>
    <w:rsid w:val="00EB2086"/>
    <w:rsid w:val="00EB3D54"/>
    <w:rsid w:val="00EB4FA5"/>
    <w:rsid w:val="00EB5524"/>
    <w:rsid w:val="00EB5EDF"/>
    <w:rsid w:val="00EB60FE"/>
    <w:rsid w:val="00EB74DB"/>
    <w:rsid w:val="00EC5359"/>
    <w:rsid w:val="00EC562A"/>
    <w:rsid w:val="00EC74FA"/>
    <w:rsid w:val="00ED067A"/>
    <w:rsid w:val="00ED2B50"/>
    <w:rsid w:val="00EE0350"/>
    <w:rsid w:val="00EE0719"/>
    <w:rsid w:val="00EE0E80"/>
    <w:rsid w:val="00EE321F"/>
    <w:rsid w:val="00EE54A6"/>
    <w:rsid w:val="00EE613F"/>
    <w:rsid w:val="00EE66FD"/>
    <w:rsid w:val="00EE7295"/>
    <w:rsid w:val="00EE7869"/>
    <w:rsid w:val="00EF054A"/>
    <w:rsid w:val="00EF14ED"/>
    <w:rsid w:val="00EF3235"/>
    <w:rsid w:val="00EF7E72"/>
    <w:rsid w:val="00F036C9"/>
    <w:rsid w:val="00F06D37"/>
    <w:rsid w:val="00F07B9D"/>
    <w:rsid w:val="00F11586"/>
    <w:rsid w:val="00F1183B"/>
    <w:rsid w:val="00F11C9F"/>
    <w:rsid w:val="00F12263"/>
    <w:rsid w:val="00F1409D"/>
    <w:rsid w:val="00F14214"/>
    <w:rsid w:val="00F157A9"/>
    <w:rsid w:val="00F20EE8"/>
    <w:rsid w:val="00F213E2"/>
    <w:rsid w:val="00F22486"/>
    <w:rsid w:val="00F25BB6"/>
    <w:rsid w:val="00F26B7E"/>
    <w:rsid w:val="00F27A3B"/>
    <w:rsid w:val="00F33817"/>
    <w:rsid w:val="00F33FDA"/>
    <w:rsid w:val="00F420D5"/>
    <w:rsid w:val="00F44545"/>
    <w:rsid w:val="00F448EA"/>
    <w:rsid w:val="00F451EA"/>
    <w:rsid w:val="00F45447"/>
    <w:rsid w:val="00F456C6"/>
    <w:rsid w:val="00F4577B"/>
    <w:rsid w:val="00F46496"/>
    <w:rsid w:val="00F474D0"/>
    <w:rsid w:val="00F50179"/>
    <w:rsid w:val="00F515EE"/>
    <w:rsid w:val="00F54BBE"/>
    <w:rsid w:val="00F55BEE"/>
    <w:rsid w:val="00F56511"/>
    <w:rsid w:val="00F6194E"/>
    <w:rsid w:val="00F623AC"/>
    <w:rsid w:val="00F6412A"/>
    <w:rsid w:val="00F65893"/>
    <w:rsid w:val="00F66A4A"/>
    <w:rsid w:val="00F71E22"/>
    <w:rsid w:val="00F72142"/>
    <w:rsid w:val="00F724B0"/>
    <w:rsid w:val="00F72AE7"/>
    <w:rsid w:val="00F81141"/>
    <w:rsid w:val="00F82CE7"/>
    <w:rsid w:val="00F833BA"/>
    <w:rsid w:val="00F84FD0"/>
    <w:rsid w:val="00F85161"/>
    <w:rsid w:val="00F859A8"/>
    <w:rsid w:val="00F86D87"/>
    <w:rsid w:val="00F90BC7"/>
    <w:rsid w:val="00F9108B"/>
    <w:rsid w:val="00F91349"/>
    <w:rsid w:val="00F93A8A"/>
    <w:rsid w:val="00F95248"/>
    <w:rsid w:val="00F956A9"/>
    <w:rsid w:val="00F963ED"/>
    <w:rsid w:val="00F966CF"/>
    <w:rsid w:val="00F96CAE"/>
    <w:rsid w:val="00F97C99"/>
    <w:rsid w:val="00FA2A64"/>
    <w:rsid w:val="00FA2DE7"/>
    <w:rsid w:val="00FA4DAC"/>
    <w:rsid w:val="00FA662D"/>
    <w:rsid w:val="00FA66EF"/>
    <w:rsid w:val="00FA73B1"/>
    <w:rsid w:val="00FB0CB9"/>
    <w:rsid w:val="00FB231D"/>
    <w:rsid w:val="00FB45F1"/>
    <w:rsid w:val="00FB4A72"/>
    <w:rsid w:val="00FB54E8"/>
    <w:rsid w:val="00FB7054"/>
    <w:rsid w:val="00FC17B7"/>
    <w:rsid w:val="00FC2CB7"/>
    <w:rsid w:val="00FC4090"/>
    <w:rsid w:val="00FC4701"/>
    <w:rsid w:val="00FC55B4"/>
    <w:rsid w:val="00FC7884"/>
    <w:rsid w:val="00FD00E6"/>
    <w:rsid w:val="00FD09A1"/>
    <w:rsid w:val="00FD2A7C"/>
    <w:rsid w:val="00FD2DD3"/>
    <w:rsid w:val="00FD59EB"/>
    <w:rsid w:val="00FD7230"/>
    <w:rsid w:val="00FD7299"/>
    <w:rsid w:val="00FD76B8"/>
    <w:rsid w:val="00FE1FBE"/>
    <w:rsid w:val="00FE3901"/>
    <w:rsid w:val="00FE39D3"/>
    <w:rsid w:val="00FE4BCE"/>
    <w:rsid w:val="00FE54AE"/>
    <w:rsid w:val="00FE576A"/>
    <w:rsid w:val="00FE7E79"/>
    <w:rsid w:val="00FF00EC"/>
    <w:rsid w:val="00FF3E7D"/>
    <w:rsid w:val="00FF5B99"/>
    <w:rsid w:val="00FF730C"/>
    <w:rsid w:val="00FF73F4"/>
    <w:rsid w:val="00FF7CE4"/>
    <w:rsid w:val="00FF7E39"/>
    <w:rsid w:val="012A0989"/>
    <w:rsid w:val="015F6505"/>
    <w:rsid w:val="0160084E"/>
    <w:rsid w:val="01710365"/>
    <w:rsid w:val="01772767"/>
    <w:rsid w:val="017936BE"/>
    <w:rsid w:val="018E79D1"/>
    <w:rsid w:val="01934780"/>
    <w:rsid w:val="019B3634"/>
    <w:rsid w:val="01C55153"/>
    <w:rsid w:val="01CD7566"/>
    <w:rsid w:val="01DE1773"/>
    <w:rsid w:val="01E7687A"/>
    <w:rsid w:val="01EC20E2"/>
    <w:rsid w:val="01F46967"/>
    <w:rsid w:val="02054F52"/>
    <w:rsid w:val="02070CCA"/>
    <w:rsid w:val="023575E5"/>
    <w:rsid w:val="02716597"/>
    <w:rsid w:val="02832A46"/>
    <w:rsid w:val="02B250DA"/>
    <w:rsid w:val="02C95F7F"/>
    <w:rsid w:val="02D45050"/>
    <w:rsid w:val="0301797B"/>
    <w:rsid w:val="03125B78"/>
    <w:rsid w:val="031511C4"/>
    <w:rsid w:val="03321D76"/>
    <w:rsid w:val="033B4E87"/>
    <w:rsid w:val="035F5F6F"/>
    <w:rsid w:val="035F6841"/>
    <w:rsid w:val="03722A70"/>
    <w:rsid w:val="037E320E"/>
    <w:rsid w:val="03921482"/>
    <w:rsid w:val="03AD2345"/>
    <w:rsid w:val="03BD55AE"/>
    <w:rsid w:val="03EC41F8"/>
    <w:rsid w:val="03F76C40"/>
    <w:rsid w:val="03FB03BA"/>
    <w:rsid w:val="040A5B58"/>
    <w:rsid w:val="044D5115"/>
    <w:rsid w:val="045301F6"/>
    <w:rsid w:val="045460DD"/>
    <w:rsid w:val="046E6DDE"/>
    <w:rsid w:val="04700DA8"/>
    <w:rsid w:val="047C774D"/>
    <w:rsid w:val="04804004"/>
    <w:rsid w:val="048B53CF"/>
    <w:rsid w:val="04943C55"/>
    <w:rsid w:val="04B365B3"/>
    <w:rsid w:val="04B52192"/>
    <w:rsid w:val="04D56E5D"/>
    <w:rsid w:val="04E43544"/>
    <w:rsid w:val="04E90B5B"/>
    <w:rsid w:val="04EC7770"/>
    <w:rsid w:val="051200B1"/>
    <w:rsid w:val="051C2CDE"/>
    <w:rsid w:val="052C3CB3"/>
    <w:rsid w:val="05850883"/>
    <w:rsid w:val="058C5C1E"/>
    <w:rsid w:val="05900FD6"/>
    <w:rsid w:val="05BB42A5"/>
    <w:rsid w:val="05F60C64"/>
    <w:rsid w:val="05F70162"/>
    <w:rsid w:val="0616772D"/>
    <w:rsid w:val="061816F7"/>
    <w:rsid w:val="0619721E"/>
    <w:rsid w:val="062D59BA"/>
    <w:rsid w:val="06540256"/>
    <w:rsid w:val="068A3C77"/>
    <w:rsid w:val="06936FD0"/>
    <w:rsid w:val="069845E6"/>
    <w:rsid w:val="06986394"/>
    <w:rsid w:val="069F7723"/>
    <w:rsid w:val="06C673A5"/>
    <w:rsid w:val="06C947A0"/>
    <w:rsid w:val="06E5279E"/>
    <w:rsid w:val="06EA4807"/>
    <w:rsid w:val="06F23CF7"/>
    <w:rsid w:val="06FE62F0"/>
    <w:rsid w:val="070752C8"/>
    <w:rsid w:val="073562D9"/>
    <w:rsid w:val="073C7668"/>
    <w:rsid w:val="073F0F05"/>
    <w:rsid w:val="0749768F"/>
    <w:rsid w:val="0757624F"/>
    <w:rsid w:val="0760270E"/>
    <w:rsid w:val="07621BE9"/>
    <w:rsid w:val="076F5347"/>
    <w:rsid w:val="07754928"/>
    <w:rsid w:val="077A3A23"/>
    <w:rsid w:val="077C5CB6"/>
    <w:rsid w:val="07B23486"/>
    <w:rsid w:val="07B76CEE"/>
    <w:rsid w:val="07BC60B3"/>
    <w:rsid w:val="07C531B9"/>
    <w:rsid w:val="07CF4038"/>
    <w:rsid w:val="080C0DE8"/>
    <w:rsid w:val="083A0C27"/>
    <w:rsid w:val="083D3697"/>
    <w:rsid w:val="08471E20"/>
    <w:rsid w:val="084D22D8"/>
    <w:rsid w:val="08607386"/>
    <w:rsid w:val="08680716"/>
    <w:rsid w:val="086B68EA"/>
    <w:rsid w:val="086F75C9"/>
    <w:rsid w:val="08716E9D"/>
    <w:rsid w:val="087B4E0A"/>
    <w:rsid w:val="08852948"/>
    <w:rsid w:val="0898267C"/>
    <w:rsid w:val="08A234FA"/>
    <w:rsid w:val="08A94889"/>
    <w:rsid w:val="08AE6343"/>
    <w:rsid w:val="08C2594B"/>
    <w:rsid w:val="0902043D"/>
    <w:rsid w:val="09044BB3"/>
    <w:rsid w:val="0916248A"/>
    <w:rsid w:val="09222872"/>
    <w:rsid w:val="092C7268"/>
    <w:rsid w:val="09344FF2"/>
    <w:rsid w:val="09740225"/>
    <w:rsid w:val="098470A4"/>
    <w:rsid w:val="09955B7E"/>
    <w:rsid w:val="09AA68E3"/>
    <w:rsid w:val="09F14739"/>
    <w:rsid w:val="0A0A1357"/>
    <w:rsid w:val="0A1B5312"/>
    <w:rsid w:val="0A1E12A6"/>
    <w:rsid w:val="0A2E773B"/>
    <w:rsid w:val="0A326B00"/>
    <w:rsid w:val="0A3E36F7"/>
    <w:rsid w:val="0A40746F"/>
    <w:rsid w:val="0A481E7F"/>
    <w:rsid w:val="0A5C592B"/>
    <w:rsid w:val="0A9926DB"/>
    <w:rsid w:val="0AA736C5"/>
    <w:rsid w:val="0AB87005"/>
    <w:rsid w:val="0AE41BA8"/>
    <w:rsid w:val="0AF53DB5"/>
    <w:rsid w:val="0AF73FD1"/>
    <w:rsid w:val="0B27418B"/>
    <w:rsid w:val="0B311DF8"/>
    <w:rsid w:val="0B386398"/>
    <w:rsid w:val="0B536D2E"/>
    <w:rsid w:val="0B6C4A4A"/>
    <w:rsid w:val="0B7D37BB"/>
    <w:rsid w:val="0B7F720E"/>
    <w:rsid w:val="0B957346"/>
    <w:rsid w:val="0B9661A0"/>
    <w:rsid w:val="0B971310"/>
    <w:rsid w:val="0B9B12A1"/>
    <w:rsid w:val="0B9D61FB"/>
    <w:rsid w:val="0BA53A2D"/>
    <w:rsid w:val="0BA63302"/>
    <w:rsid w:val="0BB27EF8"/>
    <w:rsid w:val="0BD065D0"/>
    <w:rsid w:val="0BD928B6"/>
    <w:rsid w:val="0BEF2EFA"/>
    <w:rsid w:val="0BFC1173"/>
    <w:rsid w:val="0C1B3CF0"/>
    <w:rsid w:val="0C216E2C"/>
    <w:rsid w:val="0C2A3F33"/>
    <w:rsid w:val="0C2A5CE1"/>
    <w:rsid w:val="0C3C3C66"/>
    <w:rsid w:val="0C474AE5"/>
    <w:rsid w:val="0C53404C"/>
    <w:rsid w:val="0C566AD6"/>
    <w:rsid w:val="0C57284E"/>
    <w:rsid w:val="0C5E3BDC"/>
    <w:rsid w:val="0C5F186B"/>
    <w:rsid w:val="0C8A49D1"/>
    <w:rsid w:val="0C9D2956"/>
    <w:rsid w:val="0CA75583"/>
    <w:rsid w:val="0CBE59B6"/>
    <w:rsid w:val="0CD12600"/>
    <w:rsid w:val="0CDD0FA5"/>
    <w:rsid w:val="0CF02D38"/>
    <w:rsid w:val="0D0227BA"/>
    <w:rsid w:val="0D0C188A"/>
    <w:rsid w:val="0D2003C0"/>
    <w:rsid w:val="0D224C0A"/>
    <w:rsid w:val="0D2C7836"/>
    <w:rsid w:val="0D31309F"/>
    <w:rsid w:val="0D3610A3"/>
    <w:rsid w:val="0D4252AC"/>
    <w:rsid w:val="0D4479D1"/>
    <w:rsid w:val="0D593D9F"/>
    <w:rsid w:val="0D5D5C42"/>
    <w:rsid w:val="0D6B035F"/>
    <w:rsid w:val="0D6B4803"/>
    <w:rsid w:val="0D817B82"/>
    <w:rsid w:val="0D8938DC"/>
    <w:rsid w:val="0D9755F8"/>
    <w:rsid w:val="0DBA3094"/>
    <w:rsid w:val="0DE075E2"/>
    <w:rsid w:val="0DE446CB"/>
    <w:rsid w:val="0DF04D08"/>
    <w:rsid w:val="0E0D7668"/>
    <w:rsid w:val="0E547045"/>
    <w:rsid w:val="0E5928AD"/>
    <w:rsid w:val="0E8325FF"/>
    <w:rsid w:val="0E83792A"/>
    <w:rsid w:val="0E8611C8"/>
    <w:rsid w:val="0EAF071F"/>
    <w:rsid w:val="0EC87A33"/>
    <w:rsid w:val="0EE3661B"/>
    <w:rsid w:val="0EEA79A9"/>
    <w:rsid w:val="0EFD76DC"/>
    <w:rsid w:val="0F0C791F"/>
    <w:rsid w:val="0F713C26"/>
    <w:rsid w:val="0F73174D"/>
    <w:rsid w:val="0F735BF1"/>
    <w:rsid w:val="0F7554C5"/>
    <w:rsid w:val="0F824086"/>
    <w:rsid w:val="0F87169C"/>
    <w:rsid w:val="0FAB538A"/>
    <w:rsid w:val="0FB0474F"/>
    <w:rsid w:val="0FB56209"/>
    <w:rsid w:val="0FB5655F"/>
    <w:rsid w:val="0FBC30F4"/>
    <w:rsid w:val="0FE73EE9"/>
    <w:rsid w:val="10190AC7"/>
    <w:rsid w:val="101E5B5C"/>
    <w:rsid w:val="103709CC"/>
    <w:rsid w:val="10417A9D"/>
    <w:rsid w:val="104761F6"/>
    <w:rsid w:val="105A48AA"/>
    <w:rsid w:val="10646C24"/>
    <w:rsid w:val="108005C5"/>
    <w:rsid w:val="10802373"/>
    <w:rsid w:val="108A4FA0"/>
    <w:rsid w:val="108F0808"/>
    <w:rsid w:val="10973B61"/>
    <w:rsid w:val="10A67900"/>
    <w:rsid w:val="10AD5132"/>
    <w:rsid w:val="10B4026F"/>
    <w:rsid w:val="10C33492"/>
    <w:rsid w:val="10C5422A"/>
    <w:rsid w:val="10D26947"/>
    <w:rsid w:val="10F863AD"/>
    <w:rsid w:val="10FB5E9E"/>
    <w:rsid w:val="110A4333"/>
    <w:rsid w:val="113A6367"/>
    <w:rsid w:val="113B0990"/>
    <w:rsid w:val="11405FA6"/>
    <w:rsid w:val="1142587A"/>
    <w:rsid w:val="11522B55"/>
    <w:rsid w:val="11567578"/>
    <w:rsid w:val="115A7068"/>
    <w:rsid w:val="11746A6B"/>
    <w:rsid w:val="117B0D8C"/>
    <w:rsid w:val="118539B9"/>
    <w:rsid w:val="11877731"/>
    <w:rsid w:val="11916802"/>
    <w:rsid w:val="11934328"/>
    <w:rsid w:val="11BA7B07"/>
    <w:rsid w:val="11C444E1"/>
    <w:rsid w:val="11D0732A"/>
    <w:rsid w:val="11D755F1"/>
    <w:rsid w:val="11E7624A"/>
    <w:rsid w:val="11F61740"/>
    <w:rsid w:val="120B010E"/>
    <w:rsid w:val="120B0362"/>
    <w:rsid w:val="12200D8C"/>
    <w:rsid w:val="122136E2"/>
    <w:rsid w:val="12325FDF"/>
    <w:rsid w:val="123478B9"/>
    <w:rsid w:val="123B640F"/>
    <w:rsid w:val="123F6CCA"/>
    <w:rsid w:val="1258041B"/>
    <w:rsid w:val="125C296C"/>
    <w:rsid w:val="12635C38"/>
    <w:rsid w:val="1275721E"/>
    <w:rsid w:val="12851EC3"/>
    <w:rsid w:val="12CC5D44"/>
    <w:rsid w:val="12EA441C"/>
    <w:rsid w:val="12F84333"/>
    <w:rsid w:val="13257202"/>
    <w:rsid w:val="133D0C38"/>
    <w:rsid w:val="133E088E"/>
    <w:rsid w:val="134C0C32"/>
    <w:rsid w:val="135D0A1A"/>
    <w:rsid w:val="136A10B9"/>
    <w:rsid w:val="136A730B"/>
    <w:rsid w:val="137943F6"/>
    <w:rsid w:val="13916645"/>
    <w:rsid w:val="13BB1914"/>
    <w:rsid w:val="13CA1B57"/>
    <w:rsid w:val="13E56991"/>
    <w:rsid w:val="14072DAB"/>
    <w:rsid w:val="140C2170"/>
    <w:rsid w:val="140E7C96"/>
    <w:rsid w:val="14237BE5"/>
    <w:rsid w:val="14353475"/>
    <w:rsid w:val="143C2A55"/>
    <w:rsid w:val="144162BD"/>
    <w:rsid w:val="1457163D"/>
    <w:rsid w:val="145C6C53"/>
    <w:rsid w:val="146158EA"/>
    <w:rsid w:val="146855F8"/>
    <w:rsid w:val="146975C2"/>
    <w:rsid w:val="149E0B68"/>
    <w:rsid w:val="149E726C"/>
    <w:rsid w:val="14AF1479"/>
    <w:rsid w:val="14B16839"/>
    <w:rsid w:val="14CD7B51"/>
    <w:rsid w:val="14E629C1"/>
    <w:rsid w:val="15033573"/>
    <w:rsid w:val="15064E11"/>
    <w:rsid w:val="15342F67"/>
    <w:rsid w:val="15400323"/>
    <w:rsid w:val="15485429"/>
    <w:rsid w:val="1576496E"/>
    <w:rsid w:val="15783F61"/>
    <w:rsid w:val="15785F83"/>
    <w:rsid w:val="158741A4"/>
    <w:rsid w:val="15A765F4"/>
    <w:rsid w:val="15B91E83"/>
    <w:rsid w:val="15B97439"/>
    <w:rsid w:val="15C70A44"/>
    <w:rsid w:val="1606331B"/>
    <w:rsid w:val="163559AE"/>
    <w:rsid w:val="166167A3"/>
    <w:rsid w:val="167C538B"/>
    <w:rsid w:val="1680781D"/>
    <w:rsid w:val="16A762A5"/>
    <w:rsid w:val="16BE3BF5"/>
    <w:rsid w:val="16D82AF8"/>
    <w:rsid w:val="16F2564D"/>
    <w:rsid w:val="172B5001"/>
    <w:rsid w:val="172D3711"/>
    <w:rsid w:val="173619DD"/>
    <w:rsid w:val="174340FA"/>
    <w:rsid w:val="17481711"/>
    <w:rsid w:val="17681DB3"/>
    <w:rsid w:val="177964F5"/>
    <w:rsid w:val="177B7D38"/>
    <w:rsid w:val="177E5132"/>
    <w:rsid w:val="178D5376"/>
    <w:rsid w:val="17B15508"/>
    <w:rsid w:val="17BB0135"/>
    <w:rsid w:val="17CD1C16"/>
    <w:rsid w:val="17E551B2"/>
    <w:rsid w:val="1800023D"/>
    <w:rsid w:val="1811244B"/>
    <w:rsid w:val="182C4B8E"/>
    <w:rsid w:val="1844637C"/>
    <w:rsid w:val="186474C4"/>
    <w:rsid w:val="18700F1F"/>
    <w:rsid w:val="187327BD"/>
    <w:rsid w:val="187D188E"/>
    <w:rsid w:val="1882235A"/>
    <w:rsid w:val="18827535"/>
    <w:rsid w:val="189270E7"/>
    <w:rsid w:val="189A0C1F"/>
    <w:rsid w:val="189C7F66"/>
    <w:rsid w:val="18A8690B"/>
    <w:rsid w:val="18B018F4"/>
    <w:rsid w:val="18BC4164"/>
    <w:rsid w:val="18C13529"/>
    <w:rsid w:val="19136973"/>
    <w:rsid w:val="19153875"/>
    <w:rsid w:val="19272D52"/>
    <w:rsid w:val="19510D51"/>
    <w:rsid w:val="19555A79"/>
    <w:rsid w:val="195C14A3"/>
    <w:rsid w:val="195C76F5"/>
    <w:rsid w:val="196547FC"/>
    <w:rsid w:val="19814882"/>
    <w:rsid w:val="198A6011"/>
    <w:rsid w:val="198F1879"/>
    <w:rsid w:val="199155F1"/>
    <w:rsid w:val="19946E8F"/>
    <w:rsid w:val="19B2525A"/>
    <w:rsid w:val="19B74BCB"/>
    <w:rsid w:val="19B906A4"/>
    <w:rsid w:val="19EB780F"/>
    <w:rsid w:val="19F31E08"/>
    <w:rsid w:val="19FF69FF"/>
    <w:rsid w:val="1A0758B3"/>
    <w:rsid w:val="1A1A3838"/>
    <w:rsid w:val="1A204BC7"/>
    <w:rsid w:val="1A4F4592"/>
    <w:rsid w:val="1A676352"/>
    <w:rsid w:val="1A705206"/>
    <w:rsid w:val="1A7F369B"/>
    <w:rsid w:val="1A8213DE"/>
    <w:rsid w:val="1AA72BF2"/>
    <w:rsid w:val="1AAC0209"/>
    <w:rsid w:val="1AAD76A6"/>
    <w:rsid w:val="1AB94EBA"/>
    <w:rsid w:val="1ABC48F0"/>
    <w:rsid w:val="1AC319A2"/>
    <w:rsid w:val="1AC76DF0"/>
    <w:rsid w:val="1AE6663D"/>
    <w:rsid w:val="1AF776D6"/>
    <w:rsid w:val="1B26620D"/>
    <w:rsid w:val="1B300E3A"/>
    <w:rsid w:val="1B397CEE"/>
    <w:rsid w:val="1B3B1CB8"/>
    <w:rsid w:val="1B4B5C73"/>
    <w:rsid w:val="1B632FBD"/>
    <w:rsid w:val="1B746F78"/>
    <w:rsid w:val="1B776A68"/>
    <w:rsid w:val="1B7A3E63"/>
    <w:rsid w:val="1BAD5FE6"/>
    <w:rsid w:val="1BD23C9F"/>
    <w:rsid w:val="1BDB6FF7"/>
    <w:rsid w:val="1BDD2D6F"/>
    <w:rsid w:val="1BFC7E98"/>
    <w:rsid w:val="1C3B7A96"/>
    <w:rsid w:val="1C420E24"/>
    <w:rsid w:val="1C49566C"/>
    <w:rsid w:val="1C4F3541"/>
    <w:rsid w:val="1C626DD1"/>
    <w:rsid w:val="1C7134B8"/>
    <w:rsid w:val="1C766D20"/>
    <w:rsid w:val="1C933963"/>
    <w:rsid w:val="1C9475E3"/>
    <w:rsid w:val="1C974934"/>
    <w:rsid w:val="1CAB185C"/>
    <w:rsid w:val="1CDD5E0F"/>
    <w:rsid w:val="1D022362"/>
    <w:rsid w:val="1D091942"/>
    <w:rsid w:val="1D2459DC"/>
    <w:rsid w:val="1D2E13A9"/>
    <w:rsid w:val="1D300C7D"/>
    <w:rsid w:val="1D3F7112"/>
    <w:rsid w:val="1D4266DB"/>
    <w:rsid w:val="1D4330A6"/>
    <w:rsid w:val="1D5237E7"/>
    <w:rsid w:val="1D5D57EA"/>
    <w:rsid w:val="1D6466C8"/>
    <w:rsid w:val="1D6F3E9B"/>
    <w:rsid w:val="1D85546D"/>
    <w:rsid w:val="1D886D0B"/>
    <w:rsid w:val="1D94745E"/>
    <w:rsid w:val="1DAF24EA"/>
    <w:rsid w:val="1DC37D43"/>
    <w:rsid w:val="1DCA7323"/>
    <w:rsid w:val="1DE77602"/>
    <w:rsid w:val="1E29229C"/>
    <w:rsid w:val="1E34479D"/>
    <w:rsid w:val="1E67472C"/>
    <w:rsid w:val="1EA70F05"/>
    <w:rsid w:val="1EB04EE2"/>
    <w:rsid w:val="1EC14D8C"/>
    <w:rsid w:val="1EE95587"/>
    <w:rsid w:val="1F037DB1"/>
    <w:rsid w:val="1F070103"/>
    <w:rsid w:val="1F0C571A"/>
    <w:rsid w:val="1F102D08"/>
    <w:rsid w:val="1F4C63B3"/>
    <w:rsid w:val="1F75506D"/>
    <w:rsid w:val="1F777037"/>
    <w:rsid w:val="1F7E2174"/>
    <w:rsid w:val="1FBF278C"/>
    <w:rsid w:val="1FCF0C21"/>
    <w:rsid w:val="1FCF1275"/>
    <w:rsid w:val="1FCF64E6"/>
    <w:rsid w:val="1FEA5A5B"/>
    <w:rsid w:val="1FF00B97"/>
    <w:rsid w:val="20020A19"/>
    <w:rsid w:val="201B5C14"/>
    <w:rsid w:val="202D3B9A"/>
    <w:rsid w:val="20363B66"/>
    <w:rsid w:val="204D1B46"/>
    <w:rsid w:val="207215AC"/>
    <w:rsid w:val="20723BB7"/>
    <w:rsid w:val="20783067"/>
    <w:rsid w:val="207F2647"/>
    <w:rsid w:val="20875058"/>
    <w:rsid w:val="208C08C0"/>
    <w:rsid w:val="208F6F77"/>
    <w:rsid w:val="20C31E08"/>
    <w:rsid w:val="20C86EF9"/>
    <w:rsid w:val="20CC5161"/>
    <w:rsid w:val="21000617"/>
    <w:rsid w:val="2107263D"/>
    <w:rsid w:val="211014F1"/>
    <w:rsid w:val="21311468"/>
    <w:rsid w:val="21415B4F"/>
    <w:rsid w:val="21570ECE"/>
    <w:rsid w:val="215F7D83"/>
    <w:rsid w:val="21696E53"/>
    <w:rsid w:val="21725D08"/>
    <w:rsid w:val="217F6677"/>
    <w:rsid w:val="219E4D4F"/>
    <w:rsid w:val="21A32365"/>
    <w:rsid w:val="21CD4FD2"/>
    <w:rsid w:val="21D00C81"/>
    <w:rsid w:val="21D544E9"/>
    <w:rsid w:val="21DF2C72"/>
    <w:rsid w:val="21E40288"/>
    <w:rsid w:val="21F726B1"/>
    <w:rsid w:val="21FA7AAB"/>
    <w:rsid w:val="21FE759C"/>
    <w:rsid w:val="223034CD"/>
    <w:rsid w:val="223503B5"/>
    <w:rsid w:val="22372AAE"/>
    <w:rsid w:val="22407BB4"/>
    <w:rsid w:val="22486A69"/>
    <w:rsid w:val="224D407F"/>
    <w:rsid w:val="226916AE"/>
    <w:rsid w:val="226F0499"/>
    <w:rsid w:val="22791318"/>
    <w:rsid w:val="22806203"/>
    <w:rsid w:val="228201CD"/>
    <w:rsid w:val="22895417"/>
    <w:rsid w:val="22934188"/>
    <w:rsid w:val="22A2261D"/>
    <w:rsid w:val="22B04049"/>
    <w:rsid w:val="22B10113"/>
    <w:rsid w:val="22B20386"/>
    <w:rsid w:val="22B83BEE"/>
    <w:rsid w:val="22BA6020"/>
    <w:rsid w:val="22C55740"/>
    <w:rsid w:val="230230BC"/>
    <w:rsid w:val="23106C90"/>
    <w:rsid w:val="232B2612"/>
    <w:rsid w:val="233A2855"/>
    <w:rsid w:val="233D5EA2"/>
    <w:rsid w:val="23502079"/>
    <w:rsid w:val="235373F0"/>
    <w:rsid w:val="236773C3"/>
    <w:rsid w:val="236B6EB3"/>
    <w:rsid w:val="236E0751"/>
    <w:rsid w:val="23964929"/>
    <w:rsid w:val="239D1036"/>
    <w:rsid w:val="23A423C5"/>
    <w:rsid w:val="23B02B18"/>
    <w:rsid w:val="23B56380"/>
    <w:rsid w:val="23C20B34"/>
    <w:rsid w:val="23D26A5D"/>
    <w:rsid w:val="23DC390D"/>
    <w:rsid w:val="23E44ED6"/>
    <w:rsid w:val="23F23130"/>
    <w:rsid w:val="23FD4FCF"/>
    <w:rsid w:val="24082954"/>
    <w:rsid w:val="242011C6"/>
    <w:rsid w:val="24335DB9"/>
    <w:rsid w:val="244F2331"/>
    <w:rsid w:val="246456B0"/>
    <w:rsid w:val="246851A0"/>
    <w:rsid w:val="24831FDA"/>
    <w:rsid w:val="248C7D2A"/>
    <w:rsid w:val="248D10AB"/>
    <w:rsid w:val="24AB32DF"/>
    <w:rsid w:val="24AF7273"/>
    <w:rsid w:val="24B52569"/>
    <w:rsid w:val="24BB786B"/>
    <w:rsid w:val="24C06D8A"/>
    <w:rsid w:val="24C525F3"/>
    <w:rsid w:val="24DB3BC4"/>
    <w:rsid w:val="24DE5462"/>
    <w:rsid w:val="24E46F1D"/>
    <w:rsid w:val="24E567F1"/>
    <w:rsid w:val="24EC4023"/>
    <w:rsid w:val="25011468"/>
    <w:rsid w:val="25072C0B"/>
    <w:rsid w:val="25162E4E"/>
    <w:rsid w:val="251A293E"/>
    <w:rsid w:val="251D41DD"/>
    <w:rsid w:val="25311A36"/>
    <w:rsid w:val="2536704D"/>
    <w:rsid w:val="253F23A5"/>
    <w:rsid w:val="254E788E"/>
    <w:rsid w:val="2573204F"/>
    <w:rsid w:val="25973F8F"/>
    <w:rsid w:val="25A466AC"/>
    <w:rsid w:val="25A77F4A"/>
    <w:rsid w:val="25AD30A0"/>
    <w:rsid w:val="25D32AED"/>
    <w:rsid w:val="25D55995"/>
    <w:rsid w:val="25EB3977"/>
    <w:rsid w:val="25F211C5"/>
    <w:rsid w:val="25FD5DBC"/>
    <w:rsid w:val="25FF4B5D"/>
    <w:rsid w:val="26094761"/>
    <w:rsid w:val="260B672B"/>
    <w:rsid w:val="26103D41"/>
    <w:rsid w:val="26133B73"/>
    <w:rsid w:val="261849A4"/>
    <w:rsid w:val="261E2170"/>
    <w:rsid w:val="262250F4"/>
    <w:rsid w:val="26232579"/>
    <w:rsid w:val="26395046"/>
    <w:rsid w:val="2650413E"/>
    <w:rsid w:val="2652435A"/>
    <w:rsid w:val="26627426"/>
    <w:rsid w:val="267A080E"/>
    <w:rsid w:val="268406C2"/>
    <w:rsid w:val="26957714"/>
    <w:rsid w:val="269F0C21"/>
    <w:rsid w:val="26A526DC"/>
    <w:rsid w:val="26B20955"/>
    <w:rsid w:val="26BE554B"/>
    <w:rsid w:val="26F77177"/>
    <w:rsid w:val="270A253F"/>
    <w:rsid w:val="27133AE9"/>
    <w:rsid w:val="2729189A"/>
    <w:rsid w:val="2729330D"/>
    <w:rsid w:val="273468B8"/>
    <w:rsid w:val="273513B6"/>
    <w:rsid w:val="27392E24"/>
    <w:rsid w:val="27433CA3"/>
    <w:rsid w:val="274517C9"/>
    <w:rsid w:val="27666C61"/>
    <w:rsid w:val="276C34CA"/>
    <w:rsid w:val="27804143"/>
    <w:rsid w:val="278422F1"/>
    <w:rsid w:val="27843BA5"/>
    <w:rsid w:val="27850996"/>
    <w:rsid w:val="27982240"/>
    <w:rsid w:val="279F712B"/>
    <w:rsid w:val="27C60B5C"/>
    <w:rsid w:val="27D8263D"/>
    <w:rsid w:val="27F8683B"/>
    <w:rsid w:val="282E1F28"/>
    <w:rsid w:val="282F2969"/>
    <w:rsid w:val="284303FE"/>
    <w:rsid w:val="28447CD2"/>
    <w:rsid w:val="2849353B"/>
    <w:rsid w:val="286363AA"/>
    <w:rsid w:val="288F53F1"/>
    <w:rsid w:val="28B07685"/>
    <w:rsid w:val="28B5297E"/>
    <w:rsid w:val="28BB6D21"/>
    <w:rsid w:val="28BD7F63"/>
    <w:rsid w:val="28C07C97"/>
    <w:rsid w:val="28C12115"/>
    <w:rsid w:val="28C17575"/>
    <w:rsid w:val="28C606E7"/>
    <w:rsid w:val="28E15521"/>
    <w:rsid w:val="29064F88"/>
    <w:rsid w:val="2923514E"/>
    <w:rsid w:val="2927562A"/>
    <w:rsid w:val="29294712"/>
    <w:rsid w:val="29420E33"/>
    <w:rsid w:val="295508E1"/>
    <w:rsid w:val="296028EA"/>
    <w:rsid w:val="29656152"/>
    <w:rsid w:val="29714E74"/>
    <w:rsid w:val="2977525D"/>
    <w:rsid w:val="299D58EC"/>
    <w:rsid w:val="29A0362E"/>
    <w:rsid w:val="29C63095"/>
    <w:rsid w:val="29CF4D16"/>
    <w:rsid w:val="29DB01C2"/>
    <w:rsid w:val="2A005E7B"/>
    <w:rsid w:val="2A0E0B36"/>
    <w:rsid w:val="2A0F41F8"/>
    <w:rsid w:val="2A392DAC"/>
    <w:rsid w:val="2A420242"/>
    <w:rsid w:val="2A461AE0"/>
    <w:rsid w:val="2A506E02"/>
    <w:rsid w:val="2A5F7045"/>
    <w:rsid w:val="2A6603D4"/>
    <w:rsid w:val="2A7F35BE"/>
    <w:rsid w:val="2A832D34"/>
    <w:rsid w:val="2A994305"/>
    <w:rsid w:val="2AAA6513"/>
    <w:rsid w:val="2AB91916"/>
    <w:rsid w:val="2AC60E73"/>
    <w:rsid w:val="2AD05911"/>
    <w:rsid w:val="2AD92954"/>
    <w:rsid w:val="2ADC0696"/>
    <w:rsid w:val="2AFE23BA"/>
    <w:rsid w:val="2B0D0850"/>
    <w:rsid w:val="2B17347C"/>
    <w:rsid w:val="2B1A4D1A"/>
    <w:rsid w:val="2B2D1D2D"/>
    <w:rsid w:val="2B3863E3"/>
    <w:rsid w:val="2B5B780D"/>
    <w:rsid w:val="2B6F32B8"/>
    <w:rsid w:val="2B701C43"/>
    <w:rsid w:val="2B9E594C"/>
    <w:rsid w:val="2BA411B4"/>
    <w:rsid w:val="2BAE2033"/>
    <w:rsid w:val="2BC730F4"/>
    <w:rsid w:val="2BC76C50"/>
    <w:rsid w:val="2BE07D12"/>
    <w:rsid w:val="2BEE279D"/>
    <w:rsid w:val="2BF81500"/>
    <w:rsid w:val="2BFF288E"/>
    <w:rsid w:val="2C0C6D59"/>
    <w:rsid w:val="2C117E34"/>
    <w:rsid w:val="2C131E96"/>
    <w:rsid w:val="2C1C51EE"/>
    <w:rsid w:val="2C2E6CCF"/>
    <w:rsid w:val="2C583A79"/>
    <w:rsid w:val="2C5A1872"/>
    <w:rsid w:val="2C622E1D"/>
    <w:rsid w:val="2C6B3A80"/>
    <w:rsid w:val="2C7548FE"/>
    <w:rsid w:val="2CAE7E10"/>
    <w:rsid w:val="2CB25B52"/>
    <w:rsid w:val="2CB43679"/>
    <w:rsid w:val="2CC31B0E"/>
    <w:rsid w:val="2CD535EF"/>
    <w:rsid w:val="2D016192"/>
    <w:rsid w:val="2D0619FA"/>
    <w:rsid w:val="2D0F6B01"/>
    <w:rsid w:val="2D142369"/>
    <w:rsid w:val="2D1C0C36"/>
    <w:rsid w:val="2D214A86"/>
    <w:rsid w:val="2D254362"/>
    <w:rsid w:val="2D736EDE"/>
    <w:rsid w:val="2D753D84"/>
    <w:rsid w:val="2DA51213"/>
    <w:rsid w:val="2DA90D03"/>
    <w:rsid w:val="2DAF7E6E"/>
    <w:rsid w:val="2DCC3728"/>
    <w:rsid w:val="2DCE076A"/>
    <w:rsid w:val="2DD32DCF"/>
    <w:rsid w:val="2DF126AA"/>
    <w:rsid w:val="2DFF6B75"/>
    <w:rsid w:val="2E112405"/>
    <w:rsid w:val="2E2760CC"/>
    <w:rsid w:val="2E3A195C"/>
    <w:rsid w:val="2E56250D"/>
    <w:rsid w:val="2E5642BC"/>
    <w:rsid w:val="2E6C3ADF"/>
    <w:rsid w:val="2E8928E3"/>
    <w:rsid w:val="2E935510"/>
    <w:rsid w:val="2EB711FE"/>
    <w:rsid w:val="2EC5305B"/>
    <w:rsid w:val="2EC851B9"/>
    <w:rsid w:val="2ED41456"/>
    <w:rsid w:val="2EE45D6B"/>
    <w:rsid w:val="2EEF6BEA"/>
    <w:rsid w:val="2F236894"/>
    <w:rsid w:val="2F2C5DF5"/>
    <w:rsid w:val="2F2E5C4A"/>
    <w:rsid w:val="2F326AD7"/>
    <w:rsid w:val="2F454A5C"/>
    <w:rsid w:val="2F4D56BE"/>
    <w:rsid w:val="2F510363"/>
    <w:rsid w:val="2F6646D0"/>
    <w:rsid w:val="2F8A06C1"/>
    <w:rsid w:val="2F9C6646"/>
    <w:rsid w:val="2FA371E0"/>
    <w:rsid w:val="2FB90FA6"/>
    <w:rsid w:val="2FC20D45"/>
    <w:rsid w:val="2FD47B8E"/>
    <w:rsid w:val="2FE222AB"/>
    <w:rsid w:val="2FFD0E93"/>
    <w:rsid w:val="3015619E"/>
    <w:rsid w:val="30426068"/>
    <w:rsid w:val="30446AC1"/>
    <w:rsid w:val="30474804"/>
    <w:rsid w:val="304E5B92"/>
    <w:rsid w:val="30766E97"/>
    <w:rsid w:val="307B625B"/>
    <w:rsid w:val="30800B2F"/>
    <w:rsid w:val="30894E1B"/>
    <w:rsid w:val="3095731D"/>
    <w:rsid w:val="309D2676"/>
    <w:rsid w:val="30A12166"/>
    <w:rsid w:val="30A457B2"/>
    <w:rsid w:val="30B8125D"/>
    <w:rsid w:val="30C16364"/>
    <w:rsid w:val="30E738F1"/>
    <w:rsid w:val="30F83C8F"/>
    <w:rsid w:val="30F85AFE"/>
    <w:rsid w:val="31132938"/>
    <w:rsid w:val="312B7C81"/>
    <w:rsid w:val="313528AE"/>
    <w:rsid w:val="313C1E8F"/>
    <w:rsid w:val="316A07AA"/>
    <w:rsid w:val="316D029A"/>
    <w:rsid w:val="31774C75"/>
    <w:rsid w:val="31822AD4"/>
    <w:rsid w:val="318F6461"/>
    <w:rsid w:val="31A508E6"/>
    <w:rsid w:val="31BA0817"/>
    <w:rsid w:val="31C003CA"/>
    <w:rsid w:val="31C53C32"/>
    <w:rsid w:val="31D342DB"/>
    <w:rsid w:val="31D65E3F"/>
    <w:rsid w:val="31E367AE"/>
    <w:rsid w:val="31EA3699"/>
    <w:rsid w:val="31F37D71"/>
    <w:rsid w:val="31F44517"/>
    <w:rsid w:val="31FE0EF2"/>
    <w:rsid w:val="32081D71"/>
    <w:rsid w:val="32082899"/>
    <w:rsid w:val="321E1594"/>
    <w:rsid w:val="3220530C"/>
    <w:rsid w:val="322F37A1"/>
    <w:rsid w:val="32313DE1"/>
    <w:rsid w:val="323808A8"/>
    <w:rsid w:val="324C7EAF"/>
    <w:rsid w:val="324E05C4"/>
    <w:rsid w:val="32632E59"/>
    <w:rsid w:val="32990C1B"/>
    <w:rsid w:val="32A05F49"/>
    <w:rsid w:val="32A777DC"/>
    <w:rsid w:val="32B75C71"/>
    <w:rsid w:val="32CE6B16"/>
    <w:rsid w:val="32D0288E"/>
    <w:rsid w:val="32D838AE"/>
    <w:rsid w:val="32DA1DE3"/>
    <w:rsid w:val="32DB1233"/>
    <w:rsid w:val="32DC0EB2"/>
    <w:rsid w:val="32EF7F03"/>
    <w:rsid w:val="3300796D"/>
    <w:rsid w:val="33122EA7"/>
    <w:rsid w:val="3317670F"/>
    <w:rsid w:val="33274478"/>
    <w:rsid w:val="334358FC"/>
    <w:rsid w:val="334B63B9"/>
    <w:rsid w:val="334E7C57"/>
    <w:rsid w:val="335039CF"/>
    <w:rsid w:val="335C05C6"/>
    <w:rsid w:val="335D311F"/>
    <w:rsid w:val="33865643"/>
    <w:rsid w:val="339F04B3"/>
    <w:rsid w:val="33B65DE5"/>
    <w:rsid w:val="33C817B8"/>
    <w:rsid w:val="33CE5922"/>
    <w:rsid w:val="33EA2132"/>
    <w:rsid w:val="33FC5905"/>
    <w:rsid w:val="34360E17"/>
    <w:rsid w:val="345B6C04"/>
    <w:rsid w:val="345D2848"/>
    <w:rsid w:val="34671570"/>
    <w:rsid w:val="347435A8"/>
    <w:rsid w:val="348E3308"/>
    <w:rsid w:val="349A13A6"/>
    <w:rsid w:val="34AC23BA"/>
    <w:rsid w:val="34C603ED"/>
    <w:rsid w:val="34CC20D1"/>
    <w:rsid w:val="34D01BAE"/>
    <w:rsid w:val="34D0301A"/>
    <w:rsid w:val="34D53B91"/>
    <w:rsid w:val="34DB1845"/>
    <w:rsid w:val="34E24AFB"/>
    <w:rsid w:val="34EB7E53"/>
    <w:rsid w:val="34F5482E"/>
    <w:rsid w:val="34FF7928"/>
    <w:rsid w:val="35131158"/>
    <w:rsid w:val="35260E8C"/>
    <w:rsid w:val="35357321"/>
    <w:rsid w:val="3538471B"/>
    <w:rsid w:val="3542559A"/>
    <w:rsid w:val="35611EC4"/>
    <w:rsid w:val="356E638F"/>
    <w:rsid w:val="358924D1"/>
    <w:rsid w:val="358B5193"/>
    <w:rsid w:val="35973B37"/>
    <w:rsid w:val="359F479A"/>
    <w:rsid w:val="35A63D7A"/>
    <w:rsid w:val="35B73D2A"/>
    <w:rsid w:val="35BC359E"/>
    <w:rsid w:val="35C362E9"/>
    <w:rsid w:val="35DF103A"/>
    <w:rsid w:val="35E93C67"/>
    <w:rsid w:val="35EA1EB9"/>
    <w:rsid w:val="35EF127D"/>
    <w:rsid w:val="35EF74CF"/>
    <w:rsid w:val="36062A6B"/>
    <w:rsid w:val="36162CAE"/>
    <w:rsid w:val="3616788D"/>
    <w:rsid w:val="361B6516"/>
    <w:rsid w:val="361D7DED"/>
    <w:rsid w:val="36274EBB"/>
    <w:rsid w:val="36403EA4"/>
    <w:rsid w:val="364C4922"/>
    <w:rsid w:val="367125D9"/>
    <w:rsid w:val="368E4F3A"/>
    <w:rsid w:val="36B50719"/>
    <w:rsid w:val="36C546D4"/>
    <w:rsid w:val="36D621D8"/>
    <w:rsid w:val="36E74237"/>
    <w:rsid w:val="372E5DD5"/>
    <w:rsid w:val="37353608"/>
    <w:rsid w:val="374750E9"/>
    <w:rsid w:val="37524A14"/>
    <w:rsid w:val="375959C2"/>
    <w:rsid w:val="375A70FB"/>
    <w:rsid w:val="37735EDE"/>
    <w:rsid w:val="377D6D5D"/>
    <w:rsid w:val="378105FB"/>
    <w:rsid w:val="37927DAB"/>
    <w:rsid w:val="37B828D1"/>
    <w:rsid w:val="37D83F93"/>
    <w:rsid w:val="37F708BD"/>
    <w:rsid w:val="37FA03AE"/>
    <w:rsid w:val="38032F61"/>
    <w:rsid w:val="38046BFF"/>
    <w:rsid w:val="38196A86"/>
    <w:rsid w:val="381A45AC"/>
    <w:rsid w:val="382B67B9"/>
    <w:rsid w:val="383218F5"/>
    <w:rsid w:val="383B3B7B"/>
    <w:rsid w:val="38523D46"/>
    <w:rsid w:val="3862042D"/>
    <w:rsid w:val="387D5266"/>
    <w:rsid w:val="387E2D8D"/>
    <w:rsid w:val="388008B3"/>
    <w:rsid w:val="38877E93"/>
    <w:rsid w:val="388D2FD0"/>
    <w:rsid w:val="38B93DC5"/>
    <w:rsid w:val="38B95B73"/>
    <w:rsid w:val="38BB5D8F"/>
    <w:rsid w:val="38C20ECB"/>
    <w:rsid w:val="38E057F5"/>
    <w:rsid w:val="38F70C8E"/>
    <w:rsid w:val="39043630"/>
    <w:rsid w:val="390A4620"/>
    <w:rsid w:val="3911775D"/>
    <w:rsid w:val="39131727"/>
    <w:rsid w:val="39180AEB"/>
    <w:rsid w:val="39355B41"/>
    <w:rsid w:val="393F42CA"/>
    <w:rsid w:val="395F671A"/>
    <w:rsid w:val="396C0366"/>
    <w:rsid w:val="39785A2E"/>
    <w:rsid w:val="397A3554"/>
    <w:rsid w:val="398048E2"/>
    <w:rsid w:val="399049CE"/>
    <w:rsid w:val="39BF18AF"/>
    <w:rsid w:val="39C173D5"/>
    <w:rsid w:val="39C94114"/>
    <w:rsid w:val="39E84962"/>
    <w:rsid w:val="39FE0F50"/>
    <w:rsid w:val="3A080B60"/>
    <w:rsid w:val="3A175247"/>
    <w:rsid w:val="3A27630D"/>
    <w:rsid w:val="3A2E40D2"/>
    <w:rsid w:val="3A347BA7"/>
    <w:rsid w:val="3A3A507D"/>
    <w:rsid w:val="3A451DB4"/>
    <w:rsid w:val="3A482D7C"/>
    <w:rsid w:val="3A483652"/>
    <w:rsid w:val="3A60099C"/>
    <w:rsid w:val="3A79380C"/>
    <w:rsid w:val="3A891719"/>
    <w:rsid w:val="3A9E3272"/>
    <w:rsid w:val="3AAF722D"/>
    <w:rsid w:val="3AD44EE6"/>
    <w:rsid w:val="3B087589"/>
    <w:rsid w:val="3B1F2605"/>
    <w:rsid w:val="3B2E2848"/>
    <w:rsid w:val="3B366613"/>
    <w:rsid w:val="3B561D9F"/>
    <w:rsid w:val="3B5B1163"/>
    <w:rsid w:val="3B6224F2"/>
    <w:rsid w:val="3B6B3A9C"/>
    <w:rsid w:val="3B911029"/>
    <w:rsid w:val="3BD00C78"/>
    <w:rsid w:val="3BD01B51"/>
    <w:rsid w:val="3BD17677"/>
    <w:rsid w:val="3BF05D4F"/>
    <w:rsid w:val="3C0812EB"/>
    <w:rsid w:val="3C131A3E"/>
    <w:rsid w:val="3C1F03E3"/>
    <w:rsid w:val="3C2A508A"/>
    <w:rsid w:val="3C3976F6"/>
    <w:rsid w:val="3C4658C2"/>
    <w:rsid w:val="3C53008C"/>
    <w:rsid w:val="3C793F97"/>
    <w:rsid w:val="3C8800DA"/>
    <w:rsid w:val="3C885F88"/>
    <w:rsid w:val="3CAB1C76"/>
    <w:rsid w:val="3CAD1E92"/>
    <w:rsid w:val="3CE704E2"/>
    <w:rsid w:val="3D0F5FEB"/>
    <w:rsid w:val="3D1367F7"/>
    <w:rsid w:val="3D211F38"/>
    <w:rsid w:val="3D2448BD"/>
    <w:rsid w:val="3D2832C7"/>
    <w:rsid w:val="3D3B56F0"/>
    <w:rsid w:val="3D404AB5"/>
    <w:rsid w:val="3D720F30"/>
    <w:rsid w:val="3D92565F"/>
    <w:rsid w:val="3DA52B6A"/>
    <w:rsid w:val="3DC9791B"/>
    <w:rsid w:val="3DD07C2E"/>
    <w:rsid w:val="3DD863C0"/>
    <w:rsid w:val="3DED69EA"/>
    <w:rsid w:val="3DF72A39"/>
    <w:rsid w:val="3DFA70D4"/>
    <w:rsid w:val="3DFE2091"/>
    <w:rsid w:val="3E0930F8"/>
    <w:rsid w:val="3E256FC7"/>
    <w:rsid w:val="3E375EB7"/>
    <w:rsid w:val="3E544BA0"/>
    <w:rsid w:val="3E8F7AA2"/>
    <w:rsid w:val="3EB412B6"/>
    <w:rsid w:val="3EB86B9D"/>
    <w:rsid w:val="3ED5122D"/>
    <w:rsid w:val="3ED96F6F"/>
    <w:rsid w:val="3EEC4802"/>
    <w:rsid w:val="3EEF0540"/>
    <w:rsid w:val="3F0044FB"/>
    <w:rsid w:val="3F116CF8"/>
    <w:rsid w:val="3F276E20"/>
    <w:rsid w:val="3F281CA4"/>
    <w:rsid w:val="3F283A52"/>
    <w:rsid w:val="3F381EE7"/>
    <w:rsid w:val="3F3D74FE"/>
    <w:rsid w:val="3F666DF4"/>
    <w:rsid w:val="3F762A0F"/>
    <w:rsid w:val="3FA044BA"/>
    <w:rsid w:val="3FCA2984"/>
    <w:rsid w:val="3FFF2A05"/>
    <w:rsid w:val="3FFF47B3"/>
    <w:rsid w:val="40161AFD"/>
    <w:rsid w:val="401C5365"/>
    <w:rsid w:val="40630DCC"/>
    <w:rsid w:val="40A13ABC"/>
    <w:rsid w:val="40AD420F"/>
    <w:rsid w:val="40BC26A4"/>
    <w:rsid w:val="40C15F0C"/>
    <w:rsid w:val="40CD48B1"/>
    <w:rsid w:val="40CF23D7"/>
    <w:rsid w:val="40D2705F"/>
    <w:rsid w:val="40D939DE"/>
    <w:rsid w:val="40DC68A2"/>
    <w:rsid w:val="40F54066"/>
    <w:rsid w:val="410F6C78"/>
    <w:rsid w:val="411249BA"/>
    <w:rsid w:val="41197AF6"/>
    <w:rsid w:val="411F469C"/>
    <w:rsid w:val="41230975"/>
    <w:rsid w:val="41614FF9"/>
    <w:rsid w:val="41654AEA"/>
    <w:rsid w:val="41790595"/>
    <w:rsid w:val="417E3DFD"/>
    <w:rsid w:val="418238EE"/>
    <w:rsid w:val="418A7109"/>
    <w:rsid w:val="41967399"/>
    <w:rsid w:val="41A03D74"/>
    <w:rsid w:val="41AA074E"/>
    <w:rsid w:val="41AA2E44"/>
    <w:rsid w:val="41B92251"/>
    <w:rsid w:val="41BB0BAE"/>
    <w:rsid w:val="41C2018E"/>
    <w:rsid w:val="41C21F3C"/>
    <w:rsid w:val="41C37A62"/>
    <w:rsid w:val="41CF4659"/>
    <w:rsid w:val="41D41C6F"/>
    <w:rsid w:val="41E92073"/>
    <w:rsid w:val="41FD11C6"/>
    <w:rsid w:val="41FF6CEC"/>
    <w:rsid w:val="42072045"/>
    <w:rsid w:val="420A5691"/>
    <w:rsid w:val="420E2617"/>
    <w:rsid w:val="42122048"/>
    <w:rsid w:val="422B7AE1"/>
    <w:rsid w:val="423F17DF"/>
    <w:rsid w:val="42564B60"/>
    <w:rsid w:val="425C077C"/>
    <w:rsid w:val="42770F78"/>
    <w:rsid w:val="42C57F36"/>
    <w:rsid w:val="42E75D3A"/>
    <w:rsid w:val="42EE0B0F"/>
    <w:rsid w:val="42F26851"/>
    <w:rsid w:val="42F44377"/>
    <w:rsid w:val="42F75C15"/>
    <w:rsid w:val="432D1637"/>
    <w:rsid w:val="43300CB0"/>
    <w:rsid w:val="433E73E3"/>
    <w:rsid w:val="43525542"/>
    <w:rsid w:val="43574906"/>
    <w:rsid w:val="43633DC5"/>
    <w:rsid w:val="436A63E7"/>
    <w:rsid w:val="436D2E42"/>
    <w:rsid w:val="43754D8C"/>
    <w:rsid w:val="43811983"/>
    <w:rsid w:val="44242A3A"/>
    <w:rsid w:val="443F1622"/>
    <w:rsid w:val="447753D7"/>
    <w:rsid w:val="448B2AB9"/>
    <w:rsid w:val="449556E6"/>
    <w:rsid w:val="449776B0"/>
    <w:rsid w:val="449C4CC6"/>
    <w:rsid w:val="449D0A3E"/>
    <w:rsid w:val="44B02520"/>
    <w:rsid w:val="44B26298"/>
    <w:rsid w:val="44CF28F1"/>
    <w:rsid w:val="44F248E6"/>
    <w:rsid w:val="44FF5255"/>
    <w:rsid w:val="450B36F1"/>
    <w:rsid w:val="451F3201"/>
    <w:rsid w:val="45232CF2"/>
    <w:rsid w:val="452627E2"/>
    <w:rsid w:val="453A003B"/>
    <w:rsid w:val="453E5D7D"/>
    <w:rsid w:val="453E7B2C"/>
    <w:rsid w:val="454D1442"/>
    <w:rsid w:val="45561DB1"/>
    <w:rsid w:val="45617CBE"/>
    <w:rsid w:val="45717914"/>
    <w:rsid w:val="457B44ED"/>
    <w:rsid w:val="45857508"/>
    <w:rsid w:val="45AB2CE7"/>
    <w:rsid w:val="45B24076"/>
    <w:rsid w:val="45C67B21"/>
    <w:rsid w:val="45D660FC"/>
    <w:rsid w:val="45DD4A65"/>
    <w:rsid w:val="45E561F9"/>
    <w:rsid w:val="45F66B51"/>
    <w:rsid w:val="45F8417E"/>
    <w:rsid w:val="4601536B"/>
    <w:rsid w:val="460F14C8"/>
    <w:rsid w:val="461B7E6D"/>
    <w:rsid w:val="461D1E37"/>
    <w:rsid w:val="46560EA5"/>
    <w:rsid w:val="46582E6F"/>
    <w:rsid w:val="465A4182"/>
    <w:rsid w:val="466C3022"/>
    <w:rsid w:val="46853538"/>
    <w:rsid w:val="46911EDD"/>
    <w:rsid w:val="46963997"/>
    <w:rsid w:val="46CC6C28"/>
    <w:rsid w:val="47031D16"/>
    <w:rsid w:val="472114B3"/>
    <w:rsid w:val="47226FD9"/>
    <w:rsid w:val="47246558"/>
    <w:rsid w:val="47596E9F"/>
    <w:rsid w:val="47633879"/>
    <w:rsid w:val="476E750D"/>
    <w:rsid w:val="47990732"/>
    <w:rsid w:val="47A619B8"/>
    <w:rsid w:val="47AF6ABF"/>
    <w:rsid w:val="47BC2708"/>
    <w:rsid w:val="47D734D9"/>
    <w:rsid w:val="47D74267"/>
    <w:rsid w:val="47DC362C"/>
    <w:rsid w:val="47E80223"/>
    <w:rsid w:val="47EA5D49"/>
    <w:rsid w:val="47ED5839"/>
    <w:rsid w:val="47F210A1"/>
    <w:rsid w:val="480A0199"/>
    <w:rsid w:val="480F57AF"/>
    <w:rsid w:val="48362D3C"/>
    <w:rsid w:val="485215FC"/>
    <w:rsid w:val="485853A8"/>
    <w:rsid w:val="486A50DB"/>
    <w:rsid w:val="486E0728"/>
    <w:rsid w:val="489108BA"/>
    <w:rsid w:val="48B77683"/>
    <w:rsid w:val="48F549A5"/>
    <w:rsid w:val="48F77416"/>
    <w:rsid w:val="48FA1FBB"/>
    <w:rsid w:val="490D6193"/>
    <w:rsid w:val="491A7A09"/>
    <w:rsid w:val="492434DC"/>
    <w:rsid w:val="49373210"/>
    <w:rsid w:val="495E1DF2"/>
    <w:rsid w:val="49661769"/>
    <w:rsid w:val="496A5C71"/>
    <w:rsid w:val="496E1595"/>
    <w:rsid w:val="496F0BFB"/>
    <w:rsid w:val="49746ABC"/>
    <w:rsid w:val="49935F6C"/>
    <w:rsid w:val="49A638A2"/>
    <w:rsid w:val="49A63EF1"/>
    <w:rsid w:val="49B77EAC"/>
    <w:rsid w:val="49E30CA1"/>
    <w:rsid w:val="4A01038E"/>
    <w:rsid w:val="4A2F038B"/>
    <w:rsid w:val="4A3239D7"/>
    <w:rsid w:val="4A336B43"/>
    <w:rsid w:val="4A3B6D2F"/>
    <w:rsid w:val="4A3C63C5"/>
    <w:rsid w:val="4A413C1A"/>
    <w:rsid w:val="4A471230"/>
    <w:rsid w:val="4A4D0811"/>
    <w:rsid w:val="4A4F0C8E"/>
    <w:rsid w:val="4A5E2A1E"/>
    <w:rsid w:val="4A6E2C61"/>
    <w:rsid w:val="4A767D68"/>
    <w:rsid w:val="4A7E7BF1"/>
    <w:rsid w:val="4A800BE6"/>
    <w:rsid w:val="4A857FAB"/>
    <w:rsid w:val="4A914BA1"/>
    <w:rsid w:val="4A9F106C"/>
    <w:rsid w:val="4AAA5C63"/>
    <w:rsid w:val="4AAC5537"/>
    <w:rsid w:val="4ABB1C1E"/>
    <w:rsid w:val="4AF60EA8"/>
    <w:rsid w:val="4B1A4B97"/>
    <w:rsid w:val="4B1A6945"/>
    <w:rsid w:val="4B2D32FD"/>
    <w:rsid w:val="4B517E8D"/>
    <w:rsid w:val="4B571947"/>
    <w:rsid w:val="4B5F07FC"/>
    <w:rsid w:val="4B870078"/>
    <w:rsid w:val="4B953D2F"/>
    <w:rsid w:val="4BA44460"/>
    <w:rsid w:val="4BA80DA3"/>
    <w:rsid w:val="4BA97CC9"/>
    <w:rsid w:val="4BC27442"/>
    <w:rsid w:val="4BD74836"/>
    <w:rsid w:val="4BE807F1"/>
    <w:rsid w:val="4BF52F0E"/>
    <w:rsid w:val="4BF9759A"/>
    <w:rsid w:val="4C03387D"/>
    <w:rsid w:val="4C424EF6"/>
    <w:rsid w:val="4C426388"/>
    <w:rsid w:val="4C545E87"/>
    <w:rsid w:val="4C5B3372"/>
    <w:rsid w:val="4C6360CA"/>
    <w:rsid w:val="4C79769B"/>
    <w:rsid w:val="4C8F3363"/>
    <w:rsid w:val="4C94226A"/>
    <w:rsid w:val="4C9D7340"/>
    <w:rsid w:val="4CB84667"/>
    <w:rsid w:val="4CB94F2F"/>
    <w:rsid w:val="4CF73CA0"/>
    <w:rsid w:val="4D186EB4"/>
    <w:rsid w:val="4D357A66"/>
    <w:rsid w:val="4D510618"/>
    <w:rsid w:val="4D7529C7"/>
    <w:rsid w:val="4D8B3B2A"/>
    <w:rsid w:val="4D997BC9"/>
    <w:rsid w:val="4DBA7F6B"/>
    <w:rsid w:val="4DC1754C"/>
    <w:rsid w:val="4DCB7691"/>
    <w:rsid w:val="4DE46BF3"/>
    <w:rsid w:val="4DE84AD8"/>
    <w:rsid w:val="4DFE60AA"/>
    <w:rsid w:val="4E1B3100"/>
    <w:rsid w:val="4E375A60"/>
    <w:rsid w:val="4E4A12EF"/>
    <w:rsid w:val="4E6F792C"/>
    <w:rsid w:val="4E7F4FDC"/>
    <w:rsid w:val="4E8862BB"/>
    <w:rsid w:val="4E8A2104"/>
    <w:rsid w:val="4EBD5F65"/>
    <w:rsid w:val="4EBE3A8B"/>
    <w:rsid w:val="4EC54E1A"/>
    <w:rsid w:val="4EC94742"/>
    <w:rsid w:val="4ED70DF4"/>
    <w:rsid w:val="4EF120B3"/>
    <w:rsid w:val="4EFB083B"/>
    <w:rsid w:val="4F1B7871"/>
    <w:rsid w:val="4F210FA4"/>
    <w:rsid w:val="4F2773C2"/>
    <w:rsid w:val="4F2F6737"/>
    <w:rsid w:val="4F332EB2"/>
    <w:rsid w:val="4F3D0E54"/>
    <w:rsid w:val="4F4977F9"/>
    <w:rsid w:val="4F6B3C13"/>
    <w:rsid w:val="4F7B372A"/>
    <w:rsid w:val="4F8C3B89"/>
    <w:rsid w:val="4FA6368E"/>
    <w:rsid w:val="4FA9473B"/>
    <w:rsid w:val="4FB8672C"/>
    <w:rsid w:val="4FCB6460"/>
    <w:rsid w:val="4FD03A76"/>
    <w:rsid w:val="4FDD195B"/>
    <w:rsid w:val="4FE70DC0"/>
    <w:rsid w:val="4FEE3439"/>
    <w:rsid w:val="501B4191"/>
    <w:rsid w:val="502344EE"/>
    <w:rsid w:val="503009B9"/>
    <w:rsid w:val="50357D7D"/>
    <w:rsid w:val="503E4E84"/>
    <w:rsid w:val="50506965"/>
    <w:rsid w:val="50526B81"/>
    <w:rsid w:val="50591CBD"/>
    <w:rsid w:val="505A5A36"/>
    <w:rsid w:val="505E1082"/>
    <w:rsid w:val="50926F7D"/>
    <w:rsid w:val="509B425E"/>
    <w:rsid w:val="50A0265F"/>
    <w:rsid w:val="50C17863"/>
    <w:rsid w:val="50CC6933"/>
    <w:rsid w:val="50E27F05"/>
    <w:rsid w:val="50F73284"/>
    <w:rsid w:val="50F9524E"/>
    <w:rsid w:val="51002139"/>
    <w:rsid w:val="51131632"/>
    <w:rsid w:val="51250C6D"/>
    <w:rsid w:val="51312C3A"/>
    <w:rsid w:val="513B7615"/>
    <w:rsid w:val="514209A3"/>
    <w:rsid w:val="5160471D"/>
    <w:rsid w:val="5167040A"/>
    <w:rsid w:val="516E1798"/>
    <w:rsid w:val="517D19DC"/>
    <w:rsid w:val="519D207E"/>
    <w:rsid w:val="51B01DB1"/>
    <w:rsid w:val="51D27F79"/>
    <w:rsid w:val="51D3012E"/>
    <w:rsid w:val="51D57A6A"/>
    <w:rsid w:val="51D84E64"/>
    <w:rsid w:val="51EE6435"/>
    <w:rsid w:val="5208399B"/>
    <w:rsid w:val="524E3378"/>
    <w:rsid w:val="526112FD"/>
    <w:rsid w:val="52642B9B"/>
    <w:rsid w:val="526A6404"/>
    <w:rsid w:val="527C7EE5"/>
    <w:rsid w:val="52AD62F0"/>
    <w:rsid w:val="52B23907"/>
    <w:rsid w:val="52B96A43"/>
    <w:rsid w:val="52BA27BB"/>
    <w:rsid w:val="52D7511B"/>
    <w:rsid w:val="52FC2DD4"/>
    <w:rsid w:val="5302663C"/>
    <w:rsid w:val="53130849"/>
    <w:rsid w:val="53165C44"/>
    <w:rsid w:val="53283BC9"/>
    <w:rsid w:val="533E62DD"/>
    <w:rsid w:val="534D53DE"/>
    <w:rsid w:val="53530C46"/>
    <w:rsid w:val="5362532D"/>
    <w:rsid w:val="53B11E10"/>
    <w:rsid w:val="53B536AF"/>
    <w:rsid w:val="53D02297"/>
    <w:rsid w:val="53D33B35"/>
    <w:rsid w:val="53E1261D"/>
    <w:rsid w:val="53E775E0"/>
    <w:rsid w:val="53FF492A"/>
    <w:rsid w:val="540957A8"/>
    <w:rsid w:val="541859EC"/>
    <w:rsid w:val="54260108"/>
    <w:rsid w:val="5428191A"/>
    <w:rsid w:val="542E5CC5"/>
    <w:rsid w:val="54394E02"/>
    <w:rsid w:val="54532EC8"/>
    <w:rsid w:val="54534C76"/>
    <w:rsid w:val="545A4256"/>
    <w:rsid w:val="54662BFB"/>
    <w:rsid w:val="54684BC5"/>
    <w:rsid w:val="546E38A9"/>
    <w:rsid w:val="54907C78"/>
    <w:rsid w:val="54AB4AB2"/>
    <w:rsid w:val="54C17E31"/>
    <w:rsid w:val="54D758A7"/>
    <w:rsid w:val="54D9161F"/>
    <w:rsid w:val="54F55D2D"/>
    <w:rsid w:val="54FB1595"/>
    <w:rsid w:val="5502197D"/>
    <w:rsid w:val="550526CA"/>
    <w:rsid w:val="5515098D"/>
    <w:rsid w:val="55180399"/>
    <w:rsid w:val="551B5793"/>
    <w:rsid w:val="5523289A"/>
    <w:rsid w:val="554F7B33"/>
    <w:rsid w:val="555B0286"/>
    <w:rsid w:val="55886BA1"/>
    <w:rsid w:val="558E2353"/>
    <w:rsid w:val="55BD684B"/>
    <w:rsid w:val="55E262B1"/>
    <w:rsid w:val="55F83D27"/>
    <w:rsid w:val="55FF459C"/>
    <w:rsid w:val="5604091D"/>
    <w:rsid w:val="561072C2"/>
    <w:rsid w:val="56363CD1"/>
    <w:rsid w:val="5637484F"/>
    <w:rsid w:val="563E48E0"/>
    <w:rsid w:val="56431943"/>
    <w:rsid w:val="5668147B"/>
    <w:rsid w:val="56794E67"/>
    <w:rsid w:val="567E247E"/>
    <w:rsid w:val="567F7FA4"/>
    <w:rsid w:val="568850AA"/>
    <w:rsid w:val="568B4BC6"/>
    <w:rsid w:val="56903F5F"/>
    <w:rsid w:val="56981066"/>
    <w:rsid w:val="569D650E"/>
    <w:rsid w:val="56AD68BF"/>
    <w:rsid w:val="56B22127"/>
    <w:rsid w:val="56C105BC"/>
    <w:rsid w:val="56C94386"/>
    <w:rsid w:val="56CA13A6"/>
    <w:rsid w:val="56DC7DED"/>
    <w:rsid w:val="56FA762A"/>
    <w:rsid w:val="570B1838"/>
    <w:rsid w:val="571C57F3"/>
    <w:rsid w:val="57266C23"/>
    <w:rsid w:val="57284198"/>
    <w:rsid w:val="57340D8E"/>
    <w:rsid w:val="57390153"/>
    <w:rsid w:val="574A05B2"/>
    <w:rsid w:val="576F626A"/>
    <w:rsid w:val="579C7876"/>
    <w:rsid w:val="57A04676"/>
    <w:rsid w:val="57A8352A"/>
    <w:rsid w:val="57AF6667"/>
    <w:rsid w:val="57DA7B88"/>
    <w:rsid w:val="57E75E01"/>
    <w:rsid w:val="57EF4CB5"/>
    <w:rsid w:val="57FA3D86"/>
    <w:rsid w:val="580E4ECB"/>
    <w:rsid w:val="58445001"/>
    <w:rsid w:val="58690F0C"/>
    <w:rsid w:val="58767185"/>
    <w:rsid w:val="58782EFD"/>
    <w:rsid w:val="58B36DAE"/>
    <w:rsid w:val="58F05189"/>
    <w:rsid w:val="590824D3"/>
    <w:rsid w:val="59097FF9"/>
    <w:rsid w:val="590A624B"/>
    <w:rsid w:val="595219A0"/>
    <w:rsid w:val="595C281E"/>
    <w:rsid w:val="598633F7"/>
    <w:rsid w:val="59886A33"/>
    <w:rsid w:val="598B3EF7"/>
    <w:rsid w:val="59A0270B"/>
    <w:rsid w:val="59A9345F"/>
    <w:rsid w:val="59B241EC"/>
    <w:rsid w:val="59C7413C"/>
    <w:rsid w:val="59DD4796"/>
    <w:rsid w:val="59F85C7F"/>
    <w:rsid w:val="59FD190B"/>
    <w:rsid w:val="5A025174"/>
    <w:rsid w:val="5A0802B0"/>
    <w:rsid w:val="5A137381"/>
    <w:rsid w:val="5A19426B"/>
    <w:rsid w:val="5A250E62"/>
    <w:rsid w:val="5A366BCB"/>
    <w:rsid w:val="5A426414"/>
    <w:rsid w:val="5A5534F6"/>
    <w:rsid w:val="5A7C4F26"/>
    <w:rsid w:val="5AC4067B"/>
    <w:rsid w:val="5AD3266C"/>
    <w:rsid w:val="5AD36B10"/>
    <w:rsid w:val="5AD92379"/>
    <w:rsid w:val="5AEA5A2A"/>
    <w:rsid w:val="5AEB3E5A"/>
    <w:rsid w:val="5AF54CD9"/>
    <w:rsid w:val="5B0647F0"/>
    <w:rsid w:val="5B084A0C"/>
    <w:rsid w:val="5B1C2265"/>
    <w:rsid w:val="5B42195B"/>
    <w:rsid w:val="5B500161"/>
    <w:rsid w:val="5B615ECA"/>
    <w:rsid w:val="5B7F55AA"/>
    <w:rsid w:val="5B8B1199"/>
    <w:rsid w:val="5BBA55DA"/>
    <w:rsid w:val="5BBB7CD0"/>
    <w:rsid w:val="5BF154A0"/>
    <w:rsid w:val="5BFD2097"/>
    <w:rsid w:val="5C084598"/>
    <w:rsid w:val="5C0D7E00"/>
    <w:rsid w:val="5C186ED1"/>
    <w:rsid w:val="5C272C70"/>
    <w:rsid w:val="5C2B66BB"/>
    <w:rsid w:val="5C4001D5"/>
    <w:rsid w:val="5C444B32"/>
    <w:rsid w:val="5C515F3F"/>
    <w:rsid w:val="5C806824"/>
    <w:rsid w:val="5CA11C75"/>
    <w:rsid w:val="5CA22C3E"/>
    <w:rsid w:val="5CB62246"/>
    <w:rsid w:val="5CD5091E"/>
    <w:rsid w:val="5CEA4493"/>
    <w:rsid w:val="5D0134C1"/>
    <w:rsid w:val="5D022A11"/>
    <w:rsid w:val="5D0D6309"/>
    <w:rsid w:val="5D1724B9"/>
    <w:rsid w:val="5D1A27D4"/>
    <w:rsid w:val="5D1C02FB"/>
    <w:rsid w:val="5D3A2E77"/>
    <w:rsid w:val="5D5061F6"/>
    <w:rsid w:val="5D777C27"/>
    <w:rsid w:val="5D942587"/>
    <w:rsid w:val="5DC81535"/>
    <w:rsid w:val="5DD24E5D"/>
    <w:rsid w:val="5DD319BF"/>
    <w:rsid w:val="5DE66B5A"/>
    <w:rsid w:val="5DF272AD"/>
    <w:rsid w:val="5E0A2849"/>
    <w:rsid w:val="5E236C48"/>
    <w:rsid w:val="5E2C6C63"/>
    <w:rsid w:val="5E435D5B"/>
    <w:rsid w:val="5E48691E"/>
    <w:rsid w:val="5E5A37D0"/>
    <w:rsid w:val="5E700085"/>
    <w:rsid w:val="5E7423B8"/>
    <w:rsid w:val="5E781EA8"/>
    <w:rsid w:val="5E897C12"/>
    <w:rsid w:val="5EA52572"/>
    <w:rsid w:val="5EB35D09"/>
    <w:rsid w:val="5EB629D1"/>
    <w:rsid w:val="5EB97DCB"/>
    <w:rsid w:val="5EC96260"/>
    <w:rsid w:val="5EFA466C"/>
    <w:rsid w:val="5F057578"/>
    <w:rsid w:val="5F066C9A"/>
    <w:rsid w:val="5F0674B4"/>
    <w:rsid w:val="5F0B0627"/>
    <w:rsid w:val="5F2B6F1B"/>
    <w:rsid w:val="5F2E2567"/>
    <w:rsid w:val="5F426012"/>
    <w:rsid w:val="5F5C62DC"/>
    <w:rsid w:val="5F6366B5"/>
    <w:rsid w:val="5F702B80"/>
    <w:rsid w:val="5F8A11B5"/>
    <w:rsid w:val="5F8F74AA"/>
    <w:rsid w:val="5F906D7E"/>
    <w:rsid w:val="5F9A19AB"/>
    <w:rsid w:val="5FB23198"/>
    <w:rsid w:val="5FB24869"/>
    <w:rsid w:val="5FC66C44"/>
    <w:rsid w:val="5FD96977"/>
    <w:rsid w:val="5FEF1CF6"/>
    <w:rsid w:val="600C0AFA"/>
    <w:rsid w:val="600F2399"/>
    <w:rsid w:val="604007A4"/>
    <w:rsid w:val="604E1113"/>
    <w:rsid w:val="606326E4"/>
    <w:rsid w:val="6071095D"/>
    <w:rsid w:val="60786190"/>
    <w:rsid w:val="60823BD8"/>
    <w:rsid w:val="60B8658C"/>
    <w:rsid w:val="60CA4511"/>
    <w:rsid w:val="60D3786A"/>
    <w:rsid w:val="60E31EB8"/>
    <w:rsid w:val="60E720AE"/>
    <w:rsid w:val="610E2650"/>
    <w:rsid w:val="61227EAA"/>
    <w:rsid w:val="613C540F"/>
    <w:rsid w:val="614147D4"/>
    <w:rsid w:val="615269E1"/>
    <w:rsid w:val="616B35FF"/>
    <w:rsid w:val="61734BA9"/>
    <w:rsid w:val="617374B7"/>
    <w:rsid w:val="6175447D"/>
    <w:rsid w:val="617D3332"/>
    <w:rsid w:val="61A42FB4"/>
    <w:rsid w:val="61AB60F1"/>
    <w:rsid w:val="61B256D1"/>
    <w:rsid w:val="61CB1970"/>
    <w:rsid w:val="61E84C4F"/>
    <w:rsid w:val="61F25ACE"/>
    <w:rsid w:val="62042695"/>
    <w:rsid w:val="621C0D9D"/>
    <w:rsid w:val="62210161"/>
    <w:rsid w:val="622F078C"/>
    <w:rsid w:val="623600B0"/>
    <w:rsid w:val="623D24E4"/>
    <w:rsid w:val="625C73EB"/>
    <w:rsid w:val="626369CC"/>
    <w:rsid w:val="626B762E"/>
    <w:rsid w:val="626D3A84"/>
    <w:rsid w:val="62915859"/>
    <w:rsid w:val="62A212A2"/>
    <w:rsid w:val="62B66AFB"/>
    <w:rsid w:val="62D64C70"/>
    <w:rsid w:val="62D93827"/>
    <w:rsid w:val="62E0001C"/>
    <w:rsid w:val="62F31AFE"/>
    <w:rsid w:val="631321A0"/>
    <w:rsid w:val="633914DA"/>
    <w:rsid w:val="63515D79"/>
    <w:rsid w:val="639808F7"/>
    <w:rsid w:val="63A454EE"/>
    <w:rsid w:val="63C35974"/>
    <w:rsid w:val="63D556A7"/>
    <w:rsid w:val="63EF6BFE"/>
    <w:rsid w:val="63F33319"/>
    <w:rsid w:val="63F773CC"/>
    <w:rsid w:val="640970FF"/>
    <w:rsid w:val="641560DA"/>
    <w:rsid w:val="642108EC"/>
    <w:rsid w:val="6424218B"/>
    <w:rsid w:val="645C36D2"/>
    <w:rsid w:val="647E189B"/>
    <w:rsid w:val="647E7AED"/>
    <w:rsid w:val="64A62BA0"/>
    <w:rsid w:val="64B81251"/>
    <w:rsid w:val="64C23E7D"/>
    <w:rsid w:val="64DF4A2F"/>
    <w:rsid w:val="64F1206D"/>
    <w:rsid w:val="64F658D5"/>
    <w:rsid w:val="6501237B"/>
    <w:rsid w:val="65143FAD"/>
    <w:rsid w:val="65165884"/>
    <w:rsid w:val="65165F77"/>
    <w:rsid w:val="651D2E62"/>
    <w:rsid w:val="65315ED1"/>
    <w:rsid w:val="65385EEE"/>
    <w:rsid w:val="653F727C"/>
    <w:rsid w:val="65401246"/>
    <w:rsid w:val="65442AE4"/>
    <w:rsid w:val="6554084E"/>
    <w:rsid w:val="655A5E64"/>
    <w:rsid w:val="65652A5B"/>
    <w:rsid w:val="65660CAD"/>
    <w:rsid w:val="656C5B97"/>
    <w:rsid w:val="657809E0"/>
    <w:rsid w:val="657C3360"/>
    <w:rsid w:val="65842EE1"/>
    <w:rsid w:val="65847385"/>
    <w:rsid w:val="65AB66C0"/>
    <w:rsid w:val="65CB0B10"/>
    <w:rsid w:val="65F75DA9"/>
    <w:rsid w:val="66044022"/>
    <w:rsid w:val="66173D55"/>
    <w:rsid w:val="665343D2"/>
    <w:rsid w:val="66544FA9"/>
    <w:rsid w:val="66630D48"/>
    <w:rsid w:val="66636F9A"/>
    <w:rsid w:val="668C4743"/>
    <w:rsid w:val="669B4986"/>
    <w:rsid w:val="66A82BFF"/>
    <w:rsid w:val="66AF21DF"/>
    <w:rsid w:val="66C57C55"/>
    <w:rsid w:val="66CF43F3"/>
    <w:rsid w:val="66D659BE"/>
    <w:rsid w:val="66E10305"/>
    <w:rsid w:val="66E53E53"/>
    <w:rsid w:val="66E90E8B"/>
    <w:rsid w:val="66F67E0E"/>
    <w:rsid w:val="66F83FA1"/>
    <w:rsid w:val="670267B3"/>
    <w:rsid w:val="670C13E0"/>
    <w:rsid w:val="67204E8B"/>
    <w:rsid w:val="677B6F96"/>
    <w:rsid w:val="67A535E2"/>
    <w:rsid w:val="67A857AA"/>
    <w:rsid w:val="67AC4971"/>
    <w:rsid w:val="67BF2DEE"/>
    <w:rsid w:val="67D51A17"/>
    <w:rsid w:val="67DF4D46"/>
    <w:rsid w:val="67F55838"/>
    <w:rsid w:val="68000819"/>
    <w:rsid w:val="68064081"/>
    <w:rsid w:val="680E1188"/>
    <w:rsid w:val="6811426B"/>
    <w:rsid w:val="681E586F"/>
    <w:rsid w:val="68234C92"/>
    <w:rsid w:val="68315637"/>
    <w:rsid w:val="683C3F47"/>
    <w:rsid w:val="683F3A37"/>
    <w:rsid w:val="684B418A"/>
    <w:rsid w:val="685017A0"/>
    <w:rsid w:val="685A43CD"/>
    <w:rsid w:val="686D4100"/>
    <w:rsid w:val="686D5EAE"/>
    <w:rsid w:val="68923629"/>
    <w:rsid w:val="68A63B84"/>
    <w:rsid w:val="68A97A41"/>
    <w:rsid w:val="68AD6BF3"/>
    <w:rsid w:val="68B24209"/>
    <w:rsid w:val="68C87588"/>
    <w:rsid w:val="68D221B5"/>
    <w:rsid w:val="68FB5BB0"/>
    <w:rsid w:val="69136E29"/>
    <w:rsid w:val="69232100"/>
    <w:rsid w:val="693D1D24"/>
    <w:rsid w:val="695E1C9B"/>
    <w:rsid w:val="69794668"/>
    <w:rsid w:val="69A73642"/>
    <w:rsid w:val="69C97A5C"/>
    <w:rsid w:val="69CC12FA"/>
    <w:rsid w:val="69D71B84"/>
    <w:rsid w:val="69E77EE2"/>
    <w:rsid w:val="69EE1271"/>
    <w:rsid w:val="6A050368"/>
    <w:rsid w:val="6A276531"/>
    <w:rsid w:val="6A3053E5"/>
    <w:rsid w:val="6A354605"/>
    <w:rsid w:val="6A356EA0"/>
    <w:rsid w:val="6A3B3D8A"/>
    <w:rsid w:val="6A3F7D1E"/>
    <w:rsid w:val="6A4315BC"/>
    <w:rsid w:val="6A5D7991"/>
    <w:rsid w:val="6A687275"/>
    <w:rsid w:val="6A7F45BF"/>
    <w:rsid w:val="6A813E93"/>
    <w:rsid w:val="6A8614A9"/>
    <w:rsid w:val="6A8B2F63"/>
    <w:rsid w:val="6AA14DBB"/>
    <w:rsid w:val="6AAB7162"/>
    <w:rsid w:val="6AAD07D3"/>
    <w:rsid w:val="6AAF714A"/>
    <w:rsid w:val="6AC02C0D"/>
    <w:rsid w:val="6ACD70D8"/>
    <w:rsid w:val="6AEA5EDC"/>
    <w:rsid w:val="6AED1528"/>
    <w:rsid w:val="6AF3319E"/>
    <w:rsid w:val="6AF74155"/>
    <w:rsid w:val="6AFB3C45"/>
    <w:rsid w:val="6B0A2A1D"/>
    <w:rsid w:val="6B49666A"/>
    <w:rsid w:val="6B581DE1"/>
    <w:rsid w:val="6B5C045C"/>
    <w:rsid w:val="6BA20565"/>
    <w:rsid w:val="6BAD2A66"/>
    <w:rsid w:val="6BCA3618"/>
    <w:rsid w:val="6BD928A3"/>
    <w:rsid w:val="6BF95CAB"/>
    <w:rsid w:val="6C044D7B"/>
    <w:rsid w:val="6C1A634D"/>
    <w:rsid w:val="6C1B20C5"/>
    <w:rsid w:val="6C2942A7"/>
    <w:rsid w:val="6C2947E2"/>
    <w:rsid w:val="6C2C42D2"/>
    <w:rsid w:val="6C3331D2"/>
    <w:rsid w:val="6C411B2C"/>
    <w:rsid w:val="6C44161C"/>
    <w:rsid w:val="6C4909E0"/>
    <w:rsid w:val="6C4E249B"/>
    <w:rsid w:val="6C875A7A"/>
    <w:rsid w:val="6C9D0D2C"/>
    <w:rsid w:val="6C9F6852"/>
    <w:rsid w:val="6C9F7F96"/>
    <w:rsid w:val="6CCF543A"/>
    <w:rsid w:val="6CD75FEC"/>
    <w:rsid w:val="6CDB1F80"/>
    <w:rsid w:val="6CE6276D"/>
    <w:rsid w:val="6CF22E26"/>
    <w:rsid w:val="6D196605"/>
    <w:rsid w:val="6D284A9A"/>
    <w:rsid w:val="6D2F2FDA"/>
    <w:rsid w:val="6D4636E4"/>
    <w:rsid w:val="6D567859"/>
    <w:rsid w:val="6D620ACE"/>
    <w:rsid w:val="6D631F76"/>
    <w:rsid w:val="6D716441"/>
    <w:rsid w:val="6D761CA9"/>
    <w:rsid w:val="6D88378A"/>
    <w:rsid w:val="6DBE71AC"/>
    <w:rsid w:val="6DD15131"/>
    <w:rsid w:val="6DE76703"/>
    <w:rsid w:val="6DFD7CD4"/>
    <w:rsid w:val="6E11552E"/>
    <w:rsid w:val="6E1868BC"/>
    <w:rsid w:val="6E331948"/>
    <w:rsid w:val="6E3B6A4F"/>
    <w:rsid w:val="6E423939"/>
    <w:rsid w:val="6E443B55"/>
    <w:rsid w:val="6E670DEB"/>
    <w:rsid w:val="6E69536A"/>
    <w:rsid w:val="6E6C4E5A"/>
    <w:rsid w:val="6E766449"/>
    <w:rsid w:val="6E9323E7"/>
    <w:rsid w:val="6EAB5982"/>
    <w:rsid w:val="6EBC36EB"/>
    <w:rsid w:val="6EF32E85"/>
    <w:rsid w:val="6F0B4673"/>
    <w:rsid w:val="6F0F4163"/>
    <w:rsid w:val="6F153D04"/>
    <w:rsid w:val="6F1D5412"/>
    <w:rsid w:val="6F2474E3"/>
    <w:rsid w:val="6F2C7147"/>
    <w:rsid w:val="6F6A1399"/>
    <w:rsid w:val="6F712728"/>
    <w:rsid w:val="6F885CC3"/>
    <w:rsid w:val="6FBC771B"/>
    <w:rsid w:val="6FD47A20"/>
    <w:rsid w:val="6FE17DA6"/>
    <w:rsid w:val="6FEA24DA"/>
    <w:rsid w:val="6FED3D79"/>
    <w:rsid w:val="6FEE00A6"/>
    <w:rsid w:val="70293003"/>
    <w:rsid w:val="702E0619"/>
    <w:rsid w:val="703B0F88"/>
    <w:rsid w:val="703E6382"/>
    <w:rsid w:val="70441BEA"/>
    <w:rsid w:val="70462105"/>
    <w:rsid w:val="70495453"/>
    <w:rsid w:val="704A2F79"/>
    <w:rsid w:val="705B6F34"/>
    <w:rsid w:val="707A1599"/>
    <w:rsid w:val="70883B9D"/>
    <w:rsid w:val="70A16BFB"/>
    <w:rsid w:val="70BA00FF"/>
    <w:rsid w:val="70D25448"/>
    <w:rsid w:val="70DA20C3"/>
    <w:rsid w:val="70E94540"/>
    <w:rsid w:val="710F044A"/>
    <w:rsid w:val="711E068D"/>
    <w:rsid w:val="71331E70"/>
    <w:rsid w:val="71557E27"/>
    <w:rsid w:val="715B3B88"/>
    <w:rsid w:val="716360A0"/>
    <w:rsid w:val="716562BC"/>
    <w:rsid w:val="717C3606"/>
    <w:rsid w:val="71804EA4"/>
    <w:rsid w:val="71A05546"/>
    <w:rsid w:val="71B66B18"/>
    <w:rsid w:val="71D04F69"/>
    <w:rsid w:val="71D15700"/>
    <w:rsid w:val="71DC5E53"/>
    <w:rsid w:val="71E05943"/>
    <w:rsid w:val="71E35433"/>
    <w:rsid w:val="72190E55"/>
    <w:rsid w:val="721F290F"/>
    <w:rsid w:val="722B4F21"/>
    <w:rsid w:val="722C0B88"/>
    <w:rsid w:val="723208C7"/>
    <w:rsid w:val="72444124"/>
    <w:rsid w:val="724759C2"/>
    <w:rsid w:val="724E36DB"/>
    <w:rsid w:val="724F0D19"/>
    <w:rsid w:val="725E2D0C"/>
    <w:rsid w:val="726522EC"/>
    <w:rsid w:val="72677E12"/>
    <w:rsid w:val="72712A3F"/>
    <w:rsid w:val="72757747"/>
    <w:rsid w:val="729055BB"/>
    <w:rsid w:val="72C47013"/>
    <w:rsid w:val="72D1172F"/>
    <w:rsid w:val="72D51220"/>
    <w:rsid w:val="72DA4A88"/>
    <w:rsid w:val="72DB435C"/>
    <w:rsid w:val="72E6342D"/>
    <w:rsid w:val="72EC6569"/>
    <w:rsid w:val="72EE5E3E"/>
    <w:rsid w:val="73075151"/>
    <w:rsid w:val="7318110C"/>
    <w:rsid w:val="732B0E40"/>
    <w:rsid w:val="73375A36"/>
    <w:rsid w:val="733C129F"/>
    <w:rsid w:val="73462099"/>
    <w:rsid w:val="73552361"/>
    <w:rsid w:val="738B18DE"/>
    <w:rsid w:val="73974727"/>
    <w:rsid w:val="7399224D"/>
    <w:rsid w:val="73B057E9"/>
    <w:rsid w:val="73CB43D1"/>
    <w:rsid w:val="73D667AD"/>
    <w:rsid w:val="73EA7445"/>
    <w:rsid w:val="740D6797"/>
    <w:rsid w:val="742902F6"/>
    <w:rsid w:val="744A709B"/>
    <w:rsid w:val="74566889"/>
    <w:rsid w:val="74604B19"/>
    <w:rsid w:val="748E5B2A"/>
    <w:rsid w:val="74A52E74"/>
    <w:rsid w:val="74AE3AD6"/>
    <w:rsid w:val="74AF5AA0"/>
    <w:rsid w:val="74C90910"/>
    <w:rsid w:val="74CA4688"/>
    <w:rsid w:val="74D6127F"/>
    <w:rsid w:val="74DA2B1D"/>
    <w:rsid w:val="74DA3397"/>
    <w:rsid w:val="74DF6386"/>
    <w:rsid w:val="74E125F6"/>
    <w:rsid w:val="74EB73A2"/>
    <w:rsid w:val="74F3598D"/>
    <w:rsid w:val="7504090C"/>
    <w:rsid w:val="75265D63"/>
    <w:rsid w:val="7533738A"/>
    <w:rsid w:val="753C7061"/>
    <w:rsid w:val="755E0AD8"/>
    <w:rsid w:val="75705230"/>
    <w:rsid w:val="75722D56"/>
    <w:rsid w:val="75875258"/>
    <w:rsid w:val="75986535"/>
    <w:rsid w:val="75BE41ED"/>
    <w:rsid w:val="75BF1D13"/>
    <w:rsid w:val="7601232C"/>
    <w:rsid w:val="762A53DF"/>
    <w:rsid w:val="76506E7F"/>
    <w:rsid w:val="76507A33"/>
    <w:rsid w:val="76796366"/>
    <w:rsid w:val="769273CE"/>
    <w:rsid w:val="76B85E92"/>
    <w:rsid w:val="76C92E49"/>
    <w:rsid w:val="76CC4F06"/>
    <w:rsid w:val="771012F0"/>
    <w:rsid w:val="77297D8C"/>
    <w:rsid w:val="77514BED"/>
    <w:rsid w:val="775841CD"/>
    <w:rsid w:val="7772528F"/>
    <w:rsid w:val="779E42D6"/>
    <w:rsid w:val="77B70EF4"/>
    <w:rsid w:val="77BF424C"/>
    <w:rsid w:val="77CA50CB"/>
    <w:rsid w:val="77DE28A1"/>
    <w:rsid w:val="77ED2B68"/>
    <w:rsid w:val="781540EA"/>
    <w:rsid w:val="782B3690"/>
    <w:rsid w:val="78657FA9"/>
    <w:rsid w:val="78770683"/>
    <w:rsid w:val="7878358F"/>
    <w:rsid w:val="787B2407"/>
    <w:rsid w:val="787D2746"/>
    <w:rsid w:val="788672E2"/>
    <w:rsid w:val="78A0407E"/>
    <w:rsid w:val="78A07BDA"/>
    <w:rsid w:val="78A376CA"/>
    <w:rsid w:val="78AC2A23"/>
    <w:rsid w:val="78B47B29"/>
    <w:rsid w:val="78C93B4B"/>
    <w:rsid w:val="78DC699B"/>
    <w:rsid w:val="78E977D3"/>
    <w:rsid w:val="78EC1071"/>
    <w:rsid w:val="79041389"/>
    <w:rsid w:val="79350FEC"/>
    <w:rsid w:val="793B5B55"/>
    <w:rsid w:val="79482656"/>
    <w:rsid w:val="79534C4C"/>
    <w:rsid w:val="79823784"/>
    <w:rsid w:val="798B5F03"/>
    <w:rsid w:val="79915775"/>
    <w:rsid w:val="7992519A"/>
    <w:rsid w:val="799C2A97"/>
    <w:rsid w:val="799E5CB4"/>
    <w:rsid w:val="79A33E26"/>
    <w:rsid w:val="79AE27CB"/>
    <w:rsid w:val="79B23D53"/>
    <w:rsid w:val="79B778D1"/>
    <w:rsid w:val="79C478F8"/>
    <w:rsid w:val="79FF40F0"/>
    <w:rsid w:val="7A0B3779"/>
    <w:rsid w:val="7A1268B5"/>
    <w:rsid w:val="7A1E525A"/>
    <w:rsid w:val="7A2B1BAD"/>
    <w:rsid w:val="7A425A0D"/>
    <w:rsid w:val="7A523156"/>
    <w:rsid w:val="7A5F5873"/>
    <w:rsid w:val="7A686CF2"/>
    <w:rsid w:val="7A7E03EF"/>
    <w:rsid w:val="7A8B4212"/>
    <w:rsid w:val="7A8C48BA"/>
    <w:rsid w:val="7A8E6BB9"/>
    <w:rsid w:val="7A996FD7"/>
    <w:rsid w:val="7AA86A41"/>
    <w:rsid w:val="7AC03543"/>
    <w:rsid w:val="7AD46261"/>
    <w:rsid w:val="7AE364A4"/>
    <w:rsid w:val="7AEC35AA"/>
    <w:rsid w:val="7AEE507F"/>
    <w:rsid w:val="7AEF4E49"/>
    <w:rsid w:val="7AF366E7"/>
    <w:rsid w:val="7AF67F85"/>
    <w:rsid w:val="7AFD1314"/>
    <w:rsid w:val="7B0A3A31"/>
    <w:rsid w:val="7B284482"/>
    <w:rsid w:val="7B3D7962"/>
    <w:rsid w:val="7B476A33"/>
    <w:rsid w:val="7B4C5DF7"/>
    <w:rsid w:val="7B670E83"/>
    <w:rsid w:val="7B803CF3"/>
    <w:rsid w:val="7B89704B"/>
    <w:rsid w:val="7B915F00"/>
    <w:rsid w:val="7BA774D1"/>
    <w:rsid w:val="7BAF035A"/>
    <w:rsid w:val="7BC40083"/>
    <w:rsid w:val="7BCD518A"/>
    <w:rsid w:val="7BDF0A19"/>
    <w:rsid w:val="7BDF6C6B"/>
    <w:rsid w:val="7BE61DA8"/>
    <w:rsid w:val="7BFC15CB"/>
    <w:rsid w:val="7C014E34"/>
    <w:rsid w:val="7C02295A"/>
    <w:rsid w:val="7C372976"/>
    <w:rsid w:val="7C39281F"/>
    <w:rsid w:val="7C467FB5"/>
    <w:rsid w:val="7C4F2043"/>
    <w:rsid w:val="7C547659"/>
    <w:rsid w:val="7C6B04FF"/>
    <w:rsid w:val="7C8141C6"/>
    <w:rsid w:val="7C896031"/>
    <w:rsid w:val="7CAB4D9F"/>
    <w:rsid w:val="7CBB67ED"/>
    <w:rsid w:val="7CBC0D5A"/>
    <w:rsid w:val="7CF20C20"/>
    <w:rsid w:val="7CFD4F05"/>
    <w:rsid w:val="7D012C11"/>
    <w:rsid w:val="7D0C6095"/>
    <w:rsid w:val="7D0D7808"/>
    <w:rsid w:val="7D133070"/>
    <w:rsid w:val="7D172435"/>
    <w:rsid w:val="7D1C7A4B"/>
    <w:rsid w:val="7D24527D"/>
    <w:rsid w:val="7D32101D"/>
    <w:rsid w:val="7D40198C"/>
    <w:rsid w:val="7D4C0330"/>
    <w:rsid w:val="7D9D3C24"/>
    <w:rsid w:val="7DA0067C"/>
    <w:rsid w:val="7DAB14FB"/>
    <w:rsid w:val="7DFF1847"/>
    <w:rsid w:val="7E06335D"/>
    <w:rsid w:val="7E0C699E"/>
    <w:rsid w:val="7E4E6329"/>
    <w:rsid w:val="7E6873EC"/>
    <w:rsid w:val="7E796432"/>
    <w:rsid w:val="7E7F64E4"/>
    <w:rsid w:val="7E906943"/>
    <w:rsid w:val="7EB3006D"/>
    <w:rsid w:val="7ED00AED"/>
    <w:rsid w:val="7F1D01D6"/>
    <w:rsid w:val="7F2B218B"/>
    <w:rsid w:val="7F376DBE"/>
    <w:rsid w:val="7F536173"/>
    <w:rsid w:val="7F6A2CF0"/>
    <w:rsid w:val="7F89586C"/>
    <w:rsid w:val="7F8D69DE"/>
    <w:rsid w:val="7F923FF5"/>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link w:val="2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2">
    <w:name w:val="段 Char"/>
    <w:link w:val="231"/>
    <w:qFormat/>
    <w:uiPriority w:val="0"/>
    <w:rPr>
      <w:rFonts w:ascii="宋体" w:hAnsi="Times New Roman"/>
      <w:sz w:val="21"/>
    </w:rPr>
  </w:style>
  <w:style w:type="paragraph" w:customStyle="1" w:styleId="233">
    <w:name w:val="一级无"/>
    <w:basedOn w:val="1"/>
    <w:qFormat/>
    <w:uiPriority w:val="0"/>
    <w:pPr>
      <w:widowControl/>
      <w:numPr>
        <w:ilvl w:val="1"/>
        <w:numId w:val="3"/>
      </w:numPr>
      <w:adjustRightInd/>
      <w:spacing w:line="240" w:lineRule="auto"/>
      <w:jc w:val="left"/>
      <w:outlineLvl w:val="2"/>
    </w:pPr>
    <w:rPr>
      <w:rFonts w:ascii="宋体" w:hAnsi="Times New Roman"/>
      <w:kern w:val="0"/>
    </w:rPr>
  </w:style>
  <w:style w:type="paragraph" w:customStyle="1" w:styleId="234">
    <w:name w:val="一级条标题"/>
    <w:next w:val="1"/>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5">
    <w:name w:val="章标题"/>
    <w:next w:val="231"/>
    <w:qFormat/>
    <w:uiPriority w:val="0"/>
    <w:pPr>
      <w:spacing w:before="312" w:beforeLines="100" w:after="312" w:afterLines="100"/>
      <w:ind w:left="142"/>
      <w:jc w:val="both"/>
      <w:outlineLvl w:val="1"/>
    </w:pPr>
    <w:rPr>
      <w:rFonts w:ascii="黑体" w:hAnsi="Times New Roman" w:eastAsia="黑体" w:cs="Times New Roman"/>
      <w:sz w:val="21"/>
      <w:lang w:val="en-US" w:eastAsia="zh-CN" w:bidi="ar-SA"/>
    </w:rPr>
  </w:style>
  <w:style w:type="paragraph" w:customStyle="1" w:styleId="236">
    <w:name w:val="二级无"/>
    <w:basedOn w:val="1"/>
    <w:qFormat/>
    <w:uiPriority w:val="0"/>
    <w:pPr>
      <w:widowControl/>
      <w:numPr>
        <w:ilvl w:val="2"/>
        <w:numId w:val="3"/>
      </w:numPr>
      <w:adjustRightInd/>
      <w:spacing w:line="240" w:lineRule="auto"/>
      <w:jc w:val="left"/>
      <w:outlineLvl w:val="3"/>
    </w:pPr>
    <w:rPr>
      <w:rFonts w:ascii="宋体" w:hAnsi="Times New Roman"/>
      <w:kern w:val="0"/>
    </w:rPr>
  </w:style>
  <w:style w:type="paragraph" w:customStyle="1" w:styleId="237">
    <w:name w:val="字母编号列项（一级）"/>
    <w:qFormat/>
    <w:uiPriority w:val="0"/>
    <w:pPr>
      <w:tabs>
        <w:tab w:val="left" w:pos="840"/>
      </w:tabs>
      <w:ind w:firstLine="363"/>
      <w:jc w:val="both"/>
    </w:pPr>
    <w:rPr>
      <w:rFonts w:ascii="宋体" w:hAnsi="Times New Roman" w:eastAsia="宋体" w:cs="Times New Roman"/>
      <w:sz w:val="21"/>
      <w:lang w:val="en-US" w:eastAsia="zh-CN" w:bidi="ar-SA"/>
    </w:rPr>
  </w:style>
  <w:style w:type="paragraph" w:customStyle="1" w:styleId="238">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9">
    <w:name w:val="修订2"/>
    <w:hidden/>
    <w:unhideWhenUsed/>
    <w:qFormat/>
    <w:uiPriority w:val="99"/>
    <w:rPr>
      <w:rFonts w:ascii="Calibri" w:hAnsi="Calibri" w:eastAsia="宋体" w:cs="Times New Roman"/>
      <w:kern w:val="2"/>
      <w:sz w:val="21"/>
      <w:szCs w:val="21"/>
      <w:lang w:val="en-US" w:eastAsia="zh-CN" w:bidi="ar-SA"/>
    </w:rPr>
  </w:style>
  <w:style w:type="paragraph" w:customStyle="1" w:styleId="240">
    <w:name w:val="修订3"/>
    <w:hidden/>
    <w:unhideWhenUsed/>
    <w:qFormat/>
    <w:uiPriority w:val="99"/>
    <w:rPr>
      <w:rFonts w:ascii="Calibri" w:hAnsi="Calibri" w:eastAsia="宋体" w:cs="Times New Roman"/>
      <w:kern w:val="2"/>
      <w:sz w:val="21"/>
      <w:szCs w:val="21"/>
      <w:lang w:val="en-US" w:eastAsia="zh-CN" w:bidi="ar-SA"/>
    </w:rPr>
  </w:style>
  <w:style w:type="paragraph" w:customStyle="1" w:styleId="241">
    <w:name w:val="修订4"/>
    <w:hidden/>
    <w:unhideWhenUsed/>
    <w:qFormat/>
    <w:uiPriority w:val="99"/>
    <w:rPr>
      <w:rFonts w:ascii="Calibri" w:hAnsi="Calibri" w:eastAsia="宋体" w:cs="Times New Roman"/>
      <w:kern w:val="2"/>
      <w:sz w:val="21"/>
      <w:szCs w:val="21"/>
      <w:lang w:val="en-US" w:eastAsia="zh-CN" w:bidi="ar-SA"/>
    </w:rPr>
  </w:style>
  <w:style w:type="paragraph" w:customStyle="1" w:styleId="242">
    <w:name w:val="修订5"/>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2" Type="http://schemas.openxmlformats.org/officeDocument/2006/relationships/glossaryDocument" Target="glossary/document.xml"/><Relationship Id="rId41" Type="http://schemas.openxmlformats.org/officeDocument/2006/relationships/fontTable" Target="fontTable.xml"/><Relationship Id="rId40" Type="http://schemas.openxmlformats.org/officeDocument/2006/relationships/customXml" Target="../customXml/item2.xml"/><Relationship Id="rId4" Type="http://schemas.openxmlformats.org/officeDocument/2006/relationships/endnotes" Target="endnotes.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2.jpeg"/><Relationship Id="rId36" Type="http://schemas.openxmlformats.org/officeDocument/2006/relationships/image" Target="media/image1.tiff"/><Relationship Id="rId35" Type="http://schemas.openxmlformats.org/officeDocument/2006/relationships/theme" Target="theme/theme1.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0205EBB1DD04DB88EC9DD31DC144A0F"/>
        <w:style w:val=""/>
        <w:category>
          <w:name w:val="常规"/>
          <w:gallery w:val="placeholder"/>
        </w:category>
        <w:types>
          <w:type w:val="bbPlcHdr"/>
        </w:types>
        <w:behaviors>
          <w:behavior w:val="content"/>
        </w:behaviors>
        <w:description w:val=""/>
        <w:guid w:val="{11FB11A7-E4AD-4E3F-BCE3-91B3550684B5}"/>
      </w:docPartPr>
      <w:docPartBody>
        <w:p w14:paraId="5AC9B299">
          <w:pPr>
            <w:pStyle w:val="5"/>
            <w:rPr>
              <w:rFonts w:hint="eastAsia"/>
            </w:rPr>
          </w:pPr>
          <w:r>
            <w:rPr>
              <w:rStyle w:val="4"/>
              <w:rFonts w:hint="eastAsia"/>
            </w:rPr>
            <w:t>单击或点击此处输入文字。</w:t>
          </w:r>
        </w:p>
      </w:docPartBody>
    </w:docPart>
    <w:docPart>
      <w:docPartPr>
        <w:name w:val="04CFEE32BCB8430889B1FC9B1902943E"/>
        <w:style w:val=""/>
        <w:category>
          <w:name w:val="常规"/>
          <w:gallery w:val="placeholder"/>
        </w:category>
        <w:types>
          <w:type w:val="bbPlcHdr"/>
        </w:types>
        <w:behaviors>
          <w:behavior w:val="content"/>
        </w:behaviors>
        <w:description w:val=""/>
        <w:guid w:val="{8DA31591-F2CC-4A01-B728-2F3FD61122A5}"/>
      </w:docPartPr>
      <w:docPartBody>
        <w:p w14:paraId="28A0BC81">
          <w:pPr>
            <w:pStyle w:val="6"/>
            <w:rPr>
              <w:rFonts w:hint="eastAsia"/>
            </w:rPr>
          </w:pPr>
          <w:r>
            <w:rPr>
              <w:rStyle w:val="4"/>
              <w:rFonts w:hint="eastAsia"/>
            </w:rPr>
            <w:t>选择一项。</w:t>
          </w:r>
        </w:p>
      </w:docPartBody>
    </w:docPart>
    <w:docPart>
      <w:docPartPr>
        <w:name w:val="C723F9C17E264A67833D2654529F8C00"/>
        <w:style w:val=""/>
        <w:category>
          <w:name w:val="常规"/>
          <w:gallery w:val="placeholder"/>
        </w:category>
        <w:types>
          <w:type w:val="bbPlcHdr"/>
        </w:types>
        <w:behaviors>
          <w:behavior w:val="content"/>
        </w:behaviors>
        <w:description w:val=""/>
        <w:guid w:val="{02816196-C31B-48BE-92A2-A015F8DB7C2A}"/>
      </w:docPartPr>
      <w:docPartBody>
        <w:p w14:paraId="4B4B2F4F">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784"/>
    <w:rsid w:val="00021681"/>
    <w:rsid w:val="000B0477"/>
    <w:rsid w:val="000F2114"/>
    <w:rsid w:val="00152821"/>
    <w:rsid w:val="001774E9"/>
    <w:rsid w:val="001827FB"/>
    <w:rsid w:val="001871EC"/>
    <w:rsid w:val="001A0724"/>
    <w:rsid w:val="001B3B1C"/>
    <w:rsid w:val="00246769"/>
    <w:rsid w:val="00251A00"/>
    <w:rsid w:val="002A1CEB"/>
    <w:rsid w:val="002E3CCF"/>
    <w:rsid w:val="003B665B"/>
    <w:rsid w:val="004C0EB3"/>
    <w:rsid w:val="004C38B0"/>
    <w:rsid w:val="004C7237"/>
    <w:rsid w:val="00531585"/>
    <w:rsid w:val="00600A5A"/>
    <w:rsid w:val="00667C91"/>
    <w:rsid w:val="0068505B"/>
    <w:rsid w:val="00775429"/>
    <w:rsid w:val="00793073"/>
    <w:rsid w:val="00855FDF"/>
    <w:rsid w:val="008628D2"/>
    <w:rsid w:val="008921B3"/>
    <w:rsid w:val="009C6EB2"/>
    <w:rsid w:val="00A01F99"/>
    <w:rsid w:val="00A42A82"/>
    <w:rsid w:val="00A87784"/>
    <w:rsid w:val="00AA6692"/>
    <w:rsid w:val="00AC67E5"/>
    <w:rsid w:val="00AD3428"/>
    <w:rsid w:val="00AD7637"/>
    <w:rsid w:val="00B52C18"/>
    <w:rsid w:val="00B728BA"/>
    <w:rsid w:val="00C10B79"/>
    <w:rsid w:val="00C372C8"/>
    <w:rsid w:val="00C756B2"/>
    <w:rsid w:val="00CC76A5"/>
    <w:rsid w:val="00D02BEB"/>
    <w:rsid w:val="00D32E9C"/>
    <w:rsid w:val="00D60E60"/>
    <w:rsid w:val="00DD2353"/>
    <w:rsid w:val="00EF7351"/>
    <w:rsid w:val="00F512DF"/>
    <w:rsid w:val="00F60F68"/>
    <w:rsid w:val="00F85FBE"/>
    <w:rsid w:val="00FA66EF"/>
    <w:rsid w:val="00FC4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0205EBB1DD04DB88EC9DD31DC144A0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4CFEE32BCB8430889B1FC9B1902943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723F9C17E264A67833D2654529F8C0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21</Pages>
  <Words>14505</Words>
  <Characters>15011</Characters>
  <Lines>370</Lines>
  <Paragraphs>457</Paragraphs>
  <TotalTime>7</TotalTime>
  <ScaleCrop>false</ScaleCrop>
  <LinksUpToDate>false</LinksUpToDate>
  <CharactersWithSpaces>15178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2023-02-27T13:08:00Z</dcterms:created>
  <dc:creator>ye wan</dc:creator>
  <dc:description>&lt;config cover="true" show_menu="true" version="1.0.0" doctype="SDKXY"&gt;_x000d_
&lt;/config&gt;</dc:description>
  <cp:lastModifiedBy>万烨</cp:lastModifiedBy>
  <cp:lastPrinted>2020-08-30T10:00:00Z</cp:lastPrinted>
  <dcterms:modified xsi:type="dcterms:W3CDTF">2025-08-21T03:27:03Z</dcterms:modified>
  <dc:title>地方标准</dc:title>
  <cp:revision>419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2052-12.1.0.18608</vt:lpwstr>
  </property>
  <property fmtid="{D5CDD505-2E9C-101B-9397-08002B2CF9AE}" pid="16" name="ICV">
    <vt:lpwstr>C3F70D071C964238B242C1F0A6A25B7E</vt:lpwstr>
  </property>
</Properties>
</file>